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widowControl/>
        <w:suppressLineNumbers w:val="0"/>
        <w:spacing w:before="0" w:beforeAutospacing="0"/>
        <w:ind w:left="0"/>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2024年度四川省阿坝藏族羌族自治州</w:t>
      </w:r>
    </w:p>
    <w:p>
      <w:pPr>
        <w:pStyle w:val="21"/>
        <w:keepNext w:val="0"/>
        <w:keepLines w:val="0"/>
        <w:widowControl/>
        <w:suppressLineNumbers w:val="0"/>
        <w:spacing w:before="0" w:beforeAutospacing="0"/>
        <w:ind w:left="0"/>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文广体旅游局部门决算</w:t>
      </w:r>
    </w:p>
    <w:p>
      <w:pPr>
        <w:pStyle w:val="7"/>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(单位公开范本)</w:t>
      </w:r>
    </w:p>
    <w:p>
      <w:pPr>
        <w:widowControl/>
        <w:jc w:val="center"/>
        <w:rPr>
          <w:rFonts w:hint="eastAsia" w:ascii="黑体" w:hAnsi="黑体" w:eastAsia="黑体"/>
          <w:color w:val="auto"/>
          <w:sz w:val="48"/>
          <w:szCs w:val="48"/>
          <w:highlight w:val="none"/>
        </w:rPr>
        <w:sectPr>
          <w:pgSz w:w="11906" w:h="16838"/>
          <w:pgMar w:top="1440" w:right="1800" w:bottom="1440" w:left="1800" w:header="720" w:footer="720" w:gutter="0"/>
          <w:cols w:space="720" w:num="1"/>
          <w:docGrid w:type="lines" w:linePitch="312" w:charSpace="0"/>
        </w:sectPr>
      </w:pPr>
    </w:p>
    <w:p>
      <w:pPr>
        <w:widowControl/>
        <w:jc w:val="center"/>
        <w:rPr>
          <w:rFonts w:hint="eastAsia" w:eastAsia="黑体"/>
          <w:sz w:val="48"/>
          <w:szCs w:val="48"/>
        </w:rPr>
      </w:pPr>
      <w:r>
        <w:rPr>
          <w:rFonts w:hint="eastAsia" w:eastAsia="黑体"/>
          <w:sz w:val="48"/>
          <w:szCs w:val="48"/>
        </w:rPr>
        <w:t>目录</w:t>
      </w:r>
    </w:p>
    <w:p>
      <w:pPr>
        <w:pStyle w:val="19"/>
        <w:tabs>
          <w:tab w:val="right" w:leader="dot" w:pos="8306"/>
        </w:tabs>
      </w:pPr>
    </w:p>
    <w:p>
      <w:pPr>
        <w:pStyle w:val="2"/>
      </w:pPr>
    </w:p>
    <w:p>
      <w:pPr>
        <w:widowControl/>
        <w:jc w:val="center"/>
        <w:rPr>
          <w:rFonts w:eastAsia="黑体" w:cstheme="minorBidi"/>
          <w:sz w:val="28"/>
          <w:szCs w:val="28"/>
        </w:rPr>
      </w:pPr>
    </w:p>
    <w:p>
      <w:pPr>
        <w:pStyle w:val="12"/>
        <w:rPr>
          <w:rFonts w:ascii="Times New Roman" w:hAnsi="Times New Roman" w:eastAsia="仿宋_GB2312" w:cs="仿宋_GB2312"/>
          <w:sz w:val="32"/>
          <w:szCs w:val="32"/>
        </w:rPr>
      </w:pPr>
      <w:bookmarkStart w:id="0" w:name="_Toc31215_WPSOffice_Level1"/>
      <w:r>
        <w:rPr>
          <w:rFonts w:hint="eastAsia" w:ascii="Times New Roman" w:hAnsi="Times New Roman" w:eastAsia="仿宋_GB2312" w:cs="仿宋_GB2312"/>
          <w:sz w:val="32"/>
          <w:szCs w:val="32"/>
        </w:rPr>
        <w:t xml:space="preserve">公开时间：2024年 </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 xml:space="preserve"> 月 </w:t>
      </w:r>
      <w:r>
        <w:rPr>
          <w:rFonts w:hint="eastAsia" w:ascii="Times New Roman" w:hAnsi="Times New Roman" w:eastAsia="仿宋_GB2312" w:cs="仿宋_GB2312"/>
          <w:sz w:val="32"/>
          <w:szCs w:val="32"/>
          <w:lang w:val="en-US" w:eastAsia="zh-CN"/>
        </w:rPr>
        <w:t>11</w:t>
      </w:r>
      <w:r>
        <w:rPr>
          <w:rFonts w:hint="eastAsia" w:ascii="Times New Roman" w:hAnsi="Times New Roman" w:eastAsia="仿宋_GB2312" w:cs="仿宋_GB2312"/>
          <w:sz w:val="32"/>
          <w:szCs w:val="32"/>
        </w:rPr>
        <w:t xml:space="preserve"> 日</w:t>
      </w:r>
      <w:bookmarkEnd w:id="0"/>
    </w:p>
    <w:p/>
    <w:p>
      <w:pPr>
        <w:pStyle w:val="12"/>
        <w:adjustRightInd w:val="0"/>
        <w:snapToGrid w:val="0"/>
        <w:spacing w:before="0" w:line="560" w:lineRule="exact"/>
        <w:ind w:firstLine="640" w:firstLineChars="200"/>
        <w:jc w:val="left"/>
        <w:rPr>
          <w:rFonts w:ascii="Times New Roman" w:hAnsi="Times New Roman" w:eastAsia="黑体" w:cs="黑体"/>
          <w:sz w:val="32"/>
          <w:szCs w:val="32"/>
        </w:rPr>
      </w:pPr>
      <w:bookmarkStart w:id="1" w:name="_Toc19853_WPSOffice_Level1"/>
      <w:r>
        <w:rPr>
          <w:rFonts w:hint="eastAsia" w:ascii="Times New Roman" w:hAnsi="Times New Roman" w:eastAsia="黑体" w:cs="黑体"/>
          <w:sz w:val="32"/>
          <w:szCs w:val="32"/>
        </w:rPr>
        <w:t>第一部分 部门概况</w:t>
      </w:r>
      <w:bookmarkEnd w:id="1"/>
    </w:p>
    <w:p>
      <w:pPr>
        <w:pStyle w:val="13"/>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一、部门职责</w:t>
      </w:r>
      <w:r>
        <w:rPr>
          <w:rFonts w:hint="eastAsia" w:eastAsia="仿宋_GB2312" w:cs="仿宋_GB2312"/>
          <w:sz w:val="32"/>
          <w:szCs w:val="32"/>
        </w:rPr>
        <w:tab/>
      </w:r>
      <w:r>
        <w:rPr>
          <w:rFonts w:hint="eastAsia" w:eastAsia="仿宋_GB2312" w:cs="仿宋_GB2312"/>
          <w:sz w:val="32"/>
          <w:szCs w:val="32"/>
        </w:rPr>
        <w:t>2</w:t>
      </w:r>
    </w:p>
    <w:p>
      <w:pPr>
        <w:pStyle w:val="13"/>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r>
        <w:rPr>
          <w:rFonts w:hint="eastAsia" w:eastAsia="仿宋_GB2312" w:cs="仿宋_GB2312"/>
          <w:sz w:val="32"/>
          <w:szCs w:val="32"/>
        </w:rPr>
        <w:tab/>
      </w:r>
      <w:r>
        <w:rPr>
          <w:rFonts w:hint="eastAsia" w:eastAsia="仿宋_GB2312" w:cs="仿宋_GB2312"/>
          <w:sz w:val="32"/>
          <w:szCs w:val="32"/>
          <w:lang w:val="en-US" w:eastAsia="zh-CN"/>
        </w:rPr>
        <w:t>5</w:t>
      </w:r>
    </w:p>
    <w:p>
      <w:pPr>
        <w:pStyle w:val="12"/>
        <w:adjustRightInd w:val="0"/>
        <w:snapToGrid w:val="0"/>
        <w:spacing w:before="0" w:line="560" w:lineRule="exact"/>
        <w:ind w:firstLine="640" w:firstLineChars="200"/>
        <w:jc w:val="left"/>
        <w:rPr>
          <w:rFonts w:ascii="Times New Roman" w:hAnsi="Times New Roman" w:eastAsia="黑体" w:cs="黑体"/>
          <w:sz w:val="32"/>
          <w:szCs w:val="32"/>
        </w:rPr>
      </w:pPr>
      <w:bookmarkStart w:id="2" w:name="_Toc31076_WPSOffice_Level1"/>
      <w:r>
        <w:rPr>
          <w:rFonts w:hint="eastAsia" w:ascii="Times New Roman" w:hAnsi="Times New Roman" w:eastAsia="黑体" w:cs="黑体"/>
          <w:sz w:val="32"/>
          <w:szCs w:val="32"/>
        </w:rPr>
        <w:t>第二部分 2024年度部门决算情况说明</w:t>
      </w:r>
      <w:bookmarkEnd w:id="2"/>
    </w:p>
    <w:p>
      <w:pPr>
        <w:pStyle w:val="13"/>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r>
        <w:rPr>
          <w:rFonts w:hint="eastAsia" w:eastAsia="仿宋_GB2312" w:cs="仿宋_GB2312"/>
          <w:sz w:val="32"/>
          <w:szCs w:val="32"/>
        </w:rPr>
        <w:tab/>
      </w:r>
      <w:r>
        <w:rPr>
          <w:rFonts w:hint="eastAsia" w:eastAsia="仿宋_GB2312" w:cs="仿宋_GB2312"/>
          <w:sz w:val="32"/>
          <w:szCs w:val="32"/>
          <w:lang w:val="en-US" w:eastAsia="zh-CN"/>
        </w:rPr>
        <w:t>9</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二、收入决算情况说明</w:t>
      </w:r>
      <w:r>
        <w:rPr>
          <w:rFonts w:hint="eastAsia" w:eastAsia="仿宋_GB2312" w:cs="仿宋_GB2312"/>
          <w:sz w:val="32"/>
          <w:szCs w:val="32"/>
        </w:rPr>
        <w:tab/>
      </w:r>
      <w:r>
        <w:rPr>
          <w:rFonts w:hint="eastAsia" w:eastAsia="仿宋_GB2312" w:cs="仿宋_GB2312"/>
          <w:sz w:val="32"/>
          <w:szCs w:val="32"/>
          <w:lang w:val="en-US" w:eastAsia="zh-CN"/>
        </w:rPr>
        <w:t>10</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三、支出决算情况说明</w:t>
      </w:r>
      <w:r>
        <w:rPr>
          <w:rFonts w:hint="eastAsia" w:eastAsia="仿宋_GB2312" w:cs="仿宋_GB2312"/>
          <w:sz w:val="32"/>
          <w:szCs w:val="32"/>
        </w:rPr>
        <w:tab/>
      </w:r>
      <w:r>
        <w:rPr>
          <w:rFonts w:hint="eastAsia" w:eastAsia="仿宋_GB2312" w:cs="仿宋_GB2312"/>
          <w:sz w:val="32"/>
          <w:szCs w:val="32"/>
          <w:lang w:val="en-US" w:eastAsia="zh-CN"/>
        </w:rPr>
        <w:t>13</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四、财政拨款收入支出决算总体情况说明</w:t>
      </w:r>
      <w:r>
        <w:rPr>
          <w:rFonts w:hint="eastAsia" w:eastAsia="仿宋_GB2312" w:cs="仿宋_GB2312"/>
          <w:sz w:val="32"/>
          <w:szCs w:val="32"/>
        </w:rPr>
        <w:tab/>
      </w:r>
      <w:r>
        <w:rPr>
          <w:rFonts w:hint="eastAsia" w:eastAsia="仿宋_GB2312" w:cs="仿宋_GB2312"/>
          <w:sz w:val="32"/>
          <w:szCs w:val="32"/>
          <w:lang w:val="en-US" w:eastAsia="zh-CN"/>
        </w:rPr>
        <w:t>16</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五、一般公共预算财政拨款支出决算情况说明</w:t>
      </w:r>
      <w:r>
        <w:rPr>
          <w:rFonts w:hint="eastAsia" w:eastAsia="仿宋_GB2312" w:cs="仿宋_GB2312"/>
          <w:sz w:val="32"/>
          <w:szCs w:val="32"/>
        </w:rPr>
        <w:tab/>
      </w:r>
      <w:r>
        <w:rPr>
          <w:rFonts w:hint="eastAsia" w:eastAsia="仿宋_GB2312" w:cs="仿宋_GB2312"/>
          <w:sz w:val="32"/>
          <w:szCs w:val="32"/>
          <w:lang w:val="en-US" w:eastAsia="zh-CN"/>
        </w:rPr>
        <w:t>19</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六、一般公共预算财政拨款基本支出决算情况说明</w:t>
      </w:r>
      <w:r>
        <w:rPr>
          <w:rFonts w:hint="eastAsia" w:eastAsia="仿宋_GB2312" w:cs="仿宋_GB2312"/>
          <w:sz w:val="32"/>
          <w:szCs w:val="32"/>
        </w:rPr>
        <w:tab/>
      </w:r>
      <w:r>
        <w:rPr>
          <w:rFonts w:hint="eastAsia" w:eastAsia="仿宋_GB2312" w:cs="仿宋_GB2312"/>
          <w:sz w:val="32"/>
          <w:szCs w:val="32"/>
          <w:lang w:val="en-US" w:eastAsia="zh-CN"/>
        </w:rPr>
        <w:t>20</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七、财政拨款“三公”经费支出决算情况说明</w:t>
      </w:r>
      <w:r>
        <w:rPr>
          <w:rFonts w:hint="eastAsia" w:eastAsia="仿宋_GB2312" w:cs="仿宋_GB2312"/>
          <w:sz w:val="32"/>
          <w:szCs w:val="32"/>
        </w:rPr>
        <w:tab/>
      </w:r>
      <w:r>
        <w:rPr>
          <w:rFonts w:hint="eastAsia" w:eastAsia="仿宋_GB2312" w:cs="仿宋_GB2312"/>
          <w:sz w:val="32"/>
          <w:szCs w:val="32"/>
          <w:lang w:val="en-US" w:eastAsia="zh-CN"/>
        </w:rPr>
        <w:t>23</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八、政府性基金预算支出决算情况说明</w:t>
      </w:r>
      <w:r>
        <w:rPr>
          <w:rFonts w:hint="eastAsia" w:eastAsia="仿宋_GB2312" w:cs="仿宋_GB2312"/>
          <w:sz w:val="32"/>
          <w:szCs w:val="32"/>
        </w:rPr>
        <w:tab/>
      </w:r>
      <w:r>
        <w:rPr>
          <w:rFonts w:hint="eastAsia" w:eastAsia="仿宋_GB2312" w:cs="仿宋_GB2312"/>
          <w:sz w:val="32"/>
          <w:szCs w:val="32"/>
          <w:lang w:val="en-US" w:eastAsia="zh-CN"/>
        </w:rPr>
        <w:t>25</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九、国有资本经营预算支出决算情况说明</w:t>
      </w:r>
      <w:r>
        <w:rPr>
          <w:rFonts w:hint="eastAsia" w:eastAsia="仿宋_GB2312" w:cs="仿宋_GB2312"/>
          <w:sz w:val="32"/>
          <w:szCs w:val="32"/>
        </w:rPr>
        <w:tab/>
      </w:r>
      <w:r>
        <w:rPr>
          <w:rFonts w:hint="eastAsia" w:eastAsia="仿宋_GB2312" w:cs="仿宋_GB2312"/>
          <w:sz w:val="32"/>
          <w:szCs w:val="32"/>
          <w:lang w:val="en-US" w:eastAsia="zh-CN"/>
        </w:rPr>
        <w:t>26</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十、其他重要事项的情况说明</w:t>
      </w:r>
      <w:r>
        <w:rPr>
          <w:rFonts w:hint="eastAsia" w:eastAsia="仿宋_GB2312" w:cs="仿宋_GB2312"/>
          <w:sz w:val="32"/>
          <w:szCs w:val="32"/>
        </w:rPr>
        <w:tab/>
      </w:r>
      <w:r>
        <w:rPr>
          <w:rFonts w:hint="eastAsia" w:eastAsia="仿宋_GB2312" w:cs="仿宋_GB2312"/>
          <w:sz w:val="32"/>
          <w:szCs w:val="32"/>
          <w:lang w:val="en-US" w:eastAsia="zh-CN"/>
        </w:rPr>
        <w:t>28</w:t>
      </w:r>
    </w:p>
    <w:p>
      <w:pPr>
        <w:pStyle w:val="13"/>
        <w:adjustRightInd w:val="0"/>
        <w:snapToGrid w:val="0"/>
        <w:spacing w:line="560" w:lineRule="exact"/>
        <w:ind w:left="0" w:leftChars="0" w:firstLine="640" w:firstLineChars="200"/>
        <w:jc w:val="left"/>
        <w:rPr>
          <w:rFonts w:hint="default" w:ascii="Times New Roman" w:hAnsi="Times New Roman" w:eastAsia="仿宋_GB2312" w:cs="黑体"/>
          <w:sz w:val="32"/>
          <w:szCs w:val="32"/>
          <w:lang w:val="en-US" w:eastAsia="zh-CN"/>
        </w:rPr>
      </w:pPr>
      <w:bookmarkStart w:id="3" w:name="_Toc3373_WPSOffice_Level1"/>
      <w:r>
        <w:rPr>
          <w:rFonts w:hint="eastAsia" w:ascii="Times New Roman" w:hAnsi="Times New Roman" w:eastAsia="黑体" w:cs="黑体"/>
          <w:sz w:val="32"/>
          <w:szCs w:val="32"/>
        </w:rPr>
        <w:t>第三部分 名词解释</w:t>
      </w:r>
      <w:bookmarkEnd w:id="3"/>
      <w:r>
        <w:rPr>
          <w:rFonts w:hint="eastAsia" w:eastAsia="仿宋_GB2312" w:cs="仿宋_GB2312"/>
          <w:sz w:val="32"/>
          <w:szCs w:val="32"/>
        </w:rPr>
        <w:tab/>
      </w:r>
      <w:r>
        <w:rPr>
          <w:rFonts w:hint="eastAsia" w:eastAsia="仿宋_GB2312" w:cs="仿宋_GB2312"/>
          <w:sz w:val="32"/>
          <w:szCs w:val="32"/>
          <w:lang w:val="en-US" w:eastAsia="zh-CN"/>
        </w:rPr>
        <w:t>30</w:t>
      </w:r>
    </w:p>
    <w:p>
      <w:pPr>
        <w:pStyle w:val="13"/>
        <w:adjustRightInd w:val="0"/>
        <w:snapToGrid w:val="0"/>
        <w:spacing w:line="560" w:lineRule="exact"/>
        <w:ind w:left="0" w:leftChars="0" w:firstLine="640" w:firstLineChars="200"/>
        <w:jc w:val="left"/>
        <w:rPr>
          <w:rFonts w:hint="default" w:ascii="Times New Roman" w:hAnsi="Times New Roman" w:eastAsia="仿宋_GB2312" w:cs="黑体"/>
          <w:sz w:val="32"/>
          <w:szCs w:val="32"/>
          <w:lang w:val="en-US" w:eastAsia="zh-CN"/>
        </w:rPr>
      </w:pPr>
      <w:bookmarkStart w:id="4" w:name="_Toc13396_WPSOffice_Level1"/>
      <w:r>
        <w:rPr>
          <w:rFonts w:hint="eastAsia" w:ascii="Times New Roman" w:hAnsi="Times New Roman" w:eastAsia="黑体" w:cs="黑体"/>
          <w:sz w:val="32"/>
          <w:szCs w:val="32"/>
        </w:rPr>
        <w:t>第四部分 附件</w:t>
      </w:r>
      <w:bookmarkEnd w:id="4"/>
      <w:r>
        <w:rPr>
          <w:rFonts w:hint="eastAsia" w:eastAsia="仿宋_GB2312" w:cs="仿宋_GB2312"/>
          <w:sz w:val="32"/>
          <w:szCs w:val="32"/>
        </w:rPr>
        <w:tab/>
      </w:r>
      <w:r>
        <w:rPr>
          <w:rFonts w:hint="eastAsia" w:eastAsia="仿宋_GB2312" w:cs="仿宋_GB2312"/>
          <w:sz w:val="32"/>
          <w:szCs w:val="32"/>
          <w:lang w:val="en-US" w:eastAsia="zh-CN"/>
        </w:rPr>
        <w:t>33</w:t>
      </w:r>
    </w:p>
    <w:p>
      <w:pPr>
        <w:pStyle w:val="13"/>
        <w:adjustRightInd w:val="0"/>
        <w:snapToGrid w:val="0"/>
        <w:spacing w:line="560" w:lineRule="exact"/>
        <w:ind w:left="0" w:leftChars="0" w:firstLine="640" w:firstLineChars="200"/>
        <w:jc w:val="left"/>
        <w:rPr>
          <w:rFonts w:hint="default" w:ascii="Times New Roman" w:hAnsi="Times New Roman" w:eastAsia="仿宋_GB2312" w:cs="黑体"/>
          <w:sz w:val="32"/>
          <w:szCs w:val="32"/>
          <w:lang w:val="en-US" w:eastAsia="zh-CN"/>
        </w:rPr>
      </w:pPr>
      <w:bookmarkStart w:id="5" w:name="_Toc24073_WPSOffice_Level1"/>
      <w:r>
        <w:rPr>
          <w:rFonts w:hint="eastAsia" w:ascii="Times New Roman" w:hAnsi="Times New Roman" w:eastAsia="黑体" w:cs="黑体"/>
          <w:sz w:val="32"/>
          <w:szCs w:val="32"/>
        </w:rPr>
        <w:t>第五部分 附表</w:t>
      </w:r>
      <w:bookmarkEnd w:id="5"/>
      <w:r>
        <w:rPr>
          <w:rFonts w:hint="eastAsia" w:eastAsia="仿宋_GB2312" w:cs="仿宋_GB2312"/>
          <w:sz w:val="32"/>
          <w:szCs w:val="32"/>
        </w:rPr>
        <w:tab/>
      </w:r>
      <w:r>
        <w:rPr>
          <w:rFonts w:hint="eastAsia" w:eastAsia="仿宋_GB2312" w:cs="仿宋_GB2312"/>
          <w:sz w:val="32"/>
          <w:szCs w:val="32"/>
          <w:lang w:val="en-US" w:eastAsia="zh-CN"/>
        </w:rPr>
        <w:t>36</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一、收入支出决算总表</w:t>
      </w:r>
      <w:r>
        <w:rPr>
          <w:rFonts w:hint="eastAsia" w:eastAsia="仿宋_GB2312" w:cs="仿宋_GB2312"/>
          <w:sz w:val="32"/>
          <w:szCs w:val="32"/>
        </w:rPr>
        <w:tab/>
      </w:r>
      <w:r>
        <w:rPr>
          <w:rFonts w:hint="eastAsia" w:eastAsia="仿宋_GB2312" w:cs="仿宋_GB2312"/>
          <w:sz w:val="32"/>
          <w:szCs w:val="32"/>
          <w:lang w:val="en-US" w:eastAsia="zh-CN"/>
        </w:rPr>
        <w:t>36</w:t>
      </w:r>
    </w:p>
    <w:p>
      <w:pPr>
        <w:pStyle w:val="13"/>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二、收入决算表</w:t>
      </w:r>
      <w:r>
        <w:rPr>
          <w:rFonts w:hint="eastAsia" w:eastAsia="仿宋_GB2312" w:cs="仿宋_GB2312"/>
          <w:sz w:val="32"/>
          <w:szCs w:val="32"/>
        </w:rPr>
        <w:tab/>
      </w:r>
      <w:r>
        <w:rPr>
          <w:rFonts w:hint="eastAsia" w:eastAsia="仿宋_GB2312" w:cs="仿宋_GB2312"/>
          <w:sz w:val="32"/>
          <w:szCs w:val="32"/>
          <w:lang w:val="en-US" w:eastAsia="zh-CN"/>
        </w:rPr>
        <w:t>36</w:t>
      </w:r>
    </w:p>
    <w:p>
      <w:pPr>
        <w:pStyle w:val="13"/>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三、支出决算表</w:t>
      </w:r>
      <w:r>
        <w:rPr>
          <w:rFonts w:hint="eastAsia" w:eastAsia="仿宋_GB2312" w:cs="仿宋_GB2312"/>
          <w:sz w:val="32"/>
          <w:szCs w:val="32"/>
        </w:rPr>
        <w:tab/>
      </w:r>
      <w:r>
        <w:rPr>
          <w:rFonts w:hint="eastAsia" w:eastAsia="仿宋_GB2312" w:cs="仿宋_GB2312"/>
          <w:sz w:val="32"/>
          <w:szCs w:val="32"/>
          <w:lang w:val="en-US" w:eastAsia="zh-CN"/>
        </w:rPr>
        <w:t>36</w:t>
      </w:r>
    </w:p>
    <w:p>
      <w:pPr>
        <w:pStyle w:val="13"/>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四、财政拨款收入支出决算总表</w:t>
      </w:r>
      <w:r>
        <w:rPr>
          <w:rFonts w:hint="eastAsia" w:eastAsia="仿宋_GB2312" w:cs="仿宋_GB2312"/>
          <w:sz w:val="32"/>
          <w:szCs w:val="32"/>
        </w:rPr>
        <w:tab/>
      </w:r>
      <w:r>
        <w:rPr>
          <w:rFonts w:hint="eastAsia" w:eastAsia="仿宋_GB2312" w:cs="仿宋_GB2312"/>
          <w:sz w:val="32"/>
          <w:szCs w:val="32"/>
          <w:lang w:val="en-US" w:eastAsia="zh-CN"/>
        </w:rPr>
        <w:t>36</w:t>
      </w:r>
    </w:p>
    <w:p>
      <w:pPr>
        <w:pStyle w:val="13"/>
        <w:adjustRightInd w:val="0"/>
        <w:snapToGrid w:val="0"/>
        <w:spacing w:line="560" w:lineRule="exact"/>
        <w:ind w:left="0" w:leftChars="0" w:firstLine="640" w:firstLineChars="200"/>
        <w:jc w:val="left"/>
        <w:rPr>
          <w:rFonts w:hint="eastAsia" w:eastAsia="仿宋_GB2312" w:cs="仿宋_GB2312"/>
          <w:sz w:val="32"/>
          <w:szCs w:val="32"/>
        </w:rPr>
        <w:sectPr>
          <w:headerReference r:id="rId3" w:type="default"/>
          <w:footerReference r:id="rId4" w:type="default"/>
          <w:pgSz w:w="11907" w:h="16840"/>
          <w:pgMar w:top="1431" w:right="1423" w:bottom="1154" w:left="1591" w:header="0" w:footer="787" w:gutter="0"/>
          <w:pgNumType w:fmt="decimal" w:start="1"/>
          <w:cols w:space="720" w:num="1"/>
        </w:sectPr>
      </w:pPr>
    </w:p>
    <w:p>
      <w:pPr>
        <w:pStyle w:val="13"/>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五、财政拨款支出决算明细表</w:t>
      </w:r>
      <w:r>
        <w:rPr>
          <w:rFonts w:hint="eastAsia" w:eastAsia="仿宋_GB2312" w:cs="仿宋_GB2312"/>
          <w:sz w:val="32"/>
          <w:szCs w:val="32"/>
        </w:rPr>
        <w:tab/>
      </w:r>
      <w:r>
        <w:rPr>
          <w:rFonts w:hint="eastAsia" w:eastAsia="仿宋_GB2312" w:cs="仿宋_GB2312"/>
          <w:sz w:val="32"/>
          <w:szCs w:val="32"/>
          <w:lang w:val="en-US" w:eastAsia="zh-CN"/>
        </w:rPr>
        <w:t>36</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六、一般公共预算财政拨款支出决算表</w:t>
      </w:r>
      <w:r>
        <w:rPr>
          <w:rFonts w:hint="eastAsia" w:eastAsia="仿宋_GB2312" w:cs="仿宋_GB2312"/>
          <w:sz w:val="32"/>
          <w:szCs w:val="32"/>
        </w:rPr>
        <w:tab/>
      </w:r>
      <w:r>
        <w:rPr>
          <w:rFonts w:hint="eastAsia" w:eastAsia="仿宋_GB2312" w:cs="仿宋_GB2312"/>
          <w:sz w:val="32"/>
          <w:szCs w:val="32"/>
          <w:lang w:val="en-US" w:eastAsia="zh-CN"/>
        </w:rPr>
        <w:t>36</w:t>
      </w:r>
    </w:p>
    <w:p>
      <w:pPr>
        <w:pStyle w:val="13"/>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七、一般公共预算财政拨款支出决算明细表</w:t>
      </w:r>
      <w:r>
        <w:rPr>
          <w:rFonts w:hint="eastAsia" w:eastAsia="仿宋_GB2312" w:cs="仿宋_GB2312"/>
          <w:sz w:val="32"/>
          <w:szCs w:val="32"/>
        </w:rPr>
        <w:tab/>
      </w:r>
      <w:r>
        <w:rPr>
          <w:rFonts w:hint="eastAsia" w:eastAsia="仿宋_GB2312" w:cs="仿宋_GB2312"/>
          <w:sz w:val="32"/>
          <w:szCs w:val="32"/>
          <w:lang w:val="en-US" w:eastAsia="zh-CN"/>
        </w:rPr>
        <w:t>36</w:t>
      </w:r>
    </w:p>
    <w:p>
      <w:pPr>
        <w:pStyle w:val="13"/>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八、一般公共预算财政拨款基本支出决算明细表</w:t>
      </w:r>
      <w:r>
        <w:rPr>
          <w:rFonts w:hint="eastAsia" w:eastAsia="仿宋_GB2312" w:cs="仿宋_GB2312"/>
          <w:sz w:val="32"/>
          <w:szCs w:val="32"/>
        </w:rPr>
        <w:tab/>
      </w:r>
      <w:r>
        <w:rPr>
          <w:rFonts w:hint="eastAsia" w:eastAsia="仿宋_GB2312" w:cs="仿宋_GB2312"/>
          <w:sz w:val="32"/>
          <w:szCs w:val="32"/>
          <w:lang w:val="en-US" w:eastAsia="zh-CN"/>
        </w:rPr>
        <w:t>36</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九、一般公共预算财政拨款项目支出决算表</w:t>
      </w:r>
      <w:r>
        <w:rPr>
          <w:rFonts w:hint="eastAsia" w:eastAsia="仿宋_GB2312" w:cs="仿宋_GB2312"/>
          <w:sz w:val="32"/>
          <w:szCs w:val="32"/>
        </w:rPr>
        <w:tab/>
      </w:r>
      <w:r>
        <w:rPr>
          <w:rFonts w:hint="eastAsia" w:eastAsia="仿宋_GB2312" w:cs="仿宋_GB2312"/>
          <w:sz w:val="32"/>
          <w:szCs w:val="32"/>
          <w:lang w:val="en-US" w:eastAsia="zh-CN"/>
        </w:rPr>
        <w:t>36</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十、政府性基金预算财政拨款收入支出决算表</w:t>
      </w:r>
      <w:r>
        <w:rPr>
          <w:rFonts w:hint="eastAsia" w:eastAsia="仿宋_GB2312" w:cs="仿宋_GB2312"/>
          <w:sz w:val="32"/>
          <w:szCs w:val="32"/>
        </w:rPr>
        <w:tab/>
      </w:r>
      <w:r>
        <w:rPr>
          <w:rFonts w:hint="eastAsia" w:eastAsia="仿宋_GB2312" w:cs="仿宋_GB2312"/>
          <w:sz w:val="32"/>
          <w:szCs w:val="32"/>
          <w:lang w:val="en-US" w:eastAsia="zh-CN"/>
        </w:rPr>
        <w:t>36</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十一、国有资本经营预算财政拨款收入支出决算表</w:t>
      </w:r>
      <w:r>
        <w:rPr>
          <w:rFonts w:hint="eastAsia" w:eastAsia="仿宋_GB2312" w:cs="仿宋_GB2312"/>
          <w:sz w:val="32"/>
          <w:szCs w:val="32"/>
        </w:rPr>
        <w:tab/>
      </w:r>
      <w:r>
        <w:rPr>
          <w:rFonts w:hint="eastAsia" w:eastAsia="仿宋_GB2312" w:cs="仿宋_GB2312"/>
          <w:sz w:val="32"/>
          <w:szCs w:val="32"/>
          <w:lang w:val="en-US" w:eastAsia="zh-CN"/>
        </w:rPr>
        <w:t>36</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十二、国有资本经营预算财政拨款支出决算表</w:t>
      </w:r>
      <w:r>
        <w:rPr>
          <w:rFonts w:hint="eastAsia" w:eastAsia="仿宋_GB2312" w:cs="仿宋_GB2312"/>
          <w:sz w:val="32"/>
          <w:szCs w:val="32"/>
        </w:rPr>
        <w:tab/>
      </w:r>
      <w:r>
        <w:rPr>
          <w:rFonts w:hint="eastAsia" w:eastAsia="仿宋_GB2312" w:cs="仿宋_GB2312"/>
          <w:sz w:val="32"/>
          <w:szCs w:val="32"/>
          <w:lang w:val="en-US" w:eastAsia="zh-CN"/>
        </w:rPr>
        <w:t>36</w:t>
      </w:r>
    </w:p>
    <w:p>
      <w:pPr>
        <w:pStyle w:val="13"/>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十三、财政拨款“三公”经费支出决算表</w:t>
      </w:r>
      <w:r>
        <w:rPr>
          <w:rFonts w:hint="eastAsia" w:eastAsia="仿宋_GB2312" w:cs="仿宋_GB2312"/>
          <w:sz w:val="32"/>
          <w:szCs w:val="32"/>
        </w:rPr>
        <w:tab/>
      </w:r>
      <w:r>
        <w:rPr>
          <w:rFonts w:hint="eastAsia" w:eastAsia="仿宋_GB2312" w:cs="仿宋_GB2312"/>
          <w:sz w:val="32"/>
          <w:szCs w:val="32"/>
          <w:lang w:val="en-US" w:eastAsia="zh-CN"/>
        </w:rPr>
        <w:t>36</w:t>
      </w:r>
    </w:p>
    <w:p>
      <w:pPr>
        <w:pStyle w:val="13"/>
        <w:adjustRightInd w:val="0"/>
        <w:snapToGrid w:val="0"/>
        <w:spacing w:line="560" w:lineRule="exact"/>
        <w:ind w:left="0" w:leftChars="0" w:firstLine="640" w:firstLineChars="200"/>
        <w:jc w:val="left"/>
        <w:rPr>
          <w:rFonts w:eastAsia="仿宋_GB2312" w:cs="仿宋_GB2312"/>
          <w:sz w:val="32"/>
          <w:szCs w:val="32"/>
        </w:rPr>
      </w:pPr>
    </w:p>
    <w:p>
      <w:pPr>
        <w:widowControl/>
        <w:jc w:val="center"/>
        <w:rPr>
          <w:rFonts w:hint="eastAsia" w:eastAsia="黑体"/>
          <w:sz w:val="48"/>
          <w:szCs w:val="48"/>
        </w:rPr>
      </w:pPr>
    </w:p>
    <w:sdt>
      <w:sdtPr>
        <w:rPr>
          <w:rFonts w:ascii="宋体" w:hAnsi="宋体" w:eastAsia="宋体" w:cs="Times New Roman"/>
          <w:kern w:val="2"/>
          <w:sz w:val="21"/>
          <w:szCs w:val="24"/>
          <w:lang w:val="en-US" w:eastAsia="zh-CN" w:bidi="ar-SA"/>
        </w:rPr>
        <w:id w:val="147478756"/>
        <w15:color w:val="DBDBDB"/>
        <w:docPartObj>
          <w:docPartGallery w:val="Table of Contents"/>
          <w:docPartUnique/>
        </w:docPartObj>
      </w:sdtPr>
      <w:sdtEndPr>
        <w:rPr>
          <w:rFonts w:ascii="宋体" w:hAnsi="Courier New" w:eastAsia="宋体" w:cs="Times New Roman"/>
          <w:kern w:val="2"/>
          <w:sz w:val="21"/>
          <w:szCs w:val="21"/>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pStyle w:val="2"/>
            <w:rPr>
              <w:rFonts w:ascii="宋体" w:hAnsi="宋体" w:eastAsia="宋体" w:cs="Times New Roman"/>
              <w:kern w:val="2"/>
              <w:sz w:val="21"/>
              <w:szCs w:val="24"/>
              <w:lang w:val="en-US" w:eastAsia="zh-CN" w:bidi="ar-SA"/>
            </w:rPr>
          </w:pPr>
        </w:p>
        <w:p>
          <w:pPr>
            <w:pStyle w:val="3"/>
            <w:rPr>
              <w:rFonts w:ascii="宋体" w:hAnsi="宋体" w:eastAsia="宋体" w:cs="Times New Roman"/>
              <w:kern w:val="2"/>
              <w:sz w:val="21"/>
              <w:szCs w:val="24"/>
              <w:lang w:val="en-US" w:eastAsia="zh-CN" w:bidi="ar-SA"/>
            </w:rPr>
          </w:pPr>
        </w:p>
        <w:p>
          <w:pPr>
            <w:pStyle w:val="3"/>
            <w:rPr>
              <w:rFonts w:ascii="宋体" w:hAnsi="宋体" w:eastAsia="宋体" w:cs="Times New Roman"/>
              <w:kern w:val="2"/>
              <w:sz w:val="21"/>
              <w:szCs w:val="24"/>
              <w:lang w:val="en-US" w:eastAsia="zh-CN" w:bidi="ar-SA"/>
            </w:rPr>
          </w:pPr>
        </w:p>
        <w:p>
          <w:pPr>
            <w:pStyle w:val="3"/>
            <w:rPr>
              <w:rFonts w:ascii="宋体" w:hAnsi="宋体" w:eastAsia="宋体" w:cs="Times New Roman"/>
              <w:kern w:val="2"/>
              <w:sz w:val="21"/>
              <w:szCs w:val="24"/>
              <w:lang w:val="en-US" w:eastAsia="zh-CN" w:bidi="ar-SA"/>
            </w:rPr>
          </w:pPr>
        </w:p>
        <w:p>
          <w:pPr>
            <w:pStyle w:val="3"/>
            <w:rPr>
              <w:rFonts w:ascii="宋体" w:hAnsi="宋体" w:eastAsia="宋体" w:cs="Times New Roman"/>
              <w:kern w:val="2"/>
              <w:sz w:val="21"/>
              <w:szCs w:val="24"/>
              <w:lang w:val="en-US" w:eastAsia="zh-CN" w:bidi="ar-SA"/>
            </w:rPr>
          </w:pPr>
        </w:p>
        <w:p>
          <w:pPr>
            <w:pStyle w:val="3"/>
            <w:rPr>
              <w:rFonts w:ascii="宋体" w:hAnsi="宋体" w:eastAsia="宋体" w:cs="Times New Roman"/>
              <w:kern w:val="2"/>
              <w:sz w:val="21"/>
              <w:szCs w:val="24"/>
              <w:lang w:val="en-US" w:eastAsia="zh-CN" w:bidi="ar-SA"/>
            </w:rPr>
          </w:pPr>
        </w:p>
        <w:p>
          <w:pPr>
            <w:pStyle w:val="3"/>
            <w:rPr>
              <w:rFonts w:ascii="宋体" w:hAnsi="宋体" w:eastAsia="宋体" w:cs="Times New Roman"/>
              <w:kern w:val="2"/>
              <w:sz w:val="21"/>
              <w:szCs w:val="24"/>
              <w:lang w:val="en-US" w:eastAsia="zh-CN" w:bidi="ar-SA"/>
            </w:rPr>
          </w:pPr>
        </w:p>
        <w:p>
          <w:pPr>
            <w:pStyle w:val="3"/>
            <w:rPr>
              <w:rFonts w:ascii="宋体" w:hAnsi="宋体" w:eastAsia="宋体" w:cs="Times New Roman"/>
              <w:kern w:val="2"/>
              <w:sz w:val="21"/>
              <w:szCs w:val="24"/>
              <w:lang w:val="en-US" w:eastAsia="zh-CN" w:bidi="ar-SA"/>
            </w:rPr>
          </w:pPr>
        </w:p>
        <w:p>
          <w:pPr>
            <w:pStyle w:val="3"/>
            <w:rPr>
              <w:rFonts w:ascii="宋体" w:hAnsi="宋体" w:eastAsia="宋体" w:cs="Times New Roman"/>
              <w:kern w:val="2"/>
              <w:sz w:val="21"/>
              <w:szCs w:val="24"/>
              <w:lang w:val="en-US" w:eastAsia="zh-CN" w:bidi="ar-SA"/>
            </w:rPr>
          </w:pPr>
        </w:p>
        <w:p>
          <w:pPr>
            <w:pStyle w:val="3"/>
            <w:rPr>
              <w:rFonts w:ascii="宋体" w:hAnsi="宋体" w:eastAsia="宋体" w:cs="Times New Roman"/>
              <w:kern w:val="2"/>
              <w:sz w:val="21"/>
              <w:szCs w:val="24"/>
              <w:lang w:val="en-US" w:eastAsia="zh-CN" w:bidi="ar-SA"/>
            </w:rPr>
          </w:pPr>
        </w:p>
        <w:p>
          <w:pPr>
            <w:pStyle w:val="3"/>
            <w:rPr>
              <w:rFonts w:ascii="宋体" w:hAnsi="宋体" w:eastAsia="宋体" w:cs="Times New Roman"/>
              <w:kern w:val="2"/>
              <w:sz w:val="21"/>
              <w:szCs w:val="24"/>
              <w:lang w:val="en-US" w:eastAsia="zh-CN" w:bidi="ar-SA"/>
            </w:rPr>
          </w:pPr>
        </w:p>
        <w:p>
          <w:pPr>
            <w:pStyle w:val="3"/>
            <w:rPr>
              <w:rFonts w:ascii="宋体" w:hAnsi="宋体" w:eastAsia="宋体" w:cs="Times New Roman"/>
              <w:kern w:val="2"/>
              <w:sz w:val="21"/>
              <w:szCs w:val="24"/>
              <w:lang w:val="en-US" w:eastAsia="zh-CN" w:bidi="ar-SA"/>
            </w:rPr>
          </w:pPr>
        </w:p>
        <w:p>
          <w:pPr>
            <w:pStyle w:val="3"/>
            <w:rPr>
              <w:rFonts w:ascii="宋体" w:hAnsi="宋体" w:eastAsia="宋体" w:cs="Times New Roman"/>
              <w:kern w:val="2"/>
              <w:sz w:val="21"/>
              <w:szCs w:val="24"/>
              <w:lang w:val="en-US" w:eastAsia="zh-CN" w:bidi="ar-SA"/>
            </w:rPr>
          </w:pPr>
        </w:p>
        <w:p>
          <w:pPr>
            <w:pStyle w:val="3"/>
            <w:rPr>
              <w:rFonts w:ascii="宋体" w:hAnsi="宋体" w:eastAsia="宋体" w:cs="Times New Roman"/>
              <w:kern w:val="2"/>
              <w:sz w:val="21"/>
              <w:szCs w:val="24"/>
              <w:lang w:val="en-US" w:eastAsia="zh-CN" w:bidi="ar-SA"/>
            </w:rPr>
          </w:pPr>
        </w:p>
        <w:p>
          <w:pPr>
            <w:pStyle w:val="12"/>
            <w:tabs>
              <w:tab w:val="right" w:leader="dot" w:pos="8893"/>
              <w:tab w:val="clear" w:pos="8296"/>
            </w:tabs>
          </w:pPr>
          <w:bookmarkStart w:id="6" w:name="_Toc16273"/>
          <w:bookmarkStart w:id="7" w:name="_Toc15377196"/>
          <w:bookmarkStart w:id="8" w:name="_Toc15396599"/>
        </w:p>
      </w:sdtContent>
    </w:sdt>
    <w:p>
      <w:pPr>
        <w:pStyle w:val="5"/>
        <w:jc w:val="center"/>
        <w:rPr>
          <w:rFonts w:hint="eastAsia" w:eastAsia="方正小标宋简体" w:cs="方正小标宋简体"/>
          <w:b w:val="0"/>
        </w:rPr>
        <w:sectPr>
          <w:footerReference r:id="rId5" w:type="default"/>
          <w:pgSz w:w="11907" w:h="16840"/>
          <w:pgMar w:top="1431" w:right="1423" w:bottom="1154" w:left="1591" w:header="0" w:footer="787" w:gutter="0"/>
          <w:pgNumType w:fmt="decimal" w:start="1"/>
          <w:cols w:space="720" w:num="1"/>
        </w:sectPr>
      </w:pPr>
    </w:p>
    <w:p>
      <w:pPr>
        <w:pStyle w:val="5"/>
        <w:jc w:val="center"/>
        <w:rPr>
          <w:rStyle w:val="20"/>
          <w:rFonts w:eastAsia="方正小标宋简体" w:cs="方正小标宋简体"/>
          <w:b/>
          <w:bCs w:val="0"/>
        </w:rPr>
      </w:pPr>
      <w:r>
        <w:rPr>
          <w:rFonts w:hint="eastAsia" w:eastAsia="方正小标宋简体" w:cs="方正小标宋简体"/>
          <w:b w:val="0"/>
        </w:rPr>
        <w:t xml:space="preserve">第一部分  </w:t>
      </w:r>
      <w:r>
        <w:rPr>
          <w:rStyle w:val="20"/>
          <w:rFonts w:hint="eastAsia" w:eastAsia="方正小标宋简体" w:cs="方正小标宋简体"/>
          <w:b w:val="0"/>
          <w:bCs w:val="0"/>
        </w:rPr>
        <w:t>部门概况</w:t>
      </w:r>
      <w:bookmarkEnd w:id="6"/>
      <w:bookmarkEnd w:id="7"/>
      <w:bookmarkEnd w:id="8"/>
    </w:p>
    <w:p>
      <w:pPr>
        <w:widowControl/>
        <w:jc w:val="left"/>
        <w:rPr>
          <w:rFonts w:eastAsia="黑体"/>
          <w:sz w:val="32"/>
          <w:szCs w:val="32"/>
        </w:rPr>
      </w:pPr>
    </w:p>
    <w:p>
      <w:pPr>
        <w:pStyle w:val="6"/>
        <w:numPr>
          <w:ilvl w:val="0"/>
          <w:numId w:val="2"/>
        </w:numPr>
        <w:rPr>
          <w:rFonts w:hint="eastAsia" w:ascii="Times New Roman" w:hAnsi="Times New Roman" w:eastAsia="黑体"/>
          <w:b w:val="0"/>
        </w:rPr>
      </w:pPr>
      <w:bookmarkStart w:id="9" w:name="_Toc9352"/>
      <w:r>
        <w:rPr>
          <w:rFonts w:hint="eastAsia" w:ascii="Times New Roman" w:hAnsi="Times New Roman" w:eastAsia="黑体"/>
          <w:b w:val="0"/>
        </w:rPr>
        <w:t>部门职责</w:t>
      </w:r>
      <w:bookmarkEnd w:id="9"/>
    </w:p>
    <w:p>
      <w:pPr>
        <w:spacing w:before="3" w:line="295" w:lineRule="auto"/>
        <w:ind w:left="12" w:right="47" w:firstLine="648"/>
        <w:rPr>
          <w:rFonts w:ascii="仿宋" w:hAnsi="仿宋" w:eastAsia="仿宋" w:cs="仿宋"/>
          <w:sz w:val="31"/>
          <w:szCs w:val="31"/>
        </w:rPr>
      </w:pPr>
      <w:r>
        <w:rPr>
          <w:rFonts w:ascii="仿宋" w:hAnsi="仿宋" w:eastAsia="仿宋" w:cs="仿宋"/>
          <w:spacing w:val="10"/>
          <w:sz w:val="31"/>
          <w:szCs w:val="31"/>
        </w:rPr>
        <w:t>1.拟订文化、广电、体育和旅游政策措施，拟订全州网 络</w:t>
      </w:r>
      <w:r>
        <w:rPr>
          <w:rFonts w:ascii="仿宋" w:hAnsi="仿宋" w:eastAsia="仿宋" w:cs="仿宋"/>
          <w:spacing w:val="7"/>
          <w:sz w:val="31"/>
          <w:szCs w:val="31"/>
        </w:rPr>
        <w:t xml:space="preserve"> </w:t>
      </w:r>
      <w:r>
        <w:rPr>
          <w:rFonts w:ascii="仿宋" w:hAnsi="仿宋" w:eastAsia="仿宋" w:cs="仿宋"/>
          <w:spacing w:val="-3"/>
          <w:sz w:val="31"/>
          <w:szCs w:val="31"/>
        </w:rPr>
        <w:t>视听节目服务管理的政策措施。起草文化、广电、体育和旅游自</w:t>
      </w:r>
      <w:r>
        <w:rPr>
          <w:rFonts w:ascii="仿宋" w:hAnsi="仿宋" w:eastAsia="仿宋" w:cs="仿宋"/>
          <w:spacing w:val="5"/>
          <w:sz w:val="31"/>
          <w:szCs w:val="31"/>
        </w:rPr>
        <w:t>治法规、规范性文件草案，负责本部门依法行政工作。</w:t>
      </w:r>
    </w:p>
    <w:p>
      <w:pPr>
        <w:spacing w:before="190" w:line="296" w:lineRule="auto"/>
        <w:ind w:left="4" w:right="47" w:firstLine="648"/>
        <w:rPr>
          <w:rFonts w:ascii="仿宋" w:hAnsi="仿宋" w:eastAsia="仿宋" w:cs="仿宋"/>
          <w:sz w:val="31"/>
          <w:szCs w:val="31"/>
        </w:rPr>
      </w:pPr>
      <w:r>
        <w:rPr>
          <w:rFonts w:ascii="仿宋" w:hAnsi="仿宋" w:eastAsia="仿宋" w:cs="仿宋"/>
          <w:spacing w:val="10"/>
          <w:sz w:val="31"/>
          <w:szCs w:val="31"/>
        </w:rPr>
        <w:t>2.加强广播电视阵地建设，把握正确的舆论导向和创作 导</w:t>
      </w:r>
      <w:r>
        <w:rPr>
          <w:rFonts w:ascii="仿宋" w:hAnsi="仿宋" w:eastAsia="仿宋" w:cs="仿宋"/>
          <w:spacing w:val="14"/>
          <w:sz w:val="31"/>
          <w:szCs w:val="31"/>
        </w:rPr>
        <w:t xml:space="preserve"> </w:t>
      </w:r>
      <w:r>
        <w:rPr>
          <w:rFonts w:ascii="仿宋" w:hAnsi="仿宋" w:eastAsia="仿宋" w:cs="仿宋"/>
          <w:sz w:val="31"/>
          <w:szCs w:val="31"/>
        </w:rPr>
        <w:t>向。负责利用广播电视加强党和政府的声音传播力，抢占舆论 高</w:t>
      </w:r>
      <w:r>
        <w:rPr>
          <w:rFonts w:ascii="仿宋" w:hAnsi="仿宋" w:eastAsia="仿宋" w:cs="仿宋"/>
          <w:spacing w:val="3"/>
          <w:sz w:val="31"/>
          <w:szCs w:val="31"/>
        </w:rPr>
        <w:t xml:space="preserve"> </w:t>
      </w:r>
      <w:r>
        <w:rPr>
          <w:rFonts w:ascii="仿宋" w:hAnsi="仿宋" w:eastAsia="仿宋" w:cs="仿宋"/>
          <w:spacing w:val="5"/>
          <w:sz w:val="31"/>
          <w:szCs w:val="31"/>
        </w:rPr>
        <w:t>地，强化舆论反制，巩固意识形态阵地。</w:t>
      </w:r>
    </w:p>
    <w:p>
      <w:pPr>
        <w:spacing w:before="187" w:line="306" w:lineRule="auto"/>
        <w:ind w:left="6" w:right="47" w:firstLine="660"/>
        <w:rPr>
          <w:rFonts w:ascii="仿宋" w:hAnsi="仿宋" w:eastAsia="仿宋" w:cs="仿宋"/>
          <w:sz w:val="31"/>
          <w:szCs w:val="31"/>
        </w:rPr>
      </w:pPr>
      <w:r>
        <w:rPr>
          <w:rFonts w:ascii="仿宋" w:hAnsi="仿宋" w:eastAsia="仿宋" w:cs="仿宋"/>
          <w:spacing w:val="10"/>
          <w:sz w:val="31"/>
          <w:szCs w:val="31"/>
        </w:rPr>
        <w:t>3.推进文化、广电、体育、旅游体制机制改革。组织推动</w:t>
      </w:r>
      <w:r>
        <w:rPr>
          <w:rFonts w:ascii="仿宋" w:hAnsi="仿宋" w:eastAsia="仿宋" w:cs="仿宋"/>
          <w:spacing w:val="2"/>
          <w:sz w:val="31"/>
          <w:szCs w:val="31"/>
        </w:rPr>
        <w:t xml:space="preserve"> </w:t>
      </w:r>
      <w:r>
        <w:rPr>
          <w:rFonts w:ascii="仿宋" w:hAnsi="仿宋" w:eastAsia="仿宋" w:cs="仿宋"/>
          <w:spacing w:val="-5"/>
          <w:sz w:val="31"/>
          <w:szCs w:val="31"/>
        </w:rPr>
        <w:t>全州文化、广电、体育事业和旅游业发展，拟订发展规划并组</w:t>
      </w:r>
      <w:r>
        <w:rPr>
          <w:rFonts w:ascii="仿宋" w:hAnsi="仿宋" w:eastAsia="仿宋" w:cs="仿宋"/>
          <w:spacing w:val="-6"/>
          <w:sz w:val="31"/>
          <w:szCs w:val="31"/>
        </w:rPr>
        <w:t>织</w:t>
      </w:r>
      <w:r>
        <w:rPr>
          <w:rFonts w:ascii="仿宋" w:hAnsi="仿宋" w:eastAsia="仿宋" w:cs="仿宋"/>
          <w:spacing w:val="5"/>
          <w:sz w:val="31"/>
          <w:szCs w:val="31"/>
        </w:rPr>
        <w:t>实施。推进文化、广电、体育和旅游产业融合发展，促进文化、</w:t>
      </w:r>
      <w:r>
        <w:rPr>
          <w:rFonts w:ascii="仿宋" w:hAnsi="仿宋" w:eastAsia="仿宋" w:cs="仿宋"/>
          <w:spacing w:val="17"/>
          <w:sz w:val="31"/>
          <w:szCs w:val="31"/>
        </w:rPr>
        <w:t xml:space="preserve"> </w:t>
      </w:r>
      <w:r>
        <w:rPr>
          <w:rFonts w:ascii="仿宋" w:hAnsi="仿宋" w:eastAsia="仿宋" w:cs="仿宋"/>
          <w:spacing w:val="5"/>
          <w:sz w:val="31"/>
          <w:szCs w:val="31"/>
        </w:rPr>
        <w:t>广电、体育和旅游与相关产业融合发展。</w:t>
      </w:r>
    </w:p>
    <w:p>
      <w:pPr>
        <w:spacing w:before="186" w:line="277" w:lineRule="auto"/>
        <w:ind w:left="21" w:right="47" w:firstLine="631"/>
        <w:rPr>
          <w:rFonts w:ascii="仿宋" w:hAnsi="仿宋" w:eastAsia="仿宋" w:cs="仿宋"/>
          <w:sz w:val="31"/>
          <w:szCs w:val="31"/>
        </w:rPr>
      </w:pPr>
      <w:r>
        <w:rPr>
          <w:rFonts w:ascii="仿宋" w:hAnsi="仿宋" w:eastAsia="仿宋" w:cs="仿宋"/>
          <w:spacing w:val="10"/>
          <w:sz w:val="31"/>
          <w:szCs w:val="31"/>
        </w:rPr>
        <w:t>4.组织实施全州文化、广电、体育和旅游资源的普查、 保</w:t>
      </w:r>
      <w:r>
        <w:rPr>
          <w:rFonts w:ascii="仿宋" w:hAnsi="仿宋" w:eastAsia="仿宋" w:cs="仿宋"/>
          <w:spacing w:val="16"/>
          <w:sz w:val="31"/>
          <w:szCs w:val="31"/>
        </w:rPr>
        <w:t xml:space="preserve"> </w:t>
      </w:r>
      <w:r>
        <w:rPr>
          <w:rFonts w:ascii="仿宋" w:hAnsi="仿宋" w:eastAsia="仿宋" w:cs="仿宋"/>
          <w:spacing w:val="-1"/>
          <w:sz w:val="31"/>
          <w:szCs w:val="31"/>
        </w:rPr>
        <w:t>护与利用。管理全州性重大文化、广电、体育和旅游活动，组织</w:t>
      </w:r>
    </w:p>
    <w:p>
      <w:pPr>
        <w:spacing w:before="101" w:line="223" w:lineRule="auto"/>
        <w:rPr>
          <w:rFonts w:ascii="仿宋" w:hAnsi="仿宋" w:eastAsia="仿宋" w:cs="仿宋"/>
          <w:spacing w:val="5"/>
          <w:sz w:val="31"/>
          <w:szCs w:val="31"/>
        </w:rPr>
      </w:pPr>
      <w:r>
        <w:rPr>
          <w:rFonts w:ascii="仿宋" w:hAnsi="仿宋" w:eastAsia="仿宋" w:cs="仿宋"/>
          <w:spacing w:val="5"/>
          <w:sz w:val="31"/>
          <w:szCs w:val="31"/>
        </w:rPr>
        <w:t>全州重点文化、广电、体育和旅游设施建设。</w:t>
      </w:r>
    </w:p>
    <w:p>
      <w:pPr>
        <w:pStyle w:val="2"/>
      </w:pPr>
    </w:p>
    <w:p>
      <w:pPr>
        <w:spacing w:before="185" w:line="311" w:lineRule="auto"/>
        <w:ind w:left="1" w:right="95" w:firstLine="650"/>
        <w:rPr>
          <w:rFonts w:ascii="仿宋" w:hAnsi="仿宋" w:eastAsia="仿宋" w:cs="仿宋"/>
          <w:sz w:val="31"/>
          <w:szCs w:val="31"/>
        </w:rPr>
      </w:pPr>
      <w:r>
        <w:rPr>
          <w:rFonts w:ascii="仿宋" w:hAnsi="仿宋" w:eastAsia="仿宋" w:cs="仿宋"/>
          <w:sz w:val="31"/>
          <w:szCs w:val="31"/>
        </w:rPr>
        <w:t>5.组织实施全州文化、广电、体育和旅游整体形象推广，</w:t>
      </w:r>
      <w:r>
        <w:rPr>
          <w:rFonts w:ascii="仿宋" w:hAnsi="仿宋" w:eastAsia="仿宋" w:cs="仿宋"/>
          <w:spacing w:val="-29"/>
          <w:sz w:val="31"/>
          <w:szCs w:val="31"/>
        </w:rPr>
        <w:t xml:space="preserve"> </w:t>
      </w:r>
      <w:r>
        <w:rPr>
          <w:rFonts w:ascii="仿宋" w:hAnsi="仿宋" w:eastAsia="仿宋" w:cs="仿宋"/>
          <w:sz w:val="31"/>
          <w:szCs w:val="31"/>
        </w:rPr>
        <w:t>促 进文化、广电、体育和旅游产业市场推广和对外合作交流。制 定</w:t>
      </w:r>
      <w:r>
        <w:rPr>
          <w:rFonts w:ascii="仿宋" w:hAnsi="仿宋" w:eastAsia="仿宋" w:cs="仿宋"/>
          <w:spacing w:val="1"/>
          <w:sz w:val="31"/>
          <w:szCs w:val="31"/>
        </w:rPr>
        <w:t xml:space="preserve"> </w:t>
      </w:r>
      <w:r>
        <w:rPr>
          <w:rFonts w:ascii="仿宋" w:hAnsi="仿宋" w:eastAsia="仿宋" w:cs="仿宋"/>
          <w:sz w:val="31"/>
          <w:szCs w:val="31"/>
        </w:rPr>
        <w:t>文化、广电、体育和旅游市场开发战略并组织实施。负责管理文化、广电、体育和旅游国内外交流合作与宣传推广工作，组织大</w:t>
      </w:r>
      <w:r>
        <w:rPr>
          <w:rFonts w:ascii="仿宋" w:hAnsi="仿宋" w:eastAsia="仿宋" w:cs="仿宋"/>
          <w:spacing w:val="5"/>
          <w:sz w:val="31"/>
          <w:szCs w:val="31"/>
        </w:rPr>
        <w:t>型文化、广电、体育和旅游对外及对港澳台交流活动。</w:t>
      </w:r>
    </w:p>
    <w:p>
      <w:pPr>
        <w:spacing w:before="189" w:line="306" w:lineRule="auto"/>
        <w:ind w:right="90" w:firstLine="650"/>
        <w:rPr>
          <w:rFonts w:ascii="仿宋" w:hAnsi="仿宋" w:eastAsia="仿宋" w:cs="仿宋"/>
          <w:sz w:val="31"/>
          <w:szCs w:val="31"/>
        </w:rPr>
      </w:pPr>
      <w:r>
        <w:rPr>
          <w:rFonts w:ascii="仿宋" w:hAnsi="仿宋" w:eastAsia="仿宋" w:cs="仿宋"/>
          <w:spacing w:val="29"/>
          <w:sz w:val="31"/>
          <w:szCs w:val="31"/>
        </w:rPr>
        <w:t>6.负责对全州各类广播电视机构进行业务指导和行业监</w:t>
      </w:r>
      <w:r>
        <w:rPr>
          <w:rFonts w:ascii="仿宋" w:hAnsi="仿宋" w:eastAsia="仿宋" w:cs="仿宋"/>
          <w:spacing w:val="5"/>
          <w:sz w:val="31"/>
          <w:szCs w:val="31"/>
        </w:rPr>
        <w:t>管，会同有关部门对网络视听节目服务机构进行管理。组织实施</w:t>
      </w:r>
      <w:r>
        <w:rPr>
          <w:rFonts w:ascii="仿宋" w:hAnsi="仿宋" w:eastAsia="仿宋" w:cs="仿宋"/>
          <w:spacing w:val="6"/>
          <w:sz w:val="31"/>
          <w:szCs w:val="31"/>
        </w:rPr>
        <w:t>广播电视节目评价工作，监督管理、审查广播电视</w:t>
      </w:r>
      <w:r>
        <w:rPr>
          <w:rFonts w:ascii="仿宋" w:hAnsi="仿宋" w:eastAsia="仿宋" w:cs="仿宋"/>
          <w:spacing w:val="5"/>
          <w:sz w:val="31"/>
          <w:szCs w:val="31"/>
        </w:rPr>
        <w:t>和网络视听节目的内容和质量，指导、监管广播电视广告播放。</w:t>
      </w:r>
    </w:p>
    <w:p>
      <w:pPr>
        <w:spacing w:before="183" w:line="306" w:lineRule="auto"/>
        <w:ind w:left="2" w:right="95" w:firstLine="647"/>
        <w:rPr>
          <w:rFonts w:ascii="仿宋" w:hAnsi="仿宋" w:eastAsia="仿宋" w:cs="仿宋"/>
          <w:sz w:val="31"/>
          <w:szCs w:val="31"/>
        </w:rPr>
      </w:pPr>
      <w:r>
        <w:rPr>
          <w:rFonts w:ascii="仿宋" w:hAnsi="仿宋" w:eastAsia="仿宋" w:cs="仿宋"/>
          <w:spacing w:val="8"/>
          <w:sz w:val="31"/>
          <w:szCs w:val="31"/>
        </w:rPr>
        <w:t>7.负责指导推进电视剧行业发展和创作生产。推进广播</w:t>
      </w:r>
      <w:r>
        <w:rPr>
          <w:rFonts w:ascii="仿宋" w:hAnsi="仿宋" w:eastAsia="仿宋" w:cs="仿宋"/>
          <w:spacing w:val="74"/>
          <w:sz w:val="31"/>
          <w:szCs w:val="31"/>
        </w:rPr>
        <w:t xml:space="preserve"> </w:t>
      </w:r>
      <w:r>
        <w:rPr>
          <w:rFonts w:ascii="仿宋" w:hAnsi="仿宋" w:eastAsia="仿宋" w:cs="仿宋"/>
          <w:spacing w:val="8"/>
          <w:sz w:val="31"/>
          <w:szCs w:val="31"/>
        </w:rPr>
        <w:t>电</w:t>
      </w:r>
      <w:r>
        <w:rPr>
          <w:rFonts w:ascii="仿宋" w:hAnsi="仿宋" w:eastAsia="仿宋" w:cs="仿宋"/>
          <w:sz w:val="31"/>
          <w:szCs w:val="31"/>
        </w:rPr>
        <w:t xml:space="preserve"> </w:t>
      </w:r>
      <w:r>
        <w:rPr>
          <w:rFonts w:ascii="仿宋" w:hAnsi="仿宋" w:eastAsia="仿宋" w:cs="仿宋"/>
          <w:spacing w:val="-2"/>
          <w:sz w:val="31"/>
          <w:szCs w:val="31"/>
        </w:rPr>
        <w:t>视与新媒体技术新业态融合发展、推进广电网与电信网、互联</w:t>
      </w:r>
      <w:r>
        <w:rPr>
          <w:rFonts w:ascii="仿宋" w:hAnsi="仿宋" w:eastAsia="仿宋" w:cs="仿宋"/>
          <w:spacing w:val="56"/>
          <w:sz w:val="31"/>
          <w:szCs w:val="31"/>
        </w:rPr>
        <w:t xml:space="preserve"> </w:t>
      </w:r>
      <w:r>
        <w:rPr>
          <w:rFonts w:ascii="仿宋" w:hAnsi="仿宋" w:eastAsia="仿宋" w:cs="仿宋"/>
          <w:spacing w:val="-2"/>
          <w:sz w:val="31"/>
          <w:szCs w:val="31"/>
        </w:rPr>
        <w:t>网</w:t>
      </w:r>
      <w:r>
        <w:rPr>
          <w:rFonts w:ascii="仿宋" w:hAnsi="仿宋" w:eastAsia="仿宋" w:cs="仿宋"/>
          <w:sz w:val="31"/>
          <w:szCs w:val="31"/>
        </w:rPr>
        <w:t xml:space="preserve"> 三网融合。负责广播电视节目传输覆盖、检测和安全播出的监 督 </w:t>
      </w:r>
      <w:r>
        <w:rPr>
          <w:rFonts w:ascii="仿宋" w:hAnsi="仿宋" w:eastAsia="仿宋" w:cs="仿宋"/>
          <w:spacing w:val="5"/>
          <w:sz w:val="31"/>
          <w:szCs w:val="31"/>
        </w:rPr>
        <w:t>管理，指导、推进应急广播体系建设。</w:t>
      </w:r>
    </w:p>
    <w:p>
      <w:pPr>
        <w:spacing w:before="187" w:line="305" w:lineRule="auto"/>
        <w:ind w:left="1" w:right="90" w:firstLine="648"/>
        <w:rPr>
          <w:rFonts w:ascii="仿宋" w:hAnsi="仿宋" w:eastAsia="仿宋" w:cs="仿宋"/>
          <w:sz w:val="31"/>
          <w:szCs w:val="31"/>
        </w:rPr>
      </w:pPr>
      <w:r>
        <w:rPr>
          <w:rFonts w:ascii="仿宋" w:hAnsi="仿宋" w:eastAsia="仿宋" w:cs="仿宋"/>
          <w:sz w:val="31"/>
          <w:szCs w:val="31"/>
        </w:rPr>
        <w:t>8.弘扬优秀传统文化，推动阿坝本地特色文化传承发展。</w:t>
      </w:r>
      <w:r>
        <w:rPr>
          <w:rFonts w:ascii="仿宋" w:hAnsi="仿宋" w:eastAsia="仿宋" w:cs="仿宋"/>
          <w:spacing w:val="-28"/>
          <w:sz w:val="31"/>
          <w:szCs w:val="31"/>
        </w:rPr>
        <w:t xml:space="preserve"> </w:t>
      </w:r>
      <w:r>
        <w:rPr>
          <w:rFonts w:ascii="仿宋" w:hAnsi="仿宋" w:eastAsia="仿宋" w:cs="仿宋"/>
          <w:sz w:val="31"/>
          <w:szCs w:val="31"/>
        </w:rPr>
        <w:t xml:space="preserve">指 </w:t>
      </w:r>
      <w:r>
        <w:rPr>
          <w:rFonts w:ascii="仿宋" w:hAnsi="仿宋" w:eastAsia="仿宋" w:cs="仿宋"/>
          <w:spacing w:val="17"/>
          <w:sz w:val="31"/>
          <w:szCs w:val="31"/>
        </w:rPr>
        <w:t>导管理文艺事业，把握正确的创作导向，推动文化艺术创作生</w:t>
      </w:r>
      <w:r>
        <w:rPr>
          <w:rFonts w:ascii="仿宋" w:hAnsi="仿宋" w:eastAsia="仿宋" w:cs="仿宋"/>
          <w:spacing w:val="6"/>
          <w:sz w:val="31"/>
          <w:szCs w:val="31"/>
        </w:rPr>
        <w:t>产，扶持体现社会主义核心价值观、具有导向</w:t>
      </w:r>
      <w:r>
        <w:rPr>
          <w:rFonts w:ascii="仿宋" w:hAnsi="仿宋" w:eastAsia="仿宋" w:cs="仿宋"/>
          <w:spacing w:val="5"/>
          <w:sz w:val="31"/>
          <w:szCs w:val="31"/>
        </w:rPr>
        <w:t>性代表性示范性的文化艺术作品，推动各门类艺术、各艺术品种发展。</w:t>
      </w:r>
    </w:p>
    <w:p>
      <w:pPr>
        <w:spacing w:before="190" w:line="306" w:lineRule="auto"/>
        <w:ind w:left="6" w:firstLine="643"/>
        <w:rPr>
          <w:rFonts w:ascii="仿宋" w:hAnsi="仿宋" w:eastAsia="仿宋" w:cs="仿宋"/>
          <w:sz w:val="31"/>
          <w:szCs w:val="31"/>
        </w:rPr>
      </w:pPr>
      <w:r>
        <w:rPr>
          <w:rFonts w:ascii="仿宋" w:hAnsi="仿宋" w:eastAsia="仿宋" w:cs="仿宋"/>
          <w:spacing w:val="10"/>
          <w:sz w:val="31"/>
          <w:szCs w:val="31"/>
        </w:rPr>
        <w:t>9.负责公共文化、广电和体育事业发展，推进全州公共文</w:t>
      </w:r>
      <w:r>
        <w:rPr>
          <w:rFonts w:ascii="仿宋" w:hAnsi="仿宋" w:eastAsia="仿宋" w:cs="仿宋"/>
          <w:spacing w:val="12"/>
          <w:sz w:val="31"/>
          <w:szCs w:val="31"/>
        </w:rPr>
        <w:t xml:space="preserve"> </w:t>
      </w:r>
      <w:r>
        <w:rPr>
          <w:rFonts w:ascii="仿宋" w:hAnsi="仿宋" w:eastAsia="仿宋" w:cs="仿宋"/>
          <w:sz w:val="31"/>
          <w:szCs w:val="31"/>
        </w:rPr>
        <w:t>化、广电、体育服务体系建设和旅游公共服务建设，深入</w:t>
      </w:r>
      <w:r>
        <w:rPr>
          <w:rFonts w:ascii="仿宋" w:hAnsi="仿宋" w:eastAsia="仿宋" w:cs="仿宋"/>
          <w:spacing w:val="-1"/>
          <w:sz w:val="31"/>
          <w:szCs w:val="31"/>
        </w:rPr>
        <w:t>实施 惠</w:t>
      </w:r>
      <w:r>
        <w:rPr>
          <w:rFonts w:ascii="仿宋" w:hAnsi="仿宋" w:eastAsia="仿宋" w:cs="仿宋"/>
          <w:sz w:val="31"/>
          <w:szCs w:val="31"/>
        </w:rPr>
        <w:t xml:space="preserve"> </w:t>
      </w:r>
      <w:r>
        <w:rPr>
          <w:rFonts w:ascii="仿宋" w:hAnsi="仿宋" w:eastAsia="仿宋" w:cs="仿宋"/>
          <w:spacing w:val="-7"/>
          <w:sz w:val="31"/>
          <w:szCs w:val="31"/>
        </w:rPr>
        <w:t>民工程，统筹推进文化、广电、体育和旅游基本</w:t>
      </w:r>
      <w:r>
        <w:rPr>
          <w:rFonts w:ascii="仿宋" w:hAnsi="仿宋" w:eastAsia="仿宋" w:cs="仿宋"/>
          <w:spacing w:val="-8"/>
          <w:sz w:val="31"/>
          <w:szCs w:val="31"/>
        </w:rPr>
        <w:t>公共服务标准化、</w:t>
      </w:r>
      <w:r>
        <w:rPr>
          <w:rFonts w:ascii="仿宋" w:hAnsi="仿宋" w:eastAsia="仿宋" w:cs="仿宋"/>
          <w:sz w:val="31"/>
          <w:szCs w:val="31"/>
        </w:rPr>
        <w:t>均等化。</w:t>
      </w:r>
    </w:p>
    <w:p>
      <w:pPr>
        <w:spacing w:before="101" w:line="296" w:lineRule="auto"/>
        <w:ind w:left="7" w:right="13" w:firstLine="654"/>
        <w:rPr>
          <w:rFonts w:ascii="仿宋" w:hAnsi="仿宋" w:eastAsia="仿宋" w:cs="仿宋"/>
          <w:sz w:val="31"/>
          <w:szCs w:val="31"/>
        </w:rPr>
      </w:pPr>
      <w:r>
        <w:rPr>
          <w:rFonts w:ascii="仿宋" w:hAnsi="仿宋" w:eastAsia="仿宋" w:cs="仿宋"/>
          <w:spacing w:val="-4"/>
          <w:sz w:val="31"/>
          <w:szCs w:val="31"/>
        </w:rPr>
        <w:t>10.负责文化、广电、体育和旅游行业信息化、标准化建设，</w:t>
      </w:r>
      <w:r>
        <w:rPr>
          <w:rFonts w:ascii="仿宋" w:hAnsi="仿宋" w:eastAsia="仿宋" w:cs="仿宋"/>
          <w:spacing w:val="9"/>
          <w:sz w:val="31"/>
          <w:szCs w:val="31"/>
        </w:rPr>
        <w:t xml:space="preserve"> </w:t>
      </w:r>
      <w:r>
        <w:rPr>
          <w:rFonts w:ascii="仿宋" w:hAnsi="仿宋" w:eastAsia="仿宋" w:cs="仿宋"/>
          <w:spacing w:val="11"/>
          <w:sz w:val="31"/>
          <w:szCs w:val="31"/>
        </w:rPr>
        <w:t>推进文化、广电和旅游科技创新。负责全州体育科研、技术攻</w:t>
      </w:r>
      <w:r>
        <w:rPr>
          <w:rFonts w:ascii="仿宋" w:hAnsi="仿宋" w:eastAsia="仿宋" w:cs="仿宋"/>
          <w:spacing w:val="3"/>
          <w:sz w:val="31"/>
          <w:szCs w:val="31"/>
        </w:rPr>
        <w:t>关和成果推广。</w:t>
      </w:r>
    </w:p>
    <w:p>
      <w:pPr>
        <w:spacing w:before="188" w:line="278" w:lineRule="auto"/>
        <w:ind w:right="94" w:firstLine="661"/>
        <w:rPr>
          <w:rFonts w:ascii="仿宋" w:hAnsi="仿宋" w:eastAsia="仿宋" w:cs="仿宋"/>
          <w:sz w:val="31"/>
          <w:szCs w:val="31"/>
        </w:rPr>
      </w:pPr>
      <w:r>
        <w:rPr>
          <w:rFonts w:ascii="仿宋" w:hAnsi="仿宋" w:eastAsia="仿宋" w:cs="仿宋"/>
          <w:spacing w:val="4"/>
          <w:sz w:val="31"/>
          <w:szCs w:val="31"/>
        </w:rPr>
        <w:t>11.负责非物质文化遗产保护工作，推动非物质文化遗产的</w:t>
      </w:r>
      <w:r>
        <w:rPr>
          <w:rFonts w:ascii="仿宋" w:hAnsi="仿宋" w:eastAsia="仿宋" w:cs="仿宋"/>
          <w:spacing w:val="10"/>
          <w:sz w:val="31"/>
          <w:szCs w:val="31"/>
        </w:rPr>
        <w:t xml:space="preserve"> </w:t>
      </w:r>
      <w:r>
        <w:rPr>
          <w:rFonts w:ascii="仿宋" w:hAnsi="仿宋" w:eastAsia="仿宋" w:cs="仿宋"/>
          <w:sz w:val="31"/>
          <w:szCs w:val="31"/>
        </w:rPr>
        <w:t>传承、普及、</w:t>
      </w:r>
      <w:r>
        <w:rPr>
          <w:rFonts w:ascii="仿宋" w:hAnsi="仿宋" w:eastAsia="仿宋" w:cs="仿宋"/>
          <w:spacing w:val="-90"/>
          <w:sz w:val="31"/>
          <w:szCs w:val="31"/>
        </w:rPr>
        <w:t xml:space="preserve"> </w:t>
      </w:r>
      <w:r>
        <w:rPr>
          <w:rFonts w:ascii="仿宋" w:hAnsi="仿宋" w:eastAsia="仿宋" w:cs="仿宋"/>
          <w:sz w:val="31"/>
          <w:szCs w:val="31"/>
        </w:rPr>
        <w:t>弘扬和振兴。</w:t>
      </w:r>
    </w:p>
    <w:p>
      <w:pPr>
        <w:spacing w:before="185" w:line="311" w:lineRule="auto"/>
        <w:ind w:left="7" w:right="13" w:firstLine="654"/>
        <w:rPr>
          <w:rFonts w:ascii="仿宋" w:hAnsi="仿宋" w:eastAsia="仿宋" w:cs="仿宋"/>
          <w:sz w:val="31"/>
          <w:szCs w:val="31"/>
        </w:rPr>
      </w:pPr>
      <w:r>
        <w:rPr>
          <w:rFonts w:ascii="仿宋" w:hAnsi="仿宋" w:eastAsia="仿宋" w:cs="仿宋"/>
          <w:spacing w:val="-1"/>
          <w:sz w:val="31"/>
          <w:szCs w:val="31"/>
        </w:rPr>
        <w:t>12.管理和指导全州文物保护、利用和考古工作，组织</w:t>
      </w:r>
      <w:r>
        <w:rPr>
          <w:rFonts w:ascii="仿宋" w:hAnsi="仿宋" w:eastAsia="仿宋" w:cs="仿宋"/>
          <w:spacing w:val="-2"/>
          <w:sz w:val="31"/>
          <w:szCs w:val="31"/>
        </w:rPr>
        <w:t>开展</w:t>
      </w:r>
      <w:r>
        <w:rPr>
          <w:rFonts w:ascii="仿宋" w:hAnsi="仿宋" w:eastAsia="仿宋" w:cs="仿宋"/>
          <w:spacing w:val="11"/>
          <w:sz w:val="31"/>
          <w:szCs w:val="31"/>
        </w:rPr>
        <w:t>文物资源调查工作。协调、指导和监督全州文物安全工作，履</w:t>
      </w:r>
      <w:r>
        <w:rPr>
          <w:rFonts w:ascii="仿宋" w:hAnsi="仿宋" w:eastAsia="仿宋" w:cs="仿宋"/>
          <w:spacing w:val="-3"/>
          <w:sz w:val="31"/>
          <w:szCs w:val="31"/>
        </w:rPr>
        <w:t>行文物行政督察职能。负责全州世界文化遗产保护和管理工作，</w:t>
      </w:r>
      <w:r>
        <w:rPr>
          <w:rFonts w:ascii="仿宋" w:hAnsi="仿宋" w:eastAsia="仿宋" w:cs="仿宋"/>
          <w:spacing w:val="2"/>
          <w:sz w:val="31"/>
          <w:szCs w:val="31"/>
        </w:rPr>
        <w:t>协同相关部门开展世界文化与自然遗产、历史文化名城(镇、</w:t>
      </w:r>
      <w:r>
        <w:rPr>
          <w:rFonts w:ascii="仿宋" w:hAnsi="仿宋" w:eastAsia="仿宋" w:cs="仿宋"/>
          <w:spacing w:val="-57"/>
          <w:sz w:val="31"/>
          <w:szCs w:val="31"/>
        </w:rPr>
        <w:t xml:space="preserve"> </w:t>
      </w:r>
      <w:r>
        <w:rPr>
          <w:rFonts w:ascii="仿宋" w:hAnsi="仿宋" w:eastAsia="仿宋" w:cs="仿宋"/>
          <w:spacing w:val="2"/>
          <w:sz w:val="31"/>
          <w:szCs w:val="31"/>
        </w:rPr>
        <w:t>村)</w:t>
      </w:r>
      <w:r>
        <w:rPr>
          <w:rFonts w:ascii="仿宋" w:hAnsi="仿宋" w:eastAsia="仿宋" w:cs="仿宋"/>
          <w:sz w:val="31"/>
          <w:szCs w:val="31"/>
        </w:rPr>
        <w:t xml:space="preserve"> </w:t>
      </w:r>
      <w:r>
        <w:rPr>
          <w:rFonts w:ascii="仿宋" w:hAnsi="仿宋" w:eastAsia="仿宋" w:cs="仿宋"/>
          <w:spacing w:val="5"/>
          <w:sz w:val="31"/>
          <w:szCs w:val="31"/>
        </w:rPr>
        <w:t>申报和管理工作。负责全州文物和博物馆公共服务体系建设。</w:t>
      </w:r>
    </w:p>
    <w:p>
      <w:pPr>
        <w:spacing w:line="306" w:lineRule="auto"/>
        <w:rPr>
          <w:rFonts w:ascii="仿宋" w:hAnsi="仿宋" w:eastAsia="仿宋" w:cs="仿宋"/>
          <w:sz w:val="31"/>
          <w:szCs w:val="31"/>
        </w:rPr>
        <w:sectPr>
          <w:footerReference r:id="rId6" w:type="default"/>
          <w:pgSz w:w="11907" w:h="16840"/>
          <w:pgMar w:top="1431" w:right="1375" w:bottom="1154" w:left="1597" w:header="0" w:footer="789" w:gutter="0"/>
          <w:cols w:space="720" w:num="1"/>
        </w:sectPr>
      </w:pPr>
    </w:p>
    <w:p>
      <w:pPr>
        <w:pStyle w:val="7"/>
        <w:spacing w:line="246" w:lineRule="auto"/>
      </w:pPr>
    </w:p>
    <w:p>
      <w:pPr>
        <w:pStyle w:val="7"/>
        <w:spacing w:line="246" w:lineRule="auto"/>
      </w:pPr>
    </w:p>
    <w:p>
      <w:pPr>
        <w:pStyle w:val="7"/>
        <w:spacing w:line="247" w:lineRule="auto"/>
      </w:pPr>
    </w:p>
    <w:p>
      <w:pPr>
        <w:spacing w:before="191" w:line="305" w:lineRule="auto"/>
        <w:ind w:right="13" w:firstLine="661"/>
        <w:rPr>
          <w:rFonts w:ascii="仿宋" w:hAnsi="仿宋" w:eastAsia="仿宋" w:cs="仿宋"/>
          <w:sz w:val="31"/>
          <w:szCs w:val="31"/>
        </w:rPr>
      </w:pPr>
      <w:r>
        <w:rPr>
          <w:rFonts w:ascii="仿宋" w:hAnsi="仿宋" w:eastAsia="仿宋" w:cs="仿宋"/>
          <w:spacing w:val="2"/>
          <w:sz w:val="31"/>
          <w:szCs w:val="31"/>
        </w:rPr>
        <w:t>13.贯彻落实全民健身计划，建立和完善全</w:t>
      </w:r>
      <w:r>
        <w:rPr>
          <w:rFonts w:ascii="仿宋" w:hAnsi="仿宋" w:eastAsia="仿宋" w:cs="仿宋"/>
          <w:spacing w:val="1"/>
          <w:sz w:val="31"/>
          <w:szCs w:val="31"/>
        </w:rPr>
        <w:t>民健身服务体系，</w:t>
      </w:r>
      <w:r>
        <w:rPr>
          <w:rFonts w:ascii="仿宋" w:hAnsi="仿宋" w:eastAsia="仿宋" w:cs="仿宋"/>
          <w:sz w:val="31"/>
          <w:szCs w:val="31"/>
        </w:rPr>
        <w:t xml:space="preserve"> </w:t>
      </w:r>
      <w:r>
        <w:rPr>
          <w:rFonts w:ascii="仿宋" w:hAnsi="仿宋" w:eastAsia="仿宋" w:cs="仿宋"/>
          <w:spacing w:val="9"/>
          <w:sz w:val="31"/>
          <w:szCs w:val="31"/>
        </w:rPr>
        <w:t>指导和开展群众性体育活动。负责社会体育指导员培训、国民</w:t>
      </w:r>
      <w:r>
        <w:rPr>
          <w:rFonts w:ascii="仿宋" w:hAnsi="仿宋" w:eastAsia="仿宋" w:cs="仿宋"/>
          <w:sz w:val="31"/>
          <w:szCs w:val="31"/>
        </w:rPr>
        <w:t xml:space="preserve"> </w:t>
      </w:r>
      <w:r>
        <w:rPr>
          <w:rFonts w:ascii="仿宋" w:hAnsi="仿宋" w:eastAsia="仿宋" w:cs="仿宋"/>
          <w:spacing w:val="11"/>
          <w:sz w:val="31"/>
          <w:szCs w:val="31"/>
        </w:rPr>
        <w:t>体质监测和高危体育项目管理。负责挖掘、传承、保护全州少</w:t>
      </w:r>
      <w:r>
        <w:rPr>
          <w:rFonts w:ascii="仿宋" w:hAnsi="仿宋" w:eastAsia="仿宋" w:cs="仿宋"/>
          <w:spacing w:val="10"/>
          <w:sz w:val="31"/>
          <w:szCs w:val="31"/>
        </w:rPr>
        <w:t xml:space="preserve"> </w:t>
      </w:r>
      <w:r>
        <w:rPr>
          <w:rFonts w:ascii="仿宋" w:hAnsi="仿宋" w:eastAsia="仿宋" w:cs="仿宋"/>
          <w:spacing w:val="6"/>
          <w:sz w:val="31"/>
          <w:szCs w:val="31"/>
        </w:rPr>
        <w:t>数民族传统体育项目。协助体育彩票销售的监</w:t>
      </w:r>
      <w:r>
        <w:rPr>
          <w:rFonts w:ascii="仿宋" w:hAnsi="仿宋" w:eastAsia="仿宋" w:cs="仿宋"/>
          <w:spacing w:val="5"/>
          <w:sz w:val="31"/>
          <w:szCs w:val="31"/>
        </w:rPr>
        <w:t>督管理。</w:t>
      </w:r>
    </w:p>
    <w:p>
      <w:pPr>
        <w:spacing w:before="188" w:line="296" w:lineRule="auto"/>
        <w:ind w:left="15" w:right="94" w:firstLine="646"/>
        <w:rPr>
          <w:rFonts w:ascii="仿宋" w:hAnsi="仿宋" w:eastAsia="仿宋" w:cs="仿宋"/>
          <w:sz w:val="31"/>
          <w:szCs w:val="31"/>
        </w:rPr>
      </w:pPr>
      <w:r>
        <w:rPr>
          <w:rFonts w:ascii="仿宋" w:hAnsi="仿宋" w:eastAsia="仿宋" w:cs="仿宋"/>
          <w:spacing w:val="4"/>
          <w:sz w:val="31"/>
          <w:szCs w:val="31"/>
        </w:rPr>
        <w:t>14.指导体育训练和运动员队伍建设，协调运动员社会保障</w:t>
      </w:r>
      <w:r>
        <w:rPr>
          <w:rFonts w:ascii="仿宋" w:hAnsi="仿宋" w:eastAsia="仿宋" w:cs="仿宋"/>
          <w:spacing w:val="10"/>
          <w:sz w:val="31"/>
          <w:szCs w:val="31"/>
        </w:rPr>
        <w:t xml:space="preserve"> </w:t>
      </w:r>
      <w:r>
        <w:rPr>
          <w:rFonts w:ascii="仿宋" w:hAnsi="仿宋" w:eastAsia="仿宋" w:cs="仿宋"/>
          <w:spacing w:val="11"/>
          <w:sz w:val="31"/>
          <w:szCs w:val="31"/>
        </w:rPr>
        <w:t>工作，统筹组织全州综合性运动会、参加省级以上体</w:t>
      </w:r>
      <w:r>
        <w:rPr>
          <w:rFonts w:ascii="仿宋" w:hAnsi="仿宋" w:eastAsia="仿宋" w:cs="仿宋"/>
          <w:spacing w:val="10"/>
          <w:sz w:val="31"/>
          <w:szCs w:val="31"/>
        </w:rPr>
        <w:t>育竞赛和</w:t>
      </w:r>
      <w:r>
        <w:rPr>
          <w:rFonts w:ascii="仿宋" w:hAnsi="仿宋" w:eastAsia="仿宋" w:cs="仿宋"/>
          <w:sz w:val="31"/>
          <w:szCs w:val="31"/>
        </w:rPr>
        <w:t xml:space="preserve"> </w:t>
      </w:r>
      <w:r>
        <w:rPr>
          <w:rFonts w:ascii="仿宋" w:hAnsi="仿宋" w:eastAsia="仿宋" w:cs="仿宋"/>
          <w:spacing w:val="4"/>
          <w:sz w:val="31"/>
          <w:szCs w:val="31"/>
        </w:rPr>
        <w:t>综合性运动会。负责反兴奋剂监督工作。</w:t>
      </w:r>
    </w:p>
    <w:p>
      <w:pPr>
        <w:spacing w:before="189" w:line="278" w:lineRule="auto"/>
        <w:ind w:left="11" w:right="94" w:firstLine="650"/>
        <w:rPr>
          <w:rFonts w:ascii="仿宋" w:hAnsi="仿宋" w:eastAsia="仿宋" w:cs="仿宋"/>
          <w:sz w:val="31"/>
          <w:szCs w:val="31"/>
        </w:rPr>
      </w:pPr>
      <w:r>
        <w:rPr>
          <w:rFonts w:ascii="仿宋" w:hAnsi="仿宋" w:eastAsia="仿宋" w:cs="仿宋"/>
          <w:spacing w:val="4"/>
          <w:sz w:val="31"/>
          <w:szCs w:val="31"/>
        </w:rPr>
        <w:t>15.负责青少年体育锻炼标准的组织实施，指导各级各类体</w:t>
      </w:r>
      <w:r>
        <w:rPr>
          <w:rFonts w:ascii="仿宋" w:hAnsi="仿宋" w:eastAsia="仿宋" w:cs="仿宋"/>
          <w:spacing w:val="10"/>
          <w:sz w:val="31"/>
          <w:szCs w:val="31"/>
        </w:rPr>
        <w:t xml:space="preserve"> </w:t>
      </w:r>
      <w:r>
        <w:rPr>
          <w:rFonts w:ascii="仿宋" w:hAnsi="仿宋" w:eastAsia="仿宋" w:cs="仿宋"/>
          <w:spacing w:val="5"/>
          <w:sz w:val="31"/>
          <w:szCs w:val="31"/>
        </w:rPr>
        <w:t>育学校的建设和青少年业余训练及相关活动。</w:t>
      </w:r>
    </w:p>
    <w:p>
      <w:pPr>
        <w:spacing w:before="188" w:line="296" w:lineRule="auto"/>
        <w:ind w:left="6" w:firstLine="655"/>
        <w:rPr>
          <w:rFonts w:ascii="仿宋" w:hAnsi="仿宋" w:eastAsia="仿宋" w:cs="仿宋"/>
          <w:spacing w:val="3"/>
          <w:sz w:val="31"/>
          <w:szCs w:val="31"/>
        </w:rPr>
      </w:pPr>
      <w:r>
        <w:rPr>
          <w:rFonts w:ascii="仿宋" w:hAnsi="仿宋" w:eastAsia="仿宋" w:cs="仿宋"/>
          <w:spacing w:val="4"/>
          <w:sz w:val="31"/>
          <w:szCs w:val="31"/>
        </w:rPr>
        <w:t>16.推动全州文化、广电、体育和旅游市场发展，对全州文</w:t>
      </w:r>
      <w:r>
        <w:rPr>
          <w:rFonts w:ascii="仿宋" w:hAnsi="仿宋" w:eastAsia="仿宋" w:cs="仿宋"/>
          <w:spacing w:val="3"/>
          <w:sz w:val="31"/>
          <w:szCs w:val="31"/>
        </w:rPr>
        <w:t>化、广电、体育和旅游市场依法进行行业监管，依法规范文化、</w:t>
      </w:r>
      <w:r>
        <w:rPr>
          <w:rFonts w:ascii="仿宋" w:hAnsi="仿宋" w:eastAsia="仿宋" w:cs="仿宋"/>
          <w:spacing w:val="11"/>
          <w:sz w:val="31"/>
          <w:szCs w:val="31"/>
        </w:rPr>
        <w:t>广电、体育和旅游市场。推进文化、广电、体育和旅游行业信</w:t>
      </w:r>
      <w:r>
        <w:rPr>
          <w:rFonts w:ascii="仿宋" w:hAnsi="仿宋" w:eastAsia="仿宋" w:cs="仿宋"/>
          <w:spacing w:val="3"/>
          <w:sz w:val="31"/>
          <w:szCs w:val="31"/>
        </w:rPr>
        <w:t>用体系建设。</w:t>
      </w:r>
    </w:p>
    <w:p>
      <w:pPr>
        <w:pStyle w:val="2"/>
      </w:pPr>
    </w:p>
    <w:p>
      <w:pPr>
        <w:spacing w:before="184" w:line="278" w:lineRule="auto"/>
        <w:ind w:left="11" w:right="97" w:firstLine="647"/>
        <w:rPr>
          <w:rFonts w:ascii="仿宋" w:hAnsi="仿宋" w:eastAsia="仿宋" w:cs="仿宋"/>
          <w:sz w:val="31"/>
          <w:szCs w:val="31"/>
        </w:rPr>
      </w:pPr>
      <w:r>
        <w:rPr>
          <w:rFonts w:ascii="仿宋" w:hAnsi="仿宋" w:eastAsia="仿宋" w:cs="仿宋"/>
          <w:spacing w:val="4"/>
          <w:sz w:val="31"/>
          <w:szCs w:val="31"/>
        </w:rPr>
        <w:t>17.负责全州旅游景区管理机构、文旅企业的行业管理和标</w:t>
      </w:r>
      <w:r>
        <w:rPr>
          <w:rFonts w:ascii="仿宋" w:hAnsi="仿宋" w:eastAsia="仿宋" w:cs="仿宋"/>
          <w:spacing w:val="10"/>
          <w:sz w:val="31"/>
          <w:szCs w:val="31"/>
        </w:rPr>
        <w:t xml:space="preserve"> </w:t>
      </w:r>
      <w:r>
        <w:rPr>
          <w:rFonts w:ascii="仿宋" w:hAnsi="仿宋" w:eastAsia="仿宋" w:cs="仿宋"/>
          <w:spacing w:val="1"/>
          <w:sz w:val="31"/>
          <w:szCs w:val="31"/>
        </w:rPr>
        <w:t>准化建设。</w:t>
      </w:r>
    </w:p>
    <w:p>
      <w:pPr>
        <w:spacing w:before="187" w:line="306" w:lineRule="auto"/>
        <w:ind w:left="12" w:firstLine="646"/>
        <w:rPr>
          <w:rFonts w:ascii="仿宋" w:hAnsi="仿宋" w:eastAsia="仿宋" w:cs="仿宋"/>
          <w:sz w:val="31"/>
          <w:szCs w:val="31"/>
        </w:rPr>
      </w:pPr>
      <w:r>
        <w:rPr>
          <w:rFonts w:ascii="仿宋" w:hAnsi="仿宋" w:eastAsia="仿宋" w:cs="仿宋"/>
          <w:spacing w:val="4"/>
          <w:sz w:val="31"/>
          <w:szCs w:val="31"/>
        </w:rPr>
        <w:t>18.统筹指导全州文化、广电、体育、旅游市场综合行政执</w:t>
      </w:r>
      <w:r>
        <w:rPr>
          <w:rFonts w:ascii="仿宋" w:hAnsi="仿宋" w:eastAsia="仿宋" w:cs="仿宋"/>
          <w:spacing w:val="13"/>
          <w:sz w:val="31"/>
          <w:szCs w:val="31"/>
        </w:rPr>
        <w:t xml:space="preserve"> </w:t>
      </w:r>
      <w:r>
        <w:rPr>
          <w:rFonts w:ascii="仿宋" w:hAnsi="仿宋" w:eastAsia="仿宋" w:cs="仿宋"/>
          <w:spacing w:val="3"/>
          <w:sz w:val="31"/>
          <w:szCs w:val="31"/>
        </w:rPr>
        <w:t>法，规范文化、广电、体育、旅游行政执法，组织查处全州性、</w:t>
      </w:r>
      <w:r>
        <w:rPr>
          <w:rFonts w:ascii="仿宋" w:hAnsi="仿宋" w:eastAsia="仿宋" w:cs="仿宋"/>
          <w:spacing w:val="4"/>
          <w:sz w:val="31"/>
          <w:szCs w:val="31"/>
        </w:rPr>
        <w:t xml:space="preserve"> </w:t>
      </w:r>
      <w:r>
        <w:rPr>
          <w:rFonts w:ascii="仿宋" w:hAnsi="仿宋" w:eastAsia="仿宋" w:cs="仿宋"/>
          <w:spacing w:val="11"/>
          <w:sz w:val="31"/>
          <w:szCs w:val="31"/>
        </w:rPr>
        <w:t>跨区域文化、文物、广电、体育、旅游等违法行为，</w:t>
      </w:r>
      <w:r>
        <w:rPr>
          <w:rFonts w:ascii="仿宋" w:hAnsi="仿宋" w:eastAsia="仿宋" w:cs="仿宋"/>
          <w:spacing w:val="10"/>
          <w:sz w:val="31"/>
          <w:szCs w:val="31"/>
        </w:rPr>
        <w:t>督查督办</w:t>
      </w:r>
      <w:r>
        <w:rPr>
          <w:rFonts w:ascii="仿宋" w:hAnsi="仿宋" w:eastAsia="仿宋" w:cs="仿宋"/>
          <w:spacing w:val="1"/>
          <w:sz w:val="31"/>
          <w:szCs w:val="31"/>
        </w:rPr>
        <w:t>大案要案。</w:t>
      </w:r>
    </w:p>
    <w:p>
      <w:pPr>
        <w:spacing w:before="186" w:line="305" w:lineRule="auto"/>
        <w:ind w:left="8" w:right="97" w:firstLine="650"/>
        <w:rPr>
          <w:rFonts w:ascii="仿宋" w:hAnsi="仿宋" w:eastAsia="仿宋" w:cs="仿宋"/>
          <w:sz w:val="31"/>
          <w:szCs w:val="31"/>
        </w:rPr>
      </w:pPr>
      <w:r>
        <w:rPr>
          <w:rFonts w:ascii="仿宋" w:hAnsi="仿宋" w:eastAsia="仿宋" w:cs="仿宋"/>
          <w:spacing w:val="-1"/>
          <w:sz w:val="31"/>
          <w:szCs w:val="31"/>
        </w:rPr>
        <w:t>19.负责文化、广电、体育和旅游行业安全生产工作的</w:t>
      </w:r>
      <w:r>
        <w:rPr>
          <w:rFonts w:ascii="仿宋" w:hAnsi="仿宋" w:eastAsia="仿宋" w:cs="仿宋"/>
          <w:spacing w:val="-2"/>
          <w:sz w:val="31"/>
          <w:szCs w:val="31"/>
        </w:rPr>
        <w:t>综合</w:t>
      </w:r>
      <w:r>
        <w:rPr>
          <w:rFonts w:ascii="仿宋" w:hAnsi="仿宋" w:eastAsia="仿宋" w:cs="仿宋"/>
          <w:spacing w:val="11"/>
          <w:sz w:val="31"/>
          <w:szCs w:val="31"/>
        </w:rPr>
        <w:t>协调与监督管理，制定职责范围内的安全生产年度监督检查计</w:t>
      </w:r>
      <w:r>
        <w:rPr>
          <w:rFonts w:ascii="仿宋" w:hAnsi="仿宋" w:eastAsia="仿宋" w:cs="仿宋"/>
          <w:sz w:val="31"/>
          <w:szCs w:val="31"/>
        </w:rPr>
        <w:t xml:space="preserve"> 划并组织实施。依法履行行业职业健康监管职责，承担职责</w:t>
      </w:r>
      <w:r>
        <w:rPr>
          <w:rFonts w:ascii="仿宋" w:hAnsi="仿宋" w:eastAsia="仿宋" w:cs="仿宋"/>
          <w:spacing w:val="-1"/>
          <w:sz w:val="31"/>
          <w:szCs w:val="31"/>
        </w:rPr>
        <w:t>范围</w:t>
      </w:r>
      <w:r>
        <w:rPr>
          <w:rFonts w:ascii="仿宋" w:hAnsi="仿宋" w:eastAsia="仿宋" w:cs="仿宋"/>
          <w:sz w:val="31"/>
          <w:szCs w:val="31"/>
        </w:rPr>
        <w:t xml:space="preserve"> </w:t>
      </w:r>
      <w:r>
        <w:rPr>
          <w:rFonts w:ascii="仿宋" w:hAnsi="仿宋" w:eastAsia="仿宋" w:cs="仿宋"/>
          <w:spacing w:val="5"/>
          <w:sz w:val="31"/>
          <w:szCs w:val="31"/>
        </w:rPr>
        <w:t>内生态环境保护、公共机构节能减排、审批服务便民化等工作。</w:t>
      </w:r>
    </w:p>
    <w:p>
      <w:pPr>
        <w:spacing w:before="188" w:line="222" w:lineRule="auto"/>
        <w:ind w:left="651"/>
        <w:rPr>
          <w:rFonts w:ascii="仿宋" w:hAnsi="仿宋" w:eastAsia="仿宋" w:cs="仿宋"/>
          <w:sz w:val="31"/>
          <w:szCs w:val="31"/>
        </w:rPr>
      </w:pPr>
      <w:r>
        <w:rPr>
          <w:rFonts w:ascii="仿宋" w:hAnsi="仿宋" w:eastAsia="仿宋" w:cs="仿宋"/>
          <w:spacing w:val="4"/>
          <w:sz w:val="31"/>
          <w:szCs w:val="31"/>
        </w:rPr>
        <w:t>20.完成州委、州政府交办的其他任务。</w:t>
      </w:r>
    </w:p>
    <w:p>
      <w:pPr>
        <w:pStyle w:val="6"/>
        <w:rPr>
          <w:rStyle w:val="22"/>
          <w:rFonts w:ascii="Times New Roman" w:hAnsi="Times New Roman"/>
          <w:b w:val="0"/>
          <w:bCs w:val="0"/>
        </w:rPr>
      </w:pPr>
      <w:bookmarkStart w:id="10" w:name="_Toc15377200"/>
      <w:bookmarkStart w:id="11" w:name="_Toc15396601"/>
      <w:bookmarkStart w:id="12" w:name="_Toc27843"/>
      <w:r>
        <w:rPr>
          <w:rFonts w:hint="eastAsia" w:ascii="Times New Roman" w:hAnsi="Times New Roman" w:eastAsia="黑体"/>
          <w:b w:val="0"/>
        </w:rPr>
        <w:t>二、机</w:t>
      </w:r>
      <w:r>
        <w:rPr>
          <w:rStyle w:val="22"/>
          <w:rFonts w:hint="eastAsia" w:ascii="Times New Roman" w:hAnsi="Times New Roman" w:eastAsia="黑体"/>
          <w:b w:val="0"/>
          <w:bCs w:val="0"/>
        </w:rPr>
        <w:t>构设置</w:t>
      </w:r>
      <w:bookmarkEnd w:id="10"/>
      <w:bookmarkEnd w:id="11"/>
      <w:bookmarkEnd w:id="12"/>
    </w:p>
    <w:p>
      <w:pPr>
        <w:pStyle w:val="21"/>
        <w:keepNext w:val="0"/>
        <w:keepLines w:val="0"/>
        <w:widowControl/>
        <w:suppressLineNumbers w:val="0"/>
        <w:autoSpaceDE w:val="0"/>
        <w:autoSpaceDN/>
        <w:spacing w:before="0" w:beforeAutospacing="0" w:line="600" w:lineRule="exact"/>
        <w:ind w:left="0" w:firstLine="640" w:firstLineChars="200"/>
        <w:jc w:val="left"/>
        <w:rPr>
          <w:rFonts w:hint="eastAsia" w:ascii="仿宋_GB2312" w:hAnsi="宋体" w:eastAsia="仿宋_GB2312" w:cs="仿宋_GB2312"/>
          <w:color w:val="000000" w:themeColor="text1"/>
          <w:kern w:val="0"/>
          <w:sz w:val="32"/>
          <w:szCs w:val="32"/>
          <w:highlight w:val="none"/>
          <w:shd w:val="clear" w:color="auto" w:fill="FFFFFF"/>
          <w14:textFill>
            <w14:solidFill>
              <w14:schemeClr w14:val="tx1"/>
            </w14:solidFill>
          </w14:textFill>
        </w:rPr>
      </w:pPr>
      <w:r>
        <w:rPr>
          <w:rFonts w:hint="eastAsia" w:ascii="仿宋_GB2312" w:hAnsi="仿宋_GB2312" w:eastAsia="仿宋_GB2312" w:cs="仿宋_GB2312"/>
          <w:color w:val="auto"/>
          <w:sz w:val="32"/>
          <w:szCs w:val="32"/>
          <w:highlight w:val="none"/>
          <w:lang w:val="en-US" w:eastAsia="zh-CN"/>
        </w:rPr>
        <w:t>1.机构情况。</w:t>
      </w:r>
      <w:r>
        <w:rPr>
          <w:rFonts w:hint="eastAsia" w:ascii="仿宋_GB2312" w:hAnsi="宋体" w:eastAsia="仿宋_GB2312" w:cs="仿宋_GB2312"/>
          <w:color w:val="000000" w:themeColor="text1"/>
          <w:kern w:val="0"/>
          <w:sz w:val="32"/>
          <w:szCs w:val="32"/>
          <w:highlight w:val="none"/>
          <w:shd w:val="clear" w:color="auto" w:fill="FFFFFF"/>
          <w14:textFill>
            <w14:solidFill>
              <w14:schemeClr w14:val="tx1"/>
            </w14:solidFill>
          </w14:textFill>
        </w:rPr>
        <w:t>本单位本年度纳入本套决算编制范围的独立编制机构数共</w:t>
      </w:r>
      <w:r>
        <w:rPr>
          <w:rFonts w:hint="eastAsia" w:ascii="仿宋_GB2312" w:eastAsia="仿宋_GB2312" w:cs="仿宋_GB2312"/>
          <w:color w:val="000000" w:themeColor="text1"/>
          <w:kern w:val="0"/>
          <w:sz w:val="32"/>
          <w:szCs w:val="32"/>
          <w:highlight w:val="none"/>
          <w:shd w:val="clear" w:color="auto" w:fill="FFFFFF"/>
          <w:lang w:val="en-US" w:eastAsia="zh-CN"/>
          <w14:textFill>
            <w14:solidFill>
              <w14:schemeClr w14:val="tx1"/>
            </w14:solidFill>
          </w14:textFill>
        </w:rPr>
        <w:t>1</w:t>
      </w:r>
      <w:r>
        <w:rPr>
          <w:rFonts w:hint="eastAsia" w:ascii="仿宋_GB2312" w:hAnsi="宋体" w:eastAsia="仿宋_GB2312" w:cs="仿宋_GB2312"/>
          <w:color w:val="000000" w:themeColor="text1"/>
          <w:kern w:val="0"/>
          <w:sz w:val="32"/>
          <w:szCs w:val="32"/>
          <w:highlight w:val="none"/>
          <w:shd w:val="clear" w:color="auto" w:fill="FFFFFF"/>
          <w14:textFill>
            <w14:solidFill>
              <w14:schemeClr w14:val="tx1"/>
            </w14:solidFill>
          </w14:textFill>
        </w:rPr>
        <w:t>个；独立核算机构数共1个。</w:t>
      </w:r>
    </w:p>
    <w:p>
      <w:pPr>
        <w:pStyle w:val="21"/>
        <w:keepNext w:val="0"/>
        <w:keepLines w:val="0"/>
        <w:widowControl/>
        <w:suppressLineNumbers w:val="0"/>
        <w:autoSpaceDE w:val="0"/>
        <w:autoSpaceDN/>
        <w:spacing w:before="0" w:beforeAutospacing="0" w:line="600" w:lineRule="exact"/>
        <w:ind w:left="0" w:firstLine="640" w:firstLineChars="200"/>
        <w:jc w:val="left"/>
        <w:rPr>
          <w:rFonts w:hint="eastAsia" w:ascii="仿宋_GB2312" w:hAnsi="宋体" w:eastAsia="仿宋_GB2312" w:cs="仿宋_GB2312"/>
          <w:color w:val="000000" w:themeColor="text1"/>
          <w:kern w:val="0"/>
          <w:sz w:val="32"/>
          <w:szCs w:val="32"/>
          <w:highlight w:val="none"/>
          <w:shd w:val="clear" w:color="auto" w:fill="FFFFFF"/>
          <w14:textFill>
            <w14:solidFill>
              <w14:schemeClr w14:val="tx1"/>
            </w14:solidFill>
          </w14:textFill>
        </w:rPr>
      </w:pPr>
      <w:r>
        <w:rPr>
          <w:rFonts w:hint="eastAsia" w:ascii="仿宋_GB2312" w:eastAsia="仿宋_GB2312" w:cs="仿宋_GB2312"/>
          <w:color w:val="000000" w:themeColor="text1"/>
          <w:kern w:val="0"/>
          <w:sz w:val="32"/>
          <w:szCs w:val="32"/>
          <w:highlight w:val="none"/>
          <w:shd w:val="clear" w:color="auto" w:fill="FFFFFF"/>
          <w:lang w:val="en-US" w:eastAsia="zh-CN"/>
          <w14:textFill>
            <w14:solidFill>
              <w14:schemeClr w14:val="tx1"/>
            </w14:solidFill>
          </w14:textFill>
        </w:rPr>
        <w:t>2.人员情况。</w:t>
      </w:r>
      <w:r>
        <w:rPr>
          <w:rFonts w:hint="eastAsia" w:ascii="仿宋_GB2312" w:hAnsi="宋体" w:eastAsia="仿宋_GB2312" w:cs="仿宋_GB2312"/>
          <w:color w:val="000000" w:themeColor="text1"/>
          <w:kern w:val="0"/>
          <w:sz w:val="32"/>
          <w:szCs w:val="32"/>
          <w:highlight w:val="none"/>
          <w:shd w:val="clear" w:color="auto" w:fill="FFFFFF"/>
          <w14:textFill>
            <w14:solidFill>
              <w14:schemeClr w14:val="tx1"/>
            </w14:solidFill>
          </w14:textFill>
        </w:rPr>
        <w:t>本单位本年度年末实有人数</w:t>
      </w:r>
      <w:r>
        <w:rPr>
          <w:rFonts w:hint="eastAsia" w:ascii="仿宋_GB2312" w:eastAsia="仿宋_GB2312" w:cs="仿宋_GB2312"/>
          <w:color w:val="000000" w:themeColor="text1"/>
          <w:kern w:val="0"/>
          <w:sz w:val="32"/>
          <w:szCs w:val="32"/>
          <w:highlight w:val="none"/>
          <w:shd w:val="clear" w:color="auto" w:fill="FFFFFF"/>
          <w:lang w:val="en-US" w:eastAsia="zh-CN"/>
          <w14:textFill>
            <w14:solidFill>
              <w14:schemeClr w14:val="tx1"/>
            </w14:solidFill>
          </w14:textFill>
        </w:rPr>
        <w:t>60</w:t>
      </w:r>
      <w:r>
        <w:rPr>
          <w:rFonts w:hint="eastAsia" w:ascii="仿宋_GB2312" w:hAnsi="宋体" w:eastAsia="仿宋_GB2312" w:cs="仿宋_GB2312"/>
          <w:color w:val="000000" w:themeColor="text1"/>
          <w:kern w:val="0"/>
          <w:sz w:val="32"/>
          <w:szCs w:val="32"/>
          <w:highlight w:val="none"/>
          <w:shd w:val="clear" w:color="auto" w:fill="FFFFFF"/>
          <w14:textFill>
            <w14:solidFill>
              <w14:schemeClr w14:val="tx1"/>
            </w14:solidFill>
          </w14:textFill>
        </w:rPr>
        <w:t>人，比上年增加</w:t>
      </w:r>
      <w:r>
        <w:rPr>
          <w:rFonts w:hint="eastAsia" w:ascii="仿宋_GB2312" w:eastAsia="仿宋_GB2312" w:cs="仿宋_GB2312"/>
          <w:color w:val="000000" w:themeColor="text1"/>
          <w:kern w:val="0"/>
          <w:sz w:val="32"/>
          <w:szCs w:val="32"/>
          <w:highlight w:val="none"/>
          <w:shd w:val="clear" w:color="auto" w:fill="FFFFFF"/>
          <w:lang w:val="en-US" w:eastAsia="zh-CN"/>
          <w14:textFill>
            <w14:solidFill>
              <w14:schemeClr w14:val="tx1"/>
            </w14:solidFill>
          </w14:textFill>
        </w:rPr>
        <w:t>0</w:t>
      </w:r>
      <w:r>
        <w:rPr>
          <w:rFonts w:hint="eastAsia" w:ascii="仿宋_GB2312" w:hAnsi="宋体" w:eastAsia="仿宋_GB2312" w:cs="仿宋_GB2312"/>
          <w:color w:val="000000" w:themeColor="text1"/>
          <w:kern w:val="0"/>
          <w:sz w:val="32"/>
          <w:szCs w:val="32"/>
          <w:highlight w:val="none"/>
          <w:shd w:val="clear" w:color="auto" w:fill="FFFFFF"/>
          <w14:textFill>
            <w14:solidFill>
              <w14:schemeClr w14:val="tx1"/>
            </w14:solidFill>
          </w14:textFill>
        </w:rPr>
        <w:t>人；年末实有离退休人数为</w:t>
      </w:r>
      <w:r>
        <w:rPr>
          <w:rFonts w:hint="eastAsia" w:ascii="仿宋_GB2312" w:eastAsia="仿宋_GB2312" w:cs="仿宋_GB2312"/>
          <w:color w:val="000000" w:themeColor="text1"/>
          <w:kern w:val="0"/>
          <w:sz w:val="32"/>
          <w:szCs w:val="32"/>
          <w:highlight w:val="none"/>
          <w:shd w:val="clear" w:color="auto" w:fill="FFFFFF"/>
          <w:lang w:val="en-US" w:eastAsia="zh-CN"/>
          <w14:textFill>
            <w14:solidFill>
              <w14:schemeClr w14:val="tx1"/>
            </w14:solidFill>
          </w14:textFill>
        </w:rPr>
        <w:t>73</w:t>
      </w:r>
      <w:r>
        <w:rPr>
          <w:rFonts w:hint="eastAsia" w:ascii="仿宋_GB2312" w:hAnsi="宋体" w:eastAsia="仿宋_GB2312" w:cs="仿宋_GB2312"/>
          <w:color w:val="000000" w:themeColor="text1"/>
          <w:kern w:val="0"/>
          <w:sz w:val="32"/>
          <w:szCs w:val="32"/>
          <w:highlight w:val="none"/>
          <w:shd w:val="clear" w:color="auto" w:fill="FFFFFF"/>
          <w14:textFill>
            <w14:solidFill>
              <w14:schemeClr w14:val="tx1"/>
            </w14:solidFill>
          </w14:textFill>
        </w:rPr>
        <w:t>人，比上年增加</w:t>
      </w:r>
      <w:r>
        <w:rPr>
          <w:rFonts w:hint="eastAsia" w:ascii="仿宋_GB2312" w:eastAsia="仿宋_GB2312" w:cs="仿宋_GB2312"/>
          <w:color w:val="000000" w:themeColor="text1"/>
          <w:kern w:val="0"/>
          <w:sz w:val="32"/>
          <w:szCs w:val="32"/>
          <w:highlight w:val="none"/>
          <w:shd w:val="clear" w:color="auto" w:fill="FFFFFF"/>
          <w:lang w:val="en-US" w:eastAsia="zh-CN"/>
          <w14:textFill>
            <w14:solidFill>
              <w14:schemeClr w14:val="tx1"/>
            </w14:solidFill>
          </w14:textFill>
        </w:rPr>
        <w:t>2</w:t>
      </w:r>
      <w:r>
        <w:rPr>
          <w:rFonts w:hint="eastAsia" w:ascii="仿宋_GB2312" w:hAnsi="宋体" w:eastAsia="仿宋_GB2312" w:cs="仿宋_GB2312"/>
          <w:color w:val="000000" w:themeColor="text1"/>
          <w:kern w:val="0"/>
          <w:sz w:val="32"/>
          <w:szCs w:val="32"/>
          <w:highlight w:val="none"/>
          <w:shd w:val="clear" w:color="auto" w:fill="FFFFFF"/>
          <w14:textFill>
            <w14:solidFill>
              <w14:schemeClr w14:val="tx1"/>
            </w14:solidFill>
          </w14:textFill>
        </w:rPr>
        <w:t>人。年末实有其他人数为</w:t>
      </w:r>
      <w:r>
        <w:rPr>
          <w:rFonts w:hint="eastAsia" w:ascii="仿宋_GB2312" w:eastAsia="仿宋_GB2312" w:cs="仿宋_GB2312"/>
          <w:color w:val="000000" w:themeColor="text1"/>
          <w:kern w:val="0"/>
          <w:sz w:val="32"/>
          <w:szCs w:val="32"/>
          <w:highlight w:val="none"/>
          <w:shd w:val="clear" w:color="auto" w:fill="FFFFFF"/>
          <w:lang w:val="en-US" w:eastAsia="zh-CN"/>
          <w14:textFill>
            <w14:solidFill>
              <w14:schemeClr w14:val="tx1"/>
            </w14:solidFill>
          </w14:textFill>
        </w:rPr>
        <w:t>8</w:t>
      </w:r>
      <w:r>
        <w:rPr>
          <w:rFonts w:hint="eastAsia" w:ascii="仿宋_GB2312" w:hAnsi="宋体" w:eastAsia="仿宋_GB2312" w:cs="仿宋_GB2312"/>
          <w:color w:val="000000" w:themeColor="text1"/>
          <w:kern w:val="0"/>
          <w:sz w:val="32"/>
          <w:szCs w:val="32"/>
          <w:highlight w:val="none"/>
          <w:shd w:val="clear" w:color="auto" w:fill="FFFFFF"/>
          <w14:textFill>
            <w14:solidFill>
              <w14:schemeClr w14:val="tx1"/>
            </w14:solidFill>
          </w14:textFill>
        </w:rPr>
        <w:t>人，比上年增加0人。</w:t>
      </w:r>
    </w:p>
    <w:p>
      <w:pPr>
        <w:pStyle w:val="5"/>
        <w:jc w:val="center"/>
        <w:rPr>
          <w:rFonts w:eastAsia="方正小标宋简体" w:cs="方正小标宋简体"/>
          <w:b w:val="0"/>
        </w:rPr>
      </w:pPr>
      <w:bookmarkStart w:id="13" w:name="_Toc1249"/>
      <w:bookmarkStart w:id="14" w:name="_Toc15377204"/>
      <w:bookmarkStart w:id="15" w:name="_Toc15396602"/>
      <w:r>
        <w:rPr>
          <w:rFonts w:hint="eastAsia" w:eastAsia="方正小标宋简体" w:cs="方正小标宋简体"/>
          <w:b w:val="0"/>
        </w:rPr>
        <w:t>第二部分  2024年度部门决算情况说明</w:t>
      </w:r>
      <w:bookmarkEnd w:id="13"/>
      <w:bookmarkEnd w:id="14"/>
      <w:bookmarkEnd w:id="15"/>
    </w:p>
    <w:p/>
    <w:p>
      <w:pPr>
        <w:pStyle w:val="23"/>
        <w:spacing w:line="600" w:lineRule="exact"/>
        <w:ind w:firstLine="640"/>
        <w:outlineLvl w:val="1"/>
        <w:rPr>
          <w:rStyle w:val="22"/>
          <w:rFonts w:ascii="Times New Roman" w:hAnsi="Times New Roman" w:eastAsia="黑体"/>
          <w:b w:val="0"/>
        </w:rPr>
      </w:pPr>
      <w:bookmarkStart w:id="16" w:name="_Toc15396603"/>
      <w:bookmarkStart w:id="17" w:name="_Toc15377205"/>
      <w:bookmarkStart w:id="18" w:name="_Toc10116"/>
      <w:r>
        <w:rPr>
          <w:rFonts w:hint="eastAsia" w:eastAsia="黑体"/>
          <w:sz w:val="32"/>
          <w:szCs w:val="32"/>
        </w:rPr>
        <w:t>一、收</w:t>
      </w:r>
      <w:r>
        <w:rPr>
          <w:rStyle w:val="22"/>
          <w:rFonts w:hint="eastAsia" w:ascii="Times New Roman" w:hAnsi="Times New Roman" w:eastAsia="黑体"/>
          <w:b w:val="0"/>
        </w:rPr>
        <w:t>入支出决算总体情况说明</w:t>
      </w:r>
      <w:bookmarkEnd w:id="16"/>
      <w:bookmarkEnd w:id="17"/>
      <w:bookmarkEnd w:id="18"/>
    </w:p>
    <w:p>
      <w:pPr>
        <w:pStyle w:val="23"/>
        <w:spacing w:line="600" w:lineRule="exact"/>
        <w:ind w:firstLine="640"/>
        <w:outlineLvl w:val="1"/>
        <w:rPr>
          <w:rFonts w:hint="default" w:eastAsia="仿宋_GB2312" w:cs="仿宋_GB2312"/>
          <w:sz w:val="32"/>
          <w:szCs w:val="32"/>
          <w:lang w:val="en-US" w:eastAsia="zh-CN"/>
        </w:rPr>
      </w:pPr>
      <w:bookmarkStart w:id="19" w:name="_Toc1617"/>
      <w:r>
        <w:rPr>
          <w:rFonts w:hint="eastAsia" w:eastAsia="仿宋_GB2312" w:cs="仿宋_GB2312"/>
          <w:sz w:val="32"/>
          <w:szCs w:val="32"/>
        </w:rPr>
        <w:t>2024年度收入、支出总计均为</w:t>
      </w:r>
      <w:r>
        <w:rPr>
          <w:rFonts w:hint="eastAsia" w:ascii="仿宋_GB2312" w:hAnsi="仿宋_GB2312" w:eastAsia="仿宋_GB2312" w:cs="仿宋_GB2312"/>
          <w:sz w:val="32"/>
          <w:szCs w:val="32"/>
          <w:lang w:val="en-US" w:eastAsia="zh-CN"/>
        </w:rPr>
        <w:t>8232.31</w:t>
      </w:r>
      <w:r>
        <w:rPr>
          <w:rFonts w:hint="eastAsia" w:eastAsia="仿宋_GB2312" w:cs="仿宋_GB2312"/>
          <w:sz w:val="32"/>
          <w:szCs w:val="32"/>
        </w:rPr>
        <w:t>万元。与2023年度相比，收入、</w:t>
      </w:r>
      <w:r>
        <w:rPr>
          <w:rFonts w:hint="eastAsia" w:eastAsia="仿宋_GB2312" w:cs="仿宋_GB2312"/>
          <w:color w:val="000000" w:themeColor="text1"/>
          <w:sz w:val="32"/>
          <w:szCs w:val="32"/>
          <w14:textFill>
            <w14:solidFill>
              <w14:schemeClr w14:val="tx1"/>
            </w14:solidFill>
          </w14:textFill>
        </w:rPr>
        <w:t>支出总计各减少</w:t>
      </w:r>
      <w:r>
        <w:rPr>
          <w:rFonts w:hint="eastAsia" w:eastAsia="仿宋_GB2312" w:cs="仿宋_GB2312"/>
          <w:color w:val="000000" w:themeColor="text1"/>
          <w:sz w:val="32"/>
          <w:szCs w:val="32"/>
          <w:lang w:val="en-US" w:eastAsia="zh-CN"/>
          <w14:textFill>
            <w14:solidFill>
              <w14:schemeClr w14:val="tx1"/>
            </w14:solidFill>
          </w14:textFill>
        </w:rPr>
        <w:t>111.35</w:t>
      </w:r>
      <w:r>
        <w:rPr>
          <w:rFonts w:hint="eastAsia" w:eastAsia="仿宋_GB2312" w:cs="仿宋_GB2312"/>
          <w:color w:val="000000" w:themeColor="text1"/>
          <w:sz w:val="32"/>
          <w:szCs w:val="32"/>
          <w14:textFill>
            <w14:solidFill>
              <w14:schemeClr w14:val="tx1"/>
            </w14:solidFill>
          </w14:textFill>
        </w:rPr>
        <w:t>万元</w:t>
      </w:r>
      <w:r>
        <w:rPr>
          <w:rFonts w:hint="eastAsia" w:eastAsia="仿宋_GB2312" w:cs="仿宋_GB2312"/>
          <w:sz w:val="32"/>
          <w:szCs w:val="32"/>
        </w:rPr>
        <w:t>，下降</w:t>
      </w:r>
      <w:r>
        <w:rPr>
          <w:rFonts w:hint="eastAsia" w:eastAsia="仿宋_GB2312" w:cs="仿宋_GB2312"/>
          <w:sz w:val="32"/>
          <w:szCs w:val="32"/>
          <w:lang w:val="en-US" w:eastAsia="zh-CN"/>
        </w:rPr>
        <w:t>1.33</w:t>
      </w:r>
      <w:r>
        <w:rPr>
          <w:rFonts w:hint="eastAsia" w:eastAsia="仿宋_GB2312" w:cs="仿宋_GB2312"/>
          <w:sz w:val="32"/>
          <w:szCs w:val="32"/>
        </w:rPr>
        <w:t>%。主要变动原因是</w:t>
      </w:r>
      <w:r>
        <w:rPr>
          <w:rFonts w:hint="eastAsia" w:eastAsia="仿宋_GB2312" w:cs="仿宋_GB2312"/>
          <w:sz w:val="32"/>
          <w:szCs w:val="32"/>
          <w:lang w:val="en-US" w:eastAsia="zh-CN"/>
        </w:rPr>
        <w:t>2023年有州庆项目。</w:t>
      </w:r>
      <w:bookmarkEnd w:id="19"/>
    </w:p>
    <w:p>
      <w:pPr>
        <w:ind w:firstLine="640" w:firstLineChars="200"/>
        <w:rPr>
          <w:rFonts w:eastAsia="仿宋_GB2312" w:cs="仿宋_GB2312"/>
          <w:sz w:val="32"/>
          <w:szCs w:val="32"/>
        </w:rPr>
      </w:pPr>
      <w:r>
        <w:rPr>
          <w:rFonts w:hint="eastAsia" w:eastAsia="仿宋_GB2312" w:cs="仿宋_GB2312"/>
          <w:sz w:val="32"/>
          <w:szCs w:val="32"/>
        </w:rPr>
        <w:t>（图1：收入、支出决算总计变动情况图）（柱状图）</w:t>
      </w:r>
    </w:p>
    <w:p>
      <w:pPr>
        <w:ind w:firstLine="640" w:firstLineChars="200"/>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23"/>
        <w:spacing w:line="600" w:lineRule="exact"/>
        <w:ind w:firstLine="640"/>
        <w:outlineLvl w:val="1"/>
        <w:rPr>
          <w:rFonts w:eastAsia="黑体"/>
          <w:sz w:val="32"/>
          <w:szCs w:val="32"/>
        </w:rPr>
      </w:pPr>
      <w:bookmarkStart w:id="20" w:name="_Toc15377206"/>
      <w:bookmarkStart w:id="21" w:name="_Toc16058"/>
      <w:bookmarkStart w:id="22" w:name="_Toc15396604"/>
      <w:r>
        <w:rPr>
          <w:rFonts w:hint="eastAsia" w:eastAsia="黑体"/>
          <w:sz w:val="32"/>
          <w:szCs w:val="32"/>
        </w:rPr>
        <w:t>二、收入决算情况说明</w:t>
      </w:r>
      <w:bookmarkEnd w:id="20"/>
      <w:bookmarkEnd w:id="21"/>
      <w:bookmarkEnd w:id="22"/>
    </w:p>
    <w:p>
      <w:pPr>
        <w:pStyle w:val="23"/>
        <w:spacing w:line="600" w:lineRule="exact"/>
        <w:ind w:firstLine="640"/>
        <w:jc w:val="left"/>
        <w:outlineLvl w:val="1"/>
        <w:rPr>
          <w:rFonts w:eastAsia="仿宋_GB2312" w:cs="仿宋_GB2312"/>
          <w:b/>
          <w:bCs/>
          <w:sz w:val="32"/>
          <w:szCs w:val="32"/>
        </w:rPr>
      </w:pPr>
      <w:bookmarkStart w:id="23" w:name="_Toc23617"/>
      <w:r>
        <w:rPr>
          <w:rFonts w:hint="eastAsia" w:ascii="仿宋_GB2312" w:hAnsi="仿宋_GB2312" w:eastAsia="仿宋_GB2312" w:cs="仿宋_GB2312"/>
          <w:sz w:val="32"/>
          <w:szCs w:val="32"/>
        </w:rPr>
        <w:t>2024年度本</w:t>
      </w:r>
      <w:r>
        <w:rPr>
          <w:rFonts w:hint="eastAsia" w:ascii="仿宋_GB2312" w:hAnsi="仿宋_GB2312" w:eastAsia="仿宋_GB2312" w:cs="仿宋_GB2312"/>
          <w:color w:val="000000" w:themeColor="text1"/>
          <w:sz w:val="32"/>
          <w:szCs w:val="32"/>
          <w14:textFill>
            <w14:solidFill>
              <w14:schemeClr w14:val="tx1"/>
            </w14:solidFill>
          </w14:textFill>
        </w:rPr>
        <w:t>年收入合计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8232.31</w:t>
      </w:r>
      <w:r>
        <w:rPr>
          <w:rFonts w:hint="eastAsia" w:ascii="仿宋_GB2312" w:hAnsi="仿宋_GB2312" w:eastAsia="仿宋_GB2312" w:cs="仿宋_GB2312"/>
          <w:color w:val="000000" w:themeColor="text1"/>
          <w:sz w:val="32"/>
          <w:szCs w:val="32"/>
          <w14:textFill>
            <w14:solidFill>
              <w14:schemeClr w14:val="tx1"/>
            </w14:solidFill>
          </w14:textFill>
        </w:rPr>
        <w:t>万元，其中</w:t>
      </w:r>
      <w:r>
        <w:rPr>
          <w:rFonts w:hint="eastAsia" w:ascii="仿宋_GB2312" w:hAnsi="仿宋_GB2312" w:eastAsia="仿宋_GB2312" w:cs="仿宋_GB2312"/>
          <w:sz w:val="32"/>
          <w:szCs w:val="32"/>
        </w:rPr>
        <w:t>：一般公共预算财政拨款收入</w:t>
      </w:r>
      <w:r>
        <w:rPr>
          <w:rFonts w:hint="eastAsia" w:ascii="仿宋_GB2312" w:hAnsi="仿宋_GB2312" w:eastAsia="仿宋_GB2312" w:cs="仿宋_GB2312"/>
          <w:sz w:val="32"/>
          <w:szCs w:val="32"/>
          <w:lang w:val="en-US" w:eastAsia="zh-CN"/>
        </w:rPr>
        <w:t>7418.95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90.11</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val="en-US" w:eastAsia="zh-CN"/>
        </w:rPr>
        <w:t>376.6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4.57</w:t>
      </w:r>
      <w:r>
        <w:rPr>
          <w:rFonts w:hint="eastAsia" w:ascii="仿宋_GB2312" w:hAnsi="仿宋_GB2312" w:eastAsia="仿宋_GB2312" w:cs="仿宋_GB2312"/>
          <w:sz w:val="32"/>
          <w:szCs w:val="32"/>
        </w:rPr>
        <w:t>；国有资本经营预算财政拨款收入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94.17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1.14</w:t>
      </w:r>
      <w:r>
        <w:rPr>
          <w:rFonts w:hint="eastAsia" w:ascii="仿宋_GB2312" w:hAnsi="仿宋_GB2312" w:eastAsia="仿宋_GB2312" w:cs="仿宋_GB2312"/>
          <w:sz w:val="32"/>
          <w:szCs w:val="32"/>
        </w:rPr>
        <w:t>%。</w:t>
      </w:r>
      <w:r>
        <w:rPr>
          <w:rFonts w:hint="eastAsia" w:eastAsia="仿宋_GB2312" w:cs="仿宋_GB2312"/>
          <w:b/>
          <w:bCs/>
          <w:sz w:val="32"/>
          <w:szCs w:val="32"/>
        </w:rPr>
        <w:t>（注：仅罗列本部门涉及的收入）</w:t>
      </w:r>
      <w:bookmarkEnd w:id="23"/>
    </w:p>
    <w:p>
      <w:pPr>
        <w:ind w:firstLine="800" w:firstLineChars="250"/>
        <w:rPr>
          <w:rFonts w:eastAsia="仿宋_GB2312" w:cs="仿宋_GB2312"/>
          <w:sz w:val="32"/>
          <w:szCs w:val="32"/>
        </w:rPr>
      </w:pPr>
      <w:r>
        <w:rPr>
          <w:rFonts w:hint="eastAsia" w:eastAsia="仿宋_GB2312" w:cs="仿宋_GB2312"/>
          <w:sz w:val="32"/>
          <w:szCs w:val="32"/>
        </w:rPr>
        <w:t>（图2：收入决算结构图）（饼状图）</w:t>
      </w:r>
    </w:p>
    <w:p>
      <w:pPr>
        <w:ind w:firstLine="800" w:firstLineChars="250"/>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23"/>
        <w:spacing w:line="600" w:lineRule="exact"/>
        <w:ind w:firstLine="640"/>
        <w:outlineLvl w:val="1"/>
        <w:rPr>
          <w:rStyle w:val="22"/>
          <w:rFonts w:ascii="Times New Roman" w:hAnsi="Times New Roman" w:eastAsia="黑体"/>
          <w:b w:val="0"/>
        </w:rPr>
      </w:pPr>
      <w:bookmarkStart w:id="24" w:name="_Toc15396605"/>
      <w:bookmarkStart w:id="25" w:name="_Toc8151"/>
      <w:bookmarkStart w:id="26" w:name="_Toc15377207"/>
      <w:r>
        <w:rPr>
          <w:rFonts w:hint="eastAsia" w:eastAsia="黑体"/>
          <w:sz w:val="32"/>
          <w:szCs w:val="32"/>
        </w:rPr>
        <w:t>三、支</w:t>
      </w:r>
      <w:r>
        <w:rPr>
          <w:rStyle w:val="22"/>
          <w:rFonts w:hint="eastAsia" w:ascii="Times New Roman" w:hAnsi="Times New Roman" w:eastAsia="黑体"/>
          <w:b w:val="0"/>
        </w:rPr>
        <w:t>出决算情况说明</w:t>
      </w:r>
      <w:bookmarkEnd w:id="24"/>
      <w:bookmarkEnd w:id="25"/>
      <w:bookmarkEnd w:id="26"/>
    </w:p>
    <w:p>
      <w:pPr>
        <w:pStyle w:val="23"/>
        <w:spacing w:line="600" w:lineRule="exact"/>
        <w:ind w:firstLine="640"/>
        <w:jc w:val="left"/>
        <w:outlineLvl w:val="1"/>
        <w:rPr>
          <w:rFonts w:eastAsia="仿宋_GB2312" w:cs="仿宋_GB2312"/>
          <w:sz w:val="32"/>
          <w:szCs w:val="32"/>
        </w:rPr>
      </w:pPr>
      <w:bookmarkStart w:id="27" w:name="_Toc28482"/>
      <w:r>
        <w:rPr>
          <w:rFonts w:hint="eastAsia" w:ascii="仿宋_GB2312" w:hAnsi="仿宋_GB2312" w:eastAsia="仿宋_GB2312" w:cs="仿宋_GB2312"/>
          <w:sz w:val="32"/>
          <w:szCs w:val="32"/>
        </w:rPr>
        <w:t>2024年度本年</w:t>
      </w:r>
      <w:r>
        <w:rPr>
          <w:rFonts w:hint="eastAsia" w:ascii="仿宋_GB2312" w:hAnsi="仿宋_GB2312" w:eastAsia="仿宋_GB2312" w:cs="仿宋_GB2312"/>
          <w:color w:val="000000" w:themeColor="text1"/>
          <w:sz w:val="32"/>
          <w:szCs w:val="32"/>
          <w14:textFill>
            <w14:solidFill>
              <w14:schemeClr w14:val="tx1"/>
            </w14:solidFill>
          </w14:textFill>
        </w:rPr>
        <w:t>支出合计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8232.31</w:t>
      </w:r>
      <w:r>
        <w:rPr>
          <w:rFonts w:hint="eastAsia" w:ascii="仿宋_GB2312" w:hAnsi="仿宋_GB2312" w:eastAsia="仿宋_GB2312" w:cs="仿宋_GB2312"/>
          <w:color w:val="000000" w:themeColor="text1"/>
          <w:sz w:val="32"/>
          <w:szCs w:val="32"/>
          <w14:textFill>
            <w14:solidFill>
              <w14:schemeClr w14:val="tx1"/>
            </w14:solidFill>
          </w14:textFill>
        </w:rPr>
        <w:t>万元，其中：</w:t>
      </w: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2983.81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38.27</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4811.74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61.72</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eastAsia="仿宋_GB2312" w:cs="仿宋_GB2312"/>
          <w:b/>
          <w:bCs/>
          <w:sz w:val="32"/>
          <w:szCs w:val="32"/>
        </w:rPr>
        <w:t>（注：仅罗列本部门涉及的支出）</w:t>
      </w:r>
      <w:bookmarkEnd w:id="27"/>
    </w:p>
    <w:p>
      <w:pPr>
        <w:ind w:firstLine="1120" w:firstLineChars="350"/>
        <w:rPr>
          <w:rFonts w:hint="eastAsia" w:eastAsia="仿宋_GB2312" w:cs="仿宋_GB2312"/>
          <w:sz w:val="32"/>
          <w:szCs w:val="32"/>
        </w:rPr>
      </w:pPr>
    </w:p>
    <w:p>
      <w:pPr>
        <w:ind w:firstLine="1120" w:firstLineChars="350"/>
        <w:rPr>
          <w:rFonts w:hint="eastAsia" w:eastAsia="仿宋_GB2312" w:cs="仿宋_GB2312"/>
          <w:sz w:val="32"/>
          <w:szCs w:val="32"/>
        </w:rPr>
      </w:pPr>
    </w:p>
    <w:p>
      <w:pPr>
        <w:ind w:firstLine="1120" w:firstLineChars="350"/>
        <w:rPr>
          <w:rFonts w:hint="eastAsia" w:eastAsia="仿宋_GB2312" w:cs="仿宋_GB2312"/>
          <w:sz w:val="32"/>
          <w:szCs w:val="32"/>
        </w:rPr>
      </w:pPr>
    </w:p>
    <w:p>
      <w:pPr>
        <w:ind w:firstLine="1120" w:firstLineChars="350"/>
        <w:rPr>
          <w:rFonts w:hint="eastAsia" w:eastAsia="仿宋_GB2312" w:cs="仿宋_GB2312"/>
          <w:sz w:val="32"/>
          <w:szCs w:val="32"/>
        </w:rPr>
      </w:pPr>
    </w:p>
    <w:p>
      <w:pPr>
        <w:ind w:firstLine="1120" w:firstLineChars="350"/>
        <w:rPr>
          <w:rFonts w:hint="eastAsia" w:eastAsia="仿宋_GB2312" w:cs="仿宋_GB2312"/>
          <w:sz w:val="32"/>
          <w:szCs w:val="32"/>
        </w:rPr>
      </w:pPr>
    </w:p>
    <w:p>
      <w:pPr>
        <w:ind w:firstLine="1120" w:firstLineChars="350"/>
        <w:rPr>
          <w:rFonts w:hint="eastAsia" w:eastAsia="仿宋_GB2312" w:cs="仿宋_GB2312"/>
          <w:sz w:val="32"/>
          <w:szCs w:val="32"/>
        </w:rPr>
      </w:pPr>
    </w:p>
    <w:p>
      <w:pPr>
        <w:ind w:firstLine="1120" w:firstLineChars="350"/>
        <w:rPr>
          <w:rFonts w:hint="eastAsia" w:eastAsia="仿宋_GB2312" w:cs="仿宋_GB2312"/>
          <w:sz w:val="32"/>
          <w:szCs w:val="32"/>
        </w:rPr>
      </w:pPr>
    </w:p>
    <w:p>
      <w:pPr>
        <w:ind w:firstLine="1120" w:firstLineChars="350"/>
        <w:rPr>
          <w:rFonts w:hint="eastAsia" w:eastAsia="仿宋_GB2312" w:cs="仿宋_GB2312"/>
          <w:sz w:val="32"/>
          <w:szCs w:val="32"/>
        </w:rPr>
      </w:pPr>
    </w:p>
    <w:p>
      <w:pPr>
        <w:ind w:firstLine="1120" w:firstLineChars="350"/>
        <w:rPr>
          <w:rFonts w:eastAsia="仿宋_GB2312" w:cs="仿宋_GB2312"/>
          <w:sz w:val="32"/>
          <w:szCs w:val="32"/>
        </w:rPr>
      </w:pPr>
      <w:r>
        <w:rPr>
          <w:rFonts w:hint="eastAsia" w:eastAsia="仿宋_GB2312" w:cs="仿宋_GB2312"/>
          <w:sz w:val="32"/>
          <w:szCs w:val="32"/>
        </w:rPr>
        <w:t>（图3：支出决算结构图）（饼状图）</w:t>
      </w:r>
    </w:p>
    <w:p>
      <w:pPr>
        <w:ind w:firstLine="800" w:firstLineChars="250"/>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firstLineChars="200"/>
        <w:outlineLvl w:val="1"/>
        <w:rPr>
          <w:rStyle w:val="22"/>
          <w:rFonts w:ascii="Times New Roman" w:hAnsi="Times New Roman" w:eastAsia="黑体"/>
          <w:b w:val="0"/>
        </w:rPr>
      </w:pPr>
      <w:bookmarkStart w:id="28" w:name="_Toc9836"/>
      <w:bookmarkStart w:id="29" w:name="_Toc15396606"/>
      <w:bookmarkStart w:id="30" w:name="_Toc15377208"/>
      <w:r>
        <w:rPr>
          <w:rFonts w:hint="eastAsia" w:eastAsia="黑体"/>
          <w:sz w:val="32"/>
          <w:szCs w:val="32"/>
        </w:rPr>
        <w:t>四、财</w:t>
      </w:r>
      <w:r>
        <w:rPr>
          <w:rStyle w:val="22"/>
          <w:rFonts w:hint="eastAsia" w:ascii="Times New Roman" w:hAnsi="Times New Roman" w:eastAsia="黑体"/>
          <w:b w:val="0"/>
        </w:rPr>
        <w:t>政拨款收入支出决算总体情况说明</w:t>
      </w:r>
      <w:bookmarkEnd w:id="28"/>
      <w:bookmarkEnd w:id="29"/>
      <w:bookmarkEnd w:id="30"/>
    </w:p>
    <w:p>
      <w:pPr>
        <w:spacing w:line="600" w:lineRule="exact"/>
        <w:ind w:firstLine="640"/>
        <w:rPr>
          <w:rFonts w:hint="eastAsia" w:eastAsia="仿宋_GB2312" w:cs="仿宋_GB2312"/>
          <w:color w:val="000000" w:themeColor="text1"/>
          <w:sz w:val="32"/>
          <w:szCs w:val="32"/>
          <w:lang w:eastAsia="zh-CN"/>
          <w14:textFill>
            <w14:solidFill>
              <w14:schemeClr w14:val="tx1"/>
            </w14:solidFill>
          </w14:textFill>
        </w:rPr>
      </w:pPr>
      <w:r>
        <w:rPr>
          <w:rFonts w:hint="eastAsia" w:eastAsia="仿宋_GB2312" w:cs="仿宋_GB2312"/>
          <w:sz w:val="32"/>
          <w:szCs w:val="32"/>
        </w:rPr>
        <w:t>2024年</w:t>
      </w:r>
      <w:r>
        <w:rPr>
          <w:rFonts w:hint="eastAsia" w:eastAsia="仿宋_GB2312" w:cs="仿宋_GB2312"/>
          <w:color w:val="000000" w:themeColor="text1"/>
          <w:sz w:val="32"/>
          <w:szCs w:val="32"/>
          <w14:textFill>
            <w14:solidFill>
              <w14:schemeClr w14:val="tx1"/>
            </w14:solidFill>
          </w14:textFill>
        </w:rPr>
        <w:t>度财政拨款收入、支出总计均为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7795.55</w:t>
      </w:r>
      <w:r>
        <w:rPr>
          <w:rFonts w:hint="eastAsia" w:eastAsia="仿宋_GB2312" w:cs="仿宋_GB2312"/>
          <w:color w:val="000000" w:themeColor="text1"/>
          <w:sz w:val="32"/>
          <w:szCs w:val="32"/>
          <w14:textFill>
            <w14:solidFill>
              <w14:schemeClr w14:val="tx1"/>
            </w14:solidFill>
          </w14:textFill>
        </w:rPr>
        <w:t>万元。与2023年度相比，财政拨款收入总计、支出总计各减少</w:t>
      </w:r>
      <w:r>
        <w:rPr>
          <w:rFonts w:hint="eastAsia" w:eastAsia="仿宋_GB2312" w:cs="仿宋_GB2312"/>
          <w:color w:val="000000" w:themeColor="text1"/>
          <w:sz w:val="32"/>
          <w:szCs w:val="32"/>
          <w:lang w:val="en-US" w:eastAsia="zh-CN"/>
          <w14:textFill>
            <w14:solidFill>
              <w14:schemeClr w14:val="tx1"/>
            </w14:solidFill>
          </w14:textFill>
        </w:rPr>
        <w:t>548.11</w:t>
      </w:r>
      <w:r>
        <w:rPr>
          <w:rFonts w:hint="eastAsia" w:eastAsia="仿宋_GB2312" w:cs="仿宋_GB2312"/>
          <w:color w:val="000000" w:themeColor="text1"/>
          <w:sz w:val="32"/>
          <w:szCs w:val="32"/>
          <w14:textFill>
            <w14:solidFill>
              <w14:schemeClr w14:val="tx1"/>
            </w14:solidFill>
          </w14:textFill>
        </w:rPr>
        <w:t>万元，下降</w:t>
      </w:r>
      <w:r>
        <w:rPr>
          <w:rFonts w:hint="eastAsia" w:eastAsia="仿宋_GB2312" w:cs="仿宋_GB2312"/>
          <w:color w:val="000000" w:themeColor="text1"/>
          <w:sz w:val="32"/>
          <w:szCs w:val="32"/>
          <w:lang w:val="en-US" w:eastAsia="zh-CN"/>
          <w14:textFill>
            <w14:solidFill>
              <w14:schemeClr w14:val="tx1"/>
            </w14:solidFill>
          </w14:textFill>
        </w:rPr>
        <w:t>6.57</w:t>
      </w:r>
      <w:r>
        <w:rPr>
          <w:rFonts w:hint="eastAsia" w:eastAsia="仿宋_GB2312" w:cs="仿宋_GB2312"/>
          <w:color w:val="000000" w:themeColor="text1"/>
          <w:sz w:val="32"/>
          <w:szCs w:val="32"/>
          <w14:textFill>
            <w14:solidFill>
              <w14:schemeClr w14:val="tx1"/>
            </w14:solidFill>
          </w14:textFill>
        </w:rPr>
        <w:t>%。主要变动原因是</w:t>
      </w:r>
      <w:r>
        <w:rPr>
          <w:rFonts w:hint="eastAsia" w:eastAsia="仿宋_GB2312" w:cs="仿宋_GB2312"/>
          <w:color w:val="000000" w:themeColor="text1"/>
          <w:sz w:val="32"/>
          <w:szCs w:val="32"/>
          <w:lang w:eastAsia="zh-CN"/>
          <w14:textFill>
            <w14:solidFill>
              <w14:schemeClr w14:val="tx1"/>
            </w14:solidFill>
          </w14:textFill>
        </w:rPr>
        <w:t>州庆项目减少。</w:t>
      </w:r>
    </w:p>
    <w:p>
      <w:pPr>
        <w:spacing w:line="600" w:lineRule="exact"/>
        <w:ind w:firstLine="640" w:firstLineChars="200"/>
        <w:rPr>
          <w:rFonts w:eastAsia="仿宋_GB2312" w:cs="仿宋_GB2312"/>
          <w:sz w:val="32"/>
          <w:szCs w:val="32"/>
        </w:rPr>
      </w:pPr>
      <w:r>
        <w:rPr>
          <w:rFonts w:hint="eastAsia" w:eastAsia="仿宋_GB2312" w:cs="仿宋_GB2312"/>
          <w:sz w:val="32"/>
          <w:szCs w:val="32"/>
        </w:rPr>
        <w:t>（图4：财政拨款收、支决算总计变动情况）（柱状图）</w:t>
      </w:r>
    </w:p>
    <w:p>
      <w:pPr>
        <w:spacing w:line="600" w:lineRule="exact"/>
        <w:ind w:firstLine="640"/>
        <w:rPr>
          <w:rFonts w:eastAsia="仿宋_GB2312" w:cs="仿宋_GB2312"/>
          <w:sz w:val="32"/>
          <w:szCs w:val="32"/>
        </w:rPr>
      </w:pPr>
    </w:p>
    <w:p>
      <w:pPr>
        <w:pStyle w:val="2"/>
        <w:rPr>
          <w:rFonts w:eastAsia="仿宋_GB2312" w:cs="仿宋_GB2312"/>
          <w:sz w:val="32"/>
          <w:szCs w:val="32"/>
        </w:rPr>
      </w:pPr>
      <w:r>
        <w:rPr>
          <w:rFonts w:hint="eastAsia" w:eastAsia="仿宋_GB2312" w:cs="仿宋_GB2312"/>
          <w:sz w:val="32"/>
          <w:szCs w:val="32"/>
          <w:lang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3"/>
        <w:rPr>
          <w:rFonts w:eastAsia="仿宋_GB2312" w:cs="仿宋_GB2312"/>
          <w:sz w:val="32"/>
          <w:szCs w:val="32"/>
        </w:rPr>
      </w:pPr>
    </w:p>
    <w:p>
      <w:pPr>
        <w:spacing w:line="600" w:lineRule="exact"/>
        <w:ind w:firstLine="640" w:firstLineChars="200"/>
        <w:outlineLvl w:val="1"/>
        <w:rPr>
          <w:rStyle w:val="22"/>
          <w:rFonts w:ascii="Times New Roman" w:hAnsi="Times New Roman" w:eastAsia="黑体"/>
          <w:b w:val="0"/>
        </w:rPr>
      </w:pPr>
      <w:bookmarkStart w:id="31" w:name="_Toc15377209"/>
      <w:bookmarkStart w:id="32" w:name="_Toc29915"/>
      <w:bookmarkStart w:id="33" w:name="_Toc15396607"/>
      <w:r>
        <w:rPr>
          <w:rFonts w:hint="eastAsia" w:eastAsia="黑体"/>
          <w:sz w:val="32"/>
          <w:szCs w:val="32"/>
        </w:rPr>
        <w:t>五、</w:t>
      </w:r>
      <w:r>
        <w:rPr>
          <w:rFonts w:hint="eastAsia" w:eastAsia="黑体"/>
          <w:b/>
          <w:sz w:val="32"/>
          <w:szCs w:val="32"/>
        </w:rPr>
        <w:t>一</w:t>
      </w:r>
      <w:r>
        <w:rPr>
          <w:rStyle w:val="22"/>
          <w:rFonts w:hint="eastAsia" w:ascii="Times New Roman" w:hAnsi="Times New Roman" w:eastAsia="黑体"/>
          <w:b w:val="0"/>
        </w:rPr>
        <w:t>般公共预算财政拨款支出决算情况说明</w:t>
      </w:r>
      <w:bookmarkEnd w:id="31"/>
      <w:bookmarkEnd w:id="32"/>
      <w:bookmarkEnd w:id="33"/>
    </w:p>
    <w:p>
      <w:pPr>
        <w:spacing w:line="600" w:lineRule="exact"/>
        <w:ind w:firstLine="643" w:firstLineChars="200"/>
        <w:outlineLvl w:val="2"/>
        <w:rPr>
          <w:rFonts w:eastAsia="楷体_GB2312" w:cs="楷体_GB2312"/>
          <w:b/>
          <w:sz w:val="32"/>
          <w:szCs w:val="32"/>
        </w:rPr>
      </w:pPr>
      <w:bookmarkStart w:id="34" w:name="_Toc15377210"/>
      <w:r>
        <w:rPr>
          <w:rFonts w:hint="eastAsia" w:eastAsia="楷体_GB2312" w:cs="楷体_GB2312"/>
          <w:b/>
          <w:sz w:val="32"/>
          <w:szCs w:val="32"/>
        </w:rPr>
        <w:t>（一）一般公共预算财政拨款支出决算总体情况</w:t>
      </w:r>
      <w:bookmarkEnd w:id="34"/>
    </w:p>
    <w:p>
      <w:pPr>
        <w:spacing w:line="600" w:lineRule="exact"/>
        <w:ind w:firstLine="640"/>
        <w:rPr>
          <w:rFonts w:hint="eastAsia"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rPr>
        <w:t>2024年度一般公共预</w:t>
      </w:r>
      <w:r>
        <w:rPr>
          <w:rFonts w:hint="eastAsia" w:ascii="仿宋_GB2312" w:hAnsi="仿宋_GB2312" w:eastAsia="仿宋_GB2312" w:cs="仿宋_GB2312"/>
          <w:color w:val="000000" w:themeColor="text1"/>
          <w:sz w:val="32"/>
          <w:szCs w:val="32"/>
          <w14:textFill>
            <w14:solidFill>
              <w14:schemeClr w14:val="tx1"/>
            </w14:solidFill>
          </w14:textFill>
        </w:rPr>
        <w:t>算财政拨款支出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7418.95</w:t>
      </w:r>
      <w:r>
        <w:rPr>
          <w:rFonts w:hint="eastAsia" w:ascii="仿宋_GB2312" w:hAnsi="仿宋_GB2312" w:eastAsia="仿宋_GB2312" w:cs="仿宋_GB2312"/>
          <w:color w:val="000000" w:themeColor="text1"/>
          <w:sz w:val="32"/>
          <w:szCs w:val="32"/>
          <w14:textFill>
            <w14:solidFill>
              <w14:schemeClr w14:val="tx1"/>
            </w14:solidFill>
          </w14:textFill>
        </w:rPr>
        <w:t>万元，占本年支出合计的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90.12</w:t>
      </w:r>
      <w:r>
        <w:rPr>
          <w:rFonts w:hint="eastAsia" w:ascii="仿宋_GB2312" w:hAnsi="仿宋_GB2312" w:eastAsia="仿宋_GB2312" w:cs="仿宋_GB2312"/>
          <w:color w:val="000000" w:themeColor="text1"/>
          <w:sz w:val="32"/>
          <w:szCs w:val="32"/>
          <w14:textFill>
            <w14:solidFill>
              <w14:schemeClr w14:val="tx1"/>
            </w14:solidFill>
          </w14:textFill>
        </w:rPr>
        <w:t>%。与2023年度相比，一般公共预算财政拨款支出减少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476.7</w:t>
      </w:r>
      <w:r>
        <w:rPr>
          <w:rFonts w:hint="eastAsia" w:ascii="仿宋_GB2312" w:hAnsi="仿宋_GB2312" w:eastAsia="仿宋_GB2312" w:cs="仿宋_GB2312"/>
          <w:color w:val="000000" w:themeColor="text1"/>
          <w:sz w:val="32"/>
          <w:szCs w:val="32"/>
          <w14:textFill>
            <w14:solidFill>
              <w14:schemeClr w14:val="tx1"/>
            </w14:solidFill>
          </w14:textFill>
        </w:rPr>
        <w:t>万元，下降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6.43</w:t>
      </w:r>
      <w:r>
        <w:rPr>
          <w:rFonts w:hint="eastAsia" w:ascii="仿宋_GB2312" w:hAnsi="仿宋_GB2312" w:eastAsia="仿宋_GB2312" w:cs="仿宋_GB2312"/>
          <w:color w:val="000000" w:themeColor="text1"/>
          <w:sz w:val="32"/>
          <w:szCs w:val="32"/>
          <w14:textFill>
            <w14:solidFill>
              <w14:schemeClr w14:val="tx1"/>
            </w14:solidFill>
          </w14:textFill>
        </w:rPr>
        <w:t>%。主要变动原因是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州庆项目减少。</w:t>
      </w:r>
    </w:p>
    <w:p>
      <w:pPr>
        <w:spacing w:line="600" w:lineRule="exact"/>
        <w:ind w:firstLine="640"/>
        <w:rPr>
          <w:rFonts w:eastAsia="仿宋_GB2312" w:cs="仿宋_GB2312"/>
          <w:sz w:val="32"/>
          <w:szCs w:val="32"/>
        </w:rPr>
      </w:pPr>
      <w:r>
        <w:rPr>
          <w:rFonts w:hint="eastAsia" w:eastAsia="仿宋_GB2312" w:cs="仿宋_GB2312"/>
          <w:sz w:val="32"/>
          <w:szCs w:val="32"/>
        </w:rPr>
        <w:t>（图5：一般公共预算财政拨款支出决算变动情况）（柱状图）</w:t>
      </w:r>
    </w:p>
    <w:p>
      <w:pPr>
        <w:spacing w:line="600" w:lineRule="exact"/>
        <w:ind w:firstLine="640"/>
        <w:rPr>
          <w:rFonts w:eastAsia="仿宋_GB2312" w:cs="仿宋_GB2312"/>
          <w:sz w:val="32"/>
          <w:szCs w:val="32"/>
        </w:rPr>
      </w:pPr>
    </w:p>
    <w:p>
      <w:pPr>
        <w:pStyle w:val="2"/>
        <w:rPr>
          <w:rFonts w:eastAsia="仿宋_GB2312" w:cs="仿宋_GB2312"/>
          <w:sz w:val="32"/>
          <w:szCs w:val="32"/>
        </w:rPr>
      </w:pPr>
    </w:p>
    <w:p>
      <w:pPr>
        <w:pStyle w:val="3"/>
        <w:rPr>
          <w:rFonts w:eastAsia="仿宋_GB2312" w:cs="仿宋_GB2312"/>
          <w:sz w:val="32"/>
          <w:szCs w:val="32"/>
        </w:rPr>
      </w:pPr>
    </w:p>
    <w:p>
      <w:pPr>
        <w:pStyle w:val="3"/>
        <w:rPr>
          <w:rFonts w:eastAsia="仿宋_GB2312" w:cs="仿宋_GB2312"/>
          <w:sz w:val="32"/>
          <w:szCs w:val="32"/>
        </w:rPr>
      </w:pPr>
    </w:p>
    <w:p>
      <w:pPr>
        <w:pStyle w:val="3"/>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pStyle w:val="3"/>
        <w:ind w:left="0" w:leftChars="0" w:firstLine="0" w:firstLineChars="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35" w:name="_Toc15377211"/>
      <w:r>
        <w:rPr>
          <w:rFonts w:hint="eastAsia" w:eastAsia="楷体_GB2312" w:cs="楷体_GB2312"/>
          <w:b/>
          <w:sz w:val="32"/>
          <w:szCs w:val="32"/>
        </w:rPr>
        <w:t>（二）一般公共预算财政拨款支出决算结构情况</w:t>
      </w:r>
      <w:bookmarkEnd w:id="35"/>
    </w:p>
    <w:p>
      <w:pPr>
        <w:spacing w:line="600" w:lineRule="exact"/>
        <w:ind w:firstLine="640"/>
        <w:rPr>
          <w:rFonts w:eastAsia="仿宋_GB2312" w:cs="仿宋_GB2312"/>
          <w:b/>
          <w:bCs/>
          <w:sz w:val="32"/>
          <w:szCs w:val="32"/>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lang w:val="en-US" w:eastAsia="zh-CN"/>
        </w:rPr>
        <w:t>7418.95</w:t>
      </w:r>
      <w:r>
        <w:rPr>
          <w:rFonts w:hint="eastAsia" w:ascii="仿宋_GB2312" w:hAnsi="仿宋_GB2312" w:eastAsia="仿宋_GB2312" w:cs="仿宋_GB2312"/>
          <w:sz w:val="32"/>
          <w:szCs w:val="32"/>
        </w:rPr>
        <w:t>万元</w:t>
      </w:r>
      <w:r>
        <w:rPr>
          <w:rFonts w:hint="eastAsia" w:eastAsia="仿宋_GB2312" w:cs="仿宋_GB2312"/>
          <w:sz w:val="32"/>
          <w:szCs w:val="32"/>
        </w:rPr>
        <w:t>，主要用于以下方面：一般公共服务支出</w:t>
      </w:r>
      <w:r>
        <w:rPr>
          <w:rFonts w:hint="eastAsia" w:eastAsia="仿宋_GB2312" w:cs="仿宋_GB2312"/>
          <w:sz w:val="32"/>
          <w:szCs w:val="32"/>
          <w:lang w:val="en-US" w:eastAsia="zh-CN"/>
        </w:rPr>
        <w:t>41.31</w:t>
      </w:r>
      <w:r>
        <w:rPr>
          <w:rFonts w:hint="eastAsia" w:eastAsia="仿宋_GB2312" w:cs="仿宋_GB2312"/>
          <w:sz w:val="32"/>
          <w:szCs w:val="32"/>
        </w:rPr>
        <w:t>万元，占</w:t>
      </w:r>
      <w:r>
        <w:rPr>
          <w:rFonts w:hint="eastAsia" w:eastAsia="仿宋_GB2312" w:cs="仿宋_GB2312"/>
          <w:sz w:val="32"/>
          <w:szCs w:val="32"/>
          <w:lang w:val="en-US" w:eastAsia="zh-CN"/>
        </w:rPr>
        <w:t>0.56</w:t>
      </w:r>
      <w:r>
        <w:rPr>
          <w:rFonts w:hint="eastAsia" w:eastAsia="仿宋_GB2312" w:cs="仿宋_GB2312"/>
          <w:sz w:val="32"/>
          <w:szCs w:val="32"/>
        </w:rPr>
        <w:t>%；教育支出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%；科学技术支出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%；文化旅游体育与传媒支出</w:t>
      </w:r>
      <w:r>
        <w:rPr>
          <w:rFonts w:hint="eastAsia" w:eastAsia="仿宋_GB2312" w:cs="仿宋_GB2312"/>
          <w:sz w:val="32"/>
          <w:szCs w:val="32"/>
          <w:lang w:val="en-US" w:eastAsia="zh-CN"/>
        </w:rPr>
        <w:t>6892.73</w:t>
      </w:r>
      <w:r>
        <w:rPr>
          <w:rFonts w:hint="eastAsia" w:eastAsia="仿宋_GB2312" w:cs="仿宋_GB2312"/>
          <w:sz w:val="32"/>
          <w:szCs w:val="32"/>
        </w:rPr>
        <w:t>万元，占</w:t>
      </w:r>
      <w:r>
        <w:rPr>
          <w:rFonts w:hint="eastAsia" w:eastAsia="仿宋_GB2312" w:cs="仿宋_GB2312"/>
          <w:sz w:val="32"/>
          <w:szCs w:val="32"/>
          <w:lang w:val="en-US" w:eastAsia="zh-CN"/>
        </w:rPr>
        <w:t>92.29</w:t>
      </w:r>
      <w:r>
        <w:rPr>
          <w:rFonts w:hint="eastAsia" w:eastAsia="仿宋_GB2312" w:cs="仿宋_GB2312"/>
          <w:sz w:val="32"/>
          <w:szCs w:val="32"/>
        </w:rPr>
        <w:t>%；社会保障和就业支出</w:t>
      </w:r>
      <w:r>
        <w:rPr>
          <w:rFonts w:hint="eastAsia" w:eastAsia="仿宋_GB2312" w:cs="仿宋_GB2312"/>
          <w:sz w:val="32"/>
          <w:szCs w:val="32"/>
          <w:lang w:val="en-US" w:eastAsia="zh-CN"/>
        </w:rPr>
        <w:t>257.14</w:t>
      </w:r>
      <w:r>
        <w:rPr>
          <w:rFonts w:hint="eastAsia" w:eastAsia="仿宋_GB2312" w:cs="仿宋_GB2312"/>
          <w:sz w:val="32"/>
          <w:szCs w:val="32"/>
        </w:rPr>
        <w:t>万元，占</w:t>
      </w:r>
      <w:r>
        <w:rPr>
          <w:rFonts w:hint="eastAsia" w:eastAsia="仿宋_GB2312" w:cs="仿宋_GB2312"/>
          <w:sz w:val="32"/>
          <w:szCs w:val="32"/>
          <w:lang w:val="en-US" w:eastAsia="zh-CN"/>
        </w:rPr>
        <w:t>3.47</w:t>
      </w:r>
      <w:r>
        <w:rPr>
          <w:rFonts w:hint="eastAsia" w:eastAsia="仿宋_GB2312" w:cs="仿宋_GB2312"/>
          <w:sz w:val="32"/>
          <w:szCs w:val="32"/>
        </w:rPr>
        <w:t>%；卫生健康支出</w:t>
      </w:r>
      <w:r>
        <w:rPr>
          <w:rFonts w:hint="eastAsia" w:eastAsia="仿宋_GB2312" w:cs="仿宋_GB2312"/>
          <w:sz w:val="32"/>
          <w:szCs w:val="32"/>
          <w:lang w:val="en-US" w:eastAsia="zh-CN"/>
        </w:rPr>
        <w:t>93.36</w:t>
      </w:r>
      <w:r>
        <w:rPr>
          <w:rFonts w:hint="eastAsia" w:eastAsia="仿宋_GB2312" w:cs="仿宋_GB2312"/>
          <w:sz w:val="32"/>
          <w:szCs w:val="32"/>
        </w:rPr>
        <w:t>万元，占</w:t>
      </w:r>
      <w:r>
        <w:rPr>
          <w:rFonts w:hint="eastAsia" w:eastAsia="仿宋_GB2312" w:cs="仿宋_GB2312"/>
          <w:sz w:val="32"/>
          <w:szCs w:val="32"/>
          <w:lang w:val="en-US" w:eastAsia="zh-CN"/>
        </w:rPr>
        <w:t>1.26</w:t>
      </w:r>
      <w:r>
        <w:rPr>
          <w:rFonts w:hint="eastAsia" w:eastAsia="仿宋_GB2312" w:cs="仿宋_GB2312"/>
          <w:sz w:val="32"/>
          <w:szCs w:val="32"/>
        </w:rPr>
        <w:t>%；住房保障支出</w:t>
      </w:r>
      <w:r>
        <w:rPr>
          <w:rFonts w:hint="eastAsia" w:eastAsia="仿宋_GB2312" w:cs="仿宋_GB2312"/>
          <w:sz w:val="32"/>
          <w:szCs w:val="32"/>
          <w:lang w:val="en-US" w:eastAsia="zh-CN"/>
        </w:rPr>
        <w:t>134.41</w:t>
      </w:r>
      <w:r>
        <w:rPr>
          <w:rFonts w:hint="eastAsia" w:eastAsia="仿宋_GB2312" w:cs="仿宋_GB2312"/>
          <w:sz w:val="32"/>
          <w:szCs w:val="32"/>
        </w:rPr>
        <w:t>万元，占</w:t>
      </w:r>
      <w:r>
        <w:rPr>
          <w:rFonts w:hint="eastAsia" w:eastAsia="仿宋_GB2312" w:cs="仿宋_GB2312"/>
          <w:sz w:val="32"/>
          <w:szCs w:val="32"/>
          <w:lang w:val="en-US" w:eastAsia="zh-CN"/>
        </w:rPr>
        <w:t>1.81</w:t>
      </w:r>
      <w:r>
        <w:rPr>
          <w:rFonts w:hint="eastAsia" w:eastAsia="仿宋_GB2312" w:cs="仿宋_GB2312"/>
          <w:sz w:val="32"/>
          <w:szCs w:val="32"/>
        </w:rPr>
        <w:t>%</w:t>
      </w:r>
      <w:r>
        <w:rPr>
          <w:rFonts w:hint="eastAsia" w:eastAsia="仿宋_GB2312" w:cs="仿宋_GB2312"/>
          <w:sz w:val="32"/>
          <w:szCs w:val="32"/>
          <w:lang w:eastAsia="zh-CN"/>
        </w:rPr>
        <w:t>。</w:t>
      </w:r>
      <w:r>
        <w:rPr>
          <w:rFonts w:hint="eastAsia" w:eastAsia="仿宋_GB2312" w:cs="仿宋_GB2312"/>
          <w:b/>
          <w:bCs/>
          <w:sz w:val="32"/>
          <w:szCs w:val="32"/>
        </w:rPr>
        <w:t>（注：仅罗列本部门涉及的全部功能分类科目，至类级）</w:t>
      </w:r>
    </w:p>
    <w:p>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pPr>
        <w:spacing w:line="600" w:lineRule="exact"/>
        <w:ind w:firstLine="640"/>
        <w:rPr>
          <w:rFonts w:eastAsia="仿宋_GB2312" w:cs="仿宋_GB2312"/>
          <w:sz w:val="32"/>
          <w:szCs w:val="32"/>
        </w:rPr>
      </w:pPr>
    </w:p>
    <w:p>
      <w:pPr>
        <w:pStyle w:val="8"/>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5256530" cy="2988310"/>
            <wp:effectExtent l="5080" t="4445" r="15240" b="1714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pStyle w:val="9"/>
        <w:widowControl w:val="0"/>
        <w:numPr>
          <w:ilvl w:val="0"/>
          <w:numId w:val="0"/>
        </w:numPr>
        <w:jc w:val="both"/>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36" w:name="_Toc15377212"/>
      <w:r>
        <w:rPr>
          <w:rFonts w:hint="eastAsia" w:eastAsia="楷体_GB2312" w:cs="楷体_GB2312"/>
          <w:b/>
          <w:sz w:val="32"/>
          <w:szCs w:val="32"/>
        </w:rPr>
        <w:t>（三）一般公共预算财政拨款支出决算具体情况</w:t>
      </w:r>
      <w:bookmarkEnd w:id="36"/>
    </w:p>
    <w:p>
      <w:pPr>
        <w:spacing w:line="600" w:lineRule="exact"/>
        <w:ind w:firstLine="640"/>
        <w:rPr>
          <w:rFonts w:hint="eastAsia" w:eastAsia="仿宋_GB2312" w:cs="仿宋_GB2312"/>
          <w:sz w:val="32"/>
          <w:szCs w:val="32"/>
        </w:rPr>
      </w:pPr>
      <w:bookmarkStart w:id="37" w:name="_Toc15377444"/>
      <w:bookmarkStart w:id="38" w:name="_Toc15377213"/>
      <w:bookmarkStart w:id="39" w:name="_Toc15378460"/>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lang w:val="en-US" w:eastAsia="zh-CN"/>
        </w:rPr>
        <w:t>7418.95万元</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7"/>
      <w:bookmarkEnd w:id="38"/>
      <w:bookmarkEnd w:id="39"/>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1</w:t>
      </w:r>
      <w:r>
        <w:rPr>
          <w:rStyle w:val="17"/>
          <w:rFonts w:hint="eastAsia" w:ascii="仿宋_GB2312" w:hAnsi="仿宋_GB2312" w:eastAsia="仿宋_GB2312" w:cs="仿宋_GB2312"/>
          <w:b w:val="0"/>
          <w:bCs/>
          <w:color w:val="auto"/>
          <w:sz w:val="32"/>
          <w:szCs w:val="32"/>
          <w:highlight w:val="none"/>
        </w:rPr>
        <w:t>.文化旅游体育与传媒（类）文化和旅游（款）行政运行（项）: 支出决算为</w:t>
      </w:r>
      <w:r>
        <w:rPr>
          <w:rStyle w:val="17"/>
          <w:rFonts w:hint="eastAsia" w:ascii="仿宋_GB2312" w:hAnsi="仿宋_GB2312" w:eastAsia="仿宋_GB2312" w:cs="仿宋_GB2312"/>
          <w:b w:val="0"/>
          <w:bCs/>
          <w:color w:val="auto"/>
          <w:sz w:val="32"/>
          <w:szCs w:val="32"/>
          <w:highlight w:val="none"/>
          <w:lang w:val="en-US" w:eastAsia="zh-CN"/>
        </w:rPr>
        <w:t>1758.52</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2</w:t>
      </w:r>
      <w:r>
        <w:rPr>
          <w:rStyle w:val="17"/>
          <w:rFonts w:hint="eastAsia" w:ascii="仿宋_GB2312" w:hAnsi="仿宋_GB2312" w:eastAsia="仿宋_GB2312" w:cs="仿宋_GB2312"/>
          <w:b w:val="0"/>
          <w:bCs/>
          <w:color w:val="auto"/>
          <w:sz w:val="32"/>
          <w:szCs w:val="32"/>
          <w:highlight w:val="none"/>
        </w:rPr>
        <w:t>.文化旅游体育与传媒（类）文化和旅游（款）一般行政管理事务（项）: 支出决算为</w:t>
      </w:r>
      <w:r>
        <w:rPr>
          <w:rStyle w:val="17"/>
          <w:rFonts w:hint="eastAsia" w:ascii="仿宋_GB2312" w:hAnsi="仿宋_GB2312" w:eastAsia="仿宋_GB2312" w:cs="仿宋_GB2312"/>
          <w:b w:val="0"/>
          <w:bCs/>
          <w:color w:val="auto"/>
          <w:sz w:val="32"/>
          <w:szCs w:val="32"/>
          <w:highlight w:val="none"/>
          <w:lang w:val="en-US" w:eastAsia="zh-CN"/>
        </w:rPr>
        <w:t>1,622.98</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3</w:t>
      </w:r>
      <w:r>
        <w:rPr>
          <w:rStyle w:val="17"/>
          <w:rFonts w:hint="eastAsia" w:ascii="仿宋_GB2312" w:hAnsi="仿宋_GB2312" w:eastAsia="仿宋_GB2312" w:cs="仿宋_GB2312"/>
          <w:b w:val="0"/>
          <w:bCs/>
          <w:color w:val="auto"/>
          <w:sz w:val="32"/>
          <w:szCs w:val="32"/>
          <w:highlight w:val="none"/>
        </w:rPr>
        <w:t>.文化旅游体育与传媒（类）文化和旅游（款）文化创作与保护（项）:支出决算为</w:t>
      </w:r>
      <w:r>
        <w:rPr>
          <w:rStyle w:val="17"/>
          <w:rFonts w:hint="eastAsia" w:ascii="仿宋_GB2312" w:hAnsi="仿宋_GB2312" w:eastAsia="仿宋_GB2312" w:cs="仿宋_GB2312"/>
          <w:b w:val="0"/>
          <w:bCs/>
          <w:color w:val="auto"/>
          <w:sz w:val="32"/>
          <w:szCs w:val="32"/>
          <w:highlight w:val="none"/>
          <w:lang w:val="en-US" w:eastAsia="zh-CN"/>
        </w:rPr>
        <w:t>104.5</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4</w:t>
      </w:r>
      <w:r>
        <w:rPr>
          <w:rStyle w:val="17"/>
          <w:rFonts w:hint="eastAsia" w:ascii="仿宋_GB2312" w:hAnsi="仿宋_GB2312" w:eastAsia="仿宋_GB2312" w:cs="仿宋_GB2312"/>
          <w:b w:val="0"/>
          <w:bCs/>
          <w:color w:val="auto"/>
          <w:sz w:val="32"/>
          <w:szCs w:val="32"/>
          <w:highlight w:val="none"/>
        </w:rPr>
        <w:t>.文化旅游体育与传媒（类）文化和旅游（款）文化和旅游市场管理（项）: 支出决算为</w:t>
      </w:r>
      <w:r>
        <w:rPr>
          <w:rStyle w:val="17"/>
          <w:rFonts w:hint="eastAsia" w:ascii="仿宋_GB2312" w:hAnsi="仿宋_GB2312" w:eastAsia="仿宋_GB2312" w:cs="仿宋_GB2312"/>
          <w:b w:val="0"/>
          <w:bCs/>
          <w:color w:val="auto"/>
          <w:sz w:val="32"/>
          <w:szCs w:val="32"/>
          <w:highlight w:val="none"/>
          <w:lang w:val="en-US" w:eastAsia="zh-CN"/>
        </w:rPr>
        <w:t>50</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Style w:val="17"/>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5</w:t>
      </w:r>
      <w:r>
        <w:rPr>
          <w:rStyle w:val="17"/>
          <w:rFonts w:hint="eastAsia" w:ascii="仿宋_GB2312" w:hAnsi="仿宋_GB2312" w:eastAsia="仿宋_GB2312" w:cs="仿宋_GB2312"/>
          <w:b w:val="0"/>
          <w:bCs/>
          <w:color w:val="auto"/>
          <w:sz w:val="32"/>
          <w:szCs w:val="32"/>
          <w:highlight w:val="none"/>
        </w:rPr>
        <w:t>.文化旅游体育与传媒（类）文化和旅游（款）其他文化和旅游支出（项）: 支出决算为</w:t>
      </w:r>
      <w:r>
        <w:rPr>
          <w:rStyle w:val="17"/>
          <w:rFonts w:hint="eastAsia" w:ascii="仿宋_GB2312" w:hAnsi="仿宋_GB2312" w:eastAsia="仿宋_GB2312" w:cs="仿宋_GB2312"/>
          <w:b w:val="0"/>
          <w:bCs/>
          <w:color w:val="auto"/>
          <w:sz w:val="32"/>
          <w:szCs w:val="32"/>
          <w:highlight w:val="none"/>
          <w:lang w:val="en-US" w:eastAsia="zh-CN"/>
        </w:rPr>
        <w:t>343.10</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Style w:val="17"/>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6</w:t>
      </w:r>
      <w:r>
        <w:rPr>
          <w:rStyle w:val="17"/>
          <w:rFonts w:hint="eastAsia" w:ascii="仿宋_GB2312" w:hAnsi="仿宋_GB2312" w:eastAsia="仿宋_GB2312" w:cs="仿宋_GB2312"/>
          <w:b w:val="0"/>
          <w:bCs/>
          <w:color w:val="auto"/>
          <w:sz w:val="32"/>
          <w:szCs w:val="32"/>
          <w:highlight w:val="none"/>
        </w:rPr>
        <w:t>.文化旅游体育与传媒（类）文化和旅游（款）</w:t>
      </w:r>
      <w:r>
        <w:rPr>
          <w:rStyle w:val="17"/>
          <w:rFonts w:hint="eastAsia" w:ascii="仿宋_GB2312" w:hAnsi="仿宋_GB2312" w:eastAsia="仿宋_GB2312" w:cs="仿宋_GB2312"/>
          <w:b w:val="0"/>
          <w:bCs/>
          <w:color w:val="auto"/>
          <w:sz w:val="32"/>
          <w:szCs w:val="32"/>
          <w:highlight w:val="none"/>
          <w:lang w:eastAsia="zh-CN"/>
        </w:rPr>
        <w:t>文化活动</w:t>
      </w:r>
      <w:r>
        <w:rPr>
          <w:rStyle w:val="17"/>
          <w:rFonts w:hint="eastAsia" w:ascii="仿宋_GB2312" w:hAnsi="仿宋_GB2312" w:eastAsia="仿宋_GB2312" w:cs="仿宋_GB2312"/>
          <w:b w:val="0"/>
          <w:bCs/>
          <w:color w:val="auto"/>
          <w:sz w:val="32"/>
          <w:szCs w:val="32"/>
          <w:highlight w:val="none"/>
        </w:rPr>
        <w:t>（项）: 支出决算为</w:t>
      </w:r>
      <w:r>
        <w:rPr>
          <w:rStyle w:val="17"/>
          <w:rFonts w:hint="eastAsia" w:ascii="仿宋_GB2312" w:hAnsi="仿宋_GB2312" w:eastAsia="仿宋_GB2312" w:cs="仿宋_GB2312"/>
          <w:b w:val="0"/>
          <w:bCs/>
          <w:color w:val="auto"/>
          <w:sz w:val="32"/>
          <w:szCs w:val="32"/>
          <w:highlight w:val="none"/>
          <w:lang w:val="en-US" w:eastAsia="zh-CN"/>
        </w:rPr>
        <w:t>977.63</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Style w:val="17"/>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7</w:t>
      </w:r>
      <w:r>
        <w:rPr>
          <w:rStyle w:val="17"/>
          <w:rFonts w:hint="eastAsia" w:ascii="仿宋_GB2312" w:hAnsi="仿宋_GB2312" w:eastAsia="仿宋_GB2312" w:cs="仿宋_GB2312"/>
          <w:b w:val="0"/>
          <w:bCs/>
          <w:color w:val="auto"/>
          <w:sz w:val="32"/>
          <w:szCs w:val="32"/>
          <w:highlight w:val="none"/>
        </w:rPr>
        <w:t>.文化旅游体育与传媒（类）文化和旅游（</w:t>
      </w:r>
      <w:r>
        <w:rPr>
          <w:rStyle w:val="17"/>
          <w:rFonts w:hint="eastAsia" w:ascii="仿宋_GB2312" w:hAnsi="仿宋_GB2312" w:eastAsia="仿宋_GB2312" w:cs="仿宋_GB2312"/>
          <w:b w:val="0"/>
          <w:bCs/>
          <w:color w:val="auto"/>
          <w:sz w:val="32"/>
          <w:szCs w:val="32"/>
          <w:highlight w:val="none"/>
          <w:lang w:eastAsia="zh-CN"/>
        </w:rPr>
        <w:t>款）旅游宣传</w:t>
      </w:r>
      <w:r>
        <w:rPr>
          <w:rStyle w:val="17"/>
          <w:rFonts w:hint="eastAsia" w:ascii="仿宋_GB2312" w:hAnsi="仿宋_GB2312" w:eastAsia="仿宋_GB2312" w:cs="仿宋_GB2312"/>
          <w:b w:val="0"/>
          <w:bCs/>
          <w:color w:val="auto"/>
          <w:sz w:val="32"/>
          <w:szCs w:val="32"/>
          <w:highlight w:val="none"/>
        </w:rPr>
        <w:t>（项）: 支出决算为</w:t>
      </w:r>
      <w:r>
        <w:rPr>
          <w:rStyle w:val="17"/>
          <w:rFonts w:hint="eastAsia" w:ascii="仿宋_GB2312" w:hAnsi="仿宋_GB2312" w:eastAsia="仿宋_GB2312" w:cs="仿宋_GB2312"/>
          <w:b w:val="0"/>
          <w:bCs/>
          <w:color w:val="auto"/>
          <w:sz w:val="32"/>
          <w:szCs w:val="32"/>
          <w:highlight w:val="none"/>
          <w:lang w:val="en-US" w:eastAsia="zh-CN"/>
        </w:rPr>
        <w:t>588.35</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Style w:val="17"/>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8</w:t>
      </w:r>
      <w:r>
        <w:rPr>
          <w:rStyle w:val="17"/>
          <w:rFonts w:hint="eastAsia" w:ascii="仿宋_GB2312" w:hAnsi="仿宋_GB2312" w:eastAsia="仿宋_GB2312" w:cs="仿宋_GB2312"/>
          <w:b w:val="0"/>
          <w:bCs/>
          <w:color w:val="auto"/>
          <w:sz w:val="32"/>
          <w:szCs w:val="32"/>
          <w:highlight w:val="none"/>
        </w:rPr>
        <w:t>.文化旅游体育与传媒（类）文化和旅游（款）</w:t>
      </w:r>
      <w:r>
        <w:rPr>
          <w:rStyle w:val="17"/>
          <w:rFonts w:hint="eastAsia" w:ascii="仿宋_GB2312" w:hAnsi="仿宋_GB2312" w:eastAsia="仿宋_GB2312" w:cs="仿宋_GB2312"/>
          <w:b w:val="0"/>
          <w:bCs/>
          <w:color w:val="auto"/>
          <w:sz w:val="32"/>
          <w:szCs w:val="32"/>
          <w:highlight w:val="none"/>
          <w:lang w:eastAsia="zh-CN"/>
        </w:rPr>
        <w:t>文化和旅游管理事务</w:t>
      </w:r>
      <w:r>
        <w:rPr>
          <w:rStyle w:val="17"/>
          <w:rFonts w:hint="eastAsia" w:ascii="仿宋_GB2312" w:hAnsi="仿宋_GB2312" w:eastAsia="仿宋_GB2312" w:cs="仿宋_GB2312"/>
          <w:b w:val="0"/>
          <w:bCs/>
          <w:color w:val="auto"/>
          <w:sz w:val="32"/>
          <w:szCs w:val="32"/>
          <w:highlight w:val="none"/>
        </w:rPr>
        <w:t>（项）: 支出决算为</w:t>
      </w:r>
      <w:r>
        <w:rPr>
          <w:rStyle w:val="17"/>
          <w:rFonts w:hint="eastAsia" w:ascii="仿宋_GB2312" w:hAnsi="仿宋_GB2312" w:eastAsia="仿宋_GB2312" w:cs="仿宋_GB2312"/>
          <w:b w:val="0"/>
          <w:bCs/>
          <w:color w:val="auto"/>
          <w:sz w:val="32"/>
          <w:szCs w:val="32"/>
          <w:highlight w:val="none"/>
          <w:lang w:val="en-US" w:eastAsia="zh-CN"/>
        </w:rPr>
        <w:t>40.00</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9</w:t>
      </w:r>
      <w:r>
        <w:rPr>
          <w:rStyle w:val="17"/>
          <w:rFonts w:hint="eastAsia" w:ascii="仿宋_GB2312" w:hAnsi="仿宋_GB2312" w:eastAsia="仿宋_GB2312" w:cs="仿宋_GB2312"/>
          <w:b w:val="0"/>
          <w:bCs/>
          <w:color w:val="auto"/>
          <w:sz w:val="32"/>
          <w:szCs w:val="32"/>
          <w:highlight w:val="none"/>
        </w:rPr>
        <w:t>.文化旅游体育与传媒（类）体育（款）体育竞赛（项）: 支出决算为</w:t>
      </w:r>
      <w:r>
        <w:rPr>
          <w:rStyle w:val="17"/>
          <w:rFonts w:hint="eastAsia" w:ascii="仿宋_GB2312" w:hAnsi="仿宋_GB2312" w:eastAsia="仿宋_GB2312" w:cs="仿宋_GB2312"/>
          <w:b w:val="0"/>
          <w:bCs/>
          <w:color w:val="auto"/>
          <w:sz w:val="32"/>
          <w:szCs w:val="32"/>
          <w:highlight w:val="none"/>
          <w:lang w:val="en-US" w:eastAsia="zh-CN"/>
        </w:rPr>
        <w:t>409.54</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10</w:t>
      </w:r>
      <w:r>
        <w:rPr>
          <w:rStyle w:val="17"/>
          <w:rFonts w:hint="eastAsia" w:ascii="仿宋_GB2312" w:hAnsi="仿宋_GB2312" w:eastAsia="仿宋_GB2312" w:cs="仿宋_GB2312"/>
          <w:b w:val="0"/>
          <w:bCs/>
          <w:color w:val="auto"/>
          <w:sz w:val="32"/>
          <w:szCs w:val="32"/>
          <w:highlight w:val="none"/>
        </w:rPr>
        <w:t>.文化旅游体育与传媒（类）体育（款）体育训练（项）: 支出决算为</w:t>
      </w:r>
      <w:r>
        <w:rPr>
          <w:rStyle w:val="17"/>
          <w:rFonts w:hint="eastAsia" w:ascii="仿宋_GB2312" w:hAnsi="仿宋_GB2312" w:eastAsia="仿宋_GB2312" w:cs="仿宋_GB2312"/>
          <w:b w:val="0"/>
          <w:bCs/>
          <w:color w:val="auto"/>
          <w:sz w:val="32"/>
          <w:szCs w:val="32"/>
          <w:highlight w:val="none"/>
          <w:lang w:val="en-US" w:eastAsia="zh-CN"/>
        </w:rPr>
        <w:t>136.85</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11</w:t>
      </w:r>
      <w:r>
        <w:rPr>
          <w:rStyle w:val="17"/>
          <w:rFonts w:hint="eastAsia" w:ascii="仿宋_GB2312" w:hAnsi="仿宋_GB2312" w:eastAsia="仿宋_GB2312" w:cs="仿宋_GB2312"/>
          <w:b w:val="0"/>
          <w:bCs/>
          <w:color w:val="auto"/>
          <w:sz w:val="32"/>
          <w:szCs w:val="32"/>
          <w:highlight w:val="none"/>
        </w:rPr>
        <w:t>.文化旅游体育与传媒（类）体育（款）体育场馆（项）: 支出决算为</w:t>
      </w:r>
      <w:r>
        <w:rPr>
          <w:rStyle w:val="17"/>
          <w:rFonts w:hint="eastAsia" w:ascii="仿宋_GB2312" w:hAnsi="仿宋_GB2312" w:eastAsia="仿宋_GB2312" w:cs="仿宋_GB2312"/>
          <w:b w:val="0"/>
          <w:bCs/>
          <w:color w:val="auto"/>
          <w:sz w:val="32"/>
          <w:szCs w:val="32"/>
          <w:highlight w:val="none"/>
          <w:lang w:val="en-US" w:eastAsia="zh-CN"/>
        </w:rPr>
        <w:t>732.28</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12</w:t>
      </w:r>
      <w:r>
        <w:rPr>
          <w:rStyle w:val="17"/>
          <w:rFonts w:hint="eastAsia" w:ascii="仿宋_GB2312" w:hAnsi="仿宋_GB2312" w:eastAsia="仿宋_GB2312" w:cs="仿宋_GB2312"/>
          <w:b w:val="0"/>
          <w:bCs/>
          <w:color w:val="auto"/>
          <w:sz w:val="32"/>
          <w:szCs w:val="32"/>
          <w:highlight w:val="none"/>
        </w:rPr>
        <w:t>.文化旅游体育与传媒（类）体育（款）群众体育（项）: 支出决算为</w:t>
      </w:r>
      <w:r>
        <w:rPr>
          <w:rStyle w:val="17"/>
          <w:rFonts w:hint="eastAsia" w:ascii="仿宋_GB2312" w:hAnsi="仿宋_GB2312" w:eastAsia="仿宋_GB2312" w:cs="仿宋_GB2312"/>
          <w:b w:val="0"/>
          <w:bCs/>
          <w:color w:val="auto"/>
          <w:sz w:val="32"/>
          <w:szCs w:val="32"/>
          <w:highlight w:val="none"/>
          <w:lang w:val="en-US" w:eastAsia="zh-CN"/>
        </w:rPr>
        <w:t>255.26</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Style w:val="17"/>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13</w:t>
      </w:r>
      <w:r>
        <w:rPr>
          <w:rStyle w:val="17"/>
          <w:rFonts w:hint="eastAsia" w:ascii="仿宋_GB2312" w:hAnsi="仿宋_GB2312" w:eastAsia="仿宋_GB2312" w:cs="仿宋_GB2312"/>
          <w:b w:val="0"/>
          <w:bCs/>
          <w:color w:val="auto"/>
          <w:sz w:val="32"/>
          <w:szCs w:val="32"/>
          <w:highlight w:val="none"/>
        </w:rPr>
        <w:t>.文化旅游体育与传媒（类）体育（款）体育交流与合作（项）: 支出决算为</w:t>
      </w:r>
      <w:r>
        <w:rPr>
          <w:rStyle w:val="17"/>
          <w:rFonts w:hint="eastAsia" w:ascii="仿宋_GB2312" w:hAnsi="仿宋_GB2312" w:eastAsia="仿宋_GB2312" w:cs="仿宋_GB2312"/>
          <w:b w:val="0"/>
          <w:bCs/>
          <w:color w:val="auto"/>
          <w:sz w:val="32"/>
          <w:szCs w:val="32"/>
          <w:highlight w:val="none"/>
          <w:lang w:val="en-US" w:eastAsia="zh-CN"/>
        </w:rPr>
        <w:t>43.60</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Style w:val="17"/>
          <w:rFonts w:hint="eastAsia" w:ascii="仿宋_GB2312" w:hAnsi="仿宋_GB2312" w:eastAsia="仿宋_GB2312" w:cs="仿宋_GB2312"/>
          <w:b w:val="0"/>
          <w:bCs/>
          <w:color w:val="auto"/>
          <w:sz w:val="32"/>
          <w:szCs w:val="32"/>
          <w:highlight w:val="none"/>
          <w:lang w:val="en-US" w:eastAsia="zh-CN"/>
        </w:rPr>
      </w:pPr>
      <w:r>
        <w:rPr>
          <w:rStyle w:val="17"/>
          <w:rFonts w:hint="eastAsia" w:ascii="仿宋_GB2312" w:hAnsi="仿宋_GB2312" w:eastAsia="仿宋_GB2312" w:cs="仿宋_GB2312"/>
          <w:b w:val="0"/>
          <w:bCs/>
          <w:color w:val="auto"/>
          <w:sz w:val="32"/>
          <w:szCs w:val="32"/>
          <w:highlight w:val="none"/>
          <w:lang w:val="en-US" w:eastAsia="zh-CN"/>
        </w:rPr>
        <w:t>14</w:t>
      </w:r>
      <w:r>
        <w:rPr>
          <w:rStyle w:val="17"/>
          <w:rFonts w:hint="eastAsia" w:ascii="仿宋_GB2312" w:hAnsi="仿宋_GB2312" w:eastAsia="仿宋_GB2312" w:cs="仿宋_GB2312"/>
          <w:b w:val="0"/>
          <w:bCs/>
          <w:color w:val="auto"/>
          <w:sz w:val="32"/>
          <w:szCs w:val="32"/>
          <w:highlight w:val="none"/>
        </w:rPr>
        <w:t>.文化旅游体育与传媒（类）体育（款）</w:t>
      </w:r>
      <w:r>
        <w:rPr>
          <w:rStyle w:val="17"/>
          <w:rFonts w:hint="eastAsia" w:ascii="仿宋_GB2312" w:hAnsi="仿宋_GB2312" w:eastAsia="仿宋_GB2312" w:cs="仿宋_GB2312"/>
          <w:b w:val="0"/>
          <w:bCs/>
          <w:color w:val="auto"/>
          <w:sz w:val="32"/>
          <w:szCs w:val="32"/>
          <w:highlight w:val="none"/>
          <w:lang w:eastAsia="zh-CN"/>
        </w:rPr>
        <w:t>其他体育支出</w:t>
      </w:r>
      <w:r>
        <w:rPr>
          <w:rStyle w:val="17"/>
          <w:rFonts w:hint="eastAsia" w:ascii="仿宋_GB2312" w:hAnsi="仿宋_GB2312" w:eastAsia="仿宋_GB2312" w:cs="仿宋_GB2312"/>
          <w:b w:val="0"/>
          <w:bCs/>
          <w:color w:val="auto"/>
          <w:sz w:val="32"/>
          <w:szCs w:val="32"/>
          <w:highlight w:val="none"/>
        </w:rPr>
        <w:t>（项）: 支出决算为</w:t>
      </w:r>
      <w:r>
        <w:rPr>
          <w:rStyle w:val="17"/>
          <w:rFonts w:hint="eastAsia" w:ascii="仿宋_GB2312" w:hAnsi="仿宋_GB2312" w:eastAsia="仿宋_GB2312" w:cs="仿宋_GB2312"/>
          <w:b w:val="0"/>
          <w:bCs/>
          <w:color w:val="auto"/>
          <w:sz w:val="32"/>
          <w:szCs w:val="32"/>
          <w:highlight w:val="none"/>
          <w:lang w:val="en-US" w:eastAsia="zh-CN"/>
        </w:rPr>
        <w:t>32.00</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r>
        <w:rPr>
          <w:rStyle w:val="17"/>
          <w:rFonts w:hint="eastAsia" w:ascii="仿宋_GB2312" w:hAnsi="仿宋_GB2312" w:eastAsia="仿宋_GB2312" w:cs="仿宋_GB2312"/>
          <w:b w:val="0"/>
          <w:bCs/>
          <w:color w:val="auto"/>
          <w:sz w:val="32"/>
          <w:szCs w:val="32"/>
          <w:highlight w:val="none"/>
          <w:lang w:val="en-US" w:eastAsia="zh-CN"/>
        </w:rPr>
        <w:t xml:space="preserve">  </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Style w:val="17"/>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15.</w:t>
      </w:r>
      <w:r>
        <w:rPr>
          <w:rStyle w:val="17"/>
          <w:rFonts w:hint="eastAsia" w:ascii="仿宋_GB2312" w:hAnsi="仿宋_GB2312" w:eastAsia="仿宋_GB2312" w:cs="仿宋_GB2312"/>
          <w:b w:val="0"/>
          <w:bCs/>
          <w:color w:val="auto"/>
          <w:sz w:val="32"/>
          <w:szCs w:val="32"/>
          <w:highlight w:val="none"/>
        </w:rPr>
        <w:t>文化旅游体育与传媒（类）</w:t>
      </w:r>
      <w:r>
        <w:rPr>
          <w:rStyle w:val="17"/>
          <w:rFonts w:hint="eastAsia" w:ascii="仿宋_GB2312" w:hAnsi="仿宋_GB2312" w:eastAsia="仿宋_GB2312" w:cs="仿宋_GB2312"/>
          <w:b w:val="0"/>
          <w:bCs/>
          <w:color w:val="auto"/>
          <w:sz w:val="32"/>
          <w:szCs w:val="32"/>
          <w:highlight w:val="none"/>
          <w:lang w:eastAsia="zh-CN"/>
        </w:rPr>
        <w:t>文物</w:t>
      </w:r>
      <w:r>
        <w:rPr>
          <w:rStyle w:val="17"/>
          <w:rFonts w:hint="eastAsia" w:ascii="仿宋_GB2312" w:hAnsi="仿宋_GB2312" w:eastAsia="仿宋_GB2312" w:cs="仿宋_GB2312"/>
          <w:b w:val="0"/>
          <w:bCs/>
          <w:color w:val="auto"/>
          <w:sz w:val="32"/>
          <w:szCs w:val="32"/>
          <w:highlight w:val="none"/>
        </w:rPr>
        <w:t>（款）其他</w:t>
      </w:r>
      <w:r>
        <w:rPr>
          <w:rStyle w:val="17"/>
          <w:rFonts w:hint="eastAsia" w:ascii="仿宋_GB2312" w:hAnsi="仿宋_GB2312" w:eastAsia="仿宋_GB2312" w:cs="仿宋_GB2312"/>
          <w:b w:val="0"/>
          <w:bCs/>
          <w:color w:val="auto"/>
          <w:sz w:val="32"/>
          <w:szCs w:val="32"/>
          <w:highlight w:val="none"/>
          <w:lang w:eastAsia="zh-CN"/>
        </w:rPr>
        <w:t>文物</w:t>
      </w:r>
      <w:r>
        <w:rPr>
          <w:rStyle w:val="17"/>
          <w:rFonts w:hint="eastAsia" w:ascii="仿宋_GB2312" w:hAnsi="仿宋_GB2312" w:eastAsia="仿宋_GB2312" w:cs="仿宋_GB2312"/>
          <w:b w:val="0"/>
          <w:bCs/>
          <w:color w:val="auto"/>
          <w:sz w:val="32"/>
          <w:szCs w:val="32"/>
          <w:highlight w:val="none"/>
        </w:rPr>
        <w:t>支出（项）: 支出决算为</w:t>
      </w:r>
      <w:r>
        <w:rPr>
          <w:rStyle w:val="17"/>
          <w:rFonts w:hint="eastAsia" w:ascii="仿宋_GB2312" w:hAnsi="仿宋_GB2312" w:eastAsia="仿宋_GB2312" w:cs="仿宋_GB2312"/>
          <w:b w:val="0"/>
          <w:bCs/>
          <w:color w:val="auto"/>
          <w:sz w:val="32"/>
          <w:szCs w:val="32"/>
          <w:highlight w:val="none"/>
          <w:lang w:val="en-US" w:eastAsia="zh-CN"/>
        </w:rPr>
        <w:t>72.04</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Style w:val="17"/>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16</w:t>
      </w:r>
      <w:r>
        <w:rPr>
          <w:rStyle w:val="17"/>
          <w:rFonts w:hint="eastAsia" w:ascii="仿宋_GB2312" w:hAnsi="仿宋_GB2312" w:eastAsia="仿宋_GB2312" w:cs="仿宋_GB2312"/>
          <w:b w:val="0"/>
          <w:bCs/>
          <w:color w:val="auto"/>
          <w:sz w:val="32"/>
          <w:szCs w:val="32"/>
          <w:highlight w:val="none"/>
        </w:rPr>
        <w:t>.文化旅游体育与传媒（类）</w:t>
      </w:r>
      <w:r>
        <w:rPr>
          <w:rStyle w:val="17"/>
          <w:rFonts w:hint="eastAsia" w:ascii="仿宋_GB2312" w:hAnsi="仿宋_GB2312" w:eastAsia="仿宋_GB2312" w:cs="仿宋_GB2312"/>
          <w:b w:val="0"/>
          <w:bCs/>
          <w:color w:val="auto"/>
          <w:sz w:val="32"/>
          <w:szCs w:val="32"/>
          <w:highlight w:val="none"/>
          <w:lang w:eastAsia="zh-CN"/>
        </w:rPr>
        <w:t>其他文化旅游体育与传媒支出</w:t>
      </w:r>
      <w:r>
        <w:rPr>
          <w:rStyle w:val="17"/>
          <w:rFonts w:hint="eastAsia" w:ascii="仿宋_GB2312" w:hAnsi="仿宋_GB2312" w:eastAsia="仿宋_GB2312" w:cs="仿宋_GB2312"/>
          <w:b w:val="0"/>
          <w:bCs/>
          <w:color w:val="auto"/>
          <w:sz w:val="32"/>
          <w:szCs w:val="32"/>
          <w:highlight w:val="none"/>
        </w:rPr>
        <w:t>（款）</w:t>
      </w:r>
      <w:r>
        <w:rPr>
          <w:rStyle w:val="17"/>
          <w:rFonts w:hint="eastAsia" w:ascii="仿宋_GB2312" w:hAnsi="仿宋_GB2312" w:eastAsia="仿宋_GB2312" w:cs="仿宋_GB2312"/>
          <w:b w:val="0"/>
          <w:bCs/>
          <w:color w:val="auto"/>
          <w:sz w:val="32"/>
          <w:szCs w:val="32"/>
          <w:highlight w:val="none"/>
          <w:lang w:eastAsia="zh-CN"/>
        </w:rPr>
        <w:t>其他文化旅游体育与传媒支出</w:t>
      </w:r>
      <w:r>
        <w:rPr>
          <w:rStyle w:val="17"/>
          <w:rFonts w:hint="eastAsia" w:ascii="仿宋_GB2312" w:hAnsi="仿宋_GB2312" w:eastAsia="仿宋_GB2312" w:cs="仿宋_GB2312"/>
          <w:b w:val="0"/>
          <w:bCs/>
          <w:color w:val="auto"/>
          <w:sz w:val="32"/>
          <w:szCs w:val="32"/>
          <w:highlight w:val="none"/>
        </w:rPr>
        <w:t>（项）: 支出决算为</w:t>
      </w:r>
      <w:r>
        <w:rPr>
          <w:rStyle w:val="17"/>
          <w:rFonts w:hint="eastAsia" w:ascii="仿宋_GB2312" w:hAnsi="仿宋_GB2312" w:eastAsia="仿宋_GB2312" w:cs="仿宋_GB2312"/>
          <w:b w:val="0"/>
          <w:bCs/>
          <w:color w:val="auto"/>
          <w:sz w:val="32"/>
          <w:szCs w:val="32"/>
          <w:highlight w:val="none"/>
          <w:lang w:val="en-US" w:eastAsia="zh-CN"/>
        </w:rPr>
        <w:t>333.10</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17</w:t>
      </w:r>
      <w:r>
        <w:rPr>
          <w:rStyle w:val="17"/>
          <w:rFonts w:hint="eastAsia" w:ascii="仿宋_GB2312" w:hAnsi="仿宋_GB2312" w:eastAsia="仿宋_GB2312" w:cs="仿宋_GB2312"/>
          <w:b w:val="0"/>
          <w:bCs/>
          <w:color w:val="auto"/>
          <w:sz w:val="32"/>
          <w:szCs w:val="32"/>
          <w:highlight w:val="none"/>
        </w:rPr>
        <w:t>.社会保障和就业（类）行政事业单位养老支出（款）机关事业单位基本养老保险缴费支出（项）: 支出决算为</w:t>
      </w:r>
      <w:r>
        <w:rPr>
          <w:rStyle w:val="17"/>
          <w:rFonts w:hint="eastAsia" w:ascii="仿宋_GB2312" w:hAnsi="仿宋_GB2312" w:eastAsia="仿宋_GB2312" w:cs="仿宋_GB2312"/>
          <w:b w:val="0"/>
          <w:bCs/>
          <w:color w:val="auto"/>
          <w:sz w:val="32"/>
          <w:szCs w:val="32"/>
          <w:highlight w:val="none"/>
          <w:lang w:val="en-US" w:eastAsia="zh-CN"/>
        </w:rPr>
        <w:t>149.03</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Style w:val="17"/>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18</w:t>
      </w:r>
      <w:r>
        <w:rPr>
          <w:rStyle w:val="17"/>
          <w:rFonts w:hint="eastAsia" w:ascii="仿宋_GB2312" w:hAnsi="仿宋_GB2312" w:eastAsia="仿宋_GB2312" w:cs="仿宋_GB2312"/>
          <w:b w:val="0"/>
          <w:bCs/>
          <w:color w:val="auto"/>
          <w:sz w:val="32"/>
          <w:szCs w:val="32"/>
          <w:highlight w:val="none"/>
        </w:rPr>
        <w:t>.社会保障和就业（类）行政事业单位养老支出（款）机关事业单位职业年金缴费支出（项）: 支出决算为</w:t>
      </w:r>
      <w:r>
        <w:rPr>
          <w:rStyle w:val="17"/>
          <w:rFonts w:hint="eastAsia" w:ascii="仿宋_GB2312" w:hAnsi="仿宋_GB2312" w:eastAsia="仿宋_GB2312" w:cs="仿宋_GB2312"/>
          <w:b w:val="0"/>
          <w:bCs/>
          <w:color w:val="auto"/>
          <w:sz w:val="32"/>
          <w:szCs w:val="32"/>
          <w:highlight w:val="none"/>
          <w:lang w:val="en-US" w:eastAsia="zh-CN"/>
        </w:rPr>
        <w:t>71.45</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19</w:t>
      </w:r>
      <w:r>
        <w:rPr>
          <w:rStyle w:val="17"/>
          <w:rFonts w:hint="eastAsia" w:ascii="仿宋_GB2312" w:hAnsi="仿宋_GB2312" w:eastAsia="仿宋_GB2312" w:cs="仿宋_GB2312"/>
          <w:b w:val="0"/>
          <w:bCs/>
          <w:color w:val="auto"/>
          <w:sz w:val="32"/>
          <w:szCs w:val="32"/>
          <w:highlight w:val="none"/>
        </w:rPr>
        <w:t>.卫生健康（类）行政事业单位医疗（款）行政单位医疗（项）:支出决算为</w:t>
      </w:r>
      <w:r>
        <w:rPr>
          <w:rStyle w:val="17"/>
          <w:rFonts w:hint="eastAsia" w:ascii="仿宋_GB2312" w:hAnsi="仿宋_GB2312" w:eastAsia="仿宋_GB2312" w:cs="仿宋_GB2312"/>
          <w:b w:val="0"/>
          <w:bCs/>
          <w:color w:val="auto"/>
          <w:sz w:val="32"/>
          <w:szCs w:val="32"/>
          <w:highlight w:val="none"/>
          <w:lang w:val="en-US" w:eastAsia="zh-CN"/>
        </w:rPr>
        <w:t>59.87</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20</w:t>
      </w:r>
      <w:r>
        <w:rPr>
          <w:rStyle w:val="17"/>
          <w:rFonts w:hint="eastAsia" w:ascii="仿宋_GB2312" w:hAnsi="仿宋_GB2312" w:eastAsia="仿宋_GB2312" w:cs="仿宋_GB2312"/>
          <w:b w:val="0"/>
          <w:bCs/>
          <w:color w:val="auto"/>
          <w:sz w:val="32"/>
          <w:szCs w:val="32"/>
          <w:highlight w:val="none"/>
        </w:rPr>
        <w:t>.卫生健康（类）行政事业单位医疗（款）公务员医疗补助（项）:支出决算为</w:t>
      </w:r>
      <w:r>
        <w:rPr>
          <w:rStyle w:val="17"/>
          <w:rFonts w:hint="eastAsia" w:ascii="仿宋_GB2312" w:hAnsi="仿宋_GB2312" w:eastAsia="仿宋_GB2312" w:cs="仿宋_GB2312"/>
          <w:b w:val="0"/>
          <w:bCs/>
          <w:color w:val="auto"/>
          <w:sz w:val="32"/>
          <w:szCs w:val="32"/>
          <w:highlight w:val="none"/>
          <w:lang w:val="en-US" w:eastAsia="zh-CN"/>
        </w:rPr>
        <w:t>15.58</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lang w:val="en-US" w:eastAsia="zh-CN"/>
        </w:rPr>
        <w:t>21</w:t>
      </w:r>
      <w:r>
        <w:rPr>
          <w:rStyle w:val="17"/>
          <w:rFonts w:hint="eastAsia" w:ascii="仿宋_GB2312" w:hAnsi="仿宋_GB2312" w:eastAsia="仿宋_GB2312" w:cs="仿宋_GB2312"/>
          <w:b w:val="0"/>
          <w:bCs/>
          <w:color w:val="auto"/>
          <w:sz w:val="32"/>
          <w:szCs w:val="32"/>
          <w:highlight w:val="none"/>
        </w:rPr>
        <w:t>.住房保障支出（类）住房改革支出（款）住房公积金（项）:支出决算为</w:t>
      </w:r>
      <w:r>
        <w:rPr>
          <w:rStyle w:val="17"/>
          <w:rFonts w:hint="eastAsia" w:ascii="仿宋_GB2312" w:hAnsi="仿宋_GB2312" w:eastAsia="仿宋_GB2312" w:cs="仿宋_GB2312"/>
          <w:b w:val="0"/>
          <w:bCs/>
          <w:color w:val="auto"/>
          <w:sz w:val="32"/>
          <w:szCs w:val="32"/>
          <w:highlight w:val="none"/>
          <w:lang w:val="en-US" w:eastAsia="zh-CN"/>
        </w:rPr>
        <w:t>100.21</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 w:val="0"/>
          <w:bCs/>
          <w:color w:val="auto"/>
          <w:sz w:val="32"/>
          <w:szCs w:val="32"/>
          <w:highlight w:val="none"/>
        </w:rPr>
        <w:t>（注：数据来源于财决01-1表和财决08表，仅罗列本部门涉及的全部功能分类科目，至项级。上述“预算”口径为全年预算数。增减变动原因为决算数&lt;项级&gt;和全年预算数&lt;项级&gt;比较，与预算数持平可以不写原因。）</w:t>
      </w:r>
    </w:p>
    <w:p>
      <w:pPr>
        <w:pStyle w:val="2"/>
      </w:pPr>
    </w:p>
    <w:p>
      <w:pPr>
        <w:spacing w:line="600" w:lineRule="exact"/>
        <w:ind w:firstLine="640"/>
        <w:rPr>
          <w:rFonts w:eastAsia="仿宋_GB2312" w:cs="仿宋_GB2312"/>
          <w:b/>
          <w:bCs/>
          <w:sz w:val="32"/>
          <w:szCs w:val="32"/>
        </w:rPr>
      </w:pPr>
      <w:r>
        <w:rPr>
          <w:rFonts w:hint="eastAsia" w:eastAsia="仿宋_GB2312" w:cs="仿宋_GB2312"/>
          <w:b/>
          <w:bCs/>
          <w:sz w:val="32"/>
          <w:szCs w:val="32"/>
        </w:rPr>
        <w:t>（注：仅罗列本部门涉及的全部功能分类科目，至项级。上述“预算”口径为全年预算数。增减变动原因为决算数&lt;项级&gt;和全年预算数&lt;项级&gt;比较，与预算数持平可以不写原因）</w:t>
      </w:r>
    </w:p>
    <w:p>
      <w:pPr>
        <w:spacing w:line="600" w:lineRule="exact"/>
        <w:ind w:firstLine="640"/>
        <w:rPr>
          <w:rFonts w:eastAsia="仿宋_GB2312" w:cs="仿宋_GB2312"/>
          <w:sz w:val="32"/>
          <w:szCs w:val="32"/>
        </w:rPr>
      </w:pPr>
    </w:p>
    <w:p>
      <w:pPr>
        <w:tabs>
          <w:tab w:val="right" w:pos="8306"/>
        </w:tabs>
        <w:spacing w:line="600" w:lineRule="exact"/>
        <w:ind w:firstLine="640"/>
        <w:outlineLvl w:val="1"/>
        <w:rPr>
          <w:rStyle w:val="22"/>
          <w:rFonts w:ascii="Times New Roman" w:hAnsi="Times New Roman"/>
        </w:rPr>
      </w:pPr>
      <w:bookmarkStart w:id="40" w:name="_Toc16693"/>
      <w:bookmarkStart w:id="41" w:name="_Toc15377214"/>
      <w:bookmarkStart w:id="42" w:name="_Toc15396608"/>
      <w:r>
        <w:rPr>
          <w:rFonts w:hint="eastAsia" w:eastAsia="黑体"/>
          <w:sz w:val="32"/>
          <w:szCs w:val="32"/>
        </w:rPr>
        <w:t>六</w:t>
      </w:r>
      <w:r>
        <w:rPr>
          <w:rFonts w:hint="eastAsia" w:eastAsia="黑体"/>
          <w:b/>
          <w:sz w:val="32"/>
          <w:szCs w:val="32"/>
        </w:rPr>
        <w:t>、一</w:t>
      </w:r>
      <w:r>
        <w:rPr>
          <w:rStyle w:val="22"/>
          <w:rFonts w:hint="eastAsia" w:ascii="Times New Roman" w:hAnsi="Times New Roman" w:eastAsia="黑体"/>
          <w:b w:val="0"/>
        </w:rPr>
        <w:t>般公共预算财政拨款基本支出决算情况说明</w:t>
      </w:r>
      <w:bookmarkEnd w:id="40"/>
      <w:bookmarkEnd w:id="41"/>
      <w:bookmarkEnd w:id="42"/>
      <w:r>
        <w:rPr>
          <w:rStyle w:val="22"/>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lang w:val="en-US" w:eastAsia="zh-CN"/>
        </w:rPr>
        <w:t>2983.81</w:t>
      </w:r>
      <w:r>
        <w:rPr>
          <w:rFonts w:hint="eastAsia" w:ascii="仿宋_GB2312" w:hAnsi="仿宋_GB2312" w:eastAsia="仿宋_GB2312" w:cs="仿宋_GB2312"/>
          <w:sz w:val="32"/>
          <w:szCs w:val="32"/>
        </w:rPr>
        <w:t>万</w:t>
      </w:r>
      <w:r>
        <w:rPr>
          <w:rFonts w:hint="eastAsia" w:eastAsia="仿宋_GB2312" w:cs="仿宋_GB2312"/>
          <w:sz w:val="32"/>
          <w:szCs w:val="32"/>
        </w:rPr>
        <w:t>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lang w:val="en-US" w:eastAsia="zh-CN"/>
        </w:rPr>
        <w:t>2126.73</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lang w:val="en-US" w:eastAsia="zh-CN"/>
        </w:rPr>
        <w:t>857.09</w:t>
      </w:r>
      <w:r>
        <w:rPr>
          <w:rFonts w:hint="eastAsia" w:ascii="仿宋_GB2312" w:hAnsi="仿宋_GB2312" w:eastAsia="仿宋_GB2312" w:cs="仿宋_GB2312"/>
          <w:sz w:val="32"/>
          <w:szCs w:val="32"/>
        </w:rPr>
        <w:t>万</w:t>
      </w:r>
      <w:r>
        <w:rPr>
          <w:rFonts w:hint="eastAsia" w:eastAsia="仿宋_GB2312" w:cs="仿宋_GB2312"/>
          <w:sz w:val="32"/>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eastAsia="仿宋_GB2312" w:cs="仿宋_GB2312"/>
          <w:b/>
          <w:bCs/>
          <w:sz w:val="32"/>
          <w:szCs w:val="32"/>
        </w:rPr>
      </w:pPr>
      <w:r>
        <w:rPr>
          <w:rFonts w:hint="eastAsia" w:eastAsia="仿宋_GB2312" w:cs="仿宋_GB2312"/>
          <w:b/>
          <w:bCs/>
          <w:sz w:val="32"/>
          <w:szCs w:val="32"/>
        </w:rPr>
        <w:t>（注：仅罗列本部门实际支出涉及的经济分类科目）</w:t>
      </w:r>
    </w:p>
    <w:p>
      <w:pPr>
        <w:spacing w:line="600" w:lineRule="exact"/>
        <w:ind w:firstLine="640"/>
        <w:rPr>
          <w:rFonts w:eastAsia="仿宋_GB2312" w:cs="仿宋_GB2312"/>
          <w:sz w:val="32"/>
          <w:szCs w:val="32"/>
        </w:rPr>
      </w:pPr>
    </w:p>
    <w:p>
      <w:pPr>
        <w:spacing w:line="600" w:lineRule="exact"/>
        <w:ind w:firstLine="640"/>
        <w:outlineLvl w:val="1"/>
        <w:rPr>
          <w:rStyle w:val="22"/>
          <w:rFonts w:ascii="Times New Roman" w:hAnsi="Times New Roman" w:eastAsia="黑体"/>
          <w:b w:val="0"/>
        </w:rPr>
      </w:pPr>
      <w:bookmarkStart w:id="43" w:name="_Toc15377215"/>
      <w:bookmarkStart w:id="44" w:name="_Toc15077"/>
      <w:bookmarkStart w:id="45" w:name="_Toc15396609"/>
      <w:r>
        <w:rPr>
          <w:rFonts w:hint="eastAsia" w:eastAsia="黑体"/>
          <w:sz w:val="32"/>
          <w:szCs w:val="32"/>
        </w:rPr>
        <w:t>七、</w:t>
      </w:r>
      <w:r>
        <w:rPr>
          <w:rStyle w:val="22"/>
          <w:rFonts w:hint="eastAsia" w:ascii="Times New Roman" w:hAnsi="Times New Roman" w:eastAsia="黑体"/>
          <w:b w:val="0"/>
        </w:rPr>
        <w:t>财政拨款</w:t>
      </w:r>
      <w:r>
        <w:rPr>
          <w:rStyle w:val="22"/>
          <w:rFonts w:hint="eastAsia" w:ascii="Times New Roman" w:hAnsi="Times New Roman" w:eastAsia="黑体"/>
        </w:rPr>
        <w:t>“</w:t>
      </w:r>
      <w:r>
        <w:rPr>
          <w:rStyle w:val="22"/>
          <w:rFonts w:hint="eastAsia" w:ascii="Times New Roman" w:hAnsi="Times New Roman" w:eastAsia="黑体"/>
          <w:b w:val="0"/>
        </w:rPr>
        <w:t>三公”经费支出决算情况说明</w:t>
      </w:r>
      <w:bookmarkEnd w:id="43"/>
      <w:bookmarkEnd w:id="44"/>
      <w:bookmarkEnd w:id="45"/>
    </w:p>
    <w:p>
      <w:pPr>
        <w:spacing w:line="600" w:lineRule="exact"/>
        <w:ind w:firstLine="643" w:firstLineChars="200"/>
        <w:outlineLvl w:val="2"/>
        <w:rPr>
          <w:rFonts w:eastAsia="楷体_GB2312" w:cs="楷体_GB2312"/>
          <w:b/>
          <w:sz w:val="32"/>
          <w:szCs w:val="32"/>
        </w:rPr>
      </w:pPr>
      <w:bookmarkStart w:id="46" w:name="_Toc15377216"/>
      <w:r>
        <w:rPr>
          <w:rFonts w:hint="eastAsia" w:eastAsia="楷体_GB2312" w:cs="楷体_GB2312"/>
          <w:b/>
          <w:sz w:val="32"/>
          <w:szCs w:val="32"/>
        </w:rPr>
        <w:t>（一）“三公”经费财政拨款支出决算总体情况说明</w:t>
      </w:r>
      <w:bookmarkEnd w:id="46"/>
    </w:p>
    <w:p>
      <w:pPr>
        <w:spacing w:line="600" w:lineRule="exact"/>
        <w:ind w:firstLine="640"/>
        <w:rPr>
          <w:rFonts w:eastAsia="仿宋_GB2312" w:cs="仿宋_GB2312"/>
          <w:b/>
          <w:bCs/>
          <w:sz w:val="32"/>
          <w:szCs w:val="32"/>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lang w:val="en-US" w:eastAsia="zh-CN"/>
        </w:rPr>
        <w:t>121.91</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highlight w:val="none"/>
        </w:rPr>
        <w:t>决算与预算数持平</w:t>
      </w:r>
      <w:r>
        <w:rPr>
          <w:rFonts w:hint="eastAsia" w:ascii="仿宋_GB2312" w:hAnsi="仿宋_GB2312" w:eastAsia="仿宋_GB2312" w:cs="仿宋_GB2312"/>
          <w:color w:val="auto"/>
          <w:sz w:val="32"/>
          <w:szCs w:val="32"/>
          <w:highlight w:val="none"/>
          <w:lang w:eastAsia="zh-CN"/>
        </w:rPr>
        <w:t>。</w:t>
      </w:r>
      <w:r>
        <w:rPr>
          <w:rFonts w:hint="eastAsia" w:eastAsia="仿宋_GB2312" w:cs="仿宋_GB2312"/>
          <w:b/>
          <w:bCs/>
          <w:sz w:val="32"/>
          <w:szCs w:val="32"/>
        </w:rPr>
        <w:t>（注：上述“预算”口径为全年预算数，包括一般公共预算和政府性基金预算财政拨款支出决算情况）</w:t>
      </w:r>
    </w:p>
    <w:p>
      <w:pPr>
        <w:spacing w:line="600" w:lineRule="exact"/>
        <w:ind w:firstLine="643" w:firstLineChars="200"/>
        <w:outlineLvl w:val="2"/>
        <w:rPr>
          <w:rFonts w:eastAsia="楷体_GB2312" w:cs="楷体_GB2312"/>
          <w:b/>
          <w:sz w:val="32"/>
          <w:szCs w:val="32"/>
        </w:rPr>
      </w:pPr>
      <w:bookmarkStart w:id="47" w:name="_Toc15377217"/>
      <w:r>
        <w:rPr>
          <w:rFonts w:hint="eastAsia" w:eastAsia="楷体_GB2312" w:cs="楷体_GB2312"/>
          <w:b/>
          <w:sz w:val="32"/>
          <w:szCs w:val="32"/>
        </w:rPr>
        <w:t>（二）“三公”经费财政拨款支出决算具体情况说明</w:t>
      </w:r>
      <w:bookmarkEnd w:id="47"/>
    </w:p>
    <w:p>
      <w:pPr>
        <w:spacing w:line="600" w:lineRule="exact"/>
        <w:ind w:firstLine="640"/>
        <w:rPr>
          <w:rFonts w:hint="eastAsia"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121.56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99.71</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0.35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0.29</w:t>
      </w:r>
      <w:r>
        <w:rPr>
          <w:rFonts w:hint="eastAsia" w:ascii="仿宋_GB2312" w:hAnsi="仿宋_GB2312" w:eastAsia="仿宋_GB2312" w:cs="仿宋_GB2312"/>
          <w:sz w:val="32"/>
          <w:szCs w:val="32"/>
        </w:rPr>
        <w:t>%。具体情况如下</w:t>
      </w:r>
      <w:r>
        <w:rPr>
          <w:rFonts w:hint="eastAsia" w:ascii="仿宋_GB2312" w:hAnsi="仿宋_GB2312" w:eastAsia="仿宋_GB2312" w:cs="仿宋_GB2312"/>
          <w:sz w:val="32"/>
          <w:szCs w:val="32"/>
          <w:lang w:eastAsia="zh-CN"/>
        </w:rPr>
        <w:t>：</w:t>
      </w:r>
    </w:p>
    <w:p>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eastAsia="仿宋_GB2312" w:cs="仿宋_GB2312"/>
          <w:sz w:val="32"/>
          <w:szCs w:val="32"/>
        </w:rPr>
        <w:t>。因公出国（境）支出决算比2023年增加/减少</w:t>
      </w:r>
      <w:r>
        <w:rPr>
          <w:rFonts w:hint="eastAsia" w:eastAsia="仿宋_GB2312" w:cs="仿宋_GB2312"/>
          <w:sz w:val="32"/>
          <w:szCs w:val="32"/>
          <w:lang w:val="en-US" w:eastAsia="zh-CN"/>
        </w:rPr>
        <w:t>0</w:t>
      </w:r>
      <w:r>
        <w:rPr>
          <w:rFonts w:hint="eastAsia" w:eastAsia="仿宋_GB2312" w:cs="仿宋_GB2312"/>
          <w:sz w:val="32"/>
          <w:szCs w:val="32"/>
        </w:rPr>
        <w:t>万元，增长/下降</w:t>
      </w:r>
      <w:r>
        <w:rPr>
          <w:rFonts w:hint="eastAsia" w:eastAsia="仿宋_GB2312" w:cs="仿宋_GB2312"/>
          <w:sz w:val="32"/>
          <w:szCs w:val="32"/>
          <w:lang w:val="en-US" w:eastAsia="zh-CN"/>
        </w:rPr>
        <w:t>0</w:t>
      </w:r>
      <w:r>
        <w:rPr>
          <w:rFonts w:hint="eastAsia" w:eastAsia="仿宋_GB2312" w:cs="仿宋_GB2312"/>
          <w:sz w:val="32"/>
          <w:szCs w:val="32"/>
        </w:rPr>
        <w:t>%。</w:t>
      </w:r>
    </w:p>
    <w:p>
      <w:pPr>
        <w:spacing w:line="600" w:lineRule="exact"/>
        <w:ind w:firstLine="640"/>
        <w:rPr>
          <w:rFonts w:hint="eastAsia" w:eastAsia="仿宋_GB2312" w:cs="仿宋_GB2312"/>
          <w:color w:val="000000" w:themeColor="text1"/>
          <w:sz w:val="32"/>
          <w:szCs w:val="32"/>
          <w:lang w:eastAsia="zh-CN"/>
          <w14:textFill>
            <w14:solidFill>
              <w14:schemeClr w14:val="tx1"/>
            </w14:solidFill>
          </w14:textFill>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lang w:val="en-US" w:eastAsia="zh-CN"/>
        </w:rPr>
        <w:t>121.56</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公务用车购置及运行维护费支出决算比2023年度减少</w:t>
      </w:r>
      <w:r>
        <w:rPr>
          <w:rFonts w:hint="eastAsia" w:eastAsia="仿宋_GB2312" w:cs="仿宋_GB2312"/>
          <w:sz w:val="32"/>
          <w:szCs w:val="32"/>
          <w:lang w:val="en-US" w:eastAsia="zh-CN"/>
        </w:rPr>
        <w:t>48.17</w:t>
      </w:r>
      <w:r>
        <w:rPr>
          <w:rFonts w:hint="eastAsia" w:eastAsia="仿宋_GB2312" w:cs="仿宋_GB2312"/>
          <w:sz w:val="32"/>
          <w:szCs w:val="32"/>
        </w:rPr>
        <w:t>万元</w:t>
      </w:r>
      <w:r>
        <w:rPr>
          <w:rFonts w:hint="eastAsia" w:eastAsia="仿宋_GB2312" w:cs="仿宋_GB2312"/>
          <w:color w:val="000000" w:themeColor="text1"/>
          <w:sz w:val="32"/>
          <w:szCs w:val="32"/>
          <w14:textFill>
            <w14:solidFill>
              <w14:schemeClr w14:val="tx1"/>
            </w14:solidFill>
          </w14:textFill>
        </w:rPr>
        <w:t>，下降</w:t>
      </w:r>
      <w:r>
        <w:rPr>
          <w:rFonts w:hint="eastAsia" w:eastAsia="仿宋_GB2312" w:cs="仿宋_GB2312"/>
          <w:color w:val="000000" w:themeColor="text1"/>
          <w:sz w:val="32"/>
          <w:szCs w:val="32"/>
          <w:lang w:val="en-US" w:eastAsia="zh-CN"/>
          <w14:textFill>
            <w14:solidFill>
              <w14:schemeClr w14:val="tx1"/>
            </w14:solidFill>
          </w14:textFill>
        </w:rPr>
        <w:t>28.38</w:t>
      </w:r>
      <w:r>
        <w:rPr>
          <w:rFonts w:hint="eastAsia" w:eastAsia="仿宋_GB2312" w:cs="仿宋_GB2312"/>
          <w:color w:val="000000" w:themeColor="text1"/>
          <w:sz w:val="32"/>
          <w:szCs w:val="32"/>
          <w14:textFill>
            <w14:solidFill>
              <w14:schemeClr w14:val="tx1"/>
            </w14:solidFill>
          </w14:textFill>
        </w:rPr>
        <w:t>%。主要原因是</w:t>
      </w:r>
      <w:r>
        <w:rPr>
          <w:rFonts w:hint="eastAsia" w:eastAsia="仿宋_GB2312" w:cs="仿宋_GB2312"/>
          <w:color w:val="000000" w:themeColor="text1"/>
          <w:sz w:val="32"/>
          <w:szCs w:val="32"/>
          <w:lang w:eastAsia="zh-CN"/>
          <w14:textFill>
            <w14:solidFill>
              <w14:schemeClr w14:val="tx1"/>
            </w14:solidFill>
          </w14:textFill>
        </w:rPr>
        <w:t>厉行节约。</w:t>
      </w:r>
    </w:p>
    <w:p>
      <w:pPr>
        <w:spacing w:line="600" w:lineRule="exact"/>
        <w:ind w:firstLine="640"/>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t>其中：公务用车购置支</w:t>
      </w:r>
      <w:r>
        <w:rPr>
          <w:rFonts w:hint="eastAsia" w:ascii="仿宋_GB2312" w:hAnsi="仿宋_GB2312" w:eastAsia="仿宋_GB2312" w:cs="仿宋_GB2312"/>
          <w:color w:val="000000" w:themeColor="text1"/>
          <w:sz w:val="32"/>
          <w:szCs w:val="32"/>
          <w14:textFill>
            <w14:solidFill>
              <w14:schemeClr w14:val="tx1"/>
            </w14:solidFill>
          </w14:textFill>
        </w:rPr>
        <w:t>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eastAsia="仿宋_GB2312" w:cs="仿宋_GB2312"/>
          <w:color w:val="000000" w:themeColor="text1"/>
          <w:sz w:val="32"/>
          <w:szCs w:val="32"/>
          <w14:textFill>
            <w14:solidFill>
              <w14:schemeClr w14:val="tx1"/>
            </w14:solidFill>
          </w14:textFill>
        </w:rPr>
        <w:t>万元。全年按规定更新购置公务用车</w:t>
      </w:r>
      <w:r>
        <w:rPr>
          <w:rFonts w:hint="eastAsia" w:eastAsia="仿宋_GB2312" w:cs="仿宋_GB2312"/>
          <w:color w:val="000000" w:themeColor="text1"/>
          <w:sz w:val="32"/>
          <w:szCs w:val="32"/>
          <w:lang w:val="en-US" w:eastAsia="zh-CN"/>
          <w14:textFill>
            <w14:solidFill>
              <w14:schemeClr w14:val="tx1"/>
            </w14:solidFill>
          </w14:textFill>
        </w:rPr>
        <w:t>0</w:t>
      </w:r>
      <w:r>
        <w:rPr>
          <w:rFonts w:hint="eastAsia" w:eastAsia="仿宋_GB2312" w:cs="仿宋_GB2312"/>
          <w:color w:val="000000" w:themeColor="text1"/>
          <w:sz w:val="32"/>
          <w:szCs w:val="32"/>
          <w14:textFill>
            <w14:solidFill>
              <w14:schemeClr w14:val="tx1"/>
            </w14:solidFill>
          </w14:textFill>
        </w:rPr>
        <w:t>辆，其中：轿车</w:t>
      </w:r>
      <w:r>
        <w:rPr>
          <w:rFonts w:hint="eastAsia" w:eastAsia="仿宋_GB2312" w:cs="仿宋_GB2312"/>
          <w:color w:val="000000" w:themeColor="text1"/>
          <w:sz w:val="32"/>
          <w:szCs w:val="32"/>
          <w:lang w:val="en-US" w:eastAsia="zh-CN"/>
          <w14:textFill>
            <w14:solidFill>
              <w14:schemeClr w14:val="tx1"/>
            </w14:solidFill>
          </w14:textFill>
        </w:rPr>
        <w:t>0</w:t>
      </w:r>
      <w:r>
        <w:rPr>
          <w:rFonts w:hint="eastAsia" w:eastAsia="仿宋_GB2312" w:cs="仿宋_GB2312"/>
          <w:color w:val="000000" w:themeColor="text1"/>
          <w:sz w:val="32"/>
          <w:szCs w:val="32"/>
          <w14:textFill>
            <w14:solidFill>
              <w14:schemeClr w14:val="tx1"/>
            </w14:solidFill>
          </w14:textFill>
        </w:rPr>
        <w:t>辆、金额</w:t>
      </w:r>
      <w:r>
        <w:rPr>
          <w:rFonts w:hint="eastAsia" w:eastAsia="仿宋_GB2312" w:cs="仿宋_GB2312"/>
          <w:color w:val="000000" w:themeColor="text1"/>
          <w:sz w:val="32"/>
          <w:szCs w:val="32"/>
          <w:lang w:val="en-US" w:eastAsia="zh-CN"/>
          <w14:textFill>
            <w14:solidFill>
              <w14:schemeClr w14:val="tx1"/>
            </w14:solidFill>
          </w14:textFill>
        </w:rPr>
        <w:t>0</w:t>
      </w:r>
      <w:r>
        <w:rPr>
          <w:rFonts w:hint="eastAsia" w:eastAsia="仿宋_GB2312" w:cs="仿宋_GB2312"/>
          <w:color w:val="000000" w:themeColor="text1"/>
          <w:sz w:val="32"/>
          <w:szCs w:val="32"/>
          <w14:textFill>
            <w14:solidFill>
              <w14:schemeClr w14:val="tx1"/>
            </w14:solidFill>
          </w14:textFill>
        </w:rPr>
        <w:t>万元，越野车</w:t>
      </w:r>
      <w:r>
        <w:rPr>
          <w:rFonts w:hint="eastAsia" w:eastAsia="仿宋_GB2312" w:cs="仿宋_GB2312"/>
          <w:color w:val="000000" w:themeColor="text1"/>
          <w:sz w:val="32"/>
          <w:szCs w:val="32"/>
          <w:lang w:val="en-US" w:eastAsia="zh-CN"/>
          <w14:textFill>
            <w14:solidFill>
              <w14:schemeClr w14:val="tx1"/>
            </w14:solidFill>
          </w14:textFill>
        </w:rPr>
        <w:t>0</w:t>
      </w:r>
      <w:r>
        <w:rPr>
          <w:rFonts w:hint="eastAsia" w:eastAsia="仿宋_GB2312" w:cs="仿宋_GB2312"/>
          <w:color w:val="000000" w:themeColor="text1"/>
          <w:sz w:val="32"/>
          <w:szCs w:val="32"/>
          <w14:textFill>
            <w14:solidFill>
              <w14:schemeClr w14:val="tx1"/>
            </w14:solidFill>
          </w14:textFill>
        </w:rPr>
        <w:t>辆、金额</w:t>
      </w:r>
      <w:r>
        <w:rPr>
          <w:rFonts w:hint="eastAsia" w:eastAsia="仿宋_GB2312" w:cs="仿宋_GB2312"/>
          <w:color w:val="000000" w:themeColor="text1"/>
          <w:sz w:val="32"/>
          <w:szCs w:val="32"/>
          <w:lang w:val="en-US" w:eastAsia="zh-CN"/>
          <w14:textFill>
            <w14:solidFill>
              <w14:schemeClr w14:val="tx1"/>
            </w14:solidFill>
          </w14:textFill>
        </w:rPr>
        <w:t>0</w:t>
      </w:r>
      <w:r>
        <w:rPr>
          <w:rFonts w:hint="eastAsia" w:eastAsia="仿宋_GB2312" w:cs="仿宋_GB2312"/>
          <w:color w:val="000000" w:themeColor="text1"/>
          <w:sz w:val="32"/>
          <w:szCs w:val="32"/>
          <w14:textFill>
            <w14:solidFill>
              <w14:schemeClr w14:val="tx1"/>
            </w14:solidFill>
          </w14:textFill>
        </w:rPr>
        <w:t>万元，载客汽车</w:t>
      </w:r>
      <w:r>
        <w:rPr>
          <w:rFonts w:hint="eastAsia" w:eastAsia="仿宋_GB2312" w:cs="仿宋_GB2312"/>
          <w:color w:val="000000" w:themeColor="text1"/>
          <w:sz w:val="32"/>
          <w:szCs w:val="32"/>
          <w:lang w:val="en-US" w:eastAsia="zh-CN"/>
          <w14:textFill>
            <w14:solidFill>
              <w14:schemeClr w14:val="tx1"/>
            </w14:solidFill>
          </w14:textFill>
        </w:rPr>
        <w:t>0</w:t>
      </w:r>
      <w:r>
        <w:rPr>
          <w:rFonts w:hint="eastAsia" w:eastAsia="仿宋_GB2312" w:cs="仿宋_GB2312"/>
          <w:color w:val="000000" w:themeColor="text1"/>
          <w:sz w:val="32"/>
          <w:szCs w:val="32"/>
          <w14:textFill>
            <w14:solidFill>
              <w14:schemeClr w14:val="tx1"/>
            </w14:solidFill>
          </w14:textFill>
        </w:rPr>
        <w:t>辆、金额</w:t>
      </w:r>
      <w:r>
        <w:rPr>
          <w:rFonts w:hint="eastAsia" w:eastAsia="仿宋_GB2312" w:cs="仿宋_GB2312"/>
          <w:color w:val="000000" w:themeColor="text1"/>
          <w:sz w:val="32"/>
          <w:szCs w:val="32"/>
          <w:lang w:val="en-US" w:eastAsia="zh-CN"/>
          <w14:textFill>
            <w14:solidFill>
              <w14:schemeClr w14:val="tx1"/>
            </w14:solidFill>
          </w14:textFill>
        </w:rPr>
        <w:t>0</w:t>
      </w:r>
      <w:r>
        <w:rPr>
          <w:rFonts w:hint="eastAsia" w:eastAsia="仿宋_GB2312" w:cs="仿宋_GB2312"/>
          <w:color w:val="000000" w:themeColor="text1"/>
          <w:sz w:val="32"/>
          <w:szCs w:val="32"/>
          <w14:textFill>
            <w14:solidFill>
              <w14:schemeClr w14:val="tx1"/>
            </w14:solidFill>
          </w14:textFill>
        </w:rPr>
        <w:t>万元。截至2024年12月31日，单位共有公务用车</w:t>
      </w:r>
      <w:r>
        <w:rPr>
          <w:rFonts w:hint="eastAsia" w:eastAsia="仿宋_GB2312" w:cs="仿宋_GB2312"/>
          <w:color w:val="000000" w:themeColor="text1"/>
          <w:sz w:val="32"/>
          <w:szCs w:val="32"/>
          <w:lang w:val="en-US" w:eastAsia="zh-CN"/>
          <w14:textFill>
            <w14:solidFill>
              <w14:schemeClr w14:val="tx1"/>
            </w14:solidFill>
          </w14:textFill>
        </w:rPr>
        <w:t>14</w:t>
      </w:r>
      <w:r>
        <w:rPr>
          <w:rFonts w:hint="eastAsia" w:eastAsia="仿宋_GB2312" w:cs="仿宋_GB2312"/>
          <w:color w:val="000000" w:themeColor="text1"/>
          <w:sz w:val="32"/>
          <w:szCs w:val="32"/>
          <w14:textFill>
            <w14:solidFill>
              <w14:schemeClr w14:val="tx1"/>
            </w14:solidFill>
          </w14:textFill>
        </w:rPr>
        <w:t>辆，其中：轿车</w:t>
      </w:r>
      <w:r>
        <w:rPr>
          <w:rFonts w:hint="eastAsia" w:eastAsia="仿宋_GB2312" w:cs="仿宋_GB2312"/>
          <w:color w:val="000000" w:themeColor="text1"/>
          <w:sz w:val="32"/>
          <w:szCs w:val="32"/>
          <w:lang w:val="en-US" w:eastAsia="zh-CN"/>
          <w14:textFill>
            <w14:solidFill>
              <w14:schemeClr w14:val="tx1"/>
            </w14:solidFill>
          </w14:textFill>
        </w:rPr>
        <w:t>3</w:t>
      </w:r>
      <w:r>
        <w:rPr>
          <w:rFonts w:hint="eastAsia" w:eastAsia="仿宋_GB2312" w:cs="仿宋_GB2312"/>
          <w:color w:val="000000" w:themeColor="text1"/>
          <w:sz w:val="32"/>
          <w:szCs w:val="32"/>
          <w14:textFill>
            <w14:solidFill>
              <w14:schemeClr w14:val="tx1"/>
            </w14:solidFill>
          </w14:textFill>
        </w:rPr>
        <w:t>辆、越野车</w:t>
      </w:r>
      <w:r>
        <w:rPr>
          <w:rFonts w:hint="eastAsia" w:eastAsia="仿宋_GB2312" w:cs="仿宋_GB2312"/>
          <w:color w:val="000000" w:themeColor="text1"/>
          <w:sz w:val="32"/>
          <w:szCs w:val="32"/>
          <w:lang w:val="en-US" w:eastAsia="zh-CN"/>
          <w14:textFill>
            <w14:solidFill>
              <w14:schemeClr w14:val="tx1"/>
            </w14:solidFill>
          </w14:textFill>
        </w:rPr>
        <w:t>11</w:t>
      </w:r>
      <w:r>
        <w:rPr>
          <w:rFonts w:hint="eastAsia" w:eastAsia="仿宋_GB2312" w:cs="仿宋_GB2312"/>
          <w:color w:val="000000" w:themeColor="text1"/>
          <w:sz w:val="32"/>
          <w:szCs w:val="32"/>
          <w14:textFill>
            <w14:solidFill>
              <w14:schemeClr w14:val="tx1"/>
            </w14:solidFill>
          </w14:textFill>
        </w:rPr>
        <w:t>辆、载客汽车</w:t>
      </w:r>
      <w:r>
        <w:rPr>
          <w:rFonts w:hint="eastAsia" w:eastAsia="仿宋_GB2312" w:cs="仿宋_GB2312"/>
          <w:color w:val="000000" w:themeColor="text1"/>
          <w:sz w:val="32"/>
          <w:szCs w:val="32"/>
          <w:lang w:val="en-US" w:eastAsia="zh-CN"/>
          <w14:textFill>
            <w14:solidFill>
              <w14:schemeClr w14:val="tx1"/>
            </w14:solidFill>
          </w14:textFill>
        </w:rPr>
        <w:t>0</w:t>
      </w:r>
      <w:r>
        <w:rPr>
          <w:rFonts w:hint="eastAsia" w:eastAsia="仿宋_GB2312" w:cs="仿宋_GB2312"/>
          <w:color w:val="000000" w:themeColor="text1"/>
          <w:sz w:val="32"/>
          <w:szCs w:val="32"/>
          <w14:textFill>
            <w14:solidFill>
              <w14:schemeClr w14:val="tx1"/>
            </w14:solidFill>
          </w14:textFill>
        </w:rPr>
        <w:t>辆。</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t>公务用车运行维护费支</w:t>
      </w:r>
      <w:r>
        <w:rPr>
          <w:rFonts w:hint="eastAsia" w:ascii="仿宋_GB2312" w:hAnsi="仿宋_GB2312" w:eastAsia="仿宋_GB2312" w:cs="仿宋_GB2312"/>
          <w:color w:val="000000" w:themeColor="text1"/>
          <w:sz w:val="32"/>
          <w:szCs w:val="32"/>
          <w14:textFill>
            <w14:solidFill>
              <w14:schemeClr w14:val="tx1"/>
            </w14:solidFill>
          </w14:textFill>
        </w:rPr>
        <w:t>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121.56</w:t>
      </w:r>
      <w:r>
        <w:rPr>
          <w:rFonts w:hint="eastAsia" w:eastAsia="仿宋_GB2312" w:cs="仿宋_GB2312"/>
          <w:color w:val="000000" w:themeColor="text1"/>
          <w:sz w:val="32"/>
          <w:szCs w:val="32"/>
          <w14:textFill>
            <w14:solidFill>
              <w14:schemeClr w14:val="tx1"/>
            </w14:solidFill>
          </w14:textFill>
        </w:rPr>
        <w:t>万元。主要用于</w:t>
      </w:r>
      <w:r>
        <w:rPr>
          <w:rFonts w:hint="eastAsia" w:ascii="仿宋_GB2312" w:hAnsi="仿宋_GB2312" w:eastAsia="仿宋_GB2312" w:cs="仿宋_GB2312"/>
          <w:color w:val="000000" w:themeColor="text1"/>
          <w:sz w:val="32"/>
          <w:szCs w:val="32"/>
          <w:highlight w:val="none"/>
          <w14:textFill>
            <w14:solidFill>
              <w14:schemeClr w14:val="tx1"/>
            </w14:solidFill>
          </w14:textFill>
        </w:rPr>
        <w:t>主要用于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阿坝州全域旅游宣传营销、依法治州和法律政策进景区、 文化体育旅游市场综合治理及执法、非物质文化遗产保护</w:t>
      </w:r>
      <w:r>
        <w:rPr>
          <w:rFonts w:hint="eastAsia" w:ascii="仿宋_GB2312" w:hAnsi="仿宋_GB2312" w:eastAsia="仿宋_GB2312" w:cs="仿宋_GB2312"/>
          <w:color w:val="000000" w:themeColor="text1"/>
          <w:sz w:val="32"/>
          <w:szCs w:val="32"/>
          <w:highlight w:val="none"/>
          <w14:textFill>
            <w14:solidFill>
              <w14:schemeClr w14:val="tx1"/>
            </w14:solidFill>
          </w14:textFill>
        </w:rPr>
        <w:t>等所需的公务用车燃料费、维修费、过路过桥费、保险费等支出。</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eastAsia="仿宋_GB2312" w:cs="仿宋_GB2312"/>
          <w:b/>
          <w:bCs/>
          <w:color w:val="000000" w:themeColor="text1"/>
          <w:sz w:val="32"/>
          <w:szCs w:val="32"/>
          <w14:textFill>
            <w14:solidFill>
              <w14:schemeClr w14:val="tx1"/>
            </w14:solidFill>
          </w14:textFill>
        </w:rPr>
        <w:t>3.公务接待费支出</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0.35</w:t>
      </w:r>
      <w:r>
        <w:rPr>
          <w:rFonts w:hint="eastAsia" w:ascii="仿宋_GB2312" w:hAnsi="仿宋_GB2312" w:eastAsia="仿宋_GB2312" w:cs="仿宋_GB2312"/>
          <w:b/>
          <w:bCs/>
          <w:color w:val="000000" w:themeColor="text1"/>
          <w:sz w:val="32"/>
          <w:szCs w:val="32"/>
          <w14:textFill>
            <w14:solidFill>
              <w14:schemeClr w14:val="tx1"/>
            </w14:solidFill>
          </w14:textFill>
        </w:rPr>
        <w:t>万</w:t>
      </w:r>
      <w:r>
        <w:rPr>
          <w:rFonts w:hint="eastAsia" w:eastAsia="仿宋_GB2312" w:cs="仿宋_GB2312"/>
          <w:b/>
          <w:bCs/>
          <w:color w:val="000000" w:themeColor="text1"/>
          <w:sz w:val="32"/>
          <w:szCs w:val="32"/>
          <w14:textFill>
            <w14:solidFill>
              <w14:schemeClr w14:val="tx1"/>
            </w14:solidFill>
          </w14:textFill>
        </w:rPr>
        <w:t>元，完成预算</w:t>
      </w:r>
      <w:r>
        <w:rPr>
          <w:rFonts w:hint="eastAsia" w:eastAsia="仿宋_GB2312" w:cs="仿宋_GB2312"/>
          <w:b/>
          <w:bCs/>
          <w:color w:val="000000" w:themeColor="text1"/>
          <w:sz w:val="32"/>
          <w:szCs w:val="32"/>
          <w:lang w:val="en-US" w:eastAsia="zh-CN"/>
          <w14:textFill>
            <w14:solidFill>
              <w14:schemeClr w14:val="tx1"/>
            </w14:solidFill>
          </w14:textFill>
        </w:rPr>
        <w:t>100</w:t>
      </w:r>
      <w:r>
        <w:rPr>
          <w:rFonts w:hint="eastAsia" w:eastAsia="仿宋_GB2312" w:cs="仿宋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公务接待费支出决算比202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减少</w:t>
      </w:r>
      <w:r>
        <w:rPr>
          <w:rFonts w:hint="eastAsia" w:ascii="仿宋_GB2312" w:hAnsi="仿宋_GB2312" w:eastAsia="仿宋_GB2312" w:cs="仿宋_GB2312"/>
          <w:color w:val="000000" w:themeColor="text1"/>
          <w:sz w:val="32"/>
          <w:szCs w:val="32"/>
          <w:highlight w:val="none"/>
          <w14:textFill>
            <w14:solidFill>
              <w14:schemeClr w14:val="tx1"/>
            </w14:solidFill>
          </w14:textFill>
        </w:rPr>
        <w:t>0.4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下降66</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67</w:t>
      </w:r>
      <w:r>
        <w:rPr>
          <w:rFonts w:hint="eastAsia" w:ascii="仿宋_GB2312" w:hAnsi="仿宋_GB2312" w:eastAsia="仿宋_GB2312" w:cs="仿宋_GB2312"/>
          <w:color w:val="000000" w:themeColor="text1"/>
          <w:sz w:val="32"/>
          <w:szCs w:val="32"/>
          <w:highlight w:val="none"/>
          <w14:textFill>
            <w14:solidFill>
              <w14:schemeClr w14:val="tx1"/>
            </w14:solidFill>
          </w14:textFill>
        </w:rPr>
        <w:t>%。主要原因是</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2024年坚持厉行节约反对浪费原则，压降公务接待费支出</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spacing w:line="600" w:lineRule="exact"/>
        <w:ind w:firstLine="640"/>
        <w:rPr>
          <w:rFonts w:hint="eastAsia" w:eastAsia="仿宋_GB2312" w:cs="仿宋_GB2312"/>
          <w:color w:val="000000" w:themeColor="text1"/>
          <w:sz w:val="32"/>
          <w:szCs w:val="32"/>
          <w:lang w:eastAsia="zh-CN"/>
          <w14:textFill>
            <w14:solidFill>
              <w14:schemeClr w14:val="tx1"/>
            </w14:solidFill>
          </w14:textFill>
        </w:rPr>
      </w:pPr>
      <w:r>
        <w:rPr>
          <w:rFonts w:hint="eastAsia" w:eastAsia="仿宋_GB2312" w:cs="仿宋_GB2312"/>
          <w:sz w:val="32"/>
          <w:szCs w:val="32"/>
        </w:rPr>
        <w:t>国内</w:t>
      </w:r>
      <w:r>
        <w:rPr>
          <w:rFonts w:hint="eastAsia" w:eastAsia="仿宋_GB2312" w:cs="仿宋_GB2312"/>
          <w:color w:val="000000" w:themeColor="text1"/>
          <w:sz w:val="32"/>
          <w:szCs w:val="32"/>
          <w14:textFill>
            <w14:solidFill>
              <w14:schemeClr w14:val="tx1"/>
            </w14:solidFill>
          </w14:textFill>
        </w:rPr>
        <w:t>公务接待支</w:t>
      </w:r>
      <w:r>
        <w:rPr>
          <w:rFonts w:hint="eastAsia" w:ascii="仿宋_GB2312" w:hAnsi="仿宋_GB2312" w:eastAsia="仿宋_GB2312" w:cs="仿宋_GB2312"/>
          <w:color w:val="000000" w:themeColor="text1"/>
          <w:sz w:val="32"/>
          <w:szCs w:val="32"/>
          <w14:textFill>
            <w14:solidFill>
              <w14:schemeClr w14:val="tx1"/>
            </w14:solidFill>
          </w14:textFill>
        </w:rPr>
        <w:t>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0.35</w:t>
      </w:r>
      <w:r>
        <w:rPr>
          <w:rFonts w:hint="eastAsia" w:ascii="仿宋_GB2312" w:hAnsi="仿宋_GB2312" w:eastAsia="仿宋_GB2312" w:cs="仿宋_GB2312"/>
          <w:color w:val="000000" w:themeColor="text1"/>
          <w:sz w:val="32"/>
          <w:szCs w:val="32"/>
          <w14:textFill>
            <w14:solidFill>
              <w14:schemeClr w14:val="tx1"/>
            </w14:solidFill>
          </w14:textFill>
        </w:rPr>
        <w:t>万</w:t>
      </w:r>
      <w:r>
        <w:rPr>
          <w:rFonts w:hint="eastAsia" w:eastAsia="仿宋_GB2312" w:cs="仿宋_GB2312"/>
          <w:color w:val="000000" w:themeColor="text1"/>
          <w:sz w:val="32"/>
          <w:szCs w:val="32"/>
          <w14:textFill>
            <w14:solidFill>
              <w14:schemeClr w14:val="tx1"/>
            </w14:solidFill>
          </w14:textFill>
        </w:rPr>
        <w:t>元。国内公务接</w:t>
      </w:r>
      <w:r>
        <w:rPr>
          <w:rFonts w:hint="eastAsia" w:ascii="仿宋_GB2312" w:hAnsi="仿宋_GB2312" w:eastAsia="仿宋_GB2312" w:cs="仿宋_GB2312"/>
          <w:color w:val="000000" w:themeColor="text1"/>
          <w:sz w:val="32"/>
          <w:szCs w:val="32"/>
          <w14:textFill>
            <w14:solidFill>
              <w14:schemeClr w14:val="tx1"/>
            </w14:solidFill>
          </w14:textFill>
        </w:rPr>
        <w:t>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批次，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31</w:t>
      </w:r>
      <w:r>
        <w:rPr>
          <w:rFonts w:hint="eastAsia" w:eastAsia="仿宋_GB2312" w:cs="仿宋_GB2312"/>
          <w:color w:val="000000" w:themeColor="text1"/>
          <w:sz w:val="32"/>
          <w:szCs w:val="32"/>
          <w14:textFill>
            <w14:solidFill>
              <w14:schemeClr w14:val="tx1"/>
            </w14:solidFill>
          </w14:textFill>
        </w:rPr>
        <w:t>人次（不包括陪同人员），共计支出</w:t>
      </w:r>
      <w:r>
        <w:rPr>
          <w:rFonts w:hint="eastAsia" w:eastAsia="仿宋_GB2312" w:cs="仿宋_GB2312"/>
          <w:color w:val="000000" w:themeColor="text1"/>
          <w:sz w:val="32"/>
          <w:szCs w:val="32"/>
          <w:lang w:val="en-US" w:eastAsia="zh-CN"/>
          <w14:textFill>
            <w14:solidFill>
              <w14:schemeClr w14:val="tx1"/>
            </w14:solidFill>
          </w14:textFill>
        </w:rPr>
        <w:t>0.35</w:t>
      </w:r>
      <w:r>
        <w:rPr>
          <w:rFonts w:hint="eastAsia" w:eastAsia="仿宋_GB2312" w:cs="仿宋_GB2312"/>
          <w:color w:val="000000" w:themeColor="text1"/>
          <w:sz w:val="32"/>
          <w:szCs w:val="32"/>
          <w14:textFill>
            <w14:solidFill>
              <w14:schemeClr w14:val="tx1"/>
            </w14:solidFill>
          </w14:textFill>
        </w:rPr>
        <w:t>万元，具体内容包括：</w:t>
      </w:r>
      <w:bookmarkStart w:id="48" w:name="_Toc15377218"/>
      <w:bookmarkStart w:id="49" w:name="_Toc15396610"/>
      <w:r>
        <w:rPr>
          <w:rFonts w:hint="eastAsia" w:eastAsia="仿宋_GB2312" w:cs="仿宋_GB2312"/>
          <w:color w:val="000000" w:themeColor="text1"/>
          <w:sz w:val="32"/>
          <w:szCs w:val="32"/>
          <w14:textFill>
            <w14:solidFill>
              <w14:schemeClr w14:val="tx1"/>
            </w14:solidFill>
          </w14:textFill>
        </w:rPr>
        <w:t>省文旅厅赴州开展省级旅游资源品牌创建现场检查工作</w:t>
      </w:r>
      <w:r>
        <w:rPr>
          <w:rFonts w:hint="eastAsia" w:eastAsia="仿宋_GB2312" w:cs="仿宋_GB2312"/>
          <w:color w:val="000000" w:themeColor="text1"/>
          <w:sz w:val="32"/>
          <w:szCs w:val="32"/>
          <w:lang w:eastAsia="zh-CN"/>
          <w14:textFill>
            <w14:solidFill>
              <w14:schemeClr w14:val="tx1"/>
            </w14:solidFill>
          </w14:textFill>
        </w:rPr>
        <w:t>、</w:t>
      </w:r>
      <w:r>
        <w:rPr>
          <w:rFonts w:hint="eastAsia" w:eastAsia="仿宋_GB2312" w:cs="仿宋_GB2312"/>
          <w:color w:val="000000" w:themeColor="text1"/>
          <w:sz w:val="32"/>
          <w:szCs w:val="32"/>
          <w14:textFill>
            <w14:solidFill>
              <w14:schemeClr w14:val="tx1"/>
            </w14:solidFill>
          </w14:textFill>
        </w:rPr>
        <w:t>上海现代服务业发展研究基金会接待费等</w:t>
      </w:r>
      <w:r>
        <w:rPr>
          <w:rFonts w:hint="eastAsia" w:eastAsia="仿宋_GB2312" w:cs="仿宋_GB2312"/>
          <w:color w:val="000000" w:themeColor="text1"/>
          <w:sz w:val="32"/>
          <w:szCs w:val="32"/>
          <w:lang w:eastAsia="zh-CN"/>
          <w14:textFill>
            <w14:solidFill>
              <w14:schemeClr w14:val="tx1"/>
            </w14:solidFill>
          </w14:textFill>
        </w:rPr>
        <w:t>。</w:t>
      </w:r>
    </w:p>
    <w:p>
      <w:pPr>
        <w:spacing w:line="600" w:lineRule="exact"/>
        <w:ind w:firstLine="640"/>
        <w:outlineLvl w:val="1"/>
        <w:rPr>
          <w:rStyle w:val="22"/>
          <w:rFonts w:ascii="Times New Roman" w:hAnsi="Times New Roman" w:eastAsia="黑体"/>
        </w:rPr>
      </w:pPr>
      <w:bookmarkStart w:id="50" w:name="_Toc24712"/>
      <w:r>
        <w:rPr>
          <w:rFonts w:hint="eastAsia" w:eastAsia="黑体"/>
          <w:sz w:val="32"/>
          <w:szCs w:val="32"/>
        </w:rPr>
        <w:t>八、</w:t>
      </w:r>
      <w:r>
        <w:rPr>
          <w:rStyle w:val="22"/>
          <w:rFonts w:hint="eastAsia" w:ascii="Times New Roman" w:hAnsi="Times New Roman" w:eastAsia="黑体"/>
          <w:b w:val="0"/>
        </w:rPr>
        <w:t>政府性基金预算支出决算情况说明</w:t>
      </w:r>
      <w:bookmarkEnd w:id="48"/>
      <w:bookmarkEnd w:id="49"/>
      <w:bookmarkEnd w:id="50"/>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2024年度政府性基金预算财政拨款支出</w:t>
      </w:r>
      <w:r>
        <w:rPr>
          <w:rFonts w:hint="eastAsia" w:ascii="仿宋_GB2312" w:hAnsi="仿宋_GB2312" w:eastAsia="仿宋_GB2312" w:cs="仿宋_GB2312"/>
          <w:sz w:val="32"/>
          <w:szCs w:val="32"/>
          <w:lang w:val="en-US" w:eastAsia="zh-CN"/>
        </w:rPr>
        <w:t>376.6</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4.57</w:t>
      </w:r>
      <w:r>
        <w:rPr>
          <w:rFonts w:hint="eastAsia" w:ascii="仿宋_GB2312" w:hAnsi="仿宋_GB2312" w:eastAsia="仿宋_GB2312" w:cs="仿宋_GB2312"/>
          <w:sz w:val="32"/>
          <w:szCs w:val="32"/>
        </w:rPr>
        <w:t>%</w:t>
      </w:r>
      <w:r>
        <w:rPr>
          <w:rFonts w:hint="eastAsia" w:eastAsia="仿宋_GB2312" w:cs="仿宋_GB2312"/>
          <w:sz w:val="32"/>
          <w:szCs w:val="32"/>
        </w:rPr>
        <w:t>。</w:t>
      </w:r>
    </w:p>
    <w:p>
      <w:pPr>
        <w:spacing w:line="600" w:lineRule="exact"/>
        <w:ind w:left="630"/>
        <w:outlineLvl w:val="1"/>
        <w:rPr>
          <w:rStyle w:val="22"/>
          <w:rFonts w:ascii="Times New Roman" w:hAnsi="Times New Roman" w:eastAsia="黑体"/>
          <w:b w:val="0"/>
        </w:rPr>
      </w:pPr>
      <w:bookmarkStart w:id="51" w:name="_Toc15396611"/>
      <w:bookmarkStart w:id="52" w:name="_Toc27319"/>
      <w:bookmarkStart w:id="53" w:name="_Toc15377219"/>
      <w:r>
        <w:rPr>
          <w:rStyle w:val="22"/>
          <w:rFonts w:hint="eastAsia" w:ascii="Times New Roman" w:hAnsi="Times New Roman" w:eastAsia="黑体"/>
          <w:b w:val="0"/>
        </w:rPr>
        <w:t>九、国有资本经营预算支出决算情况说明</w:t>
      </w:r>
      <w:bookmarkEnd w:id="51"/>
      <w:bookmarkEnd w:id="52"/>
      <w:bookmarkEnd w:id="53"/>
    </w:p>
    <w:p>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eastAsia="仿宋_GB2312" w:cs="仿宋_GB2312"/>
          <w:sz w:val="32"/>
          <w:szCs w:val="32"/>
        </w:rPr>
        <w:t>。</w:t>
      </w:r>
    </w:p>
    <w:p>
      <w:pPr>
        <w:spacing w:line="600" w:lineRule="exact"/>
        <w:ind w:left="630"/>
        <w:outlineLvl w:val="1"/>
        <w:rPr>
          <w:rStyle w:val="22"/>
          <w:rFonts w:ascii="Times New Roman" w:hAnsi="Times New Roman" w:eastAsia="黑体"/>
          <w:b w:val="0"/>
        </w:rPr>
      </w:pPr>
      <w:bookmarkStart w:id="54" w:name="_Toc15396612"/>
      <w:bookmarkStart w:id="55" w:name="_Toc342"/>
      <w:bookmarkStart w:id="56" w:name="_Toc15377221"/>
      <w:r>
        <w:rPr>
          <w:rStyle w:val="22"/>
          <w:rFonts w:hint="eastAsia" w:ascii="Times New Roman" w:hAnsi="Times New Roman" w:eastAsia="黑体"/>
          <w:b w:val="0"/>
        </w:rPr>
        <w:t>十、其他重要事项的情况说明</w:t>
      </w:r>
      <w:bookmarkEnd w:id="54"/>
      <w:bookmarkEnd w:id="55"/>
      <w:bookmarkEnd w:id="56"/>
    </w:p>
    <w:p>
      <w:pPr>
        <w:spacing w:line="600" w:lineRule="exact"/>
        <w:ind w:firstLine="643" w:firstLineChars="200"/>
        <w:outlineLvl w:val="2"/>
        <w:rPr>
          <w:rFonts w:eastAsia="楷体_GB2312" w:cs="楷体_GB2312"/>
          <w:b/>
          <w:sz w:val="32"/>
          <w:szCs w:val="32"/>
        </w:rPr>
      </w:pPr>
      <w:bookmarkStart w:id="57" w:name="_Toc15377222"/>
      <w:r>
        <w:rPr>
          <w:rFonts w:hint="eastAsia" w:eastAsia="楷体_GB2312" w:cs="楷体_GB2312"/>
          <w:b/>
          <w:sz w:val="32"/>
          <w:szCs w:val="32"/>
        </w:rPr>
        <w:t>（一）机关运行经费支出情况</w:t>
      </w:r>
      <w:bookmarkEnd w:id="57"/>
    </w:p>
    <w:p>
      <w:pPr>
        <w:spacing w:line="600" w:lineRule="exact"/>
        <w:ind w:firstLine="640"/>
        <w:rPr>
          <w:rFonts w:hint="eastAsia" w:eastAsia="仿宋_GB2312" w:cs="仿宋_GB2312"/>
          <w:color w:val="000000" w:themeColor="text1"/>
          <w:sz w:val="32"/>
          <w:szCs w:val="32"/>
          <w:lang w:eastAsia="zh-CN"/>
          <w14:textFill>
            <w14:solidFill>
              <w14:schemeClr w14:val="tx1"/>
            </w14:solidFill>
          </w14:textFill>
        </w:rPr>
      </w:pPr>
      <w:r>
        <w:rPr>
          <w:rFonts w:hint="eastAsia" w:eastAsia="仿宋_GB2312" w:cs="仿宋_GB2312"/>
          <w:sz w:val="32"/>
          <w:szCs w:val="32"/>
        </w:rPr>
        <w:t>2024年度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阿坝州文化</w:t>
      </w:r>
      <w:r>
        <w:rPr>
          <w:rFonts w:hint="eastAsia" w:ascii="仿宋_GB2312" w:hAnsi="仿宋_GB2312" w:eastAsia="仿宋_GB2312" w:cs="仿宋_GB2312"/>
          <w:color w:val="000000" w:themeColor="text1"/>
          <w:sz w:val="32"/>
          <w:szCs w:val="32"/>
          <w:lang w:eastAsia="zh-CN"/>
          <w14:textFill>
            <w14:solidFill>
              <w14:schemeClr w14:val="tx1"/>
            </w14:solidFill>
          </w14:textFill>
        </w:rPr>
        <w:t>广播电视体育和旅游局</w:t>
      </w:r>
      <w:r>
        <w:rPr>
          <w:rFonts w:hint="eastAsia" w:ascii="仿宋_GB2312" w:hAnsi="仿宋_GB2312" w:eastAsia="仿宋_GB2312" w:cs="仿宋_GB2312"/>
          <w:color w:val="000000" w:themeColor="text1"/>
          <w:sz w:val="32"/>
          <w:szCs w:val="32"/>
          <w14:textFill>
            <w14:solidFill>
              <w14:schemeClr w14:val="tx1"/>
            </w14:solidFill>
          </w14:textFill>
        </w:rPr>
        <w:t>机关运行经费支出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557.09</w:t>
      </w:r>
      <w:r>
        <w:rPr>
          <w:rFonts w:hint="eastAsia" w:ascii="仿宋_GB2312" w:hAnsi="仿宋_GB2312" w:eastAsia="仿宋_GB2312" w:cs="仿宋_GB2312"/>
          <w:color w:val="000000" w:themeColor="text1"/>
          <w:sz w:val="32"/>
          <w:szCs w:val="32"/>
          <w14:textFill>
            <w14:solidFill>
              <w14:schemeClr w14:val="tx1"/>
            </w14:solidFill>
          </w14:textFill>
        </w:rPr>
        <w:t>万</w:t>
      </w:r>
      <w:r>
        <w:rPr>
          <w:rFonts w:hint="eastAsia" w:eastAsia="仿宋_GB2312" w:cs="仿宋_GB2312"/>
          <w:color w:val="000000" w:themeColor="text1"/>
          <w:sz w:val="32"/>
          <w:szCs w:val="32"/>
          <w14:textFill>
            <w14:solidFill>
              <w14:schemeClr w14:val="tx1"/>
            </w14:solidFill>
          </w14:textFill>
        </w:rPr>
        <w:t>元，比2023年度减少</w:t>
      </w:r>
      <w:r>
        <w:rPr>
          <w:rFonts w:hint="eastAsia" w:eastAsia="仿宋_GB2312" w:cs="仿宋_GB2312"/>
          <w:color w:val="000000" w:themeColor="text1"/>
          <w:sz w:val="32"/>
          <w:szCs w:val="32"/>
          <w:lang w:val="en-US" w:eastAsia="zh-CN"/>
          <w14:textFill>
            <w14:solidFill>
              <w14:schemeClr w14:val="tx1"/>
            </w14:solidFill>
          </w14:textFill>
        </w:rPr>
        <w:t>190.72</w:t>
      </w:r>
      <w:r>
        <w:rPr>
          <w:rFonts w:hint="eastAsia" w:eastAsia="仿宋_GB2312" w:cs="仿宋_GB2312"/>
          <w:color w:val="000000" w:themeColor="text1"/>
          <w:sz w:val="32"/>
          <w:szCs w:val="32"/>
          <w14:textFill>
            <w14:solidFill>
              <w14:schemeClr w14:val="tx1"/>
            </w14:solidFill>
          </w14:textFill>
        </w:rPr>
        <w:t>万元，下降</w:t>
      </w:r>
      <w:r>
        <w:rPr>
          <w:rFonts w:hint="eastAsia" w:eastAsia="仿宋_GB2312" w:cs="仿宋_GB2312"/>
          <w:color w:val="000000" w:themeColor="text1"/>
          <w:sz w:val="32"/>
          <w:szCs w:val="32"/>
          <w:lang w:val="en-US" w:eastAsia="zh-CN"/>
          <w14:textFill>
            <w14:solidFill>
              <w14:schemeClr w14:val="tx1"/>
            </w14:solidFill>
          </w14:textFill>
        </w:rPr>
        <w:t>59.48</w:t>
      </w:r>
      <w:r>
        <w:rPr>
          <w:rFonts w:hint="eastAsia" w:eastAsia="仿宋_GB2312" w:cs="仿宋_GB2312"/>
          <w:color w:val="000000" w:themeColor="text1"/>
          <w:sz w:val="32"/>
          <w:szCs w:val="32"/>
          <w14:textFill>
            <w14:solidFill>
              <w14:schemeClr w14:val="tx1"/>
            </w14:solidFill>
          </w14:textFill>
        </w:rPr>
        <w:t>%。主要原因是</w:t>
      </w:r>
      <w:r>
        <w:rPr>
          <w:rFonts w:hint="eastAsia" w:eastAsia="仿宋_GB2312" w:cs="仿宋_GB2312"/>
          <w:color w:val="000000" w:themeColor="text1"/>
          <w:sz w:val="32"/>
          <w:szCs w:val="32"/>
          <w:lang w:eastAsia="zh-CN"/>
          <w14:textFill>
            <w14:solidFill>
              <w14:schemeClr w14:val="tx1"/>
            </w14:solidFill>
          </w14:textFill>
        </w:rPr>
        <w:t>厉行节约。</w:t>
      </w:r>
    </w:p>
    <w:p>
      <w:pPr>
        <w:spacing w:line="600" w:lineRule="exact"/>
        <w:ind w:firstLine="643" w:firstLineChars="200"/>
        <w:outlineLvl w:val="2"/>
        <w:rPr>
          <w:rFonts w:eastAsia="楷体_GB2312" w:cs="楷体_GB2312"/>
          <w:b/>
          <w:sz w:val="32"/>
          <w:szCs w:val="32"/>
        </w:rPr>
      </w:pPr>
      <w:bookmarkStart w:id="58" w:name="_Toc15377223"/>
      <w:r>
        <w:rPr>
          <w:rFonts w:hint="eastAsia" w:eastAsia="楷体_GB2312" w:cs="楷体_GB2312"/>
          <w:b/>
          <w:sz w:val="32"/>
          <w:szCs w:val="32"/>
        </w:rPr>
        <w:t>（二）政府采购支出情况</w:t>
      </w:r>
      <w:bookmarkEnd w:id="58"/>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w:t>
      </w:r>
      <w:r>
        <w:rPr>
          <w:rFonts w:hint="eastAsia" w:ascii="仿宋_GB2312" w:hAnsi="仿宋_GB2312" w:eastAsia="仿宋_GB2312" w:cs="仿宋_GB2312"/>
          <w:sz w:val="32"/>
          <w:szCs w:val="32"/>
          <w:lang w:eastAsia="zh-CN"/>
        </w:rPr>
        <w:t>阿坝州文化广播电视体育和旅游局</w:t>
      </w:r>
      <w:r>
        <w:rPr>
          <w:rFonts w:hint="eastAsia" w:ascii="仿宋_GB2312" w:hAnsi="仿宋_GB2312" w:eastAsia="仿宋_GB2312" w:cs="仿宋_GB2312"/>
          <w:sz w:val="32"/>
          <w:szCs w:val="32"/>
        </w:rPr>
        <w:t>政府采购支出总额</w:t>
      </w:r>
      <w:r>
        <w:rPr>
          <w:rFonts w:hint="eastAsia" w:ascii="仿宋_GB2312" w:hAnsi="仿宋_GB2312" w:eastAsia="仿宋_GB2312" w:cs="仿宋_GB2312"/>
          <w:sz w:val="32"/>
          <w:szCs w:val="32"/>
          <w:lang w:val="en-US" w:eastAsia="zh-CN"/>
        </w:rPr>
        <w:t>2746.34</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11.57</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2734.77</w:t>
      </w:r>
      <w:r>
        <w:rPr>
          <w:rFonts w:hint="eastAsia" w:ascii="仿宋_GB2312" w:hAnsi="仿宋_GB2312" w:eastAsia="仿宋_GB2312" w:cs="仿宋_GB2312"/>
          <w:sz w:val="32"/>
          <w:szCs w:val="32"/>
        </w:rPr>
        <w:t>万元。授予中小企业合同金额</w:t>
      </w:r>
      <w:r>
        <w:rPr>
          <w:rFonts w:hint="eastAsia" w:ascii="仿宋_GB2312" w:hAnsi="仿宋_GB2312" w:eastAsia="仿宋_GB2312" w:cs="仿宋_GB2312"/>
          <w:sz w:val="32"/>
          <w:szCs w:val="32"/>
          <w:lang w:val="en-US" w:eastAsia="zh-CN"/>
        </w:rPr>
        <w:t>2746.34</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37.11</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1.35</w:t>
      </w:r>
      <w:r>
        <w:rPr>
          <w:rFonts w:hint="eastAsia" w:ascii="仿宋_GB2312" w:hAnsi="仿宋_GB2312" w:eastAsia="仿宋_GB2312" w:cs="仿宋_GB2312"/>
          <w:sz w:val="32"/>
          <w:szCs w:val="32"/>
        </w:rPr>
        <w:t>%。</w:t>
      </w:r>
    </w:p>
    <w:p>
      <w:pPr>
        <w:spacing w:line="600" w:lineRule="exact"/>
        <w:ind w:firstLine="643" w:firstLineChars="200"/>
        <w:outlineLvl w:val="2"/>
        <w:rPr>
          <w:rFonts w:eastAsia="楷体_GB2312" w:cs="楷体_GB2312"/>
          <w:b/>
          <w:sz w:val="32"/>
          <w:szCs w:val="32"/>
        </w:rPr>
      </w:pPr>
      <w:bookmarkStart w:id="59" w:name="_Toc15377224"/>
      <w:r>
        <w:rPr>
          <w:rFonts w:hint="eastAsia" w:eastAsia="楷体_GB2312" w:cs="楷体_GB2312"/>
          <w:b/>
          <w:sz w:val="32"/>
          <w:szCs w:val="32"/>
        </w:rPr>
        <w:t>（三）国有资产占有使用情况</w:t>
      </w:r>
      <w:bookmarkEnd w:id="59"/>
    </w:p>
    <w:p>
      <w:pPr>
        <w:spacing w:line="600" w:lineRule="exact"/>
        <w:ind w:firstLine="64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rPr>
        <w:t>截至202</w:t>
      </w:r>
      <w:r>
        <w:rPr>
          <w:rFonts w:hint="eastAsia" w:ascii="仿宋_GB2312" w:hAnsi="仿宋_GB2312" w:eastAsia="仿宋_GB2312" w:cs="仿宋_GB2312"/>
          <w:color w:val="000000" w:themeColor="text1"/>
          <w:sz w:val="32"/>
          <w:szCs w:val="32"/>
          <w14:textFill>
            <w14:solidFill>
              <w14:schemeClr w14:val="tx1"/>
            </w14:solidFill>
          </w14:textFill>
        </w:rPr>
        <w:t>4年12月31日，</w:t>
      </w:r>
      <w:r>
        <w:rPr>
          <w:rFonts w:hint="eastAsia" w:ascii="仿宋_GB2312" w:hAnsi="仿宋_GB2312" w:eastAsia="仿宋_GB2312" w:cs="仿宋_GB2312"/>
          <w:color w:val="000000" w:themeColor="text1"/>
          <w:sz w:val="32"/>
          <w:szCs w:val="32"/>
          <w:lang w:eastAsia="zh-CN"/>
          <w14:textFill>
            <w14:solidFill>
              <w14:schemeClr w14:val="tx1"/>
            </w14:solidFill>
          </w14:textFill>
        </w:rPr>
        <w:t>阿坝州文化广播电视体育和旅游局</w:t>
      </w:r>
      <w:r>
        <w:rPr>
          <w:rFonts w:hint="eastAsia" w:ascii="仿宋_GB2312" w:hAnsi="仿宋_GB2312" w:eastAsia="仿宋_GB2312" w:cs="仿宋_GB2312"/>
          <w:color w:val="000000" w:themeColor="text1"/>
          <w:sz w:val="32"/>
          <w:szCs w:val="32"/>
          <w14:textFill>
            <w14:solidFill>
              <w14:schemeClr w14:val="tx1"/>
            </w14:solidFill>
          </w14:textFill>
        </w:rPr>
        <w:t>共有车辆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14:textFill>
            <w14:solidFill>
              <w14:schemeClr w14:val="tx1"/>
            </w14:solidFill>
          </w14:textFill>
        </w:rPr>
        <w:t>辆，其中：主要负责人用车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辆、机要通信用车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辆、应急保障用车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辆、其他用车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14:textFill>
            <w14:solidFill>
              <w14:schemeClr w14:val="tx1"/>
            </w14:solidFill>
          </w14:textFill>
        </w:rPr>
        <w:t>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2"/>
        <w:rPr>
          <w:color w:val="000000" w:themeColor="text1"/>
          <w14:textFill>
            <w14:solidFill>
              <w14:schemeClr w14:val="tx1"/>
            </w14:solidFill>
          </w14:textFill>
        </w:rPr>
      </w:pPr>
    </w:p>
    <w:p>
      <w:pPr>
        <w:spacing w:line="600" w:lineRule="exact"/>
        <w:ind w:firstLine="643" w:firstLineChars="200"/>
        <w:outlineLvl w:val="2"/>
        <w:rPr>
          <w:rFonts w:eastAsia="楷体_GB2312" w:cs="楷体_GB2312"/>
          <w:b/>
          <w:color w:val="000000" w:themeColor="text1"/>
          <w:sz w:val="32"/>
          <w:szCs w:val="32"/>
          <w14:textFill>
            <w14:solidFill>
              <w14:schemeClr w14:val="tx1"/>
            </w14:solidFill>
          </w14:textFill>
        </w:rPr>
      </w:pPr>
      <w:r>
        <w:rPr>
          <w:rFonts w:hint="eastAsia" w:eastAsia="楷体_GB2312" w:cs="楷体_GB2312"/>
          <w:b/>
          <w:color w:val="000000" w:themeColor="text1"/>
          <w:sz w:val="32"/>
          <w:szCs w:val="32"/>
          <w14:textFill>
            <w14:solidFill>
              <w14:schemeClr w14:val="tx1"/>
            </w14:solidFill>
          </w14:textFill>
        </w:rPr>
        <w:t>（四）预算绩效管理情况</w:t>
      </w:r>
    </w:p>
    <w:p>
      <w:pPr>
        <w:spacing w:line="580" w:lineRule="exact"/>
        <w:ind w:firstLine="600" w:firstLineChars="200"/>
        <w:rPr>
          <w:rFonts w:hint="eastAsia" w:ascii="仿宋_GB2312" w:hAnsi="仿宋_GB2312" w:eastAsia="仿宋_GB2312" w:cs="仿宋_GB2312"/>
          <w:color w:val="000000" w:themeColor="text1"/>
          <w:sz w:val="30"/>
          <w:szCs w:val="30"/>
          <w:highlight w:val="none"/>
          <w:lang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根据预算绩效管理要求，本</w:t>
      </w:r>
      <w:r>
        <w:rPr>
          <w:rFonts w:hint="eastAsia" w:ascii="仿宋_GB2312" w:hAnsi="仿宋_GB2312" w:eastAsia="仿宋_GB2312" w:cs="仿宋_GB2312"/>
          <w:color w:val="000000" w:themeColor="text1"/>
          <w:sz w:val="30"/>
          <w:szCs w:val="30"/>
          <w:highlight w:val="none"/>
          <w:lang w:eastAsia="zh-CN"/>
          <w14:textFill>
            <w14:solidFill>
              <w14:schemeClr w14:val="tx1"/>
            </w14:solidFill>
          </w14:textFill>
        </w:rPr>
        <w:t>单位</w:t>
      </w:r>
      <w:r>
        <w:rPr>
          <w:rFonts w:hint="eastAsia" w:ascii="仿宋_GB2312" w:hAnsi="仿宋_GB2312" w:eastAsia="仿宋_GB2312" w:cs="仿宋_GB2312"/>
          <w:color w:val="000000" w:themeColor="text1"/>
          <w:sz w:val="30"/>
          <w:szCs w:val="30"/>
          <w:highlight w:val="none"/>
          <w14:textFill>
            <w14:solidFill>
              <w14:schemeClr w14:val="tx1"/>
            </w14:solidFill>
          </w14:textFill>
        </w:rPr>
        <w:t>在</w:t>
      </w:r>
      <w:r>
        <w:rPr>
          <w:rFonts w:hint="eastAsia" w:ascii="仿宋_GB2312" w:hAnsi="仿宋_GB2312" w:eastAsia="仿宋_GB2312" w:cs="仿宋_GB2312"/>
          <w:color w:val="000000" w:themeColor="text1"/>
          <w:sz w:val="30"/>
          <w:szCs w:val="30"/>
          <w:highlight w:val="none"/>
          <w:lang w:val="en-US" w:eastAsia="zh-CN"/>
          <w14:textFill>
            <w14:solidFill>
              <w14:schemeClr w14:val="tx1"/>
            </w14:solidFill>
          </w14:textFill>
        </w:rPr>
        <w:t>2024年度</w:t>
      </w:r>
      <w:r>
        <w:rPr>
          <w:rFonts w:hint="eastAsia" w:ascii="仿宋_GB2312" w:hAnsi="仿宋_GB2312" w:eastAsia="仿宋_GB2312" w:cs="仿宋_GB2312"/>
          <w:color w:val="000000" w:themeColor="text1"/>
          <w:sz w:val="30"/>
          <w:szCs w:val="30"/>
          <w:highlight w:val="none"/>
          <w14:textFill>
            <w14:solidFill>
              <w14:schemeClr w14:val="tx1"/>
            </w14:solidFill>
          </w14:textFill>
        </w:rPr>
        <w:t>预算编制阶段，组织对</w:t>
      </w:r>
      <w:r>
        <w:rPr>
          <w:rFonts w:hint="eastAsia" w:ascii="仿宋_GB2312" w:hAnsi="仿宋_GB2312" w:eastAsia="仿宋_GB2312" w:cs="仿宋_GB2312"/>
          <w:color w:val="000000" w:themeColor="text1"/>
          <w:sz w:val="30"/>
          <w:szCs w:val="30"/>
          <w:highlight w:val="none"/>
          <w:lang w:val="en-US" w:eastAsia="zh-CN"/>
          <w14:textFill>
            <w14:solidFill>
              <w14:schemeClr w14:val="tx1"/>
            </w14:solidFill>
          </w14:textFill>
        </w:rPr>
        <w:t>55</w:t>
      </w:r>
      <w:r>
        <w:rPr>
          <w:rFonts w:hint="eastAsia" w:ascii="仿宋_GB2312" w:hAnsi="仿宋_GB2312" w:eastAsia="仿宋_GB2312" w:cs="仿宋_GB2312"/>
          <w:color w:val="000000" w:themeColor="text1"/>
          <w:sz w:val="30"/>
          <w:szCs w:val="30"/>
          <w:highlight w:val="none"/>
          <w14:textFill>
            <w14:solidFill>
              <w14:schemeClr w14:val="tx1"/>
            </w14:solidFill>
          </w14:textFill>
        </w:rPr>
        <w:t>项目（2022年省级体育发展专项资金（第二批）（阿州财教（222）44号）政府性基金预算</w:t>
      </w:r>
      <w:r>
        <w:rPr>
          <w:rFonts w:hint="eastAsia" w:ascii="仿宋_GB2312" w:hAnsi="仿宋_GB2312" w:eastAsia="仿宋_GB2312" w:cs="仿宋_GB2312"/>
          <w:color w:val="000000" w:themeColor="text1"/>
          <w:sz w:val="30"/>
          <w:szCs w:val="30"/>
          <w:highlight w:val="none"/>
          <w:lang w:eastAsia="zh-CN"/>
          <w14:textFill>
            <w14:solidFill>
              <w14:schemeClr w14:val="tx1"/>
            </w14:solidFill>
          </w14:textFill>
        </w:rPr>
        <w:t>、2023年浙江援建项目-阿坝州全域旅游ip打造项目（二期）、2023年金熊猫技能人才培养行动培训项目资金</w:t>
      </w:r>
      <w:r>
        <w:rPr>
          <w:rFonts w:hint="eastAsia" w:ascii="仿宋_GB2312" w:hAnsi="仿宋_GB2312" w:eastAsia="仿宋_GB2312" w:cs="仿宋_GB2312"/>
          <w:color w:val="000000" w:themeColor="text1"/>
          <w:sz w:val="30"/>
          <w:szCs w:val="30"/>
          <w:highlight w:val="none"/>
          <w14:textFill>
            <w14:solidFill>
              <w14:schemeClr w14:val="tx1"/>
            </w14:solidFill>
          </w14:textFill>
        </w:rPr>
        <w:t>）</w:t>
      </w:r>
      <w:r>
        <w:rPr>
          <w:rFonts w:hint="eastAsia" w:ascii="仿宋_GB2312" w:hAnsi="仿宋_GB2312" w:eastAsia="仿宋_GB2312" w:cs="仿宋_GB2312"/>
          <w:color w:val="000000" w:themeColor="text1"/>
          <w:sz w:val="30"/>
          <w:szCs w:val="30"/>
          <w:highlight w:val="none"/>
          <w:lang w:eastAsia="zh-CN"/>
          <w14:textFill>
            <w14:solidFill>
              <w14:schemeClr w14:val="tx1"/>
            </w14:solidFill>
          </w14:textFill>
        </w:rPr>
        <w:t>等</w:t>
      </w:r>
      <w:r>
        <w:rPr>
          <w:rFonts w:hint="eastAsia" w:ascii="仿宋_GB2312" w:hAnsi="仿宋_GB2312" w:eastAsia="仿宋_GB2312" w:cs="仿宋_GB2312"/>
          <w:color w:val="000000" w:themeColor="text1"/>
          <w:sz w:val="30"/>
          <w:szCs w:val="30"/>
          <w:highlight w:val="none"/>
          <w:lang w:val="en-US" w:eastAsia="zh-CN"/>
          <w14:textFill>
            <w14:solidFill>
              <w14:schemeClr w14:val="tx1"/>
            </w14:solidFill>
          </w14:textFill>
        </w:rPr>
        <w:t>55个项目</w:t>
      </w:r>
      <w:r>
        <w:rPr>
          <w:rFonts w:hint="eastAsia" w:ascii="仿宋_GB2312" w:hAnsi="仿宋_GB2312" w:eastAsia="仿宋_GB2312" w:cs="仿宋_GB2312"/>
          <w:color w:val="000000" w:themeColor="text1"/>
          <w:sz w:val="30"/>
          <w:szCs w:val="30"/>
          <w:highlight w:val="none"/>
          <w14:textFill>
            <w14:solidFill>
              <w14:schemeClr w14:val="tx1"/>
            </w14:solidFill>
          </w14:textFill>
        </w:rPr>
        <w:t>开展了预算事前绩效评估，对</w:t>
      </w:r>
      <w:r>
        <w:rPr>
          <w:rFonts w:hint="eastAsia" w:ascii="仿宋_GB2312" w:hAnsi="仿宋_GB2312" w:eastAsia="仿宋_GB2312" w:cs="仿宋_GB2312"/>
          <w:color w:val="000000" w:themeColor="text1"/>
          <w:sz w:val="30"/>
          <w:szCs w:val="30"/>
          <w:highlight w:val="none"/>
          <w:lang w:val="en-US" w:eastAsia="zh-CN"/>
          <w14:textFill>
            <w14:solidFill>
              <w14:schemeClr w14:val="tx1"/>
            </w14:solidFill>
          </w14:textFill>
        </w:rPr>
        <w:t>55</w:t>
      </w:r>
      <w:r>
        <w:rPr>
          <w:rFonts w:hint="eastAsia" w:ascii="仿宋_GB2312" w:hAnsi="仿宋_GB2312" w:eastAsia="仿宋_GB2312" w:cs="仿宋_GB2312"/>
          <w:color w:val="000000" w:themeColor="text1"/>
          <w:sz w:val="30"/>
          <w:szCs w:val="30"/>
          <w:highlight w:val="none"/>
          <w14:textFill>
            <w14:solidFill>
              <w14:schemeClr w14:val="tx1"/>
            </w14:solidFill>
          </w14:textFill>
        </w:rPr>
        <w:t>个项目编制了绩效目标，预算执行过程中，选取</w:t>
      </w:r>
      <w:r>
        <w:rPr>
          <w:rFonts w:hint="eastAsia" w:ascii="仿宋_GB2312" w:hAnsi="仿宋_GB2312" w:eastAsia="仿宋_GB2312" w:cs="仿宋_GB2312"/>
          <w:color w:val="000000" w:themeColor="text1"/>
          <w:sz w:val="30"/>
          <w:szCs w:val="30"/>
          <w:highlight w:val="none"/>
          <w:lang w:val="en-US" w:eastAsia="zh-CN"/>
          <w14:textFill>
            <w14:solidFill>
              <w14:schemeClr w14:val="tx1"/>
            </w14:solidFill>
          </w14:textFill>
        </w:rPr>
        <w:t>55</w:t>
      </w:r>
      <w:r>
        <w:rPr>
          <w:rFonts w:hint="eastAsia" w:ascii="仿宋_GB2312" w:hAnsi="仿宋_GB2312" w:eastAsia="仿宋_GB2312" w:cs="仿宋_GB2312"/>
          <w:color w:val="000000" w:themeColor="text1"/>
          <w:sz w:val="30"/>
          <w:szCs w:val="30"/>
          <w:highlight w:val="none"/>
          <w14:textFill>
            <w14:solidFill>
              <w14:schemeClr w14:val="tx1"/>
            </w14:solidFill>
          </w14:textFill>
        </w:rPr>
        <w:t>个项目开展绩效监控</w:t>
      </w:r>
      <w:r>
        <w:rPr>
          <w:rFonts w:hint="eastAsia" w:ascii="仿宋_GB2312" w:hAnsi="仿宋_GB2312" w:eastAsia="仿宋_GB2312" w:cs="仿宋_GB2312"/>
          <w:color w:val="000000" w:themeColor="text1"/>
          <w:sz w:val="30"/>
          <w:szCs w:val="30"/>
          <w:highlight w:val="none"/>
          <w:lang w:eastAsia="zh-CN"/>
          <w14:textFill>
            <w14:solidFill>
              <w14:schemeClr w14:val="tx1"/>
            </w14:solidFill>
          </w14:textFill>
        </w:rPr>
        <w:t>。</w:t>
      </w:r>
    </w:p>
    <w:p>
      <w:pPr>
        <w:spacing w:line="580" w:lineRule="exact"/>
        <w:ind w:firstLine="600" w:firstLineChars="200"/>
        <w:rPr>
          <w:rFonts w:hint="eastAsia" w:ascii="仿宋_GB2312" w:hAnsi="仿宋_GB2312" w:eastAsia="仿宋_GB2312" w:cs="仿宋_GB2312"/>
          <w:color w:val="auto"/>
          <w:sz w:val="30"/>
          <w:szCs w:val="30"/>
          <w:highlight w:val="none"/>
          <w:lang w:eastAsia="zh-CN"/>
        </w:rPr>
      </w:pPr>
      <w:r>
        <w:rPr>
          <w:rFonts w:hint="eastAsia" w:ascii="仿宋_GB2312" w:hAnsi="仿宋_GB2312" w:eastAsia="仿宋_GB2312" w:cs="仿宋_GB2312"/>
          <w:color w:val="000000" w:themeColor="text1"/>
          <w:sz w:val="30"/>
          <w:szCs w:val="30"/>
          <w:highlight w:val="none"/>
          <w:lang w:eastAsia="zh-CN"/>
          <w14:textFill>
            <w14:solidFill>
              <w14:schemeClr w14:val="tx1"/>
            </w14:solidFill>
          </w14:textFill>
        </w:rPr>
        <w:t>组织</w:t>
      </w:r>
      <w:r>
        <w:rPr>
          <w:rFonts w:hint="eastAsia" w:ascii="仿宋_GB2312" w:hAnsi="仿宋_GB2312" w:eastAsia="仿宋_GB2312" w:cs="仿宋_GB2312"/>
          <w:color w:val="000000" w:themeColor="text1"/>
          <w:sz w:val="30"/>
          <w:szCs w:val="30"/>
          <w:highlight w:val="none"/>
          <w14:textFill>
            <w14:solidFill>
              <w14:schemeClr w14:val="tx1"/>
            </w14:solidFill>
          </w14:textFill>
        </w:rPr>
        <w:t>对</w:t>
      </w:r>
      <w:r>
        <w:rPr>
          <w:rFonts w:hint="eastAsia" w:ascii="仿宋_GB2312" w:hAnsi="仿宋_GB2312" w:eastAsia="仿宋_GB2312" w:cs="仿宋_GB2312"/>
          <w:color w:val="000000" w:themeColor="text1"/>
          <w:sz w:val="30"/>
          <w:szCs w:val="30"/>
          <w:highlight w:val="none"/>
          <w:lang w:val="en-US" w:eastAsia="zh-CN"/>
          <w14:textFill>
            <w14:solidFill>
              <w14:schemeClr w14:val="tx1"/>
            </w14:solidFill>
          </w14:textFill>
        </w:rPr>
        <w:t>2024年度一般公共预算、</w:t>
      </w:r>
      <w:r>
        <w:rPr>
          <w:rFonts w:hint="eastAsia" w:ascii="仿宋_GB2312" w:hAnsi="仿宋_GB2312" w:eastAsia="仿宋_GB2312" w:cs="仿宋_GB2312"/>
          <w:color w:val="000000" w:themeColor="text1"/>
          <w:sz w:val="30"/>
          <w:szCs w:val="30"/>
          <w:highlight w:val="none"/>
          <w:lang w:eastAsia="zh-CN"/>
          <w14:textFill>
            <w14:solidFill>
              <w14:schemeClr w14:val="tx1"/>
            </w14:solidFill>
          </w14:textFill>
        </w:rPr>
        <w:t>政府性基金预算、国有资本经营预算、社会保险基金预算以及资本资产、债券资金</w:t>
      </w:r>
      <w:r>
        <w:rPr>
          <w:rFonts w:hint="eastAsia" w:ascii="仿宋_GB2312" w:hAnsi="仿宋_GB2312" w:eastAsia="仿宋_GB2312" w:cs="仿宋_GB2312"/>
          <w:color w:val="auto"/>
          <w:sz w:val="30"/>
          <w:szCs w:val="30"/>
          <w:highlight w:val="none"/>
          <w:lang w:eastAsia="zh-CN"/>
        </w:rPr>
        <w:t>等</w:t>
      </w:r>
      <w:r>
        <w:rPr>
          <w:rFonts w:hint="eastAsia" w:ascii="仿宋_GB2312" w:hAnsi="仿宋_GB2312" w:eastAsia="仿宋_GB2312" w:cs="仿宋_GB2312"/>
          <w:color w:val="auto"/>
          <w:sz w:val="30"/>
          <w:szCs w:val="30"/>
          <w:highlight w:val="none"/>
          <w:lang w:val="en-US" w:eastAsia="zh-CN"/>
        </w:rPr>
        <w:t>全面开展绩效自评，形成阿坝州文化体育和旅游局</w:t>
      </w:r>
      <w:r>
        <w:rPr>
          <w:rFonts w:hint="eastAsia" w:ascii="仿宋_GB2312" w:hAnsi="仿宋_GB2312" w:eastAsia="仿宋_GB2312" w:cs="仿宋_GB2312"/>
          <w:color w:val="auto"/>
          <w:sz w:val="30"/>
          <w:szCs w:val="30"/>
          <w:highlight w:val="none"/>
          <w:lang w:eastAsia="zh-CN"/>
        </w:rPr>
        <w:t>部门整体（含部门预算项目）</w:t>
      </w:r>
      <w:r>
        <w:rPr>
          <w:rFonts w:hint="eastAsia" w:ascii="仿宋_GB2312" w:hAnsi="仿宋_GB2312" w:eastAsia="仿宋_GB2312" w:cs="仿宋_GB2312"/>
          <w:color w:val="auto"/>
          <w:sz w:val="30"/>
          <w:szCs w:val="30"/>
          <w:highlight w:val="none"/>
          <w:lang w:val="en-US" w:eastAsia="zh-CN"/>
        </w:rPr>
        <w:t>绩效自评报告</w:t>
      </w:r>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color w:val="auto"/>
          <w:sz w:val="30"/>
          <w:szCs w:val="30"/>
          <w:highlight w:val="none"/>
          <w:lang w:val="en-US" w:eastAsia="zh-CN"/>
        </w:rPr>
        <w:t>其中，部门整体</w:t>
      </w:r>
      <w:r>
        <w:rPr>
          <w:rFonts w:hint="eastAsia" w:ascii="仿宋_GB2312" w:hAnsi="仿宋_GB2312" w:eastAsia="仿宋_GB2312" w:cs="仿宋_GB2312"/>
          <w:color w:val="auto"/>
          <w:sz w:val="30"/>
          <w:szCs w:val="30"/>
          <w:highlight w:val="none"/>
          <w:lang w:eastAsia="zh-CN"/>
        </w:rPr>
        <w:t>（含部门预算项目）</w:t>
      </w:r>
      <w:r>
        <w:rPr>
          <w:rFonts w:hint="eastAsia" w:ascii="仿宋_GB2312" w:hAnsi="仿宋_GB2312" w:eastAsia="仿宋_GB2312" w:cs="仿宋_GB2312"/>
          <w:color w:val="auto"/>
          <w:sz w:val="30"/>
          <w:szCs w:val="30"/>
          <w:highlight w:val="none"/>
          <w:lang w:val="en-US" w:eastAsia="zh-CN"/>
        </w:rPr>
        <w:t>绩效自评得分为100分，</w:t>
      </w:r>
      <w:r>
        <w:rPr>
          <w:rFonts w:hint="eastAsia" w:ascii="仿宋_GB2312" w:hAnsi="仿宋_GB2312" w:eastAsia="仿宋_GB2312" w:cs="仿宋_GB2312"/>
          <w:color w:val="auto"/>
          <w:sz w:val="30"/>
          <w:szCs w:val="30"/>
          <w:highlight w:val="none"/>
          <w:lang w:eastAsia="zh-CN"/>
        </w:rPr>
        <w:t>专项预</w:t>
      </w:r>
      <w:r>
        <w:rPr>
          <w:rFonts w:hint="eastAsia" w:ascii="仿宋_GB2312" w:hAnsi="仿宋_GB2312" w:eastAsia="仿宋_GB2312" w:cs="仿宋_GB2312"/>
          <w:color w:val="auto"/>
          <w:sz w:val="30"/>
          <w:szCs w:val="30"/>
          <w:highlight w:val="none"/>
          <w:lang w:val="en-US" w:eastAsia="zh-CN"/>
        </w:rPr>
        <w:t>算项目绩效自评得分为100分。</w:t>
      </w:r>
    </w:p>
    <w:p>
      <w:pPr>
        <w:spacing w:line="600" w:lineRule="exact"/>
        <w:ind w:firstLine="640"/>
        <w:rPr>
          <w:rFonts w:eastAsia="仿宋_GB2312" w:cs="仿宋_GB2312"/>
          <w:sz w:val="32"/>
          <w:szCs w:val="32"/>
        </w:rPr>
      </w:pPr>
    </w:p>
    <w:p>
      <w:pPr>
        <w:spacing w:line="600" w:lineRule="exact"/>
        <w:ind w:firstLine="640"/>
        <w:rPr>
          <w:rFonts w:eastAsia="仿宋_GB2312" w:cs="仿宋_GB2312"/>
          <w:sz w:val="32"/>
          <w:szCs w:val="32"/>
        </w:rPr>
      </w:pPr>
    </w:p>
    <w:p>
      <w:pPr>
        <w:pStyle w:val="8"/>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pStyle w:val="9"/>
        <w:widowControl w:val="0"/>
        <w:numPr>
          <w:ilvl w:val="0"/>
          <w:numId w:val="0"/>
        </w:numPr>
        <w:jc w:val="both"/>
        <w:rPr>
          <w:rFonts w:eastAsia="仿宋_GB2312" w:cs="仿宋_GB2312"/>
          <w:sz w:val="32"/>
          <w:szCs w:val="32"/>
        </w:rPr>
      </w:pPr>
    </w:p>
    <w:p>
      <w:pPr>
        <w:spacing w:line="600" w:lineRule="exact"/>
        <w:jc w:val="center"/>
        <w:outlineLvl w:val="0"/>
        <w:rPr>
          <w:rFonts w:eastAsia="黑体"/>
          <w:sz w:val="44"/>
          <w:szCs w:val="44"/>
        </w:rPr>
      </w:pPr>
      <w:bookmarkStart w:id="60" w:name="_Toc15377225"/>
      <w:bookmarkStart w:id="61" w:name="_Toc15396613"/>
      <w:bookmarkStart w:id="62" w:name="_Toc27301"/>
      <w:r>
        <w:rPr>
          <w:rFonts w:hint="eastAsia" w:eastAsia="黑体"/>
          <w:sz w:val="44"/>
          <w:szCs w:val="44"/>
        </w:rPr>
        <w:t>第三部分  名词解释</w:t>
      </w:r>
      <w:bookmarkEnd w:id="60"/>
      <w:bookmarkEnd w:id="61"/>
      <w:bookmarkEnd w:id="62"/>
    </w:p>
    <w:p>
      <w:pPr>
        <w:spacing w:line="600" w:lineRule="exact"/>
        <w:jc w:val="left"/>
        <w:rPr>
          <w:b/>
          <w:sz w:val="44"/>
          <w:szCs w:val="44"/>
        </w:rPr>
      </w:pPr>
    </w:p>
    <w:p>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lang w:val="en-US" w:eastAsia="zh-CN"/>
        </w:rPr>
        <w:t>2</w:t>
      </w:r>
      <w:r>
        <w:rPr>
          <w:rFonts w:hint="eastAsia" w:eastAsia="仿宋_GB2312" w:cs="仿宋_GB2312"/>
          <w:sz w:val="32"/>
          <w:szCs w:val="32"/>
        </w:rPr>
        <w:t>.其他收入：指单位取得的除上述收入以外的各项收入。</w:t>
      </w:r>
    </w:p>
    <w:p>
      <w:pPr>
        <w:spacing w:line="600" w:lineRule="exact"/>
        <w:ind w:firstLine="640" w:firstLineChars="200"/>
        <w:rPr>
          <w:rFonts w:eastAsia="仿宋_GB2312" w:cs="仿宋_GB2312"/>
          <w:sz w:val="32"/>
          <w:szCs w:val="32"/>
        </w:rPr>
      </w:pPr>
      <w:r>
        <w:rPr>
          <w:rFonts w:hint="eastAsia" w:eastAsia="仿宋_GB2312" w:cs="仿宋_GB2312"/>
          <w:sz w:val="32"/>
          <w:szCs w:val="32"/>
          <w:lang w:val="en-US" w:eastAsia="zh-CN"/>
        </w:rPr>
        <w:t>3</w:t>
      </w:r>
      <w:r>
        <w:rPr>
          <w:rFonts w:hint="eastAsia" w:eastAsia="仿宋_GB2312" w:cs="仿宋_GB2312"/>
          <w:sz w:val="32"/>
          <w:szCs w:val="32"/>
        </w:rPr>
        <w:t xml:space="preserve">.年初结转和结余：指以前年度尚未完成、结转到本年按有关规定继续使用的资金。 </w:t>
      </w:r>
    </w:p>
    <w:p>
      <w:pPr>
        <w:spacing w:line="600" w:lineRule="exact"/>
        <w:ind w:firstLine="640" w:firstLineChars="200"/>
        <w:rPr>
          <w:rFonts w:hint="eastAsia"/>
          <w:lang w:val="en-US" w:eastAsia="zh-CN"/>
        </w:rPr>
      </w:pPr>
      <w:r>
        <w:rPr>
          <w:rFonts w:hint="eastAsia" w:eastAsia="仿宋_GB2312" w:cs="仿宋_GB2312"/>
          <w:sz w:val="32"/>
          <w:szCs w:val="32"/>
          <w:lang w:val="en-US" w:eastAsia="zh-CN"/>
        </w:rPr>
        <w:t>4</w:t>
      </w:r>
      <w:r>
        <w:rPr>
          <w:rFonts w:hint="eastAsia" w:eastAsia="仿宋_GB2312" w:cs="仿宋_GB2312"/>
          <w:sz w:val="32"/>
          <w:szCs w:val="32"/>
        </w:rPr>
        <w:t>.年末结转和结余：指单位按有关规定结转到下年或以后年度继续使用的资金。</w:t>
      </w:r>
    </w:p>
    <w:p>
      <w:pPr>
        <w:spacing w:line="600" w:lineRule="exact"/>
        <w:ind w:firstLine="640" w:firstLineChars="200"/>
        <w:rPr>
          <w:rFonts w:hint="eastAsia" w:ascii="仿宋_GB2312" w:eastAsia="仿宋_GB2312"/>
          <w:color w:val="000000"/>
          <w:sz w:val="32"/>
          <w:szCs w:val="32"/>
          <w:lang w:eastAsia="zh-CN"/>
        </w:rPr>
      </w:pPr>
      <w:r>
        <w:rPr>
          <w:rFonts w:hint="eastAsia" w:eastAsia="仿宋_GB2312" w:cs="仿宋_GB2312"/>
          <w:sz w:val="32"/>
          <w:szCs w:val="32"/>
          <w:lang w:val="en-US" w:eastAsia="zh-CN"/>
        </w:rPr>
        <w:t>5</w:t>
      </w:r>
      <w:r>
        <w:rPr>
          <w:rFonts w:hint="eastAsia" w:eastAsia="仿宋_GB2312" w:cs="仿宋_GB2312"/>
          <w:sz w:val="32"/>
          <w:szCs w:val="32"/>
        </w:rPr>
        <w:t>.</w:t>
      </w:r>
      <w:r>
        <w:rPr>
          <w:rFonts w:hint="eastAsia" w:eastAsia="仿宋_GB2312" w:cs="仿宋_GB2312"/>
          <w:sz w:val="32"/>
          <w:szCs w:val="32"/>
          <w:lang w:val="en-US" w:eastAsia="zh-CN"/>
        </w:rPr>
        <w:t xml:space="preserve"> </w:t>
      </w:r>
      <w:r>
        <w:rPr>
          <w:rFonts w:hint="eastAsia" w:eastAsia="仿宋_GB2312" w:cs="仿宋_GB2312"/>
          <w:sz w:val="32"/>
          <w:szCs w:val="32"/>
        </w:rPr>
        <w:t>文化旅游体育与传媒</w:t>
      </w:r>
      <w:r>
        <w:rPr>
          <w:rFonts w:hint="eastAsia" w:eastAsia="仿宋_GB2312" w:cs="仿宋_GB2312"/>
          <w:sz w:val="32"/>
          <w:szCs w:val="32"/>
          <w:lang w:eastAsia="zh-CN"/>
        </w:rPr>
        <w:t>支出</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（款</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阿坝州文化广播电视和旅游局基本工资、伙食补助费、其他社会保障缴费、办公费、印刷费、水费、电费、邮电费、物业管理费、差旅费、维修（护）费、租赁费、培训费、专用材料费、劳务费、委托业务费、福利费、公务用车运行维护费、其他交通费用、抚恤金、离休金等支出。</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lang w:eastAsia="zh-CN"/>
        </w:rPr>
        <w:t>社会保障和就业支出208（类）05（款）05（项）：机关事业单位基本养老保险缴费支出，反映机关事业单位实施养老保险缴费制度由单位缴纳的基本养老保险费支出。指阿坝州文化广播电视和旅游局的机关事业单位基本养老保险支出。208（类）05（款）06（项）：机关事业单位职业年金缴费支出，反映机关事业单位实施养老保险制度由单位实际缴纳的职业年金支出。</w:t>
      </w:r>
      <w:r>
        <w:rPr>
          <w:rFonts w:hint="eastAsia" w:ascii="仿宋_GB2312" w:eastAsia="仿宋_GB2312"/>
          <w:color w:val="000000"/>
          <w:sz w:val="32"/>
          <w:szCs w:val="32"/>
          <w:lang w:val="en-US" w:eastAsia="zh-CN"/>
        </w:rPr>
        <w:t xml:space="preserve">    </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7.卫生健康支出</w:t>
      </w:r>
      <w:r>
        <w:rPr>
          <w:rFonts w:hint="eastAsia" w:ascii="仿宋_GB2312" w:eastAsia="仿宋_GB2312"/>
          <w:color w:val="000000"/>
          <w:sz w:val="32"/>
          <w:szCs w:val="32"/>
          <w:lang w:eastAsia="zh-CN"/>
        </w:rPr>
        <w:t>210（类）11（款）02（项）：事业单位医疗，反映财政部门安排的事业单位基本医疗保险缴费经费，未参加医疗保险的事业单位的公费医疗经费，按国家规定享受离退休人员待遇的医疗经费。指阿坝州文化广播电视和旅游局职工基本医疗保险支出。</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210（类）11（款）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lang w:eastAsia="zh-CN"/>
        </w:rPr>
        <w:t>（项）：其他行政事业单位医疗支出，反映上述项目以外的其他用于行政事业单位医疗方面的支出。指阿坝州文化广播电视和旅游局补充医疗保险支出。</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lang w:eastAsia="zh-CN"/>
        </w:rPr>
        <w:t>住房保障</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lang w:eastAsia="zh-CN"/>
        </w:rPr>
        <w:t>221（类）02（款）01（项）：住房公积金，反映行政事业单位按人力资源和社会保障部，财政部等规定和基本工资和津贴补贴以及规定比例为职工缴纳的住房公积金，指阿坝州文化广播电视和旅游局职工住房公积金支出。</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221（类）02（款）0</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lang w:eastAsia="zh-CN"/>
        </w:rPr>
        <w:t>（项）：购房补贴，反映按房改政策，行政事业单位向符合条件的职工（含离退休人员）、军队（含武警）向转役复员离退休人员发放的用于购买住房的补贴。指阿坝州文化广播电视和旅游局退休人员建房困难补助费。</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lang w:eastAsia="zh-CN"/>
        </w:rPr>
        <w:t>.基本支出：指为保障机构正常运转、完成日常工作任务而发生的人员支出和公用支出。</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lang w:eastAsia="zh-CN"/>
        </w:rPr>
        <w:t xml:space="preserve">.项目支出：指在基本支出之外为完成特定行政任务和事业发展目标所发生的支出。 </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 xml:space="preserve"> 11</w:t>
      </w:r>
      <w:r>
        <w:rPr>
          <w:rFonts w:hint="eastAsia" w:ascii="仿宋_GB2312" w:eastAsia="仿宋_GB2312"/>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pStyle w:val="3"/>
        <w:rPr>
          <w:rFonts w:hint="eastAsia" w:ascii="仿宋_GB2312" w:eastAsia="仿宋_GB2312"/>
          <w:color w:val="000000"/>
          <w:sz w:val="32"/>
          <w:szCs w:val="32"/>
          <w:lang w:eastAsia="zh-CN"/>
        </w:rPr>
      </w:pPr>
    </w:p>
    <w:p>
      <w:pPr>
        <w:spacing w:line="600" w:lineRule="exact"/>
        <w:jc w:val="center"/>
        <w:rPr>
          <w:rStyle w:val="20"/>
          <w:rFonts w:eastAsia="黑体"/>
          <w:b w:val="0"/>
        </w:rPr>
      </w:pPr>
      <w:bookmarkStart w:id="63" w:name="_Toc15396614"/>
      <w:r>
        <w:rPr>
          <w:rFonts w:hint="eastAsia" w:eastAsia="黑体"/>
          <w:sz w:val="44"/>
          <w:szCs w:val="44"/>
        </w:rPr>
        <w:t>第四部分  附件</w:t>
      </w:r>
      <w:bookmarkEnd w:id="63"/>
    </w:p>
    <w:p>
      <w:pPr>
        <w:spacing w:line="572" w:lineRule="exact"/>
        <w:jc w:val="left"/>
        <w:outlineLvl w:val="0"/>
        <w:rPr>
          <w:rFonts w:eastAsia="黑体" w:cs="黑体"/>
          <w:color w:val="FF0000"/>
          <w:sz w:val="32"/>
          <w:szCs w:val="32"/>
        </w:rPr>
      </w:pPr>
    </w:p>
    <w:p>
      <w:pPr>
        <w:spacing w:line="572" w:lineRule="exact"/>
        <w:jc w:val="left"/>
        <w:outlineLvl w:val="0"/>
        <w:rPr>
          <w:rFonts w:eastAsia="黑体" w:cs="方正小标宋简体"/>
          <w:sz w:val="44"/>
          <w:szCs w:val="44"/>
        </w:rPr>
      </w:pPr>
      <w:bookmarkStart w:id="64" w:name="_Toc287"/>
      <w:r>
        <w:rPr>
          <w:rFonts w:hint="eastAsia" w:eastAsia="黑体" w:cs="黑体"/>
          <w:sz w:val="32"/>
          <w:szCs w:val="32"/>
        </w:rPr>
        <w:t>附件1</w:t>
      </w:r>
      <w:bookmarkEnd w:id="64"/>
    </w:p>
    <w:p>
      <w:pPr>
        <w:widowControl/>
        <w:spacing w:line="578" w:lineRule="exact"/>
        <w:contextualSpacing/>
        <w:jc w:val="center"/>
        <w:rPr>
          <w:rFonts w:eastAsia="方正小标宋简体"/>
          <w:bCs/>
          <w:sz w:val="44"/>
          <w:szCs w:val="44"/>
          <w:shd w:val="clear" w:color="auto" w:fill="FFFFFF"/>
        </w:rPr>
      </w:pPr>
    </w:p>
    <w:p>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报告范本</w:t>
      </w:r>
    </w:p>
    <w:p>
      <w:pPr>
        <w:widowControl/>
        <w:spacing w:line="578" w:lineRule="exact"/>
        <w:contextualSpacing/>
        <w:jc w:val="center"/>
        <w:rPr>
          <w:rFonts w:eastAsia="仿宋_GB2312"/>
          <w:sz w:val="32"/>
          <w:szCs w:val="32"/>
          <w:shd w:val="clear" w:color="auto" w:fill="FFFFFF"/>
        </w:rPr>
      </w:pPr>
      <w:r>
        <w:rPr>
          <w:rFonts w:eastAsia="仿宋_GB2312"/>
          <w:sz w:val="32"/>
          <w:szCs w:val="32"/>
          <w:shd w:val="clear" w:color="auto" w:fill="FFFFFF"/>
        </w:rPr>
        <w:t>（报告范围包括机关和下属单位）</w:t>
      </w:r>
    </w:p>
    <w:p>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pPr>
        <w:spacing w:before="216" w:line="344" w:lineRule="auto"/>
        <w:ind w:left="29" w:right="506" w:firstLine="630"/>
        <w:rPr>
          <w:rFonts w:ascii="仿宋" w:hAnsi="仿宋" w:eastAsia="仿宋" w:cs="仿宋"/>
          <w:color w:val="000000" w:themeColor="text1"/>
          <w:sz w:val="31"/>
          <w:szCs w:val="31"/>
          <w14:textFill>
            <w14:solidFill>
              <w14:schemeClr w14:val="tx1"/>
            </w14:solidFill>
          </w14:textFill>
        </w:rPr>
      </w:pPr>
      <w:r>
        <w:rPr>
          <w:rFonts w:hint="eastAsia" w:eastAsia="楷体_GB2312" w:cs="楷体_GB2312"/>
          <w:b/>
          <w:sz w:val="32"/>
          <w:szCs w:val="32"/>
          <w:lang w:val="zh-CN"/>
        </w:rPr>
        <w:t>（一）</w:t>
      </w:r>
      <w:r>
        <w:rPr>
          <w:rFonts w:eastAsia="楷体_GB2312" w:cs="楷体_GB2312"/>
          <w:b/>
          <w:sz w:val="32"/>
          <w:szCs w:val="32"/>
          <w:lang w:val="zh-CN"/>
        </w:rPr>
        <w:t>机构组成</w:t>
      </w:r>
      <w:r>
        <w:rPr>
          <w:rFonts w:eastAsia="楷体_GB2312" w:cs="楷体_GB2312"/>
          <w:b/>
          <w:color w:val="000000" w:themeColor="text1"/>
          <w:sz w:val="32"/>
          <w:szCs w:val="32"/>
          <w:lang w:val="zh-CN"/>
          <w14:textFill>
            <w14:solidFill>
              <w14:schemeClr w14:val="tx1"/>
            </w14:solidFill>
          </w14:textFill>
        </w:rPr>
        <w:t>。</w:t>
      </w:r>
      <w:r>
        <w:rPr>
          <w:rFonts w:ascii="仿宋" w:hAnsi="仿宋" w:eastAsia="仿宋" w:cs="仿宋"/>
          <w:color w:val="000000" w:themeColor="text1"/>
          <w:spacing w:val="5"/>
          <w:sz w:val="31"/>
          <w:szCs w:val="31"/>
          <w14:textFill>
            <w14:solidFill>
              <w14:schemeClr w14:val="tx1"/>
            </w14:solidFill>
          </w14:textFill>
        </w:rPr>
        <w:t>州文广体旅局内设</w:t>
      </w:r>
      <w:r>
        <w:rPr>
          <w:rFonts w:ascii="仿宋" w:hAnsi="仿宋" w:eastAsia="仿宋" w:cs="仿宋"/>
          <w:color w:val="000000" w:themeColor="text1"/>
          <w:spacing w:val="-69"/>
          <w:sz w:val="31"/>
          <w:szCs w:val="31"/>
          <w14:textFill>
            <w14:solidFill>
              <w14:schemeClr w14:val="tx1"/>
            </w14:solidFill>
          </w14:textFill>
        </w:rPr>
        <w:t xml:space="preserve"> </w:t>
      </w:r>
      <w:r>
        <w:rPr>
          <w:rFonts w:ascii="Times New Roman" w:hAnsi="Times New Roman" w:eastAsia="Times New Roman" w:cs="Times New Roman"/>
          <w:color w:val="000000" w:themeColor="text1"/>
          <w:spacing w:val="5"/>
          <w:sz w:val="31"/>
          <w:szCs w:val="31"/>
          <w14:textFill>
            <w14:solidFill>
              <w14:schemeClr w14:val="tx1"/>
            </w14:solidFill>
          </w14:textFill>
        </w:rPr>
        <w:t>2</w:t>
      </w:r>
      <w:r>
        <w:rPr>
          <w:rFonts w:ascii="Times New Roman" w:hAnsi="Times New Roman" w:eastAsia="Times New Roman" w:cs="Times New Roman"/>
          <w:color w:val="000000" w:themeColor="text1"/>
          <w:spacing w:val="4"/>
          <w:sz w:val="31"/>
          <w:szCs w:val="31"/>
          <w14:textFill>
            <w14:solidFill>
              <w14:schemeClr w14:val="tx1"/>
            </w14:solidFill>
          </w14:textFill>
        </w:rPr>
        <w:t>0</w:t>
      </w:r>
      <w:r>
        <w:rPr>
          <w:rFonts w:ascii="仿宋" w:hAnsi="仿宋" w:eastAsia="仿宋" w:cs="仿宋"/>
          <w:color w:val="000000" w:themeColor="text1"/>
          <w:spacing w:val="4"/>
          <w:sz w:val="31"/>
          <w:szCs w:val="31"/>
          <w14:textFill>
            <w14:solidFill>
              <w14:schemeClr w14:val="tx1"/>
            </w14:solidFill>
          </w14:textFill>
        </w:rPr>
        <w:t>个</w:t>
      </w:r>
      <w:r>
        <w:rPr>
          <w:rFonts w:hint="eastAsia" w:ascii="仿宋" w:hAnsi="仿宋" w:eastAsia="仿宋" w:cs="仿宋"/>
          <w:color w:val="000000" w:themeColor="text1"/>
          <w:spacing w:val="4"/>
          <w:sz w:val="31"/>
          <w:szCs w:val="31"/>
          <w:lang w:eastAsia="zh-CN"/>
          <w14:textFill>
            <w14:solidFill>
              <w14:schemeClr w14:val="tx1"/>
            </w14:solidFill>
          </w14:textFill>
        </w:rPr>
        <w:t>科</w:t>
      </w:r>
      <w:r>
        <w:rPr>
          <w:rFonts w:ascii="仿宋" w:hAnsi="仿宋" w:eastAsia="仿宋" w:cs="仿宋"/>
          <w:color w:val="000000" w:themeColor="text1"/>
          <w:spacing w:val="4"/>
          <w:sz w:val="31"/>
          <w:szCs w:val="31"/>
          <w14:textFill>
            <w14:solidFill>
              <w14:schemeClr w14:val="tx1"/>
            </w14:solidFill>
          </w14:textFill>
        </w:rPr>
        <w:t>室</w:t>
      </w:r>
      <w:r>
        <w:rPr>
          <w:rFonts w:ascii="仿宋" w:hAnsi="仿宋" w:eastAsia="仿宋" w:cs="仿宋"/>
          <w:color w:val="000000" w:themeColor="text1"/>
          <w:spacing w:val="5"/>
          <w:sz w:val="31"/>
          <w:szCs w:val="31"/>
          <w14:textFill>
            <w14:solidFill>
              <w14:schemeClr w14:val="tx1"/>
            </w14:solidFill>
          </w14:textFill>
        </w:rPr>
        <w:t>。</w:t>
      </w:r>
    </w:p>
    <w:p>
      <w:pPr>
        <w:spacing w:before="3" w:line="342" w:lineRule="auto"/>
        <w:ind w:left="27" w:right="20" w:firstLine="641"/>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1"/>
          <w:sz w:val="31"/>
          <w:szCs w:val="31"/>
          <w14:textFill>
            <w14:solidFill>
              <w14:schemeClr w14:val="tx1"/>
            </w14:solidFill>
          </w14:textFill>
        </w:rPr>
        <w:t>其中内设科室分别为：办公室、政策法规科（行政审批科）、</w:t>
      </w:r>
      <w:r>
        <w:rPr>
          <w:rFonts w:ascii="仿宋" w:hAnsi="仿宋" w:eastAsia="仿宋" w:cs="仿宋"/>
          <w:color w:val="000000" w:themeColor="text1"/>
          <w:spacing w:val="6"/>
          <w:sz w:val="31"/>
          <w:szCs w:val="31"/>
          <w14:textFill>
            <w14:solidFill>
              <w14:schemeClr w14:val="tx1"/>
            </w14:solidFill>
          </w14:textFill>
        </w:rPr>
        <w:t xml:space="preserve"> </w:t>
      </w:r>
      <w:r>
        <w:rPr>
          <w:rFonts w:ascii="仿宋" w:hAnsi="仿宋" w:eastAsia="仿宋" w:cs="仿宋"/>
          <w:color w:val="000000" w:themeColor="text1"/>
          <w:spacing w:val="9"/>
          <w:sz w:val="31"/>
          <w:szCs w:val="31"/>
          <w14:textFill>
            <w14:solidFill>
              <w14:schemeClr w14:val="tx1"/>
            </w14:solidFill>
          </w14:textFill>
        </w:rPr>
        <w:t>规划指导科</w:t>
      </w:r>
      <w:r>
        <w:rPr>
          <w:rFonts w:ascii="Times New Roman" w:hAnsi="Times New Roman" w:eastAsia="Times New Roman" w:cs="Times New Roman"/>
          <w:color w:val="000000" w:themeColor="text1"/>
          <w:spacing w:val="9"/>
          <w:sz w:val="31"/>
          <w:szCs w:val="31"/>
          <w14:textFill>
            <w14:solidFill>
              <w14:schemeClr w14:val="tx1"/>
            </w14:solidFill>
          </w14:textFill>
        </w:rPr>
        <w:t>(</w:t>
      </w:r>
      <w:r>
        <w:rPr>
          <w:rFonts w:ascii="仿宋" w:hAnsi="仿宋" w:eastAsia="仿宋" w:cs="仿宋"/>
          <w:color w:val="000000" w:themeColor="text1"/>
          <w:spacing w:val="9"/>
          <w:sz w:val="31"/>
          <w:szCs w:val="31"/>
          <w14:textFill>
            <w14:solidFill>
              <w14:schemeClr w14:val="tx1"/>
            </w14:solidFill>
          </w14:textFill>
        </w:rPr>
        <w:t>科技教育科</w:t>
      </w:r>
      <w:r>
        <w:rPr>
          <w:rFonts w:ascii="Times New Roman" w:hAnsi="Times New Roman" w:eastAsia="Times New Roman" w:cs="Times New Roman"/>
          <w:color w:val="000000" w:themeColor="text1"/>
          <w:spacing w:val="9"/>
          <w:sz w:val="31"/>
          <w:szCs w:val="31"/>
          <w14:textFill>
            <w14:solidFill>
              <w14:schemeClr w14:val="tx1"/>
            </w14:solidFill>
          </w14:textFill>
        </w:rPr>
        <w:t>)</w:t>
      </w:r>
      <w:r>
        <w:rPr>
          <w:rFonts w:ascii="Times New Roman" w:hAnsi="Times New Roman" w:eastAsia="Times New Roman" w:cs="Times New Roman"/>
          <w:color w:val="000000" w:themeColor="text1"/>
          <w:spacing w:val="-40"/>
          <w:sz w:val="31"/>
          <w:szCs w:val="31"/>
          <w14:textFill>
            <w14:solidFill>
              <w14:schemeClr w14:val="tx1"/>
            </w14:solidFill>
          </w14:textFill>
        </w:rPr>
        <w:t xml:space="preserve"> </w:t>
      </w:r>
      <w:r>
        <w:rPr>
          <w:rFonts w:ascii="仿宋" w:hAnsi="仿宋" w:eastAsia="仿宋" w:cs="仿宋"/>
          <w:color w:val="000000" w:themeColor="text1"/>
          <w:spacing w:val="9"/>
          <w:sz w:val="31"/>
          <w:szCs w:val="31"/>
          <w14:textFill>
            <w14:solidFill>
              <w14:schemeClr w14:val="tx1"/>
            </w14:solidFill>
          </w14:textFill>
        </w:rPr>
        <w:t>、产业发展科、公共服务科</w:t>
      </w:r>
      <w:r>
        <w:rPr>
          <w:rFonts w:ascii="仿宋" w:hAnsi="仿宋" w:eastAsia="仿宋" w:cs="仿宋"/>
          <w:color w:val="000000" w:themeColor="text1"/>
          <w:spacing w:val="8"/>
          <w:sz w:val="31"/>
          <w:szCs w:val="31"/>
          <w14:textFill>
            <w14:solidFill>
              <w14:schemeClr w14:val="tx1"/>
            </w14:solidFill>
          </w14:textFill>
        </w:rPr>
        <w:t>、艺术科、</w:t>
      </w:r>
      <w:r>
        <w:rPr>
          <w:rFonts w:ascii="仿宋" w:hAnsi="仿宋" w:eastAsia="仿宋" w:cs="仿宋"/>
          <w:color w:val="000000" w:themeColor="text1"/>
          <w:sz w:val="31"/>
          <w:szCs w:val="31"/>
          <w14:textFill>
            <w14:solidFill>
              <w14:schemeClr w14:val="tx1"/>
            </w14:solidFill>
          </w14:textFill>
        </w:rPr>
        <w:t xml:space="preserve">  </w:t>
      </w:r>
      <w:r>
        <w:rPr>
          <w:rFonts w:ascii="仿宋" w:hAnsi="仿宋" w:eastAsia="仿宋" w:cs="仿宋"/>
          <w:color w:val="000000" w:themeColor="text1"/>
          <w:spacing w:val="5"/>
          <w:sz w:val="31"/>
          <w:szCs w:val="31"/>
          <w14:textFill>
            <w14:solidFill>
              <w14:schemeClr w14:val="tx1"/>
            </w14:solidFill>
          </w14:textFill>
        </w:rPr>
        <w:t>非物质文化遗产科、文物科、传媒管理科、广电技术科、资源开</w:t>
      </w:r>
      <w:r>
        <w:rPr>
          <w:rFonts w:ascii="仿宋" w:hAnsi="仿宋" w:eastAsia="仿宋" w:cs="仿宋"/>
          <w:color w:val="000000" w:themeColor="text1"/>
          <w:spacing w:val="7"/>
          <w:sz w:val="31"/>
          <w:szCs w:val="31"/>
          <w14:textFill>
            <w14:solidFill>
              <w14:schemeClr w14:val="tx1"/>
            </w14:solidFill>
          </w14:textFill>
        </w:rPr>
        <w:t xml:space="preserve">  </w:t>
      </w:r>
      <w:r>
        <w:rPr>
          <w:rFonts w:ascii="仿宋" w:hAnsi="仿宋" w:eastAsia="仿宋" w:cs="仿宋"/>
          <w:color w:val="000000" w:themeColor="text1"/>
          <w:spacing w:val="4"/>
          <w:sz w:val="31"/>
          <w:szCs w:val="31"/>
          <w14:textFill>
            <w14:solidFill>
              <w14:schemeClr w14:val="tx1"/>
            </w14:solidFill>
          </w14:textFill>
        </w:rPr>
        <w:t>发科、市场管理科</w:t>
      </w:r>
      <w:r>
        <w:rPr>
          <w:rFonts w:ascii="Times New Roman" w:hAnsi="Times New Roman" w:eastAsia="Times New Roman" w:cs="Times New Roman"/>
          <w:color w:val="000000" w:themeColor="text1"/>
          <w:spacing w:val="4"/>
          <w:sz w:val="31"/>
          <w:szCs w:val="31"/>
          <w14:textFill>
            <w14:solidFill>
              <w14:schemeClr w14:val="tx1"/>
            </w14:solidFill>
          </w14:textFill>
        </w:rPr>
        <w:t>(</w:t>
      </w:r>
      <w:r>
        <w:rPr>
          <w:rFonts w:ascii="仿宋" w:hAnsi="仿宋" w:eastAsia="仿宋" w:cs="仿宋"/>
          <w:color w:val="000000" w:themeColor="text1"/>
          <w:spacing w:val="4"/>
          <w:sz w:val="31"/>
          <w:szCs w:val="31"/>
          <w14:textFill>
            <w14:solidFill>
              <w14:schemeClr w14:val="tx1"/>
            </w14:solidFill>
          </w14:textFill>
        </w:rPr>
        <w:t>安全监管科</w:t>
      </w:r>
      <w:r>
        <w:rPr>
          <w:rFonts w:ascii="Times New Roman" w:hAnsi="Times New Roman" w:eastAsia="Times New Roman" w:cs="Times New Roman"/>
          <w:color w:val="000000" w:themeColor="text1"/>
          <w:spacing w:val="4"/>
          <w:sz w:val="31"/>
          <w:szCs w:val="31"/>
          <w14:textFill>
            <w14:solidFill>
              <w14:schemeClr w14:val="tx1"/>
            </w14:solidFill>
          </w14:textFill>
        </w:rPr>
        <w:t>)</w:t>
      </w:r>
      <w:r>
        <w:rPr>
          <w:rFonts w:ascii="仿宋" w:hAnsi="仿宋" w:eastAsia="仿宋" w:cs="仿宋"/>
          <w:color w:val="000000" w:themeColor="text1"/>
          <w:spacing w:val="4"/>
          <w:sz w:val="31"/>
          <w:szCs w:val="31"/>
          <w14:textFill>
            <w14:solidFill>
              <w14:schemeClr w14:val="tx1"/>
            </w14:solidFill>
          </w14:textFill>
        </w:rPr>
        <w:t>、综合执法监督科、宣传营销科、</w:t>
      </w:r>
      <w:r>
        <w:rPr>
          <w:rFonts w:ascii="仿宋" w:hAnsi="仿宋" w:eastAsia="仿宋" w:cs="仿宋"/>
          <w:color w:val="000000" w:themeColor="text1"/>
          <w:spacing w:val="15"/>
          <w:sz w:val="31"/>
          <w:szCs w:val="31"/>
          <w14:textFill>
            <w14:solidFill>
              <w14:schemeClr w14:val="tx1"/>
            </w14:solidFill>
          </w14:textFill>
        </w:rPr>
        <w:t xml:space="preserve"> </w:t>
      </w:r>
      <w:r>
        <w:rPr>
          <w:rFonts w:ascii="仿宋" w:hAnsi="仿宋" w:eastAsia="仿宋" w:cs="仿宋"/>
          <w:color w:val="000000" w:themeColor="text1"/>
          <w:spacing w:val="7"/>
          <w:sz w:val="31"/>
          <w:szCs w:val="31"/>
          <w14:textFill>
            <w14:solidFill>
              <w14:schemeClr w14:val="tx1"/>
            </w14:solidFill>
          </w14:textFill>
        </w:rPr>
        <w:t>竞技体育科、青少年体育科</w:t>
      </w:r>
      <w:r>
        <w:rPr>
          <w:rFonts w:ascii="Times New Roman" w:hAnsi="Times New Roman" w:eastAsia="Times New Roman" w:cs="Times New Roman"/>
          <w:color w:val="000000" w:themeColor="text1"/>
          <w:spacing w:val="7"/>
          <w:sz w:val="31"/>
          <w:szCs w:val="31"/>
          <w14:textFill>
            <w14:solidFill>
              <w14:schemeClr w14:val="tx1"/>
            </w14:solidFill>
          </w14:textFill>
        </w:rPr>
        <w:t>(</w:t>
      </w:r>
      <w:r>
        <w:rPr>
          <w:rFonts w:ascii="仿宋" w:hAnsi="仿宋" w:eastAsia="仿宋" w:cs="仿宋"/>
          <w:color w:val="000000" w:themeColor="text1"/>
          <w:spacing w:val="7"/>
          <w:sz w:val="31"/>
          <w:szCs w:val="31"/>
          <w14:textFill>
            <w14:solidFill>
              <w14:schemeClr w14:val="tx1"/>
            </w14:solidFill>
          </w14:textFill>
        </w:rPr>
        <w:t>学校体育科</w:t>
      </w:r>
      <w:r>
        <w:rPr>
          <w:rFonts w:ascii="Times New Roman" w:hAnsi="Times New Roman" w:eastAsia="Times New Roman" w:cs="Times New Roman"/>
          <w:color w:val="000000" w:themeColor="text1"/>
          <w:spacing w:val="7"/>
          <w:sz w:val="31"/>
          <w:szCs w:val="31"/>
          <w14:textFill>
            <w14:solidFill>
              <w14:schemeClr w14:val="tx1"/>
            </w14:solidFill>
          </w14:textFill>
        </w:rPr>
        <w:t>)</w:t>
      </w:r>
      <w:r>
        <w:rPr>
          <w:rFonts w:ascii="Times New Roman" w:hAnsi="Times New Roman" w:eastAsia="Times New Roman" w:cs="Times New Roman"/>
          <w:color w:val="000000" w:themeColor="text1"/>
          <w:spacing w:val="-26"/>
          <w:sz w:val="31"/>
          <w:szCs w:val="31"/>
          <w14:textFill>
            <w14:solidFill>
              <w14:schemeClr w14:val="tx1"/>
            </w14:solidFill>
          </w14:textFill>
        </w:rPr>
        <w:t xml:space="preserve"> </w:t>
      </w:r>
      <w:r>
        <w:rPr>
          <w:rFonts w:ascii="仿宋" w:hAnsi="仿宋" w:eastAsia="仿宋" w:cs="仿宋"/>
          <w:color w:val="000000" w:themeColor="text1"/>
          <w:spacing w:val="7"/>
          <w:sz w:val="31"/>
          <w:szCs w:val="31"/>
          <w14:textFill>
            <w14:solidFill>
              <w14:schemeClr w14:val="tx1"/>
            </w14:solidFill>
          </w14:textFill>
        </w:rPr>
        <w:t>、财务科、人事科、机</w:t>
      </w:r>
      <w:r>
        <w:rPr>
          <w:rFonts w:ascii="仿宋" w:hAnsi="仿宋" w:eastAsia="仿宋" w:cs="仿宋"/>
          <w:color w:val="000000" w:themeColor="text1"/>
          <w:sz w:val="31"/>
          <w:szCs w:val="31"/>
          <w14:textFill>
            <w14:solidFill>
              <w14:schemeClr w14:val="tx1"/>
            </w14:solidFill>
          </w14:textFill>
        </w:rPr>
        <w:t xml:space="preserve">  </w:t>
      </w:r>
      <w:r>
        <w:rPr>
          <w:rFonts w:ascii="仿宋" w:hAnsi="仿宋" w:eastAsia="仿宋" w:cs="仿宋"/>
          <w:color w:val="000000" w:themeColor="text1"/>
          <w:spacing w:val="4"/>
          <w:sz w:val="31"/>
          <w:szCs w:val="31"/>
          <w14:textFill>
            <w14:solidFill>
              <w14:schemeClr w14:val="tx1"/>
            </w14:solidFill>
          </w14:textFill>
        </w:rPr>
        <w:t>关党委。</w:t>
      </w:r>
    </w:p>
    <w:p>
      <w:pPr>
        <w:spacing w:before="19" w:line="307" w:lineRule="auto"/>
        <w:ind w:left="20" w:right="232" w:firstLine="662"/>
        <w:jc w:val="both"/>
        <w:rPr>
          <w:rFonts w:hint="eastAsia" w:ascii="仿宋" w:hAnsi="仿宋" w:eastAsia="仿宋" w:cs="仿宋"/>
          <w:color w:val="000000" w:themeColor="text1"/>
          <w:sz w:val="31"/>
          <w:szCs w:val="31"/>
          <w:lang w:val="en-US" w:eastAsia="zh-CN"/>
          <w14:textFill>
            <w14:solidFill>
              <w14:schemeClr w14:val="tx1"/>
            </w14:solidFill>
          </w14:textFill>
        </w:rPr>
      </w:pPr>
      <w:r>
        <w:rPr>
          <w:rFonts w:ascii="仿宋" w:hAnsi="仿宋" w:eastAsia="仿宋" w:cs="仿宋"/>
          <w:color w:val="000000" w:themeColor="text1"/>
          <w:spacing w:val="2"/>
          <w:sz w:val="31"/>
          <w:szCs w:val="31"/>
          <w14:textFill>
            <w14:solidFill>
              <w14:schemeClr w14:val="tx1"/>
            </w14:solidFill>
          </w14:textFill>
        </w:rPr>
        <w:t>下属独立预算单位</w:t>
      </w:r>
      <w:r>
        <w:rPr>
          <w:rFonts w:ascii="仿宋" w:hAnsi="仿宋" w:eastAsia="仿宋" w:cs="仿宋"/>
          <w:color w:val="000000" w:themeColor="text1"/>
          <w:spacing w:val="-32"/>
          <w:sz w:val="31"/>
          <w:szCs w:val="31"/>
          <w14:textFill>
            <w14:solidFill>
              <w14:schemeClr w14:val="tx1"/>
            </w14:solidFill>
          </w14:textFill>
        </w:rPr>
        <w:t xml:space="preserve"> </w:t>
      </w:r>
      <w:r>
        <w:rPr>
          <w:rFonts w:hint="eastAsia" w:ascii="仿宋" w:hAnsi="仿宋" w:eastAsia="仿宋" w:cs="仿宋"/>
          <w:color w:val="000000" w:themeColor="text1"/>
          <w:spacing w:val="2"/>
          <w:sz w:val="31"/>
          <w:szCs w:val="31"/>
          <w:lang w:val="en-US" w:eastAsia="zh-CN"/>
          <w14:textFill>
            <w14:solidFill>
              <w14:schemeClr w14:val="tx1"/>
            </w14:solidFill>
          </w14:textFill>
        </w:rPr>
        <w:t>6</w:t>
      </w:r>
      <w:r>
        <w:rPr>
          <w:rFonts w:ascii="仿宋" w:hAnsi="仿宋" w:eastAsia="仿宋" w:cs="仿宋"/>
          <w:color w:val="000000" w:themeColor="text1"/>
          <w:spacing w:val="2"/>
          <w:sz w:val="31"/>
          <w:szCs w:val="31"/>
          <w14:textFill>
            <w14:solidFill>
              <w14:schemeClr w14:val="tx1"/>
            </w14:solidFill>
          </w14:textFill>
        </w:rPr>
        <w:t>个，分别为阿坝州歌舞团、阿坝州文化</w:t>
      </w:r>
      <w:r>
        <w:rPr>
          <w:rFonts w:ascii="仿宋" w:hAnsi="仿宋" w:eastAsia="仿宋" w:cs="仿宋"/>
          <w:color w:val="000000" w:themeColor="text1"/>
          <w:sz w:val="31"/>
          <w:szCs w:val="31"/>
          <w14:textFill>
            <w14:solidFill>
              <w14:schemeClr w14:val="tx1"/>
            </w14:solidFill>
          </w14:textFill>
        </w:rPr>
        <w:t xml:space="preserve"> </w:t>
      </w:r>
      <w:r>
        <w:rPr>
          <w:rFonts w:ascii="仿宋" w:hAnsi="仿宋" w:eastAsia="仿宋" w:cs="仿宋"/>
          <w:color w:val="000000" w:themeColor="text1"/>
          <w:spacing w:val="6"/>
          <w:sz w:val="31"/>
          <w:szCs w:val="31"/>
          <w14:textFill>
            <w14:solidFill>
              <w14:schemeClr w14:val="tx1"/>
            </w14:solidFill>
          </w14:textFill>
        </w:rPr>
        <w:t>馆、阿坝州图书馆、阿坝州考古研究所（州</w:t>
      </w:r>
      <w:r>
        <w:rPr>
          <w:rFonts w:ascii="仿宋" w:hAnsi="仿宋" w:eastAsia="仿宋" w:cs="仿宋"/>
          <w:color w:val="000000" w:themeColor="text1"/>
          <w:spacing w:val="5"/>
          <w:sz w:val="31"/>
          <w:szCs w:val="31"/>
          <w14:textFill>
            <w14:solidFill>
              <w14:schemeClr w14:val="tx1"/>
            </w14:solidFill>
          </w14:textFill>
        </w:rPr>
        <w:t>博物馆）、阿坝州全</w:t>
      </w:r>
      <w:r>
        <w:rPr>
          <w:rFonts w:ascii="仿宋" w:hAnsi="仿宋" w:eastAsia="仿宋" w:cs="仿宋"/>
          <w:color w:val="000000" w:themeColor="text1"/>
          <w:spacing w:val="9"/>
          <w:sz w:val="31"/>
          <w:szCs w:val="31"/>
          <w14:textFill>
            <w14:solidFill>
              <w14:schemeClr w14:val="tx1"/>
            </w14:solidFill>
          </w14:textFill>
        </w:rPr>
        <w:t>域旅游研究所</w:t>
      </w:r>
      <w:r>
        <w:rPr>
          <w:rFonts w:hint="eastAsia" w:ascii="仿宋" w:hAnsi="仿宋" w:eastAsia="仿宋" w:cs="仿宋"/>
          <w:color w:val="000000" w:themeColor="text1"/>
          <w:spacing w:val="9"/>
          <w:sz w:val="31"/>
          <w:szCs w:val="31"/>
          <w:lang w:eastAsia="zh-CN"/>
          <w14:textFill>
            <w14:solidFill>
              <w14:schemeClr w14:val="tx1"/>
            </w14:solidFill>
          </w14:textFill>
        </w:rPr>
        <w:t>、</w:t>
      </w:r>
      <w:r>
        <w:rPr>
          <w:rFonts w:hint="eastAsia" w:ascii="仿宋" w:hAnsi="仿宋" w:eastAsia="仿宋" w:cs="仿宋"/>
          <w:color w:val="000000" w:themeColor="text1"/>
          <w:spacing w:val="9"/>
          <w:sz w:val="31"/>
          <w:szCs w:val="31"/>
          <w:lang w:val="en-US" w:eastAsia="zh-CN"/>
          <w14:textFill>
            <w14:solidFill>
              <w14:schemeClr w14:val="tx1"/>
            </w14:solidFill>
          </w14:textFill>
        </w:rPr>
        <w:t>阿坝州少年儿童业余体校</w:t>
      </w:r>
      <w:r>
        <w:rPr>
          <w:rFonts w:ascii="仿宋" w:hAnsi="仿宋" w:eastAsia="仿宋" w:cs="仿宋"/>
          <w:color w:val="000000" w:themeColor="text1"/>
          <w:spacing w:val="9"/>
          <w:sz w:val="31"/>
          <w:szCs w:val="31"/>
          <w14:textFill>
            <w14:solidFill>
              <w14:schemeClr w14:val="tx1"/>
            </w14:solidFill>
          </w14:textFill>
        </w:rPr>
        <w:t>。</w:t>
      </w:r>
    </w:p>
    <w:p>
      <w:pPr>
        <w:spacing w:before="101" w:line="341" w:lineRule="auto"/>
        <w:ind w:left="6" w:firstLine="656"/>
        <w:rPr>
          <w:szCs w:val="32"/>
        </w:rPr>
      </w:pPr>
      <w:r>
        <w:rPr>
          <w:rFonts w:ascii="仿宋" w:hAnsi="仿宋" w:eastAsia="仿宋" w:cs="仿宋"/>
          <w:spacing w:val="4"/>
          <w:sz w:val="31"/>
          <w:szCs w:val="31"/>
        </w:rPr>
        <w:t>下属非独立核算事业单位</w:t>
      </w:r>
      <w:r>
        <w:rPr>
          <w:rFonts w:ascii="仿宋" w:hAnsi="仿宋" w:eastAsia="仿宋" w:cs="仿宋"/>
          <w:spacing w:val="-31"/>
          <w:sz w:val="31"/>
          <w:szCs w:val="31"/>
        </w:rPr>
        <w:t xml:space="preserve"> </w:t>
      </w:r>
      <w:r>
        <w:rPr>
          <w:rFonts w:ascii="仿宋" w:hAnsi="仿宋" w:eastAsia="仿宋" w:cs="仿宋"/>
          <w:spacing w:val="4"/>
          <w:sz w:val="31"/>
          <w:szCs w:val="31"/>
        </w:rPr>
        <w:t>6</w:t>
      </w:r>
      <w:r>
        <w:rPr>
          <w:rFonts w:ascii="仿宋" w:hAnsi="仿宋" w:eastAsia="仿宋" w:cs="仿宋"/>
          <w:spacing w:val="-60"/>
          <w:sz w:val="31"/>
          <w:szCs w:val="31"/>
        </w:rPr>
        <w:t xml:space="preserve"> </w:t>
      </w:r>
      <w:r>
        <w:rPr>
          <w:rFonts w:ascii="仿宋" w:hAnsi="仿宋" w:eastAsia="仿宋" w:cs="仿宋"/>
          <w:spacing w:val="4"/>
          <w:sz w:val="31"/>
          <w:szCs w:val="31"/>
        </w:rPr>
        <w:t>个，分别为社会体育指导中心、</w:t>
      </w:r>
      <w:r>
        <w:rPr>
          <w:rFonts w:ascii="仿宋" w:hAnsi="仿宋" w:eastAsia="仿宋" w:cs="仿宋"/>
          <w:sz w:val="31"/>
          <w:szCs w:val="31"/>
        </w:rPr>
        <w:t xml:space="preserve"> </w:t>
      </w:r>
      <w:r>
        <w:rPr>
          <w:rFonts w:ascii="仿宋" w:hAnsi="仿宋" w:eastAsia="仿宋" w:cs="仿宋"/>
          <w:spacing w:val="5"/>
          <w:sz w:val="31"/>
          <w:szCs w:val="31"/>
        </w:rPr>
        <w:t>全域旅游产业发展中心、全域旅游营销中心、州国家文化公园服</w:t>
      </w:r>
      <w:r>
        <w:rPr>
          <w:rFonts w:ascii="仿宋" w:hAnsi="仿宋" w:eastAsia="仿宋" w:cs="仿宋"/>
          <w:spacing w:val="12"/>
          <w:sz w:val="31"/>
          <w:szCs w:val="31"/>
        </w:rPr>
        <w:t xml:space="preserve"> </w:t>
      </w:r>
      <w:r>
        <w:rPr>
          <w:rFonts w:ascii="仿宋" w:hAnsi="仿宋" w:eastAsia="仿宋" w:cs="仿宋"/>
          <w:spacing w:val="9"/>
          <w:sz w:val="31"/>
          <w:szCs w:val="31"/>
        </w:rPr>
        <w:t>务中心、州文化生态保护区服务中心、州旅游质量促进中心。</w:t>
      </w:r>
    </w:p>
    <w:p>
      <w:pPr>
        <w:spacing w:before="7" w:line="333" w:lineRule="auto"/>
        <w:ind w:right="42" w:firstLine="640"/>
        <w:rPr>
          <w:rFonts w:ascii="仿宋" w:hAnsi="仿宋" w:eastAsia="仿宋" w:cs="仿宋"/>
          <w:sz w:val="31"/>
          <w:szCs w:val="31"/>
        </w:rPr>
      </w:pPr>
      <w:r>
        <w:rPr>
          <w:rFonts w:eastAsia="楷体_GB2312" w:cs="楷体_GB2312"/>
          <w:b/>
          <w:sz w:val="32"/>
          <w:szCs w:val="32"/>
          <w:lang w:val="zh-CN"/>
        </w:rPr>
        <w:t>（二）机构职能</w:t>
      </w:r>
      <w:r>
        <w:rPr>
          <w:rFonts w:hint="eastAsia" w:eastAsia="楷体_GB2312" w:cs="楷体_GB2312"/>
          <w:b/>
          <w:sz w:val="32"/>
          <w:szCs w:val="32"/>
          <w:lang w:val="zh-CN"/>
        </w:rPr>
        <w:t>。</w:t>
      </w:r>
      <w:r>
        <w:rPr>
          <w:rFonts w:ascii="仿宋" w:hAnsi="仿宋" w:eastAsia="仿宋" w:cs="仿宋"/>
          <w:spacing w:val="3"/>
          <w:sz w:val="31"/>
          <w:szCs w:val="31"/>
        </w:rPr>
        <w:t>中共阿坝州委办公室阿坝州人民政府办</w:t>
      </w:r>
      <w:r>
        <w:rPr>
          <w:rFonts w:ascii="仿宋" w:hAnsi="仿宋" w:eastAsia="仿宋" w:cs="仿宋"/>
          <w:sz w:val="31"/>
          <w:szCs w:val="31"/>
        </w:rPr>
        <w:t>公室 关于印发&lt;阿坝州文化广播电视体育和旅游局职能配置、内</w:t>
      </w:r>
      <w:r>
        <w:rPr>
          <w:rFonts w:ascii="仿宋" w:hAnsi="仿宋" w:eastAsia="仿宋" w:cs="仿宋"/>
          <w:spacing w:val="-1"/>
          <w:sz w:val="31"/>
          <w:szCs w:val="31"/>
        </w:rPr>
        <w:t>设机构和人员编制规定&gt;的通知》（</w:t>
      </w:r>
      <w:r>
        <w:rPr>
          <w:rFonts w:ascii="仿宋" w:hAnsi="仿宋" w:eastAsia="仿宋" w:cs="仿宋"/>
          <w:spacing w:val="-69"/>
          <w:sz w:val="31"/>
          <w:szCs w:val="31"/>
        </w:rPr>
        <w:t xml:space="preserve"> </w:t>
      </w:r>
      <w:r>
        <w:rPr>
          <w:rFonts w:ascii="仿宋" w:hAnsi="仿宋" w:eastAsia="仿宋" w:cs="仿宋"/>
          <w:spacing w:val="-1"/>
          <w:sz w:val="31"/>
          <w:szCs w:val="31"/>
        </w:rPr>
        <w:t xml:space="preserve">阿委办发 </w:t>
      </w:r>
      <w:r>
        <w:rPr>
          <w:rFonts w:hint="eastAsia" w:ascii="微软雅黑" w:hAnsi="微软雅黑" w:eastAsia="微软雅黑" w:cs="微软雅黑"/>
          <w:spacing w:val="-1"/>
          <w:sz w:val="31"/>
          <w:szCs w:val="31"/>
        </w:rPr>
        <w:t>〔</w:t>
      </w:r>
      <w:r>
        <w:rPr>
          <w:rFonts w:ascii="仿宋" w:hAnsi="仿宋" w:eastAsia="仿宋" w:cs="仿宋"/>
          <w:spacing w:val="-1"/>
          <w:sz w:val="31"/>
          <w:szCs w:val="31"/>
        </w:rPr>
        <w:t>2024〕38</w:t>
      </w:r>
      <w:r>
        <w:rPr>
          <w:rFonts w:ascii="仿宋" w:hAnsi="仿宋" w:eastAsia="仿宋" w:cs="仿宋"/>
          <w:spacing w:val="-46"/>
          <w:sz w:val="31"/>
          <w:szCs w:val="31"/>
        </w:rPr>
        <w:t xml:space="preserve"> </w:t>
      </w:r>
      <w:r>
        <w:rPr>
          <w:rFonts w:ascii="仿宋" w:hAnsi="仿宋" w:eastAsia="仿宋" w:cs="仿宋"/>
          <w:spacing w:val="-1"/>
          <w:sz w:val="31"/>
          <w:szCs w:val="31"/>
        </w:rPr>
        <w:t>号）文</w:t>
      </w:r>
      <w:r>
        <w:rPr>
          <w:rFonts w:ascii="仿宋" w:hAnsi="仿宋" w:eastAsia="仿宋" w:cs="仿宋"/>
          <w:spacing w:val="9"/>
          <w:sz w:val="31"/>
          <w:szCs w:val="31"/>
        </w:rPr>
        <w:t>件规定，州文广体旅局负责贯彻落实党中央关于文化、广电、</w:t>
      </w:r>
      <w:r>
        <w:rPr>
          <w:rFonts w:ascii="仿宋" w:hAnsi="仿宋" w:eastAsia="仿宋" w:cs="仿宋"/>
          <w:spacing w:val="11"/>
          <w:sz w:val="31"/>
          <w:szCs w:val="31"/>
        </w:rPr>
        <w:t>体育和旅游工作的方针政策和省委、州委决策部署，把坚持和</w:t>
      </w:r>
      <w:r>
        <w:rPr>
          <w:rFonts w:ascii="仿宋" w:hAnsi="仿宋" w:eastAsia="仿宋" w:cs="仿宋"/>
          <w:spacing w:val="6"/>
          <w:sz w:val="31"/>
          <w:szCs w:val="31"/>
        </w:rPr>
        <w:t>加强党中央对文化、广电、体育和旅游工作的集中统一领导</w:t>
      </w:r>
      <w:r>
        <w:rPr>
          <w:rFonts w:ascii="仿宋" w:hAnsi="仿宋" w:eastAsia="仿宋" w:cs="仿宋"/>
          <w:spacing w:val="5"/>
          <w:sz w:val="31"/>
          <w:szCs w:val="31"/>
        </w:rPr>
        <w:t>落实</w:t>
      </w:r>
      <w:r>
        <w:rPr>
          <w:rFonts w:ascii="仿宋" w:hAnsi="仿宋" w:eastAsia="仿宋" w:cs="仿宋"/>
          <w:sz w:val="31"/>
          <w:szCs w:val="31"/>
        </w:rPr>
        <w:t xml:space="preserve"> </w:t>
      </w:r>
      <w:r>
        <w:rPr>
          <w:rFonts w:ascii="仿宋" w:hAnsi="仿宋" w:eastAsia="仿宋" w:cs="仿宋"/>
          <w:spacing w:val="5"/>
          <w:sz w:val="31"/>
          <w:szCs w:val="31"/>
        </w:rPr>
        <w:t>到履行职责过程中。主要职责是：</w:t>
      </w:r>
    </w:p>
    <w:p>
      <w:pPr>
        <w:spacing w:before="3" w:line="295" w:lineRule="auto"/>
        <w:ind w:left="12" w:right="47" w:firstLine="648"/>
        <w:rPr>
          <w:rFonts w:ascii="仿宋" w:hAnsi="仿宋" w:eastAsia="仿宋" w:cs="仿宋"/>
          <w:sz w:val="31"/>
          <w:szCs w:val="31"/>
        </w:rPr>
      </w:pPr>
      <w:r>
        <w:rPr>
          <w:rFonts w:ascii="仿宋" w:hAnsi="仿宋" w:eastAsia="仿宋" w:cs="仿宋"/>
          <w:spacing w:val="10"/>
          <w:sz w:val="31"/>
          <w:szCs w:val="31"/>
        </w:rPr>
        <w:t>1.拟订文化、广电、体育和旅游政策措施，拟订全州网络</w:t>
      </w:r>
      <w:r>
        <w:rPr>
          <w:rFonts w:ascii="仿宋" w:hAnsi="仿宋" w:eastAsia="仿宋" w:cs="仿宋"/>
          <w:spacing w:val="7"/>
          <w:sz w:val="31"/>
          <w:szCs w:val="31"/>
        </w:rPr>
        <w:t xml:space="preserve"> </w:t>
      </w:r>
      <w:r>
        <w:rPr>
          <w:rFonts w:ascii="仿宋" w:hAnsi="仿宋" w:eastAsia="仿宋" w:cs="仿宋"/>
          <w:spacing w:val="-3"/>
          <w:sz w:val="31"/>
          <w:szCs w:val="31"/>
        </w:rPr>
        <w:t>视听节目服务管理的政策措施。起草文化、广电、体育和旅游自</w:t>
      </w:r>
      <w:r>
        <w:rPr>
          <w:rFonts w:ascii="仿宋" w:hAnsi="仿宋" w:eastAsia="仿宋" w:cs="仿宋"/>
          <w:spacing w:val="5"/>
          <w:sz w:val="31"/>
          <w:szCs w:val="31"/>
        </w:rPr>
        <w:t>治法规、规范性文件草案，负责本部门依法行政工作。</w:t>
      </w:r>
    </w:p>
    <w:p>
      <w:pPr>
        <w:spacing w:before="190" w:line="296" w:lineRule="auto"/>
        <w:ind w:left="4" w:right="47" w:firstLine="648"/>
        <w:rPr>
          <w:rFonts w:ascii="仿宋" w:hAnsi="仿宋" w:eastAsia="仿宋" w:cs="仿宋"/>
          <w:sz w:val="31"/>
          <w:szCs w:val="31"/>
        </w:rPr>
      </w:pPr>
      <w:r>
        <w:rPr>
          <w:rFonts w:ascii="仿宋" w:hAnsi="仿宋" w:eastAsia="仿宋" w:cs="仿宋"/>
          <w:spacing w:val="10"/>
          <w:sz w:val="31"/>
          <w:szCs w:val="31"/>
        </w:rPr>
        <w:t>2.加强广播电视阵地建设，把握正确的舆论导向和创作 导</w:t>
      </w:r>
      <w:r>
        <w:rPr>
          <w:rFonts w:ascii="仿宋" w:hAnsi="仿宋" w:eastAsia="仿宋" w:cs="仿宋"/>
          <w:spacing w:val="14"/>
          <w:sz w:val="31"/>
          <w:szCs w:val="31"/>
        </w:rPr>
        <w:t xml:space="preserve"> </w:t>
      </w:r>
      <w:r>
        <w:rPr>
          <w:rFonts w:ascii="仿宋" w:hAnsi="仿宋" w:eastAsia="仿宋" w:cs="仿宋"/>
          <w:sz w:val="31"/>
          <w:szCs w:val="31"/>
        </w:rPr>
        <w:t>向。负责利用广播电视加强党和政府的声音传播力，抢占舆论 高</w:t>
      </w:r>
      <w:r>
        <w:rPr>
          <w:rFonts w:ascii="仿宋" w:hAnsi="仿宋" w:eastAsia="仿宋" w:cs="仿宋"/>
          <w:spacing w:val="3"/>
          <w:sz w:val="31"/>
          <w:szCs w:val="31"/>
        </w:rPr>
        <w:t xml:space="preserve"> </w:t>
      </w:r>
      <w:r>
        <w:rPr>
          <w:rFonts w:ascii="仿宋" w:hAnsi="仿宋" w:eastAsia="仿宋" w:cs="仿宋"/>
          <w:spacing w:val="5"/>
          <w:sz w:val="31"/>
          <w:szCs w:val="31"/>
        </w:rPr>
        <w:t>地，强化舆论反制，巩固意识形态阵地。</w:t>
      </w:r>
    </w:p>
    <w:p>
      <w:pPr>
        <w:spacing w:before="187" w:line="306" w:lineRule="auto"/>
        <w:ind w:left="6" w:right="47" w:firstLine="660"/>
        <w:rPr>
          <w:rFonts w:ascii="仿宋" w:hAnsi="仿宋" w:eastAsia="仿宋" w:cs="仿宋"/>
          <w:sz w:val="31"/>
          <w:szCs w:val="31"/>
        </w:rPr>
      </w:pPr>
      <w:r>
        <w:rPr>
          <w:rFonts w:ascii="仿宋" w:hAnsi="仿宋" w:eastAsia="仿宋" w:cs="仿宋"/>
          <w:spacing w:val="10"/>
          <w:sz w:val="31"/>
          <w:szCs w:val="31"/>
        </w:rPr>
        <w:t>3.推进文化、广电、体育、旅游体制机制改革。组织推 动</w:t>
      </w:r>
      <w:r>
        <w:rPr>
          <w:rFonts w:ascii="仿宋" w:hAnsi="仿宋" w:eastAsia="仿宋" w:cs="仿宋"/>
          <w:spacing w:val="2"/>
          <w:sz w:val="31"/>
          <w:szCs w:val="31"/>
        </w:rPr>
        <w:t xml:space="preserve"> </w:t>
      </w:r>
      <w:r>
        <w:rPr>
          <w:rFonts w:ascii="仿宋" w:hAnsi="仿宋" w:eastAsia="仿宋" w:cs="仿宋"/>
          <w:spacing w:val="-5"/>
          <w:sz w:val="31"/>
          <w:szCs w:val="31"/>
        </w:rPr>
        <w:t>全州文化、广电、体育事业和旅游业发展，拟订发展规划并组</w:t>
      </w:r>
      <w:r>
        <w:rPr>
          <w:rFonts w:ascii="仿宋" w:hAnsi="仿宋" w:eastAsia="仿宋" w:cs="仿宋"/>
          <w:spacing w:val="-6"/>
          <w:sz w:val="31"/>
          <w:szCs w:val="31"/>
        </w:rPr>
        <w:t xml:space="preserve">  织</w:t>
      </w:r>
      <w:r>
        <w:rPr>
          <w:rFonts w:ascii="仿宋" w:hAnsi="仿宋" w:eastAsia="仿宋" w:cs="仿宋"/>
          <w:sz w:val="31"/>
          <w:szCs w:val="31"/>
        </w:rPr>
        <w:t xml:space="preserve"> </w:t>
      </w:r>
      <w:r>
        <w:rPr>
          <w:rFonts w:ascii="仿宋" w:hAnsi="仿宋" w:eastAsia="仿宋" w:cs="仿宋"/>
          <w:spacing w:val="5"/>
          <w:sz w:val="31"/>
          <w:szCs w:val="31"/>
        </w:rPr>
        <w:t>实施。推进文化、广电、体育和旅游产业融合发展，促进文化、</w:t>
      </w:r>
      <w:r>
        <w:rPr>
          <w:rFonts w:ascii="仿宋" w:hAnsi="仿宋" w:eastAsia="仿宋" w:cs="仿宋"/>
          <w:spacing w:val="17"/>
          <w:sz w:val="31"/>
          <w:szCs w:val="31"/>
        </w:rPr>
        <w:t xml:space="preserve"> </w:t>
      </w:r>
      <w:r>
        <w:rPr>
          <w:rFonts w:ascii="仿宋" w:hAnsi="仿宋" w:eastAsia="仿宋" w:cs="仿宋"/>
          <w:spacing w:val="5"/>
          <w:sz w:val="31"/>
          <w:szCs w:val="31"/>
        </w:rPr>
        <w:t>广电、体育和旅游与相关产业融合发展。</w:t>
      </w:r>
    </w:p>
    <w:p>
      <w:pPr>
        <w:spacing w:before="101" w:line="223" w:lineRule="auto"/>
        <w:rPr>
          <w:rFonts w:ascii="仿宋" w:hAnsi="仿宋" w:eastAsia="仿宋" w:cs="仿宋"/>
          <w:sz w:val="31"/>
          <w:szCs w:val="31"/>
        </w:rPr>
      </w:pPr>
      <w:r>
        <w:rPr>
          <w:rFonts w:ascii="仿宋" w:hAnsi="仿宋" w:eastAsia="仿宋" w:cs="仿宋"/>
          <w:spacing w:val="10"/>
          <w:sz w:val="31"/>
          <w:szCs w:val="31"/>
        </w:rPr>
        <w:t>4.组织实施全州文化、广电、体育和旅游资源的普查、 保</w:t>
      </w:r>
      <w:r>
        <w:rPr>
          <w:rFonts w:ascii="仿宋" w:hAnsi="仿宋" w:eastAsia="仿宋" w:cs="仿宋"/>
          <w:spacing w:val="16"/>
          <w:sz w:val="31"/>
          <w:szCs w:val="31"/>
        </w:rPr>
        <w:t xml:space="preserve"> </w:t>
      </w:r>
      <w:r>
        <w:rPr>
          <w:rFonts w:ascii="仿宋" w:hAnsi="仿宋" w:eastAsia="仿宋" w:cs="仿宋"/>
          <w:spacing w:val="-1"/>
          <w:sz w:val="31"/>
          <w:szCs w:val="31"/>
        </w:rPr>
        <w:t>护与利用。管理全州性重大文化、广电、体育和旅游活动，</w:t>
      </w:r>
      <w:r>
        <w:rPr>
          <w:rFonts w:hint="eastAsia" w:ascii="仿宋" w:hAnsi="仿宋" w:eastAsia="仿宋" w:cs="仿宋"/>
          <w:spacing w:val="-1"/>
          <w:sz w:val="31"/>
          <w:szCs w:val="31"/>
          <w:lang w:eastAsia="zh-CN"/>
        </w:rPr>
        <w:t>组织</w:t>
      </w:r>
      <w:r>
        <w:rPr>
          <w:rFonts w:ascii="仿宋" w:hAnsi="仿宋" w:eastAsia="仿宋" w:cs="仿宋"/>
          <w:spacing w:val="5"/>
          <w:sz w:val="31"/>
          <w:szCs w:val="31"/>
        </w:rPr>
        <w:t>全州重点文化、广电、体育和旅游设施建设。</w:t>
      </w:r>
    </w:p>
    <w:p>
      <w:pPr>
        <w:spacing w:before="185" w:line="311" w:lineRule="auto"/>
        <w:ind w:left="1" w:right="95" w:firstLine="650"/>
        <w:rPr>
          <w:rFonts w:ascii="仿宋" w:hAnsi="仿宋" w:eastAsia="仿宋" w:cs="仿宋"/>
          <w:sz w:val="31"/>
          <w:szCs w:val="31"/>
        </w:rPr>
      </w:pPr>
      <w:r>
        <w:rPr>
          <w:rFonts w:ascii="仿宋" w:hAnsi="仿宋" w:eastAsia="仿宋" w:cs="仿宋"/>
          <w:sz w:val="31"/>
          <w:szCs w:val="31"/>
        </w:rPr>
        <w:t>5.组织实施全州文化、广电、体育和旅游整体形象推广，</w:t>
      </w:r>
      <w:r>
        <w:rPr>
          <w:rFonts w:ascii="仿宋" w:hAnsi="仿宋" w:eastAsia="仿宋" w:cs="仿宋"/>
          <w:spacing w:val="-29"/>
          <w:sz w:val="31"/>
          <w:szCs w:val="31"/>
        </w:rPr>
        <w:t xml:space="preserve"> </w:t>
      </w:r>
      <w:r>
        <w:rPr>
          <w:rFonts w:ascii="仿宋" w:hAnsi="仿宋" w:eastAsia="仿宋" w:cs="仿宋"/>
          <w:sz w:val="31"/>
          <w:szCs w:val="31"/>
        </w:rPr>
        <w:t>促 进文化、广电、体育和旅游产业市场推广和对外合作交流。制 定</w:t>
      </w:r>
      <w:r>
        <w:rPr>
          <w:rFonts w:ascii="仿宋" w:hAnsi="仿宋" w:eastAsia="仿宋" w:cs="仿宋"/>
          <w:spacing w:val="1"/>
          <w:sz w:val="31"/>
          <w:szCs w:val="31"/>
        </w:rPr>
        <w:t xml:space="preserve"> </w:t>
      </w:r>
      <w:r>
        <w:rPr>
          <w:rFonts w:ascii="仿宋" w:hAnsi="仿宋" w:eastAsia="仿宋" w:cs="仿宋"/>
          <w:sz w:val="31"/>
          <w:szCs w:val="31"/>
        </w:rPr>
        <w:t>文化、广电、体育和旅游市场开发战略并组织实施。负责管理 文</w:t>
      </w:r>
      <w:r>
        <w:rPr>
          <w:rFonts w:ascii="仿宋" w:hAnsi="仿宋" w:eastAsia="仿宋" w:cs="仿宋"/>
          <w:spacing w:val="1"/>
          <w:sz w:val="31"/>
          <w:szCs w:val="31"/>
        </w:rPr>
        <w:t xml:space="preserve"> </w:t>
      </w:r>
      <w:r>
        <w:rPr>
          <w:rFonts w:ascii="仿宋" w:hAnsi="仿宋" w:eastAsia="仿宋" w:cs="仿宋"/>
          <w:sz w:val="31"/>
          <w:szCs w:val="31"/>
        </w:rPr>
        <w:t>化、广电、体育和旅游国内外交流合作与宣传推广工作，组织 大</w:t>
      </w:r>
      <w:r>
        <w:rPr>
          <w:rFonts w:ascii="仿宋" w:hAnsi="仿宋" w:eastAsia="仿宋" w:cs="仿宋"/>
          <w:spacing w:val="1"/>
          <w:sz w:val="31"/>
          <w:szCs w:val="31"/>
        </w:rPr>
        <w:t xml:space="preserve"> </w:t>
      </w:r>
      <w:r>
        <w:rPr>
          <w:rFonts w:ascii="仿宋" w:hAnsi="仿宋" w:eastAsia="仿宋" w:cs="仿宋"/>
          <w:spacing w:val="5"/>
          <w:sz w:val="31"/>
          <w:szCs w:val="31"/>
        </w:rPr>
        <w:t>型文化、广电、体育和旅游对外及对港澳台交流活动。</w:t>
      </w:r>
    </w:p>
    <w:p>
      <w:pPr>
        <w:spacing w:before="189" w:line="306" w:lineRule="auto"/>
        <w:ind w:right="90" w:firstLine="650"/>
        <w:rPr>
          <w:rFonts w:ascii="仿宋" w:hAnsi="仿宋" w:eastAsia="仿宋" w:cs="仿宋"/>
          <w:sz w:val="31"/>
          <w:szCs w:val="31"/>
        </w:rPr>
      </w:pPr>
      <w:r>
        <w:rPr>
          <w:rFonts w:ascii="仿宋" w:hAnsi="仿宋" w:eastAsia="仿宋" w:cs="仿宋"/>
          <w:spacing w:val="29"/>
          <w:sz w:val="31"/>
          <w:szCs w:val="31"/>
        </w:rPr>
        <w:t>6.负责对全州各类广播电视机构进行业务指导和行业监</w:t>
      </w:r>
      <w:r>
        <w:rPr>
          <w:rFonts w:ascii="仿宋" w:hAnsi="仿宋" w:eastAsia="仿宋" w:cs="仿宋"/>
          <w:spacing w:val="16"/>
          <w:sz w:val="31"/>
          <w:szCs w:val="31"/>
        </w:rPr>
        <w:t xml:space="preserve"> </w:t>
      </w:r>
      <w:r>
        <w:rPr>
          <w:rFonts w:ascii="仿宋" w:hAnsi="仿宋" w:eastAsia="仿宋" w:cs="仿宋"/>
          <w:spacing w:val="5"/>
          <w:sz w:val="31"/>
          <w:szCs w:val="31"/>
        </w:rPr>
        <w:t>管，会同有关部门对网络视听节目服务机构进行管理。组织实施</w:t>
      </w:r>
      <w:r>
        <w:rPr>
          <w:rFonts w:ascii="仿宋" w:hAnsi="仿宋" w:eastAsia="仿宋" w:cs="仿宋"/>
          <w:spacing w:val="18"/>
          <w:sz w:val="31"/>
          <w:szCs w:val="31"/>
        </w:rPr>
        <w:t xml:space="preserve"> </w:t>
      </w:r>
      <w:r>
        <w:rPr>
          <w:rFonts w:ascii="仿宋" w:hAnsi="仿宋" w:eastAsia="仿宋" w:cs="仿宋"/>
          <w:spacing w:val="6"/>
          <w:sz w:val="31"/>
          <w:szCs w:val="31"/>
        </w:rPr>
        <w:t>广播电视节目评价工作，监督管理、审查广播电视</w:t>
      </w:r>
      <w:r>
        <w:rPr>
          <w:rFonts w:ascii="仿宋" w:hAnsi="仿宋" w:eastAsia="仿宋" w:cs="仿宋"/>
          <w:spacing w:val="5"/>
          <w:sz w:val="31"/>
          <w:szCs w:val="31"/>
        </w:rPr>
        <w:t>和网络视听节</w:t>
      </w:r>
      <w:r>
        <w:rPr>
          <w:rFonts w:ascii="仿宋" w:hAnsi="仿宋" w:eastAsia="仿宋" w:cs="仿宋"/>
          <w:sz w:val="31"/>
          <w:szCs w:val="31"/>
        </w:rPr>
        <w:t xml:space="preserve"> </w:t>
      </w:r>
      <w:r>
        <w:rPr>
          <w:rFonts w:ascii="仿宋" w:hAnsi="仿宋" w:eastAsia="仿宋" w:cs="仿宋"/>
          <w:spacing w:val="5"/>
          <w:sz w:val="31"/>
          <w:szCs w:val="31"/>
        </w:rPr>
        <w:t>目的内容和质量，指导、监管广播电视广告播放。</w:t>
      </w:r>
    </w:p>
    <w:p>
      <w:pPr>
        <w:spacing w:before="183" w:line="306" w:lineRule="auto"/>
        <w:ind w:left="2" w:right="95" w:firstLine="647"/>
        <w:rPr>
          <w:rFonts w:ascii="仿宋" w:hAnsi="仿宋" w:eastAsia="仿宋" w:cs="仿宋"/>
          <w:sz w:val="31"/>
          <w:szCs w:val="31"/>
        </w:rPr>
      </w:pPr>
      <w:r>
        <w:rPr>
          <w:rFonts w:ascii="仿宋" w:hAnsi="仿宋" w:eastAsia="仿宋" w:cs="仿宋"/>
          <w:spacing w:val="8"/>
          <w:sz w:val="31"/>
          <w:szCs w:val="31"/>
        </w:rPr>
        <w:t>7.负责指导推进电视剧行业发展和创作生产。推进广播</w:t>
      </w:r>
      <w:r>
        <w:rPr>
          <w:rFonts w:ascii="仿宋" w:hAnsi="仿宋" w:eastAsia="仿宋" w:cs="仿宋"/>
          <w:spacing w:val="74"/>
          <w:sz w:val="31"/>
          <w:szCs w:val="31"/>
        </w:rPr>
        <w:t xml:space="preserve"> </w:t>
      </w:r>
      <w:r>
        <w:rPr>
          <w:rFonts w:ascii="仿宋" w:hAnsi="仿宋" w:eastAsia="仿宋" w:cs="仿宋"/>
          <w:spacing w:val="8"/>
          <w:sz w:val="31"/>
          <w:szCs w:val="31"/>
        </w:rPr>
        <w:t>电</w:t>
      </w:r>
      <w:r>
        <w:rPr>
          <w:rFonts w:ascii="仿宋" w:hAnsi="仿宋" w:eastAsia="仿宋" w:cs="仿宋"/>
          <w:sz w:val="31"/>
          <w:szCs w:val="31"/>
        </w:rPr>
        <w:t xml:space="preserve"> </w:t>
      </w:r>
      <w:r>
        <w:rPr>
          <w:rFonts w:ascii="仿宋" w:hAnsi="仿宋" w:eastAsia="仿宋" w:cs="仿宋"/>
          <w:spacing w:val="-2"/>
          <w:sz w:val="31"/>
          <w:szCs w:val="31"/>
        </w:rPr>
        <w:t>视与新媒体技术新业态融合发展、推进广电网与电信网、互联</w:t>
      </w:r>
      <w:r>
        <w:rPr>
          <w:rFonts w:ascii="仿宋" w:hAnsi="仿宋" w:eastAsia="仿宋" w:cs="仿宋"/>
          <w:spacing w:val="56"/>
          <w:sz w:val="31"/>
          <w:szCs w:val="31"/>
        </w:rPr>
        <w:t xml:space="preserve"> </w:t>
      </w:r>
      <w:r>
        <w:rPr>
          <w:rFonts w:ascii="仿宋" w:hAnsi="仿宋" w:eastAsia="仿宋" w:cs="仿宋"/>
          <w:spacing w:val="-2"/>
          <w:sz w:val="31"/>
          <w:szCs w:val="31"/>
        </w:rPr>
        <w:t>网</w:t>
      </w:r>
      <w:r>
        <w:rPr>
          <w:rFonts w:ascii="仿宋" w:hAnsi="仿宋" w:eastAsia="仿宋" w:cs="仿宋"/>
          <w:sz w:val="31"/>
          <w:szCs w:val="31"/>
        </w:rPr>
        <w:t xml:space="preserve"> 三网融合。负责广播电视节目传输覆盖、检测和安全播出的监 督 </w:t>
      </w:r>
      <w:r>
        <w:rPr>
          <w:rFonts w:ascii="仿宋" w:hAnsi="仿宋" w:eastAsia="仿宋" w:cs="仿宋"/>
          <w:spacing w:val="5"/>
          <w:sz w:val="31"/>
          <w:szCs w:val="31"/>
        </w:rPr>
        <w:t>管理，指导、推进应急广播体系建设。</w:t>
      </w:r>
    </w:p>
    <w:p>
      <w:pPr>
        <w:spacing w:before="187" w:line="305" w:lineRule="auto"/>
        <w:ind w:left="1" w:right="90" w:firstLine="648"/>
        <w:rPr>
          <w:rFonts w:ascii="仿宋" w:hAnsi="仿宋" w:eastAsia="仿宋" w:cs="仿宋"/>
          <w:sz w:val="31"/>
          <w:szCs w:val="31"/>
        </w:rPr>
      </w:pPr>
      <w:r>
        <w:rPr>
          <w:rFonts w:ascii="仿宋" w:hAnsi="仿宋" w:eastAsia="仿宋" w:cs="仿宋"/>
          <w:sz w:val="31"/>
          <w:szCs w:val="31"/>
        </w:rPr>
        <w:t>8.弘扬优秀传统文化，推动阿坝本地特色文化传承发展。</w:t>
      </w:r>
      <w:r>
        <w:rPr>
          <w:rFonts w:ascii="仿宋" w:hAnsi="仿宋" w:eastAsia="仿宋" w:cs="仿宋"/>
          <w:spacing w:val="-28"/>
          <w:sz w:val="31"/>
          <w:szCs w:val="31"/>
        </w:rPr>
        <w:t xml:space="preserve"> </w:t>
      </w:r>
      <w:r>
        <w:rPr>
          <w:rFonts w:ascii="仿宋" w:hAnsi="仿宋" w:eastAsia="仿宋" w:cs="仿宋"/>
          <w:sz w:val="31"/>
          <w:szCs w:val="31"/>
        </w:rPr>
        <w:t xml:space="preserve">指 </w:t>
      </w:r>
      <w:r>
        <w:rPr>
          <w:rFonts w:ascii="仿宋" w:hAnsi="仿宋" w:eastAsia="仿宋" w:cs="仿宋"/>
          <w:spacing w:val="17"/>
          <w:sz w:val="31"/>
          <w:szCs w:val="31"/>
        </w:rPr>
        <w:t>导管理文艺事业，把握正确的创作导向，推动文化艺术创作生</w:t>
      </w:r>
      <w:r>
        <w:rPr>
          <w:rFonts w:ascii="仿宋" w:hAnsi="仿宋" w:eastAsia="仿宋" w:cs="仿宋"/>
          <w:spacing w:val="8"/>
          <w:sz w:val="31"/>
          <w:szCs w:val="31"/>
        </w:rPr>
        <w:t xml:space="preserve"> </w:t>
      </w:r>
      <w:r>
        <w:rPr>
          <w:rFonts w:ascii="仿宋" w:hAnsi="仿宋" w:eastAsia="仿宋" w:cs="仿宋"/>
          <w:spacing w:val="6"/>
          <w:sz w:val="31"/>
          <w:szCs w:val="31"/>
        </w:rPr>
        <w:t>产，扶持体现社会主义核心价值观、具有导向</w:t>
      </w:r>
      <w:r>
        <w:rPr>
          <w:rFonts w:ascii="仿宋" w:hAnsi="仿宋" w:eastAsia="仿宋" w:cs="仿宋"/>
          <w:spacing w:val="5"/>
          <w:sz w:val="31"/>
          <w:szCs w:val="31"/>
        </w:rPr>
        <w:t>性代表性示范性的</w:t>
      </w:r>
      <w:r>
        <w:rPr>
          <w:rFonts w:ascii="仿宋" w:hAnsi="仿宋" w:eastAsia="仿宋" w:cs="仿宋"/>
          <w:sz w:val="31"/>
          <w:szCs w:val="31"/>
        </w:rPr>
        <w:t xml:space="preserve"> </w:t>
      </w:r>
      <w:r>
        <w:rPr>
          <w:rFonts w:ascii="仿宋" w:hAnsi="仿宋" w:eastAsia="仿宋" w:cs="仿宋"/>
          <w:spacing w:val="5"/>
          <w:sz w:val="31"/>
          <w:szCs w:val="31"/>
        </w:rPr>
        <w:t>文化艺术作品，推动各门类艺术、各艺术品种发展。</w:t>
      </w:r>
    </w:p>
    <w:p>
      <w:pPr>
        <w:spacing w:before="190" w:line="306" w:lineRule="auto"/>
        <w:ind w:left="6" w:firstLine="643"/>
        <w:rPr>
          <w:rFonts w:hint="eastAsia" w:ascii="仿宋" w:hAnsi="仿宋" w:eastAsia="仿宋" w:cs="仿宋"/>
          <w:sz w:val="31"/>
          <w:szCs w:val="31"/>
          <w:lang w:eastAsia="zh-CN"/>
        </w:rPr>
      </w:pPr>
      <w:r>
        <w:rPr>
          <w:rFonts w:ascii="仿宋" w:hAnsi="仿宋" w:eastAsia="仿宋" w:cs="仿宋"/>
          <w:spacing w:val="10"/>
          <w:sz w:val="31"/>
          <w:szCs w:val="31"/>
        </w:rPr>
        <w:t>9.负责公共文化、广电和体育事业发展，推进全州公共 文</w:t>
      </w:r>
      <w:r>
        <w:rPr>
          <w:rFonts w:ascii="仿宋" w:hAnsi="仿宋" w:eastAsia="仿宋" w:cs="仿宋"/>
          <w:spacing w:val="12"/>
          <w:sz w:val="31"/>
          <w:szCs w:val="31"/>
        </w:rPr>
        <w:t xml:space="preserve"> </w:t>
      </w:r>
      <w:r>
        <w:rPr>
          <w:rFonts w:ascii="仿宋" w:hAnsi="仿宋" w:eastAsia="仿宋" w:cs="仿宋"/>
          <w:sz w:val="31"/>
          <w:szCs w:val="31"/>
        </w:rPr>
        <w:t>化、广电、体育服务体系建设和旅游公共服务建设，深入</w:t>
      </w:r>
      <w:r>
        <w:rPr>
          <w:rFonts w:ascii="仿宋" w:hAnsi="仿宋" w:eastAsia="仿宋" w:cs="仿宋"/>
          <w:spacing w:val="-1"/>
          <w:sz w:val="31"/>
          <w:szCs w:val="31"/>
        </w:rPr>
        <w:t>实施 惠</w:t>
      </w:r>
      <w:r>
        <w:rPr>
          <w:rFonts w:ascii="仿宋" w:hAnsi="仿宋" w:eastAsia="仿宋" w:cs="仿宋"/>
          <w:sz w:val="31"/>
          <w:szCs w:val="31"/>
        </w:rPr>
        <w:t xml:space="preserve"> </w:t>
      </w:r>
      <w:r>
        <w:rPr>
          <w:rFonts w:ascii="仿宋" w:hAnsi="仿宋" w:eastAsia="仿宋" w:cs="仿宋"/>
          <w:spacing w:val="-7"/>
          <w:sz w:val="31"/>
          <w:szCs w:val="31"/>
        </w:rPr>
        <w:t>民工程，统筹推进文化、广电、体育和旅游基本</w:t>
      </w:r>
      <w:r>
        <w:rPr>
          <w:rFonts w:ascii="仿宋" w:hAnsi="仿宋" w:eastAsia="仿宋" w:cs="仿宋"/>
          <w:spacing w:val="-8"/>
          <w:sz w:val="31"/>
          <w:szCs w:val="31"/>
        </w:rPr>
        <w:t>公共服务标准 化、</w:t>
      </w:r>
      <w:r>
        <w:rPr>
          <w:rFonts w:ascii="仿宋" w:hAnsi="仿宋" w:eastAsia="仿宋" w:cs="仿宋"/>
          <w:sz w:val="31"/>
          <w:szCs w:val="31"/>
        </w:rPr>
        <w:t xml:space="preserve"> 均等</w:t>
      </w:r>
      <w:r>
        <w:rPr>
          <w:rFonts w:hint="eastAsia" w:ascii="仿宋" w:hAnsi="仿宋" w:eastAsia="仿宋" w:cs="仿宋"/>
          <w:sz w:val="31"/>
          <w:szCs w:val="31"/>
          <w:lang w:eastAsia="zh-CN"/>
        </w:rPr>
        <w:t>。</w:t>
      </w:r>
    </w:p>
    <w:p>
      <w:pPr>
        <w:spacing w:before="101" w:line="296" w:lineRule="auto"/>
        <w:ind w:left="7" w:right="13" w:firstLine="654"/>
        <w:rPr>
          <w:rFonts w:ascii="仿宋" w:hAnsi="仿宋" w:eastAsia="仿宋" w:cs="仿宋"/>
          <w:sz w:val="31"/>
          <w:szCs w:val="31"/>
        </w:rPr>
      </w:pPr>
      <w:r>
        <w:rPr>
          <w:rFonts w:ascii="仿宋" w:hAnsi="仿宋" w:eastAsia="仿宋" w:cs="仿宋"/>
          <w:spacing w:val="-4"/>
          <w:sz w:val="31"/>
          <w:szCs w:val="31"/>
        </w:rPr>
        <w:t>10.负责文化、广电、体育和旅游行业信息化、标准化建 设，</w:t>
      </w:r>
      <w:r>
        <w:rPr>
          <w:rFonts w:ascii="仿宋" w:hAnsi="仿宋" w:eastAsia="仿宋" w:cs="仿宋"/>
          <w:spacing w:val="9"/>
          <w:sz w:val="31"/>
          <w:szCs w:val="31"/>
        </w:rPr>
        <w:t xml:space="preserve"> </w:t>
      </w:r>
      <w:r>
        <w:rPr>
          <w:rFonts w:ascii="仿宋" w:hAnsi="仿宋" w:eastAsia="仿宋" w:cs="仿宋"/>
          <w:spacing w:val="11"/>
          <w:sz w:val="31"/>
          <w:szCs w:val="31"/>
        </w:rPr>
        <w:t>推进文化、广电和旅游科技创新。负责全州体育科研、技术 攻</w:t>
      </w:r>
      <w:r>
        <w:rPr>
          <w:rFonts w:ascii="仿宋" w:hAnsi="仿宋" w:eastAsia="仿宋" w:cs="仿宋"/>
          <w:spacing w:val="3"/>
          <w:sz w:val="31"/>
          <w:szCs w:val="31"/>
        </w:rPr>
        <w:t xml:space="preserve"> 关和成果推广。</w:t>
      </w:r>
    </w:p>
    <w:p>
      <w:pPr>
        <w:spacing w:before="190" w:line="306" w:lineRule="auto"/>
        <w:ind w:left="6" w:firstLine="643"/>
        <w:rPr>
          <w:rFonts w:hint="eastAsia" w:ascii="仿宋" w:hAnsi="仿宋" w:eastAsia="仿宋" w:cs="仿宋"/>
          <w:sz w:val="31"/>
          <w:szCs w:val="31"/>
          <w:lang w:eastAsia="zh-CN"/>
        </w:rPr>
      </w:pPr>
      <w:r>
        <w:rPr>
          <w:rFonts w:hint="eastAsia" w:ascii="仿宋" w:hAnsi="仿宋" w:eastAsia="仿宋" w:cs="仿宋"/>
          <w:sz w:val="31"/>
          <w:szCs w:val="31"/>
          <w:lang w:eastAsia="zh-CN"/>
        </w:rPr>
        <w:t>11.负责非物质文化遗产保护工作，推动非物质文化遗 产的 传承、普及、 弘扬和振兴。</w:t>
      </w:r>
    </w:p>
    <w:p>
      <w:pPr>
        <w:spacing w:before="190" w:line="306" w:lineRule="auto"/>
        <w:ind w:left="6" w:firstLine="643"/>
        <w:rPr>
          <w:rFonts w:hint="eastAsia" w:ascii="仿宋" w:hAnsi="仿宋" w:eastAsia="仿宋" w:cs="仿宋"/>
          <w:sz w:val="31"/>
          <w:szCs w:val="31"/>
          <w:lang w:val="en-US" w:eastAsia="zh-CN"/>
        </w:rPr>
        <w:sectPr>
          <w:footerReference r:id="rId7" w:type="default"/>
          <w:pgSz w:w="11907" w:h="16840"/>
          <w:pgMar w:top="1431" w:right="1375" w:bottom="1154" w:left="1597" w:header="0" w:footer="789" w:gutter="0"/>
          <w:pgNumType w:fmt="decimal"/>
          <w:cols w:space="720" w:num="1"/>
        </w:sectPr>
      </w:pPr>
      <w:r>
        <w:rPr>
          <w:rFonts w:hint="eastAsia" w:ascii="仿宋" w:hAnsi="仿宋" w:eastAsia="仿宋" w:cs="仿宋"/>
          <w:sz w:val="31"/>
          <w:szCs w:val="31"/>
          <w:lang w:eastAsia="zh-CN"/>
        </w:rPr>
        <w:t>12.管理和指导全州文物保护、利用和考古工作，组织  开展 文物资源调查工作。协调、指导和监督全州文物安全工作， 履 行文物行政督察职能。负责全州世界文化遗产保护和管理工  作， 协同相关部门开展世界文化与自然遗产、历史文化名城(镇、 村) 申报和管理工作。负责全州文物和博物馆公共服务体系建设。</w:t>
      </w:r>
    </w:p>
    <w:p>
      <w:pPr>
        <w:spacing w:before="191" w:line="305" w:lineRule="auto"/>
        <w:ind w:right="13" w:firstLine="661"/>
        <w:rPr>
          <w:rFonts w:ascii="仿宋" w:hAnsi="仿宋" w:eastAsia="仿宋" w:cs="仿宋"/>
          <w:sz w:val="31"/>
          <w:szCs w:val="31"/>
        </w:rPr>
      </w:pPr>
      <w:r>
        <w:rPr>
          <w:rFonts w:ascii="仿宋" w:hAnsi="仿宋" w:eastAsia="仿宋" w:cs="仿宋"/>
          <w:spacing w:val="2"/>
          <w:sz w:val="31"/>
          <w:szCs w:val="31"/>
        </w:rPr>
        <w:t>13.贯彻落实全民健身计划，建立和完善全</w:t>
      </w:r>
      <w:r>
        <w:rPr>
          <w:rFonts w:ascii="仿宋" w:hAnsi="仿宋" w:eastAsia="仿宋" w:cs="仿宋"/>
          <w:spacing w:val="1"/>
          <w:sz w:val="31"/>
          <w:szCs w:val="31"/>
        </w:rPr>
        <w:t>民健身服务体系，</w:t>
      </w:r>
      <w:r>
        <w:rPr>
          <w:rFonts w:ascii="仿宋" w:hAnsi="仿宋" w:eastAsia="仿宋" w:cs="仿宋"/>
          <w:sz w:val="31"/>
          <w:szCs w:val="31"/>
        </w:rPr>
        <w:t xml:space="preserve"> </w:t>
      </w:r>
      <w:r>
        <w:rPr>
          <w:rFonts w:ascii="仿宋" w:hAnsi="仿宋" w:eastAsia="仿宋" w:cs="仿宋"/>
          <w:spacing w:val="9"/>
          <w:sz w:val="31"/>
          <w:szCs w:val="31"/>
        </w:rPr>
        <w:t>指导和开展群众性体育活动。负责社会体育指导员培训、</w:t>
      </w:r>
      <w:r>
        <w:rPr>
          <w:rFonts w:ascii="仿宋" w:hAnsi="仿宋" w:eastAsia="仿宋" w:cs="仿宋"/>
          <w:spacing w:val="75"/>
          <w:sz w:val="31"/>
          <w:szCs w:val="31"/>
        </w:rPr>
        <w:t xml:space="preserve"> </w:t>
      </w:r>
      <w:r>
        <w:rPr>
          <w:rFonts w:ascii="仿宋" w:hAnsi="仿宋" w:eastAsia="仿宋" w:cs="仿宋"/>
          <w:spacing w:val="9"/>
          <w:sz w:val="31"/>
          <w:szCs w:val="31"/>
        </w:rPr>
        <w:t>国民</w:t>
      </w:r>
      <w:r>
        <w:rPr>
          <w:rFonts w:ascii="仿宋" w:hAnsi="仿宋" w:eastAsia="仿宋" w:cs="仿宋"/>
          <w:sz w:val="31"/>
          <w:szCs w:val="31"/>
        </w:rPr>
        <w:t xml:space="preserve"> </w:t>
      </w:r>
      <w:r>
        <w:rPr>
          <w:rFonts w:ascii="仿宋" w:hAnsi="仿宋" w:eastAsia="仿宋" w:cs="仿宋"/>
          <w:spacing w:val="11"/>
          <w:sz w:val="31"/>
          <w:szCs w:val="31"/>
        </w:rPr>
        <w:t>体质监测和高危体育项目管理。负责挖掘、传承、保护全州 少</w:t>
      </w:r>
      <w:r>
        <w:rPr>
          <w:rFonts w:ascii="仿宋" w:hAnsi="仿宋" w:eastAsia="仿宋" w:cs="仿宋"/>
          <w:spacing w:val="10"/>
          <w:sz w:val="31"/>
          <w:szCs w:val="31"/>
        </w:rPr>
        <w:t xml:space="preserve"> </w:t>
      </w:r>
      <w:r>
        <w:rPr>
          <w:rFonts w:ascii="仿宋" w:hAnsi="仿宋" w:eastAsia="仿宋" w:cs="仿宋"/>
          <w:spacing w:val="6"/>
          <w:sz w:val="31"/>
          <w:szCs w:val="31"/>
        </w:rPr>
        <w:t>数民族传统体育项目。协助体育彩票销售的监</w:t>
      </w:r>
      <w:r>
        <w:rPr>
          <w:rFonts w:ascii="仿宋" w:hAnsi="仿宋" w:eastAsia="仿宋" w:cs="仿宋"/>
          <w:spacing w:val="5"/>
          <w:sz w:val="31"/>
          <w:szCs w:val="31"/>
        </w:rPr>
        <w:t>督管理。</w:t>
      </w:r>
    </w:p>
    <w:p>
      <w:pPr>
        <w:spacing w:before="188" w:line="296" w:lineRule="auto"/>
        <w:ind w:left="15" w:right="94" w:firstLine="646"/>
        <w:rPr>
          <w:rFonts w:ascii="仿宋" w:hAnsi="仿宋" w:eastAsia="仿宋" w:cs="仿宋"/>
          <w:sz w:val="31"/>
          <w:szCs w:val="31"/>
        </w:rPr>
      </w:pPr>
      <w:r>
        <w:rPr>
          <w:rFonts w:ascii="仿宋" w:hAnsi="仿宋" w:eastAsia="仿宋" w:cs="仿宋"/>
          <w:spacing w:val="4"/>
          <w:sz w:val="31"/>
          <w:szCs w:val="31"/>
        </w:rPr>
        <w:t>14.指导体育训练和运动员队伍建设，协调运动员社会 保障</w:t>
      </w:r>
      <w:r>
        <w:rPr>
          <w:rFonts w:ascii="仿宋" w:hAnsi="仿宋" w:eastAsia="仿宋" w:cs="仿宋"/>
          <w:spacing w:val="10"/>
          <w:sz w:val="31"/>
          <w:szCs w:val="31"/>
        </w:rPr>
        <w:t xml:space="preserve"> </w:t>
      </w:r>
      <w:r>
        <w:rPr>
          <w:rFonts w:ascii="仿宋" w:hAnsi="仿宋" w:eastAsia="仿宋" w:cs="仿宋"/>
          <w:spacing w:val="11"/>
          <w:sz w:val="31"/>
          <w:szCs w:val="31"/>
        </w:rPr>
        <w:t>工作，统筹组织全州综合性运动会、参加省级以上体</w:t>
      </w:r>
      <w:r>
        <w:rPr>
          <w:rFonts w:ascii="仿宋" w:hAnsi="仿宋" w:eastAsia="仿宋" w:cs="仿宋"/>
          <w:spacing w:val="10"/>
          <w:sz w:val="31"/>
          <w:szCs w:val="31"/>
        </w:rPr>
        <w:t>育竞赛 和</w:t>
      </w:r>
      <w:r>
        <w:rPr>
          <w:rFonts w:ascii="仿宋" w:hAnsi="仿宋" w:eastAsia="仿宋" w:cs="仿宋"/>
          <w:sz w:val="31"/>
          <w:szCs w:val="31"/>
        </w:rPr>
        <w:t xml:space="preserve"> </w:t>
      </w:r>
      <w:r>
        <w:rPr>
          <w:rFonts w:ascii="仿宋" w:hAnsi="仿宋" w:eastAsia="仿宋" w:cs="仿宋"/>
          <w:spacing w:val="4"/>
          <w:sz w:val="31"/>
          <w:szCs w:val="31"/>
        </w:rPr>
        <w:t>综合性运动会。负责反兴奋剂监督工作。</w:t>
      </w:r>
    </w:p>
    <w:p>
      <w:pPr>
        <w:spacing w:before="189" w:line="278" w:lineRule="auto"/>
        <w:ind w:left="11" w:right="94" w:firstLine="650"/>
        <w:rPr>
          <w:rFonts w:ascii="仿宋" w:hAnsi="仿宋" w:eastAsia="仿宋" w:cs="仿宋"/>
          <w:sz w:val="31"/>
          <w:szCs w:val="31"/>
        </w:rPr>
      </w:pPr>
      <w:r>
        <w:rPr>
          <w:rFonts w:ascii="仿宋" w:hAnsi="仿宋" w:eastAsia="仿宋" w:cs="仿宋"/>
          <w:spacing w:val="4"/>
          <w:sz w:val="31"/>
          <w:szCs w:val="31"/>
        </w:rPr>
        <w:t>15.负责青少年体育锻炼标准的组织实施，指导各级各 类体</w:t>
      </w:r>
      <w:r>
        <w:rPr>
          <w:rFonts w:ascii="仿宋" w:hAnsi="仿宋" w:eastAsia="仿宋" w:cs="仿宋"/>
          <w:spacing w:val="10"/>
          <w:sz w:val="31"/>
          <w:szCs w:val="31"/>
        </w:rPr>
        <w:t xml:space="preserve"> </w:t>
      </w:r>
      <w:r>
        <w:rPr>
          <w:rFonts w:ascii="仿宋" w:hAnsi="仿宋" w:eastAsia="仿宋" w:cs="仿宋"/>
          <w:spacing w:val="5"/>
          <w:sz w:val="31"/>
          <w:szCs w:val="31"/>
        </w:rPr>
        <w:t>育学校的建设和青少年业余训练及相关活动。</w:t>
      </w:r>
    </w:p>
    <w:p>
      <w:pPr>
        <w:spacing w:before="186" w:line="305" w:lineRule="auto"/>
        <w:ind w:left="8" w:right="97" w:firstLine="650"/>
        <w:rPr>
          <w:rFonts w:ascii="仿宋" w:hAnsi="仿宋" w:eastAsia="仿宋" w:cs="仿宋"/>
          <w:spacing w:val="4"/>
          <w:sz w:val="31"/>
          <w:szCs w:val="31"/>
        </w:rPr>
      </w:pPr>
      <w:r>
        <w:rPr>
          <w:rFonts w:ascii="仿宋" w:hAnsi="仿宋" w:eastAsia="仿宋" w:cs="仿宋"/>
          <w:spacing w:val="4"/>
          <w:sz w:val="31"/>
          <w:szCs w:val="31"/>
        </w:rPr>
        <w:t>16.推动全州文化、广电、体育和旅游市场发展，对全 州文 化、广电、体育和旅游市场依法进行行业监管，依法规范文 化、 广电、体育和旅游市场。推进文化、广电、体育和旅游行业信用体系建设。</w:t>
      </w:r>
    </w:p>
    <w:p>
      <w:pPr>
        <w:spacing w:before="186" w:line="305" w:lineRule="auto"/>
        <w:ind w:left="8" w:right="97" w:firstLine="650"/>
        <w:rPr>
          <w:rFonts w:ascii="仿宋" w:hAnsi="仿宋" w:eastAsia="仿宋" w:cs="仿宋"/>
          <w:spacing w:val="-1"/>
          <w:sz w:val="31"/>
          <w:szCs w:val="31"/>
        </w:rPr>
      </w:pPr>
      <w:r>
        <w:rPr>
          <w:rFonts w:ascii="仿宋" w:hAnsi="仿宋" w:eastAsia="仿宋" w:cs="仿宋"/>
          <w:spacing w:val="-1"/>
          <w:sz w:val="31"/>
          <w:szCs w:val="31"/>
        </w:rPr>
        <w:t>17.负责全州旅游景区管理机构、文旅企业的行业管理 和标 准化建设。</w:t>
      </w:r>
    </w:p>
    <w:p>
      <w:pPr>
        <w:spacing w:before="186" w:line="305" w:lineRule="auto"/>
        <w:ind w:left="8" w:right="97" w:firstLine="650"/>
        <w:rPr>
          <w:rFonts w:hint="eastAsia" w:ascii="仿宋" w:hAnsi="仿宋" w:eastAsia="仿宋" w:cs="仿宋"/>
          <w:spacing w:val="-1"/>
          <w:sz w:val="31"/>
          <w:szCs w:val="31"/>
          <w:lang w:val="en-US" w:eastAsia="zh-CN"/>
        </w:rPr>
      </w:pPr>
      <w:r>
        <w:rPr>
          <w:rFonts w:ascii="仿宋" w:hAnsi="仿宋" w:eastAsia="仿宋" w:cs="仿宋"/>
          <w:spacing w:val="-1"/>
          <w:sz w:val="31"/>
          <w:szCs w:val="31"/>
        </w:rPr>
        <w:t>18.统筹指导全州文化、广电、体育、旅游市场综合行 政执 法，规范文化、广电、体育、旅游行政执法，组织查处全州 性、 跨区域文化、文物、广电、体育、旅游等违法行为，督查督办大案要案。</w:t>
      </w:r>
      <w:r>
        <w:rPr>
          <w:rFonts w:hint="eastAsia" w:ascii="仿宋" w:hAnsi="仿宋" w:eastAsia="仿宋" w:cs="仿宋"/>
          <w:spacing w:val="-1"/>
          <w:sz w:val="31"/>
          <w:szCs w:val="31"/>
          <w:lang w:val="en-US" w:eastAsia="zh-CN"/>
        </w:rPr>
        <w:t xml:space="preserve"> </w:t>
      </w:r>
    </w:p>
    <w:p>
      <w:pPr>
        <w:spacing w:before="186" w:line="305" w:lineRule="auto"/>
        <w:ind w:right="97"/>
        <w:rPr>
          <w:rFonts w:ascii="仿宋" w:hAnsi="仿宋" w:eastAsia="仿宋" w:cs="仿宋"/>
          <w:spacing w:val="-1"/>
          <w:sz w:val="31"/>
          <w:szCs w:val="31"/>
        </w:rPr>
      </w:pPr>
      <w:r>
        <w:rPr>
          <w:rFonts w:hint="eastAsia" w:ascii="仿宋" w:hAnsi="仿宋" w:eastAsia="仿宋" w:cs="仿宋"/>
          <w:spacing w:val="-1"/>
          <w:sz w:val="31"/>
          <w:szCs w:val="31"/>
          <w:lang w:val="en-US" w:eastAsia="zh-CN"/>
        </w:rPr>
        <w:t xml:space="preserve">    </w:t>
      </w:r>
      <w:r>
        <w:rPr>
          <w:rFonts w:ascii="仿宋" w:hAnsi="仿宋" w:eastAsia="仿宋" w:cs="仿宋"/>
          <w:spacing w:val="-1"/>
          <w:sz w:val="31"/>
          <w:szCs w:val="31"/>
        </w:rPr>
        <w:t>19.负责文化、广电、体育和旅游行业安全生产工作的  综合 协调与监督管理，制定职责范围内的安全生产年度监督检查 计 划并组织实施。依法履行行业职业健康监管职责，承担职责范 围 内生态环境保护、公共机构节能减排、审批服务便民化等工作。</w:t>
      </w:r>
    </w:p>
    <w:p>
      <w:pPr>
        <w:spacing w:before="186" w:line="305" w:lineRule="auto"/>
        <w:ind w:left="8" w:right="97" w:firstLine="650"/>
        <w:rPr>
          <w:rFonts w:ascii="仿宋" w:hAnsi="仿宋" w:eastAsia="仿宋" w:cs="仿宋"/>
          <w:spacing w:val="-1"/>
          <w:sz w:val="31"/>
          <w:szCs w:val="31"/>
        </w:rPr>
      </w:pPr>
      <w:r>
        <w:rPr>
          <w:rFonts w:ascii="仿宋" w:hAnsi="仿宋" w:eastAsia="仿宋" w:cs="仿宋"/>
          <w:spacing w:val="-1"/>
          <w:sz w:val="31"/>
          <w:szCs w:val="31"/>
        </w:rPr>
        <w:t>20.完成州委、州政府交办的其他任务。</w:t>
      </w:r>
    </w:p>
    <w:p>
      <w:pPr>
        <w:spacing w:before="188" w:line="296" w:lineRule="auto"/>
        <w:ind w:left="15" w:right="94" w:firstLine="646"/>
        <w:rPr>
          <w:rFonts w:ascii="仿宋" w:hAnsi="仿宋" w:eastAsia="仿宋" w:cs="仿宋"/>
          <w:spacing w:val="4"/>
          <w:sz w:val="31"/>
          <w:szCs w:val="31"/>
        </w:rPr>
      </w:pPr>
    </w:p>
    <w:p>
      <w:pPr>
        <w:spacing w:before="188" w:line="296" w:lineRule="auto"/>
        <w:ind w:left="15" w:right="94" w:firstLine="646"/>
        <w:rPr>
          <w:rFonts w:ascii="仿宋" w:hAnsi="仿宋" w:eastAsia="仿宋" w:cs="仿宋"/>
          <w:spacing w:val="4"/>
          <w:sz w:val="31"/>
          <w:szCs w:val="31"/>
        </w:rPr>
      </w:pP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pPr>
        <w:spacing w:before="213" w:line="283" w:lineRule="auto"/>
        <w:ind w:left="12" w:right="128" w:firstLine="626"/>
        <w:rPr>
          <w:rFonts w:ascii="仿宋" w:hAnsi="仿宋" w:eastAsia="仿宋" w:cs="仿宋"/>
          <w:sz w:val="31"/>
          <w:szCs w:val="31"/>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r>
        <w:rPr>
          <w:rFonts w:ascii="楷体" w:hAnsi="楷体" w:eastAsia="楷体" w:cs="楷体"/>
          <w:spacing w:val="7"/>
          <w:sz w:val="31"/>
          <w:szCs w:val="31"/>
        </w:rPr>
        <w:t>州文广体旅局</w:t>
      </w:r>
      <w:r>
        <w:rPr>
          <w:rFonts w:ascii="Times New Roman" w:hAnsi="Times New Roman" w:eastAsia="Times New Roman" w:cs="Times New Roman"/>
          <w:spacing w:val="7"/>
          <w:sz w:val="31"/>
          <w:szCs w:val="31"/>
        </w:rPr>
        <w:t xml:space="preserve">2024 </w:t>
      </w:r>
      <w:r>
        <w:rPr>
          <w:rFonts w:ascii="仿宋" w:hAnsi="仿宋" w:eastAsia="仿宋" w:cs="仿宋"/>
          <w:spacing w:val="7"/>
          <w:sz w:val="31"/>
          <w:szCs w:val="31"/>
        </w:rPr>
        <w:t>年年初预算收入</w:t>
      </w:r>
      <w:r>
        <w:rPr>
          <w:rFonts w:ascii="仿宋" w:hAnsi="仿宋" w:eastAsia="仿宋" w:cs="仿宋"/>
          <w:sz w:val="31"/>
          <w:szCs w:val="31"/>
        </w:rPr>
        <w:t xml:space="preserve"> </w:t>
      </w:r>
      <w:r>
        <w:rPr>
          <w:rFonts w:hint="eastAsia" w:ascii="仿宋" w:hAnsi="仿宋" w:eastAsia="仿宋" w:cs="仿宋"/>
          <w:spacing w:val="-38"/>
          <w:sz w:val="31"/>
          <w:szCs w:val="31"/>
          <w:lang w:val="en-US" w:eastAsia="zh-CN"/>
        </w:rPr>
        <w:t>8232.31</w:t>
      </w:r>
      <w:r>
        <w:rPr>
          <w:rFonts w:ascii="仿宋" w:hAnsi="仿宋" w:eastAsia="仿宋" w:cs="仿宋"/>
          <w:spacing w:val="2"/>
          <w:sz w:val="31"/>
          <w:szCs w:val="31"/>
        </w:rPr>
        <w:t>万元、决算报表收入</w:t>
      </w:r>
      <w:r>
        <w:rPr>
          <w:rFonts w:hint="eastAsia" w:ascii="仿宋" w:hAnsi="仿宋" w:eastAsia="仿宋" w:cs="仿宋"/>
          <w:spacing w:val="-38"/>
          <w:sz w:val="31"/>
          <w:szCs w:val="31"/>
          <w:lang w:val="en-US" w:eastAsia="zh-CN"/>
        </w:rPr>
        <w:t>8232.31</w:t>
      </w:r>
      <w:r>
        <w:rPr>
          <w:rFonts w:ascii="Times New Roman" w:hAnsi="Times New Roman" w:eastAsia="Times New Roman" w:cs="Times New Roman"/>
          <w:spacing w:val="35"/>
          <w:sz w:val="31"/>
          <w:szCs w:val="31"/>
        </w:rPr>
        <w:t xml:space="preserve"> </w:t>
      </w:r>
      <w:r>
        <w:rPr>
          <w:rFonts w:ascii="仿宋" w:hAnsi="仿宋" w:eastAsia="仿宋" w:cs="仿宋"/>
          <w:spacing w:val="2"/>
          <w:sz w:val="31"/>
          <w:szCs w:val="31"/>
        </w:rPr>
        <w:t>万元。</w:t>
      </w:r>
    </w:p>
    <w:p>
      <w:pPr>
        <w:spacing w:before="206" w:line="304" w:lineRule="auto"/>
        <w:ind w:left="12" w:right="99" w:firstLine="626"/>
        <w:rPr>
          <w:rFonts w:ascii="仿宋" w:hAnsi="仿宋" w:eastAsia="仿宋" w:cs="仿宋"/>
          <w:sz w:val="31"/>
          <w:szCs w:val="31"/>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r>
        <w:rPr>
          <w:rFonts w:ascii="楷体" w:hAnsi="楷体" w:eastAsia="楷体" w:cs="楷体"/>
          <w:spacing w:val="7"/>
          <w:sz w:val="31"/>
          <w:szCs w:val="31"/>
        </w:rPr>
        <w:t>州文广体旅局</w:t>
      </w:r>
      <w:r>
        <w:rPr>
          <w:rFonts w:ascii="Times New Roman" w:hAnsi="Times New Roman" w:eastAsia="Times New Roman" w:cs="Times New Roman"/>
          <w:spacing w:val="7"/>
          <w:sz w:val="31"/>
          <w:szCs w:val="31"/>
        </w:rPr>
        <w:t xml:space="preserve">2024 </w:t>
      </w:r>
      <w:r>
        <w:rPr>
          <w:rFonts w:ascii="仿宋" w:hAnsi="仿宋" w:eastAsia="仿宋" w:cs="仿宋"/>
          <w:spacing w:val="7"/>
          <w:sz w:val="31"/>
          <w:szCs w:val="31"/>
        </w:rPr>
        <w:t>年年初预算支出</w:t>
      </w:r>
      <w:r>
        <w:rPr>
          <w:rFonts w:ascii="仿宋" w:hAnsi="仿宋" w:eastAsia="仿宋" w:cs="仿宋"/>
          <w:spacing w:val="-36"/>
          <w:sz w:val="31"/>
          <w:szCs w:val="31"/>
        </w:rPr>
        <w:t xml:space="preserve"> </w:t>
      </w:r>
      <w:r>
        <w:rPr>
          <w:rFonts w:hint="eastAsia" w:eastAsia="宋体" w:cs="Times New Roman"/>
          <w:spacing w:val="3"/>
          <w:sz w:val="31"/>
          <w:szCs w:val="31"/>
          <w:lang w:val="en-US" w:eastAsia="zh-CN"/>
        </w:rPr>
        <w:t>8232.31</w:t>
      </w:r>
      <w:r>
        <w:rPr>
          <w:rFonts w:ascii="仿宋" w:hAnsi="仿宋" w:eastAsia="仿宋" w:cs="仿宋"/>
          <w:spacing w:val="3"/>
          <w:sz w:val="31"/>
          <w:szCs w:val="31"/>
        </w:rPr>
        <w:t>万元、决算报表支出收入</w:t>
      </w:r>
      <w:r>
        <w:rPr>
          <w:rFonts w:ascii="仿宋" w:hAnsi="仿宋" w:eastAsia="仿宋" w:cs="仿宋"/>
          <w:spacing w:val="-36"/>
          <w:sz w:val="31"/>
          <w:szCs w:val="31"/>
        </w:rPr>
        <w:t xml:space="preserve"> </w:t>
      </w:r>
      <w:r>
        <w:rPr>
          <w:rFonts w:hint="eastAsia" w:eastAsia="宋体" w:cs="Times New Roman"/>
          <w:spacing w:val="3"/>
          <w:sz w:val="31"/>
          <w:szCs w:val="31"/>
          <w:lang w:val="en-US" w:eastAsia="zh-CN"/>
        </w:rPr>
        <w:t>8232.31</w:t>
      </w:r>
      <w:r>
        <w:rPr>
          <w:rFonts w:ascii="Times New Roman" w:hAnsi="Times New Roman" w:eastAsia="Times New Roman" w:cs="Times New Roman"/>
          <w:spacing w:val="35"/>
          <w:sz w:val="31"/>
          <w:szCs w:val="31"/>
        </w:rPr>
        <w:t xml:space="preserve"> </w:t>
      </w:r>
      <w:r>
        <w:rPr>
          <w:rFonts w:ascii="仿宋" w:hAnsi="仿宋" w:eastAsia="仿宋" w:cs="仿宋"/>
          <w:spacing w:val="3"/>
          <w:sz w:val="31"/>
          <w:szCs w:val="31"/>
        </w:rPr>
        <w:t>万元。主要工作成效</w:t>
      </w:r>
      <w:r>
        <w:rPr>
          <w:rFonts w:ascii="仿宋" w:hAnsi="仿宋" w:eastAsia="仿宋" w:cs="仿宋"/>
          <w:sz w:val="31"/>
          <w:szCs w:val="31"/>
        </w:rPr>
        <w:t xml:space="preserve"> </w:t>
      </w:r>
      <w:r>
        <w:rPr>
          <w:rFonts w:ascii="仿宋" w:hAnsi="仿宋" w:eastAsia="仿宋" w:cs="仿宋"/>
          <w:spacing w:val="-1"/>
          <w:sz w:val="31"/>
          <w:szCs w:val="31"/>
        </w:rPr>
        <w:t>如下。</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pPr>
        <w:adjustRightInd w:val="0"/>
        <w:snapToGrid w:val="0"/>
        <w:spacing w:line="578" w:lineRule="exact"/>
        <w:ind w:firstLine="643" w:firstLineChars="200"/>
        <w:contextualSpacing/>
        <w:jc w:val="left"/>
        <w:rPr>
          <w:rFonts w:eastAsia="仿宋_GB2312" w:cs="仿宋_GB2312"/>
          <w:sz w:val="32"/>
          <w:szCs w:val="32"/>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r>
        <w:rPr>
          <w:rFonts w:eastAsia="仿宋_GB2312" w:cs="仿宋_GB2312"/>
          <w:sz w:val="32"/>
          <w:szCs w:val="32"/>
          <w:lang w:val="zh-CN"/>
        </w:rPr>
        <w:t>根据部门预算绩效评价指标体系</w:t>
      </w:r>
      <w:r>
        <w:rPr>
          <w:rFonts w:hint="eastAsia" w:eastAsia="仿宋_GB2312" w:cs="仿宋_GB2312"/>
          <w:sz w:val="32"/>
          <w:szCs w:val="32"/>
          <w:lang w:val="zh-CN"/>
        </w:rPr>
        <w:t>“</w:t>
      </w:r>
      <w:r>
        <w:rPr>
          <w:rFonts w:eastAsia="仿宋_GB2312" w:cs="仿宋_GB2312"/>
          <w:sz w:val="32"/>
          <w:szCs w:val="32"/>
          <w:lang w:val="zh-CN"/>
        </w:rPr>
        <w:t>总体绩效</w:t>
      </w:r>
      <w:r>
        <w:rPr>
          <w:rFonts w:hint="eastAsia" w:eastAsia="仿宋_GB2312" w:cs="仿宋_GB2312"/>
          <w:sz w:val="32"/>
          <w:szCs w:val="32"/>
          <w:lang w:val="zh-CN"/>
        </w:rPr>
        <w:t>”</w:t>
      </w:r>
      <w:r>
        <w:rPr>
          <w:rFonts w:eastAsia="仿宋_GB2312" w:cs="仿宋_GB2312"/>
          <w:sz w:val="32"/>
          <w:szCs w:val="32"/>
          <w:lang w:val="zh-CN"/>
        </w:rPr>
        <w:t>涉及</w:t>
      </w:r>
      <w:r>
        <w:rPr>
          <w:rFonts w:hint="eastAsia" w:eastAsia="仿宋_GB2312" w:cs="仿宋_GB2312"/>
          <w:sz w:val="32"/>
          <w:szCs w:val="32"/>
          <w:lang w:val="zh-CN"/>
        </w:rPr>
        <w:t>二、三级</w:t>
      </w:r>
      <w:r>
        <w:rPr>
          <w:rFonts w:eastAsia="仿宋_GB2312" w:cs="仿宋_GB2312"/>
          <w:sz w:val="32"/>
          <w:szCs w:val="32"/>
          <w:lang w:val="zh-CN"/>
        </w:rPr>
        <w:t>指标进行</w:t>
      </w:r>
      <w:r>
        <w:rPr>
          <w:rFonts w:hint="eastAsia" w:eastAsia="仿宋_GB2312" w:cs="仿宋_GB2312"/>
          <w:sz w:val="32"/>
          <w:szCs w:val="32"/>
          <w:lang w:val="zh-CN"/>
        </w:rPr>
        <w:t>逐项</w:t>
      </w:r>
      <w:r>
        <w:rPr>
          <w:rFonts w:eastAsia="仿宋_GB2312" w:cs="仿宋_GB2312"/>
          <w:sz w:val="32"/>
          <w:szCs w:val="32"/>
          <w:lang w:val="zh-CN"/>
        </w:rPr>
        <w:t>绩效分析</w:t>
      </w:r>
      <w:r>
        <w:rPr>
          <w:rFonts w:hint="eastAsia" w:eastAsia="仿宋_GB2312" w:cs="仿宋_GB2312"/>
          <w:sz w:val="32"/>
          <w:szCs w:val="32"/>
          <w:lang w:val="zh-CN"/>
        </w:rPr>
        <w:t>并评分</w:t>
      </w:r>
      <w:r>
        <w:rPr>
          <w:rFonts w:eastAsia="仿宋_GB2312" w:cs="仿宋_GB2312"/>
          <w:sz w:val="32"/>
          <w:szCs w:val="32"/>
          <w:lang w:val="zh-CN"/>
        </w:rPr>
        <w:t>，依次包括履职效能、预算管理、财务管理、资产管理、采购管理等情况。</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履职效能。部门整体绩效目标中选定3-5个核心职能目标，对职能目标完成效果情况绩效分析。</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2.</w:t>
      </w:r>
      <w:r>
        <w:rPr>
          <w:rFonts w:eastAsia="仿宋_GB2312" w:cs="仿宋_GB2312"/>
          <w:sz w:val="32"/>
          <w:szCs w:val="32"/>
          <w:lang w:val="zh-CN"/>
        </w:rPr>
        <w:t>预算管理</w:t>
      </w:r>
      <w:r>
        <w:rPr>
          <w:rFonts w:hint="eastAsia" w:eastAsia="仿宋_GB2312" w:cs="仿宋_GB2312"/>
          <w:sz w:val="32"/>
          <w:szCs w:val="32"/>
          <w:lang w:val="zh-CN"/>
        </w:rPr>
        <w:t>。围绕预算编制质量、单位收入统筹、支出执行进度、预算年终结余、严控一般性支出</w:t>
      </w:r>
      <w:r>
        <w:rPr>
          <w:rFonts w:eastAsia="仿宋_GB2312" w:cs="仿宋_GB2312"/>
          <w:sz w:val="32"/>
          <w:szCs w:val="32"/>
          <w:lang w:val="zh-CN"/>
        </w:rPr>
        <w:t>进行绩效分析</w:t>
      </w:r>
      <w:r>
        <w:rPr>
          <w:rFonts w:hint="eastAsia" w:eastAsia="仿宋_GB2312" w:cs="仿宋_GB2312"/>
          <w:sz w:val="32"/>
          <w:szCs w:val="32"/>
          <w:lang w:val="zh-CN"/>
        </w:rPr>
        <w:t>。</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3.</w:t>
      </w:r>
      <w:r>
        <w:rPr>
          <w:rFonts w:eastAsia="仿宋_GB2312" w:cs="仿宋_GB2312"/>
          <w:sz w:val="32"/>
          <w:szCs w:val="32"/>
          <w:lang w:val="zh-CN"/>
        </w:rPr>
        <w:t>财务管理</w:t>
      </w:r>
      <w:r>
        <w:rPr>
          <w:rFonts w:hint="eastAsia" w:eastAsia="仿宋_GB2312" w:cs="仿宋_GB2312"/>
          <w:sz w:val="32"/>
          <w:szCs w:val="32"/>
          <w:lang w:val="zh-CN"/>
        </w:rPr>
        <w:t>。围绕财务管理制度、财务岗位设置、资金使用规范</w:t>
      </w:r>
      <w:r>
        <w:rPr>
          <w:rFonts w:eastAsia="仿宋_GB2312" w:cs="仿宋_GB2312"/>
          <w:sz w:val="32"/>
          <w:szCs w:val="32"/>
          <w:lang w:val="zh-CN"/>
        </w:rPr>
        <w:t>进行绩效分析</w:t>
      </w:r>
      <w:r>
        <w:rPr>
          <w:rFonts w:hint="eastAsia" w:eastAsia="仿宋_GB2312" w:cs="仿宋_GB2312"/>
          <w:sz w:val="32"/>
          <w:szCs w:val="32"/>
          <w:lang w:val="zh-CN"/>
        </w:rPr>
        <w:t>。</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4.</w:t>
      </w:r>
      <w:r>
        <w:rPr>
          <w:rFonts w:eastAsia="仿宋_GB2312" w:cs="仿宋_GB2312"/>
          <w:sz w:val="32"/>
          <w:szCs w:val="32"/>
          <w:lang w:val="zh-CN"/>
        </w:rPr>
        <w:t>资产管理</w:t>
      </w:r>
      <w:r>
        <w:rPr>
          <w:rFonts w:hint="eastAsia" w:eastAsia="仿宋_GB2312" w:cs="仿宋_GB2312"/>
          <w:sz w:val="32"/>
          <w:szCs w:val="32"/>
          <w:lang w:val="zh-CN"/>
        </w:rPr>
        <w:t>。围绕人均资产变化率、资产利用率、资产盘活率</w:t>
      </w:r>
      <w:r>
        <w:rPr>
          <w:rFonts w:eastAsia="仿宋_GB2312" w:cs="仿宋_GB2312"/>
          <w:sz w:val="32"/>
          <w:szCs w:val="32"/>
          <w:lang w:val="zh-CN"/>
        </w:rPr>
        <w:t>进行绩效分析</w:t>
      </w:r>
      <w:r>
        <w:rPr>
          <w:rFonts w:hint="eastAsia" w:eastAsia="仿宋_GB2312" w:cs="仿宋_GB2312"/>
          <w:sz w:val="32"/>
          <w:szCs w:val="32"/>
          <w:lang w:val="zh-CN"/>
        </w:rPr>
        <w:t>。</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5.</w:t>
      </w:r>
      <w:r>
        <w:rPr>
          <w:rFonts w:eastAsia="仿宋_GB2312" w:cs="仿宋_GB2312"/>
          <w:sz w:val="32"/>
          <w:szCs w:val="32"/>
          <w:lang w:val="zh-CN"/>
        </w:rPr>
        <w:t>采购管理</w:t>
      </w:r>
      <w:r>
        <w:rPr>
          <w:rFonts w:hint="eastAsia" w:eastAsia="仿宋_GB2312" w:cs="仿宋_GB2312"/>
          <w:sz w:val="32"/>
          <w:szCs w:val="32"/>
          <w:lang w:val="zh-CN"/>
        </w:rPr>
        <w:t>。围绕支持中小企业发展、采购执行率</w:t>
      </w:r>
      <w:r>
        <w:rPr>
          <w:rFonts w:eastAsia="仿宋_GB2312" w:cs="仿宋_GB2312"/>
          <w:sz w:val="32"/>
          <w:szCs w:val="32"/>
          <w:lang w:val="zh-CN"/>
        </w:rPr>
        <w:t>进行绩效分析</w:t>
      </w:r>
      <w:r>
        <w:rPr>
          <w:rFonts w:hint="eastAsia" w:eastAsia="仿宋_GB2312" w:cs="仿宋_GB2312"/>
          <w:sz w:val="32"/>
          <w:szCs w:val="32"/>
          <w:lang w:val="zh-CN"/>
        </w:rPr>
        <w:t>。</w:t>
      </w:r>
    </w:p>
    <w:p>
      <w:pPr>
        <w:adjustRightInd w:val="0"/>
        <w:snapToGrid w:val="0"/>
        <w:spacing w:line="578" w:lineRule="exact"/>
        <w:ind w:firstLine="643" w:firstLineChars="200"/>
        <w:contextualSpacing/>
        <w:rPr>
          <w:rFonts w:eastAsia="仿宋_GB2312" w:cs="仿宋_GB2312"/>
          <w:sz w:val="32"/>
          <w:szCs w:val="32"/>
        </w:rPr>
      </w:pPr>
      <w:r>
        <w:rPr>
          <w:rFonts w:eastAsia="楷体_GB2312"/>
          <w:b/>
          <w:bCs/>
          <w:color w:val="000000"/>
          <w:kern w:val="0"/>
          <w:sz w:val="32"/>
          <w:szCs w:val="32"/>
          <w:shd w:val="clear" w:color="auto" w:fill="FFFFFF"/>
          <w:lang w:val="zh-CN"/>
        </w:rPr>
        <w:t>（二）部门预算项目绩效分析。</w:t>
      </w:r>
      <w:r>
        <w:rPr>
          <w:rFonts w:hint="eastAsia" w:eastAsia="仿宋_GB2312" w:cs="仿宋_GB2312"/>
          <w:sz w:val="32"/>
          <w:szCs w:val="32"/>
          <w:lang w:val="zh-CN"/>
        </w:rPr>
        <w:t>填报以下数据，并</w:t>
      </w:r>
      <w:r>
        <w:rPr>
          <w:rFonts w:eastAsia="仿宋_GB2312" w:cs="仿宋_GB2312"/>
          <w:sz w:val="32"/>
          <w:szCs w:val="32"/>
          <w:lang w:val="zh-CN"/>
        </w:rPr>
        <w:t>根据部门预算绩效评价指标体系</w:t>
      </w:r>
      <w:r>
        <w:rPr>
          <w:rFonts w:hint="eastAsia" w:eastAsia="仿宋_GB2312" w:cs="仿宋_GB2312"/>
          <w:sz w:val="32"/>
          <w:szCs w:val="32"/>
          <w:lang w:val="zh-CN"/>
        </w:rPr>
        <w:t>“</w:t>
      </w:r>
      <w:r>
        <w:rPr>
          <w:rFonts w:eastAsia="仿宋_GB2312" w:cs="仿宋_GB2312"/>
          <w:sz w:val="32"/>
          <w:szCs w:val="32"/>
          <w:lang w:val="zh-CN"/>
        </w:rPr>
        <w:t>项目绩效</w:t>
      </w:r>
      <w:r>
        <w:rPr>
          <w:rFonts w:hint="eastAsia" w:eastAsia="仿宋_GB2312" w:cs="仿宋_GB2312"/>
          <w:sz w:val="32"/>
          <w:szCs w:val="32"/>
          <w:lang w:val="zh-CN"/>
        </w:rPr>
        <w:t>”</w:t>
      </w:r>
      <w:r>
        <w:rPr>
          <w:rFonts w:eastAsia="仿宋_GB2312" w:cs="仿宋_GB2312"/>
          <w:sz w:val="32"/>
          <w:szCs w:val="32"/>
          <w:lang w:val="zh-CN"/>
        </w:rPr>
        <w:t>涉及</w:t>
      </w:r>
      <w:r>
        <w:rPr>
          <w:rFonts w:hint="eastAsia" w:eastAsia="仿宋_GB2312" w:cs="仿宋_GB2312"/>
          <w:sz w:val="32"/>
          <w:szCs w:val="32"/>
          <w:lang w:val="zh-CN"/>
        </w:rPr>
        <w:t>二、三级</w:t>
      </w:r>
      <w:r>
        <w:rPr>
          <w:rFonts w:eastAsia="仿宋_GB2312" w:cs="仿宋_GB2312"/>
          <w:sz w:val="32"/>
          <w:szCs w:val="32"/>
          <w:lang w:val="zh-CN"/>
        </w:rPr>
        <w:t>指标进行</w:t>
      </w:r>
      <w:r>
        <w:rPr>
          <w:rFonts w:hint="eastAsia" w:eastAsia="仿宋_GB2312" w:cs="仿宋_GB2312"/>
          <w:sz w:val="32"/>
          <w:szCs w:val="32"/>
          <w:lang w:val="zh-CN"/>
        </w:rPr>
        <w:t>逐项</w:t>
      </w:r>
      <w:r>
        <w:rPr>
          <w:rFonts w:eastAsia="仿宋_GB2312" w:cs="仿宋_GB2312"/>
          <w:sz w:val="32"/>
          <w:szCs w:val="32"/>
          <w:lang w:val="zh-CN"/>
        </w:rPr>
        <w:t>绩效分析</w:t>
      </w:r>
      <w:r>
        <w:rPr>
          <w:rFonts w:hint="eastAsia" w:eastAsia="仿宋_GB2312" w:cs="仿宋_GB2312"/>
          <w:sz w:val="32"/>
          <w:szCs w:val="32"/>
          <w:lang w:val="zh-CN"/>
        </w:rPr>
        <w:t>并评分</w:t>
      </w:r>
      <w:r>
        <w:rPr>
          <w:rFonts w:eastAsia="仿宋_GB2312" w:cs="仿宋_GB2312"/>
          <w:sz w:val="32"/>
          <w:szCs w:val="32"/>
          <w:lang w:val="zh-CN"/>
        </w:rPr>
        <w:t>，依次包括项目</w:t>
      </w:r>
      <w:r>
        <w:rPr>
          <w:rFonts w:eastAsia="仿宋_GB2312" w:cs="仿宋_GB2312"/>
          <w:sz w:val="32"/>
          <w:szCs w:val="32"/>
        </w:rPr>
        <w:t>决策、项目执行、目标实现等情况</w:t>
      </w:r>
      <w:r>
        <w:rPr>
          <w:rFonts w:hint="eastAsia" w:eastAsia="仿宋_GB2312" w:cs="仿宋_GB2312"/>
          <w:sz w:val="32"/>
          <w:szCs w:val="32"/>
        </w:rPr>
        <w:t>。</w:t>
      </w:r>
    </w:p>
    <w:p>
      <w:pPr>
        <w:spacing w:before="4" w:line="344" w:lineRule="auto"/>
        <w:ind w:left="2" w:right="134" w:firstLine="664"/>
        <w:jc w:val="both"/>
        <w:rPr>
          <w:rFonts w:ascii="仿宋" w:hAnsi="仿宋" w:eastAsia="仿宋" w:cs="仿宋"/>
          <w:sz w:val="31"/>
          <w:szCs w:val="31"/>
        </w:rPr>
      </w:pPr>
      <w:r>
        <w:rPr>
          <w:rFonts w:eastAsia="仿宋_GB2312" w:cs="仿宋_GB2312"/>
          <w:sz w:val="32"/>
          <w:szCs w:val="32"/>
        </w:rPr>
        <w:t>常年项目绩效分析。</w:t>
      </w:r>
      <w:r>
        <w:rPr>
          <w:rFonts w:eastAsia="仿宋_GB2312" w:cs="仿宋_GB2312"/>
          <w:sz w:val="32"/>
          <w:szCs w:val="32"/>
          <w:lang w:val="zh-CN"/>
        </w:rPr>
        <w:t>该类项目总数</w:t>
      </w:r>
      <w:r>
        <w:rPr>
          <w:rFonts w:hint="eastAsia" w:eastAsia="仿宋_GB2312" w:cs="仿宋_GB2312"/>
          <w:sz w:val="32"/>
          <w:szCs w:val="32"/>
          <w:lang w:val="en-US" w:eastAsia="zh-CN"/>
        </w:rPr>
        <w:t>52</w:t>
      </w:r>
      <w:r>
        <w:rPr>
          <w:rFonts w:eastAsia="仿宋_GB2312" w:cs="仿宋_GB2312"/>
          <w:sz w:val="32"/>
          <w:szCs w:val="32"/>
          <w:lang w:val="zh-CN"/>
        </w:rPr>
        <w:t>个，</w:t>
      </w:r>
      <w:r>
        <w:rPr>
          <w:rFonts w:ascii="仿宋" w:hAnsi="仿宋" w:eastAsia="仿宋" w:cs="仿宋"/>
          <w:spacing w:val="7"/>
          <w:sz w:val="31"/>
          <w:szCs w:val="31"/>
        </w:rPr>
        <w:t>涉及预算总金额</w:t>
      </w:r>
      <w:r>
        <w:rPr>
          <w:rFonts w:ascii="仿宋" w:hAnsi="仿宋" w:eastAsia="仿宋" w:cs="仿宋"/>
          <w:sz w:val="31"/>
          <w:szCs w:val="31"/>
        </w:rPr>
        <w:t xml:space="preserve"> </w:t>
      </w:r>
      <w:r>
        <w:rPr>
          <w:rFonts w:ascii="Times New Roman" w:hAnsi="Times New Roman" w:eastAsia="Times New Roman" w:cs="Times New Roman"/>
          <w:spacing w:val="5"/>
          <w:sz w:val="31"/>
          <w:szCs w:val="31"/>
        </w:rPr>
        <w:t>571.07</w:t>
      </w:r>
      <w:r>
        <w:rPr>
          <w:rFonts w:ascii="Times New Roman" w:hAnsi="Times New Roman" w:eastAsia="Times New Roman" w:cs="Times New Roman"/>
          <w:spacing w:val="37"/>
          <w:sz w:val="31"/>
          <w:szCs w:val="31"/>
        </w:rPr>
        <w:t xml:space="preserve"> </w:t>
      </w:r>
      <w:r>
        <w:rPr>
          <w:rFonts w:ascii="仿宋" w:hAnsi="仿宋" w:eastAsia="仿宋" w:cs="仿宋"/>
          <w:spacing w:val="5"/>
          <w:sz w:val="31"/>
          <w:szCs w:val="31"/>
        </w:rPr>
        <w:t>万元，</w:t>
      </w:r>
      <w:r>
        <w:rPr>
          <w:rFonts w:ascii="Times New Roman" w:hAnsi="Times New Roman" w:eastAsia="Times New Roman" w:cs="Times New Roman"/>
          <w:spacing w:val="5"/>
          <w:sz w:val="31"/>
          <w:szCs w:val="31"/>
        </w:rPr>
        <w:t>1</w:t>
      </w:r>
      <w:r>
        <w:rPr>
          <w:rFonts w:ascii="仿宋" w:hAnsi="仿宋" w:eastAsia="仿宋" w:cs="仿宋"/>
          <w:spacing w:val="5"/>
          <w:sz w:val="31"/>
          <w:szCs w:val="31"/>
        </w:rPr>
        <w:t>—</w:t>
      </w:r>
      <w:r>
        <w:rPr>
          <w:rFonts w:ascii="Times New Roman" w:hAnsi="Times New Roman" w:eastAsia="Times New Roman" w:cs="Times New Roman"/>
          <w:spacing w:val="5"/>
          <w:sz w:val="31"/>
          <w:szCs w:val="31"/>
        </w:rPr>
        <w:t>12</w:t>
      </w:r>
      <w:r>
        <w:rPr>
          <w:rFonts w:ascii="Times New Roman" w:hAnsi="Times New Roman" w:eastAsia="Times New Roman" w:cs="Times New Roman"/>
          <w:spacing w:val="32"/>
          <w:sz w:val="31"/>
          <w:szCs w:val="31"/>
        </w:rPr>
        <w:t xml:space="preserve"> </w:t>
      </w:r>
      <w:r>
        <w:rPr>
          <w:rFonts w:ascii="仿宋" w:hAnsi="仿宋" w:eastAsia="仿宋" w:cs="仿宋"/>
          <w:spacing w:val="5"/>
          <w:sz w:val="31"/>
          <w:szCs w:val="31"/>
        </w:rPr>
        <w:t>月预算执行总体进度为</w:t>
      </w:r>
      <w:r>
        <w:rPr>
          <w:rFonts w:ascii="仿宋" w:hAnsi="仿宋" w:eastAsia="仿宋" w:cs="仿宋"/>
          <w:spacing w:val="-61"/>
          <w:sz w:val="31"/>
          <w:szCs w:val="31"/>
        </w:rPr>
        <w:t xml:space="preserve"> </w:t>
      </w:r>
      <w:r>
        <w:rPr>
          <w:rFonts w:ascii="Times New Roman" w:hAnsi="Times New Roman" w:eastAsia="Times New Roman" w:cs="Times New Roman"/>
          <w:spacing w:val="5"/>
          <w:sz w:val="31"/>
          <w:szCs w:val="31"/>
        </w:rPr>
        <w:t>99.82 %</w:t>
      </w:r>
      <w:r>
        <w:rPr>
          <w:rFonts w:ascii="仿宋" w:hAnsi="仿宋" w:eastAsia="仿宋" w:cs="仿宋"/>
          <w:spacing w:val="5"/>
          <w:sz w:val="31"/>
          <w:szCs w:val="31"/>
        </w:rPr>
        <w:t>，</w:t>
      </w:r>
      <w:r>
        <w:rPr>
          <w:rFonts w:ascii="仿宋" w:hAnsi="仿宋" w:eastAsia="仿宋" w:cs="仿宋"/>
          <w:spacing w:val="4"/>
          <w:sz w:val="31"/>
          <w:szCs w:val="31"/>
        </w:rPr>
        <w:t>其中：预</w:t>
      </w:r>
      <w:r>
        <w:rPr>
          <w:rFonts w:ascii="仿宋" w:hAnsi="仿宋" w:eastAsia="仿宋" w:cs="仿宋"/>
          <w:sz w:val="31"/>
          <w:szCs w:val="31"/>
        </w:rPr>
        <w:t xml:space="preserve"> </w:t>
      </w:r>
      <w:r>
        <w:rPr>
          <w:rFonts w:ascii="仿宋" w:hAnsi="仿宋" w:eastAsia="仿宋" w:cs="仿宋"/>
          <w:spacing w:val="4"/>
          <w:sz w:val="31"/>
          <w:szCs w:val="31"/>
        </w:rPr>
        <w:t>算结余率大于</w:t>
      </w:r>
      <w:r>
        <w:rPr>
          <w:rFonts w:ascii="仿宋" w:hAnsi="仿宋" w:eastAsia="仿宋" w:cs="仿宋"/>
          <w:spacing w:val="-33"/>
          <w:sz w:val="31"/>
          <w:szCs w:val="31"/>
        </w:rPr>
        <w:t xml:space="preserve"> </w:t>
      </w:r>
      <w:r>
        <w:rPr>
          <w:rFonts w:ascii="Times New Roman" w:hAnsi="Times New Roman" w:eastAsia="Times New Roman" w:cs="Times New Roman"/>
          <w:spacing w:val="4"/>
          <w:sz w:val="31"/>
          <w:szCs w:val="31"/>
        </w:rPr>
        <w:t>10%</w:t>
      </w:r>
      <w:r>
        <w:rPr>
          <w:rFonts w:ascii="仿宋" w:hAnsi="仿宋" w:eastAsia="仿宋" w:cs="仿宋"/>
          <w:spacing w:val="4"/>
          <w:sz w:val="31"/>
          <w:szCs w:val="31"/>
        </w:rPr>
        <w:t>的项目共计</w:t>
      </w:r>
      <w:r>
        <w:rPr>
          <w:rFonts w:ascii="仿宋" w:hAnsi="仿宋" w:eastAsia="仿宋" w:cs="仿宋"/>
          <w:spacing w:val="-62"/>
          <w:sz w:val="31"/>
          <w:szCs w:val="31"/>
        </w:rPr>
        <w:t xml:space="preserve"> </w:t>
      </w:r>
      <w:r>
        <w:rPr>
          <w:rFonts w:ascii="Times New Roman" w:hAnsi="Times New Roman" w:eastAsia="Times New Roman" w:cs="Times New Roman"/>
          <w:spacing w:val="4"/>
          <w:sz w:val="31"/>
          <w:szCs w:val="31"/>
        </w:rPr>
        <w:t xml:space="preserve">0  </w:t>
      </w:r>
      <w:r>
        <w:rPr>
          <w:rFonts w:ascii="仿宋" w:hAnsi="仿宋" w:eastAsia="仿宋" w:cs="仿宋"/>
          <w:spacing w:val="4"/>
          <w:sz w:val="31"/>
          <w:szCs w:val="31"/>
        </w:rPr>
        <w:t>个。</w:t>
      </w:r>
    </w:p>
    <w:p>
      <w:pPr>
        <w:adjustRightInd w:val="0"/>
        <w:snapToGrid w:val="0"/>
        <w:spacing w:line="578" w:lineRule="exact"/>
        <w:ind w:firstLine="632" w:firstLineChars="200"/>
        <w:contextualSpacing/>
        <w:rPr>
          <w:rFonts w:hint="eastAsia" w:ascii="仿宋" w:hAnsi="仿宋" w:eastAsia="仿宋" w:cs="仿宋"/>
          <w:spacing w:val="5"/>
          <w:sz w:val="31"/>
          <w:szCs w:val="31"/>
          <w:lang w:val="en-US" w:eastAsia="zh-CN"/>
        </w:rPr>
      </w:pPr>
      <w:r>
        <w:rPr>
          <w:rFonts w:ascii="仿宋" w:hAnsi="仿宋" w:eastAsia="仿宋" w:cs="仿宋"/>
          <w:spacing w:val="3"/>
          <w:sz w:val="31"/>
          <w:szCs w:val="31"/>
        </w:rPr>
        <w:t>阶段（含一次性）项目绩效分析。该类项目总数</w:t>
      </w:r>
      <w:r>
        <w:rPr>
          <w:rFonts w:ascii="仿宋" w:hAnsi="仿宋" w:eastAsia="仿宋" w:cs="仿宋"/>
          <w:spacing w:val="-36"/>
          <w:sz w:val="31"/>
          <w:szCs w:val="31"/>
        </w:rPr>
        <w:t xml:space="preserve"> </w:t>
      </w:r>
      <w:r>
        <w:rPr>
          <w:rFonts w:ascii="Times New Roman" w:hAnsi="Times New Roman" w:eastAsia="Times New Roman" w:cs="Times New Roman"/>
          <w:spacing w:val="3"/>
          <w:sz w:val="31"/>
          <w:szCs w:val="31"/>
        </w:rPr>
        <w:t xml:space="preserve">112  </w:t>
      </w:r>
      <w:r>
        <w:rPr>
          <w:rFonts w:ascii="仿宋" w:hAnsi="仿宋" w:eastAsia="仿宋" w:cs="仿宋"/>
          <w:spacing w:val="3"/>
          <w:sz w:val="31"/>
          <w:szCs w:val="31"/>
        </w:rPr>
        <w:t>个，</w:t>
      </w:r>
      <w:r>
        <w:rPr>
          <w:rFonts w:ascii="仿宋" w:hAnsi="仿宋" w:eastAsia="仿宋" w:cs="仿宋"/>
          <w:sz w:val="31"/>
          <w:szCs w:val="31"/>
        </w:rPr>
        <w:t xml:space="preserve"> </w:t>
      </w:r>
      <w:r>
        <w:rPr>
          <w:rFonts w:ascii="仿宋" w:hAnsi="仿宋" w:eastAsia="仿宋" w:cs="仿宋"/>
          <w:spacing w:val="5"/>
          <w:sz w:val="31"/>
          <w:szCs w:val="31"/>
        </w:rPr>
        <w:t>涉及预算总金额</w:t>
      </w:r>
      <w:r>
        <w:rPr>
          <w:rFonts w:ascii="仿宋" w:hAnsi="仿宋" w:eastAsia="仿宋" w:cs="仿宋"/>
          <w:spacing w:val="-48"/>
          <w:sz w:val="31"/>
          <w:szCs w:val="31"/>
        </w:rPr>
        <w:t xml:space="preserve"> </w:t>
      </w:r>
      <w:r>
        <w:rPr>
          <w:rFonts w:ascii="Times New Roman" w:hAnsi="Times New Roman" w:eastAsia="Times New Roman" w:cs="Times New Roman"/>
          <w:spacing w:val="5"/>
          <w:sz w:val="31"/>
          <w:szCs w:val="31"/>
        </w:rPr>
        <w:t>5344.28</w:t>
      </w:r>
      <w:r>
        <w:rPr>
          <w:rFonts w:ascii="Times New Roman" w:hAnsi="Times New Roman" w:eastAsia="Times New Roman" w:cs="Times New Roman"/>
          <w:spacing w:val="35"/>
          <w:sz w:val="31"/>
          <w:szCs w:val="31"/>
        </w:rPr>
        <w:t xml:space="preserve"> </w:t>
      </w:r>
      <w:r>
        <w:rPr>
          <w:rFonts w:ascii="仿宋" w:hAnsi="仿宋" w:eastAsia="仿宋" w:cs="仿宋"/>
          <w:spacing w:val="5"/>
          <w:sz w:val="31"/>
          <w:szCs w:val="31"/>
        </w:rPr>
        <w:t>万元，</w:t>
      </w:r>
      <w:r>
        <w:rPr>
          <w:rFonts w:ascii="Times New Roman" w:hAnsi="Times New Roman" w:eastAsia="Times New Roman" w:cs="Times New Roman"/>
          <w:spacing w:val="5"/>
          <w:sz w:val="31"/>
          <w:szCs w:val="31"/>
        </w:rPr>
        <w:t>1</w:t>
      </w:r>
      <w:r>
        <w:rPr>
          <w:rFonts w:ascii="仿宋" w:hAnsi="仿宋" w:eastAsia="仿宋" w:cs="仿宋"/>
          <w:spacing w:val="5"/>
          <w:sz w:val="31"/>
          <w:szCs w:val="31"/>
        </w:rPr>
        <w:t>—</w:t>
      </w:r>
      <w:r>
        <w:rPr>
          <w:rFonts w:ascii="Times New Roman" w:hAnsi="Times New Roman" w:eastAsia="Times New Roman" w:cs="Times New Roman"/>
          <w:spacing w:val="5"/>
          <w:sz w:val="31"/>
          <w:szCs w:val="31"/>
        </w:rPr>
        <w:t>12</w:t>
      </w:r>
      <w:r>
        <w:rPr>
          <w:rFonts w:ascii="Times New Roman" w:hAnsi="Times New Roman" w:eastAsia="Times New Roman" w:cs="Times New Roman"/>
          <w:spacing w:val="32"/>
          <w:sz w:val="31"/>
          <w:szCs w:val="31"/>
        </w:rPr>
        <w:t xml:space="preserve"> </w:t>
      </w:r>
      <w:r>
        <w:rPr>
          <w:rFonts w:ascii="仿宋" w:hAnsi="仿宋" w:eastAsia="仿宋" w:cs="仿宋"/>
          <w:spacing w:val="5"/>
          <w:sz w:val="31"/>
          <w:szCs w:val="31"/>
        </w:rPr>
        <w:t>月预算执行总体进度为</w:t>
      </w:r>
      <w:r>
        <w:rPr>
          <w:rFonts w:ascii="仿宋" w:hAnsi="仿宋" w:eastAsia="仿宋" w:cs="仿宋"/>
          <w:sz w:val="31"/>
          <w:szCs w:val="31"/>
        </w:rPr>
        <w:t xml:space="preserve">  </w:t>
      </w:r>
      <w:r>
        <w:rPr>
          <w:rFonts w:ascii="Times New Roman" w:hAnsi="Times New Roman" w:eastAsia="Times New Roman" w:cs="Times New Roman"/>
          <w:spacing w:val="5"/>
          <w:sz w:val="31"/>
          <w:szCs w:val="31"/>
        </w:rPr>
        <w:t>91.87%</w:t>
      </w:r>
      <w:r>
        <w:rPr>
          <w:rFonts w:ascii="仿宋" w:hAnsi="仿宋" w:eastAsia="仿宋" w:cs="仿宋"/>
          <w:spacing w:val="5"/>
          <w:sz w:val="31"/>
          <w:szCs w:val="31"/>
        </w:rPr>
        <w:t>，其中：预算结余率大于</w:t>
      </w:r>
      <w:r>
        <w:rPr>
          <w:rFonts w:ascii="仿宋" w:hAnsi="仿宋" w:eastAsia="仿宋" w:cs="仿宋"/>
          <w:spacing w:val="-28"/>
          <w:sz w:val="31"/>
          <w:szCs w:val="31"/>
        </w:rPr>
        <w:t xml:space="preserve"> </w:t>
      </w:r>
      <w:r>
        <w:rPr>
          <w:rFonts w:ascii="Times New Roman" w:hAnsi="Times New Roman" w:eastAsia="Times New Roman" w:cs="Times New Roman"/>
          <w:spacing w:val="5"/>
          <w:sz w:val="31"/>
          <w:szCs w:val="31"/>
        </w:rPr>
        <w:t>10%</w:t>
      </w:r>
      <w:r>
        <w:rPr>
          <w:rFonts w:ascii="仿宋" w:hAnsi="仿宋" w:eastAsia="仿宋" w:cs="仿宋"/>
          <w:spacing w:val="5"/>
          <w:sz w:val="31"/>
          <w:szCs w:val="31"/>
        </w:rPr>
        <w:t>的项目共计</w:t>
      </w:r>
      <w:r>
        <w:rPr>
          <w:rFonts w:ascii="仿宋" w:hAnsi="仿宋" w:eastAsia="仿宋" w:cs="仿宋"/>
          <w:spacing w:val="-53"/>
          <w:sz w:val="31"/>
          <w:szCs w:val="31"/>
        </w:rPr>
        <w:t xml:space="preserve"> </w:t>
      </w:r>
      <w:r>
        <w:rPr>
          <w:rFonts w:ascii="Times New Roman" w:hAnsi="Times New Roman" w:eastAsia="Times New Roman" w:cs="Times New Roman"/>
          <w:spacing w:val="5"/>
          <w:sz w:val="31"/>
          <w:szCs w:val="31"/>
        </w:rPr>
        <w:t xml:space="preserve">8 </w:t>
      </w:r>
      <w:r>
        <w:rPr>
          <w:rFonts w:ascii="仿宋" w:hAnsi="仿宋" w:eastAsia="仿宋" w:cs="仿宋"/>
          <w:spacing w:val="5"/>
          <w:sz w:val="31"/>
          <w:szCs w:val="31"/>
        </w:rPr>
        <w:t>个</w:t>
      </w:r>
      <w:r>
        <w:rPr>
          <w:rFonts w:hint="eastAsia" w:ascii="仿宋" w:hAnsi="仿宋" w:eastAsia="仿宋" w:cs="仿宋"/>
          <w:spacing w:val="5"/>
          <w:sz w:val="31"/>
          <w:szCs w:val="31"/>
          <w:lang w:eastAsia="zh-CN"/>
        </w:rPr>
        <w:t>。</w:t>
      </w:r>
      <w:r>
        <w:rPr>
          <w:rFonts w:hint="eastAsia" w:ascii="仿宋" w:hAnsi="仿宋" w:eastAsia="仿宋" w:cs="仿宋"/>
          <w:spacing w:val="5"/>
          <w:sz w:val="31"/>
          <w:szCs w:val="31"/>
          <w:lang w:val="en-US" w:eastAsia="zh-CN"/>
        </w:rPr>
        <w:t xml:space="preserve">  </w:t>
      </w:r>
    </w:p>
    <w:p>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项目决策。围绕决策程序、目标设置、项目入库</w:t>
      </w:r>
      <w:r>
        <w:rPr>
          <w:rFonts w:eastAsia="仿宋_GB2312" w:cs="仿宋_GB2312"/>
          <w:sz w:val="32"/>
          <w:szCs w:val="32"/>
          <w:lang w:val="zh-CN"/>
        </w:rPr>
        <w:t>进行绩效分析</w:t>
      </w:r>
      <w:r>
        <w:rPr>
          <w:rFonts w:hint="eastAsia" w:eastAsia="仿宋_GB2312" w:cs="仿宋_GB2312"/>
          <w:sz w:val="32"/>
          <w:szCs w:val="32"/>
          <w:lang w:val="zh-CN"/>
        </w:rPr>
        <w:t>。</w:t>
      </w:r>
    </w:p>
    <w:p>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rPr>
        <w:t>2.项目执行</w:t>
      </w:r>
      <w:r>
        <w:rPr>
          <w:rFonts w:hint="eastAsia" w:eastAsia="仿宋_GB2312" w:cs="仿宋_GB2312"/>
          <w:sz w:val="32"/>
          <w:szCs w:val="32"/>
          <w:lang w:val="zh-CN"/>
        </w:rPr>
        <w:t>。围绕资金执行同向、项目调整、执行结果</w:t>
      </w:r>
      <w:r>
        <w:rPr>
          <w:rFonts w:eastAsia="仿宋_GB2312" w:cs="仿宋_GB2312"/>
          <w:sz w:val="32"/>
          <w:szCs w:val="32"/>
          <w:lang w:val="zh-CN"/>
        </w:rPr>
        <w:t>进行绩效分析</w:t>
      </w:r>
      <w:r>
        <w:rPr>
          <w:rFonts w:hint="eastAsia" w:eastAsia="仿宋_GB2312" w:cs="仿宋_GB2312"/>
          <w:sz w:val="32"/>
          <w:szCs w:val="32"/>
          <w:lang w:val="zh-CN"/>
        </w:rPr>
        <w:t>。</w:t>
      </w:r>
    </w:p>
    <w:p>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rPr>
        <w:t>3.</w:t>
      </w:r>
      <w:r>
        <w:rPr>
          <w:rFonts w:hint="eastAsia" w:eastAsia="仿宋_GB2312" w:cs="仿宋_GB2312"/>
          <w:sz w:val="32"/>
          <w:szCs w:val="32"/>
          <w:lang w:val="zh-CN"/>
        </w:rPr>
        <w:t>目标实现。围绕目标完成、目标偏离、实现效果</w:t>
      </w:r>
      <w:r>
        <w:rPr>
          <w:rFonts w:eastAsia="仿宋_GB2312" w:cs="仿宋_GB2312"/>
          <w:sz w:val="32"/>
          <w:szCs w:val="32"/>
          <w:lang w:val="zh-CN"/>
        </w:rPr>
        <w:t>进行绩效分析</w:t>
      </w:r>
      <w:r>
        <w:rPr>
          <w:rFonts w:hint="eastAsia" w:eastAsia="仿宋_GB2312" w:cs="仿宋_GB2312"/>
          <w:sz w:val="32"/>
          <w:szCs w:val="32"/>
          <w:lang w:val="zh-CN"/>
        </w:rPr>
        <w:t>。</w:t>
      </w:r>
    </w:p>
    <w:p>
      <w:pPr>
        <w:snapToGrid w:val="0"/>
        <w:spacing w:line="600" w:lineRule="exact"/>
        <w:ind w:firstLine="640" w:firstLineChars="200"/>
        <w:rPr>
          <w:rFonts w:eastAsia="仿宋_GB2312"/>
          <w:sz w:val="32"/>
          <w:szCs w:val="32"/>
        </w:rPr>
      </w:pPr>
      <w:r>
        <w:rPr>
          <w:rFonts w:eastAsia="仿宋_GB2312"/>
          <w:sz w:val="32"/>
          <w:szCs w:val="32"/>
        </w:rPr>
        <w:t>省级部门对2024年度一般公共预算、政府性基金预算、国有资本经营预算安排的常年项目、阶段项目绩效目标完成情况，以及债券资金、政府购买服务有关情况进行梳理阐述</w:t>
      </w:r>
      <w:r>
        <w:rPr>
          <w:rFonts w:hint="eastAsia" w:eastAsia="仿宋_GB2312"/>
          <w:sz w:val="32"/>
          <w:szCs w:val="32"/>
        </w:rPr>
        <w:t>。</w:t>
      </w:r>
    </w:p>
    <w:p>
      <w:pPr>
        <w:numPr>
          <w:ilvl w:val="0"/>
          <w:numId w:val="3"/>
        </w:numPr>
        <w:snapToGrid w:val="0"/>
        <w:spacing w:line="600" w:lineRule="exact"/>
        <w:ind w:firstLine="643" w:firstLineChars="200"/>
        <w:rPr>
          <w:rFonts w:hint="eastAsia" w:eastAsia="仿宋_GB2312"/>
          <w:sz w:val="32"/>
          <w:szCs w:val="32"/>
          <w:lang w:val="zh-CN" w:bidi="ar"/>
        </w:rPr>
      </w:pPr>
      <w:r>
        <w:rPr>
          <w:rFonts w:eastAsia="楷体_GB2312"/>
          <w:b/>
          <w:bCs/>
          <w:color w:val="000000"/>
          <w:kern w:val="0"/>
          <w:sz w:val="32"/>
          <w:szCs w:val="32"/>
          <w:shd w:val="clear" w:color="auto" w:fill="FFFFFF"/>
          <w:lang w:val="zh-CN"/>
        </w:rPr>
        <w:t>绩效结果应用情况</w:t>
      </w:r>
      <w:r>
        <w:rPr>
          <w:rFonts w:hint="eastAsia" w:eastAsia="楷体_GB2312"/>
          <w:b/>
          <w:bCs/>
          <w:color w:val="000000"/>
          <w:kern w:val="0"/>
          <w:sz w:val="32"/>
          <w:szCs w:val="32"/>
          <w:shd w:val="clear" w:color="auto" w:fill="FFFFFF"/>
          <w:lang w:val="zh-CN"/>
        </w:rPr>
        <w:t>。</w:t>
      </w:r>
      <w:r>
        <w:rPr>
          <w:rFonts w:hint="eastAsia" w:eastAsia="仿宋_GB2312"/>
          <w:sz w:val="32"/>
          <w:szCs w:val="32"/>
          <w:lang w:val="zh-CN" w:bidi="ar"/>
        </w:rPr>
        <w:t>围绕内部应用情况、</w:t>
      </w:r>
      <w:r>
        <w:rPr>
          <w:rFonts w:eastAsia="仿宋_GB2312"/>
          <w:sz w:val="32"/>
          <w:szCs w:val="32"/>
          <w:lang w:val="zh-CN" w:bidi="ar"/>
        </w:rPr>
        <w:t>信息公开情况</w:t>
      </w:r>
      <w:r>
        <w:rPr>
          <w:rFonts w:hint="eastAsia" w:eastAsia="仿宋_GB2312"/>
          <w:sz w:val="32"/>
          <w:szCs w:val="32"/>
          <w:lang w:val="zh-CN" w:bidi="ar"/>
        </w:rPr>
        <w:t>、</w:t>
      </w:r>
      <w:r>
        <w:rPr>
          <w:rFonts w:eastAsia="仿宋_GB2312"/>
          <w:sz w:val="32"/>
          <w:szCs w:val="32"/>
          <w:lang w:val="zh-CN" w:bidi="ar"/>
        </w:rPr>
        <w:t>整改反馈情况</w:t>
      </w:r>
      <w:r>
        <w:rPr>
          <w:rFonts w:hint="eastAsia" w:eastAsia="仿宋_GB2312"/>
          <w:sz w:val="32"/>
          <w:szCs w:val="32"/>
          <w:lang w:val="zh-CN" w:bidi="ar"/>
        </w:rPr>
        <w:t>进行分析。</w:t>
      </w:r>
    </w:p>
    <w:p>
      <w:pPr>
        <w:keepNext w:val="0"/>
        <w:keepLines w:val="0"/>
        <w:pageBreakBefore w:val="0"/>
        <w:widowControl/>
        <w:kinsoku/>
        <w:wordWrap/>
        <w:overflowPunct/>
        <w:topLinePunct w:val="0"/>
        <w:autoSpaceDE/>
        <w:autoSpaceDN/>
        <w:bidi w:val="0"/>
        <w:adjustRightInd w:val="0"/>
        <w:snapToGrid w:val="0"/>
        <w:spacing w:afterAutospacing="0" w:line="578" w:lineRule="exact"/>
        <w:ind w:firstLine="640" w:firstLineChars="200"/>
        <w:contextualSpacing/>
        <w:jc w:val="left"/>
        <w:textAlignment w:val="auto"/>
        <w:outlineLvl w:val="9"/>
        <w:rPr>
          <w:rFonts w:hint="eastAsia" w:ascii="黑体" w:hAnsi="黑体" w:eastAsia="黑体" w:cs="黑体"/>
          <w:color w:val="000000"/>
          <w:kern w:val="0"/>
          <w:sz w:val="32"/>
          <w:szCs w:val="32"/>
          <w:highlight w:val="none"/>
          <w:shd w:val="clear" w:color="auto" w:fill="FFFFFF"/>
        </w:rPr>
      </w:pPr>
      <w:r>
        <w:rPr>
          <w:rFonts w:hint="eastAsia" w:ascii="黑体" w:hAnsi="黑体" w:eastAsia="黑体" w:cs="黑体"/>
          <w:color w:val="000000"/>
          <w:kern w:val="0"/>
          <w:sz w:val="32"/>
          <w:szCs w:val="32"/>
          <w:highlight w:val="none"/>
          <w:shd w:val="clear" w:color="auto" w:fill="FFFFFF"/>
          <w:lang w:eastAsia="zh-CN"/>
        </w:rPr>
        <w:t>四、</w:t>
      </w:r>
      <w:r>
        <w:rPr>
          <w:rFonts w:hint="eastAsia" w:ascii="黑体" w:hAnsi="黑体" w:eastAsia="黑体" w:cs="黑体"/>
          <w:color w:val="000000"/>
          <w:kern w:val="0"/>
          <w:sz w:val="32"/>
          <w:szCs w:val="32"/>
          <w:highlight w:val="none"/>
          <w:shd w:val="clear" w:color="auto" w:fill="FFFFFF"/>
        </w:rPr>
        <w:t>评价结论及建议</w:t>
      </w:r>
    </w:p>
    <w:p>
      <w:pPr>
        <w:keepNext w:val="0"/>
        <w:keepLines w:val="0"/>
        <w:pageBreakBefore w:val="0"/>
        <w:kinsoku/>
        <w:wordWrap/>
        <w:overflowPunct/>
        <w:topLinePunct w:val="0"/>
        <w:bidi w:val="0"/>
        <w:snapToGrid w:val="0"/>
        <w:spacing w:afterAutospacing="0" w:line="560" w:lineRule="exact"/>
        <w:ind w:firstLine="643" w:firstLineChars="200"/>
        <w:textAlignment w:val="auto"/>
        <w:rPr>
          <w:rFonts w:hint="eastAsia" w:ascii="楷体" w:hAnsi="楷体" w:eastAsia="楷体" w:cs="楷体"/>
          <w:b/>
          <w:bCs/>
          <w:color w:val="000000"/>
          <w:kern w:val="0"/>
          <w:sz w:val="32"/>
          <w:szCs w:val="32"/>
          <w:shd w:val="clear" w:color="auto" w:fill="FFFFFF"/>
        </w:rPr>
      </w:pPr>
      <w:r>
        <w:rPr>
          <w:rFonts w:hint="eastAsia" w:ascii="楷体" w:hAnsi="楷体" w:eastAsia="楷体" w:cs="楷体"/>
          <w:b/>
          <w:bCs/>
          <w:color w:val="000000"/>
          <w:kern w:val="0"/>
          <w:sz w:val="32"/>
          <w:szCs w:val="32"/>
          <w:shd w:val="clear" w:color="auto" w:fill="FFFFFF"/>
        </w:rPr>
        <w:t>（一）评价结论</w:t>
      </w:r>
    </w:p>
    <w:p>
      <w:pPr>
        <w:pStyle w:val="14"/>
        <w:keepNext w:val="0"/>
        <w:keepLines w:val="0"/>
        <w:pageBreakBefore w:val="0"/>
        <w:widowControl/>
        <w:kinsoku/>
        <w:wordWrap/>
        <w:overflowPunct/>
        <w:topLinePunct w:val="0"/>
        <w:bidi w:val="0"/>
        <w:spacing w:before="0" w:after="0" w:afterAutospacing="0"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从整体上看，202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年我</w:t>
      </w:r>
      <w:r>
        <w:rPr>
          <w:rFonts w:hint="eastAsia" w:ascii="仿宋" w:hAnsi="仿宋" w:eastAsia="仿宋" w:cs="仿宋"/>
          <w:color w:val="000000"/>
          <w:sz w:val="32"/>
          <w:szCs w:val="32"/>
          <w:lang w:eastAsia="zh-CN"/>
        </w:rPr>
        <w:t>局</w:t>
      </w:r>
      <w:r>
        <w:rPr>
          <w:rFonts w:hint="eastAsia" w:ascii="仿宋" w:hAnsi="仿宋" w:eastAsia="仿宋" w:cs="仿宋"/>
          <w:color w:val="000000"/>
          <w:sz w:val="32"/>
          <w:szCs w:val="32"/>
        </w:rPr>
        <w:t>资金运行维护决策正确，资金管理规范，项目管理到位，政策执行有力，有效发挥了财政资金的使用效率，顺利完成了各项任务。三公经费严格控制在预算范围内，严格落实了厉行节约的原则。</w:t>
      </w:r>
      <w:r>
        <w:rPr>
          <w:rFonts w:hint="eastAsia" w:ascii="仿宋" w:hAnsi="仿宋" w:eastAsia="仿宋" w:cs="仿宋"/>
          <w:color w:val="000000"/>
          <w:sz w:val="32"/>
          <w:szCs w:val="32"/>
          <w:lang w:eastAsia="zh-CN"/>
        </w:rPr>
        <w:t>参照专项预算项目支出绩效评价指标体系计算，</w:t>
      </w:r>
      <w:r>
        <w:rPr>
          <w:rFonts w:hint="eastAsia" w:ascii="仿宋" w:hAnsi="仿宋" w:eastAsia="仿宋" w:cs="仿宋"/>
          <w:color w:val="000000"/>
          <w:sz w:val="32"/>
          <w:szCs w:val="32"/>
          <w:lang w:val="en-US" w:eastAsia="zh-CN"/>
        </w:rPr>
        <w:t>2024年整体绩效评价得分是：90分。</w:t>
      </w:r>
    </w:p>
    <w:p>
      <w:pPr>
        <w:keepNext w:val="0"/>
        <w:keepLines w:val="0"/>
        <w:pageBreakBefore w:val="0"/>
        <w:kinsoku/>
        <w:wordWrap/>
        <w:overflowPunct/>
        <w:topLinePunct w:val="0"/>
        <w:bidi w:val="0"/>
        <w:snapToGrid w:val="0"/>
        <w:spacing w:afterAutospacing="0" w:line="560" w:lineRule="exact"/>
        <w:ind w:firstLine="643" w:firstLineChars="200"/>
        <w:textAlignment w:val="auto"/>
        <w:rPr>
          <w:rFonts w:hint="eastAsia" w:ascii="楷体" w:hAnsi="楷体" w:eastAsia="楷体" w:cs="楷体"/>
          <w:b/>
          <w:bCs/>
          <w:color w:val="000000"/>
          <w:kern w:val="0"/>
          <w:sz w:val="32"/>
          <w:szCs w:val="32"/>
          <w:shd w:val="clear" w:color="auto" w:fill="FFFFFF"/>
        </w:rPr>
      </w:pPr>
      <w:r>
        <w:rPr>
          <w:rFonts w:hint="eastAsia" w:ascii="楷体" w:hAnsi="楷体" w:eastAsia="楷体" w:cs="楷体"/>
          <w:b/>
          <w:bCs/>
          <w:color w:val="000000"/>
          <w:kern w:val="0"/>
          <w:sz w:val="32"/>
          <w:szCs w:val="32"/>
          <w:shd w:val="clear" w:color="auto" w:fill="FFFFFF"/>
        </w:rPr>
        <w:t>（二）存在问题</w:t>
      </w:r>
    </w:p>
    <w:p>
      <w:pPr>
        <w:pStyle w:val="14"/>
        <w:keepNext w:val="0"/>
        <w:keepLines w:val="0"/>
        <w:pageBreakBefore w:val="0"/>
        <w:widowControl/>
        <w:kinsoku/>
        <w:wordWrap/>
        <w:overflowPunct/>
        <w:topLinePunct w:val="0"/>
        <w:bidi w:val="0"/>
        <w:spacing w:before="0" w:after="0" w:afterAutospacing="0" w:line="560" w:lineRule="exact"/>
        <w:ind w:firstLine="632" w:firstLineChars="200"/>
        <w:textAlignment w:val="auto"/>
        <w:rPr>
          <w:rFonts w:hint="eastAsia" w:ascii="仿宋" w:hAnsi="仿宋" w:eastAsia="仿宋" w:cs="仿宋"/>
          <w:color w:val="000000"/>
          <w:sz w:val="32"/>
          <w:szCs w:val="32"/>
        </w:rPr>
      </w:pPr>
      <w:r>
        <w:rPr>
          <w:rFonts w:hint="eastAsia" w:ascii="仿宋" w:hAnsi="仿宋" w:eastAsia="仿宋" w:cs="仿宋"/>
          <w:color w:val="000000"/>
          <w:spacing w:val="-2"/>
          <w:sz w:val="32"/>
          <w:szCs w:val="32"/>
        </w:rPr>
        <w:t>从资金来源、资金性质结转和结余情况，特别是项目经费结转和结余情况来看，一是</w:t>
      </w:r>
      <w:r>
        <w:rPr>
          <w:rFonts w:hint="eastAsia" w:ascii="仿宋" w:hAnsi="仿宋" w:eastAsia="仿宋" w:cs="仿宋"/>
          <w:bCs/>
          <w:color w:val="000000"/>
          <w:sz w:val="32"/>
          <w:szCs w:val="32"/>
          <w:shd w:val="clear" w:color="auto" w:fill="FFFFFF"/>
        </w:rPr>
        <w:t>部门预算项目执行及资金支付进度偏慢。</w:t>
      </w:r>
      <w:r>
        <w:rPr>
          <w:rFonts w:hint="eastAsia" w:ascii="仿宋" w:hAnsi="仿宋" w:eastAsia="仿宋" w:cs="仿宋"/>
          <w:color w:val="000000"/>
          <w:sz w:val="32"/>
          <w:szCs w:val="32"/>
        </w:rPr>
        <w:t>二是资金使用效益有待进一步提高，三是加强财务人员的专业培训力度，提高财务业务水平，促进资金的管理更加规范化、合理化。</w:t>
      </w:r>
    </w:p>
    <w:p>
      <w:pPr>
        <w:keepNext w:val="0"/>
        <w:keepLines w:val="0"/>
        <w:pageBreakBefore w:val="0"/>
        <w:widowControl/>
        <w:numPr>
          <w:ilvl w:val="0"/>
          <w:numId w:val="4"/>
        </w:numPr>
        <w:kinsoku/>
        <w:wordWrap/>
        <w:overflowPunct/>
        <w:topLinePunct w:val="0"/>
        <w:autoSpaceDE/>
        <w:autoSpaceDN/>
        <w:bidi w:val="0"/>
        <w:adjustRightInd w:val="0"/>
        <w:snapToGrid w:val="0"/>
        <w:spacing w:afterAutospacing="0" w:line="578" w:lineRule="exact"/>
        <w:ind w:left="0" w:leftChars="0" w:firstLine="643" w:firstLineChars="200"/>
        <w:contextualSpacing/>
        <w:jc w:val="left"/>
        <w:textAlignment w:val="auto"/>
        <w:outlineLvl w:val="9"/>
        <w:rPr>
          <w:rFonts w:hint="eastAsia" w:ascii="楷体" w:hAnsi="楷体" w:eastAsia="楷体" w:cs="楷体"/>
          <w:b/>
          <w:bCs/>
          <w:color w:val="000000"/>
          <w:kern w:val="0"/>
          <w:sz w:val="32"/>
          <w:szCs w:val="32"/>
          <w:highlight w:val="none"/>
          <w:shd w:val="clear" w:color="auto" w:fill="FFFFFF"/>
          <w:lang w:val="zh-CN" w:eastAsia="zh-CN"/>
        </w:rPr>
      </w:pPr>
      <w:r>
        <w:rPr>
          <w:rFonts w:hint="eastAsia" w:ascii="楷体" w:hAnsi="楷体" w:eastAsia="楷体" w:cs="楷体"/>
          <w:b/>
          <w:bCs/>
          <w:color w:val="000000"/>
          <w:kern w:val="0"/>
          <w:sz w:val="32"/>
          <w:szCs w:val="32"/>
          <w:highlight w:val="none"/>
          <w:shd w:val="clear" w:color="auto" w:fill="FFFFFF"/>
          <w:lang w:val="zh-CN" w:eastAsia="zh-CN"/>
        </w:rPr>
        <w:t>改进建议</w:t>
      </w:r>
    </w:p>
    <w:p>
      <w:pPr>
        <w:pStyle w:val="14"/>
        <w:shd w:val="clear" w:color="auto" w:fill="FFFFFF"/>
        <w:spacing w:line="560" w:lineRule="exact"/>
        <w:ind w:firstLine="643" w:firstLineChars="200"/>
        <w:rPr>
          <w:rFonts w:ascii="仿宋" w:hAnsi="仿宋" w:eastAsia="仿宋" w:cs="仿宋"/>
          <w:bCs/>
          <w:color w:val="000000"/>
          <w:sz w:val="32"/>
          <w:szCs w:val="32"/>
          <w:shd w:val="clear" w:color="auto" w:fill="FFFFFF"/>
        </w:rPr>
      </w:pPr>
      <w:r>
        <w:rPr>
          <w:rFonts w:hint="eastAsia" w:ascii="仿宋" w:hAnsi="仿宋" w:eastAsia="仿宋" w:cs="仿宋"/>
          <w:b/>
          <w:bCs/>
          <w:color w:val="000000"/>
          <w:sz w:val="32"/>
          <w:szCs w:val="32"/>
          <w:shd w:val="clear" w:color="auto" w:fill="FFFFFF"/>
        </w:rPr>
        <w:t>1、精准编制预算。</w:t>
      </w:r>
      <w:r>
        <w:rPr>
          <w:rFonts w:hint="eastAsia" w:ascii="仿宋" w:hAnsi="仿宋" w:eastAsia="仿宋" w:cs="仿宋"/>
          <w:bCs/>
          <w:color w:val="000000"/>
          <w:sz w:val="32"/>
          <w:szCs w:val="32"/>
          <w:shd w:val="clear" w:color="auto" w:fill="FFFFFF"/>
        </w:rPr>
        <w:t>严格按照政策标准，优化支出结构，提高预算编制的科学化精细化水平。</w:t>
      </w:r>
    </w:p>
    <w:p>
      <w:pPr>
        <w:spacing w:before="188" w:line="296" w:lineRule="auto"/>
        <w:ind w:left="15" w:right="94" w:firstLine="646"/>
        <w:rPr>
          <w:rFonts w:ascii="仿宋" w:hAnsi="仿宋" w:eastAsia="仿宋" w:cs="仿宋"/>
          <w:spacing w:val="4"/>
          <w:sz w:val="31"/>
          <w:szCs w:val="31"/>
        </w:rPr>
        <w:sectPr>
          <w:footerReference r:id="rId8" w:type="default"/>
          <w:pgSz w:w="11907" w:h="16840"/>
          <w:pgMar w:top="1431" w:right="1375" w:bottom="1154" w:left="1591" w:header="0" w:footer="787" w:gutter="0"/>
          <w:pgNumType w:fmt="decimal"/>
          <w:cols w:space="720" w:num="1"/>
        </w:sectPr>
      </w:pPr>
      <w:r>
        <w:rPr>
          <w:rFonts w:hint="eastAsia" w:ascii="仿宋" w:hAnsi="仿宋" w:eastAsia="仿宋" w:cs="仿宋"/>
          <w:b/>
          <w:bCs/>
          <w:color w:val="000000"/>
          <w:sz w:val="32"/>
          <w:szCs w:val="32"/>
          <w:shd w:val="clear" w:color="auto" w:fill="FFFFFF"/>
        </w:rPr>
        <w:t>2、完善项目执行责任制。</w:t>
      </w:r>
      <w:r>
        <w:rPr>
          <w:rFonts w:hint="eastAsia" w:ascii="仿宋" w:hAnsi="仿宋" w:eastAsia="仿宋" w:cs="仿宋"/>
          <w:bCs/>
          <w:color w:val="000000"/>
          <w:kern w:val="0"/>
          <w:sz w:val="32"/>
          <w:szCs w:val="32"/>
          <w:shd w:val="clear" w:color="auto" w:fill="FFFFFF"/>
        </w:rPr>
        <w:t>针对结余结转资金较多和预算执行进度偏慢等问题，单位将加强和规范项目管理，充分发挥财政资金使用效益，提高预算支付进度，按照工作重点，结合经费预算情况，建立项目执行责任制，将项目支出责任逐一分解落实到具体执行科室和责任人，形成领导重视、各科室联动共同促进项目执行的良好格局</w:t>
      </w:r>
    </w:p>
    <w:p>
      <w:pPr>
        <w:pStyle w:val="7"/>
        <w:spacing w:before="93"/>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2</w:t>
      </w:r>
    </w:p>
    <w:p>
      <w:pPr>
        <w:pStyle w:val="24"/>
        <w:spacing w:line="578" w:lineRule="exact"/>
        <w:jc w:val="center"/>
        <w:rPr>
          <w:rFonts w:ascii="Times New Roman" w:hAnsi="Times New Roman" w:eastAsia="方正小标宋简体" w:cs="方正小标宋简体"/>
          <w:color w:val="auto"/>
          <w:kern w:val="2"/>
          <w:sz w:val="44"/>
          <w:szCs w:val="44"/>
          <w:lang w:val="en-US"/>
        </w:rPr>
      </w:pPr>
    </w:p>
    <w:p>
      <w:pPr>
        <w:pStyle w:val="24"/>
        <w:spacing w:line="578" w:lineRule="exact"/>
        <w:jc w:val="center"/>
        <w:rPr>
          <w:rFonts w:ascii="Times New Roman" w:hAnsi="Times New Roman" w:eastAsia="方正小标宋简体" w:cs="方正小标宋简体"/>
          <w:color w:val="auto"/>
          <w:kern w:val="2"/>
          <w:sz w:val="44"/>
          <w:szCs w:val="44"/>
          <w:lang w:val="en-US"/>
        </w:rPr>
      </w:pPr>
      <w:r>
        <w:rPr>
          <w:rFonts w:hint="eastAsia" w:ascii="Times New Roman" w:hAnsi="Times New Roman" w:eastAsia="方正小标宋简体" w:cs="方正小标宋简体"/>
          <w:color w:val="auto"/>
          <w:kern w:val="2"/>
          <w:sz w:val="44"/>
          <w:szCs w:val="44"/>
          <w:lang w:val="en-US"/>
        </w:rPr>
        <w:t>专项预算项目绩效评价报告范本</w:t>
      </w:r>
    </w:p>
    <w:p>
      <w:pPr>
        <w:pStyle w:val="24"/>
        <w:spacing w:line="578" w:lineRule="exact"/>
        <w:ind w:firstLine="640"/>
        <w:jc w:val="center"/>
        <w:rPr>
          <w:rFonts w:ascii="Times New Roman" w:hAnsi="Times New Roman"/>
          <w:color w:val="auto"/>
          <w:kern w:val="2"/>
          <w:sz w:val="32"/>
          <w:szCs w:val="32"/>
        </w:rPr>
      </w:pPr>
    </w:p>
    <w:p>
      <w:pPr>
        <w:adjustRightInd w:val="0"/>
        <w:snapToGrid w:val="0"/>
        <w:spacing w:line="578" w:lineRule="exact"/>
        <w:ind w:firstLine="640" w:firstLineChars="200"/>
        <w:rPr>
          <w:rFonts w:eastAsia="黑体"/>
          <w:sz w:val="32"/>
          <w:szCs w:val="32"/>
          <w:lang w:val="zh-CN"/>
        </w:rPr>
      </w:pPr>
      <w:r>
        <w:rPr>
          <w:rFonts w:hint="eastAsia" w:eastAsia="黑体"/>
          <w:sz w:val="32"/>
          <w:szCs w:val="32"/>
        </w:rPr>
        <w:t>一、</w:t>
      </w:r>
      <w:r>
        <w:rPr>
          <w:rFonts w:hint="eastAsia" w:eastAsia="黑体"/>
          <w:sz w:val="32"/>
          <w:szCs w:val="32"/>
          <w:lang w:val="zh-CN"/>
        </w:rPr>
        <w:t>项目概况</w:t>
      </w:r>
    </w:p>
    <w:p>
      <w:pPr>
        <w:widowControl/>
        <w:adjustRightInd w:val="0"/>
        <w:snapToGrid w:val="0"/>
        <w:spacing w:line="578" w:lineRule="exact"/>
        <w:ind w:firstLine="643" w:firstLineChars="200"/>
        <w:contextualSpacing/>
        <w:jc w:val="left"/>
        <w:rPr>
          <w:rFonts w:eastAsia="仿宋_GB2312" w:cs="仿宋_GB2312"/>
          <w:kern w:val="0"/>
          <w:sz w:val="32"/>
          <w:szCs w:val="32"/>
          <w:shd w:val="clear" w:color="auto" w:fill="FFFFFF"/>
          <w:lang w:val="zh-CN"/>
        </w:rPr>
      </w:pPr>
      <w:r>
        <w:rPr>
          <w:rFonts w:hint="eastAsia" w:eastAsia="楷体_GB2312"/>
          <w:b/>
          <w:sz w:val="32"/>
          <w:szCs w:val="32"/>
          <w:lang w:val="zh-CN"/>
        </w:rPr>
        <w:t>（一）设立背景及基本情况。</w:t>
      </w:r>
      <w:r>
        <w:rPr>
          <w:rFonts w:hint="eastAsia" w:eastAsia="仿宋_GB2312" w:cs="仿宋_GB2312"/>
          <w:kern w:val="0"/>
          <w:sz w:val="32"/>
          <w:szCs w:val="32"/>
        </w:rPr>
        <w:t>项目设立原因及背景，</w:t>
      </w:r>
      <w:r>
        <w:rPr>
          <w:rFonts w:hint="eastAsia" w:eastAsia="仿宋_GB2312" w:cs="仿宋_GB2312"/>
          <w:kern w:val="0"/>
          <w:sz w:val="32"/>
          <w:szCs w:val="32"/>
          <w:lang w:val="zh-CN"/>
        </w:rPr>
        <w:t>项目立项、资金申报的依据，项目主要内容</w:t>
      </w:r>
      <w:r>
        <w:rPr>
          <w:rFonts w:hint="eastAsia" w:eastAsia="仿宋_GB2312" w:cs="仿宋_GB2312"/>
          <w:kern w:val="0"/>
          <w:sz w:val="32"/>
          <w:szCs w:val="32"/>
        </w:rPr>
        <w:t>。</w:t>
      </w:r>
      <w:r>
        <w:rPr>
          <w:rFonts w:hint="eastAsia" w:eastAsia="仿宋_GB2312" w:cs="仿宋_GB2312"/>
          <w:kern w:val="0"/>
          <w:sz w:val="32"/>
          <w:szCs w:val="32"/>
          <w:lang w:val="zh-CN"/>
        </w:rPr>
        <w:t>主管部门职能</w:t>
      </w:r>
      <w:r>
        <w:rPr>
          <w:rFonts w:hint="eastAsia" w:eastAsia="仿宋_GB2312" w:cs="仿宋_GB2312"/>
          <w:kern w:val="0"/>
          <w:sz w:val="32"/>
          <w:szCs w:val="32"/>
          <w:shd w:val="clear" w:color="auto" w:fill="FFFFFF"/>
          <w:lang w:val="zh-CN"/>
        </w:rPr>
        <w:t>。</w:t>
      </w:r>
    </w:p>
    <w:p>
      <w:pPr>
        <w:adjustRightInd w:val="0"/>
        <w:snapToGrid w:val="0"/>
        <w:spacing w:line="578" w:lineRule="exact"/>
        <w:ind w:firstLine="643" w:firstLineChars="200"/>
        <w:rPr>
          <w:rFonts w:eastAsia="仿宋_GB2312" w:cs="仿宋_GB2312"/>
          <w:kern w:val="0"/>
          <w:sz w:val="32"/>
          <w:szCs w:val="32"/>
          <w:lang w:val="zh-CN"/>
        </w:rPr>
      </w:pPr>
      <w:r>
        <w:rPr>
          <w:rFonts w:hint="eastAsia" w:eastAsia="楷体_GB2312"/>
          <w:b/>
          <w:sz w:val="32"/>
          <w:szCs w:val="32"/>
          <w:lang w:val="zh-CN"/>
        </w:rPr>
        <w:t>（二）</w:t>
      </w:r>
      <w:r>
        <w:rPr>
          <w:rFonts w:eastAsia="楷体_GB2312"/>
          <w:b/>
          <w:sz w:val="32"/>
          <w:szCs w:val="32"/>
        </w:rPr>
        <w:t>实施目的及支持方向</w:t>
      </w:r>
      <w:r>
        <w:rPr>
          <w:rFonts w:hint="eastAsia" w:eastAsia="楷体_GB2312"/>
          <w:b/>
          <w:sz w:val="32"/>
          <w:szCs w:val="32"/>
        </w:rPr>
        <w:t>。</w:t>
      </w:r>
      <w:r>
        <w:rPr>
          <w:rFonts w:hint="eastAsia" w:eastAsia="仿宋_GB2312" w:cs="仿宋_GB2312"/>
          <w:kern w:val="0"/>
          <w:sz w:val="32"/>
          <w:szCs w:val="32"/>
        </w:rPr>
        <w:t>项目资金</w:t>
      </w:r>
      <w:r>
        <w:rPr>
          <w:rFonts w:hint="eastAsia" w:eastAsia="仿宋_GB2312" w:cs="仿宋_GB2312"/>
          <w:kern w:val="0"/>
          <w:sz w:val="32"/>
          <w:szCs w:val="32"/>
          <w:lang w:val="zh-CN"/>
        </w:rPr>
        <w:t>管理办法制定情况，项目实施目的和主要工作任务，项目支持方向。</w:t>
      </w:r>
    </w:p>
    <w:p>
      <w:pPr>
        <w:widowControl/>
        <w:adjustRightInd w:val="0"/>
        <w:snapToGrid w:val="0"/>
        <w:spacing w:line="578" w:lineRule="exact"/>
        <w:ind w:firstLine="643" w:firstLineChars="200"/>
        <w:contextualSpacing/>
        <w:jc w:val="left"/>
        <w:rPr>
          <w:rFonts w:eastAsia="仿宋_GB2312" w:cs="仿宋_GB2312"/>
          <w:kern w:val="0"/>
          <w:sz w:val="32"/>
          <w:szCs w:val="32"/>
          <w:lang w:val="zh-CN"/>
        </w:rPr>
      </w:pPr>
      <w:r>
        <w:rPr>
          <w:rFonts w:hint="eastAsia" w:eastAsia="楷体_GB2312"/>
          <w:b/>
          <w:sz w:val="32"/>
          <w:szCs w:val="32"/>
          <w:lang w:val="zh-CN"/>
        </w:rPr>
        <w:t>（三）</w:t>
      </w:r>
      <w:r>
        <w:rPr>
          <w:rFonts w:eastAsia="楷体_GB2312"/>
          <w:b/>
          <w:sz w:val="32"/>
          <w:szCs w:val="32"/>
        </w:rPr>
        <w:t>预算安排及分配管理</w:t>
      </w:r>
      <w:r>
        <w:rPr>
          <w:rFonts w:hint="eastAsia" w:eastAsia="楷体_GB2312"/>
          <w:b/>
          <w:sz w:val="32"/>
          <w:szCs w:val="32"/>
          <w:lang w:val="zh-CN"/>
        </w:rPr>
        <w:t>。</w:t>
      </w:r>
      <w:r>
        <w:rPr>
          <w:rFonts w:hint="eastAsia" w:eastAsia="仿宋_GB2312" w:cs="仿宋_GB2312"/>
          <w:kern w:val="0"/>
          <w:sz w:val="32"/>
          <w:szCs w:val="32"/>
          <w:lang w:val="zh-CN"/>
        </w:rPr>
        <w:t>项目预算安排情况，项目资金分配原则及考虑因素，项目资金分配情况。</w:t>
      </w:r>
    </w:p>
    <w:p>
      <w:pPr>
        <w:adjustRightInd w:val="0"/>
        <w:snapToGrid w:val="0"/>
        <w:spacing w:line="578" w:lineRule="exact"/>
        <w:ind w:firstLine="643" w:firstLineChars="200"/>
        <w:rPr>
          <w:rFonts w:eastAsia="仿宋_GB2312" w:cs="仿宋_GB2312"/>
          <w:kern w:val="0"/>
          <w:sz w:val="32"/>
          <w:szCs w:val="32"/>
          <w:lang w:val="zh-CN"/>
        </w:rPr>
      </w:pPr>
      <w:r>
        <w:rPr>
          <w:rFonts w:hint="eastAsia" w:eastAsia="楷体_GB2312"/>
          <w:b/>
          <w:sz w:val="32"/>
          <w:szCs w:val="32"/>
          <w:lang w:val="zh-CN"/>
        </w:rPr>
        <w:t>（四）项目绩效目标设置。</w:t>
      </w:r>
      <w:r>
        <w:rPr>
          <w:rFonts w:hint="eastAsia" w:eastAsia="仿宋_GB2312" w:cs="仿宋_GB2312"/>
          <w:kern w:val="0"/>
          <w:sz w:val="32"/>
          <w:szCs w:val="32"/>
          <w:lang w:val="zh-CN"/>
        </w:rPr>
        <w:t>项目整体、区域和具体绩效目标设置情况，项目自评工作开展情况。</w:t>
      </w:r>
    </w:p>
    <w:p>
      <w:pPr>
        <w:adjustRightInd w:val="0"/>
        <w:snapToGrid w:val="0"/>
        <w:spacing w:line="578" w:lineRule="exact"/>
        <w:ind w:firstLine="640" w:firstLineChars="200"/>
        <w:rPr>
          <w:rFonts w:eastAsia="黑体"/>
          <w:sz w:val="32"/>
          <w:szCs w:val="32"/>
        </w:rPr>
      </w:pPr>
      <w:r>
        <w:rPr>
          <w:rFonts w:hint="eastAsia" w:eastAsia="黑体"/>
          <w:sz w:val="32"/>
          <w:szCs w:val="32"/>
        </w:rPr>
        <w:t>二、评价实施</w:t>
      </w:r>
    </w:p>
    <w:p>
      <w:pPr>
        <w:spacing w:line="578" w:lineRule="exact"/>
        <w:ind w:firstLine="640"/>
        <w:rPr>
          <w:rFonts w:eastAsia="仿宋_GB2312" w:cs="仿宋_GB2312"/>
          <w:kern w:val="0"/>
          <w:sz w:val="32"/>
          <w:szCs w:val="32"/>
          <w:lang w:val="zh-CN"/>
        </w:rPr>
      </w:pPr>
      <w:r>
        <w:rPr>
          <w:rFonts w:hint="eastAsia" w:eastAsia="楷体_GB2312"/>
          <w:b/>
          <w:sz w:val="32"/>
          <w:szCs w:val="32"/>
          <w:lang w:val="zh-CN"/>
        </w:rPr>
        <w:t>（一）评价目的。</w:t>
      </w:r>
      <w:r>
        <w:rPr>
          <w:rFonts w:hint="eastAsia" w:eastAsia="仿宋_GB2312" w:cs="仿宋_GB2312"/>
          <w:kern w:val="0"/>
          <w:sz w:val="32"/>
          <w:szCs w:val="32"/>
          <w:lang w:val="zh-CN"/>
        </w:rPr>
        <w:t>通过项目绩效自评要实现的目的。</w:t>
      </w:r>
    </w:p>
    <w:p>
      <w:pPr>
        <w:adjustRightInd w:val="0"/>
        <w:snapToGrid w:val="0"/>
        <w:spacing w:line="578" w:lineRule="exact"/>
        <w:ind w:firstLine="643" w:firstLineChars="200"/>
        <w:rPr>
          <w:rFonts w:eastAsia="仿宋_GB2312" w:cs="仿宋_GB2312"/>
          <w:kern w:val="0"/>
          <w:sz w:val="32"/>
          <w:szCs w:val="32"/>
          <w:lang w:val="zh-CN"/>
        </w:rPr>
      </w:pPr>
      <w:r>
        <w:rPr>
          <w:rFonts w:hint="eastAsia" w:eastAsia="楷体_GB2312"/>
          <w:b/>
          <w:sz w:val="32"/>
          <w:szCs w:val="32"/>
          <w:lang w:val="zh-CN"/>
        </w:rPr>
        <w:t>（二）预设问题及评价重点。</w:t>
      </w:r>
      <w:r>
        <w:rPr>
          <w:rFonts w:hint="eastAsia" w:eastAsia="仿宋_GB2312" w:cs="仿宋_GB2312"/>
          <w:kern w:val="0"/>
          <w:sz w:val="32"/>
          <w:szCs w:val="32"/>
          <w:lang w:val="zh-CN"/>
        </w:rPr>
        <w:t>按照绩效评价指标体系，对资金支出使用全过程及其实施效果进行综合评价和判断。</w:t>
      </w:r>
    </w:p>
    <w:p>
      <w:pPr>
        <w:spacing w:line="578" w:lineRule="exact"/>
        <w:ind w:firstLine="640"/>
        <w:rPr>
          <w:rFonts w:eastAsia="楷体_GB2312"/>
          <w:b/>
          <w:sz w:val="32"/>
          <w:szCs w:val="32"/>
          <w:lang w:val="zh-CN"/>
        </w:rPr>
      </w:pPr>
      <w:r>
        <w:rPr>
          <w:rFonts w:hint="eastAsia" w:eastAsia="楷体_GB2312"/>
          <w:b/>
          <w:sz w:val="32"/>
          <w:szCs w:val="32"/>
          <w:lang w:val="zh-CN"/>
        </w:rPr>
        <w:t>（三）评价选点。</w:t>
      </w:r>
      <w:r>
        <w:rPr>
          <w:rFonts w:hint="eastAsia" w:eastAsia="仿宋_GB2312" w:cs="仿宋_GB2312"/>
          <w:kern w:val="0"/>
          <w:sz w:val="32"/>
          <w:szCs w:val="32"/>
          <w:lang w:val="zh-CN"/>
        </w:rPr>
        <w:t>项目绩效自评所抽样点位情况。每个专项预算项目应选取专项资金分配涉及市县总数的20%、总计不超过20个的市县点位进行实地踏勘，且点位清单应作为自评附表。</w:t>
      </w:r>
    </w:p>
    <w:p>
      <w:pPr>
        <w:spacing w:line="578" w:lineRule="exact"/>
        <w:ind w:firstLine="640"/>
        <w:rPr>
          <w:rFonts w:eastAsia="仿宋_GB2312" w:cs="仿宋_GB2312"/>
          <w:kern w:val="0"/>
          <w:sz w:val="32"/>
          <w:szCs w:val="32"/>
          <w:lang w:val="zh-CN"/>
        </w:rPr>
      </w:pPr>
      <w:r>
        <w:rPr>
          <w:rFonts w:hint="eastAsia" w:eastAsia="楷体_GB2312"/>
          <w:b/>
          <w:sz w:val="32"/>
          <w:szCs w:val="32"/>
          <w:lang w:val="zh-CN"/>
        </w:rPr>
        <w:t>（四）评价方法。</w:t>
      </w:r>
      <w:r>
        <w:rPr>
          <w:rFonts w:hint="eastAsia" w:eastAsia="仿宋_GB2312" w:cs="仿宋_GB2312"/>
          <w:kern w:val="0"/>
          <w:sz w:val="32"/>
          <w:szCs w:val="32"/>
          <w:lang w:val="zh-CN"/>
        </w:rPr>
        <w:t>根据项目情况和评价重点，用来收集相关材料和开展具体评价的方法。包括：采用成本效益分析法、标杆管理法、案卷研究法、单位自评法、实地勘察法、问卷调查法、座谈调研法等多种方法。</w:t>
      </w:r>
    </w:p>
    <w:p>
      <w:pPr>
        <w:spacing w:line="578" w:lineRule="exact"/>
        <w:ind w:firstLine="640"/>
        <w:rPr>
          <w:rFonts w:eastAsia="仿宋_GB2312"/>
          <w:bCs/>
        </w:rPr>
      </w:pPr>
      <w:r>
        <w:rPr>
          <w:rFonts w:hint="eastAsia" w:eastAsia="楷体_GB2312"/>
          <w:b/>
          <w:sz w:val="32"/>
          <w:szCs w:val="32"/>
          <w:lang w:val="zh-CN"/>
        </w:rPr>
        <w:t>（五）评价组织。</w:t>
      </w:r>
      <w:r>
        <w:rPr>
          <w:rFonts w:hint="eastAsia" w:eastAsia="仿宋_GB2312" w:cs="仿宋_GB2312"/>
          <w:kern w:val="0"/>
          <w:sz w:val="32"/>
          <w:szCs w:val="32"/>
          <w:lang w:val="zh-CN"/>
        </w:rPr>
        <w:t>评价组人员构成和职责分工。</w:t>
      </w:r>
    </w:p>
    <w:p>
      <w:pPr>
        <w:adjustRightInd w:val="0"/>
        <w:snapToGrid w:val="0"/>
        <w:spacing w:line="578" w:lineRule="exact"/>
        <w:ind w:firstLine="640" w:firstLineChars="200"/>
        <w:rPr>
          <w:sz w:val="32"/>
          <w:szCs w:val="32"/>
          <w:lang w:val="zh-CN"/>
        </w:rPr>
      </w:pPr>
      <w:r>
        <w:rPr>
          <w:rFonts w:hint="eastAsia" w:eastAsia="黑体"/>
          <w:sz w:val="32"/>
          <w:szCs w:val="32"/>
        </w:rPr>
        <w:t>三、绩效分析</w:t>
      </w:r>
      <w:r>
        <w:rPr>
          <w:rFonts w:hint="eastAsia"/>
          <w:sz w:val="32"/>
          <w:szCs w:val="32"/>
          <w:lang w:val="zh-CN"/>
        </w:rPr>
        <w:tab/>
      </w:r>
    </w:p>
    <w:p>
      <w:pPr>
        <w:spacing w:line="578" w:lineRule="exact"/>
        <w:ind w:firstLine="640"/>
        <w:rPr>
          <w:rFonts w:eastAsia="仿宋_GB2312" w:cs="仿宋_GB2312"/>
          <w:kern w:val="0"/>
          <w:sz w:val="32"/>
          <w:szCs w:val="32"/>
        </w:rPr>
      </w:pPr>
      <w:r>
        <w:rPr>
          <w:rFonts w:eastAsia="仿宋_GB2312" w:cs="仿宋_GB2312"/>
          <w:kern w:val="0"/>
          <w:sz w:val="32"/>
          <w:szCs w:val="32"/>
          <w:lang w:val="zh-CN"/>
        </w:rPr>
        <w:t>根据</w:t>
      </w:r>
      <w:r>
        <w:rPr>
          <w:rFonts w:hint="eastAsia" w:eastAsia="仿宋_GB2312" w:cs="仿宋_GB2312"/>
          <w:kern w:val="0"/>
          <w:sz w:val="32"/>
          <w:szCs w:val="32"/>
          <w:lang w:val="zh-CN"/>
        </w:rPr>
        <w:t>项目</w:t>
      </w:r>
      <w:r>
        <w:rPr>
          <w:rFonts w:eastAsia="仿宋_GB2312" w:cs="仿宋_GB2312"/>
          <w:kern w:val="0"/>
          <w:sz w:val="32"/>
          <w:szCs w:val="32"/>
          <w:lang w:val="zh-CN"/>
        </w:rPr>
        <w:t>预算绩效评价指标体系</w:t>
      </w:r>
      <w:r>
        <w:rPr>
          <w:rFonts w:hint="eastAsia" w:eastAsia="仿宋_GB2312" w:cs="仿宋_GB2312"/>
          <w:kern w:val="0"/>
          <w:sz w:val="32"/>
          <w:szCs w:val="32"/>
          <w:lang w:val="zh-CN"/>
        </w:rPr>
        <w:t>通用指标、专用指标、个性指标</w:t>
      </w:r>
      <w:r>
        <w:rPr>
          <w:rFonts w:eastAsia="仿宋_GB2312" w:cs="仿宋_GB2312"/>
          <w:kern w:val="0"/>
          <w:sz w:val="32"/>
          <w:szCs w:val="32"/>
          <w:lang w:val="zh-CN"/>
        </w:rPr>
        <w:t>涉及</w:t>
      </w:r>
      <w:r>
        <w:rPr>
          <w:rFonts w:hint="eastAsia" w:eastAsia="仿宋_GB2312" w:cs="仿宋_GB2312"/>
          <w:kern w:val="0"/>
          <w:sz w:val="32"/>
          <w:szCs w:val="32"/>
          <w:lang w:val="zh-CN"/>
        </w:rPr>
        <w:t>二、三级</w:t>
      </w:r>
      <w:r>
        <w:rPr>
          <w:rFonts w:eastAsia="仿宋_GB2312" w:cs="仿宋_GB2312"/>
          <w:kern w:val="0"/>
          <w:sz w:val="32"/>
          <w:szCs w:val="32"/>
          <w:lang w:val="zh-CN"/>
        </w:rPr>
        <w:t>指标进行</w:t>
      </w:r>
      <w:r>
        <w:rPr>
          <w:rFonts w:hint="eastAsia" w:eastAsia="仿宋_GB2312" w:cs="仿宋_GB2312"/>
          <w:kern w:val="0"/>
          <w:sz w:val="32"/>
          <w:szCs w:val="32"/>
          <w:lang w:val="zh-CN"/>
        </w:rPr>
        <w:t>逐项</w:t>
      </w:r>
      <w:r>
        <w:rPr>
          <w:rFonts w:eastAsia="仿宋_GB2312" w:cs="仿宋_GB2312"/>
          <w:kern w:val="0"/>
          <w:sz w:val="32"/>
          <w:szCs w:val="32"/>
          <w:lang w:val="zh-CN"/>
        </w:rPr>
        <w:t>绩效分析</w:t>
      </w:r>
      <w:r>
        <w:rPr>
          <w:rFonts w:hint="eastAsia" w:eastAsia="仿宋_GB2312" w:cs="仿宋_GB2312"/>
          <w:kern w:val="0"/>
          <w:sz w:val="32"/>
          <w:szCs w:val="32"/>
          <w:lang w:val="zh-CN"/>
        </w:rPr>
        <w:t>并评分</w:t>
      </w:r>
      <w:r>
        <w:rPr>
          <w:rFonts w:hint="eastAsia" w:eastAsia="仿宋_GB2312" w:cs="仿宋_GB2312"/>
          <w:kern w:val="0"/>
          <w:sz w:val="32"/>
          <w:szCs w:val="32"/>
        </w:rPr>
        <w:t>。</w:t>
      </w:r>
    </w:p>
    <w:p>
      <w:pPr>
        <w:spacing w:line="578" w:lineRule="exact"/>
        <w:ind w:firstLine="640"/>
        <w:rPr>
          <w:rFonts w:eastAsia="楷体_GB2312"/>
          <w:b/>
          <w:sz w:val="32"/>
          <w:szCs w:val="32"/>
        </w:rPr>
      </w:pPr>
      <w:r>
        <w:rPr>
          <w:rFonts w:hint="eastAsia" w:eastAsia="楷体_GB2312"/>
          <w:b/>
          <w:sz w:val="32"/>
          <w:szCs w:val="32"/>
          <w:lang w:val="zh-CN"/>
        </w:rPr>
        <w:t>（一）</w:t>
      </w:r>
      <w:r>
        <w:rPr>
          <w:rFonts w:hint="eastAsia" w:eastAsia="楷体_GB2312"/>
          <w:b/>
          <w:sz w:val="32"/>
          <w:szCs w:val="32"/>
        </w:rPr>
        <w:t>通用指标</w:t>
      </w:r>
      <w:r>
        <w:rPr>
          <w:rFonts w:eastAsia="楷体_GB2312"/>
          <w:b/>
          <w:bCs/>
          <w:color w:val="000000"/>
          <w:kern w:val="0"/>
          <w:sz w:val="32"/>
          <w:szCs w:val="32"/>
          <w:shd w:val="clear" w:color="auto" w:fill="FFFFFF"/>
          <w:lang w:val="zh-CN"/>
        </w:rPr>
        <w:t>绩效分析。</w:t>
      </w:r>
    </w:p>
    <w:p>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1.</w:t>
      </w:r>
      <w:r>
        <w:rPr>
          <w:rFonts w:hint="eastAsia" w:eastAsia="仿宋_GB2312" w:cs="仿宋_GB2312"/>
          <w:kern w:val="0"/>
          <w:sz w:val="32"/>
          <w:szCs w:val="32"/>
          <w:lang w:val="zh-CN"/>
        </w:rPr>
        <w:t>项目决策。围绕决策程序、规划论证、资金投向进行绩效分析。</w:t>
      </w:r>
    </w:p>
    <w:p>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2.</w:t>
      </w:r>
      <w:r>
        <w:rPr>
          <w:rFonts w:hint="eastAsia" w:eastAsia="仿宋_GB2312" w:cs="仿宋_GB2312"/>
          <w:kern w:val="0"/>
          <w:sz w:val="32"/>
          <w:szCs w:val="32"/>
          <w:lang w:val="zh-CN"/>
        </w:rPr>
        <w:t>项目管理。围绕制度办法、分配管理、绩效监管进行绩效分析。</w:t>
      </w:r>
    </w:p>
    <w:p>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3.项目实施。</w:t>
      </w:r>
      <w:r>
        <w:rPr>
          <w:rFonts w:hint="eastAsia" w:eastAsia="仿宋_GB2312" w:cs="仿宋_GB2312"/>
          <w:kern w:val="0"/>
          <w:sz w:val="32"/>
          <w:szCs w:val="32"/>
          <w:lang w:val="zh-CN"/>
        </w:rPr>
        <w:t>围绕预算执行、资金使用进行绩效分析。</w:t>
      </w:r>
    </w:p>
    <w:p>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4.项目结果。围绕</w:t>
      </w:r>
      <w:r>
        <w:rPr>
          <w:rFonts w:hint="eastAsia" w:eastAsia="仿宋_GB2312" w:cs="仿宋_GB2312"/>
          <w:kern w:val="0"/>
          <w:sz w:val="32"/>
          <w:szCs w:val="32"/>
          <w:lang w:val="zh-CN"/>
        </w:rPr>
        <w:t>目标完成、完成时效进行绩效分析。</w:t>
      </w:r>
    </w:p>
    <w:p>
      <w:pPr>
        <w:spacing w:line="578" w:lineRule="exact"/>
        <w:ind w:firstLine="640"/>
        <w:rPr>
          <w:rFonts w:eastAsia="仿宋_GB2312" w:cs="仿宋_GB2312"/>
          <w:kern w:val="0"/>
          <w:sz w:val="32"/>
          <w:szCs w:val="32"/>
          <w:lang w:val="zh-CN"/>
        </w:rPr>
      </w:pPr>
      <w:r>
        <w:rPr>
          <w:rFonts w:hint="eastAsia" w:eastAsia="楷体_GB2312"/>
          <w:b/>
          <w:sz w:val="32"/>
          <w:szCs w:val="32"/>
          <w:lang w:val="zh-CN"/>
        </w:rPr>
        <w:t>（二）</w:t>
      </w:r>
      <w:r>
        <w:rPr>
          <w:rFonts w:hint="eastAsia" w:eastAsia="楷体_GB2312"/>
          <w:b/>
          <w:sz w:val="32"/>
          <w:szCs w:val="32"/>
        </w:rPr>
        <w:t>专用指标</w:t>
      </w:r>
      <w:r>
        <w:rPr>
          <w:rFonts w:eastAsia="楷体_GB2312"/>
          <w:b/>
          <w:bCs/>
          <w:color w:val="000000"/>
          <w:kern w:val="0"/>
          <w:sz w:val="32"/>
          <w:szCs w:val="32"/>
          <w:shd w:val="clear" w:color="auto" w:fill="FFFFFF"/>
          <w:lang w:val="zh-CN"/>
        </w:rPr>
        <w:t>绩效分析。</w:t>
      </w:r>
      <w:r>
        <w:rPr>
          <w:rFonts w:hint="eastAsia" w:eastAsia="仿宋_GB2312" w:cs="仿宋_GB2312"/>
          <w:kern w:val="0"/>
          <w:sz w:val="32"/>
          <w:szCs w:val="32"/>
          <w:lang w:val="zh-CN"/>
        </w:rPr>
        <w:t>根据</w:t>
      </w:r>
      <w:r>
        <w:rPr>
          <w:rFonts w:hint="eastAsia" w:eastAsia="仿宋_GB2312" w:cs="仿宋_GB2312"/>
          <w:kern w:val="0"/>
          <w:sz w:val="32"/>
          <w:szCs w:val="32"/>
        </w:rPr>
        <w:t>专项预算项目资金支持对象选择所属指标进行绩效分析。支持对象</w:t>
      </w:r>
      <w:r>
        <w:rPr>
          <w:rFonts w:hint="eastAsia" w:eastAsia="仿宋_GB2312" w:cs="仿宋_GB2312"/>
          <w:kern w:val="0"/>
          <w:sz w:val="32"/>
          <w:szCs w:val="32"/>
          <w:lang w:val="zh-CN"/>
        </w:rPr>
        <w:t>包括产业发展、民生保障、基础设施、行政运转等方面。</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1.产业发展。围绕符合性、成长性、经济性进行绩效分析。</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2.</w:t>
      </w:r>
      <w:r>
        <w:rPr>
          <w:rFonts w:hint="eastAsia" w:eastAsia="仿宋_GB2312" w:cs="仿宋_GB2312"/>
          <w:kern w:val="0"/>
          <w:sz w:val="32"/>
          <w:szCs w:val="32"/>
          <w:lang w:val="zh-CN"/>
        </w:rPr>
        <w:t>民生保障。</w:t>
      </w:r>
      <w:r>
        <w:rPr>
          <w:rFonts w:hint="eastAsia" w:eastAsia="仿宋_GB2312" w:cs="仿宋_GB2312"/>
          <w:kern w:val="0"/>
          <w:sz w:val="32"/>
          <w:szCs w:val="32"/>
        </w:rPr>
        <w:t>围绕区域均衡性、对象精准性、标准合理性、群众满意度进行绩效分析。</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3.基础设施。在建项目围绕工程进度和资金拨付进行绩效分析；建成项目围绕项目验收、功能实现、后续管护进行</w:t>
      </w:r>
      <w:r>
        <w:rPr>
          <w:rFonts w:hint="eastAsia" w:eastAsia="仿宋_GB2312" w:cs="仿宋_GB2312"/>
          <w:kern w:val="0"/>
          <w:sz w:val="32"/>
          <w:szCs w:val="32"/>
          <w:lang w:val="zh-CN"/>
        </w:rPr>
        <w:t>绩效分析。</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4.</w:t>
      </w:r>
      <w:r>
        <w:rPr>
          <w:rFonts w:hint="eastAsia" w:eastAsia="仿宋_GB2312" w:cs="仿宋_GB2312"/>
          <w:kern w:val="0"/>
          <w:sz w:val="32"/>
          <w:szCs w:val="32"/>
          <w:lang w:val="zh-CN"/>
        </w:rPr>
        <w:t>行政运转。围绕用途合规性、程序合规性、标准合规性进行绩效分析。</w:t>
      </w:r>
    </w:p>
    <w:p>
      <w:pPr>
        <w:spacing w:line="578" w:lineRule="exact"/>
        <w:ind w:firstLine="640"/>
        <w:rPr>
          <w:rFonts w:eastAsia="仿宋_GB2312" w:cs="仿宋_GB2312"/>
          <w:kern w:val="0"/>
          <w:sz w:val="32"/>
          <w:szCs w:val="32"/>
        </w:rPr>
      </w:pPr>
      <w:r>
        <w:rPr>
          <w:rFonts w:hint="eastAsia" w:eastAsia="楷体_GB2312"/>
          <w:b/>
          <w:sz w:val="32"/>
          <w:szCs w:val="32"/>
          <w:lang w:val="zh-CN"/>
        </w:rPr>
        <w:t>（三）</w:t>
      </w:r>
      <w:r>
        <w:rPr>
          <w:rFonts w:hint="eastAsia" w:eastAsia="楷体_GB2312"/>
          <w:b/>
          <w:sz w:val="32"/>
          <w:szCs w:val="32"/>
        </w:rPr>
        <w:t>个性指标</w:t>
      </w:r>
      <w:r>
        <w:rPr>
          <w:rFonts w:eastAsia="楷体_GB2312"/>
          <w:b/>
          <w:bCs/>
          <w:color w:val="000000"/>
          <w:kern w:val="0"/>
          <w:sz w:val="32"/>
          <w:szCs w:val="32"/>
          <w:shd w:val="clear" w:color="auto" w:fill="FFFFFF"/>
          <w:lang w:val="zh-CN"/>
        </w:rPr>
        <w:t>绩效分析。</w:t>
      </w:r>
      <w:r>
        <w:rPr>
          <w:rFonts w:hint="eastAsia" w:eastAsia="仿宋_GB2312" w:cs="仿宋_GB2312"/>
          <w:kern w:val="0"/>
          <w:sz w:val="32"/>
          <w:szCs w:val="32"/>
          <w:lang w:val="zh-CN"/>
        </w:rPr>
        <w:t>根据项目个性自行设定部分指标，反映该项指标执行完成情况。</w:t>
      </w:r>
    </w:p>
    <w:p>
      <w:pPr>
        <w:spacing w:line="578" w:lineRule="exact"/>
        <w:ind w:firstLine="640"/>
        <w:rPr>
          <w:rFonts w:ascii="黑体" w:hAnsi="黑体" w:eastAsia="黑体" w:cs="黑体"/>
          <w:kern w:val="0"/>
          <w:sz w:val="32"/>
          <w:szCs w:val="32"/>
        </w:rPr>
      </w:pPr>
      <w:r>
        <w:rPr>
          <w:rFonts w:hint="eastAsia" w:ascii="黑体" w:hAnsi="黑体" w:eastAsia="黑体" w:cs="黑体"/>
          <w:kern w:val="0"/>
          <w:sz w:val="32"/>
          <w:szCs w:val="32"/>
        </w:rPr>
        <w:t>四、评价结论</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简要阐述专项预算项目绩效自评总体结论，包含评价总分、</w:t>
      </w:r>
      <w:r>
        <w:rPr>
          <w:rFonts w:hint="eastAsia" w:eastAsia="仿宋_GB2312" w:cs="仿宋_GB2312"/>
          <w:kern w:val="0"/>
          <w:sz w:val="32"/>
          <w:szCs w:val="32"/>
          <w:lang w:val="zh-CN"/>
        </w:rPr>
        <w:t>项目实施情况。</w:t>
      </w:r>
    </w:p>
    <w:p>
      <w:pPr>
        <w:spacing w:line="578" w:lineRule="exact"/>
        <w:ind w:firstLine="640"/>
        <w:rPr>
          <w:rFonts w:ascii="黑体" w:hAnsi="黑体" w:eastAsia="黑体" w:cs="黑体"/>
          <w:kern w:val="0"/>
          <w:sz w:val="32"/>
          <w:szCs w:val="32"/>
        </w:rPr>
      </w:pPr>
      <w:r>
        <w:rPr>
          <w:rFonts w:hint="eastAsia" w:ascii="黑体" w:hAnsi="黑体" w:eastAsia="黑体" w:cs="黑体"/>
          <w:kern w:val="0"/>
          <w:sz w:val="32"/>
          <w:szCs w:val="32"/>
        </w:rPr>
        <w:t>五、存在主要问题</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简要阐述专项预算项目绩效自评发现的主要问题。</w:t>
      </w:r>
    </w:p>
    <w:p>
      <w:pPr>
        <w:spacing w:line="578" w:lineRule="exact"/>
        <w:ind w:firstLine="640"/>
        <w:rPr>
          <w:rFonts w:ascii="黑体" w:hAnsi="黑体" w:eastAsia="黑体" w:cs="黑体"/>
          <w:kern w:val="0"/>
          <w:sz w:val="32"/>
          <w:szCs w:val="32"/>
          <w:lang w:val="zh-CN"/>
        </w:rPr>
      </w:pPr>
      <w:r>
        <w:rPr>
          <w:rFonts w:hint="eastAsia" w:ascii="黑体" w:hAnsi="黑体" w:eastAsia="黑体" w:cs="黑体"/>
          <w:kern w:val="0"/>
          <w:sz w:val="32"/>
          <w:szCs w:val="32"/>
          <w:lang w:val="zh-CN"/>
        </w:rPr>
        <w:t>六、改进建议</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简要阐述专项预算项目在</w:t>
      </w:r>
      <w:r>
        <w:rPr>
          <w:rFonts w:hint="eastAsia" w:eastAsia="仿宋_GB2312" w:cs="仿宋_GB2312"/>
          <w:kern w:val="0"/>
          <w:sz w:val="32"/>
          <w:szCs w:val="32"/>
          <w:lang w:val="en"/>
        </w:rPr>
        <w:t>预算安排、完善政策、改进管理等方面的</w:t>
      </w:r>
      <w:r>
        <w:rPr>
          <w:rFonts w:hint="eastAsia" w:eastAsia="仿宋_GB2312" w:cs="仿宋_GB2312"/>
          <w:kern w:val="0"/>
          <w:sz w:val="32"/>
          <w:szCs w:val="32"/>
        </w:rPr>
        <w:t>措施</w:t>
      </w:r>
      <w:r>
        <w:rPr>
          <w:rFonts w:hint="eastAsia" w:eastAsia="仿宋_GB2312" w:cs="仿宋_GB2312"/>
          <w:kern w:val="0"/>
          <w:sz w:val="32"/>
          <w:szCs w:val="32"/>
          <w:lang w:val="en"/>
        </w:rPr>
        <w:t>建议，其中</w:t>
      </w:r>
      <w:r>
        <w:rPr>
          <w:rFonts w:hint="eastAsia" w:eastAsia="仿宋_GB2312" w:cs="仿宋_GB2312"/>
          <w:kern w:val="0"/>
          <w:sz w:val="32"/>
          <w:szCs w:val="32"/>
        </w:rPr>
        <w:t>必须对应评价发现的主要问题一一提出措施建议。</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（注：以上绩效自评报告，除涉密敏感内容外，原则上都应予以公开）</w:t>
      </w: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5271135" cy="8065770"/>
            <wp:effectExtent l="0" t="0" r="5715" b="11430"/>
            <wp:docPr id="5" name="图片 5" descr="微信截图_20250910154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截图_20250910154404"/>
                    <pic:cNvPicPr>
                      <a:picLocks noChangeAspect="1"/>
                    </pic:cNvPicPr>
                  </pic:nvPicPr>
                  <pic:blipFill>
                    <a:blip r:embed="rId19"/>
                    <a:stretch>
                      <a:fillRect/>
                    </a:stretch>
                  </pic:blipFill>
                  <pic:spPr>
                    <a:xfrm>
                      <a:off x="0" y="0"/>
                      <a:ext cx="5271135" cy="8065770"/>
                    </a:xfrm>
                    <a:prstGeom prst="rect">
                      <a:avLst/>
                    </a:prstGeom>
                  </pic:spPr>
                </pic:pic>
              </a:graphicData>
            </a:graphic>
          </wp:inline>
        </w:drawing>
      </w:r>
    </w:p>
    <w:p>
      <w:pPr>
        <w:pStyle w:val="7"/>
        <w:spacing w:line="246" w:lineRule="auto"/>
      </w:pP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5835015" cy="8517255"/>
            <wp:effectExtent l="0" t="0" r="13335" b="17145"/>
            <wp:docPr id="7" name="图片 7" descr="微信截图_20250910154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截图_20250910154414"/>
                    <pic:cNvPicPr>
                      <a:picLocks noChangeAspect="1"/>
                    </pic:cNvPicPr>
                  </pic:nvPicPr>
                  <pic:blipFill>
                    <a:blip r:embed="rId20"/>
                    <a:stretch>
                      <a:fillRect/>
                    </a:stretch>
                  </pic:blipFill>
                  <pic:spPr>
                    <a:xfrm>
                      <a:off x="0" y="0"/>
                      <a:ext cx="5835015" cy="8517255"/>
                    </a:xfrm>
                    <a:prstGeom prst="rect">
                      <a:avLst/>
                    </a:prstGeom>
                  </pic:spPr>
                </pic:pic>
              </a:graphicData>
            </a:graphic>
          </wp:inline>
        </w:drawing>
      </w:r>
    </w:p>
    <w:p>
      <w:pPr>
        <w:pStyle w:val="7"/>
        <w:spacing w:line="246" w:lineRule="auto"/>
      </w:pPr>
    </w:p>
    <w:p>
      <w:pPr>
        <w:pStyle w:val="7"/>
        <w:spacing w:line="246" w:lineRule="auto"/>
      </w:pP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5986145" cy="7595870"/>
            <wp:effectExtent l="0" t="0" r="14605" b="5080"/>
            <wp:docPr id="9" name="图片 9" descr="微信截图_2025091015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截图_20250910154421"/>
                    <pic:cNvPicPr>
                      <a:picLocks noChangeAspect="1"/>
                    </pic:cNvPicPr>
                  </pic:nvPicPr>
                  <pic:blipFill>
                    <a:blip r:embed="rId21"/>
                    <a:stretch>
                      <a:fillRect/>
                    </a:stretch>
                  </pic:blipFill>
                  <pic:spPr>
                    <a:xfrm>
                      <a:off x="0" y="0"/>
                      <a:ext cx="5986145" cy="7595870"/>
                    </a:xfrm>
                    <a:prstGeom prst="rect">
                      <a:avLst/>
                    </a:prstGeom>
                  </pic:spPr>
                </pic:pic>
              </a:graphicData>
            </a:graphic>
          </wp:inline>
        </w:drawing>
      </w:r>
    </w:p>
    <w:p>
      <w:pPr>
        <w:pStyle w:val="7"/>
        <w:spacing w:line="246" w:lineRule="auto"/>
      </w:pPr>
    </w:p>
    <w:p>
      <w:pPr>
        <w:pStyle w:val="7"/>
        <w:spacing w:line="246" w:lineRule="auto"/>
      </w:pP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5539105" cy="7809865"/>
            <wp:effectExtent l="0" t="0" r="4445" b="635"/>
            <wp:docPr id="10" name="图片 10" descr="微信截图_20250910154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截图_20250910154437"/>
                    <pic:cNvPicPr>
                      <a:picLocks noChangeAspect="1"/>
                    </pic:cNvPicPr>
                  </pic:nvPicPr>
                  <pic:blipFill>
                    <a:blip r:embed="rId22"/>
                    <a:stretch>
                      <a:fillRect/>
                    </a:stretch>
                  </pic:blipFill>
                  <pic:spPr>
                    <a:xfrm>
                      <a:off x="0" y="0"/>
                      <a:ext cx="5539105" cy="7809865"/>
                    </a:xfrm>
                    <a:prstGeom prst="rect">
                      <a:avLst/>
                    </a:prstGeom>
                  </pic:spPr>
                </pic:pic>
              </a:graphicData>
            </a:graphic>
          </wp:inline>
        </w:drawing>
      </w: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5507355" cy="8368030"/>
            <wp:effectExtent l="0" t="0" r="17145" b="13970"/>
            <wp:docPr id="11" name="图片 11" descr="微信截图_2025091015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截图_20250910154446"/>
                    <pic:cNvPicPr>
                      <a:picLocks noChangeAspect="1"/>
                    </pic:cNvPicPr>
                  </pic:nvPicPr>
                  <pic:blipFill>
                    <a:blip r:embed="rId23"/>
                    <a:stretch>
                      <a:fillRect/>
                    </a:stretch>
                  </pic:blipFill>
                  <pic:spPr>
                    <a:xfrm>
                      <a:off x="0" y="0"/>
                      <a:ext cx="5507355" cy="8368030"/>
                    </a:xfrm>
                    <a:prstGeom prst="rect">
                      <a:avLst/>
                    </a:prstGeom>
                  </pic:spPr>
                </pic:pic>
              </a:graphicData>
            </a:graphic>
          </wp:inline>
        </w:drawing>
      </w:r>
    </w:p>
    <w:p>
      <w:pPr>
        <w:spacing w:before="17" w:line="223" w:lineRule="auto"/>
        <w:ind w:left="1095" w:right="303" w:hanging="863"/>
        <w:outlineLvl w:val="0"/>
        <w:rPr>
          <w:rFonts w:ascii="方正小标宋简体" w:hAnsi="方正小标宋简体" w:eastAsia="方正小标宋简体" w:cs="方正小标宋简体"/>
          <w:spacing w:val="9"/>
          <w:sz w:val="43"/>
          <w:szCs w:val="43"/>
        </w:rPr>
      </w:pPr>
    </w:p>
    <w:p>
      <w:pPr>
        <w:spacing w:line="345" w:lineRule="auto"/>
        <w:rPr>
          <w:rFonts w:hint="eastAsia" w:ascii="仿宋" w:hAnsi="仿宋" w:eastAsia="仿宋" w:cs="仿宋"/>
          <w:sz w:val="31"/>
          <w:szCs w:val="31"/>
          <w:lang w:eastAsia="zh-CN"/>
        </w:rPr>
        <w:sectPr>
          <w:footerReference r:id="rId9" w:type="default"/>
          <w:pgSz w:w="11907" w:h="16840"/>
          <w:pgMar w:top="1431" w:right="1786" w:bottom="1158" w:left="1786" w:header="0" w:footer="794" w:gutter="0"/>
          <w:cols w:space="720" w:num="1"/>
        </w:sectPr>
      </w:pPr>
      <w:r>
        <w:rPr>
          <w:rFonts w:hint="eastAsia" w:ascii="仿宋" w:hAnsi="仿宋" w:eastAsia="仿宋" w:cs="仿宋"/>
          <w:sz w:val="31"/>
          <w:szCs w:val="31"/>
          <w:lang w:eastAsia="zh-CN"/>
        </w:rPr>
        <w:drawing>
          <wp:inline distT="0" distB="0" distL="114300" distR="114300">
            <wp:extent cx="5291455" cy="8787765"/>
            <wp:effectExtent l="0" t="0" r="4445" b="13335"/>
            <wp:docPr id="12" name="图片 12" descr="微信截图_20250910165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截图_20250910165501"/>
                    <pic:cNvPicPr>
                      <a:picLocks noChangeAspect="1"/>
                    </pic:cNvPicPr>
                  </pic:nvPicPr>
                  <pic:blipFill>
                    <a:blip r:embed="rId24"/>
                    <a:stretch>
                      <a:fillRect/>
                    </a:stretch>
                  </pic:blipFill>
                  <pic:spPr>
                    <a:xfrm>
                      <a:off x="0" y="0"/>
                      <a:ext cx="5291455" cy="8787765"/>
                    </a:xfrm>
                    <a:prstGeom prst="rect">
                      <a:avLst/>
                    </a:prstGeom>
                  </pic:spPr>
                </pic:pic>
              </a:graphicData>
            </a:graphic>
          </wp:inline>
        </w:drawing>
      </w:r>
      <w:r>
        <w:rPr>
          <w:rFonts w:hint="eastAsia" w:ascii="仿宋" w:hAnsi="仿宋" w:eastAsia="仿宋" w:cs="仿宋"/>
          <w:sz w:val="31"/>
          <w:szCs w:val="31"/>
          <w:lang w:eastAsia="zh-CN"/>
        </w:rPr>
        <w:drawing>
          <wp:inline distT="0" distB="0" distL="114300" distR="114300">
            <wp:extent cx="4962525" cy="8600440"/>
            <wp:effectExtent l="0" t="0" r="9525" b="10160"/>
            <wp:docPr id="36" name="图片 36" descr="微信截图_2025091016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微信截图_20250910165537"/>
                    <pic:cNvPicPr>
                      <a:picLocks noChangeAspect="1"/>
                    </pic:cNvPicPr>
                  </pic:nvPicPr>
                  <pic:blipFill>
                    <a:blip r:embed="rId25"/>
                    <a:stretch>
                      <a:fillRect/>
                    </a:stretch>
                  </pic:blipFill>
                  <pic:spPr>
                    <a:xfrm>
                      <a:off x="0" y="0"/>
                      <a:ext cx="4962525" cy="8600440"/>
                    </a:xfrm>
                    <a:prstGeom prst="rect">
                      <a:avLst/>
                    </a:prstGeom>
                  </pic:spPr>
                </pic:pic>
              </a:graphicData>
            </a:graphic>
          </wp:inline>
        </w:drawing>
      </w:r>
      <w:r>
        <w:rPr>
          <w:rFonts w:hint="eastAsia" w:ascii="仿宋" w:hAnsi="仿宋" w:eastAsia="仿宋" w:cs="仿宋"/>
          <w:sz w:val="31"/>
          <w:szCs w:val="31"/>
          <w:lang w:eastAsia="zh-CN"/>
        </w:rPr>
        <w:drawing>
          <wp:inline distT="0" distB="0" distL="114300" distR="114300">
            <wp:extent cx="5290185" cy="8992870"/>
            <wp:effectExtent l="0" t="0" r="5715" b="17780"/>
            <wp:docPr id="37" name="图片 37" descr="微信截图_2025091016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微信截图_20250910165546"/>
                    <pic:cNvPicPr>
                      <a:picLocks noChangeAspect="1"/>
                    </pic:cNvPicPr>
                  </pic:nvPicPr>
                  <pic:blipFill>
                    <a:blip r:embed="rId26"/>
                    <a:stretch>
                      <a:fillRect/>
                    </a:stretch>
                  </pic:blipFill>
                  <pic:spPr>
                    <a:xfrm>
                      <a:off x="0" y="0"/>
                      <a:ext cx="5290185" cy="8992870"/>
                    </a:xfrm>
                    <a:prstGeom prst="rect">
                      <a:avLst/>
                    </a:prstGeom>
                  </pic:spPr>
                </pic:pic>
              </a:graphicData>
            </a:graphic>
          </wp:inline>
        </w:drawing>
      </w:r>
      <w:bookmarkStart w:id="78" w:name="_GoBack"/>
      <w:r>
        <w:rPr>
          <w:rFonts w:hint="eastAsia" w:ascii="仿宋" w:hAnsi="仿宋" w:eastAsia="仿宋" w:cs="仿宋"/>
          <w:sz w:val="31"/>
          <w:szCs w:val="31"/>
          <w:lang w:eastAsia="zh-CN"/>
        </w:rPr>
        <w:drawing>
          <wp:inline distT="0" distB="0" distL="114300" distR="114300">
            <wp:extent cx="5210175" cy="9182100"/>
            <wp:effectExtent l="0" t="0" r="9525" b="0"/>
            <wp:docPr id="38" name="图片 38" descr="微信截图_2025091016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微信截图_20250910165600"/>
                    <pic:cNvPicPr>
                      <a:picLocks noChangeAspect="1"/>
                    </pic:cNvPicPr>
                  </pic:nvPicPr>
                  <pic:blipFill>
                    <a:blip r:embed="rId27"/>
                    <a:stretch>
                      <a:fillRect/>
                    </a:stretch>
                  </pic:blipFill>
                  <pic:spPr>
                    <a:xfrm>
                      <a:off x="0" y="0"/>
                      <a:ext cx="5210175" cy="9182100"/>
                    </a:xfrm>
                    <a:prstGeom prst="rect">
                      <a:avLst/>
                    </a:prstGeom>
                  </pic:spPr>
                </pic:pic>
              </a:graphicData>
            </a:graphic>
          </wp:inline>
        </w:drawing>
      </w:r>
      <w:bookmarkEnd w:id="78"/>
      <w:r>
        <w:rPr>
          <w:rFonts w:hint="eastAsia" w:ascii="仿宋" w:hAnsi="仿宋" w:eastAsia="仿宋" w:cs="仿宋"/>
          <w:sz w:val="31"/>
          <w:szCs w:val="31"/>
          <w:lang w:eastAsia="zh-CN"/>
        </w:rPr>
        <w:drawing>
          <wp:inline distT="0" distB="0" distL="114300" distR="114300">
            <wp:extent cx="5286375" cy="8056880"/>
            <wp:effectExtent l="0" t="0" r="9525" b="1270"/>
            <wp:docPr id="13" name="图片 13" descr="微信截图_20250910154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截图_20250910154819"/>
                    <pic:cNvPicPr>
                      <a:picLocks noChangeAspect="1"/>
                    </pic:cNvPicPr>
                  </pic:nvPicPr>
                  <pic:blipFill>
                    <a:blip r:embed="rId28"/>
                    <a:stretch>
                      <a:fillRect/>
                    </a:stretch>
                  </pic:blipFill>
                  <pic:spPr>
                    <a:xfrm>
                      <a:off x="0" y="0"/>
                      <a:ext cx="5286375" cy="8056880"/>
                    </a:xfrm>
                    <a:prstGeom prst="rect">
                      <a:avLst/>
                    </a:prstGeom>
                  </pic:spPr>
                </pic:pic>
              </a:graphicData>
            </a:graphic>
          </wp:inline>
        </w:drawing>
      </w:r>
    </w:p>
    <w:p>
      <w:pPr>
        <w:spacing w:line="345" w:lineRule="auto"/>
        <w:rPr>
          <w:rFonts w:hint="eastAsia" w:ascii="仿宋" w:hAnsi="仿宋" w:eastAsia="仿宋" w:cs="仿宋"/>
          <w:sz w:val="31"/>
          <w:szCs w:val="31"/>
          <w:lang w:eastAsia="zh-CN"/>
        </w:rPr>
        <w:sectPr>
          <w:footerReference r:id="rId10" w:type="default"/>
          <w:pgSz w:w="11907" w:h="16840"/>
          <w:pgMar w:top="1431" w:right="1481" w:bottom="1158" w:left="1786" w:header="0" w:footer="792" w:gutter="0"/>
          <w:cols w:space="720" w:num="1"/>
        </w:sectPr>
      </w:pPr>
      <w:r>
        <w:rPr>
          <w:rFonts w:hint="eastAsia" w:ascii="仿宋" w:hAnsi="仿宋" w:eastAsia="仿宋" w:cs="仿宋"/>
          <w:sz w:val="31"/>
          <w:szCs w:val="31"/>
          <w:lang w:eastAsia="zh-CN"/>
        </w:rPr>
        <w:drawing>
          <wp:inline distT="0" distB="0" distL="114300" distR="114300">
            <wp:extent cx="5483225" cy="8477885"/>
            <wp:effectExtent l="0" t="0" r="3175" b="18415"/>
            <wp:docPr id="14" name="图片 14" descr="微信截图_20250910154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截图_20250910154829"/>
                    <pic:cNvPicPr>
                      <a:picLocks noChangeAspect="1"/>
                    </pic:cNvPicPr>
                  </pic:nvPicPr>
                  <pic:blipFill>
                    <a:blip r:embed="rId29"/>
                    <a:stretch>
                      <a:fillRect/>
                    </a:stretch>
                  </pic:blipFill>
                  <pic:spPr>
                    <a:xfrm>
                      <a:off x="0" y="0"/>
                      <a:ext cx="5483225" cy="8477885"/>
                    </a:xfrm>
                    <a:prstGeom prst="rect">
                      <a:avLst/>
                    </a:prstGeom>
                  </pic:spPr>
                </pic:pic>
              </a:graphicData>
            </a:graphic>
          </wp:inline>
        </w:drawing>
      </w: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5624195" cy="8582025"/>
            <wp:effectExtent l="0" t="0" r="14605" b="9525"/>
            <wp:docPr id="15" name="图片 15" descr="微信截图_2025091015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截图_20250910154839"/>
                    <pic:cNvPicPr>
                      <a:picLocks noChangeAspect="1"/>
                    </pic:cNvPicPr>
                  </pic:nvPicPr>
                  <pic:blipFill>
                    <a:blip r:embed="rId30"/>
                    <a:stretch>
                      <a:fillRect/>
                    </a:stretch>
                  </pic:blipFill>
                  <pic:spPr>
                    <a:xfrm>
                      <a:off x="0" y="0"/>
                      <a:ext cx="5624195" cy="8582025"/>
                    </a:xfrm>
                    <a:prstGeom prst="rect">
                      <a:avLst/>
                    </a:prstGeom>
                  </pic:spPr>
                </pic:pic>
              </a:graphicData>
            </a:graphic>
          </wp:inline>
        </w:drawing>
      </w: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6073775" cy="8541385"/>
            <wp:effectExtent l="0" t="0" r="3175" b="12065"/>
            <wp:docPr id="16" name="图片 16" descr="微信截图_2025091015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截图_20250910155001"/>
                    <pic:cNvPicPr>
                      <a:picLocks noChangeAspect="1"/>
                    </pic:cNvPicPr>
                  </pic:nvPicPr>
                  <pic:blipFill>
                    <a:blip r:embed="rId31"/>
                    <a:stretch>
                      <a:fillRect/>
                    </a:stretch>
                  </pic:blipFill>
                  <pic:spPr>
                    <a:xfrm>
                      <a:off x="0" y="0"/>
                      <a:ext cx="6073775" cy="8541385"/>
                    </a:xfrm>
                    <a:prstGeom prst="rect">
                      <a:avLst/>
                    </a:prstGeom>
                  </pic:spPr>
                </pic:pic>
              </a:graphicData>
            </a:graphic>
          </wp:inline>
        </w:drawing>
      </w:r>
    </w:p>
    <w:p>
      <w:pPr>
        <w:pStyle w:val="7"/>
        <w:spacing w:line="246" w:lineRule="auto"/>
      </w:pP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5768340" cy="7205980"/>
            <wp:effectExtent l="0" t="0" r="3810" b="13970"/>
            <wp:docPr id="17" name="图片 17" descr="微信截图_2025091015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截图_20250910155017"/>
                    <pic:cNvPicPr>
                      <a:picLocks noChangeAspect="1"/>
                    </pic:cNvPicPr>
                  </pic:nvPicPr>
                  <pic:blipFill>
                    <a:blip r:embed="rId32"/>
                    <a:stretch>
                      <a:fillRect/>
                    </a:stretch>
                  </pic:blipFill>
                  <pic:spPr>
                    <a:xfrm>
                      <a:off x="0" y="0"/>
                      <a:ext cx="5768340" cy="7205980"/>
                    </a:xfrm>
                    <a:prstGeom prst="rect">
                      <a:avLst/>
                    </a:prstGeom>
                  </pic:spPr>
                </pic:pic>
              </a:graphicData>
            </a:graphic>
          </wp:inline>
        </w:drawing>
      </w: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5661025" cy="7470140"/>
            <wp:effectExtent l="0" t="0" r="15875" b="16510"/>
            <wp:docPr id="18" name="图片 18" descr="微信截图_2025091015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微信截图_20250910155036"/>
                    <pic:cNvPicPr>
                      <a:picLocks noChangeAspect="1"/>
                    </pic:cNvPicPr>
                  </pic:nvPicPr>
                  <pic:blipFill>
                    <a:blip r:embed="rId33"/>
                    <a:stretch>
                      <a:fillRect/>
                    </a:stretch>
                  </pic:blipFill>
                  <pic:spPr>
                    <a:xfrm>
                      <a:off x="0" y="0"/>
                      <a:ext cx="5661025" cy="7470140"/>
                    </a:xfrm>
                    <a:prstGeom prst="rect">
                      <a:avLst/>
                    </a:prstGeom>
                  </pic:spPr>
                </pic:pic>
              </a:graphicData>
            </a:graphic>
          </wp:inline>
        </w:drawing>
      </w:r>
    </w:p>
    <w:p>
      <w:pPr>
        <w:pStyle w:val="7"/>
        <w:spacing w:line="246" w:lineRule="auto"/>
      </w:pP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6107430" cy="8608060"/>
            <wp:effectExtent l="0" t="0" r="7620" b="2540"/>
            <wp:docPr id="19" name="图片 19" descr="微信截图_20250910155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截图_20250910155047"/>
                    <pic:cNvPicPr>
                      <a:picLocks noChangeAspect="1"/>
                    </pic:cNvPicPr>
                  </pic:nvPicPr>
                  <pic:blipFill>
                    <a:blip r:embed="rId34"/>
                    <a:stretch>
                      <a:fillRect/>
                    </a:stretch>
                  </pic:blipFill>
                  <pic:spPr>
                    <a:xfrm>
                      <a:off x="0" y="0"/>
                      <a:ext cx="6107430" cy="8608060"/>
                    </a:xfrm>
                    <a:prstGeom prst="rect">
                      <a:avLst/>
                    </a:prstGeom>
                  </pic:spPr>
                </pic:pic>
              </a:graphicData>
            </a:graphic>
          </wp:inline>
        </w:drawing>
      </w:r>
    </w:p>
    <w:p>
      <w:pPr>
        <w:pStyle w:val="7"/>
        <w:spacing w:line="246" w:lineRule="auto"/>
        <w:rPr>
          <w:rFonts w:hint="eastAsia" w:eastAsia="仿宋_GB2312"/>
          <w:lang w:eastAsia="zh-CN"/>
        </w:rPr>
      </w:pPr>
    </w:p>
    <w:p>
      <w:pPr>
        <w:pStyle w:val="7"/>
        <w:spacing w:line="246" w:lineRule="auto"/>
      </w:pPr>
      <w:r>
        <w:rPr>
          <w:rFonts w:hint="eastAsia" w:eastAsia="仿宋_GB2312"/>
          <w:lang w:eastAsia="zh-CN"/>
        </w:rPr>
        <w:drawing>
          <wp:inline distT="0" distB="0" distL="114300" distR="114300">
            <wp:extent cx="5268595" cy="1823720"/>
            <wp:effectExtent l="0" t="0" r="8255" b="5080"/>
            <wp:docPr id="20" name="图片 20" descr="微信截图_2025091015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微信截图_20250910155056"/>
                    <pic:cNvPicPr>
                      <a:picLocks noChangeAspect="1"/>
                    </pic:cNvPicPr>
                  </pic:nvPicPr>
                  <pic:blipFill>
                    <a:blip r:embed="rId35"/>
                    <a:stretch>
                      <a:fillRect/>
                    </a:stretch>
                  </pic:blipFill>
                  <pic:spPr>
                    <a:xfrm>
                      <a:off x="0" y="0"/>
                      <a:ext cx="5268595" cy="1823720"/>
                    </a:xfrm>
                    <a:prstGeom prst="rect">
                      <a:avLst/>
                    </a:prstGeom>
                  </pic:spPr>
                </pic:pic>
              </a:graphicData>
            </a:graphic>
          </wp:inline>
        </w:drawing>
      </w: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pP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5708015" cy="8352155"/>
            <wp:effectExtent l="0" t="0" r="6985" b="10795"/>
            <wp:docPr id="21" name="图片 21" descr="微信截图_2025091015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微信截图_20250910155254"/>
                    <pic:cNvPicPr>
                      <a:picLocks noChangeAspect="1"/>
                    </pic:cNvPicPr>
                  </pic:nvPicPr>
                  <pic:blipFill>
                    <a:blip r:embed="rId36"/>
                    <a:stretch>
                      <a:fillRect/>
                    </a:stretch>
                  </pic:blipFill>
                  <pic:spPr>
                    <a:xfrm>
                      <a:off x="0" y="0"/>
                      <a:ext cx="5708015" cy="8352155"/>
                    </a:xfrm>
                    <a:prstGeom prst="rect">
                      <a:avLst/>
                    </a:prstGeom>
                  </pic:spPr>
                </pic:pic>
              </a:graphicData>
            </a:graphic>
          </wp:inline>
        </w:drawing>
      </w:r>
    </w:p>
    <w:p>
      <w:pPr>
        <w:pStyle w:val="7"/>
        <w:spacing w:line="246" w:lineRule="auto"/>
      </w:pP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5274310" cy="2534920"/>
            <wp:effectExtent l="0" t="0" r="2540" b="17780"/>
            <wp:docPr id="22" name="图片 22" descr="微信截图_2025091015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微信截图_20250910155305"/>
                    <pic:cNvPicPr>
                      <a:picLocks noChangeAspect="1"/>
                    </pic:cNvPicPr>
                  </pic:nvPicPr>
                  <pic:blipFill>
                    <a:blip r:embed="rId37"/>
                    <a:stretch>
                      <a:fillRect/>
                    </a:stretch>
                  </pic:blipFill>
                  <pic:spPr>
                    <a:xfrm>
                      <a:off x="0" y="0"/>
                      <a:ext cx="5274310" cy="2534920"/>
                    </a:xfrm>
                    <a:prstGeom prst="rect">
                      <a:avLst/>
                    </a:prstGeom>
                  </pic:spPr>
                </pic:pic>
              </a:graphicData>
            </a:graphic>
          </wp:inline>
        </w:drawing>
      </w:r>
    </w:p>
    <w:p>
      <w:pPr>
        <w:pStyle w:val="7"/>
        <w:spacing w:line="246" w:lineRule="auto"/>
      </w:pP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5269230" cy="6988175"/>
            <wp:effectExtent l="0" t="0" r="7620" b="3175"/>
            <wp:docPr id="23" name="图片 23" descr="微信截图_2025091015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截图_20250910155328"/>
                    <pic:cNvPicPr>
                      <a:picLocks noChangeAspect="1"/>
                    </pic:cNvPicPr>
                  </pic:nvPicPr>
                  <pic:blipFill>
                    <a:blip r:embed="rId38"/>
                    <a:stretch>
                      <a:fillRect/>
                    </a:stretch>
                  </pic:blipFill>
                  <pic:spPr>
                    <a:xfrm>
                      <a:off x="0" y="0"/>
                      <a:ext cx="5269230" cy="6988175"/>
                    </a:xfrm>
                    <a:prstGeom prst="rect">
                      <a:avLst/>
                    </a:prstGeom>
                  </pic:spPr>
                </pic:pic>
              </a:graphicData>
            </a:graphic>
          </wp:inline>
        </w:drawing>
      </w:r>
    </w:p>
    <w:p>
      <w:pPr>
        <w:pStyle w:val="7"/>
        <w:spacing w:line="246" w:lineRule="auto"/>
      </w:pP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5269865" cy="6390005"/>
            <wp:effectExtent l="0" t="0" r="6985" b="10795"/>
            <wp:docPr id="24" name="图片 24" descr="微信截图_2025091015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截图_20250910155336"/>
                    <pic:cNvPicPr>
                      <a:picLocks noChangeAspect="1"/>
                    </pic:cNvPicPr>
                  </pic:nvPicPr>
                  <pic:blipFill>
                    <a:blip r:embed="rId39"/>
                    <a:stretch>
                      <a:fillRect/>
                    </a:stretch>
                  </pic:blipFill>
                  <pic:spPr>
                    <a:xfrm>
                      <a:off x="0" y="0"/>
                      <a:ext cx="5269865" cy="6390005"/>
                    </a:xfrm>
                    <a:prstGeom prst="rect">
                      <a:avLst/>
                    </a:prstGeom>
                  </pic:spPr>
                </pic:pic>
              </a:graphicData>
            </a:graphic>
          </wp:inline>
        </w:drawing>
      </w:r>
    </w:p>
    <w:p>
      <w:pPr>
        <w:pStyle w:val="7"/>
        <w:spacing w:line="246" w:lineRule="auto"/>
      </w:pP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5272405" cy="6728460"/>
            <wp:effectExtent l="0" t="0" r="4445" b="15240"/>
            <wp:docPr id="25" name="图片 25" descr="微信截图_20250910155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微信截图_20250910155345"/>
                    <pic:cNvPicPr>
                      <a:picLocks noChangeAspect="1"/>
                    </pic:cNvPicPr>
                  </pic:nvPicPr>
                  <pic:blipFill>
                    <a:blip r:embed="rId40"/>
                    <a:stretch>
                      <a:fillRect/>
                    </a:stretch>
                  </pic:blipFill>
                  <pic:spPr>
                    <a:xfrm>
                      <a:off x="0" y="0"/>
                      <a:ext cx="5272405" cy="6728460"/>
                    </a:xfrm>
                    <a:prstGeom prst="rect">
                      <a:avLst/>
                    </a:prstGeom>
                  </pic:spPr>
                </pic:pic>
              </a:graphicData>
            </a:graphic>
          </wp:inline>
        </w:drawing>
      </w:r>
    </w:p>
    <w:p>
      <w:pPr>
        <w:pStyle w:val="7"/>
        <w:spacing w:line="246" w:lineRule="auto"/>
      </w:pPr>
    </w:p>
    <w:p>
      <w:pPr>
        <w:pStyle w:val="7"/>
        <w:spacing w:line="246" w:lineRule="auto"/>
        <w:rPr>
          <w:rFonts w:hint="eastAsia" w:eastAsia="仿宋_GB2312"/>
          <w:lang w:eastAsia="zh-CN"/>
        </w:rPr>
      </w:pPr>
      <w:r>
        <w:rPr>
          <w:rFonts w:hint="eastAsia" w:eastAsia="仿宋_GB2312"/>
          <w:lang w:eastAsia="zh-CN"/>
        </w:rPr>
        <w:drawing>
          <wp:inline distT="0" distB="0" distL="114300" distR="114300">
            <wp:extent cx="5272405" cy="6356350"/>
            <wp:effectExtent l="0" t="0" r="4445" b="6350"/>
            <wp:docPr id="26" name="图片 26" descr="微信截图_20250910155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微信截图_20250910155405"/>
                    <pic:cNvPicPr>
                      <a:picLocks noChangeAspect="1"/>
                    </pic:cNvPicPr>
                  </pic:nvPicPr>
                  <pic:blipFill>
                    <a:blip r:embed="rId41"/>
                    <a:stretch>
                      <a:fillRect/>
                    </a:stretch>
                  </pic:blipFill>
                  <pic:spPr>
                    <a:xfrm>
                      <a:off x="0" y="0"/>
                      <a:ext cx="5272405" cy="6356350"/>
                    </a:xfrm>
                    <a:prstGeom prst="rect">
                      <a:avLst/>
                    </a:prstGeom>
                  </pic:spPr>
                </pic:pic>
              </a:graphicData>
            </a:graphic>
          </wp:inline>
        </w:drawing>
      </w:r>
    </w:p>
    <w:p>
      <w:pPr>
        <w:pStyle w:val="7"/>
        <w:spacing w:line="246" w:lineRule="auto"/>
      </w:pPr>
    </w:p>
    <w:p>
      <w:pPr>
        <w:pStyle w:val="7"/>
        <w:spacing w:line="246" w:lineRule="auto"/>
      </w:pPr>
    </w:p>
    <w:p>
      <w:pPr>
        <w:pStyle w:val="7"/>
        <w:spacing w:line="246" w:lineRule="auto"/>
      </w:pPr>
    </w:p>
    <w:p>
      <w:pPr>
        <w:pStyle w:val="7"/>
        <w:spacing w:line="246" w:lineRule="auto"/>
      </w:pPr>
    </w:p>
    <w:p>
      <w:pPr>
        <w:pStyle w:val="19"/>
        <w:bidi w:val="0"/>
      </w:pPr>
    </w:p>
    <w:p>
      <w:pPr>
        <w:pStyle w:val="19"/>
        <w:bidi w:val="0"/>
        <w:rPr>
          <w:rFonts w:hint="eastAsia" w:eastAsia="宋体"/>
          <w:lang w:eastAsia="zh-CN"/>
        </w:rPr>
      </w:pPr>
      <w:r>
        <w:rPr>
          <w:rFonts w:hint="eastAsia" w:eastAsia="宋体"/>
          <w:lang w:eastAsia="zh-CN"/>
        </w:rPr>
        <w:drawing>
          <wp:inline distT="0" distB="0" distL="114300" distR="114300">
            <wp:extent cx="5505450" cy="7343140"/>
            <wp:effectExtent l="0" t="0" r="0" b="10160"/>
            <wp:docPr id="27" name="图片 27" descr="微信截图_2025091015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截图_20250910155732"/>
                    <pic:cNvPicPr>
                      <a:picLocks noChangeAspect="1"/>
                    </pic:cNvPicPr>
                  </pic:nvPicPr>
                  <pic:blipFill>
                    <a:blip r:embed="rId42"/>
                    <a:stretch>
                      <a:fillRect/>
                    </a:stretch>
                  </pic:blipFill>
                  <pic:spPr>
                    <a:xfrm>
                      <a:off x="0" y="0"/>
                      <a:ext cx="5505450" cy="7343140"/>
                    </a:xfrm>
                    <a:prstGeom prst="rect">
                      <a:avLst/>
                    </a:prstGeom>
                  </pic:spPr>
                </pic:pic>
              </a:graphicData>
            </a:graphic>
          </wp:inline>
        </w:drawing>
      </w:r>
    </w:p>
    <w:p>
      <w:pPr>
        <w:widowControl/>
        <w:jc w:val="center"/>
        <w:rPr>
          <w:rFonts w:hint="eastAsia" w:eastAsia="黑体"/>
          <w:sz w:val="44"/>
          <w:szCs w:val="44"/>
          <w:lang w:eastAsia="zh-CN"/>
        </w:rPr>
      </w:pPr>
      <w:r>
        <w:rPr>
          <w:rFonts w:hint="eastAsia" w:eastAsia="黑体"/>
          <w:sz w:val="44"/>
          <w:szCs w:val="44"/>
          <w:lang w:eastAsia="zh-CN"/>
        </w:rPr>
        <w:drawing>
          <wp:inline distT="0" distB="0" distL="114300" distR="114300">
            <wp:extent cx="4800600" cy="3781425"/>
            <wp:effectExtent l="0" t="0" r="0" b="9525"/>
            <wp:docPr id="28" name="图片 28" descr="微信截图_20250910155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微信截图_20250910155739"/>
                    <pic:cNvPicPr>
                      <a:picLocks noChangeAspect="1"/>
                    </pic:cNvPicPr>
                  </pic:nvPicPr>
                  <pic:blipFill>
                    <a:blip r:embed="rId43"/>
                    <a:stretch>
                      <a:fillRect/>
                    </a:stretch>
                  </pic:blipFill>
                  <pic:spPr>
                    <a:xfrm>
                      <a:off x="0" y="0"/>
                      <a:ext cx="4800600" cy="3781425"/>
                    </a:xfrm>
                    <a:prstGeom prst="rect">
                      <a:avLst/>
                    </a:prstGeom>
                  </pic:spPr>
                </pic:pic>
              </a:graphicData>
            </a:graphic>
          </wp:inline>
        </w:drawing>
      </w:r>
    </w:p>
    <w:p>
      <w:pPr>
        <w:widowControl/>
        <w:jc w:val="center"/>
        <w:rPr>
          <w:rFonts w:hint="eastAsia" w:eastAsia="黑体"/>
          <w:sz w:val="44"/>
          <w:szCs w:val="44"/>
          <w:lang w:eastAsia="zh-CN"/>
        </w:rPr>
      </w:pPr>
      <w:r>
        <w:rPr>
          <w:rFonts w:hint="eastAsia" w:eastAsia="黑体"/>
          <w:sz w:val="44"/>
          <w:szCs w:val="44"/>
          <w:lang w:eastAsia="zh-CN"/>
        </w:rPr>
        <w:drawing>
          <wp:inline distT="0" distB="0" distL="114300" distR="114300">
            <wp:extent cx="5271770" cy="8060055"/>
            <wp:effectExtent l="0" t="0" r="5080" b="17145"/>
            <wp:docPr id="29" name="图片 29" descr="微信截图_2025091015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截图_20250910155758"/>
                    <pic:cNvPicPr>
                      <a:picLocks noChangeAspect="1"/>
                    </pic:cNvPicPr>
                  </pic:nvPicPr>
                  <pic:blipFill>
                    <a:blip r:embed="rId44"/>
                    <a:stretch>
                      <a:fillRect/>
                    </a:stretch>
                  </pic:blipFill>
                  <pic:spPr>
                    <a:xfrm>
                      <a:off x="0" y="0"/>
                      <a:ext cx="5271770" cy="8060055"/>
                    </a:xfrm>
                    <a:prstGeom prst="rect">
                      <a:avLst/>
                    </a:prstGeom>
                  </pic:spPr>
                </pic:pic>
              </a:graphicData>
            </a:graphic>
          </wp:inline>
        </w:drawing>
      </w:r>
    </w:p>
    <w:p>
      <w:pPr>
        <w:widowControl/>
        <w:jc w:val="center"/>
        <w:rPr>
          <w:rFonts w:hint="eastAsia" w:eastAsia="黑体"/>
          <w:sz w:val="44"/>
          <w:szCs w:val="44"/>
          <w:lang w:eastAsia="zh-CN"/>
        </w:rPr>
      </w:pPr>
      <w:r>
        <w:rPr>
          <w:rFonts w:hint="eastAsia" w:eastAsia="黑体"/>
          <w:sz w:val="44"/>
          <w:szCs w:val="44"/>
          <w:lang w:eastAsia="zh-CN"/>
        </w:rPr>
        <w:drawing>
          <wp:inline distT="0" distB="0" distL="114300" distR="114300">
            <wp:extent cx="5271770" cy="8587740"/>
            <wp:effectExtent l="0" t="0" r="5080" b="3810"/>
            <wp:docPr id="30" name="图片 30" descr="微信截图_20250910155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微信截图_20250910155806"/>
                    <pic:cNvPicPr>
                      <a:picLocks noChangeAspect="1"/>
                    </pic:cNvPicPr>
                  </pic:nvPicPr>
                  <pic:blipFill>
                    <a:blip r:embed="rId45"/>
                    <a:stretch>
                      <a:fillRect/>
                    </a:stretch>
                  </pic:blipFill>
                  <pic:spPr>
                    <a:xfrm>
                      <a:off x="0" y="0"/>
                      <a:ext cx="5271770" cy="8587740"/>
                    </a:xfrm>
                    <a:prstGeom prst="rect">
                      <a:avLst/>
                    </a:prstGeom>
                  </pic:spPr>
                </pic:pic>
              </a:graphicData>
            </a:graphic>
          </wp:inline>
        </w:drawing>
      </w:r>
    </w:p>
    <w:p>
      <w:pPr>
        <w:widowControl/>
        <w:jc w:val="center"/>
        <w:rPr>
          <w:rFonts w:hint="eastAsia" w:eastAsia="黑体"/>
          <w:sz w:val="44"/>
          <w:szCs w:val="44"/>
          <w:lang w:eastAsia="zh-CN"/>
        </w:rPr>
      </w:pPr>
      <w:r>
        <w:rPr>
          <w:rFonts w:hint="eastAsia" w:eastAsia="黑体"/>
          <w:sz w:val="44"/>
          <w:szCs w:val="44"/>
        </w:rPr>
        <w:drawing>
          <wp:inline distT="0" distB="0" distL="114300" distR="114300">
            <wp:extent cx="5466715" cy="8143240"/>
            <wp:effectExtent l="0" t="0" r="635" b="10160"/>
            <wp:docPr id="31" name="图片 31" descr="微信截图_2025091015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微信截图_20250910155815"/>
                    <pic:cNvPicPr>
                      <a:picLocks noChangeAspect="1"/>
                    </pic:cNvPicPr>
                  </pic:nvPicPr>
                  <pic:blipFill>
                    <a:blip r:embed="rId46"/>
                    <a:stretch>
                      <a:fillRect/>
                    </a:stretch>
                  </pic:blipFill>
                  <pic:spPr>
                    <a:xfrm>
                      <a:off x="0" y="0"/>
                      <a:ext cx="5466715" cy="8143240"/>
                    </a:xfrm>
                    <a:prstGeom prst="rect">
                      <a:avLst/>
                    </a:prstGeom>
                  </pic:spPr>
                </pic:pic>
              </a:graphicData>
            </a:graphic>
          </wp:inline>
        </w:drawing>
      </w:r>
      <w:r>
        <w:rPr>
          <w:rFonts w:hint="eastAsia" w:eastAsia="黑体"/>
          <w:sz w:val="44"/>
          <w:szCs w:val="44"/>
          <w:lang w:eastAsia="zh-CN"/>
        </w:rPr>
        <w:drawing>
          <wp:inline distT="0" distB="0" distL="114300" distR="114300">
            <wp:extent cx="5267325" cy="8505190"/>
            <wp:effectExtent l="0" t="0" r="9525" b="10160"/>
            <wp:docPr id="32" name="图片 32" descr="微信截图_2025091015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微信截图_20250910155822"/>
                    <pic:cNvPicPr>
                      <a:picLocks noChangeAspect="1"/>
                    </pic:cNvPicPr>
                  </pic:nvPicPr>
                  <pic:blipFill>
                    <a:blip r:embed="rId47"/>
                    <a:stretch>
                      <a:fillRect/>
                    </a:stretch>
                  </pic:blipFill>
                  <pic:spPr>
                    <a:xfrm>
                      <a:off x="0" y="0"/>
                      <a:ext cx="5267325" cy="8505190"/>
                    </a:xfrm>
                    <a:prstGeom prst="rect">
                      <a:avLst/>
                    </a:prstGeom>
                  </pic:spPr>
                </pic:pic>
              </a:graphicData>
            </a:graphic>
          </wp:inline>
        </w:drawing>
      </w:r>
    </w:p>
    <w:p>
      <w:pPr>
        <w:widowControl/>
        <w:jc w:val="center"/>
        <w:rPr>
          <w:rFonts w:hint="eastAsia" w:eastAsia="黑体"/>
          <w:sz w:val="44"/>
          <w:szCs w:val="44"/>
        </w:rPr>
      </w:pPr>
    </w:p>
    <w:p>
      <w:pPr>
        <w:widowControl/>
        <w:jc w:val="center"/>
        <w:rPr>
          <w:rFonts w:eastAsia="仿宋"/>
        </w:rPr>
      </w:pPr>
      <w:r>
        <w:rPr>
          <w:rFonts w:hint="eastAsia" w:eastAsia="黑体"/>
          <w:sz w:val="44"/>
          <w:szCs w:val="44"/>
        </w:rPr>
        <w:t>第</w:t>
      </w:r>
      <w:r>
        <w:rPr>
          <w:rStyle w:val="20"/>
          <w:rFonts w:hint="eastAsia" w:eastAsia="黑体"/>
          <w:b w:val="0"/>
        </w:rPr>
        <w:t>五部分 附表</w:t>
      </w:r>
      <w:bookmarkStart w:id="65" w:name="_Toc15396619"/>
    </w:p>
    <w:p>
      <w:pPr>
        <w:pStyle w:val="13"/>
        <w:adjustRightInd w:val="0"/>
        <w:snapToGrid w:val="0"/>
        <w:spacing w:line="560" w:lineRule="exact"/>
        <w:jc w:val="left"/>
        <w:rPr>
          <w:rFonts w:eastAsia="仿宋_GB2312" w:cs="仿宋_GB2312"/>
          <w:sz w:val="32"/>
          <w:szCs w:val="32"/>
        </w:rPr>
      </w:pPr>
    </w:p>
    <w:p>
      <w:pPr>
        <w:pStyle w:val="13"/>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65"/>
    </w:p>
    <w:p>
      <w:pPr>
        <w:pStyle w:val="13"/>
        <w:adjustRightInd w:val="0"/>
        <w:snapToGrid w:val="0"/>
        <w:spacing w:line="560" w:lineRule="exact"/>
        <w:jc w:val="left"/>
        <w:rPr>
          <w:rFonts w:eastAsia="仿宋_GB2312" w:cs="仿宋_GB2312"/>
          <w:sz w:val="32"/>
          <w:szCs w:val="32"/>
        </w:rPr>
      </w:pPr>
      <w:bookmarkStart w:id="66" w:name="_Toc15396620"/>
      <w:r>
        <w:rPr>
          <w:rFonts w:hint="eastAsia" w:eastAsia="仿宋_GB2312" w:cs="仿宋_GB2312"/>
          <w:sz w:val="32"/>
          <w:szCs w:val="32"/>
        </w:rPr>
        <w:t>二、收入决算表</w:t>
      </w:r>
      <w:bookmarkEnd w:id="66"/>
    </w:p>
    <w:p>
      <w:pPr>
        <w:pStyle w:val="13"/>
        <w:adjustRightInd w:val="0"/>
        <w:snapToGrid w:val="0"/>
        <w:spacing w:line="560" w:lineRule="exact"/>
        <w:jc w:val="left"/>
        <w:rPr>
          <w:rFonts w:eastAsia="仿宋_GB2312" w:cs="仿宋_GB2312"/>
          <w:sz w:val="32"/>
          <w:szCs w:val="32"/>
        </w:rPr>
      </w:pPr>
      <w:bookmarkStart w:id="67" w:name="_Toc15396621"/>
      <w:r>
        <w:rPr>
          <w:rFonts w:hint="eastAsia" w:eastAsia="仿宋_GB2312" w:cs="仿宋_GB2312"/>
          <w:sz w:val="32"/>
          <w:szCs w:val="32"/>
        </w:rPr>
        <w:t>三、支出决算表</w:t>
      </w:r>
      <w:bookmarkEnd w:id="67"/>
    </w:p>
    <w:p>
      <w:pPr>
        <w:pStyle w:val="13"/>
        <w:adjustRightInd w:val="0"/>
        <w:snapToGrid w:val="0"/>
        <w:spacing w:line="560" w:lineRule="exact"/>
        <w:jc w:val="left"/>
        <w:rPr>
          <w:rFonts w:eastAsia="仿宋_GB2312" w:cs="仿宋_GB2312"/>
          <w:sz w:val="32"/>
          <w:szCs w:val="32"/>
        </w:rPr>
      </w:pPr>
      <w:bookmarkStart w:id="68" w:name="_Toc15396622"/>
      <w:r>
        <w:rPr>
          <w:rFonts w:hint="eastAsia" w:eastAsia="仿宋_GB2312" w:cs="仿宋_GB2312"/>
          <w:sz w:val="32"/>
          <w:szCs w:val="32"/>
        </w:rPr>
        <w:t>四、财政拨款收入支出决算总表</w:t>
      </w:r>
      <w:bookmarkEnd w:id="68"/>
    </w:p>
    <w:p>
      <w:pPr>
        <w:pStyle w:val="13"/>
        <w:adjustRightInd w:val="0"/>
        <w:snapToGrid w:val="0"/>
        <w:spacing w:line="560" w:lineRule="exact"/>
        <w:jc w:val="left"/>
        <w:rPr>
          <w:rFonts w:eastAsia="仿宋_GB2312" w:cs="仿宋_GB2312"/>
          <w:sz w:val="32"/>
          <w:szCs w:val="32"/>
        </w:rPr>
      </w:pPr>
      <w:bookmarkStart w:id="69" w:name="_Toc15396623"/>
      <w:r>
        <w:rPr>
          <w:rFonts w:hint="eastAsia" w:eastAsia="仿宋_GB2312" w:cs="仿宋_GB2312"/>
          <w:sz w:val="32"/>
          <w:szCs w:val="32"/>
        </w:rPr>
        <w:t>五、财政拨款支出决算明细表</w:t>
      </w:r>
      <w:bookmarkEnd w:id="69"/>
      <w:bookmarkStart w:id="70" w:name="_Toc15396624"/>
    </w:p>
    <w:p>
      <w:pPr>
        <w:pStyle w:val="13"/>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70"/>
    </w:p>
    <w:p>
      <w:pPr>
        <w:pStyle w:val="13"/>
        <w:adjustRightInd w:val="0"/>
        <w:snapToGrid w:val="0"/>
        <w:spacing w:line="560" w:lineRule="exact"/>
        <w:jc w:val="left"/>
        <w:rPr>
          <w:rFonts w:eastAsia="仿宋_GB2312" w:cs="仿宋_GB2312"/>
          <w:sz w:val="32"/>
          <w:szCs w:val="32"/>
        </w:rPr>
      </w:pPr>
      <w:bookmarkStart w:id="71" w:name="_Toc15396625"/>
      <w:r>
        <w:rPr>
          <w:rFonts w:hint="eastAsia" w:eastAsia="仿宋_GB2312" w:cs="仿宋_GB2312"/>
          <w:sz w:val="32"/>
          <w:szCs w:val="32"/>
        </w:rPr>
        <w:t>七、一般公共预算财政拨款支出决算明细表</w:t>
      </w:r>
      <w:bookmarkEnd w:id="71"/>
    </w:p>
    <w:p>
      <w:pPr>
        <w:pStyle w:val="13"/>
        <w:adjustRightInd w:val="0"/>
        <w:snapToGrid w:val="0"/>
        <w:spacing w:line="560" w:lineRule="exact"/>
        <w:jc w:val="left"/>
        <w:rPr>
          <w:rFonts w:eastAsia="仿宋_GB2312" w:cs="仿宋_GB2312"/>
          <w:sz w:val="32"/>
          <w:szCs w:val="32"/>
        </w:rPr>
      </w:pPr>
      <w:bookmarkStart w:id="72" w:name="_Toc15396626"/>
      <w:r>
        <w:rPr>
          <w:rFonts w:hint="eastAsia" w:eastAsia="仿宋_GB2312" w:cs="仿宋_GB2312"/>
          <w:sz w:val="32"/>
          <w:szCs w:val="32"/>
        </w:rPr>
        <w:t>八、一般公共预算财政拨款基本支出决算表</w:t>
      </w:r>
      <w:bookmarkEnd w:id="72"/>
    </w:p>
    <w:p>
      <w:pPr>
        <w:pStyle w:val="13"/>
        <w:adjustRightInd w:val="0"/>
        <w:snapToGrid w:val="0"/>
        <w:spacing w:line="560" w:lineRule="exact"/>
        <w:jc w:val="left"/>
        <w:rPr>
          <w:rFonts w:eastAsia="仿宋_GB2312" w:cs="仿宋_GB2312"/>
          <w:sz w:val="32"/>
          <w:szCs w:val="32"/>
        </w:rPr>
      </w:pPr>
      <w:bookmarkStart w:id="73" w:name="_Toc15396627"/>
      <w:r>
        <w:rPr>
          <w:rFonts w:hint="eastAsia" w:eastAsia="仿宋_GB2312" w:cs="仿宋_GB2312"/>
          <w:sz w:val="32"/>
          <w:szCs w:val="32"/>
        </w:rPr>
        <w:t>九、一般公共预算财政拨款项目支出决算表</w:t>
      </w:r>
      <w:bookmarkEnd w:id="73"/>
    </w:p>
    <w:p>
      <w:pPr>
        <w:pStyle w:val="13"/>
        <w:adjustRightInd w:val="0"/>
        <w:snapToGrid w:val="0"/>
        <w:spacing w:line="560" w:lineRule="exact"/>
        <w:jc w:val="left"/>
        <w:rPr>
          <w:rFonts w:eastAsia="仿宋_GB2312" w:cs="仿宋_GB2312"/>
          <w:sz w:val="32"/>
          <w:szCs w:val="32"/>
        </w:rPr>
      </w:pPr>
      <w:bookmarkStart w:id="74" w:name="_Toc15396628"/>
      <w:r>
        <w:rPr>
          <w:rFonts w:hint="eastAsia" w:eastAsia="仿宋_GB2312" w:cs="仿宋_GB2312"/>
          <w:sz w:val="32"/>
          <w:szCs w:val="32"/>
        </w:rPr>
        <w:t>十、</w:t>
      </w:r>
      <w:bookmarkEnd w:id="74"/>
      <w:r>
        <w:rPr>
          <w:rFonts w:hint="eastAsia" w:eastAsia="仿宋_GB2312" w:cs="仿宋_GB2312"/>
          <w:sz w:val="32"/>
          <w:szCs w:val="32"/>
        </w:rPr>
        <w:t>政府性基金预算财政拨款收入支出决算表</w:t>
      </w:r>
    </w:p>
    <w:p>
      <w:pPr>
        <w:pStyle w:val="13"/>
        <w:adjustRightInd w:val="0"/>
        <w:snapToGrid w:val="0"/>
        <w:spacing w:line="560" w:lineRule="exact"/>
        <w:jc w:val="left"/>
        <w:rPr>
          <w:rFonts w:eastAsia="仿宋_GB2312" w:cs="仿宋_GB2312"/>
          <w:sz w:val="32"/>
          <w:szCs w:val="32"/>
        </w:rPr>
      </w:pPr>
      <w:bookmarkStart w:id="75" w:name="_Toc15396629"/>
      <w:r>
        <w:rPr>
          <w:rFonts w:hint="eastAsia" w:eastAsia="仿宋_GB2312" w:cs="仿宋_GB2312"/>
          <w:sz w:val="32"/>
          <w:szCs w:val="32"/>
        </w:rPr>
        <w:t>十一、</w:t>
      </w:r>
      <w:bookmarkEnd w:id="75"/>
      <w:r>
        <w:rPr>
          <w:rFonts w:hint="eastAsia" w:eastAsia="仿宋_GB2312" w:cs="仿宋_GB2312"/>
          <w:sz w:val="32"/>
          <w:szCs w:val="32"/>
        </w:rPr>
        <w:t>国有资本经营预算财政拨款收入支出决算表</w:t>
      </w:r>
    </w:p>
    <w:p>
      <w:pPr>
        <w:pStyle w:val="13"/>
        <w:adjustRightInd w:val="0"/>
        <w:snapToGrid w:val="0"/>
        <w:spacing w:line="560" w:lineRule="exact"/>
        <w:jc w:val="left"/>
        <w:rPr>
          <w:rFonts w:eastAsia="仿宋_GB2312" w:cs="仿宋_GB2312"/>
          <w:sz w:val="32"/>
          <w:szCs w:val="32"/>
        </w:rPr>
      </w:pPr>
      <w:bookmarkStart w:id="76" w:name="_Toc15396630"/>
      <w:r>
        <w:rPr>
          <w:rFonts w:hint="eastAsia" w:eastAsia="仿宋_GB2312" w:cs="仿宋_GB2312"/>
          <w:sz w:val="32"/>
          <w:szCs w:val="32"/>
        </w:rPr>
        <w:t>十二、</w:t>
      </w:r>
      <w:bookmarkEnd w:id="76"/>
      <w:r>
        <w:rPr>
          <w:rFonts w:hint="eastAsia" w:eastAsia="仿宋_GB2312" w:cs="仿宋_GB2312"/>
          <w:sz w:val="32"/>
          <w:szCs w:val="32"/>
        </w:rPr>
        <w:t>国有资本经营预算财政拨款支出决算表</w:t>
      </w:r>
    </w:p>
    <w:p>
      <w:pPr>
        <w:pStyle w:val="13"/>
        <w:adjustRightInd w:val="0"/>
        <w:snapToGrid w:val="0"/>
        <w:spacing w:line="560" w:lineRule="exact"/>
        <w:jc w:val="left"/>
        <w:rPr>
          <w:rFonts w:eastAsia="仿宋_GB2312" w:cs="仿宋_GB2312"/>
          <w:sz w:val="32"/>
          <w:szCs w:val="32"/>
        </w:rPr>
      </w:pPr>
      <w:bookmarkStart w:id="77" w:name="_Toc15396631"/>
      <w:r>
        <w:rPr>
          <w:rFonts w:hint="eastAsia" w:eastAsia="仿宋_GB2312" w:cs="仿宋_GB2312"/>
          <w:sz w:val="32"/>
          <w:szCs w:val="32"/>
        </w:rPr>
        <w:t>十三、</w:t>
      </w:r>
      <w:bookmarkEnd w:id="77"/>
      <w:r>
        <w:rPr>
          <w:rFonts w:hint="eastAsia" w:eastAsia="仿宋_GB2312" w:cs="仿宋_GB2312"/>
          <w:sz w:val="32"/>
          <w:szCs w:val="32"/>
        </w:rPr>
        <w:t>财政拨款“三公”经费支出决算表</w:t>
      </w:r>
    </w:p>
    <w:p/>
    <w:p>
      <w:pPr>
        <w:pStyle w:val="7"/>
        <w:spacing w:line="247" w:lineRule="auto"/>
      </w:pPr>
    </w:p>
    <w:p>
      <w:pPr>
        <w:spacing w:line="600" w:lineRule="exact"/>
        <w:jc w:val="center"/>
        <w:rPr>
          <w:rFonts w:hint="eastAsia" w:eastAsia="仿宋_GB2312" w:cs="仿宋_GB2312"/>
          <w:sz w:val="32"/>
          <w:szCs w:val="32"/>
          <w:lang w:val="en-US" w:eastAsia="zh-CN"/>
        </w:rPr>
      </w:pPr>
    </w:p>
    <w:p/>
    <w:sectPr>
      <w:footerReference r:id="rId11"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ind w:left="0"/>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ind w:left="0"/>
      <w:rPr>
        <w:rFonts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3" w:lineRule="auto"/>
      <w:ind w:left="7688"/>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18"/>
        <w:sz w:val="28"/>
        <w:szCs w:val="28"/>
      </w:rPr>
      <w:t xml:space="preserve"> </w:t>
    </w:r>
    <w:r>
      <w:rPr>
        <w:rFonts w:ascii="宋体" w:hAnsi="宋体" w:eastAsia="宋体" w:cs="宋体"/>
        <w:spacing w:val="-9"/>
        <w:sz w:val="28"/>
        <w:szCs w:val="28"/>
      </w:rPr>
      <w:t>3</w:t>
    </w:r>
    <w:r>
      <w:rPr>
        <w:rFonts w:ascii="宋体" w:hAnsi="宋体" w:eastAsia="宋体" w:cs="宋体"/>
        <w:spacing w:val="7"/>
        <w:sz w:val="28"/>
        <w:szCs w:val="28"/>
      </w:rPr>
      <w:t xml:space="preserve"> </w:t>
    </w:r>
    <w:r>
      <w:rPr>
        <w:rFonts w:ascii="宋体" w:hAnsi="宋体" w:eastAsia="宋体" w:cs="宋体"/>
        <w:spacing w:val="-9"/>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3" w:lineRule="auto"/>
      <w:ind w:left="7688"/>
      <w:rPr>
        <w:rFonts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- 22 -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AVXYVAgAAFQQAAA4AAABkcnMvZTJvRG9jLnhtbK1Ty47TMBTdI/EP&#10;lvc0aQd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mRDOFHZ2+fzv9+HX6+ZVAB4Ba62fw21h4hu6t6bDoQe+hjHN3&#10;lVPxxkQEdkB9vMArukB4DJpOptMcJg7b8ED+7DHcOh/eCaNIFArqsL8EKzusfehdB5dYTZtVI2Xa&#10;odSkLej11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4AVXYVAgAAFQQAAA4AAAAAAAAA&#10;AQAgAAAAHwEAAGRycy9lMm9Eb2MueG1sUEsFBgAAAAAGAAYAWQEAAKY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- 22 -</w:t>
                    </w:r>
                    <w:r>
                      <w:fldChar w:fldCharType="end"/>
                    </w:r>
                  </w:p>
                </w:txbxContent>
              </v:textbox>
            </v:shape>
          </w:pict>
        </mc:Fallback>
      </mc:AlternateContent>
    </w:r>
    <w:r>
      <w:rPr>
        <w:rFonts w:ascii="宋体" w:hAnsi="宋体" w:eastAsia="宋体" w:cs="宋体"/>
        <w:spacing w:val="-9"/>
        <w:sz w:val="28"/>
        <w:szCs w:val="28"/>
      </w:rPr>
      <w:t>-</w:t>
    </w:r>
    <w:r>
      <w:rPr>
        <w:rFonts w:ascii="宋体" w:hAnsi="宋体" w:eastAsia="宋体" w:cs="宋体"/>
        <w:spacing w:val="18"/>
        <w:sz w:val="28"/>
        <w:szCs w:val="28"/>
      </w:rPr>
      <w:t xml:space="preserve"> </w:t>
    </w:r>
    <w:r>
      <w:rPr>
        <w:rFonts w:ascii="宋体" w:hAnsi="宋体" w:eastAsia="宋体" w:cs="宋体"/>
        <w:spacing w:val="-9"/>
        <w:sz w:val="28"/>
        <w:szCs w:val="28"/>
      </w:rPr>
      <w:t>3</w:t>
    </w:r>
    <w:r>
      <w:rPr>
        <w:rFonts w:ascii="宋体" w:hAnsi="宋体" w:eastAsia="宋体" w:cs="宋体"/>
        <w:spacing w:val="7"/>
        <w:sz w:val="28"/>
        <w:szCs w:val="28"/>
      </w:rPr>
      <w:t xml:space="preserve"> </w:t>
    </w:r>
    <w:r>
      <w:rPr>
        <w:rFonts w:ascii="宋体" w:hAnsi="宋体" w:eastAsia="宋体" w:cs="宋体"/>
        <w:spacing w:val="-9"/>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left="8"/>
      <w:rPr>
        <w:rFonts w:ascii="宋体" w:hAnsi="宋体" w:eastAsia="宋体" w:cs="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- 23 -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owpk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NU1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yowpkVAgAAFQQAAA4AAAAAAAAA&#10;AQAgAAAAHwEAAGRycy9lMm9Eb2MueG1sUEsFBgAAAAAGAAYAWQEAAKY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- 23 -</w:t>
                    </w:r>
                    <w:r>
                      <w:fldChar w:fldCharType="end"/>
                    </w:r>
                  </w:p>
                </w:txbxContent>
              </v:textbox>
            </v:shape>
          </w:pict>
        </mc:Fallback>
      </mc:AlternateContent>
    </w:r>
    <w:r>
      <w:rPr>
        <w:rFonts w:ascii="宋体" w:hAnsi="宋体" w:eastAsia="宋体" w:cs="宋体"/>
        <w:spacing w:val="-6"/>
        <w:sz w:val="28"/>
        <w:szCs w:val="28"/>
      </w:rPr>
      <w:t>-</w:t>
    </w:r>
    <w:r>
      <w:rPr>
        <w:rFonts w:ascii="宋体" w:hAnsi="宋体" w:eastAsia="宋体" w:cs="宋体"/>
        <w:spacing w:val="9"/>
        <w:sz w:val="28"/>
        <w:szCs w:val="28"/>
      </w:rPr>
      <w:t xml:space="preserve"> </w:t>
    </w:r>
    <w:r>
      <w:rPr>
        <w:rFonts w:ascii="宋体" w:hAnsi="宋体" w:eastAsia="宋体" w:cs="宋体"/>
        <w:spacing w:val="-6"/>
        <w:sz w:val="28"/>
        <w:szCs w:val="28"/>
      </w:rPr>
      <w:t>4</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3" w:lineRule="auto"/>
      <w:ind w:right="1"/>
      <w:jc w:val="right"/>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18"/>
        <w:sz w:val="28"/>
        <w:szCs w:val="28"/>
      </w:rPr>
      <w:t xml:space="preserve"> </w:t>
    </w:r>
    <w:r>
      <w:rPr>
        <w:rFonts w:ascii="宋体" w:hAnsi="宋体" w:eastAsia="宋体" w:cs="宋体"/>
        <w:spacing w:val="-9"/>
        <w:sz w:val="28"/>
        <w:szCs w:val="28"/>
      </w:rPr>
      <w:t>3</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left="20"/>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3"/>
        <w:sz w:val="28"/>
        <w:szCs w:val="28"/>
      </w:rPr>
      <w:t xml:space="preserve"> </w:t>
    </w:r>
    <w:r>
      <w:rPr>
        <w:rFonts w:ascii="宋体" w:hAnsi="宋体" w:eastAsia="宋体" w:cs="宋体"/>
        <w:spacing w:val="-8"/>
        <w:sz w:val="28"/>
        <w:szCs w:val="28"/>
      </w:rPr>
      <w:t>2</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ind w:left="0"/>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TIJUVAgAAFQQAAA4AAABkcnMvZTJvRG9jLnhtbK1Ty47TMBTdI/EP&#10;lvc0aStG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2Zvs5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NTIJUVAgAAFQQAAA4AAAAAAAAA&#10;AQAgAAAAHwEAAGRycy9lMm9Eb2MueG1sUEsFBgAAAAAGAAYAWQEAAKY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39B488"/>
    <w:multiLevelType w:val="singleLevel"/>
    <w:tmpl w:val="8C39B488"/>
    <w:lvl w:ilvl="0" w:tentative="0">
      <w:start w:val="2"/>
      <w:numFmt w:val="chineseCounting"/>
      <w:suff w:val="nothing"/>
      <w:lvlText w:val="（%1）"/>
      <w:lvlJc w:val="left"/>
      <w:rPr>
        <w:rFonts w:hint="eastAsia"/>
      </w:rPr>
    </w:lvl>
  </w:abstractNum>
  <w:abstractNum w:abstractNumId="1">
    <w:nsid w:val="ABFB390C"/>
    <w:multiLevelType w:val="singleLevel"/>
    <w:tmpl w:val="ABFB390C"/>
    <w:lvl w:ilvl="0" w:tentative="0">
      <w:start w:val="3"/>
      <w:numFmt w:val="chineseCounting"/>
      <w:suff w:val="nothing"/>
      <w:lvlText w:val="（%1）"/>
      <w:lvlJc w:val="left"/>
      <w:rPr>
        <w:rFonts w:hint="eastAsia"/>
      </w:rPr>
    </w:lvl>
  </w:abstractNum>
  <w:abstractNum w:abstractNumId="2">
    <w:nsid w:val="FA5D03B8"/>
    <w:multiLevelType w:val="singleLevel"/>
    <w:tmpl w:val="FA5D03B8"/>
    <w:lvl w:ilvl="0" w:tentative="0">
      <w:start w:val="1"/>
      <w:numFmt w:val="chineseCounting"/>
      <w:suff w:val="nothing"/>
      <w:lvlText w:val="%1、"/>
      <w:lvlJc w:val="left"/>
      <w:rPr>
        <w:rFonts w:hint="eastAsia"/>
      </w:rPr>
    </w:lvl>
  </w:abstractNum>
  <w:abstractNum w:abstractNumId="3">
    <w:nsid w:val="77560EF2"/>
    <w:multiLevelType w:val="singleLevel"/>
    <w:tmpl w:val="77560EF2"/>
    <w:lvl w:ilvl="0" w:tentative="0">
      <w:start w:val="1"/>
      <w:numFmt w:val="decimal"/>
      <w:pStyle w:val="9"/>
      <w:lvlText w:val="%1."/>
      <w:lvlJc w:val="left"/>
      <w:pPr>
        <w:tabs>
          <w:tab w:val="left" w:pos="2040"/>
        </w:tabs>
        <w:ind w:left="204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264028"/>
    <w:rsid w:val="00C26C9B"/>
    <w:rsid w:val="0EF95939"/>
    <w:rsid w:val="17AC0322"/>
    <w:rsid w:val="1D264028"/>
    <w:rsid w:val="1DE059A9"/>
    <w:rsid w:val="279028C9"/>
    <w:rsid w:val="28C42292"/>
    <w:rsid w:val="2AB6312A"/>
    <w:rsid w:val="2D9867E5"/>
    <w:rsid w:val="2DD65AEE"/>
    <w:rsid w:val="3A7A7584"/>
    <w:rsid w:val="3CE35810"/>
    <w:rsid w:val="4EF76E3D"/>
    <w:rsid w:val="578D0FC0"/>
    <w:rsid w:val="58086AFD"/>
    <w:rsid w:val="6A1C4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7">
    <w:name w:val="Body Text"/>
    <w:basedOn w:val="1"/>
    <w:qFormat/>
    <w:uiPriority w:val="99"/>
    <w:pPr>
      <w:spacing w:beforeLines="30"/>
    </w:pPr>
    <w:rPr>
      <w:rFonts w:ascii="仿宋_GB2312" w:eastAsia="仿宋_GB2312"/>
      <w:kern w:val="0"/>
      <w:sz w:val="30"/>
    </w:rPr>
  </w:style>
  <w:style w:type="paragraph" w:styleId="8">
    <w:name w:val="Plain Text"/>
    <w:basedOn w:val="1"/>
    <w:next w:val="9"/>
    <w:qFormat/>
    <w:uiPriority w:val="99"/>
    <w:rPr>
      <w:rFonts w:ascii="宋体" w:hAnsi="Courier New"/>
      <w:szCs w:val="21"/>
    </w:rPr>
  </w:style>
  <w:style w:type="paragraph" w:styleId="9">
    <w:name w:val="List Number 5"/>
    <w:basedOn w:val="1"/>
    <w:qFormat/>
    <w:uiPriority w:val="0"/>
    <w:pPr>
      <w:numPr>
        <w:ilvl w:val="0"/>
        <w:numId w:val="1"/>
      </w:numPr>
    </w:pPr>
  </w:style>
  <w:style w:type="paragraph" w:styleId="10">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7">
    <w:name w:val="Strong"/>
    <w:basedOn w:val="16"/>
    <w:qFormat/>
    <w:uiPriority w:val="99"/>
    <w:rPr>
      <w:b/>
    </w:rPr>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9">
    <w:name w:val="WPSOffice手动目录 1"/>
    <w:qFormat/>
    <w:uiPriority w:val="0"/>
    <w:pPr>
      <w:ind w:leftChars="0"/>
    </w:pPr>
    <w:rPr>
      <w:rFonts w:ascii="Times New Roman" w:hAnsi="Times New Roman" w:eastAsia="宋体" w:cs="Times New Roman"/>
      <w:sz w:val="20"/>
      <w:szCs w:val="20"/>
    </w:rPr>
  </w:style>
  <w:style w:type="character" w:customStyle="1" w:styleId="20">
    <w:name w:val="标题 1 字符"/>
    <w:basedOn w:val="16"/>
    <w:link w:val="5"/>
    <w:qFormat/>
    <w:uiPriority w:val="9"/>
    <w:rPr>
      <w:b/>
      <w:bCs/>
      <w:kern w:val="44"/>
      <w:sz w:val="44"/>
      <w:szCs w:val="44"/>
    </w:rPr>
  </w:style>
  <w:style w:type="paragraph" w:customStyle="1" w:styleId="21">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customStyle="1" w:styleId="22">
    <w:name w:val="标题 2 字符"/>
    <w:basedOn w:val="16"/>
    <w:link w:val="6"/>
    <w:qFormat/>
    <w:uiPriority w:val="9"/>
    <w:rPr>
      <w:rFonts w:asciiTheme="majorHAnsi" w:hAnsiTheme="majorHAnsi" w:eastAsiaTheme="majorEastAsia" w:cstheme="majorBidi"/>
      <w:b/>
      <w:bCs/>
      <w:sz w:val="32"/>
      <w:szCs w:val="32"/>
    </w:rPr>
  </w:style>
  <w:style w:type="paragraph" w:styleId="23">
    <w:name w:val="List Paragraph"/>
    <w:basedOn w:val="1"/>
    <w:qFormat/>
    <w:uiPriority w:val="34"/>
    <w:pPr>
      <w:ind w:firstLine="420" w:firstLineChars="200"/>
    </w:pPr>
  </w:style>
  <w:style w:type="paragraph" w:customStyle="1" w:styleId="2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0" Type="http://schemas.openxmlformats.org/officeDocument/2006/relationships/fontTable" Target="fontTable.xml"/><Relationship Id="rId5" Type="http://schemas.openxmlformats.org/officeDocument/2006/relationships/footer" Target="footer2.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29.jpeg"/><Relationship Id="rId46" Type="http://schemas.openxmlformats.org/officeDocument/2006/relationships/image" Target="media/image28.jpeg"/><Relationship Id="rId45" Type="http://schemas.openxmlformats.org/officeDocument/2006/relationships/image" Target="media/image27.jpeg"/><Relationship Id="rId44" Type="http://schemas.openxmlformats.org/officeDocument/2006/relationships/image" Target="media/image26.jpeg"/><Relationship Id="rId43" Type="http://schemas.openxmlformats.org/officeDocument/2006/relationships/image" Target="media/image25.jpeg"/><Relationship Id="rId42" Type="http://schemas.openxmlformats.org/officeDocument/2006/relationships/image" Target="media/image24.jpeg"/><Relationship Id="rId41" Type="http://schemas.openxmlformats.org/officeDocument/2006/relationships/image" Target="media/image23.jpeg"/><Relationship Id="rId40" Type="http://schemas.openxmlformats.org/officeDocument/2006/relationships/image" Target="media/image22.jpeg"/><Relationship Id="rId4" Type="http://schemas.openxmlformats.org/officeDocument/2006/relationships/footer" Target="footer1.xml"/><Relationship Id="rId39" Type="http://schemas.openxmlformats.org/officeDocument/2006/relationships/image" Target="media/image21.jpeg"/><Relationship Id="rId38" Type="http://schemas.openxmlformats.org/officeDocument/2006/relationships/image" Target="media/image20.jpeg"/><Relationship Id="rId37" Type="http://schemas.openxmlformats.org/officeDocument/2006/relationships/image" Target="media/image19.jpeg"/><Relationship Id="rId36" Type="http://schemas.openxmlformats.org/officeDocument/2006/relationships/image" Target="media/image18.jpeg"/><Relationship Id="rId35" Type="http://schemas.openxmlformats.org/officeDocument/2006/relationships/image" Target="media/image17.jpeg"/><Relationship Id="rId34" Type="http://schemas.openxmlformats.org/officeDocument/2006/relationships/image" Target="media/image16.jpeg"/><Relationship Id="rId33" Type="http://schemas.openxmlformats.org/officeDocument/2006/relationships/image" Target="media/image15.jpeg"/><Relationship Id="rId32" Type="http://schemas.openxmlformats.org/officeDocument/2006/relationships/image" Target="media/image14.jpeg"/><Relationship Id="rId31" Type="http://schemas.openxmlformats.org/officeDocument/2006/relationships/image" Target="media/image13.jpeg"/><Relationship Id="rId30" Type="http://schemas.openxmlformats.org/officeDocument/2006/relationships/image" Target="media/image12.jpeg"/><Relationship Id="rId3" Type="http://schemas.openxmlformats.org/officeDocument/2006/relationships/header" Target="header1.xml"/><Relationship Id="rId29" Type="http://schemas.openxmlformats.org/officeDocument/2006/relationships/image" Target="media/image11.jpeg"/><Relationship Id="rId28" Type="http://schemas.openxmlformats.org/officeDocument/2006/relationships/image" Target="media/image10.jpeg"/><Relationship Id="rId27" Type="http://schemas.openxmlformats.org/officeDocument/2006/relationships/image" Target="media/image9.jpeg"/><Relationship Id="rId26" Type="http://schemas.openxmlformats.org/officeDocument/2006/relationships/image" Target="media/image8.jpeg"/><Relationship Id="rId25" Type="http://schemas.openxmlformats.org/officeDocument/2006/relationships/image" Target="media/image7.jpeg"/><Relationship Id="rId24" Type="http://schemas.openxmlformats.org/officeDocument/2006/relationships/image" Target="media/image6.jpeg"/><Relationship Id="rId23" Type="http://schemas.openxmlformats.org/officeDocument/2006/relationships/image" Target="media/image5.jpeg"/><Relationship Id="rId22" Type="http://schemas.openxmlformats.org/officeDocument/2006/relationships/image" Target="media/image4.jpeg"/><Relationship Id="rId21" Type="http://schemas.openxmlformats.org/officeDocument/2006/relationships/image" Target="media/image3.jpeg"/><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chart" Target="charts/chart6.xml"/><Relationship Id="rId17" Type="http://schemas.openxmlformats.org/officeDocument/2006/relationships/chart" Target="charts/chart5.xml"/><Relationship Id="rId16" Type="http://schemas.openxmlformats.org/officeDocument/2006/relationships/chart" Target="charts/chart4.xml"/><Relationship Id="rId15" Type="http://schemas.openxmlformats.org/officeDocument/2006/relationships/chart" Target="charts/chart3.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cap="all" spc="120" normalizeH="0" baseline="0">
                <a:solidFill>
                  <a:schemeClr val="tx1">
                    <a:lumMod val="65000"/>
                    <a:lumOff val="35000"/>
                  </a:schemeClr>
                </a:solidFill>
                <a:latin typeface="+mn-lt"/>
                <a:ea typeface="+mn-ea"/>
                <a:cs typeface="+mn-cs"/>
              </a:defRPr>
            </a:pPr>
            <a:r>
              <a:t>收入、支出决算总计变动图</a:t>
            </a:r>
          </a:p>
        </c:rich>
      </c:tx>
      <c:layout>
        <c:manualLayout>
          <c:xMode val="edge"/>
          <c:yMode val="edge"/>
          <c:x val="0.228375"/>
          <c:y val="0.025"/>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2023</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收入</c:v>
                </c:pt>
                <c:pt idx="1">
                  <c:v>支出</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8343.66</c:v>
                </c:pt>
                <c:pt idx="1">
                  <c:v>8343.66</c:v>
                </c:pt>
              </c:numCache>
            </c:numRef>
          </c:val>
        </c:ser>
        <c:ser>
          <c:idx val="1"/>
          <c:order val="1"/>
          <c:tx>
            <c:strRef>
              <c:f>Sheet1!$C$1</c:f>
              <c:strCache>
                <c:ptCount val="1"/>
                <c:pt idx="0">
                  <c:v>2024</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收入</c:v>
                </c:pt>
                <c:pt idx="1">
                  <c:v>支出</c:v>
                </c:pt>
              </c:strCache>
            </c:strRef>
          </c:cat>
          <c:val>
            <c:numRef>
              <c:extLst>
                <c:ext xmlns:c15="http://schemas.microsoft.com/office/drawing/2012/chart" uri="{02D57815-91ED-43cb-92C2-25804820EDAC}">
                  <c15:fullRef>
                    <c15:sqref>Sheet1!$C$2:$C$5</c15:sqref>
                  </c15:fullRef>
                </c:ext>
              </c:extLst>
              <c:f>Sheet1!$C$2:$C$3</c:f>
              <c:numCache>
                <c:formatCode>General</c:formatCode>
                <c:ptCount val="2"/>
                <c:pt idx="0">
                  <c:v>8232.31</c:v>
                </c:pt>
                <c:pt idx="1">
                  <c:v>8232.31</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收入</c:v>
                </c:pt>
                <c:pt idx="1">
                  <c:v>支出</c:v>
                </c:pt>
              </c:strCache>
            </c:strRef>
          </c:cat>
          <c:val>
            <c:numRef>
              <c:extLst>
                <c:ext xmlns:c15="http://schemas.microsoft.com/office/drawing/2012/chart" uri="{02D57815-91ED-43cb-92C2-25804820EDAC}">
                  <c15:fullRef>
                    <c15:sqref>Sheet1!$D$2:$D$5</c15:sqref>
                  </c15:fullRef>
                </c:ext>
              </c:extLst>
              <c:f>Sheet1!$D$2:$D$3</c:f>
              <c:numCache>
                <c:formatCode>General</c:formatCode>
                <c:ptCount val="2"/>
              </c:numCache>
            </c:numRef>
          </c:val>
        </c:ser>
        <c:dLbls>
          <c:showLegendKey val="0"/>
          <c:showVal val="1"/>
          <c:showCatName val="0"/>
          <c:showSerName val="0"/>
          <c:showPercent val="0"/>
          <c:showBubbleSize val="0"/>
        </c:dLbls>
        <c:gapWidth val="444"/>
        <c:overlap val="-90"/>
        <c:axId val="822126381"/>
        <c:axId val="343321081"/>
      </c:barChart>
      <c:catAx>
        <c:axId val="822126381"/>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343321081"/>
        <c:crosses val="autoZero"/>
        <c:auto val="1"/>
        <c:lblAlgn val="ctr"/>
        <c:lblOffset val="100"/>
        <c:noMultiLvlLbl val="0"/>
      </c:catAx>
      <c:valAx>
        <c:axId val="34332108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2126381"/>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收入决算结构图</a:t>
            </a:r>
          </a:p>
        </c:rich>
      </c:tx>
      <c:layout>
        <c:manualLayout>
          <c:xMode val="edge"/>
          <c:yMode val="edge"/>
          <c:x val="0.410125"/>
          <c:y val="0.0275"/>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一般公共预算财政拨款收入</c:v>
                </c:pt>
                <c:pt idx="1">
                  <c:v>政府性基金预算财政拨款收入</c:v>
                </c:pt>
                <c:pt idx="2">
                  <c:v>国有资本经营预算财政拨款收入</c:v>
                </c:pt>
                <c:pt idx="3">
                  <c:v>其他收入</c:v>
                </c:pt>
              </c:strCache>
            </c:strRef>
          </c:cat>
          <c:val>
            <c:numRef>
              <c:f>Sheet1!$B$2:$B$5</c:f>
              <c:numCache>
                <c:formatCode>General</c:formatCode>
                <c:ptCount val="4"/>
                <c:pt idx="0">
                  <c:v>7418.95</c:v>
                </c:pt>
                <c:pt idx="1">
                  <c:v>376.6</c:v>
                </c:pt>
                <c:pt idx="2">
                  <c:v>0</c:v>
                </c:pt>
                <c:pt idx="3">
                  <c:v>94.17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基本支出</c:v>
                </c:pt>
                <c:pt idx="1">
                  <c:v>项目支出</c:v>
                </c:pt>
                <c:pt idx="2">
                  <c:v>经营支出</c:v>
                </c:pt>
                <c:pt idx="3">
                  <c:v>对附属单位补助支出</c:v>
                </c:pt>
              </c:strCache>
            </c:strRef>
          </c:cat>
          <c:val>
            <c:numRef>
              <c:f>Sheet1!$B$2:$B$5</c:f>
              <c:numCache>
                <c:formatCode>General</c:formatCode>
                <c:ptCount val="4"/>
                <c:pt idx="0">
                  <c:v>2983.81</c:v>
                </c:pt>
                <c:pt idx="1">
                  <c:v>4811.74</c:v>
                </c:pt>
                <c:pt idx="2">
                  <c:v>0</c:v>
                </c:pt>
                <c:pt idx="3">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cap="all" spc="120" normalizeH="0" baseline="0">
                <a:solidFill>
                  <a:schemeClr val="tx1">
                    <a:lumMod val="65000"/>
                    <a:lumOff val="35000"/>
                  </a:schemeClr>
                </a:solidFill>
                <a:latin typeface="+mn-lt"/>
                <a:ea typeface="+mn-ea"/>
                <a:cs typeface="+mn-cs"/>
              </a:defRPr>
            </a:pPr>
            <a:r>
              <a:t>财政拨款收、支决算总计变动表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2024</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财政拨款收入</c:v>
                </c:pt>
                <c:pt idx="1">
                  <c:v>财政拨款支出</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7795.55</c:v>
                </c:pt>
                <c:pt idx="1">
                  <c:v>7795.55</c:v>
                </c:pt>
              </c:numCache>
            </c:numRef>
          </c:val>
        </c:ser>
        <c:ser>
          <c:idx val="1"/>
          <c:order val="1"/>
          <c:tx>
            <c:strRef>
              <c:f>Sheet1!$C$1</c:f>
              <c:strCache>
                <c:ptCount val="1"/>
                <c:pt idx="0">
                  <c:v>2023</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财政拨款收入</c:v>
                </c:pt>
                <c:pt idx="1">
                  <c:v>财政拨款支出</c:v>
                </c:pt>
              </c:strCache>
            </c:strRef>
          </c:cat>
          <c:val>
            <c:numRef>
              <c:extLst>
                <c:ext xmlns:c15="http://schemas.microsoft.com/office/drawing/2012/chart" uri="{02D57815-91ED-43cb-92C2-25804820EDAC}">
                  <c15:fullRef>
                    <c15:sqref>Sheet1!$C$2:$C$5</c15:sqref>
                  </c15:fullRef>
                </c:ext>
              </c:extLst>
              <c:f>Sheet1!$C$2:$C$3</c:f>
              <c:numCache>
                <c:formatCode>General</c:formatCode>
                <c:ptCount val="2"/>
                <c:pt idx="0">
                  <c:v>8343.66</c:v>
                </c:pt>
                <c:pt idx="1">
                  <c:v>8343.66</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财政拨款收入</c:v>
                </c:pt>
                <c:pt idx="1">
                  <c:v>财政拨款支出</c:v>
                </c:pt>
              </c:strCache>
            </c:strRef>
          </c:cat>
          <c:val>
            <c:numRef>
              <c:extLst>
                <c:ext xmlns:c15="http://schemas.microsoft.com/office/drawing/2012/chart" uri="{02D57815-91ED-43cb-92C2-25804820EDAC}">
                  <c15:fullRef>
                    <c15:sqref>Sheet1!$D$2:$D$5</c15:sqref>
                  </c15:fullRef>
                </c:ext>
              </c:extLst>
              <c:f>Sheet1!$D$2:$D$3</c:f>
              <c:numCache>
                <c:formatCode>General</c:formatCode>
                <c:ptCount val="2"/>
              </c:numCache>
            </c:numRef>
          </c:val>
        </c:ser>
        <c:dLbls>
          <c:showLegendKey val="0"/>
          <c:showVal val="1"/>
          <c:showCatName val="0"/>
          <c:showSerName val="0"/>
          <c:showPercent val="0"/>
          <c:showBubbleSize val="0"/>
        </c:dLbls>
        <c:gapWidth val="444"/>
        <c:overlap val="-90"/>
        <c:axId val="312864003"/>
        <c:axId val="775008010"/>
      </c:barChart>
      <c:catAx>
        <c:axId val="312864003"/>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775008010"/>
        <c:crosses val="autoZero"/>
        <c:auto val="1"/>
        <c:lblAlgn val="ctr"/>
        <c:lblOffset val="100"/>
        <c:noMultiLvlLbl val="0"/>
      </c:catAx>
      <c:valAx>
        <c:axId val="77500801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2864003"/>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Sheet1!$A$2:$A$5</c15:sqref>
                  </c15:fullRef>
                </c:ext>
              </c:extLst>
              <c:f>Sheet1!$A$2:$A$3</c:f>
              <c:strCache>
                <c:ptCount val="2"/>
                <c:pt idx="0">
                  <c:v>一般公共预算财政拨款支出</c:v>
                </c:pt>
                <c:pt idx="1">
                  <c:v>一般公共预算财政拨款支出</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7895.65</c:v>
                </c:pt>
                <c:pt idx="1">
                  <c:v>7895.65</c:v>
                </c:pt>
              </c:numCache>
            </c:numRef>
          </c:val>
        </c:ser>
        <c:ser>
          <c:idx val="1"/>
          <c:order val="1"/>
          <c:tx>
            <c:strRef>
              <c:f>Sheet1!$C$1</c:f>
              <c:strCache>
                <c:ptCount val="1"/>
                <c:pt idx="0">
                  <c:v>2024</c:v>
                </c:pt>
              </c:strCache>
            </c:strRef>
          </c:tx>
          <c:spPr>
            <a:solidFill>
              <a:schemeClr val="accent2"/>
            </a:solidFill>
            <a:ln>
              <a:noFill/>
            </a:ln>
            <a:effectLst/>
          </c:spPr>
          <c:invertIfNegative val="0"/>
          <c:dLbls>
            <c:delete val="1"/>
          </c:dLbls>
          <c:cat>
            <c:strRef>
              <c:extLst>
                <c:ext xmlns:c15="http://schemas.microsoft.com/office/drawing/2012/chart" uri="{02D57815-91ED-43cb-92C2-25804820EDAC}">
                  <c15:fullRef>
                    <c15:sqref>Sheet1!$A$2:$A$5</c15:sqref>
                  </c15:fullRef>
                </c:ext>
              </c:extLst>
              <c:f>Sheet1!$A$2:$A$3</c:f>
              <c:strCache>
                <c:ptCount val="2"/>
                <c:pt idx="0">
                  <c:v>一般公共预算财政拨款支出</c:v>
                </c:pt>
                <c:pt idx="1">
                  <c:v>一般公共预算财政拨款支出</c:v>
                </c:pt>
              </c:strCache>
            </c:strRef>
          </c:cat>
          <c:val>
            <c:numRef>
              <c:extLst>
                <c:ext xmlns:c15="http://schemas.microsoft.com/office/drawing/2012/chart" uri="{02D57815-91ED-43cb-92C2-25804820EDAC}">
                  <c15:fullRef>
                    <c15:sqref>Sheet1!$C$2:$C$5</c15:sqref>
                  </c15:fullRef>
                </c:ext>
              </c:extLst>
              <c:f>Sheet1!$C$2:$C$3</c:f>
              <c:numCache>
                <c:formatCode>General</c:formatCode>
                <c:ptCount val="2"/>
                <c:pt idx="0">
                  <c:v>7418.95</c:v>
                </c:pt>
                <c:pt idx="1">
                  <c:v>7418.95</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extLst>
                <c:ext xmlns:c15="http://schemas.microsoft.com/office/drawing/2012/chart" uri="{02D57815-91ED-43cb-92C2-25804820EDAC}">
                  <c15:fullRef>
                    <c15:sqref>Sheet1!$A$2:$A$5</c15:sqref>
                  </c15:fullRef>
                </c:ext>
              </c:extLst>
              <c:f>Sheet1!$A$2:$A$3</c:f>
              <c:strCache>
                <c:ptCount val="2"/>
                <c:pt idx="0">
                  <c:v>一般公共预算财政拨款支出</c:v>
                </c:pt>
                <c:pt idx="1">
                  <c:v>一般公共预算财政拨款支出</c:v>
                </c:pt>
              </c:strCache>
            </c:strRef>
          </c:cat>
          <c:val>
            <c:numRef>
              <c:extLst>
                <c:ext xmlns:c15="http://schemas.microsoft.com/office/drawing/2012/chart" uri="{02D57815-91ED-43cb-92C2-25804820EDAC}">
                  <c15:fullRef>
                    <c15:sqref>Sheet1!$D$2:$D$5</c15:sqref>
                  </c15:fullRef>
                </c:ext>
              </c:extLst>
              <c:f>Sheet1!$D$2:$D$3</c:f>
              <c:numCache>
                <c:formatCode>General</c:formatCode>
                <c:ptCount val="2"/>
              </c:numCache>
            </c:numRef>
          </c:val>
        </c:ser>
        <c:dLbls>
          <c:showLegendKey val="0"/>
          <c:showVal val="0"/>
          <c:showCatName val="0"/>
          <c:showSerName val="0"/>
          <c:showPercent val="0"/>
          <c:showBubbleSize val="0"/>
        </c:dLbls>
        <c:gapWidth val="219"/>
        <c:overlap val="-27"/>
        <c:axId val="518127164"/>
        <c:axId val="809574421"/>
      </c:barChart>
      <c:catAx>
        <c:axId val="51812716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9574421"/>
        <c:crosses val="autoZero"/>
        <c:auto val="1"/>
        <c:lblAlgn val="ctr"/>
        <c:lblOffset val="100"/>
        <c:noMultiLvlLbl val="0"/>
      </c:catAx>
      <c:valAx>
        <c:axId val="80957442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812716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manualLayout>
                  <c:x val="0.13218536623831"/>
                  <c:y val="0.186050134463807"/>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0385193630780623"/>
                  <c:y val="0.17165087326826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教育支出</c:v>
                </c:pt>
                <c:pt idx="2">
                  <c:v>文化旅游体育与传媒支出</c:v>
                </c:pt>
                <c:pt idx="3">
                  <c:v>社会保障和就业支出</c:v>
                </c:pt>
              </c:strCache>
            </c:strRef>
          </c:cat>
          <c:val>
            <c:numRef>
              <c:f>Sheet1!$B$2:$B$5</c:f>
              <c:numCache>
                <c:formatCode>General</c:formatCode>
                <c:ptCount val="4"/>
                <c:pt idx="0">
                  <c:v>41.31</c:v>
                </c:pt>
                <c:pt idx="2">
                  <c:v>6892.73</c:v>
                </c:pt>
                <c:pt idx="3">
                  <c:v>257.14</c:v>
                </c:pt>
              </c:numCache>
            </c:numRef>
          </c:val>
        </c:ser>
        <c:dLbls>
          <c:showLegendKey val="0"/>
          <c:showVal val="0"/>
          <c:showCatName val="1"/>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6905</Words>
  <Characters>7632</Characters>
  <Lines>0</Lines>
  <Paragraphs>0</Paragraphs>
  <TotalTime>18</TotalTime>
  <ScaleCrop>false</ScaleCrop>
  <LinksUpToDate>false</LinksUpToDate>
  <CharactersWithSpaces>7746</CharactersWithSpaces>
  <Application>WPS Office_..._F1E327BC-269C-435d-A152-05C5408002CA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2025-09-10T00:55:00Z</dcterms:created>
  <dc:creator>Administrator</dc:creator>
  <cp:lastModifiedBy>China</cp:lastModifiedBy>
  <dcterms:modified xsi:type="dcterms:W3CDTF">2025-09-10T08:56:56Z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vt:lpwstr>
  </property>
  <property fmtid="{D5CDD505-2E9C-101B-9397-08002B2CF9AE}" pid="3" name="KSOTemplateDocerSaveRecord">
    <vt:lpwstr>eyJoZGlkIjoiNWRkNjg2Y2VhZWY2ZjRlMmY3M2EyZTEwMTk0ODU3NTIiLCJ1c2VySWQiOiIyNjg1NTQzNjIifQ==</vt:lpwstr>
  </property>
  <property fmtid="{D5CDD505-2E9C-101B-9397-08002B2CF9AE}" pid="4" name="ICV">
    <vt:lpwstr>0818B79AD72540F6AFD67E94BFD824A1_12</vt:lpwstr>
  </property>
</Properties>
</file>