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76C8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z w:val="44"/>
          <w:lang w:eastAsia="zh-CN"/>
        </w:rPr>
      </w:pPr>
      <w:r>
        <w:rPr>
          <w:rFonts w:hint="eastAsia" w:ascii="方正小标宋简体" w:hAnsi="方正小标宋简体" w:eastAsia="方正小标宋简体" w:cs="方正小标宋简体"/>
          <w:color w:val="000000"/>
          <w:sz w:val="44"/>
          <w:lang w:eastAsia="zh-CN"/>
        </w:rPr>
        <w:t>阿坝州文化和旅游产业发展领导小组办公室</w:t>
      </w:r>
    </w:p>
    <w:p w14:paraId="4A90D183">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z w:val="44"/>
          <w:lang w:eastAsia="zh-CN"/>
        </w:rPr>
      </w:pPr>
      <w:r>
        <w:rPr>
          <w:rFonts w:hint="eastAsia" w:ascii="方正小标宋简体" w:hAnsi="方正小标宋简体" w:eastAsia="方正小标宋简体" w:cs="方正小标宋简体"/>
          <w:color w:val="000000"/>
          <w:sz w:val="44"/>
          <w:lang w:eastAsia="zh-CN"/>
        </w:rPr>
        <w:t>关于印发《阿坝州</w:t>
      </w:r>
      <w:r>
        <w:rPr>
          <w:rFonts w:hint="eastAsia" w:ascii="方正小标宋简体" w:hAnsi="方正小标宋简体" w:eastAsia="方正小标宋简体" w:cs="方正小标宋简体"/>
          <w:color w:val="000000"/>
          <w:sz w:val="44"/>
          <w:lang w:val="en-US" w:eastAsia="zh-CN"/>
        </w:rPr>
        <w:t>2021年旅游市场专项整治工作方案</w:t>
      </w:r>
      <w:r>
        <w:rPr>
          <w:rFonts w:hint="eastAsia" w:ascii="方正小标宋简体" w:hAnsi="方正小标宋简体" w:eastAsia="方正小标宋简体" w:cs="方正小标宋简体"/>
          <w:color w:val="000000"/>
          <w:sz w:val="44"/>
          <w:lang w:eastAsia="zh-CN"/>
        </w:rPr>
        <w:t>》的通知</w:t>
      </w:r>
    </w:p>
    <w:p w14:paraId="513A5C0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z w:val="44"/>
          <w:lang w:eastAsia="zh-CN"/>
        </w:rPr>
      </w:pPr>
    </w:p>
    <w:p w14:paraId="1FCBD57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各县</w:t>
      </w:r>
      <w:r>
        <w:rPr>
          <w:rFonts w:hint="eastAsia" w:ascii="仿宋_GB2312" w:hAnsi="仿宋_GB2312" w:eastAsia="仿宋_GB2312" w:cs="仿宋_GB2312"/>
          <w:color w:val="000000"/>
          <w:sz w:val="32"/>
          <w:szCs w:val="32"/>
          <w:lang w:val="en-US" w:eastAsia="zh-CN"/>
        </w:rPr>
        <w:t>(市)人民政府、卧龙特别行政区、州级相关部门、各景区管理局，大九旅集团公司、阿坝文旅公司，州旅游协会：</w:t>
      </w:r>
    </w:p>
    <w:p w14:paraId="4E8E303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现将《阿坝州2021年旅游市场专项整治工作方案》印发你们，请结合实际，认真抓好贯彻落实。</w:t>
      </w:r>
    </w:p>
    <w:p w14:paraId="0C8AFB46">
      <w:pPr>
        <w:keepNext w:val="0"/>
        <w:keepLines w:val="0"/>
        <w:pageBreakBefore w:val="0"/>
        <w:widowControl w:val="0"/>
        <w:kinsoku/>
        <w:wordWrap/>
        <w:overflowPunct/>
        <w:topLinePunct w:val="0"/>
        <w:autoSpaceDE/>
        <w:autoSpaceDN/>
        <w:bidi w:val="0"/>
        <w:adjustRightInd/>
        <w:snapToGrid/>
        <w:spacing w:line="580" w:lineRule="exact"/>
        <w:ind w:firstLine="627"/>
        <w:textAlignment w:val="auto"/>
        <w:rPr>
          <w:rFonts w:ascii="仿宋_GB2312" w:hAnsi="仿宋_GB2312" w:eastAsia="仿宋_GB2312" w:cs="仿宋_GB2312"/>
          <w:sz w:val="32"/>
        </w:rPr>
      </w:pPr>
      <w:r>
        <w:rPr>
          <w:rFonts w:ascii="仿宋_GB2312" w:hAnsi="仿宋_GB2312" w:eastAsia="仿宋_GB2312" w:cs="仿宋_GB2312"/>
          <w:sz w:val="32"/>
        </w:rPr>
        <w:t>各牵头单位围绕六大行动，根据行业存在的市场问题，按照牵头职能</w:t>
      </w:r>
      <w:r>
        <w:rPr>
          <w:rFonts w:hint="eastAsia" w:ascii="仿宋_GB2312" w:hAnsi="仿宋_GB2312" w:eastAsia="仿宋_GB2312" w:cs="仿宋_GB2312"/>
          <w:sz w:val="32"/>
        </w:rPr>
        <w:t>，</w:t>
      </w:r>
      <w:r>
        <w:rPr>
          <w:rFonts w:ascii="仿宋_GB2312" w:hAnsi="仿宋_GB2312" w:eastAsia="仿宋_GB2312" w:cs="仿宋_GB2312"/>
          <w:sz w:val="32"/>
        </w:rPr>
        <w:t>制定相关整治方案，于3月30日前报州文化和旅游产业发展领导小组办公室，各牵头单位和责任单位在开展旅游市场专项整治期间要做好情况信息汇总,把握好时间节点，在每个阶段的25日前按时报送工作开展情况及图片资料。</w:t>
      </w:r>
    </w:p>
    <w:p w14:paraId="31479AF8">
      <w:pPr>
        <w:keepNext w:val="0"/>
        <w:keepLines w:val="0"/>
        <w:pageBreakBefore w:val="0"/>
        <w:widowControl w:val="0"/>
        <w:kinsoku/>
        <w:wordWrap/>
        <w:overflowPunct/>
        <w:topLinePunct w:val="0"/>
        <w:autoSpaceDE/>
        <w:autoSpaceDN/>
        <w:bidi w:val="0"/>
        <w:adjustRightInd/>
        <w:snapToGrid/>
        <w:spacing w:line="580" w:lineRule="exact"/>
        <w:ind w:firstLine="627"/>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特此通知。</w:t>
      </w:r>
    </w:p>
    <w:p w14:paraId="32EF5A63">
      <w:pPr>
        <w:keepNext w:val="0"/>
        <w:keepLines w:val="0"/>
        <w:pageBreakBefore w:val="0"/>
        <w:widowControl w:val="0"/>
        <w:kinsoku/>
        <w:wordWrap/>
        <w:overflowPunct/>
        <w:topLinePunct w:val="0"/>
        <w:autoSpaceDE/>
        <w:autoSpaceDN/>
        <w:bidi w:val="0"/>
        <w:adjustRightInd/>
        <w:snapToGrid/>
        <w:spacing w:line="580" w:lineRule="exact"/>
        <w:ind w:firstLine="627"/>
        <w:textAlignment w:val="auto"/>
        <w:rPr>
          <w:rFonts w:ascii="仿宋_GB2312" w:hAnsi="仿宋_GB2312" w:eastAsia="仿宋_GB2312" w:cs="仿宋_GB2312"/>
          <w:sz w:val="32"/>
        </w:rPr>
      </w:pPr>
    </w:p>
    <w:p w14:paraId="71AAC0FB">
      <w:pPr>
        <w:keepNext w:val="0"/>
        <w:keepLines w:val="0"/>
        <w:pageBreakBefore w:val="0"/>
        <w:widowControl w:val="0"/>
        <w:kinsoku/>
        <w:wordWrap/>
        <w:overflowPunct/>
        <w:topLinePunct w:val="0"/>
        <w:autoSpaceDE/>
        <w:autoSpaceDN/>
        <w:bidi w:val="0"/>
        <w:adjustRightInd/>
        <w:snapToGrid/>
        <w:spacing w:line="580" w:lineRule="exact"/>
        <w:ind w:firstLine="627"/>
        <w:textAlignment w:val="auto"/>
        <w:rPr>
          <w:rFonts w:ascii="仿宋_GB2312" w:hAnsi="仿宋_GB2312" w:eastAsia="仿宋_GB2312" w:cs="仿宋_GB2312"/>
          <w:sz w:val="32"/>
        </w:rPr>
      </w:pPr>
      <w:r>
        <w:rPr>
          <w:rFonts w:ascii="仿宋_GB2312" w:hAnsi="仿宋_GB2312" w:eastAsia="仿宋_GB2312" w:cs="仿宋_GB2312"/>
          <w:sz w:val="32"/>
        </w:rPr>
        <w:t>（联系人: 杨彬；联系电话: 0837-2824721;QQ</w:t>
      </w:r>
      <w:r>
        <w:rPr>
          <w:rFonts w:ascii="仿宋_GB2312" w:hAnsi="仿宋_GB2312" w:eastAsia="仿宋_GB2312" w:cs="仿宋_GB2312"/>
          <w:sz w:val="32"/>
        </w:rPr>
        <w:tab/>
      </w:r>
      <w:r>
        <w:rPr>
          <w:rFonts w:ascii="仿宋_GB2312" w:hAnsi="仿宋_GB2312" w:eastAsia="仿宋_GB2312" w:cs="仿宋_GB2312"/>
          <w:sz w:val="32"/>
        </w:rPr>
        <w:t>: 552773394@qq.com）</w:t>
      </w:r>
    </w:p>
    <w:p w14:paraId="690259B9">
      <w:pPr>
        <w:ind w:firstLine="2249" w:firstLineChars="703"/>
        <w:rPr>
          <w:rFonts w:hint="eastAsia" w:ascii="仿宋_GB2312" w:hAnsi="仿宋_GB2312" w:eastAsia="仿宋_GB2312" w:cs="仿宋_GB2312"/>
          <w:color w:val="000000"/>
          <w:sz w:val="32"/>
          <w:szCs w:val="32"/>
          <w:lang w:eastAsia="zh-CN"/>
        </w:rPr>
      </w:pPr>
    </w:p>
    <w:p w14:paraId="78E307F7">
      <w:pPr>
        <w:ind w:firstLine="2569" w:firstLineChars="803"/>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阿坝州文化和旅游产业发展领导小组办公室</w:t>
      </w:r>
    </w:p>
    <w:p w14:paraId="1B902B80">
      <w:pPr>
        <w:ind w:firstLine="4806" w:firstLineChars="1502"/>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2021年3月24日</w:t>
      </w:r>
    </w:p>
    <w:p w14:paraId="732B9160">
      <w:pPr>
        <w:rPr>
          <w:rFonts w:hint="eastAsia" w:ascii="仿宋_GB2312" w:hAnsi="仿宋_GB2312" w:eastAsia="仿宋_GB2312" w:cs="仿宋_GB2312"/>
          <w:color w:val="000000"/>
          <w:sz w:val="32"/>
          <w:szCs w:val="32"/>
        </w:rPr>
      </w:pPr>
    </w:p>
    <w:p w14:paraId="2BA63F73">
      <w:pPr>
        <w:spacing w:line="600" w:lineRule="exact"/>
        <w:jc w:val="center"/>
        <w:rPr>
          <w:rFonts w:ascii="方正小标宋简体" w:hAnsi="方正小标宋简体" w:eastAsia="方正小标宋简体" w:cs="方正小标宋简体"/>
          <w:color w:val="000000"/>
          <w:sz w:val="44"/>
        </w:rPr>
      </w:pPr>
      <w:r>
        <w:rPr>
          <w:rFonts w:hint="eastAsia" w:ascii="方正小标宋简体" w:hAnsi="方正小标宋简体" w:eastAsia="方正小标宋简体" w:cs="方正小标宋简体"/>
          <w:color w:val="000000"/>
          <w:sz w:val="44"/>
        </w:rPr>
        <w:t>阿坝州</w:t>
      </w:r>
      <w:r>
        <w:rPr>
          <w:rFonts w:ascii="方正小标宋简体" w:hAnsi="方正小标宋简体" w:eastAsia="方正小标宋简体" w:cs="方正小标宋简体"/>
          <w:color w:val="000000"/>
          <w:sz w:val="44"/>
        </w:rPr>
        <w:t>2021年旅游市场专项整治工作方案</w:t>
      </w:r>
    </w:p>
    <w:p w14:paraId="3C60D377">
      <w:pPr>
        <w:spacing w:line="600" w:lineRule="exact"/>
        <w:jc w:val="center"/>
        <w:rPr>
          <w:rFonts w:ascii="仿宋_GB2312" w:hAnsi="方正小标宋简体" w:eastAsia="仿宋_GB2312" w:cs="方正小标宋简体"/>
          <w:color w:val="000000"/>
          <w:sz w:val="32"/>
          <w:szCs w:val="32"/>
        </w:rPr>
      </w:pPr>
    </w:p>
    <w:p w14:paraId="2CF806A7">
      <w:pPr>
        <w:spacing w:line="600" w:lineRule="exact"/>
        <w:ind w:firstLine="640" w:firstLineChars="200"/>
        <w:rPr>
          <w:rFonts w:ascii="仿宋_GB2312" w:hAnsi="仿宋_GB2312" w:eastAsia="仿宋_GB2312" w:cs="仿宋_GB2312"/>
          <w:color w:val="000000"/>
          <w:sz w:val="32"/>
        </w:rPr>
      </w:pPr>
      <w:r>
        <w:rPr>
          <w:rFonts w:ascii="仿宋_GB2312" w:hAnsi="仿宋_GB2312" w:eastAsia="仿宋_GB2312" w:cs="仿宋_GB2312"/>
          <w:color w:val="000000"/>
          <w:sz w:val="32"/>
        </w:rPr>
        <w:t>按照2021年四川省</w:t>
      </w:r>
      <w:r>
        <w:rPr>
          <w:rFonts w:ascii="仿宋_GB2312" w:hAnsi="仿宋_GB2312" w:eastAsia="仿宋_GB2312" w:cs="仿宋_GB2312"/>
          <w:color w:val="000000"/>
          <w:sz w:val="32"/>
          <w:shd w:val="clear" w:color="auto" w:fill="FFFFFF"/>
        </w:rPr>
        <w:t>文化和旅游发展</w:t>
      </w:r>
      <w:r>
        <w:rPr>
          <w:rFonts w:ascii="仿宋_GB2312" w:hAnsi="仿宋_GB2312" w:eastAsia="仿宋_GB2312" w:cs="仿宋_GB2312"/>
          <w:color w:val="000000"/>
          <w:sz w:val="32"/>
        </w:rPr>
        <w:t>大会总体方案要求，建立健全我州旅游市场综合监管机制，切实规范旅游市场秩序，全面优化全域旅游发展环境，全力保障旅游者和旅游经营者的合法权益，促进全州旅游业持续、健康、快速发展，为全省</w:t>
      </w:r>
      <w:r>
        <w:rPr>
          <w:rFonts w:ascii="仿宋_GB2312" w:hAnsi="仿宋_GB2312" w:eastAsia="仿宋_GB2312" w:cs="仿宋_GB2312"/>
          <w:color w:val="000000"/>
          <w:sz w:val="32"/>
          <w:shd w:val="clear" w:color="auto" w:fill="FFFFFF"/>
        </w:rPr>
        <w:t>文化和旅游发展大会的顺利召开奠定坚实环境基础，献礼建党</w:t>
      </w:r>
      <w:r>
        <w:rPr>
          <w:rFonts w:ascii="Times New Roman" w:hAnsi="Times New Roman" w:eastAsia="Times New Roman" w:cs="Times New Roman"/>
          <w:color w:val="000000"/>
          <w:sz w:val="32"/>
          <w:shd w:val="clear" w:color="auto" w:fill="FFFFFF"/>
        </w:rPr>
        <w:t>100</w:t>
      </w:r>
      <w:r>
        <w:rPr>
          <w:rFonts w:ascii="仿宋_GB2312" w:hAnsi="仿宋_GB2312" w:eastAsia="仿宋_GB2312" w:cs="仿宋_GB2312"/>
          <w:color w:val="000000"/>
          <w:sz w:val="32"/>
          <w:shd w:val="clear" w:color="auto" w:fill="FFFFFF"/>
        </w:rPr>
        <w:t>周年，</w:t>
      </w:r>
      <w:r>
        <w:rPr>
          <w:rFonts w:ascii="仿宋_GB2312" w:hAnsi="仿宋_GB2312" w:eastAsia="仿宋_GB2312" w:cs="仿宋_GB2312"/>
          <w:color w:val="000000"/>
          <w:sz w:val="32"/>
        </w:rPr>
        <w:t>特制定如下工作方案。</w:t>
      </w:r>
    </w:p>
    <w:p w14:paraId="6CC4F89A">
      <w:pPr>
        <w:spacing w:line="600" w:lineRule="exact"/>
        <w:ind w:firstLine="640"/>
        <w:rPr>
          <w:rFonts w:ascii="黑体" w:hAnsi="黑体" w:eastAsia="黑体" w:cs="黑体"/>
          <w:color w:val="000000"/>
          <w:sz w:val="32"/>
        </w:rPr>
      </w:pPr>
      <w:r>
        <w:rPr>
          <w:rFonts w:ascii="黑体" w:hAnsi="黑体" w:eastAsia="黑体" w:cs="黑体"/>
          <w:color w:val="000000"/>
          <w:sz w:val="32"/>
        </w:rPr>
        <w:t>一、指导思想</w:t>
      </w:r>
    </w:p>
    <w:p w14:paraId="3D642D93">
      <w:pPr>
        <w:spacing w:line="600" w:lineRule="exact"/>
        <w:ind w:firstLine="640"/>
        <w:rPr>
          <w:rFonts w:ascii="Calibri" w:hAnsi="Calibri" w:eastAsia="Calibri" w:cs="Calibri"/>
          <w:sz w:val="24"/>
        </w:rPr>
      </w:pPr>
      <w:r>
        <w:rPr>
          <w:rFonts w:ascii="仿宋_GB2312" w:hAnsi="仿宋_GB2312" w:eastAsia="仿宋_GB2312" w:cs="仿宋_GB2312"/>
          <w:color w:val="000000"/>
          <w:sz w:val="32"/>
        </w:rPr>
        <w:t>以习近平新时代中国特色社会主义思想为指导，紧紧围绕“一州两区三家园”战略目标，深入贯彻国家、省、州旅游市场整治相关决策部署，全面落实我州筹备2021年全省文化和旅游发展大会工作要求，紧扣</w:t>
      </w:r>
      <w:r>
        <w:rPr>
          <w:rFonts w:ascii="仿宋_GB2312" w:hAnsi="仿宋_GB2312" w:eastAsia="仿宋_GB2312" w:cs="仿宋_GB2312"/>
          <w:sz w:val="32"/>
        </w:rPr>
        <w:t>“吃、住、行、游、购、娱”</w:t>
      </w:r>
      <w:r>
        <w:rPr>
          <w:rFonts w:ascii="仿宋_GB2312" w:hAnsi="仿宋_GB2312" w:eastAsia="仿宋_GB2312" w:cs="仿宋_GB2312"/>
          <w:color w:val="000000"/>
          <w:sz w:val="32"/>
        </w:rPr>
        <w:t>旅游六要素</w:t>
      </w:r>
      <w:r>
        <w:rPr>
          <w:rFonts w:ascii="仿宋_GB2312" w:hAnsi="仿宋_GB2312" w:eastAsia="仿宋_GB2312" w:cs="仿宋_GB2312"/>
          <w:sz w:val="32"/>
        </w:rPr>
        <w:t>，以最严谨标准、最严格监管、最严厉处罚、最严肃问责，举全州之力全力整治全域旅游环境，构建统一、开放、竞争、有序的文化旅游市场体系</w:t>
      </w:r>
      <w:r>
        <w:rPr>
          <w:rFonts w:ascii="仿宋_GB2312" w:hAnsi="仿宋_GB2312" w:eastAsia="仿宋_GB2312" w:cs="仿宋_GB2312"/>
          <w:color w:val="000000"/>
          <w:sz w:val="32"/>
        </w:rPr>
        <w:t>。</w:t>
      </w:r>
    </w:p>
    <w:p w14:paraId="51E7A67B">
      <w:pPr>
        <w:spacing w:line="600" w:lineRule="exact"/>
        <w:ind w:firstLine="640"/>
        <w:jc w:val="left"/>
        <w:rPr>
          <w:rFonts w:ascii="黑体" w:hAnsi="黑体" w:eastAsia="黑体" w:cs="黑体"/>
          <w:color w:val="000000"/>
          <w:sz w:val="32"/>
          <w:shd w:val="clear" w:color="auto" w:fill="FFFFFF"/>
        </w:rPr>
      </w:pPr>
      <w:r>
        <w:rPr>
          <w:rFonts w:ascii="黑体" w:hAnsi="黑体" w:eastAsia="黑体" w:cs="黑体"/>
          <w:color w:val="000000"/>
          <w:sz w:val="32"/>
          <w:shd w:val="clear" w:color="auto" w:fill="FFFFFF"/>
        </w:rPr>
        <w:t>二、工作目标</w:t>
      </w:r>
    </w:p>
    <w:p w14:paraId="65693A8B">
      <w:pPr>
        <w:spacing w:line="600" w:lineRule="exact"/>
        <w:ind w:firstLine="672"/>
        <w:rPr>
          <w:rFonts w:ascii="Calibri" w:hAnsi="Calibri" w:eastAsia="Calibri" w:cs="Calibri"/>
          <w:color w:val="2B2B2B"/>
        </w:rPr>
      </w:pPr>
      <w:r>
        <w:rPr>
          <w:rFonts w:ascii="楷体_GB2312" w:hAnsi="楷体_GB2312" w:eastAsia="楷体_GB2312" w:cs="楷体_GB2312"/>
          <w:b/>
          <w:sz w:val="32"/>
        </w:rPr>
        <w:t>——监管机制更加健全。</w:t>
      </w:r>
      <w:r>
        <w:rPr>
          <w:rFonts w:ascii="仿宋_GB2312" w:hAnsi="仿宋_GB2312" w:eastAsia="仿宋_GB2312" w:cs="仿宋_GB2312"/>
          <w:sz w:val="32"/>
        </w:rPr>
        <w:t>准确把握社会治理和旅游市场监管规律，积极探索实践，逐步建立</w:t>
      </w:r>
      <w:r>
        <w:rPr>
          <w:rFonts w:ascii="仿宋_GB2312" w:hAnsi="仿宋_GB2312" w:eastAsia="仿宋_GB2312" w:cs="仿宋_GB2312"/>
          <w:color w:val="000000"/>
          <w:sz w:val="32"/>
          <w:shd w:val="clear" w:color="auto" w:fill="FFFFFF"/>
        </w:rPr>
        <w:t>权责明确、执法有力、行为规范、保障有效、整体联动的</w:t>
      </w:r>
      <w:r>
        <w:rPr>
          <w:rFonts w:ascii="仿宋_GB2312" w:hAnsi="仿宋_GB2312" w:eastAsia="仿宋_GB2312" w:cs="仿宋_GB2312"/>
          <w:sz w:val="32"/>
        </w:rPr>
        <w:t>旅游市场综合监管机制，形成“精简、统一、高效”的综合监管新模式。</w:t>
      </w:r>
    </w:p>
    <w:p w14:paraId="17311822">
      <w:pPr>
        <w:spacing w:line="600" w:lineRule="exact"/>
        <w:ind w:firstLine="643"/>
        <w:rPr>
          <w:rFonts w:ascii="仿宋_GB2312" w:hAnsi="仿宋_GB2312" w:eastAsia="仿宋_GB2312" w:cs="仿宋_GB2312"/>
          <w:sz w:val="32"/>
        </w:rPr>
      </w:pPr>
      <w:r>
        <w:rPr>
          <w:rFonts w:ascii="楷体_GB2312" w:hAnsi="楷体_GB2312" w:eastAsia="楷体_GB2312" w:cs="楷体_GB2312"/>
          <w:b/>
          <w:sz w:val="32"/>
        </w:rPr>
        <w:t>——监管责任更加明确。</w:t>
      </w:r>
      <w:r>
        <w:rPr>
          <w:rFonts w:ascii="仿宋_GB2312" w:hAnsi="仿宋_GB2312" w:eastAsia="仿宋_GB2312" w:cs="仿宋_GB2312"/>
          <w:color w:val="000000"/>
          <w:sz w:val="32"/>
        </w:rPr>
        <w:t>坚持</w:t>
      </w:r>
      <w:r>
        <w:rPr>
          <w:rFonts w:ascii="仿宋_GB2312" w:hAnsi="仿宋_GB2312" w:eastAsia="仿宋_GB2312" w:cs="仿宋_GB2312"/>
          <w:sz w:val="32"/>
        </w:rPr>
        <w:t>“属地管理、部门联动、行业自律、各司其职、齐抓共管”工作思路，逐步建立分工明确、权责明晰、流程规范、合理有效、监督有力的旅游市场综合监管新体系。</w:t>
      </w:r>
    </w:p>
    <w:p w14:paraId="7BEE473A">
      <w:pPr>
        <w:spacing w:line="600" w:lineRule="exact"/>
        <w:ind w:firstLine="643"/>
        <w:rPr>
          <w:rFonts w:ascii="仿宋_GB2312" w:hAnsi="仿宋_GB2312" w:eastAsia="仿宋_GB2312" w:cs="仿宋_GB2312"/>
          <w:color w:val="000000"/>
          <w:sz w:val="32"/>
        </w:rPr>
      </w:pPr>
      <w:r>
        <w:rPr>
          <w:rFonts w:ascii="楷体_GB2312" w:hAnsi="楷体_GB2312" w:eastAsia="楷体_GB2312" w:cs="楷体_GB2312"/>
          <w:b/>
          <w:sz w:val="32"/>
        </w:rPr>
        <w:t>——监管水平全面提高。</w:t>
      </w:r>
      <w:r>
        <w:rPr>
          <w:rFonts w:ascii="仿宋_GB2312" w:hAnsi="仿宋_GB2312" w:eastAsia="仿宋_GB2312" w:cs="仿宋_GB2312"/>
          <w:sz w:val="32"/>
        </w:rPr>
        <w:t>坚持依法行政，切</w:t>
      </w:r>
      <w:r>
        <w:rPr>
          <w:rFonts w:ascii="仿宋_GB2312" w:hAnsi="仿宋_GB2312" w:eastAsia="仿宋_GB2312" w:cs="仿宋_GB2312"/>
          <w:color w:val="2B2B2B"/>
          <w:sz w:val="32"/>
          <w:shd w:val="clear" w:color="auto" w:fill="FFFFFF"/>
        </w:rPr>
        <w:t>实提升旅游综合监管领域执法效率和水平，</w:t>
      </w:r>
      <w:r>
        <w:rPr>
          <w:rFonts w:ascii="仿宋_GB2312" w:hAnsi="仿宋_GB2312" w:eastAsia="仿宋_GB2312" w:cs="仿宋_GB2312"/>
          <w:color w:val="2B2B2B"/>
          <w:sz w:val="32"/>
        </w:rPr>
        <w:t>充分</w:t>
      </w:r>
      <w:r>
        <w:rPr>
          <w:rFonts w:ascii="仿宋_GB2312" w:hAnsi="仿宋_GB2312" w:eastAsia="仿宋_GB2312" w:cs="仿宋_GB2312"/>
          <w:sz w:val="32"/>
        </w:rPr>
        <w:t>发挥行业分类监管、属地综合监管作用，</w:t>
      </w:r>
      <w:r>
        <w:rPr>
          <w:rFonts w:ascii="仿宋_GB2312" w:hAnsi="仿宋_GB2312" w:eastAsia="仿宋_GB2312" w:cs="仿宋_GB2312"/>
          <w:color w:val="000000"/>
          <w:sz w:val="32"/>
          <w:shd w:val="clear" w:color="auto" w:fill="FFFFFF"/>
        </w:rPr>
        <w:t>逐步建立资源互补、良性互动、运作有序的综合监管新格局。</w:t>
      </w:r>
    </w:p>
    <w:p w14:paraId="11A1A33A">
      <w:pPr>
        <w:spacing w:line="600" w:lineRule="exact"/>
        <w:ind w:firstLine="643"/>
        <w:rPr>
          <w:rFonts w:ascii="仿宋_GB2312" w:hAnsi="仿宋_GB2312" w:eastAsia="仿宋_GB2312" w:cs="仿宋_GB2312"/>
          <w:sz w:val="32"/>
        </w:rPr>
      </w:pPr>
      <w:r>
        <w:rPr>
          <w:rFonts w:ascii="楷体_GB2312" w:hAnsi="楷体_GB2312" w:eastAsia="楷体_GB2312" w:cs="楷体_GB2312"/>
          <w:b/>
          <w:sz w:val="32"/>
        </w:rPr>
        <w:t>——服务质量全面提升。</w:t>
      </w:r>
      <w:r>
        <w:rPr>
          <w:rFonts w:ascii="仿宋_GB2312" w:hAnsi="仿宋_GB2312" w:eastAsia="仿宋_GB2312" w:cs="仿宋_GB2312"/>
          <w:sz w:val="32"/>
        </w:rPr>
        <w:t>通过旅游市场专项整治，实现“一升一降”，即游客满意度明显上升，旅游投诉大幅下降，无重大舆情和重大旅游投诉发生。</w:t>
      </w:r>
    </w:p>
    <w:p w14:paraId="7D963BCB">
      <w:pPr>
        <w:spacing w:line="600" w:lineRule="exact"/>
        <w:ind w:firstLine="640"/>
        <w:rPr>
          <w:rFonts w:ascii="黑体" w:hAnsi="黑体" w:eastAsia="黑体" w:cs="黑体"/>
          <w:color w:val="000000"/>
          <w:sz w:val="32"/>
        </w:rPr>
      </w:pPr>
      <w:r>
        <w:rPr>
          <w:rFonts w:ascii="黑体" w:hAnsi="黑体" w:eastAsia="黑体" w:cs="黑体"/>
          <w:color w:val="000000"/>
          <w:sz w:val="32"/>
        </w:rPr>
        <w:t>三、整治原则</w:t>
      </w:r>
    </w:p>
    <w:p w14:paraId="59709B02">
      <w:pPr>
        <w:spacing w:line="600" w:lineRule="exact"/>
        <w:ind w:firstLine="630"/>
        <w:rPr>
          <w:rFonts w:ascii="仿宋_GB2312" w:hAnsi="仿宋_GB2312" w:eastAsia="仿宋_GB2312" w:cs="仿宋_GB2312"/>
          <w:b/>
          <w:color w:val="000000"/>
          <w:sz w:val="32"/>
        </w:rPr>
      </w:pPr>
      <w:r>
        <w:rPr>
          <w:rFonts w:ascii="楷体_GB2312" w:hAnsi="楷体_GB2312" w:eastAsia="楷体_GB2312" w:cs="楷体_GB2312"/>
          <w:b/>
          <w:color w:val="000000"/>
          <w:sz w:val="32"/>
        </w:rPr>
        <w:t>——坚持“有患必治，有患必停”原则。</w:t>
      </w:r>
      <w:r>
        <w:rPr>
          <w:rFonts w:ascii="仿宋_GB2312" w:hAnsi="仿宋_GB2312" w:eastAsia="仿宋_GB2312" w:cs="仿宋_GB2312"/>
          <w:sz w:val="32"/>
        </w:rPr>
        <w:t>坚持预防为主、惩防并举，紧盯旅游市场重点环节、关键领域，超前谋划，提前介入，精准施策，对旅游市场主体存在隐患的，做到一旦发现，立即整治，整改不力的，进行停业整顿。</w:t>
      </w:r>
    </w:p>
    <w:p w14:paraId="6106311F">
      <w:pPr>
        <w:spacing w:line="600" w:lineRule="exact"/>
        <w:ind w:firstLine="630"/>
        <w:rPr>
          <w:rFonts w:ascii="仿宋_GB2312" w:hAnsi="仿宋_GB2312" w:eastAsia="仿宋_GB2312" w:cs="仿宋_GB2312"/>
          <w:b/>
          <w:color w:val="000000"/>
          <w:sz w:val="32"/>
        </w:rPr>
      </w:pPr>
      <w:r>
        <w:rPr>
          <w:rFonts w:ascii="楷体_GB2312" w:hAnsi="楷体_GB2312" w:eastAsia="楷体_GB2312" w:cs="楷体_GB2312"/>
          <w:b/>
          <w:color w:val="000000"/>
          <w:sz w:val="32"/>
        </w:rPr>
        <w:t>——坚持“有诉必理，有诉必查”原则。</w:t>
      </w:r>
      <w:r>
        <w:rPr>
          <w:rFonts w:ascii="仿宋_GB2312" w:hAnsi="仿宋_GB2312" w:eastAsia="仿宋_GB2312" w:cs="仿宋_GB2312"/>
          <w:sz w:val="32"/>
        </w:rPr>
        <w:t>坚持以维护</w:t>
      </w:r>
      <w:r>
        <w:rPr>
          <w:rFonts w:ascii="仿宋_GB2312" w:hAnsi="仿宋_GB2312" w:eastAsia="仿宋_GB2312" w:cs="仿宋_GB2312"/>
          <w:color w:val="000000"/>
          <w:sz w:val="32"/>
        </w:rPr>
        <w:t>旅游者和旅游经营者</w:t>
      </w:r>
      <w:r>
        <w:rPr>
          <w:rFonts w:ascii="仿宋_GB2312" w:hAnsi="仿宋_GB2312" w:eastAsia="仿宋_GB2312" w:cs="仿宋_GB2312"/>
          <w:sz w:val="32"/>
        </w:rPr>
        <w:t>的合法权益为市场整治的出发点和落脚点，做到有诉必应，有应必理，有理必回，有回必结，形成旅游投诉良性闭环。</w:t>
      </w:r>
    </w:p>
    <w:p w14:paraId="08E1A348">
      <w:pPr>
        <w:spacing w:line="600" w:lineRule="exact"/>
        <w:ind w:firstLine="630"/>
        <w:rPr>
          <w:rFonts w:ascii="仿宋_GB2312" w:hAnsi="仿宋_GB2312" w:eastAsia="仿宋_GB2312" w:cs="仿宋_GB2312"/>
          <w:sz w:val="32"/>
        </w:rPr>
      </w:pPr>
      <w:r>
        <w:rPr>
          <w:rFonts w:ascii="楷体_GB2312" w:hAnsi="楷体_GB2312" w:eastAsia="楷体_GB2312" w:cs="楷体_GB2312"/>
          <w:b/>
          <w:color w:val="000000"/>
          <w:sz w:val="32"/>
        </w:rPr>
        <w:t>——坚持“有案必立，有案必破”原则。</w:t>
      </w:r>
      <w:r>
        <w:rPr>
          <w:rFonts w:ascii="仿宋_GB2312" w:hAnsi="仿宋_GB2312" w:eastAsia="仿宋_GB2312" w:cs="仿宋_GB2312"/>
          <w:sz w:val="32"/>
        </w:rPr>
        <w:t>持续加大市场监管执法力度，坚决打击一切扰乱旅游市场秩序和侵害</w:t>
      </w:r>
      <w:r>
        <w:rPr>
          <w:rFonts w:ascii="仿宋_GB2312" w:hAnsi="仿宋_GB2312" w:eastAsia="仿宋_GB2312" w:cs="仿宋_GB2312"/>
          <w:color w:val="000000"/>
          <w:sz w:val="32"/>
        </w:rPr>
        <w:t>旅游者和旅游经营者</w:t>
      </w:r>
      <w:r>
        <w:rPr>
          <w:rFonts w:ascii="仿宋_GB2312" w:hAnsi="仿宋_GB2312" w:eastAsia="仿宋_GB2312" w:cs="仿宋_GB2312"/>
          <w:sz w:val="32"/>
        </w:rPr>
        <w:t>合法权益的行为，严厉查处各类违法违规案件，做到严惩一起，震慑一方；规范一方，优化全域。</w:t>
      </w:r>
    </w:p>
    <w:p w14:paraId="5D99E404">
      <w:pPr>
        <w:spacing w:line="600" w:lineRule="exact"/>
        <w:ind w:firstLine="630"/>
        <w:rPr>
          <w:rFonts w:ascii="仿宋_GB2312" w:hAnsi="仿宋_GB2312" w:eastAsia="仿宋_GB2312" w:cs="仿宋_GB2312"/>
          <w:sz w:val="32"/>
        </w:rPr>
      </w:pPr>
      <w:r>
        <w:rPr>
          <w:rFonts w:ascii="楷体_GB2312" w:hAnsi="楷体_GB2312" w:eastAsia="楷体_GB2312" w:cs="楷体_GB2312"/>
          <w:b/>
          <w:color w:val="000000"/>
          <w:sz w:val="32"/>
        </w:rPr>
        <w:t>——坚持“有黑必扫，有恶必除”原则。</w:t>
      </w:r>
      <w:r>
        <w:rPr>
          <w:rFonts w:ascii="仿宋_GB2312" w:hAnsi="仿宋_GB2312" w:eastAsia="仿宋_GB2312" w:cs="仿宋_GB2312"/>
          <w:sz w:val="32"/>
        </w:rPr>
        <w:t>紧紧围绕广大游客关注的热点、难点和焦点问题，把专项治理与系统治理，依法治理与源头治理相结合，做到紧盯目标、主动出击、综合施策、除恶务尽。</w:t>
      </w:r>
    </w:p>
    <w:p w14:paraId="3605BCCA">
      <w:pPr>
        <w:spacing w:line="600" w:lineRule="exact"/>
        <w:ind w:firstLine="627"/>
        <w:rPr>
          <w:rFonts w:ascii="黑体" w:hAnsi="黑体" w:eastAsia="黑体" w:cs="黑体"/>
          <w:sz w:val="32"/>
        </w:rPr>
      </w:pPr>
      <w:r>
        <w:rPr>
          <w:rFonts w:ascii="黑体" w:hAnsi="黑体" w:eastAsia="黑体" w:cs="黑体"/>
          <w:sz w:val="32"/>
        </w:rPr>
        <w:t>四、重点工作</w:t>
      </w:r>
    </w:p>
    <w:p w14:paraId="0C6275B6">
      <w:pPr>
        <w:spacing w:line="600" w:lineRule="exact"/>
        <w:ind w:firstLine="627"/>
        <w:rPr>
          <w:rFonts w:ascii="仿宋_GB2312" w:hAnsi="仿宋_GB2312" w:eastAsia="仿宋_GB2312" w:cs="仿宋_GB2312"/>
          <w:sz w:val="32"/>
        </w:rPr>
      </w:pPr>
      <w:r>
        <w:rPr>
          <w:rFonts w:ascii="仿宋_GB2312" w:hAnsi="仿宋_GB2312" w:eastAsia="仿宋_GB2312" w:cs="仿宋_GB2312"/>
          <w:sz w:val="32"/>
        </w:rPr>
        <w:t>进一步压实责任，坚持问题导向，围绕“吃、住、行、游、购、娱”旅游六要素，大力提升全州旅游服务质量，全力做好全域“六心”服务，营造全域旅游发展良好氛围。</w:t>
      </w:r>
    </w:p>
    <w:p w14:paraId="03D111B1">
      <w:pPr>
        <w:spacing w:line="600" w:lineRule="exact"/>
        <w:ind w:firstLine="630"/>
        <w:rPr>
          <w:rFonts w:ascii="楷体_GB2312" w:hAnsi="楷体_GB2312" w:eastAsia="楷体_GB2312" w:cs="楷体_GB2312"/>
          <w:b/>
          <w:sz w:val="32"/>
        </w:rPr>
      </w:pPr>
      <w:r>
        <w:rPr>
          <w:rFonts w:ascii="楷体_GB2312" w:hAnsi="楷体_GB2312" w:eastAsia="楷体_GB2312" w:cs="楷体_GB2312"/>
          <w:b/>
          <w:sz w:val="32"/>
        </w:rPr>
        <w:t>（一）推进食品安全“守护行动”</w:t>
      </w:r>
      <w:r>
        <w:rPr>
          <w:rFonts w:ascii="仿宋_GB2312" w:hAnsi="仿宋_GB2312" w:eastAsia="仿宋_GB2312" w:cs="仿宋_GB2312"/>
          <w:b/>
          <w:sz w:val="32"/>
        </w:rPr>
        <w:t>，让游客吃得放心</w:t>
      </w:r>
    </w:p>
    <w:p w14:paraId="0F35CEE1">
      <w:pPr>
        <w:autoSpaceDE w:val="0"/>
        <w:autoSpaceDN w:val="0"/>
        <w:adjustRightInd w:val="0"/>
        <w:spacing w:line="600" w:lineRule="exact"/>
        <w:ind w:firstLine="630"/>
        <w:rPr>
          <w:rFonts w:ascii="仿宋_GB2312" w:eastAsia="仿宋_GB2312" w:cs="仿宋_GB2312"/>
          <w:b/>
          <w:bCs/>
          <w:kern w:val="0"/>
          <w:sz w:val="32"/>
          <w:szCs w:val="32"/>
          <w:lang w:val="zh-CN"/>
        </w:rPr>
      </w:pPr>
      <w:r>
        <w:rPr>
          <w:rFonts w:ascii="仿宋_GB2312" w:hAnsi="仿宋_GB2312" w:eastAsia="仿宋_GB2312" w:cs="仿宋_GB2312"/>
          <w:b/>
          <w:sz w:val="32"/>
        </w:rPr>
        <w:t>问题一：管理不规范。</w:t>
      </w:r>
      <w:r>
        <w:rPr>
          <w:rFonts w:ascii="仿宋_GB2312" w:hAnsi="仿宋_GB2312" w:eastAsia="仿宋_GB2312" w:cs="仿宋_GB2312"/>
          <w:sz w:val="32"/>
        </w:rPr>
        <w:t>景区景点、旅游饭店、购物中心等旅游场所食品消费集中区域存在无照经营、不亮证经营，进货查验、索证索票管理</w:t>
      </w:r>
      <w:r>
        <w:rPr>
          <w:rFonts w:hint="eastAsia" w:ascii="仿宋_GB2312" w:eastAsia="仿宋_GB2312" w:cs="仿宋_GB2312"/>
          <w:kern w:val="0"/>
          <w:sz w:val="32"/>
          <w:szCs w:val="32"/>
          <w:lang w:val="zh-CN"/>
        </w:rPr>
        <w:t>不规范</w:t>
      </w:r>
      <w:r>
        <w:rPr>
          <w:rFonts w:ascii="仿宋_GB2312" w:hAnsi="仿宋_GB2312" w:eastAsia="仿宋_GB2312" w:cs="仿宋_GB2312"/>
          <w:sz w:val="32"/>
        </w:rPr>
        <w:t>，部分餐饮单位</w:t>
      </w:r>
      <w:r>
        <w:rPr>
          <w:rFonts w:hint="eastAsia" w:ascii="仿宋_GB2312" w:eastAsia="仿宋_GB2312" w:cs="仿宋_GB2312"/>
          <w:kern w:val="0"/>
          <w:sz w:val="32"/>
          <w:szCs w:val="32"/>
          <w:lang w:val="zh-CN"/>
        </w:rPr>
        <w:t>后厨管理混乱</w:t>
      </w:r>
      <w:r>
        <w:rPr>
          <w:rFonts w:ascii="仿宋_GB2312" w:hAnsi="仿宋_GB2312" w:eastAsia="仿宋_GB2312" w:cs="仿宋_GB2312"/>
          <w:sz w:val="32"/>
        </w:rPr>
        <w:t>、卫生不达标，食品加工制作、餐饮用具清洗消毒、食品添加剂管理、</w:t>
      </w:r>
      <w:r>
        <w:rPr>
          <w:rFonts w:hint="eastAsia" w:ascii="仿宋_GB2312" w:hAnsi="仿宋_GB2312" w:eastAsia="仿宋_GB2312" w:cs="仿宋_GB2312"/>
          <w:sz w:val="32"/>
        </w:rPr>
        <w:t>餐厨</w:t>
      </w:r>
      <w:r>
        <w:rPr>
          <w:rFonts w:hint="eastAsia" w:ascii="仿宋_GB2312" w:eastAsia="仿宋_GB2312" w:cs="仿宋_GB2312"/>
          <w:kern w:val="0"/>
          <w:sz w:val="32"/>
          <w:szCs w:val="32"/>
          <w:lang w:val="zh-CN"/>
        </w:rPr>
        <w:t>废弃物</w:t>
      </w:r>
      <w:r>
        <w:rPr>
          <w:rFonts w:ascii="仿宋_GB2312" w:hAnsi="仿宋_GB2312" w:eastAsia="仿宋_GB2312" w:cs="仿宋_GB2312"/>
          <w:sz w:val="32"/>
        </w:rPr>
        <w:t>处理不规范，无反对浪费温馨提示等问题，部分餐饮单位存在消防安全隐患。</w:t>
      </w:r>
    </w:p>
    <w:p w14:paraId="0F6AF840">
      <w:pPr>
        <w:spacing w:line="600" w:lineRule="exact"/>
        <w:ind w:firstLine="630" w:firstLineChars="196"/>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州市场监督管理局</w:t>
      </w:r>
    </w:p>
    <w:p w14:paraId="7586A0E7">
      <w:pPr>
        <w:spacing w:line="600" w:lineRule="exact"/>
        <w:ind w:left="2228" w:hanging="159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各县（市）人民政府、州公安局、州商务</w:t>
      </w:r>
      <w:r>
        <w:rPr>
          <w:rFonts w:hint="eastAsia" w:ascii="仿宋_GB2312" w:hAnsi="仿宋_GB2312" w:eastAsia="仿宋_GB2312" w:cs="仿宋_GB2312"/>
          <w:sz w:val="32"/>
        </w:rPr>
        <w:t>和经济合作</w:t>
      </w:r>
      <w:r>
        <w:rPr>
          <w:rFonts w:ascii="仿宋_GB2312" w:hAnsi="仿宋_GB2312" w:eastAsia="仿宋_GB2312" w:cs="仿宋_GB2312"/>
          <w:sz w:val="32"/>
        </w:rPr>
        <w:t>局、州文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旅游局、州卫</w:t>
      </w:r>
      <w:r>
        <w:rPr>
          <w:rFonts w:hint="eastAsia" w:ascii="仿宋_GB2312" w:hAnsi="仿宋_GB2312" w:eastAsia="仿宋_GB2312" w:cs="仿宋_GB2312"/>
          <w:sz w:val="32"/>
        </w:rPr>
        <w:t>生</w:t>
      </w:r>
      <w:r>
        <w:rPr>
          <w:rFonts w:ascii="仿宋_GB2312" w:hAnsi="仿宋_GB2312" w:eastAsia="仿宋_GB2312" w:cs="仿宋_GB2312"/>
          <w:sz w:val="32"/>
        </w:rPr>
        <w:t>健</w:t>
      </w:r>
      <w:r>
        <w:rPr>
          <w:rFonts w:hint="eastAsia" w:ascii="仿宋_GB2312" w:hAnsi="仿宋_GB2312" w:eastAsia="仿宋_GB2312" w:cs="仿宋_GB2312"/>
          <w:sz w:val="32"/>
        </w:rPr>
        <w:t>康</w:t>
      </w:r>
      <w:r>
        <w:rPr>
          <w:rFonts w:ascii="仿宋_GB2312" w:hAnsi="仿宋_GB2312" w:eastAsia="仿宋_GB2312" w:cs="仿宋_GB2312"/>
          <w:sz w:val="32"/>
        </w:rPr>
        <w:t>委</w:t>
      </w:r>
      <w:r>
        <w:rPr>
          <w:rFonts w:hint="eastAsia" w:ascii="仿宋_GB2312" w:hAnsi="仿宋_GB2312" w:eastAsia="仿宋_GB2312" w:cs="仿宋_GB2312"/>
          <w:sz w:val="32"/>
        </w:rPr>
        <w:t>员会</w:t>
      </w:r>
      <w:r>
        <w:rPr>
          <w:rFonts w:ascii="仿宋_GB2312" w:hAnsi="仿宋_GB2312" w:eastAsia="仿宋_GB2312" w:cs="仿宋_GB2312"/>
          <w:sz w:val="32"/>
        </w:rPr>
        <w:t>、州应急管理局、</w:t>
      </w:r>
      <w:r>
        <w:rPr>
          <w:rFonts w:hint="eastAsia" w:ascii="仿宋_GB2312" w:hAnsi="仿宋_GB2312" w:eastAsia="仿宋_GB2312" w:cs="仿宋_GB2312"/>
          <w:sz w:val="32"/>
        </w:rPr>
        <w:t>州机关事务管理局、</w:t>
      </w:r>
    </w:p>
    <w:p w14:paraId="5BB79F85">
      <w:pPr>
        <w:spacing w:line="600" w:lineRule="exact"/>
        <w:ind w:firstLine="2240" w:firstLineChars="700"/>
        <w:rPr>
          <w:rFonts w:ascii="仿宋_GB2312" w:hAnsi="仿宋_GB2312" w:eastAsia="仿宋_GB2312" w:cs="仿宋_GB2312"/>
          <w:sz w:val="32"/>
        </w:rPr>
      </w:pPr>
      <w:r>
        <w:rPr>
          <w:rFonts w:ascii="仿宋_GB2312" w:hAnsi="仿宋_GB2312" w:eastAsia="仿宋_GB2312" w:cs="仿宋_GB2312"/>
          <w:sz w:val="32"/>
        </w:rPr>
        <w:t>州税务局</w:t>
      </w:r>
    </w:p>
    <w:p w14:paraId="5E88AB4F">
      <w:pPr>
        <w:autoSpaceDE w:val="0"/>
        <w:autoSpaceDN w:val="0"/>
        <w:adjustRightInd w:val="0"/>
        <w:spacing w:line="600" w:lineRule="exact"/>
        <w:ind w:firstLine="642"/>
        <w:rPr>
          <w:rFonts w:ascii="仿宋_GB2312" w:eastAsia="仿宋_GB2312" w:cs="仿宋_GB2312"/>
          <w:color w:val="000000"/>
          <w:kern w:val="0"/>
          <w:sz w:val="32"/>
          <w:szCs w:val="32"/>
          <w:lang w:val="zh-CN"/>
        </w:rPr>
      </w:pPr>
      <w:r>
        <w:rPr>
          <w:rFonts w:ascii="仿宋_GB2312" w:hAnsi="仿宋_GB2312" w:eastAsia="仿宋_GB2312" w:cs="仿宋_GB2312"/>
          <w:b/>
          <w:sz w:val="32"/>
        </w:rPr>
        <w:t>问题二：食品欠安全。</w:t>
      </w:r>
      <w:r>
        <w:rPr>
          <w:rFonts w:hint="eastAsia" w:ascii="仿宋_GB2312" w:eastAsia="仿宋_GB2312" w:cs="仿宋_GB2312"/>
          <w:kern w:val="0"/>
          <w:sz w:val="32"/>
          <w:szCs w:val="32"/>
          <w:lang w:val="zh-CN"/>
        </w:rPr>
        <w:t>景区景点、旅游沿线、服务站等食品经营单位</w:t>
      </w:r>
      <w:r>
        <w:rPr>
          <w:rFonts w:ascii="仿宋_GB2312" w:hAnsi="仿宋_GB2312" w:eastAsia="仿宋_GB2312" w:cs="仿宋_GB2312"/>
          <w:sz w:val="32"/>
        </w:rPr>
        <w:t>存在</w:t>
      </w:r>
      <w:r>
        <w:rPr>
          <w:rFonts w:hint="eastAsia" w:ascii="仿宋_GB2312" w:eastAsia="仿宋_GB2312" w:cs="仿宋_GB2312"/>
          <w:kern w:val="0"/>
          <w:sz w:val="32"/>
          <w:szCs w:val="32"/>
          <w:lang w:val="zh-CN"/>
        </w:rPr>
        <w:t>销售散装食品、存</w:t>
      </w:r>
      <w:r>
        <w:rPr>
          <w:rFonts w:ascii="仿宋_GB2312" w:hAnsi="仿宋_GB2312" w:eastAsia="仿宋_GB2312" w:cs="仿宋_GB2312"/>
          <w:sz w:val="32"/>
        </w:rPr>
        <w:t>在</w:t>
      </w:r>
      <w:r>
        <w:rPr>
          <w:rFonts w:hint="eastAsia" w:ascii="仿宋_GB2312" w:eastAsia="仿宋_GB2312" w:cs="仿宋_GB2312"/>
          <w:kern w:val="0"/>
          <w:sz w:val="32"/>
          <w:szCs w:val="32"/>
          <w:lang w:val="zh-CN"/>
        </w:rPr>
        <w:t>食品外包装、标签标识不规范，未配备必要的防尘防蝇设施设备，过期食品清理不及时等行为。</w:t>
      </w:r>
      <w:r>
        <w:rPr>
          <w:rFonts w:ascii="仿宋_GB2312" w:hAnsi="仿宋_GB2312" w:eastAsia="仿宋_GB2312" w:cs="仿宋_GB2312"/>
          <w:color w:val="000000"/>
          <w:sz w:val="32"/>
        </w:rPr>
        <w:t>未取得</w:t>
      </w:r>
      <w:r>
        <w:rPr>
          <w:rFonts w:hint="eastAsia" w:ascii="仿宋_GB2312" w:hAnsi="仿宋_GB2312" w:eastAsia="仿宋_GB2312" w:cs="仿宋_GB2312"/>
          <w:color w:val="000000"/>
          <w:sz w:val="32"/>
        </w:rPr>
        <w:t>相关证照</w:t>
      </w:r>
      <w:r>
        <w:rPr>
          <w:rFonts w:ascii="仿宋_GB2312" w:hAnsi="仿宋_GB2312" w:eastAsia="仿宋_GB2312" w:cs="仿宋_GB2312"/>
          <w:color w:val="000000"/>
          <w:sz w:val="32"/>
        </w:rPr>
        <w:t>擅自经营，牛肉干、鲜牛肉销售市场管理不规范等违法违规行为。</w:t>
      </w:r>
      <w:r>
        <w:rPr>
          <w:rFonts w:hint="eastAsia" w:ascii="仿宋_GB2312" w:eastAsia="仿宋_GB2312" w:cs="仿宋_GB2312"/>
          <w:color w:val="000000"/>
          <w:kern w:val="0"/>
          <w:sz w:val="32"/>
          <w:szCs w:val="32"/>
          <w:lang w:val="zh-CN"/>
        </w:rPr>
        <w:t>部分餐饮单位存在未全面按照《餐饮服务食品安全操作规范》的要求开展留样。</w:t>
      </w:r>
    </w:p>
    <w:p w14:paraId="53193B7F">
      <w:pPr>
        <w:spacing w:line="600" w:lineRule="exact"/>
        <w:ind w:firstLine="643" w:firstLineChars="20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州市场监督管理局</w:t>
      </w:r>
    </w:p>
    <w:p w14:paraId="5A4A31E6">
      <w:pPr>
        <w:spacing w:line="600" w:lineRule="exact"/>
        <w:ind w:left="2244" w:leftChars="304" w:hanging="1606" w:hangingChars="50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旅游局、州卫</w:t>
      </w:r>
      <w:r>
        <w:rPr>
          <w:rFonts w:hint="eastAsia" w:ascii="仿宋_GB2312" w:hAnsi="仿宋_GB2312" w:eastAsia="仿宋_GB2312" w:cs="仿宋_GB2312"/>
          <w:sz w:val="32"/>
        </w:rPr>
        <w:t>生</w:t>
      </w:r>
      <w:r>
        <w:rPr>
          <w:rFonts w:ascii="仿宋_GB2312" w:hAnsi="仿宋_GB2312" w:eastAsia="仿宋_GB2312" w:cs="仿宋_GB2312"/>
          <w:sz w:val="32"/>
        </w:rPr>
        <w:t>健</w:t>
      </w:r>
      <w:r>
        <w:rPr>
          <w:rFonts w:hint="eastAsia" w:ascii="仿宋_GB2312" w:hAnsi="仿宋_GB2312" w:eastAsia="仿宋_GB2312" w:cs="仿宋_GB2312"/>
          <w:sz w:val="32"/>
        </w:rPr>
        <w:t>康</w:t>
      </w:r>
      <w:r>
        <w:rPr>
          <w:rFonts w:ascii="仿宋_GB2312" w:hAnsi="仿宋_GB2312" w:eastAsia="仿宋_GB2312" w:cs="仿宋_GB2312"/>
          <w:sz w:val="32"/>
        </w:rPr>
        <w:t>委</w:t>
      </w:r>
      <w:r>
        <w:rPr>
          <w:rFonts w:hint="eastAsia" w:ascii="仿宋_GB2312" w:hAnsi="仿宋_GB2312" w:eastAsia="仿宋_GB2312" w:cs="仿宋_GB2312"/>
          <w:sz w:val="32"/>
        </w:rPr>
        <w:t>员会</w:t>
      </w:r>
    </w:p>
    <w:p w14:paraId="7C089DAF">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问题三：团餐不达标。</w:t>
      </w:r>
      <w:r>
        <w:rPr>
          <w:rFonts w:ascii="仿宋_GB2312" w:hAnsi="仿宋_GB2312" w:eastAsia="仿宋_GB2312" w:cs="仿宋_GB2312"/>
          <w:sz w:val="32"/>
        </w:rPr>
        <w:t>全州旅游团餐接待场所普遍存在卫生质量差、品种单一、分量少，餐标和质量不匹配，餐标过低或餐标未达标，餐饮及服务质量跟不上，游客有吃不下、吃不好、吃不饱的现象。</w:t>
      </w:r>
    </w:p>
    <w:p w14:paraId="5C905B01">
      <w:pPr>
        <w:spacing w:line="600" w:lineRule="exact"/>
        <w:ind w:firstLine="63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sz w:val="32"/>
        </w:rPr>
        <w:t>牵头单位</w:t>
      </w:r>
      <w:r>
        <w:rPr>
          <w:rFonts w:ascii="仿宋_GB2312" w:hAnsi="仿宋_GB2312" w:eastAsia="仿宋_GB2312" w:cs="仿宋_GB2312"/>
          <w:b/>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州市场监督管理局</w:t>
      </w:r>
    </w:p>
    <w:p w14:paraId="632E26F0">
      <w:pPr>
        <w:spacing w:line="600" w:lineRule="exact"/>
        <w:ind w:left="2244" w:leftChars="304" w:hanging="1606" w:hangingChars="50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旅游局、州卫</w:t>
      </w:r>
      <w:r>
        <w:rPr>
          <w:rFonts w:hint="eastAsia" w:ascii="仿宋_GB2312" w:hAnsi="仿宋_GB2312" w:eastAsia="仿宋_GB2312" w:cs="仿宋_GB2312"/>
          <w:sz w:val="32"/>
        </w:rPr>
        <w:t>生</w:t>
      </w:r>
      <w:r>
        <w:rPr>
          <w:rFonts w:ascii="仿宋_GB2312" w:hAnsi="仿宋_GB2312" w:eastAsia="仿宋_GB2312" w:cs="仿宋_GB2312"/>
          <w:sz w:val="32"/>
        </w:rPr>
        <w:t>健</w:t>
      </w:r>
      <w:r>
        <w:rPr>
          <w:rFonts w:hint="eastAsia" w:ascii="仿宋_GB2312" w:hAnsi="仿宋_GB2312" w:eastAsia="仿宋_GB2312" w:cs="仿宋_GB2312"/>
          <w:sz w:val="32"/>
        </w:rPr>
        <w:t>康</w:t>
      </w:r>
      <w:r>
        <w:rPr>
          <w:rFonts w:ascii="仿宋_GB2312" w:hAnsi="仿宋_GB2312" w:eastAsia="仿宋_GB2312" w:cs="仿宋_GB2312"/>
          <w:sz w:val="32"/>
        </w:rPr>
        <w:t>委</w:t>
      </w:r>
      <w:r>
        <w:rPr>
          <w:rFonts w:hint="eastAsia" w:ascii="仿宋_GB2312" w:hAnsi="仿宋_GB2312" w:eastAsia="仿宋_GB2312" w:cs="仿宋_GB2312"/>
          <w:sz w:val="32"/>
        </w:rPr>
        <w:t>员会</w:t>
      </w:r>
    </w:p>
    <w:p w14:paraId="3A0A835D">
      <w:pPr>
        <w:spacing w:line="600" w:lineRule="exact"/>
        <w:ind w:firstLine="643"/>
        <w:rPr>
          <w:rFonts w:ascii="仿宋_GB2312" w:hAnsi="仿宋_GB2312" w:eastAsia="仿宋_GB2312" w:cs="仿宋_GB2312"/>
          <w:color w:val="000000"/>
          <w:sz w:val="32"/>
        </w:rPr>
      </w:pPr>
      <w:r>
        <w:rPr>
          <w:rFonts w:ascii="仿宋_GB2312" w:hAnsi="仿宋_GB2312" w:eastAsia="仿宋_GB2312" w:cs="仿宋_GB2312"/>
          <w:b/>
          <w:sz w:val="32"/>
        </w:rPr>
        <w:t>问题四：意识未跟上。</w:t>
      </w:r>
      <w:r>
        <w:rPr>
          <w:rFonts w:ascii="仿宋_GB2312" w:hAnsi="仿宋_GB2312" w:eastAsia="仿宋_GB2312" w:cs="仿宋_GB2312"/>
          <w:sz w:val="32"/>
        </w:rPr>
        <w:t>疫情常态化防控措施需进一步完善，公共场所卫生检测和卫生技术指导需进一步加强，存在旅游从业人员未获得健康合格证，而从事</w:t>
      </w:r>
      <w:r>
        <w:rPr>
          <w:rFonts w:ascii="仿宋_GB2312" w:hAnsi="仿宋_GB2312" w:eastAsia="仿宋_GB2312" w:cs="仿宋_GB2312"/>
          <w:color w:val="000000"/>
          <w:sz w:val="32"/>
        </w:rPr>
        <w:t>直接为顾客服务；行业主管部门开展从业人员卫生知识的教育和培训较少等问题。</w:t>
      </w:r>
    </w:p>
    <w:p w14:paraId="341295FC">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州卫</w:t>
      </w:r>
      <w:r>
        <w:rPr>
          <w:rFonts w:hint="eastAsia" w:ascii="仿宋_GB2312" w:hAnsi="仿宋_GB2312" w:eastAsia="仿宋_GB2312" w:cs="仿宋_GB2312"/>
          <w:sz w:val="32"/>
        </w:rPr>
        <w:t>生</w:t>
      </w:r>
      <w:r>
        <w:rPr>
          <w:rFonts w:ascii="仿宋_GB2312" w:hAnsi="仿宋_GB2312" w:eastAsia="仿宋_GB2312" w:cs="仿宋_GB2312"/>
          <w:sz w:val="32"/>
        </w:rPr>
        <w:t>健</w:t>
      </w:r>
      <w:r>
        <w:rPr>
          <w:rFonts w:hint="eastAsia" w:ascii="仿宋_GB2312" w:hAnsi="仿宋_GB2312" w:eastAsia="仿宋_GB2312" w:cs="仿宋_GB2312"/>
          <w:sz w:val="32"/>
        </w:rPr>
        <w:t>康</w:t>
      </w:r>
      <w:r>
        <w:rPr>
          <w:rFonts w:ascii="仿宋_GB2312" w:hAnsi="仿宋_GB2312" w:eastAsia="仿宋_GB2312" w:cs="仿宋_GB2312"/>
          <w:sz w:val="32"/>
        </w:rPr>
        <w:t>委</w:t>
      </w:r>
      <w:r>
        <w:rPr>
          <w:rFonts w:hint="eastAsia" w:ascii="仿宋_GB2312" w:hAnsi="仿宋_GB2312" w:eastAsia="仿宋_GB2312" w:cs="仿宋_GB2312"/>
          <w:sz w:val="32"/>
        </w:rPr>
        <w:t>员会</w:t>
      </w:r>
    </w:p>
    <w:p w14:paraId="060813F8">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各县（市）人民政府、州市场监督管理局</w:t>
      </w:r>
    </w:p>
    <w:p w14:paraId="3515983B">
      <w:pPr>
        <w:spacing w:line="600" w:lineRule="exact"/>
        <w:ind w:firstLine="630"/>
        <w:rPr>
          <w:rFonts w:ascii="楷体_GB2312" w:hAnsi="楷体_GB2312" w:eastAsia="楷体_GB2312" w:cs="楷体_GB2312"/>
          <w:b/>
          <w:sz w:val="32"/>
        </w:rPr>
      </w:pPr>
      <w:r>
        <w:rPr>
          <w:rFonts w:ascii="楷体_GB2312" w:hAnsi="楷体_GB2312" w:eastAsia="楷体_GB2312" w:cs="楷体_GB2312"/>
          <w:b/>
          <w:sz w:val="32"/>
        </w:rPr>
        <w:t>（二）推进旅游住宿“提档行动”，让游客住得安心</w:t>
      </w:r>
    </w:p>
    <w:p w14:paraId="542719AF">
      <w:pPr>
        <w:spacing w:line="600" w:lineRule="exact"/>
        <w:ind w:left="176" w:firstLine="630"/>
        <w:rPr>
          <w:rFonts w:ascii="仿宋_GB2312" w:hAnsi="仿宋_GB2312" w:eastAsia="仿宋_GB2312" w:cs="仿宋_GB2312"/>
          <w:sz w:val="32"/>
        </w:rPr>
      </w:pPr>
      <w:r>
        <w:rPr>
          <w:rFonts w:ascii="仿宋_GB2312" w:hAnsi="仿宋_GB2312" w:eastAsia="仿宋_GB2312" w:cs="仿宋_GB2312"/>
          <w:b/>
          <w:sz w:val="32"/>
        </w:rPr>
        <w:t>问题一：缺乏规范管理手段，导致提档升级难。</w:t>
      </w:r>
      <w:r>
        <w:rPr>
          <w:rFonts w:ascii="仿宋_GB2312" w:hAnsi="仿宋_GB2312" w:eastAsia="仿宋_GB2312" w:cs="仿宋_GB2312"/>
          <w:sz w:val="32"/>
        </w:rPr>
        <w:t>全州旅游住宿业在经营过程中存在违规建设、拆迁，环评手续不完备，相关污染物排放不标准，经营管理不规范、体验感差、环境卫生差等问题。</w:t>
      </w:r>
    </w:p>
    <w:p w14:paraId="66E95381">
      <w:pPr>
        <w:spacing w:line="600" w:lineRule="exact"/>
        <w:ind w:left="2218" w:hanging="159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州商务</w:t>
      </w:r>
      <w:r>
        <w:rPr>
          <w:rFonts w:hint="eastAsia" w:ascii="仿宋_GB2312" w:hAnsi="仿宋_GB2312" w:eastAsia="仿宋_GB2312" w:cs="仿宋_GB2312"/>
          <w:sz w:val="32"/>
        </w:rPr>
        <w:t>和经济合作</w:t>
      </w:r>
      <w:r>
        <w:rPr>
          <w:rFonts w:ascii="仿宋_GB2312" w:hAnsi="仿宋_GB2312" w:eastAsia="仿宋_GB2312" w:cs="仿宋_GB2312"/>
          <w:sz w:val="32"/>
        </w:rPr>
        <w:t>局</w:t>
      </w:r>
    </w:p>
    <w:p w14:paraId="5C82EAFA">
      <w:pPr>
        <w:spacing w:line="600" w:lineRule="exact"/>
        <w:ind w:left="2218" w:hanging="159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各县（市）人民政府、州生态环境局、州住</w:t>
      </w:r>
      <w:r>
        <w:rPr>
          <w:rFonts w:hint="eastAsia" w:ascii="仿宋_GB2312" w:hAnsi="仿宋_GB2312" w:eastAsia="仿宋_GB2312" w:cs="仿宋_GB2312"/>
          <w:sz w:val="32"/>
        </w:rPr>
        <w:t>房和城乡</w:t>
      </w:r>
      <w:r>
        <w:rPr>
          <w:rFonts w:ascii="仿宋_GB2312" w:hAnsi="仿宋_GB2312" w:eastAsia="仿宋_GB2312" w:cs="仿宋_GB2312"/>
          <w:sz w:val="32"/>
        </w:rPr>
        <w:t>建</w:t>
      </w:r>
      <w:r>
        <w:rPr>
          <w:rFonts w:hint="eastAsia" w:ascii="仿宋_GB2312" w:hAnsi="仿宋_GB2312" w:eastAsia="仿宋_GB2312" w:cs="仿宋_GB2312"/>
          <w:sz w:val="32"/>
        </w:rPr>
        <w:t>设</w:t>
      </w:r>
      <w:r>
        <w:rPr>
          <w:rFonts w:ascii="仿宋_GB2312" w:hAnsi="仿宋_GB2312" w:eastAsia="仿宋_GB2312" w:cs="仿宋_GB2312"/>
          <w:sz w:val="32"/>
        </w:rPr>
        <w:t>局、州市场监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05EF0272">
      <w:pPr>
        <w:spacing w:line="600" w:lineRule="exact"/>
        <w:ind w:left="176" w:firstLine="630"/>
        <w:rPr>
          <w:rFonts w:ascii="仿宋_GB2312" w:hAnsi="仿宋_GB2312" w:eastAsia="仿宋_GB2312" w:cs="仿宋_GB2312"/>
          <w:sz w:val="32"/>
        </w:rPr>
      </w:pPr>
      <w:r>
        <w:rPr>
          <w:rFonts w:ascii="仿宋_GB2312" w:hAnsi="仿宋_GB2312" w:eastAsia="仿宋_GB2312" w:cs="仿宋_GB2312"/>
          <w:b/>
          <w:sz w:val="32"/>
        </w:rPr>
        <w:t>问题二：缺乏相应标准引领，导致软硬件匹配难。</w:t>
      </w:r>
      <w:r>
        <w:rPr>
          <w:rFonts w:ascii="仿宋_GB2312" w:hAnsi="仿宋_GB2312" w:eastAsia="仿宋_GB2312" w:cs="仿宋_GB2312"/>
          <w:sz w:val="32"/>
        </w:rPr>
        <w:t>全州星级酒店、民宿、星级农牧家乐一定程度存在对评定标准掌握不深入、理解不透彻、落实不到位，对从业人员的理论培训和技能指导不够。注重前期评定，疏忽后期管理，标准执行力差。部分酒店存在“一客一登记”“一客一换”制度落实不好，客房卫生差，服务不规范，对客态度恶劣等问题。</w:t>
      </w:r>
    </w:p>
    <w:p w14:paraId="36114DBD">
      <w:pPr>
        <w:spacing w:line="600" w:lineRule="exact"/>
        <w:ind w:left="2218" w:hanging="159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w:t>
      </w:r>
    </w:p>
    <w:p w14:paraId="41A5AB98">
      <w:pPr>
        <w:spacing w:line="600" w:lineRule="exact"/>
        <w:ind w:left="2218" w:hanging="159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各县（市）人民政府、州公安局、州商务</w:t>
      </w:r>
      <w:r>
        <w:rPr>
          <w:rFonts w:hint="eastAsia" w:ascii="仿宋_GB2312" w:hAnsi="仿宋_GB2312" w:eastAsia="仿宋_GB2312" w:cs="仿宋_GB2312"/>
          <w:sz w:val="32"/>
        </w:rPr>
        <w:t>和经济合作</w:t>
      </w:r>
      <w:r>
        <w:rPr>
          <w:rFonts w:ascii="仿宋_GB2312" w:hAnsi="仿宋_GB2312" w:eastAsia="仿宋_GB2312" w:cs="仿宋_GB2312"/>
          <w:sz w:val="32"/>
        </w:rPr>
        <w:t>局</w:t>
      </w:r>
    </w:p>
    <w:p w14:paraId="439FEAE7">
      <w:pPr>
        <w:spacing w:line="600" w:lineRule="exact"/>
        <w:ind w:left="176" w:firstLine="630"/>
        <w:rPr>
          <w:rFonts w:ascii="仿宋_GB2312" w:hAnsi="仿宋_GB2312" w:eastAsia="仿宋_GB2312" w:cs="仿宋_GB2312"/>
          <w:sz w:val="32"/>
        </w:rPr>
      </w:pPr>
      <w:r>
        <w:rPr>
          <w:rFonts w:ascii="仿宋_GB2312" w:hAnsi="仿宋_GB2312" w:eastAsia="仿宋_GB2312" w:cs="仿宋_GB2312"/>
          <w:b/>
          <w:sz w:val="32"/>
        </w:rPr>
        <w:t>问题三：缺乏品牌打造特色，导致差异化发展难。</w:t>
      </w:r>
      <w:r>
        <w:rPr>
          <w:rFonts w:ascii="仿宋_GB2312" w:hAnsi="仿宋_GB2312" w:eastAsia="仿宋_GB2312" w:cs="仿宋_GB2312"/>
          <w:sz w:val="32"/>
        </w:rPr>
        <w:t>全州旅游住宿业在主题设计上缺乏个性化创意、文化植入不够、市场定位不准，没有形成自我品牌特色,导致同质化现象严重。民宿产业打造难以突出“乡愁”和“古韵”，缺乏主人情怀，游客体验感差。</w:t>
      </w:r>
    </w:p>
    <w:p w14:paraId="15944A09">
      <w:pPr>
        <w:spacing w:line="600" w:lineRule="exact"/>
        <w:ind w:left="2218" w:hanging="159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w:t>
      </w:r>
    </w:p>
    <w:p w14:paraId="23ADCEED">
      <w:pPr>
        <w:spacing w:line="600" w:lineRule="exact"/>
        <w:ind w:left="2218" w:hanging="159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各县（市）人民政府、州商务</w:t>
      </w:r>
      <w:r>
        <w:rPr>
          <w:rFonts w:hint="eastAsia" w:ascii="仿宋_GB2312" w:hAnsi="仿宋_GB2312" w:eastAsia="仿宋_GB2312" w:cs="仿宋_GB2312"/>
          <w:sz w:val="32"/>
        </w:rPr>
        <w:t>和经济合作</w:t>
      </w:r>
      <w:r>
        <w:rPr>
          <w:rFonts w:ascii="仿宋_GB2312" w:hAnsi="仿宋_GB2312" w:eastAsia="仿宋_GB2312" w:cs="仿宋_GB2312"/>
          <w:sz w:val="32"/>
        </w:rPr>
        <w:t>局</w:t>
      </w:r>
    </w:p>
    <w:p w14:paraId="71C6D52E">
      <w:pPr>
        <w:spacing w:line="600" w:lineRule="exact"/>
        <w:ind w:left="2218" w:hanging="1590"/>
        <w:rPr>
          <w:rFonts w:ascii="楷体_GB2312" w:hAnsi="楷体_GB2312" w:eastAsia="楷体_GB2312" w:cs="楷体_GB2312"/>
          <w:sz w:val="32"/>
        </w:rPr>
      </w:pPr>
      <w:r>
        <w:rPr>
          <w:rFonts w:ascii="楷体_GB2312" w:hAnsi="楷体_GB2312" w:eastAsia="楷体_GB2312" w:cs="楷体_GB2312"/>
          <w:b/>
          <w:sz w:val="32"/>
        </w:rPr>
        <w:t>（三）推进交通保障“攻坚行动”，让游客行得顺心</w:t>
      </w:r>
    </w:p>
    <w:p w14:paraId="4F91F645">
      <w:pPr>
        <w:spacing w:line="600" w:lineRule="exact"/>
        <w:ind w:firstLine="640"/>
        <w:rPr>
          <w:rFonts w:ascii="仿宋_GB2312" w:hAnsi="仿宋_GB2312" w:eastAsia="仿宋_GB2312" w:cs="仿宋_GB2312"/>
          <w:sz w:val="32"/>
        </w:rPr>
      </w:pPr>
      <w:r>
        <w:rPr>
          <w:rFonts w:ascii="仿宋_GB2312" w:hAnsi="仿宋_GB2312" w:eastAsia="仿宋_GB2312" w:cs="仿宋_GB2312"/>
          <w:b/>
          <w:sz w:val="32"/>
        </w:rPr>
        <w:t>问题一：道路交通不通畅</w:t>
      </w:r>
      <w:r>
        <w:rPr>
          <w:rFonts w:ascii="仿宋_GB2312" w:hAnsi="仿宋_GB2312" w:eastAsia="仿宋_GB2312" w:cs="仿宋_GB2312"/>
          <w:b/>
          <w:color w:val="000000" w:themeColor="text1"/>
          <w:sz w:val="32"/>
          <w14:textFill>
            <w14:solidFill>
              <w14:schemeClr w14:val="tx1"/>
            </w14:solidFill>
          </w14:textFill>
        </w:rPr>
        <w:t>。</w:t>
      </w:r>
      <w:r>
        <w:rPr>
          <w:rFonts w:ascii="仿宋_GB2312" w:hAnsi="仿宋_GB2312" w:eastAsia="仿宋_GB2312" w:cs="仿宋_GB2312"/>
          <w:color w:val="000000" w:themeColor="text1"/>
          <w:sz w:val="32"/>
          <w14:textFill>
            <w14:solidFill>
              <w14:schemeClr w14:val="tx1"/>
            </w14:solidFill>
          </w14:textFill>
        </w:rPr>
        <w:t>存在未及时发布道路预警信息，未对车辆违</w:t>
      </w:r>
      <w:r>
        <w:rPr>
          <w:rFonts w:hint="eastAsia" w:ascii="仿宋_GB2312" w:hAnsi="仿宋_GB2312" w:eastAsia="仿宋_GB2312" w:cs="仿宋_GB2312"/>
          <w:color w:val="000000" w:themeColor="text1"/>
          <w:sz w:val="32"/>
          <w14:textFill>
            <w14:solidFill>
              <w14:schemeClr w14:val="tx1"/>
            </w14:solidFill>
          </w14:textFill>
        </w:rPr>
        <w:t>法</w:t>
      </w:r>
      <w:r>
        <w:rPr>
          <w:rFonts w:ascii="仿宋_GB2312" w:hAnsi="仿宋_GB2312" w:eastAsia="仿宋_GB2312" w:cs="仿宋_GB2312"/>
          <w:color w:val="000000" w:themeColor="text1"/>
          <w:sz w:val="32"/>
          <w14:textFill>
            <w14:solidFill>
              <w14:schemeClr w14:val="tx1"/>
            </w14:solidFill>
          </w14:textFill>
        </w:rPr>
        <w:t>禁令标志、</w:t>
      </w:r>
      <w:r>
        <w:rPr>
          <w:rFonts w:ascii="仿宋_GB2312" w:hAnsi="仿宋_GB2312" w:eastAsia="仿宋_GB2312" w:cs="仿宋_GB2312"/>
          <w:sz w:val="32"/>
        </w:rPr>
        <w:t>车辆违法停车、违规上下客、向车外乱扔垃圾等交通违法行为进行严格查处，未在相关匝道口进行科学管控，引导车辆有序分流。</w:t>
      </w:r>
    </w:p>
    <w:p w14:paraId="52C32B2C">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州公安局</w:t>
      </w:r>
    </w:p>
    <w:p w14:paraId="713FB86A">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州交通</w:t>
      </w:r>
      <w:r>
        <w:rPr>
          <w:rFonts w:hint="eastAsia" w:ascii="仿宋_GB2312" w:hAnsi="仿宋_GB2312" w:eastAsia="仿宋_GB2312" w:cs="仿宋_GB2312"/>
          <w:sz w:val="32"/>
        </w:rPr>
        <w:t>运输</w:t>
      </w:r>
      <w:r>
        <w:rPr>
          <w:rFonts w:ascii="仿宋_GB2312" w:hAnsi="仿宋_GB2312" w:eastAsia="仿宋_GB2312" w:cs="仿宋_GB2312"/>
          <w:sz w:val="32"/>
        </w:rPr>
        <w:t>局</w:t>
      </w:r>
    </w:p>
    <w:p w14:paraId="309F8F4B">
      <w:pPr>
        <w:spacing w:line="600" w:lineRule="exact"/>
        <w:ind w:firstLine="640"/>
        <w:rPr>
          <w:rFonts w:ascii="仿宋_GB2312" w:hAnsi="仿宋_GB2312" w:eastAsia="仿宋_GB2312" w:cs="仿宋_GB2312"/>
          <w:sz w:val="32"/>
        </w:rPr>
      </w:pPr>
      <w:r>
        <w:rPr>
          <w:rFonts w:ascii="仿宋_GB2312" w:hAnsi="仿宋_GB2312" w:eastAsia="仿宋_GB2312" w:cs="仿宋_GB2312"/>
          <w:b/>
          <w:sz w:val="32"/>
        </w:rPr>
        <w:t>问题二：</w:t>
      </w:r>
      <w:r>
        <w:rPr>
          <w:rFonts w:hint="eastAsia" w:ascii="仿宋_GB2312" w:hAnsi="仿宋_GB2312" w:eastAsia="仿宋_GB2312" w:cs="仿宋_GB2312"/>
          <w:b/>
          <w:sz w:val="32"/>
        </w:rPr>
        <w:t>移动</w:t>
      </w:r>
      <w:r>
        <w:rPr>
          <w:rFonts w:ascii="仿宋_GB2312" w:hAnsi="仿宋_GB2312" w:eastAsia="仿宋_GB2312" w:cs="仿宋_GB2312"/>
          <w:b/>
          <w:sz w:val="32"/>
        </w:rPr>
        <w:t>测速不合理。</w:t>
      </w:r>
      <w:r>
        <w:rPr>
          <w:rFonts w:ascii="仿宋_GB2312" w:hAnsi="仿宋_GB2312" w:eastAsia="仿宋_GB2312" w:cs="仿宋_GB2312"/>
          <w:color w:val="000000" w:themeColor="text1"/>
          <w:sz w:val="32"/>
          <w14:textFill>
            <w14:solidFill>
              <w14:schemeClr w14:val="tx1"/>
            </w14:solidFill>
          </w14:textFill>
        </w:rPr>
        <w:t>存在</w:t>
      </w:r>
      <w:r>
        <w:rPr>
          <w:rFonts w:hint="eastAsia" w:ascii="仿宋_GB2312" w:hAnsi="仿宋_GB2312" w:eastAsia="仿宋_GB2312" w:cs="仿宋_GB2312"/>
          <w:color w:val="000000" w:themeColor="text1"/>
          <w:sz w:val="32"/>
          <w14:textFill>
            <w14:solidFill>
              <w14:schemeClr w14:val="tx1"/>
            </w14:solidFill>
          </w14:textFill>
        </w:rPr>
        <w:t>移动测速提示不明显，标志不清楚，交警隐蔽执法时有存在。</w:t>
      </w:r>
      <w:r>
        <w:rPr>
          <w:rFonts w:ascii="仿宋_GB2312" w:hAnsi="仿宋_GB2312" w:eastAsia="仿宋_GB2312" w:cs="仿宋_GB2312"/>
          <w:color w:val="000000" w:themeColor="text1"/>
          <w:sz w:val="32"/>
          <w14:textFill>
            <w14:solidFill>
              <w14:schemeClr w14:val="tx1"/>
            </w14:solidFill>
          </w14:textFill>
        </w:rPr>
        <w:t>未科学合理</w:t>
      </w:r>
      <w:r>
        <w:rPr>
          <w:rFonts w:hint="eastAsia" w:ascii="仿宋_GB2312" w:hAnsi="仿宋_GB2312" w:eastAsia="仿宋_GB2312" w:cs="仿宋_GB2312"/>
          <w:color w:val="000000" w:themeColor="text1"/>
          <w:sz w:val="32"/>
          <w14:textFill>
            <w14:solidFill>
              <w14:schemeClr w14:val="tx1"/>
            </w14:solidFill>
          </w14:textFill>
        </w:rPr>
        <w:t>设</w:t>
      </w:r>
      <w:r>
        <w:rPr>
          <w:rFonts w:ascii="仿宋_GB2312" w:hAnsi="仿宋_GB2312" w:eastAsia="仿宋_GB2312" w:cs="仿宋_GB2312"/>
          <w:color w:val="000000" w:themeColor="text1"/>
          <w:sz w:val="32"/>
          <w14:textFill>
            <w14:solidFill>
              <w14:schemeClr w14:val="tx1"/>
            </w14:solidFill>
          </w14:textFill>
        </w:rPr>
        <w:t>置区间测速点位，未及时发布道路</w:t>
      </w:r>
      <w:r>
        <w:rPr>
          <w:rFonts w:hint="eastAsia" w:ascii="仿宋_GB2312" w:hAnsi="仿宋_GB2312" w:eastAsia="仿宋_GB2312" w:cs="仿宋_GB2312"/>
          <w:color w:val="000000" w:themeColor="text1"/>
          <w:sz w:val="32"/>
          <w14:textFill>
            <w14:solidFill>
              <w14:schemeClr w14:val="tx1"/>
            </w14:solidFill>
          </w14:textFill>
        </w:rPr>
        <w:t>状</w:t>
      </w:r>
      <w:r>
        <w:rPr>
          <w:rFonts w:ascii="仿宋_GB2312" w:hAnsi="仿宋_GB2312" w:eastAsia="仿宋_GB2312" w:cs="仿宋_GB2312"/>
          <w:color w:val="000000" w:themeColor="text1"/>
          <w:sz w:val="32"/>
          <w14:textFill>
            <w14:solidFill>
              <w14:schemeClr w14:val="tx1"/>
            </w14:solidFill>
          </w14:textFill>
        </w:rPr>
        <w:t>况信息，提醒</w:t>
      </w:r>
      <w:r>
        <w:rPr>
          <w:rFonts w:ascii="仿宋_GB2312" w:hAnsi="仿宋_GB2312" w:eastAsia="仿宋_GB2312" w:cs="仿宋_GB2312"/>
          <w:sz w:val="32"/>
        </w:rPr>
        <w:t>广大</w:t>
      </w:r>
      <w:r>
        <w:rPr>
          <w:rFonts w:hint="eastAsia" w:ascii="仿宋_GB2312" w:hAnsi="仿宋_GB2312" w:eastAsia="仿宋_GB2312" w:cs="仿宋_GB2312"/>
          <w:sz w:val="32"/>
        </w:rPr>
        <w:t>群众和</w:t>
      </w:r>
      <w:r>
        <w:rPr>
          <w:rFonts w:ascii="仿宋_GB2312" w:hAnsi="仿宋_GB2312" w:eastAsia="仿宋_GB2312" w:cs="仿宋_GB2312"/>
          <w:sz w:val="32"/>
        </w:rPr>
        <w:t>游客安全出行。</w:t>
      </w:r>
    </w:p>
    <w:p w14:paraId="30E125A7">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州公安局</w:t>
      </w:r>
    </w:p>
    <w:p w14:paraId="0EC1AA88">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州交通</w:t>
      </w:r>
      <w:r>
        <w:rPr>
          <w:rFonts w:hint="eastAsia" w:ascii="仿宋_GB2312" w:hAnsi="仿宋_GB2312" w:eastAsia="仿宋_GB2312" w:cs="仿宋_GB2312"/>
          <w:sz w:val="32"/>
        </w:rPr>
        <w:t>运输</w:t>
      </w:r>
      <w:r>
        <w:rPr>
          <w:rFonts w:ascii="仿宋_GB2312" w:hAnsi="仿宋_GB2312" w:eastAsia="仿宋_GB2312" w:cs="仿宋_GB2312"/>
          <w:sz w:val="32"/>
        </w:rPr>
        <w:t>局</w:t>
      </w:r>
    </w:p>
    <w:p w14:paraId="292E73DD">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问题三：导视系统不全面。</w:t>
      </w:r>
      <w:r>
        <w:rPr>
          <w:rFonts w:ascii="仿宋_GB2312" w:hAnsi="仿宋_GB2312" w:eastAsia="仿宋_GB2312" w:cs="仿宋_GB2312"/>
          <w:sz w:val="32"/>
        </w:rPr>
        <w:t>存在部分道路导视系统不完善，智慧交通发展滞后，驾乘人员无法了解道路情况和服务区情况，导致交通问题方面的投诉加大。</w:t>
      </w:r>
    </w:p>
    <w:p w14:paraId="41C26E7F">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州交通</w:t>
      </w:r>
      <w:r>
        <w:rPr>
          <w:rFonts w:hint="eastAsia" w:ascii="仿宋_GB2312" w:hAnsi="仿宋_GB2312" w:eastAsia="仿宋_GB2312" w:cs="仿宋_GB2312"/>
          <w:sz w:val="32"/>
        </w:rPr>
        <w:t>运输</w:t>
      </w:r>
      <w:r>
        <w:rPr>
          <w:rFonts w:ascii="仿宋_GB2312" w:hAnsi="仿宋_GB2312" w:eastAsia="仿宋_GB2312" w:cs="仿宋_GB2312"/>
          <w:sz w:val="32"/>
        </w:rPr>
        <w:t>局</w:t>
      </w:r>
    </w:p>
    <w:p w14:paraId="6FC55598">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州公安局</w:t>
      </w:r>
    </w:p>
    <w:p w14:paraId="43F8C538">
      <w:pPr>
        <w:spacing w:line="600" w:lineRule="exact"/>
        <w:ind w:firstLine="640"/>
        <w:rPr>
          <w:rFonts w:ascii="仿宋_GB2312" w:hAnsi="仿宋_GB2312" w:eastAsia="仿宋_GB2312" w:cs="仿宋_GB2312"/>
          <w:sz w:val="32"/>
        </w:rPr>
      </w:pPr>
      <w:r>
        <w:rPr>
          <w:rFonts w:ascii="仿宋_GB2312" w:hAnsi="仿宋_GB2312" w:eastAsia="仿宋_GB2312" w:cs="仿宋_GB2312"/>
          <w:b/>
          <w:sz w:val="32"/>
        </w:rPr>
        <w:t>问题四：车辆运营不规范。</w:t>
      </w:r>
      <w:r>
        <w:rPr>
          <w:rFonts w:ascii="仿宋_GB2312" w:hAnsi="仿宋_GB2312" w:eastAsia="仿宋_GB2312" w:cs="仿宋_GB2312"/>
          <w:sz w:val="32"/>
        </w:rPr>
        <w:t>存在未取得道路客运经营许可，擅自从事道路客运经营的；未取得道路客运班线经营许可，擅自从事班车客运经营的；使用失效、伪造、变造、被注销等无效的道路客运许可证件从事道路客运经营；存在</w:t>
      </w:r>
      <w:r>
        <w:rPr>
          <w:rFonts w:ascii="仿宋_GB2312" w:hAnsi="仿宋_GB2312" w:eastAsia="仿宋_GB2312" w:cs="仿宋_GB2312"/>
          <w:color w:val="000000"/>
          <w:sz w:val="32"/>
        </w:rPr>
        <w:t>旅游客运非法营运行为、异地违规承运旅游团队等问题。</w:t>
      </w:r>
    </w:p>
    <w:p w14:paraId="571EEE2F">
      <w:pPr>
        <w:spacing w:line="600" w:lineRule="exact"/>
        <w:ind w:firstLine="68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sz w:val="32"/>
        </w:rPr>
        <w:t>牵头单位：</w:t>
      </w:r>
      <w:r>
        <w:rPr>
          <w:rFonts w:ascii="仿宋_GB2312" w:hAnsi="仿宋_GB2312" w:eastAsia="仿宋_GB2312" w:cs="仿宋_GB2312"/>
          <w:color w:val="000000" w:themeColor="text1"/>
          <w:sz w:val="32"/>
          <w14:textFill>
            <w14:solidFill>
              <w14:schemeClr w14:val="tx1"/>
            </w14:solidFill>
          </w14:textFill>
        </w:rPr>
        <w:t>州交通</w:t>
      </w:r>
      <w:r>
        <w:rPr>
          <w:rFonts w:hint="eastAsia" w:ascii="仿宋_GB2312" w:hAnsi="仿宋_GB2312" w:eastAsia="仿宋_GB2312" w:cs="仿宋_GB2312"/>
          <w:color w:val="000000" w:themeColor="text1"/>
          <w:sz w:val="32"/>
          <w14:textFill>
            <w14:solidFill>
              <w14:schemeClr w14:val="tx1"/>
            </w14:solidFill>
          </w14:textFill>
        </w:rPr>
        <w:t>运输</w:t>
      </w:r>
      <w:r>
        <w:rPr>
          <w:rFonts w:ascii="仿宋_GB2312" w:hAnsi="仿宋_GB2312" w:eastAsia="仿宋_GB2312" w:cs="仿宋_GB2312"/>
          <w:color w:val="000000" w:themeColor="text1"/>
          <w:sz w:val="32"/>
          <w14:textFill>
            <w14:solidFill>
              <w14:schemeClr w14:val="tx1"/>
            </w14:solidFill>
          </w14:textFill>
        </w:rPr>
        <w:t>局</w:t>
      </w:r>
    </w:p>
    <w:p w14:paraId="025DA892">
      <w:pPr>
        <w:spacing w:line="600" w:lineRule="exact"/>
        <w:ind w:left="160" w:firstLine="517"/>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各县（市）人民政府、州公安局、州文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w:t>
      </w:r>
    </w:p>
    <w:p w14:paraId="5D113E02">
      <w:pPr>
        <w:spacing w:line="600" w:lineRule="exact"/>
        <w:ind w:left="160" w:firstLine="2067" w:firstLineChars="646"/>
        <w:rPr>
          <w:rFonts w:ascii="仿宋_GB2312" w:hAnsi="仿宋_GB2312" w:eastAsia="仿宋_GB2312" w:cs="仿宋_GB2312"/>
          <w:sz w:val="32"/>
        </w:rPr>
      </w:pPr>
      <w:r>
        <w:rPr>
          <w:rFonts w:hint="eastAsia" w:ascii="仿宋_GB2312" w:hAnsi="仿宋_GB2312" w:eastAsia="仿宋_GB2312" w:cs="仿宋_GB2312"/>
          <w:sz w:val="32"/>
        </w:rPr>
        <w:t>和</w:t>
      </w:r>
      <w:r>
        <w:rPr>
          <w:rFonts w:ascii="仿宋_GB2312" w:hAnsi="仿宋_GB2312" w:eastAsia="仿宋_GB2312" w:cs="仿宋_GB2312"/>
          <w:sz w:val="32"/>
        </w:rPr>
        <w:t>旅游局</w:t>
      </w:r>
    </w:p>
    <w:p w14:paraId="5D44C3C3">
      <w:pPr>
        <w:spacing w:line="600" w:lineRule="exact"/>
        <w:ind w:firstLine="640"/>
        <w:rPr>
          <w:rFonts w:ascii="仿宋_GB2312" w:hAnsi="仿宋_GB2312" w:eastAsia="仿宋_GB2312" w:cs="仿宋_GB2312"/>
          <w:sz w:val="32"/>
        </w:rPr>
      </w:pPr>
      <w:r>
        <w:rPr>
          <w:rFonts w:ascii="仿宋_GB2312" w:hAnsi="仿宋_GB2312" w:eastAsia="仿宋_GB2312" w:cs="仿宋_GB2312"/>
          <w:b/>
          <w:sz w:val="32"/>
        </w:rPr>
        <w:t>问题五：配套设施不完善。</w:t>
      </w:r>
      <w:r>
        <w:rPr>
          <w:rFonts w:ascii="仿宋_GB2312" w:hAnsi="仿宋_GB2312" w:eastAsia="仿宋_GB2312" w:cs="仿宋_GB2312"/>
          <w:sz w:val="32"/>
        </w:rPr>
        <w:t>全州旅游交通环线及各旅游景区内道路安全保障较差，道路沿线疫情防控、排查、核处，道路沿线环境整治监管滞后、各加油站供油保障不力；交通</w:t>
      </w:r>
      <w:r>
        <w:rPr>
          <w:rFonts w:ascii="仿宋_GB2312" w:hAnsi="仿宋_GB2312" w:eastAsia="仿宋_GB2312" w:cs="仿宋_GB2312"/>
          <w:color w:val="000000"/>
          <w:sz w:val="32"/>
        </w:rPr>
        <w:t>服务区设置不合理或没有指定服务区，旅游沿线以自建“服务区”为由，变相利用20分钟休息时间，诱导游客购物，已有</w:t>
      </w:r>
      <w:r>
        <w:rPr>
          <w:rFonts w:ascii="仿宋_GB2312" w:hAnsi="仿宋_GB2312" w:eastAsia="仿宋_GB2312" w:cs="仿宋_GB2312"/>
          <w:sz w:val="32"/>
        </w:rPr>
        <w:t>交通服务区存在环境卫生差、经营服务差、车辆进站不规范等问题。</w:t>
      </w:r>
    </w:p>
    <w:p w14:paraId="3CC2F43D">
      <w:pPr>
        <w:spacing w:line="600" w:lineRule="exact"/>
        <w:ind w:firstLine="68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州交通</w:t>
      </w:r>
      <w:r>
        <w:rPr>
          <w:rFonts w:hint="eastAsia" w:ascii="仿宋_GB2312" w:hAnsi="仿宋_GB2312" w:eastAsia="仿宋_GB2312" w:cs="仿宋_GB2312"/>
          <w:sz w:val="32"/>
        </w:rPr>
        <w:t>运输</w:t>
      </w:r>
      <w:r>
        <w:rPr>
          <w:rFonts w:ascii="仿宋_GB2312" w:hAnsi="仿宋_GB2312" w:eastAsia="仿宋_GB2312" w:cs="仿宋_GB2312"/>
          <w:sz w:val="32"/>
        </w:rPr>
        <w:t>局</w:t>
      </w:r>
    </w:p>
    <w:p w14:paraId="424587BB">
      <w:pPr>
        <w:spacing w:line="600" w:lineRule="exact"/>
        <w:ind w:left="2260" w:hanging="1590"/>
        <w:rPr>
          <w:rFonts w:ascii="仿宋_GB2312" w:hAnsi="仿宋_GB2312" w:eastAsia="仿宋_GB2312" w:cs="仿宋_GB2312"/>
          <w:b/>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各县（市）人民政府、州经济和信息化局、州公安局、州市场</w:t>
      </w:r>
      <w:r>
        <w:rPr>
          <w:rFonts w:hint="eastAsia" w:ascii="仿宋_GB2312" w:hAnsi="仿宋_GB2312" w:eastAsia="仿宋_GB2312" w:cs="仿宋_GB2312"/>
          <w:sz w:val="32"/>
        </w:rPr>
        <w:t>督导</w:t>
      </w:r>
      <w:r>
        <w:rPr>
          <w:rFonts w:ascii="仿宋_GB2312" w:hAnsi="仿宋_GB2312" w:eastAsia="仿宋_GB2312" w:cs="仿宋_GB2312"/>
          <w:sz w:val="32"/>
        </w:rPr>
        <w:t>管理局、</w:t>
      </w:r>
      <w:r>
        <w:rPr>
          <w:rFonts w:hint="eastAsia" w:ascii="仿宋_GB2312" w:hAnsi="仿宋_GB2312" w:eastAsia="仿宋_GB2312" w:cs="仿宋_GB2312"/>
          <w:sz w:val="32"/>
        </w:rPr>
        <w:t>阿坝</w:t>
      </w:r>
      <w:r>
        <w:rPr>
          <w:rFonts w:ascii="仿宋_GB2312" w:hAnsi="仿宋_GB2312" w:eastAsia="仿宋_GB2312" w:cs="仿宋_GB2312"/>
          <w:sz w:val="32"/>
        </w:rPr>
        <w:t>大九</w:t>
      </w:r>
      <w:r>
        <w:rPr>
          <w:rFonts w:hint="eastAsia" w:ascii="仿宋_GB2312" w:hAnsi="仿宋_GB2312" w:eastAsia="仿宋_GB2312" w:cs="仿宋_GB2312"/>
          <w:sz w:val="32"/>
        </w:rPr>
        <w:t>寨</w:t>
      </w:r>
      <w:r>
        <w:rPr>
          <w:rFonts w:ascii="仿宋_GB2312" w:hAnsi="仿宋_GB2312" w:eastAsia="仿宋_GB2312" w:cs="仿宋_GB2312"/>
          <w:sz w:val="32"/>
        </w:rPr>
        <w:t>旅</w:t>
      </w:r>
      <w:r>
        <w:rPr>
          <w:rFonts w:hint="eastAsia" w:ascii="仿宋_GB2312" w:hAnsi="仿宋_GB2312" w:eastAsia="仿宋_GB2312" w:cs="仿宋_GB2312"/>
          <w:sz w:val="32"/>
        </w:rPr>
        <w:t>游</w:t>
      </w:r>
      <w:r>
        <w:rPr>
          <w:rFonts w:ascii="仿宋_GB2312" w:hAnsi="仿宋_GB2312" w:eastAsia="仿宋_GB2312" w:cs="仿宋_GB2312"/>
          <w:sz w:val="32"/>
        </w:rPr>
        <w:t>集团公司</w:t>
      </w:r>
    </w:p>
    <w:p w14:paraId="545C19C4">
      <w:pPr>
        <w:spacing w:line="600" w:lineRule="exact"/>
        <w:ind w:firstLine="630"/>
        <w:jc w:val="left"/>
        <w:rPr>
          <w:rFonts w:ascii="仿宋_GB2312" w:hAnsi="仿宋_GB2312" w:eastAsia="仿宋_GB2312" w:cs="仿宋_GB2312"/>
          <w:sz w:val="32"/>
        </w:rPr>
      </w:pPr>
      <w:r>
        <w:rPr>
          <w:rFonts w:ascii="楷体_GB2312" w:hAnsi="楷体_GB2312" w:eastAsia="楷体_GB2312" w:cs="楷体_GB2312"/>
          <w:b/>
          <w:color w:val="000000"/>
          <w:sz w:val="32"/>
        </w:rPr>
        <w:t>（四）推进慢游系统“护航行动”，让游客游得开心</w:t>
      </w:r>
    </w:p>
    <w:p w14:paraId="0D60D901">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问题一：旅行社存在的问题。</w:t>
      </w:r>
      <w:r>
        <w:rPr>
          <w:rFonts w:ascii="仿宋_GB2312" w:hAnsi="仿宋_GB2312" w:eastAsia="仿宋_GB2312" w:cs="仿宋_GB2312"/>
          <w:sz w:val="32"/>
        </w:rPr>
        <w:t>存在未经许可经营单位经营旅行社业务，旅行社以不合理低价组织旅游活动，诱骗旅游者，通过安排购物或者另行付费旅游项目获取不正当利益；未按规定派遣随团导游或使用无证导游、领队提供服务；未签订旅游合同或签订虚假合同、合同签订不规范、未使用或不规范使用电子行程单；组织旅游活动未向合格的供应商订购产品和服务，采购无旅游运营资质车辆等问题；组织、接待旅游者，指定具体购物场所和要求导游垫付或者收取费用，以及收费票据涉嫌违规等问题。</w:t>
      </w:r>
    </w:p>
    <w:p w14:paraId="21A814BB">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州文化体育和旅游局</w:t>
      </w:r>
    </w:p>
    <w:p w14:paraId="1FDB3278">
      <w:pPr>
        <w:spacing w:line="600" w:lineRule="exact"/>
        <w:ind w:firstLine="626"/>
        <w:jc w:val="left"/>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各县（市）人民政府、州公安局、州交通</w:t>
      </w:r>
      <w:r>
        <w:rPr>
          <w:rFonts w:hint="eastAsia" w:ascii="仿宋_GB2312" w:hAnsi="仿宋_GB2312" w:eastAsia="仿宋_GB2312" w:cs="仿宋_GB2312"/>
          <w:sz w:val="32"/>
        </w:rPr>
        <w:t>运输</w:t>
      </w:r>
    </w:p>
    <w:p w14:paraId="122AE1F5">
      <w:pPr>
        <w:spacing w:line="600" w:lineRule="exact"/>
        <w:ind w:firstLine="2233" w:firstLineChars="698"/>
        <w:jc w:val="left"/>
        <w:rPr>
          <w:rFonts w:ascii="仿宋_GB2312" w:hAnsi="仿宋_GB2312" w:eastAsia="仿宋_GB2312" w:cs="仿宋_GB2312"/>
          <w:sz w:val="32"/>
        </w:rPr>
      </w:pPr>
      <w:r>
        <w:rPr>
          <w:rFonts w:ascii="仿宋_GB2312" w:hAnsi="仿宋_GB2312" w:eastAsia="仿宋_GB2312" w:cs="仿宋_GB2312"/>
          <w:sz w:val="32"/>
        </w:rPr>
        <w:t>局</w:t>
      </w:r>
      <w:r>
        <w:rPr>
          <w:rFonts w:hint="eastAsia" w:ascii="仿宋_GB2312" w:hAnsi="仿宋_GB2312" w:eastAsia="仿宋_GB2312" w:cs="仿宋_GB2312"/>
          <w:sz w:val="32"/>
        </w:rPr>
        <w:t>、</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5941A128">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问题二：导游存在的问题。</w:t>
      </w:r>
      <w:r>
        <w:rPr>
          <w:rFonts w:ascii="仿宋_GB2312" w:hAnsi="仿宋_GB2312" w:eastAsia="仿宋_GB2312" w:cs="仿宋_GB2312"/>
          <w:sz w:val="32"/>
        </w:rPr>
        <w:t>存在导游、领队未经旅行社委派私自承揽导游、领队业务;未取得导游证和没有佩戴导游证从事导游或领队业务活动；未按旅行社确定的计划安排旅行、游览活动，擅自变更旅游行程，增加、减少旅游项目或者中止活动；诱导、欺骗、强迫或者变相强迫旅游者购物或者与经营者串通欺骗、胁迫旅游者消费和参加另行付费旅游项目；导游向旅游者兜售物品、索要小费；导游人员讲解活动中，有损坏国家利益和民族尊严言行；旅游者对导游人员提出侮辱其人格尊严或者违反其职业道德的不合理要求等违反导游人员从业行为的问题。</w:t>
      </w:r>
    </w:p>
    <w:p w14:paraId="1D9E554B">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州文化体育和旅游局</w:t>
      </w:r>
    </w:p>
    <w:p w14:paraId="205E7EC3">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各县（市）人民政府、州公安局、州交通</w:t>
      </w:r>
      <w:r>
        <w:rPr>
          <w:rFonts w:hint="eastAsia" w:ascii="仿宋_GB2312" w:hAnsi="仿宋_GB2312" w:eastAsia="仿宋_GB2312" w:cs="仿宋_GB2312"/>
          <w:sz w:val="32"/>
        </w:rPr>
        <w:t>运输</w:t>
      </w:r>
    </w:p>
    <w:p w14:paraId="20B534AF">
      <w:pPr>
        <w:spacing w:line="600" w:lineRule="exact"/>
        <w:ind w:firstLine="2240" w:firstLineChars="700"/>
        <w:jc w:val="left"/>
        <w:rPr>
          <w:rFonts w:ascii="仿宋_GB2312" w:hAnsi="仿宋_GB2312" w:eastAsia="仿宋_GB2312" w:cs="仿宋_GB2312"/>
          <w:sz w:val="32"/>
        </w:rPr>
      </w:pPr>
      <w:r>
        <w:rPr>
          <w:rFonts w:ascii="仿宋_GB2312" w:hAnsi="仿宋_GB2312" w:eastAsia="仿宋_GB2312" w:cs="仿宋_GB2312"/>
          <w:sz w:val="32"/>
        </w:rPr>
        <w:t>局</w:t>
      </w:r>
      <w:r>
        <w:rPr>
          <w:rFonts w:hint="eastAsia" w:ascii="仿宋_GB2312" w:hAnsi="仿宋_GB2312" w:eastAsia="仿宋_GB2312" w:cs="仿宋_GB2312"/>
          <w:sz w:val="32"/>
        </w:rPr>
        <w:t>、</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203B72AB">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问题三：景区存在的问题。</w:t>
      </w:r>
      <w:r>
        <w:rPr>
          <w:rFonts w:ascii="仿宋_GB2312" w:hAnsi="仿宋_GB2312" w:eastAsia="仿宋_GB2312" w:cs="仿宋_GB2312"/>
          <w:sz w:val="32"/>
        </w:rPr>
        <w:t>全州部分A级景区存在标准贯彻执行差</w:t>
      </w:r>
      <w:r>
        <w:rPr>
          <w:rFonts w:hint="eastAsia" w:ascii="仿宋_GB2312" w:hAnsi="仿宋_GB2312" w:eastAsia="仿宋_GB2312" w:cs="仿宋_GB2312"/>
          <w:sz w:val="32"/>
        </w:rPr>
        <w:t>、</w:t>
      </w:r>
      <w:r>
        <w:rPr>
          <w:rFonts w:hint="eastAsia" w:ascii="仿宋_GB2312" w:hAnsi="仿宋_GB2312" w:eastAsia="仿宋_GB2312" w:cs="仿宋_GB2312"/>
          <w:color w:val="000000" w:themeColor="text1"/>
          <w:sz w:val="32"/>
          <w14:textFill>
            <w14:solidFill>
              <w14:schemeClr w14:val="tx1"/>
            </w14:solidFill>
          </w14:textFill>
        </w:rPr>
        <w:t>景区生态环境质量隐患排查力度不够</w:t>
      </w:r>
      <w:r>
        <w:rPr>
          <w:rFonts w:ascii="仿宋_GB2312" w:hAnsi="仿宋_GB2312" w:eastAsia="仿宋_GB2312" w:cs="仿宋_GB2312"/>
          <w:color w:val="000000" w:themeColor="text1"/>
          <w:sz w:val="32"/>
          <w14:textFill>
            <w14:solidFill>
              <w14:schemeClr w14:val="tx1"/>
            </w14:solidFill>
          </w14:textFill>
        </w:rPr>
        <w:t>，</w:t>
      </w:r>
      <w:r>
        <w:rPr>
          <w:rFonts w:ascii="仿宋_GB2312" w:hAnsi="仿宋_GB2312" w:eastAsia="仿宋_GB2312" w:cs="仿宋_GB2312"/>
          <w:sz w:val="32"/>
        </w:rPr>
        <w:t>景区及景区周边无证商贩兜售商品、商品未明码标价，无证导游拉客、非法留宿、违法进入；部分景区景点疫情防控措施不到位，未执行错峰用餐，景区管理不规范，服务质量及环境卫生差；停车场管理乱、部分岗位无人值守、疏导不及时；景区门票优惠政策落实不到位；地质灾害隐患排查不全面等问题。</w:t>
      </w:r>
    </w:p>
    <w:p w14:paraId="55FA52B1">
      <w:pPr>
        <w:spacing w:line="600" w:lineRule="exact"/>
        <w:ind w:firstLine="643"/>
        <w:jc w:val="left"/>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州文化体育和旅游局</w:t>
      </w:r>
    </w:p>
    <w:p w14:paraId="37824310">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各县（市）人民政府、州自然资源局、州生态</w:t>
      </w:r>
    </w:p>
    <w:p w14:paraId="0550D672">
      <w:pPr>
        <w:spacing w:line="600" w:lineRule="exact"/>
        <w:ind w:firstLine="2240" w:firstLineChars="700"/>
        <w:jc w:val="left"/>
        <w:rPr>
          <w:rFonts w:ascii="仿宋_GB2312" w:hAnsi="仿宋_GB2312" w:eastAsia="仿宋_GB2312" w:cs="仿宋_GB2312"/>
          <w:sz w:val="32"/>
        </w:rPr>
      </w:pPr>
      <w:r>
        <w:rPr>
          <w:rFonts w:ascii="仿宋_GB2312" w:hAnsi="仿宋_GB2312" w:eastAsia="仿宋_GB2312" w:cs="仿宋_GB2312"/>
          <w:sz w:val="32"/>
        </w:rPr>
        <w:t>环境局</w:t>
      </w:r>
      <w:r>
        <w:rPr>
          <w:rFonts w:hint="eastAsia" w:ascii="仿宋_GB2312" w:hAnsi="仿宋_GB2312" w:eastAsia="仿宋_GB2312" w:cs="仿宋_GB2312"/>
          <w:sz w:val="32"/>
        </w:rPr>
        <w:t>、</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局、各景区管理局</w:t>
      </w:r>
    </w:p>
    <w:p w14:paraId="72FF634A">
      <w:pPr>
        <w:autoSpaceDE w:val="0"/>
        <w:autoSpaceDN w:val="0"/>
        <w:adjustRightInd w:val="0"/>
        <w:spacing w:line="600" w:lineRule="exact"/>
        <w:ind w:firstLine="641"/>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sz w:val="32"/>
        </w:rPr>
        <w:t>问题四：厕所存在的问题：</w:t>
      </w:r>
      <w:r>
        <w:rPr>
          <w:rFonts w:hint="eastAsia" w:ascii="仿宋_GB2312" w:hAnsi="仿宋_GB2312" w:eastAsia="仿宋_GB2312" w:cs="仿宋_GB2312"/>
          <w:color w:val="000000" w:themeColor="text1"/>
          <w:sz w:val="32"/>
          <w14:textFill>
            <w14:solidFill>
              <w14:schemeClr w14:val="tx1"/>
            </w14:solidFill>
          </w14:textFill>
        </w:rPr>
        <w:t>全州公路沿线、旅游沿线公共厕所配置数量不够、布局不合理，未按照相关标准配备相应设施设备，建设标准不高、管理不规范、环境卫生差、设施设备维护不到位，引导标识标牌不足、不规范，存在公厕收费现象。对外开放的私人厕所管理不规范，环境卫生差。</w:t>
      </w:r>
    </w:p>
    <w:p w14:paraId="024E044B">
      <w:pPr>
        <w:spacing w:line="600" w:lineRule="exact"/>
        <w:ind w:firstLine="630"/>
        <w:jc w:val="left"/>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州住</w:t>
      </w:r>
      <w:r>
        <w:rPr>
          <w:rFonts w:hint="eastAsia" w:ascii="仿宋_GB2312" w:hAnsi="仿宋_GB2312" w:eastAsia="仿宋_GB2312" w:cs="仿宋_GB2312"/>
          <w:sz w:val="32"/>
        </w:rPr>
        <w:t>房和城乡</w:t>
      </w:r>
      <w:r>
        <w:rPr>
          <w:rFonts w:ascii="仿宋_GB2312" w:hAnsi="仿宋_GB2312" w:eastAsia="仿宋_GB2312" w:cs="仿宋_GB2312"/>
          <w:sz w:val="32"/>
        </w:rPr>
        <w:t>建</w:t>
      </w:r>
      <w:r>
        <w:rPr>
          <w:rFonts w:hint="eastAsia" w:ascii="仿宋_GB2312" w:hAnsi="仿宋_GB2312" w:eastAsia="仿宋_GB2312" w:cs="仿宋_GB2312"/>
          <w:sz w:val="32"/>
        </w:rPr>
        <w:t>设</w:t>
      </w:r>
      <w:r>
        <w:rPr>
          <w:rFonts w:ascii="仿宋_GB2312" w:hAnsi="仿宋_GB2312" w:eastAsia="仿宋_GB2312" w:cs="仿宋_GB2312"/>
          <w:sz w:val="32"/>
        </w:rPr>
        <w:t>局</w:t>
      </w:r>
    </w:p>
    <w:p w14:paraId="40E1E46A">
      <w:pPr>
        <w:spacing w:line="600" w:lineRule="exact"/>
        <w:ind w:left="2375" w:leftChars="297" w:hanging="1751" w:hangingChars="545"/>
        <w:jc w:val="left"/>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各县（市）人民政府、州经</w:t>
      </w:r>
      <w:r>
        <w:rPr>
          <w:rFonts w:hint="eastAsia" w:ascii="仿宋_GB2312" w:hAnsi="仿宋_GB2312" w:eastAsia="仿宋_GB2312" w:cs="仿宋_GB2312"/>
          <w:sz w:val="32"/>
        </w:rPr>
        <w:t>济和</w:t>
      </w:r>
      <w:r>
        <w:rPr>
          <w:rFonts w:ascii="仿宋_GB2312" w:hAnsi="仿宋_GB2312" w:eastAsia="仿宋_GB2312" w:cs="仿宋_GB2312"/>
          <w:sz w:val="32"/>
        </w:rPr>
        <w:t>信</w:t>
      </w:r>
      <w:r>
        <w:rPr>
          <w:rFonts w:hint="eastAsia" w:ascii="仿宋_GB2312" w:hAnsi="仿宋_GB2312" w:eastAsia="仿宋_GB2312" w:cs="仿宋_GB2312"/>
          <w:sz w:val="32"/>
        </w:rPr>
        <w:t>息化</w:t>
      </w:r>
      <w:r>
        <w:rPr>
          <w:rFonts w:ascii="仿宋_GB2312" w:hAnsi="仿宋_GB2312" w:eastAsia="仿宋_GB2312" w:cs="仿宋_GB2312"/>
          <w:sz w:val="32"/>
        </w:rPr>
        <w:t>局</w:t>
      </w:r>
      <w:r>
        <w:rPr>
          <w:rFonts w:hint="eastAsia" w:ascii="仿宋_GB2312" w:hAnsi="仿宋_GB2312" w:eastAsia="仿宋_GB2312" w:cs="仿宋_GB2312"/>
          <w:sz w:val="32"/>
        </w:rPr>
        <w:t>、州交通运输局、州农业农村局、</w:t>
      </w:r>
      <w:r>
        <w:rPr>
          <w:rFonts w:ascii="仿宋_GB2312" w:hAnsi="仿宋_GB2312" w:eastAsia="仿宋_GB2312" w:cs="仿宋_GB2312"/>
          <w:sz w:val="32"/>
        </w:rPr>
        <w:t>州商务</w:t>
      </w:r>
      <w:r>
        <w:rPr>
          <w:rFonts w:hint="eastAsia" w:ascii="仿宋_GB2312" w:hAnsi="仿宋_GB2312" w:eastAsia="仿宋_GB2312" w:cs="仿宋_GB2312"/>
          <w:sz w:val="32"/>
        </w:rPr>
        <w:t>和经济合作</w:t>
      </w:r>
      <w:r>
        <w:rPr>
          <w:rFonts w:ascii="仿宋_GB2312" w:hAnsi="仿宋_GB2312" w:eastAsia="仿宋_GB2312" w:cs="仿宋_GB2312"/>
          <w:sz w:val="32"/>
        </w:rPr>
        <w:t>局</w:t>
      </w:r>
      <w:r>
        <w:rPr>
          <w:rFonts w:hint="eastAsia" w:ascii="仿宋_GB2312" w:hAnsi="仿宋_GB2312" w:eastAsia="仿宋_GB2312" w:cs="仿宋_GB2312"/>
          <w:sz w:val="32"/>
        </w:rPr>
        <w:t>、</w:t>
      </w:r>
      <w:r>
        <w:rPr>
          <w:rFonts w:ascii="仿宋_GB2312" w:hAnsi="仿宋_GB2312" w:eastAsia="仿宋_GB2312" w:cs="仿宋_GB2312"/>
          <w:sz w:val="32"/>
        </w:rPr>
        <w:t>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w:t>
      </w:r>
      <w:r>
        <w:rPr>
          <w:rFonts w:hint="eastAsia" w:ascii="仿宋_GB2312" w:hAnsi="仿宋_GB2312" w:eastAsia="仿宋_GB2312" w:cs="仿宋_GB2312"/>
          <w:sz w:val="32"/>
        </w:rPr>
        <w:t>、</w:t>
      </w:r>
      <w:r>
        <w:rPr>
          <w:rFonts w:ascii="仿宋_GB2312" w:hAnsi="仿宋_GB2312" w:eastAsia="仿宋_GB2312" w:cs="仿宋_GB2312"/>
          <w:sz w:val="32"/>
        </w:rPr>
        <w:t>州市场监督管理局</w:t>
      </w:r>
    </w:p>
    <w:p w14:paraId="5FB8BC23">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（五）推进购物市场“利剑行动”，让游客购得称心。</w:t>
      </w:r>
    </w:p>
    <w:p w14:paraId="2073A2C6">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问题一：购物市场存在不正当竞争行为。</w:t>
      </w:r>
      <w:r>
        <w:rPr>
          <w:rFonts w:ascii="仿宋_GB2312" w:hAnsi="仿宋_GB2312" w:eastAsia="仿宋_GB2312" w:cs="仿宋_GB2312"/>
          <w:color w:val="000000"/>
          <w:sz w:val="32"/>
        </w:rPr>
        <w:t>购物商店与旅行社或驾导人员在旅游购物活动中进行商业贿赂；在景区景点、演艺、住宿、</w:t>
      </w:r>
      <w:r>
        <w:rPr>
          <w:rFonts w:ascii="仿宋_GB2312" w:hAnsi="仿宋_GB2312" w:eastAsia="仿宋_GB2312" w:cs="仿宋_GB2312"/>
          <w:spacing w:val="-3"/>
          <w:sz w:val="32"/>
        </w:rPr>
        <w:t>餐代店、“氧水店”“厕所店”</w:t>
      </w:r>
      <w:r>
        <w:rPr>
          <w:rFonts w:ascii="仿宋_GB2312" w:hAnsi="仿宋_GB2312" w:eastAsia="仿宋_GB2312" w:cs="仿宋_GB2312"/>
          <w:color w:val="000000"/>
          <w:sz w:val="32"/>
        </w:rPr>
        <w:t>等游客集中活动场所诱导、强迫或变相强迫游客进入购物商店消费;</w:t>
      </w:r>
      <w:r>
        <w:rPr>
          <w:rFonts w:ascii="仿宋_GB2312" w:hAnsi="仿宋_GB2312" w:eastAsia="仿宋_GB2312" w:cs="仿宋_GB2312"/>
          <w:sz w:val="32"/>
        </w:rPr>
        <w:t>在各村寨、道路、景区景点、农家客栈等重点区域尾随兜售及举牌拉客等问题。</w:t>
      </w:r>
    </w:p>
    <w:p w14:paraId="10A64F38">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4217914C">
      <w:pPr>
        <w:spacing w:line="600" w:lineRule="exact"/>
        <w:ind w:left="2707" w:leftChars="304" w:hanging="2069" w:hangingChars="644"/>
        <w:rPr>
          <w:rFonts w:ascii="仿宋_GB2312" w:hAnsi="仿宋_GB2312" w:eastAsia="仿宋_GB2312" w:cs="仿宋_GB2312"/>
          <w:color w:val="000000"/>
          <w:sz w:val="32"/>
        </w:rPr>
      </w:pPr>
      <w:r>
        <w:rPr>
          <w:rFonts w:ascii="仿宋_GB2312" w:hAnsi="仿宋_GB2312" w:eastAsia="仿宋_GB2312" w:cs="仿宋_GB2312"/>
          <w:b/>
          <w:color w:val="000000"/>
          <w:sz w:val="32"/>
        </w:rPr>
        <w:t>责任单位：</w:t>
      </w:r>
      <w:r>
        <w:rPr>
          <w:rFonts w:ascii="仿宋_GB2312" w:hAnsi="仿宋_GB2312" w:eastAsia="仿宋_GB2312" w:cs="仿宋_GB2312"/>
          <w:color w:val="000000"/>
          <w:sz w:val="32"/>
        </w:rPr>
        <w:t>各县（市）人民政府、州公安局、</w:t>
      </w:r>
      <w:r>
        <w:rPr>
          <w:rFonts w:hint="eastAsia" w:ascii="仿宋_GB2312" w:hAnsi="仿宋_GB2312" w:eastAsia="仿宋_GB2312" w:cs="仿宋_GB2312"/>
          <w:color w:val="000000"/>
          <w:sz w:val="32"/>
        </w:rPr>
        <w:t>州住房和城</w:t>
      </w:r>
    </w:p>
    <w:p w14:paraId="1F800463">
      <w:pPr>
        <w:spacing w:line="600" w:lineRule="exact"/>
        <w:ind w:left="2694" w:leftChars="1064" w:hanging="460" w:hangingChars="144"/>
        <w:rPr>
          <w:rFonts w:ascii="仿宋_GB2312" w:hAnsi="仿宋_GB2312" w:eastAsia="仿宋_GB2312" w:cs="仿宋_GB2312"/>
          <w:color w:val="000000"/>
          <w:sz w:val="32"/>
        </w:rPr>
      </w:pPr>
      <w:r>
        <w:rPr>
          <w:rFonts w:hint="eastAsia" w:ascii="仿宋_GB2312" w:hAnsi="仿宋_GB2312" w:eastAsia="仿宋_GB2312" w:cs="仿宋_GB2312"/>
          <w:color w:val="000000"/>
          <w:sz w:val="32"/>
        </w:rPr>
        <w:t>乡建设局、</w:t>
      </w:r>
      <w:r>
        <w:rPr>
          <w:rFonts w:ascii="仿宋_GB2312" w:hAnsi="仿宋_GB2312" w:eastAsia="仿宋_GB2312" w:cs="仿宋_GB2312"/>
          <w:color w:val="000000"/>
          <w:sz w:val="32"/>
        </w:rPr>
        <w:t>州文</w:t>
      </w:r>
      <w:r>
        <w:rPr>
          <w:rFonts w:hint="eastAsia" w:ascii="仿宋_GB2312" w:hAnsi="仿宋_GB2312" w:eastAsia="仿宋_GB2312" w:cs="仿宋_GB2312"/>
          <w:color w:val="000000"/>
          <w:sz w:val="32"/>
        </w:rPr>
        <w:t>化</w:t>
      </w:r>
      <w:r>
        <w:rPr>
          <w:rFonts w:ascii="仿宋_GB2312" w:hAnsi="仿宋_GB2312" w:eastAsia="仿宋_GB2312" w:cs="仿宋_GB2312"/>
          <w:color w:val="000000"/>
          <w:sz w:val="32"/>
        </w:rPr>
        <w:t>体</w:t>
      </w:r>
      <w:r>
        <w:rPr>
          <w:rFonts w:hint="eastAsia" w:ascii="仿宋_GB2312" w:hAnsi="仿宋_GB2312" w:eastAsia="仿宋_GB2312" w:cs="仿宋_GB2312"/>
          <w:color w:val="000000"/>
          <w:sz w:val="32"/>
        </w:rPr>
        <w:t>育和</w:t>
      </w:r>
      <w:r>
        <w:rPr>
          <w:rFonts w:ascii="仿宋_GB2312" w:hAnsi="仿宋_GB2312" w:eastAsia="仿宋_GB2312" w:cs="仿宋_GB2312"/>
          <w:color w:val="000000"/>
          <w:sz w:val="32"/>
        </w:rPr>
        <w:t>旅游局</w:t>
      </w:r>
    </w:p>
    <w:p w14:paraId="7B5AE24F">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问题二：购物商店存在</w:t>
      </w:r>
      <w:r>
        <w:rPr>
          <w:rFonts w:hint="eastAsia" w:ascii="仿宋_GB2312" w:hAnsi="仿宋_GB2312" w:eastAsia="仿宋_GB2312" w:cs="仿宋_GB2312"/>
          <w:b/>
          <w:color w:val="000000" w:themeColor="text1"/>
          <w:sz w:val="32"/>
          <w14:textFill>
            <w14:solidFill>
              <w14:schemeClr w14:val="tx1"/>
            </w14:solidFill>
          </w14:textFill>
        </w:rPr>
        <w:t>不规范经营</w:t>
      </w:r>
      <w:r>
        <w:rPr>
          <w:rFonts w:ascii="仿宋_GB2312" w:hAnsi="仿宋_GB2312" w:eastAsia="仿宋_GB2312" w:cs="仿宋_GB2312"/>
          <w:b/>
          <w:sz w:val="32"/>
        </w:rPr>
        <w:t>行为。</w:t>
      </w:r>
      <w:r>
        <w:rPr>
          <w:rFonts w:ascii="仿宋_GB2312" w:hAnsi="仿宋_GB2312" w:eastAsia="仿宋_GB2312" w:cs="仿宋_GB2312"/>
          <w:sz w:val="32"/>
        </w:rPr>
        <w:t>购物商店存在</w:t>
      </w:r>
      <w:r>
        <w:rPr>
          <w:rFonts w:ascii="仿宋_GB2312" w:hAnsi="仿宋_GB2312" w:eastAsia="仿宋_GB2312" w:cs="仿宋_GB2312"/>
          <w:color w:val="000000"/>
          <w:sz w:val="32"/>
        </w:rPr>
        <w:t>以次充好、以假充真、过期变质、磨粉增量、缺斤少两、“药托”“医托”、使用不合格计量器具、不明码标价、标注误导信息等违法违规行为；存在以宗教</w:t>
      </w:r>
      <w:r>
        <w:rPr>
          <w:rFonts w:hint="eastAsia" w:ascii="仿宋_GB2312" w:hAnsi="仿宋_GB2312" w:eastAsia="仿宋_GB2312" w:cs="仿宋_GB2312"/>
          <w:color w:val="000000"/>
          <w:sz w:val="32"/>
        </w:rPr>
        <w:t>名义或假冒僧尼</w:t>
      </w:r>
      <w:r>
        <w:rPr>
          <w:rFonts w:ascii="仿宋_GB2312" w:hAnsi="仿宋_GB2312" w:eastAsia="仿宋_GB2312" w:cs="仿宋_GB2312"/>
          <w:color w:val="000000"/>
          <w:sz w:val="32"/>
        </w:rPr>
        <w:t>欺诈游客钱财，侵害游客合法权益的行为；存在导购人员借用“扎西”“卓玛”等名字或以当地群众的身份，变相欺骗游客行为；存在导购人员利用包厢、藏家等进行虚假宣传、诱导消费行为；存在</w:t>
      </w:r>
      <w:r>
        <w:rPr>
          <w:rFonts w:ascii="仿宋_GB2312" w:hAnsi="仿宋_GB2312" w:eastAsia="仿宋_GB2312" w:cs="仿宋_GB2312"/>
          <w:sz w:val="32"/>
        </w:rPr>
        <w:t>采取“老乡店”“小黑屋”“富二代店”等经营方式进行违法违规行为的问题。</w:t>
      </w:r>
    </w:p>
    <w:p w14:paraId="62D79662">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423A669C">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w:t>
      </w:r>
      <w:r>
        <w:rPr>
          <w:rFonts w:ascii="仿宋_GB2312" w:hAnsi="仿宋_GB2312" w:eastAsia="仿宋_GB2312" w:cs="仿宋_GB2312"/>
          <w:color w:val="000000"/>
          <w:sz w:val="32"/>
        </w:rPr>
        <w:t>州发展改革委、</w:t>
      </w:r>
      <w:r>
        <w:rPr>
          <w:rFonts w:ascii="仿宋_GB2312" w:hAnsi="仿宋_GB2312" w:eastAsia="仿宋_GB2312" w:cs="仿宋_GB2312"/>
          <w:sz w:val="32"/>
        </w:rPr>
        <w:t>州公安</w:t>
      </w:r>
    </w:p>
    <w:p w14:paraId="238F04F5">
      <w:pPr>
        <w:spacing w:line="600" w:lineRule="exact"/>
        <w:ind w:firstLine="2256" w:firstLineChars="705"/>
        <w:rPr>
          <w:rFonts w:ascii="仿宋_GB2312" w:hAnsi="仿宋_GB2312" w:eastAsia="仿宋_GB2312" w:cs="仿宋_GB2312"/>
          <w:sz w:val="32"/>
        </w:rPr>
      </w:pPr>
      <w:r>
        <w:rPr>
          <w:rFonts w:ascii="仿宋_GB2312" w:hAnsi="仿宋_GB2312" w:eastAsia="仿宋_GB2312" w:cs="仿宋_GB2312"/>
          <w:sz w:val="32"/>
        </w:rPr>
        <w:t>局、</w:t>
      </w:r>
      <w:r>
        <w:rPr>
          <w:rFonts w:ascii="仿宋_GB2312" w:hAnsi="仿宋_GB2312" w:eastAsia="仿宋_GB2312" w:cs="仿宋_GB2312"/>
          <w:color w:val="000000"/>
          <w:sz w:val="32"/>
        </w:rPr>
        <w:t>州民宗委</w:t>
      </w:r>
      <w:r>
        <w:rPr>
          <w:rFonts w:hint="eastAsia" w:ascii="仿宋_GB2312" w:hAnsi="仿宋_GB2312" w:eastAsia="仿宋_GB2312" w:cs="仿宋_GB2312"/>
          <w:color w:val="000000"/>
          <w:sz w:val="32"/>
        </w:rPr>
        <w:t>、</w:t>
      </w:r>
      <w:r>
        <w:rPr>
          <w:rFonts w:ascii="仿宋_GB2312" w:hAnsi="仿宋_GB2312" w:eastAsia="仿宋_GB2312" w:cs="仿宋_GB2312"/>
          <w:sz w:val="32"/>
        </w:rPr>
        <w:t>州卫</w:t>
      </w:r>
      <w:r>
        <w:rPr>
          <w:rFonts w:hint="eastAsia" w:ascii="仿宋_GB2312" w:hAnsi="仿宋_GB2312" w:eastAsia="仿宋_GB2312" w:cs="仿宋_GB2312"/>
          <w:sz w:val="32"/>
        </w:rPr>
        <w:t>生</w:t>
      </w:r>
      <w:r>
        <w:rPr>
          <w:rFonts w:ascii="仿宋_GB2312" w:hAnsi="仿宋_GB2312" w:eastAsia="仿宋_GB2312" w:cs="仿宋_GB2312"/>
          <w:sz w:val="32"/>
        </w:rPr>
        <w:t>健</w:t>
      </w:r>
      <w:r>
        <w:rPr>
          <w:rFonts w:hint="eastAsia" w:ascii="仿宋_GB2312" w:hAnsi="仿宋_GB2312" w:eastAsia="仿宋_GB2312" w:cs="仿宋_GB2312"/>
          <w:sz w:val="32"/>
        </w:rPr>
        <w:t>康委员会</w:t>
      </w:r>
    </w:p>
    <w:p w14:paraId="36981CDA">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问题三：购物商店存在偷税漏税行为。</w:t>
      </w:r>
      <w:r>
        <w:rPr>
          <w:rFonts w:ascii="仿宋_GB2312" w:hAnsi="仿宋_GB2312" w:eastAsia="仿宋_GB2312" w:cs="仿宋_GB2312"/>
          <w:sz w:val="32"/>
        </w:rPr>
        <w:t>部分旅游景区、旅游线路的大型购物商店存在拒绝开具发票及以少充多，或者账外设账、账外经营、真假并存等不缴或少缴税款行为。</w:t>
      </w:r>
    </w:p>
    <w:p w14:paraId="1F5D6BF7">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州税务局</w:t>
      </w:r>
    </w:p>
    <w:p w14:paraId="13CAEA6D">
      <w:pPr>
        <w:spacing w:line="600" w:lineRule="exact"/>
        <w:ind w:firstLine="643"/>
        <w:rPr>
          <w:rFonts w:ascii="仿宋_GB2312" w:hAnsi="仿宋_GB2312" w:eastAsia="仿宋_GB2312" w:cs="仿宋_GB2312"/>
          <w:color w:val="000000"/>
          <w:sz w:val="32"/>
        </w:rPr>
      </w:pPr>
      <w:r>
        <w:rPr>
          <w:rFonts w:ascii="仿宋_GB2312" w:hAnsi="仿宋_GB2312" w:eastAsia="仿宋_GB2312" w:cs="仿宋_GB2312"/>
          <w:b/>
          <w:color w:val="000000"/>
          <w:sz w:val="32"/>
        </w:rPr>
        <w:t>责任单位：</w:t>
      </w:r>
      <w:r>
        <w:rPr>
          <w:rFonts w:ascii="仿宋_GB2312" w:hAnsi="仿宋_GB2312" w:eastAsia="仿宋_GB2312" w:cs="仿宋_GB2312"/>
          <w:color w:val="000000"/>
          <w:sz w:val="32"/>
        </w:rPr>
        <w:t>各县（市）人民政府</w:t>
      </w:r>
    </w:p>
    <w:p w14:paraId="1FCF5CAF">
      <w:pPr>
        <w:spacing w:line="600" w:lineRule="exact"/>
        <w:ind w:firstLine="643"/>
        <w:rPr>
          <w:rFonts w:ascii="仿宋_GB2312" w:hAnsi="仿宋_GB2312" w:eastAsia="仿宋_GB2312" w:cs="仿宋_GB2312"/>
          <w:color w:val="000000"/>
          <w:sz w:val="32"/>
        </w:rPr>
      </w:pPr>
      <w:r>
        <w:rPr>
          <w:rFonts w:ascii="仿宋_GB2312" w:hAnsi="仿宋_GB2312" w:eastAsia="仿宋_GB2312" w:cs="仿宋_GB2312"/>
          <w:b/>
          <w:sz w:val="32"/>
        </w:rPr>
        <w:t>问题四：购物市场</w:t>
      </w:r>
      <w:r>
        <w:rPr>
          <w:rFonts w:hint="eastAsia" w:ascii="仿宋_GB2312" w:eastAsia="仿宋_GB2312" w:cs="仿宋_GB2312"/>
          <w:b/>
          <w:kern w:val="0"/>
          <w:sz w:val="32"/>
          <w:szCs w:val="32"/>
          <w:lang w:val="zh-CN"/>
        </w:rPr>
        <w:t>经营主体存在未按登记注册信息对外从事经营活动行为。</w:t>
      </w:r>
      <w:r>
        <w:rPr>
          <w:rFonts w:ascii="仿宋_GB2312" w:hAnsi="仿宋_GB2312" w:eastAsia="仿宋_GB2312" w:cs="仿宋_GB2312"/>
          <w:sz w:val="32"/>
        </w:rPr>
        <w:t>部分购物商店</w:t>
      </w:r>
      <w:r>
        <w:rPr>
          <w:rFonts w:ascii="仿宋_GB2312" w:hAnsi="仿宋_GB2312" w:eastAsia="仿宋_GB2312" w:cs="仿宋_GB2312"/>
          <w:color w:val="000000"/>
          <w:sz w:val="32"/>
        </w:rPr>
        <w:t>对外悬挂或张贴的店招店牌与营业执照所登记名称不一致；在经营活动中使用的公章（含财务专用、合同专用章）与营业执照登记信息不一致；在经营场所醒目位置悬挂的营业执照和其它相关许可证件，实际经营范围与核准的范围不一致，存在超范围经营等问题。</w:t>
      </w:r>
    </w:p>
    <w:p w14:paraId="654647CA">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7794219D">
      <w:pPr>
        <w:spacing w:line="600" w:lineRule="exact"/>
        <w:ind w:firstLine="643"/>
        <w:rPr>
          <w:rFonts w:ascii="仿宋_GB2312" w:hAnsi="仿宋_GB2312" w:eastAsia="仿宋_GB2312" w:cs="仿宋_GB2312"/>
          <w:color w:val="000000"/>
          <w:sz w:val="32"/>
        </w:rPr>
      </w:pPr>
      <w:r>
        <w:rPr>
          <w:rFonts w:ascii="仿宋_GB2312" w:hAnsi="仿宋_GB2312" w:eastAsia="仿宋_GB2312" w:cs="仿宋_GB2312"/>
          <w:b/>
          <w:color w:val="000000"/>
          <w:sz w:val="32"/>
        </w:rPr>
        <w:t>责任单位：</w:t>
      </w:r>
      <w:r>
        <w:rPr>
          <w:rFonts w:ascii="仿宋_GB2312" w:hAnsi="仿宋_GB2312" w:eastAsia="仿宋_GB2312" w:cs="仿宋_GB2312"/>
          <w:color w:val="000000"/>
          <w:sz w:val="32"/>
        </w:rPr>
        <w:t>各县（市）人民政府、州公安局</w:t>
      </w:r>
    </w:p>
    <w:p w14:paraId="4A3535C2">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问题五：购物市场存在执业不规范行为。</w:t>
      </w:r>
      <w:r>
        <w:rPr>
          <w:rFonts w:ascii="仿宋_GB2312" w:hAnsi="仿宋_GB2312" w:eastAsia="仿宋_GB2312" w:cs="仿宋_GB2312"/>
          <w:sz w:val="32"/>
        </w:rPr>
        <w:t>全州部分购物场所管理不规范、商品质量把关不严、安全隐患排查不全面、文明服务意识不够；从业人员素质参差不齐、服务态度差、工作效率底，人员规范化、专业化、职业化建设滞后，诚信守法经营践行差，引导游客理性消费、拒绝不合理低价游等方面意识不高、措施不足等问题。</w:t>
      </w:r>
    </w:p>
    <w:p w14:paraId="4C109CF8">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州市场监</w:t>
      </w:r>
      <w:r>
        <w:rPr>
          <w:rFonts w:hint="eastAsia" w:ascii="仿宋_GB2312" w:hAnsi="仿宋_GB2312" w:eastAsia="仿宋_GB2312" w:cs="仿宋_GB2312"/>
          <w:sz w:val="32"/>
        </w:rPr>
        <w:t>督</w:t>
      </w:r>
      <w:r>
        <w:rPr>
          <w:rFonts w:ascii="仿宋_GB2312" w:hAnsi="仿宋_GB2312" w:eastAsia="仿宋_GB2312" w:cs="仿宋_GB2312"/>
          <w:sz w:val="32"/>
        </w:rPr>
        <w:t>管</w:t>
      </w:r>
      <w:r>
        <w:rPr>
          <w:rFonts w:hint="eastAsia" w:ascii="仿宋_GB2312" w:hAnsi="仿宋_GB2312" w:eastAsia="仿宋_GB2312" w:cs="仿宋_GB2312"/>
          <w:sz w:val="32"/>
        </w:rPr>
        <w:t>理</w:t>
      </w:r>
      <w:r>
        <w:rPr>
          <w:rFonts w:ascii="仿宋_GB2312" w:hAnsi="仿宋_GB2312" w:eastAsia="仿宋_GB2312" w:cs="仿宋_GB2312"/>
          <w:sz w:val="32"/>
        </w:rPr>
        <w:t>局</w:t>
      </w:r>
    </w:p>
    <w:p w14:paraId="43D22F53">
      <w:pPr>
        <w:spacing w:line="600" w:lineRule="exact"/>
        <w:ind w:firstLine="643"/>
        <w:rPr>
          <w:rFonts w:ascii="仿宋_GB2312" w:hAnsi="仿宋_GB2312" w:eastAsia="仿宋_GB2312" w:cs="仿宋_GB2312"/>
          <w:color w:val="000000"/>
          <w:sz w:val="32"/>
        </w:rPr>
      </w:pPr>
      <w:r>
        <w:rPr>
          <w:rFonts w:ascii="仿宋_GB2312" w:hAnsi="仿宋_GB2312" w:eastAsia="仿宋_GB2312" w:cs="仿宋_GB2312"/>
          <w:b/>
          <w:color w:val="000000"/>
          <w:sz w:val="32"/>
        </w:rPr>
        <w:t>责任单位：</w:t>
      </w:r>
      <w:r>
        <w:rPr>
          <w:rFonts w:ascii="仿宋_GB2312" w:hAnsi="仿宋_GB2312" w:eastAsia="仿宋_GB2312" w:cs="仿宋_GB2312"/>
          <w:color w:val="000000"/>
          <w:sz w:val="32"/>
        </w:rPr>
        <w:t>各县（市）人民政府、州公安局</w:t>
      </w:r>
    </w:p>
    <w:p w14:paraId="7E918F6D">
      <w:pPr>
        <w:spacing w:line="600" w:lineRule="exact"/>
        <w:ind w:firstLine="643"/>
        <w:rPr>
          <w:rFonts w:ascii="楷体_GB2312" w:hAnsi="楷体_GB2312" w:eastAsia="楷体_GB2312" w:cs="楷体_GB2312"/>
          <w:b/>
          <w:sz w:val="32"/>
        </w:rPr>
      </w:pPr>
      <w:r>
        <w:rPr>
          <w:rFonts w:ascii="楷体_GB2312" w:hAnsi="楷体_GB2312" w:eastAsia="楷体_GB2312" w:cs="楷体_GB2312"/>
          <w:b/>
          <w:sz w:val="32"/>
        </w:rPr>
        <w:t>（六）推进演艺市场“烈焰行动”，让游客娱得舒心</w:t>
      </w:r>
    </w:p>
    <w:p w14:paraId="78033FBA">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问题一：节目内容单一、品牌锻造力差。</w:t>
      </w:r>
      <w:r>
        <w:rPr>
          <w:rFonts w:ascii="仿宋_GB2312" w:hAnsi="仿宋_GB2312" w:eastAsia="仿宋_GB2312" w:cs="仿宋_GB2312"/>
          <w:sz w:val="32"/>
        </w:rPr>
        <w:t>全州演艺市场存在与旅行社、导游不正当利益分成，导致演艺团体收入较低，无强大经济支撑打造演艺IP</w:t>
      </w:r>
      <w:r>
        <w:rPr>
          <w:rFonts w:hint="eastAsia" w:ascii="仿宋_GB2312" w:hAnsi="仿宋_GB2312" w:eastAsia="仿宋_GB2312" w:cs="仿宋_GB2312"/>
          <w:sz w:val="32"/>
        </w:rPr>
        <w:t>;</w:t>
      </w:r>
      <w:r>
        <w:rPr>
          <w:rFonts w:ascii="仿宋_GB2312" w:hAnsi="仿宋_GB2312" w:eastAsia="仿宋_GB2312" w:cs="仿宋_GB2312"/>
          <w:sz w:val="32"/>
        </w:rPr>
        <w:t>九黄沿线演艺集群未较好的形成“比、拼、赶、超”的良好竞争氛围，品牌锻造意识较差，仅满足于现状；部分演艺场所管理模式固化、设施设备陈旧、演艺人员素质参差不齐；吸纳艺术名家、创演人才的激励机制不健全，政策落实不到位；缺乏内涵深、品质高、口碑好的精品剧目，难以激发市场活力。</w:t>
      </w:r>
    </w:p>
    <w:p w14:paraId="46BDA406">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w:t>
      </w:r>
    </w:p>
    <w:p w14:paraId="658BB66D">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w:t>
      </w:r>
    </w:p>
    <w:p w14:paraId="0BBD148E">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问题二：市场整治不严，内容监督力软。</w:t>
      </w:r>
      <w:r>
        <w:rPr>
          <w:rFonts w:ascii="仿宋_GB2312" w:hAnsi="仿宋_GB2312" w:eastAsia="仿宋_GB2312" w:cs="仿宋_GB2312"/>
          <w:sz w:val="32"/>
        </w:rPr>
        <w:t>全州部分演艺场所存在演出内容文化内涵不足、质量良莠不齐、缺少地域文化；对营业性演出场所开业前的审批把关不严、节目内容审核不严、演员备案制度落实不严，演员假唱、假演奏等现象屡禁不止；演出市场的现场监管措施不细、力度不足，记录监督检查的情况和处理结果予以记录和签字归档不到位，演出内容擅自更改等现象时有发生；</w:t>
      </w:r>
    </w:p>
    <w:p w14:paraId="26A2CCC9">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w:t>
      </w:r>
    </w:p>
    <w:p w14:paraId="1DDC56D4">
      <w:pPr>
        <w:spacing w:line="600" w:lineRule="exact"/>
        <w:ind w:firstLine="643"/>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 xml:space="preserve">各县（市）人民政府         </w:t>
      </w:r>
    </w:p>
    <w:p w14:paraId="6412847A">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问题三：安全意识淡薄，隐患排查力弱。</w:t>
      </w:r>
      <w:r>
        <w:rPr>
          <w:rFonts w:ascii="仿宋_GB2312" w:hAnsi="仿宋_GB2312" w:eastAsia="仿宋_GB2312" w:cs="仿宋_GB2312"/>
          <w:sz w:val="32"/>
        </w:rPr>
        <w:t>全州部分</w:t>
      </w:r>
      <w:r>
        <w:rPr>
          <w:rFonts w:ascii="仿宋_GB2312" w:hAnsi="仿宋_GB2312" w:eastAsia="仿宋_GB2312" w:cs="仿宋_GB2312"/>
          <w:color w:val="333333"/>
          <w:sz w:val="32"/>
          <w:shd w:val="clear" w:color="auto" w:fill="FFFFFF"/>
        </w:rPr>
        <w:t>演出场所</w:t>
      </w:r>
      <w:r>
        <w:rPr>
          <w:rFonts w:ascii="仿宋_GB2312" w:hAnsi="仿宋_GB2312" w:eastAsia="仿宋_GB2312" w:cs="仿宋_GB2312"/>
          <w:sz w:val="32"/>
        </w:rPr>
        <w:t>未建立健全安全工作生产责任制和制定安全应急预案，未落实安全生产主体责任，未定期开展场地建筑设施和消防安全检查；未及时维护更新消防安全设施配备、安全隐患排查不全面。</w:t>
      </w:r>
    </w:p>
    <w:p w14:paraId="20EFEC54">
      <w:pPr>
        <w:spacing w:line="600" w:lineRule="exact"/>
        <w:ind w:firstLine="630"/>
        <w:rPr>
          <w:rFonts w:ascii="仿宋_GB2312" w:hAnsi="仿宋_GB2312" w:eastAsia="仿宋_GB2312" w:cs="仿宋_GB2312"/>
          <w:sz w:val="32"/>
        </w:rPr>
      </w:pPr>
      <w:r>
        <w:rPr>
          <w:rFonts w:ascii="仿宋_GB2312" w:hAnsi="仿宋_GB2312" w:eastAsia="仿宋_GB2312" w:cs="仿宋_GB2312"/>
          <w:b/>
          <w:sz w:val="32"/>
        </w:rPr>
        <w:t>牵头单位：</w:t>
      </w:r>
      <w:r>
        <w:rPr>
          <w:rFonts w:ascii="仿宋_GB2312" w:hAnsi="仿宋_GB2312" w:eastAsia="仿宋_GB2312" w:cs="仿宋_GB2312"/>
          <w:sz w:val="32"/>
        </w:rPr>
        <w:t>州文</w:t>
      </w:r>
      <w:r>
        <w:rPr>
          <w:rFonts w:hint="eastAsia" w:ascii="仿宋_GB2312" w:hAnsi="仿宋_GB2312" w:eastAsia="仿宋_GB2312" w:cs="仿宋_GB2312"/>
          <w:sz w:val="32"/>
        </w:rPr>
        <w:t>化</w:t>
      </w:r>
      <w:r>
        <w:rPr>
          <w:rFonts w:ascii="仿宋_GB2312" w:hAnsi="仿宋_GB2312" w:eastAsia="仿宋_GB2312" w:cs="仿宋_GB2312"/>
          <w:sz w:val="32"/>
        </w:rPr>
        <w:t>体</w:t>
      </w:r>
      <w:r>
        <w:rPr>
          <w:rFonts w:hint="eastAsia" w:ascii="仿宋_GB2312" w:hAnsi="仿宋_GB2312" w:eastAsia="仿宋_GB2312" w:cs="仿宋_GB2312"/>
          <w:sz w:val="32"/>
        </w:rPr>
        <w:t>育和</w:t>
      </w:r>
      <w:r>
        <w:rPr>
          <w:rFonts w:ascii="仿宋_GB2312" w:hAnsi="仿宋_GB2312" w:eastAsia="仿宋_GB2312" w:cs="仿宋_GB2312"/>
          <w:sz w:val="32"/>
        </w:rPr>
        <w:t>旅游局</w:t>
      </w:r>
    </w:p>
    <w:p w14:paraId="5127E318">
      <w:pPr>
        <w:spacing w:line="600" w:lineRule="exact"/>
        <w:ind w:left="2244" w:leftChars="304" w:hanging="1606" w:hangingChars="500"/>
        <w:rPr>
          <w:rFonts w:ascii="仿宋_GB2312" w:hAnsi="仿宋_GB2312" w:eastAsia="仿宋_GB2312" w:cs="仿宋_GB2312"/>
          <w:sz w:val="32"/>
        </w:rPr>
      </w:pPr>
      <w:r>
        <w:rPr>
          <w:rFonts w:ascii="仿宋_GB2312" w:hAnsi="仿宋_GB2312" w:eastAsia="仿宋_GB2312" w:cs="仿宋_GB2312"/>
          <w:b/>
          <w:sz w:val="32"/>
        </w:rPr>
        <w:t>责任单位：</w:t>
      </w:r>
      <w:r>
        <w:rPr>
          <w:rFonts w:ascii="仿宋_GB2312" w:hAnsi="仿宋_GB2312" w:eastAsia="仿宋_GB2312" w:cs="仿宋_GB2312"/>
          <w:sz w:val="32"/>
        </w:rPr>
        <w:t>各县（市）人民政府、州公安局、州应急管理局</w:t>
      </w:r>
    </w:p>
    <w:p w14:paraId="1AB07E9D">
      <w:pPr>
        <w:spacing w:line="600" w:lineRule="exact"/>
        <w:ind w:firstLine="627"/>
        <w:rPr>
          <w:rFonts w:ascii="黑体" w:hAnsi="黑体" w:eastAsia="黑体" w:cs="黑体"/>
          <w:sz w:val="32"/>
        </w:rPr>
      </w:pPr>
      <w:r>
        <w:rPr>
          <w:rFonts w:ascii="黑体" w:hAnsi="黑体" w:eastAsia="黑体" w:cs="黑体"/>
          <w:sz w:val="32"/>
        </w:rPr>
        <w:t>五、工作措施</w:t>
      </w:r>
    </w:p>
    <w:p w14:paraId="6D32DD5A">
      <w:pPr>
        <w:spacing w:line="600" w:lineRule="exact"/>
        <w:ind w:firstLine="630"/>
        <w:rPr>
          <w:rFonts w:ascii="仿宋_GB2312" w:hAnsi="仿宋_GB2312" w:eastAsia="仿宋_GB2312" w:cs="仿宋_GB2312"/>
          <w:color w:val="000000"/>
          <w:sz w:val="32"/>
        </w:rPr>
      </w:pPr>
      <w:r>
        <w:rPr>
          <w:rFonts w:ascii="楷体_GB2312" w:hAnsi="楷体_GB2312" w:eastAsia="楷体_GB2312" w:cs="楷体_GB2312"/>
          <w:b/>
          <w:sz w:val="32"/>
        </w:rPr>
        <w:t>（一）建立健全</w:t>
      </w:r>
      <w:r>
        <w:rPr>
          <w:rFonts w:hint="eastAsia" w:ascii="楷体_GB2312" w:hAnsi="楷体_GB2312" w:eastAsia="楷体_GB2312" w:cs="楷体_GB2312"/>
          <w:b/>
          <w:sz w:val="32"/>
        </w:rPr>
        <w:t>联席会议制度</w:t>
      </w:r>
      <w:r>
        <w:rPr>
          <w:rFonts w:ascii="楷体_GB2312" w:hAnsi="楷体_GB2312" w:eastAsia="楷体_GB2312" w:cs="楷体_GB2312"/>
          <w:b/>
          <w:sz w:val="32"/>
        </w:rPr>
        <w:t>。</w:t>
      </w:r>
      <w:r>
        <w:rPr>
          <w:rFonts w:ascii="仿宋_GB2312" w:hAnsi="仿宋_GB2312" w:eastAsia="仿宋_GB2312" w:cs="仿宋_GB2312"/>
          <w:color w:val="000000"/>
          <w:sz w:val="32"/>
          <w:shd w:val="clear" w:color="auto" w:fill="FFFFFF"/>
        </w:rPr>
        <w:t>各级各部门</w:t>
      </w:r>
      <w:r>
        <w:rPr>
          <w:rFonts w:ascii="仿宋_GB2312" w:hAnsi="仿宋_GB2312" w:eastAsia="仿宋_GB2312" w:cs="仿宋_GB2312"/>
          <w:sz w:val="32"/>
        </w:rPr>
        <w:t>要</w:t>
      </w:r>
      <w:r>
        <w:rPr>
          <w:rFonts w:ascii="仿宋_GB2312" w:hAnsi="仿宋_GB2312" w:eastAsia="仿宋_GB2312" w:cs="仿宋_GB2312"/>
          <w:color w:val="000000"/>
          <w:sz w:val="32"/>
          <w:shd w:val="clear" w:color="auto" w:fill="FFFFFF"/>
        </w:rPr>
        <w:t>按照“统一规范、整体联动、依法行政、各负其责”的方针，</w:t>
      </w:r>
      <w:r>
        <w:rPr>
          <w:rFonts w:ascii="仿宋_GB2312" w:hAnsi="仿宋_GB2312" w:eastAsia="仿宋_GB2312" w:cs="仿宋_GB2312"/>
          <w:sz w:val="32"/>
        </w:rPr>
        <w:t>各司其职，加强协作配合，进一步形成工作合力，</w:t>
      </w:r>
      <w:r>
        <w:rPr>
          <w:rFonts w:ascii="仿宋_GB2312" w:hAnsi="仿宋_GB2312" w:eastAsia="仿宋_GB2312" w:cs="仿宋_GB2312"/>
          <w:color w:val="000000"/>
          <w:sz w:val="32"/>
        </w:rPr>
        <w:t>建立健全每月定时召开一次的旅游</w:t>
      </w:r>
      <w:r>
        <w:rPr>
          <w:rFonts w:ascii="仿宋_GB2312" w:hAnsi="仿宋_GB2312" w:eastAsia="仿宋_GB2312" w:cs="仿宋_GB2312"/>
          <w:color w:val="000000"/>
          <w:sz w:val="32"/>
          <w:shd w:val="clear" w:color="auto" w:fill="FFFFFF"/>
        </w:rPr>
        <w:t>市场整治</w:t>
      </w:r>
      <w:r>
        <w:rPr>
          <w:rFonts w:hint="eastAsia" w:ascii="仿宋_GB2312" w:hAnsi="仿宋_GB2312" w:eastAsia="仿宋_GB2312" w:cs="仿宋_GB2312"/>
          <w:color w:val="000000"/>
          <w:sz w:val="32"/>
          <w:shd w:val="clear" w:color="auto" w:fill="FFFFFF"/>
        </w:rPr>
        <w:t>联席会议制度</w:t>
      </w:r>
      <w:r>
        <w:rPr>
          <w:rFonts w:ascii="仿宋_GB2312" w:hAnsi="仿宋_GB2312" w:eastAsia="仿宋_GB2312" w:cs="仿宋_GB2312"/>
          <w:color w:val="000000"/>
          <w:sz w:val="32"/>
          <w:shd w:val="clear" w:color="auto" w:fill="FFFFFF"/>
        </w:rPr>
        <w:t>，深入剖析旅游市场存在的重点、难点问题，妥善处理旅游市场监管中需要协调的问题，</w:t>
      </w:r>
      <w:r>
        <w:rPr>
          <w:rFonts w:ascii="仿宋_GB2312" w:hAnsi="仿宋_GB2312" w:eastAsia="仿宋_GB2312" w:cs="仿宋_GB2312"/>
          <w:color w:val="000000"/>
          <w:sz w:val="32"/>
        </w:rPr>
        <w:t>下好“一盘棋”，打好“总体战</w:t>
      </w:r>
      <w:bookmarkStart w:id="0" w:name="_GoBack"/>
      <w:bookmarkEnd w:id="0"/>
      <w:r>
        <w:rPr>
          <w:rFonts w:ascii="仿宋_GB2312" w:hAnsi="仿宋_GB2312" w:eastAsia="仿宋_GB2312" w:cs="仿宋_GB2312"/>
          <w:color w:val="000000"/>
          <w:sz w:val="32"/>
        </w:rPr>
        <w:t>”，推动形成抓整治、出成效的强大合力。</w:t>
      </w:r>
    </w:p>
    <w:p w14:paraId="2131DDE0">
      <w:pPr>
        <w:spacing w:line="600" w:lineRule="exact"/>
        <w:ind w:firstLine="630"/>
        <w:rPr>
          <w:rFonts w:ascii="黑体" w:hAnsi="黑体" w:eastAsia="黑体" w:cs="黑体"/>
          <w:sz w:val="32"/>
        </w:rPr>
      </w:pPr>
      <w:r>
        <w:rPr>
          <w:rFonts w:ascii="楷体_GB2312" w:hAnsi="楷体_GB2312" w:eastAsia="楷体_GB2312" w:cs="楷体_GB2312"/>
          <w:b/>
          <w:color w:val="000000"/>
          <w:sz w:val="32"/>
        </w:rPr>
        <w:t>（二）建立健全</w:t>
      </w:r>
      <w:r>
        <w:rPr>
          <w:rFonts w:ascii="楷体_GB2312" w:hAnsi="楷体_GB2312" w:eastAsia="楷体_GB2312" w:cs="楷体_GB2312"/>
          <w:b/>
          <w:color w:val="000000"/>
          <w:sz w:val="32"/>
          <w:shd w:val="clear" w:color="auto" w:fill="FFFFFF"/>
        </w:rPr>
        <w:t>督查考核制度。</w:t>
      </w:r>
      <w:r>
        <w:rPr>
          <w:rFonts w:ascii="仿宋_GB2312" w:hAnsi="仿宋_GB2312" w:eastAsia="仿宋_GB2312" w:cs="仿宋_GB2312"/>
          <w:color w:val="000000"/>
          <w:sz w:val="32"/>
          <w:shd w:val="clear" w:color="auto" w:fill="FFFFFF"/>
        </w:rPr>
        <w:t>各级各部门要</w:t>
      </w:r>
      <w:r>
        <w:rPr>
          <w:rFonts w:ascii="仿宋_GB2312" w:hAnsi="仿宋_GB2312" w:eastAsia="仿宋_GB2312" w:cs="仿宋_GB2312"/>
          <w:color w:val="000000"/>
          <w:sz w:val="32"/>
        </w:rPr>
        <w:t>切实用督查结果倒逼整治责任落实，对旅游市场存在的重大违法违规行为、案件及旅游投诉办理情况开展督查，建立督查台账，加强隐患整改，形成整改闭环。将旅游市场整治工作作为各级各部门领导班子考评的重要内容，对于工作落实不力的单位和责任人，纪检监察部门按有关规定严肃问责。</w:t>
      </w:r>
    </w:p>
    <w:p w14:paraId="16260195">
      <w:pPr>
        <w:spacing w:line="600" w:lineRule="exact"/>
        <w:ind w:firstLine="630"/>
        <w:rPr>
          <w:rFonts w:ascii="仿宋_GB2312" w:hAnsi="仿宋_GB2312" w:eastAsia="仿宋_GB2312" w:cs="仿宋_GB2312"/>
          <w:color w:val="000000"/>
          <w:sz w:val="32"/>
        </w:rPr>
      </w:pPr>
      <w:r>
        <w:rPr>
          <w:rFonts w:ascii="楷体_GB2312" w:hAnsi="楷体_GB2312" w:eastAsia="楷体_GB2312" w:cs="楷体_GB2312"/>
          <w:b/>
          <w:sz w:val="32"/>
        </w:rPr>
        <w:t>（三）建立健全媒体曝光制度。</w:t>
      </w:r>
      <w:r>
        <w:rPr>
          <w:rFonts w:ascii="仿宋_GB2312" w:hAnsi="仿宋_GB2312" w:eastAsia="仿宋_GB2312" w:cs="仿宋_GB2312"/>
          <w:color w:val="000000"/>
          <w:sz w:val="32"/>
        </w:rPr>
        <w:t>各级各部门要积极拓展旅游市场违法违规行为的曝光渠道，强化媒体的舆论监督，支持媒体曝光扰乱旅游市场秩序的典型事件。充分发挥媒体和社会公众的监督作用，依托“12301”旅游监管平台</w:t>
      </w:r>
      <w:r>
        <w:rPr>
          <w:rFonts w:hint="eastAsia" w:ascii="仿宋_GB2312" w:hAnsi="仿宋_GB2312" w:eastAsia="仿宋_GB2312" w:cs="仿宋_GB2312"/>
          <w:color w:val="000000"/>
          <w:sz w:val="32"/>
        </w:rPr>
        <w:t>和</w:t>
      </w:r>
      <w:r>
        <w:rPr>
          <w:rFonts w:ascii="仿宋_GB2312" w:hAnsi="仿宋_GB2312" w:eastAsia="仿宋_GB2312" w:cs="仿宋_GB2312"/>
          <w:color w:val="000000"/>
          <w:sz w:val="32"/>
        </w:rPr>
        <w:t>“12315”消费投诉，加大整治力度，阿坝日报社、州电视台、阿坝文旅公司要开设旅游市场整治违法违规专栏，加大媒体跟踪报道力度，共同营造全域旅游发展的良好氛围。</w:t>
      </w:r>
    </w:p>
    <w:p w14:paraId="238090AE">
      <w:pPr>
        <w:spacing w:line="600" w:lineRule="exact"/>
        <w:ind w:firstLine="630"/>
        <w:rPr>
          <w:rFonts w:ascii="仿宋_GB2312" w:hAnsi="仿宋_GB2312" w:eastAsia="仿宋_GB2312" w:cs="仿宋_GB2312"/>
          <w:color w:val="000000"/>
          <w:sz w:val="32"/>
        </w:rPr>
      </w:pPr>
      <w:r>
        <w:rPr>
          <w:rFonts w:ascii="楷体_GB2312" w:hAnsi="楷体_GB2312" w:eastAsia="楷体_GB2312" w:cs="楷体_GB2312"/>
          <w:b/>
          <w:sz w:val="32"/>
        </w:rPr>
        <w:t>（四）建立健全行业自律制度。</w:t>
      </w:r>
      <w:r>
        <w:rPr>
          <w:rFonts w:ascii="仿宋_GB2312" w:hAnsi="仿宋_GB2312" w:eastAsia="仿宋_GB2312" w:cs="仿宋_GB2312"/>
          <w:sz w:val="32"/>
        </w:rPr>
        <w:t>各级各部门要创新市场监管机制，加大行业协会建设力度，切实发挥行业自律作用，纵深推进诚信体系建设，切实加强文明旅游宣传引导。</w:t>
      </w:r>
    </w:p>
    <w:p w14:paraId="34F52A8F">
      <w:pPr>
        <w:spacing w:line="600" w:lineRule="exact"/>
        <w:ind w:firstLine="627"/>
        <w:rPr>
          <w:rFonts w:ascii="黑体" w:hAnsi="黑体" w:eastAsia="黑体" w:cs="黑体"/>
          <w:sz w:val="32"/>
        </w:rPr>
      </w:pPr>
      <w:r>
        <w:rPr>
          <w:rFonts w:ascii="黑体" w:hAnsi="黑体" w:eastAsia="黑体" w:cs="黑体"/>
          <w:sz w:val="32"/>
        </w:rPr>
        <w:t>六、工作步骤</w:t>
      </w:r>
    </w:p>
    <w:p w14:paraId="1D44BFBC">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（一）启动准备阶段（2021年3月至20</w:t>
      </w:r>
      <w:r>
        <w:rPr>
          <w:rFonts w:hint="eastAsia" w:ascii="楷体_GB2312" w:hAnsi="楷体_GB2312" w:eastAsia="楷体_GB2312" w:cs="楷体_GB2312"/>
          <w:b/>
          <w:sz w:val="32"/>
        </w:rPr>
        <w:t>21</w:t>
      </w:r>
      <w:r>
        <w:rPr>
          <w:rFonts w:ascii="楷体_GB2312" w:hAnsi="楷体_GB2312" w:eastAsia="楷体_GB2312" w:cs="楷体_GB2312"/>
          <w:b/>
          <w:sz w:val="32"/>
        </w:rPr>
        <w:t>年3月底）。</w:t>
      </w:r>
      <w:r>
        <w:rPr>
          <w:rFonts w:ascii="仿宋_GB2312" w:hAnsi="仿宋_GB2312" w:eastAsia="仿宋_GB2312" w:cs="仿宋_GB2312"/>
          <w:sz w:val="32"/>
        </w:rPr>
        <w:t>各责任单位要统一思想，加强组织领导，围绕旅游市场专项整治的总体工作部署，明确任务目标，细化工作方案，确保2021年文化和旅游市场整治工作有章可循、有序实施。</w:t>
      </w:r>
    </w:p>
    <w:p w14:paraId="27A43EF3">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（二）集中整治阶段（2021年4月至2021年6月）。</w:t>
      </w:r>
      <w:r>
        <w:rPr>
          <w:rFonts w:ascii="仿宋_GB2312" w:hAnsi="仿宋_GB2312" w:eastAsia="仿宋_GB2312" w:cs="仿宋_GB2312"/>
          <w:sz w:val="32"/>
        </w:rPr>
        <w:t>围绕2021年全省文化和旅游发展大会筹备工作和旅游市场环境整治重点，在加强日常监管的基础上，采取超常措施、超常力度，对重点旅游景区内外、涉旅餐饮、旅游宾馆、旅游购物及其他旅游活动场所等重点区域、重点行业、重点环节和重点对象组织开展联合执法检查，形成综合监管、齐抓共管的合力，保持整治扰乱旅游市场环境违法违规行为的高压态势。</w:t>
      </w:r>
    </w:p>
    <w:p w14:paraId="03D3D2F2">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（三）全力攻坚阶段（2021年7月-2021年10月）。</w:t>
      </w:r>
      <w:r>
        <w:rPr>
          <w:rFonts w:ascii="仿宋_GB2312" w:hAnsi="仿宋_GB2312" w:eastAsia="仿宋_GB2312" w:cs="仿宋_GB2312"/>
          <w:sz w:val="32"/>
        </w:rPr>
        <w:t>以“集中整治阶段”发现的突出问题和难点问题为重点，全力攻坚，全时、全域严密管控，全力做好全省文旅大会旅游环境保障工作。</w:t>
      </w:r>
    </w:p>
    <w:p w14:paraId="09D6316E">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（四）巩固提升阶段（2021年11月-2021年12月）。</w:t>
      </w:r>
      <w:r>
        <w:rPr>
          <w:rFonts w:ascii="仿宋_GB2312" w:hAnsi="仿宋_GB2312" w:eastAsia="仿宋_GB2312" w:cs="仿宋_GB2312"/>
          <w:sz w:val="32"/>
        </w:rPr>
        <w:t>认真总结经验教训，完善规章制度，强化薄弱环节，建立常态化整治长效机制，毫不松懈地打好旅游市场环境综合监管的持久战，为全面建设“一州两区三家园”奠定坚实环境基础。</w:t>
      </w:r>
    </w:p>
    <w:p w14:paraId="0805E0DD">
      <w:pPr>
        <w:spacing w:line="600" w:lineRule="exact"/>
        <w:ind w:firstLine="627"/>
        <w:rPr>
          <w:rFonts w:ascii="黑体" w:hAnsi="黑体" w:eastAsia="黑体" w:cs="黑体"/>
          <w:sz w:val="32"/>
        </w:rPr>
      </w:pPr>
      <w:r>
        <w:rPr>
          <w:rFonts w:ascii="黑体" w:hAnsi="黑体" w:eastAsia="黑体" w:cs="黑体"/>
          <w:sz w:val="32"/>
        </w:rPr>
        <w:t>七、工作要求</w:t>
      </w:r>
    </w:p>
    <w:p w14:paraId="1E24F4BE">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（一）加大宣传，站位认识上再深化。</w:t>
      </w:r>
      <w:r>
        <w:rPr>
          <w:rFonts w:ascii="仿宋_GB2312" w:hAnsi="仿宋_GB2312" w:eastAsia="仿宋_GB2312" w:cs="仿宋_GB2312"/>
          <w:sz w:val="32"/>
        </w:rPr>
        <w:t>2021年是中国共产党成立100周年，也是“十四五”和全面建设社会主义现代化国家新征程的开局之年。在这个特殊时间节点阿坝州举办全省文化和旅游发展大会，背景特殊、意义重大、影响深远。要充分认识到旅游发展大会的重要意义，把旅游市场整治、服务质量提升放到重要的位置，加大宣传力度，形成有效震慑。</w:t>
      </w:r>
    </w:p>
    <w:p w14:paraId="31FA87D9">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（二）各司其职，协作配合上再加强。</w:t>
      </w:r>
      <w:r>
        <w:rPr>
          <w:rFonts w:ascii="仿宋_GB2312" w:hAnsi="仿宋_GB2312" w:eastAsia="仿宋_GB2312" w:cs="仿宋_GB2312"/>
          <w:sz w:val="32"/>
        </w:rPr>
        <w:t>按照“属地管理、权责一致”的原则，进一步强化属地责任，做到守土有责、守土负责、守土尽责。认真履行本地旅游市场监管主体责任，履行对整治行动的组织领导和统筹协调责任，加强基层执法力量，提高依法管理水平，切实管好管住本地旅游市场秩序。</w:t>
      </w:r>
    </w:p>
    <w:p w14:paraId="44552984">
      <w:pPr>
        <w:spacing w:line="600" w:lineRule="exact"/>
        <w:ind w:firstLine="630"/>
        <w:rPr>
          <w:rFonts w:ascii="仿宋_GB2312" w:hAnsi="仿宋_GB2312" w:eastAsia="仿宋_GB2312" w:cs="仿宋_GB2312"/>
          <w:sz w:val="32"/>
        </w:rPr>
      </w:pPr>
      <w:r>
        <w:rPr>
          <w:rFonts w:ascii="楷体_GB2312" w:hAnsi="楷体_GB2312" w:eastAsia="楷体_GB2312" w:cs="楷体_GB2312"/>
          <w:b/>
          <w:sz w:val="32"/>
        </w:rPr>
        <w:t>（三）强化执法，巡查监管上再落实。</w:t>
      </w:r>
      <w:r>
        <w:rPr>
          <w:rFonts w:ascii="仿宋_GB2312" w:hAnsi="仿宋_GB2312" w:eastAsia="仿宋_GB2312" w:cs="仿宋_GB2312"/>
          <w:sz w:val="32"/>
        </w:rPr>
        <w:t>结合职能职责，加大对旅游市场综合执法检查力度。定期开展全覆盖排查检查，不定期开展暗访巡查。实施网络媒体监测制度，密切监测热点网站、自媒体等，及时发现违法违规问题，切实做好妥善处置工作。</w:t>
      </w:r>
    </w:p>
    <w:p w14:paraId="05252339">
      <w:pPr>
        <w:spacing w:line="600" w:lineRule="exact"/>
        <w:ind w:firstLine="640"/>
        <w:jc w:val="center"/>
        <w:rPr>
          <w:rFonts w:ascii="仿宋_GB2312" w:hAnsi="仿宋_GB2312" w:eastAsia="仿宋_GB2312" w:cs="仿宋_GB2312"/>
          <w:sz w:val="32"/>
        </w:rPr>
      </w:pPr>
      <w:r>
        <w:rPr>
          <w:rFonts w:hint="eastAsia" w:ascii="仿宋_GB2312" w:hAnsi="仿宋_GB2312" w:eastAsia="仿宋_GB2312" w:cs="仿宋_GB2312"/>
          <w:sz w:val="32"/>
        </w:rPr>
        <w:t xml:space="preserve">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190921"/>
      <w:docPartObj>
        <w:docPartGallery w:val="autotext"/>
      </w:docPartObj>
    </w:sdtPr>
    <w:sdtContent>
      <w:p w14:paraId="10FD9BC3">
        <w:pPr>
          <w:pStyle w:val="2"/>
          <w:jc w:val="center"/>
        </w:pPr>
        <w:r>
          <w:fldChar w:fldCharType="begin"/>
        </w:r>
        <w:r>
          <w:instrText xml:space="preserve"> PAGE   \* MERGEFORMAT </w:instrText>
        </w:r>
        <w:r>
          <w:fldChar w:fldCharType="separate"/>
        </w:r>
        <w:r>
          <w:rPr>
            <w:lang w:val="zh-CN"/>
          </w:rPr>
          <w:t>16</w:t>
        </w:r>
        <w:r>
          <w:rPr>
            <w:lang w:val="zh-CN"/>
          </w:rPr>
          <w:fldChar w:fldCharType="end"/>
        </w:r>
      </w:p>
    </w:sdtContent>
  </w:sdt>
  <w:p w14:paraId="6988250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D7"/>
    <w:rsid w:val="000B254A"/>
    <w:rsid w:val="000C7F17"/>
    <w:rsid w:val="00156C75"/>
    <w:rsid w:val="001611BF"/>
    <w:rsid w:val="0017160F"/>
    <w:rsid w:val="001C02F1"/>
    <w:rsid w:val="002B34FE"/>
    <w:rsid w:val="002C2619"/>
    <w:rsid w:val="00335D7C"/>
    <w:rsid w:val="00362681"/>
    <w:rsid w:val="003A62A8"/>
    <w:rsid w:val="00410722"/>
    <w:rsid w:val="004439B8"/>
    <w:rsid w:val="00492E9B"/>
    <w:rsid w:val="004A66C3"/>
    <w:rsid w:val="004B6C7E"/>
    <w:rsid w:val="00531C4F"/>
    <w:rsid w:val="0053206D"/>
    <w:rsid w:val="005802D2"/>
    <w:rsid w:val="005B5E2C"/>
    <w:rsid w:val="005B7C48"/>
    <w:rsid w:val="00664D60"/>
    <w:rsid w:val="006D3299"/>
    <w:rsid w:val="006F01FC"/>
    <w:rsid w:val="00886509"/>
    <w:rsid w:val="00900609"/>
    <w:rsid w:val="00943BE7"/>
    <w:rsid w:val="009559EF"/>
    <w:rsid w:val="009822C5"/>
    <w:rsid w:val="009A70D7"/>
    <w:rsid w:val="009D361B"/>
    <w:rsid w:val="009F4B25"/>
    <w:rsid w:val="00A20C9B"/>
    <w:rsid w:val="00A31A63"/>
    <w:rsid w:val="00A83AB3"/>
    <w:rsid w:val="00A95580"/>
    <w:rsid w:val="00AA56D9"/>
    <w:rsid w:val="00AF2390"/>
    <w:rsid w:val="00B51F24"/>
    <w:rsid w:val="00BC2E01"/>
    <w:rsid w:val="00C40995"/>
    <w:rsid w:val="00C536F0"/>
    <w:rsid w:val="00C750B6"/>
    <w:rsid w:val="00C81633"/>
    <w:rsid w:val="00C90C79"/>
    <w:rsid w:val="00CA1F15"/>
    <w:rsid w:val="00CD5D28"/>
    <w:rsid w:val="00DF3333"/>
    <w:rsid w:val="00E02461"/>
    <w:rsid w:val="00E21EB8"/>
    <w:rsid w:val="00E5371C"/>
    <w:rsid w:val="00E56A3B"/>
    <w:rsid w:val="00E57FE4"/>
    <w:rsid w:val="00E7447E"/>
    <w:rsid w:val="00E9408F"/>
    <w:rsid w:val="00EC0FAE"/>
    <w:rsid w:val="00EC3E06"/>
    <w:rsid w:val="00EE1465"/>
    <w:rsid w:val="00F139A4"/>
    <w:rsid w:val="00F4246A"/>
    <w:rsid w:val="00F61E4D"/>
    <w:rsid w:val="00F83D68"/>
    <w:rsid w:val="32E63623"/>
    <w:rsid w:val="3B8937A7"/>
    <w:rsid w:val="47684594"/>
    <w:rsid w:val="60970432"/>
    <w:rsid w:val="75EF8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1124</Words>
  <Characters>6410</Characters>
  <Lines>53</Lines>
  <Paragraphs>15</Paragraphs>
  <TotalTime>7</TotalTime>
  <ScaleCrop>false</ScaleCrop>
  <LinksUpToDate>false</LinksUpToDate>
  <CharactersWithSpaces>7519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2021-03-03T17:16:00Z</dcterms:created>
  <dc:creator>Administrator</dc:creator>
  <cp:lastModifiedBy>Lenovo</cp:lastModifiedBy>
  <cp:lastPrinted>2021-03-23T09:27:00Z</cp:lastPrinted>
  <dcterms:modified xsi:type="dcterms:W3CDTF">2025-04-09T17:38:02Z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4219D581DFC140538EDAEE852C020130</vt:lpwstr>
  </property>
</Properties>
</file>