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cs="Times New Roman" w:hAnsi="Times New Roman" w:hint="eastAsia"/>
          <w:color w:val="auto"/>
          <w:kern w:val="2"/>
          <w:sz w:val="72"/>
          <w:szCs w:val="72"/>
          <w:lang w:val="en-US" w:eastAsia="zh-CN" w:bidi="ar-SA"/>
          <w:highlight w:val="auto"/>
        </w:rPr>
      </w:pPr>
      <w:bookmarkStart w:id="0" w:name="_Toc15378441"/>
      <w:bookmarkStart w:id="1" w:name="_Toc15377425"/>
      <w:bookmarkStart w:id="2" w:name="_Toc15396475"/>
      <w:bookmarkStart w:id="3" w:name="_Toc15377193"/>
      <w:bookmarkStart w:id="4" w:name="_Toc15306267"/>
      <w:bookmarkStart w:id="5" w:name="_Toc15396597"/>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pStyle w:val="18"/>
        <w:rPr>
          <w:rFonts w:ascii="Times New Roman" w:eastAsia="方正小标宋简体" w:cs="Times New Roman" w:hAnsi="Times New Roman" w:hint="eastAsia"/>
          <w:color w:val="auto"/>
          <w:kern w:val="2"/>
          <w:sz w:val="72"/>
          <w:szCs w:val="72"/>
          <w:lang w:val="en-US" w:eastAsia="zh-CN" w:bidi="ar-SA"/>
          <w:highlight w:val="auto"/>
        </w:rPr>
      </w:pPr>
    </w:p>
    <w:p>
      <w:pPr>
        <w:jc w:val="center"/>
        <w:rPr>
          <w:rFonts w:ascii="方正小标宋简体" w:eastAsia="方正小标宋简体" w:cs="方正小标宋简体" w:hint="eastAsia"/>
          <w:sz w:val="72"/>
          <w:szCs w:val="72"/>
          <w:lang w:val="en-US" w:eastAsia="zh-CN"/>
        </w:rPr>
      </w:pPr>
      <w:r>
        <w:rPr>
          <w:rFonts w:ascii="方正小标宋简体" w:eastAsia="方正小标宋简体" w:cs="方正小标宋简体" w:hint="eastAsia"/>
          <w:sz w:val="72"/>
          <w:szCs w:val="72"/>
          <w:lang w:val="en-US" w:eastAsia="zh-CN"/>
        </w:rPr>
        <w:t>202</w:t>
      </w:r>
      <w:r>
        <w:rPr>
          <w:rFonts w:ascii="方正小标宋简体" w:eastAsia="方正小标宋简体" w:cs="方正小标宋简体"/>
          <w:sz w:val="72"/>
          <w:szCs w:val="72"/>
          <w:lang w:val="en-US" w:eastAsia="zh-CN"/>
        </w:rPr>
        <w:t>5</w:t>
      </w:r>
      <w:r>
        <w:rPr>
          <w:rFonts w:ascii="方正小标宋简体" w:eastAsia="方正小标宋简体" w:cs="方正小标宋简体" w:hint="eastAsia"/>
          <w:sz w:val="72"/>
          <w:szCs w:val="72"/>
          <w:lang w:val="en-US" w:eastAsia="zh-CN"/>
        </w:rPr>
        <w:t>年度</w:t>
      </w:r>
    </w:p>
    <w:p>
      <w:pPr>
        <w:jc w:val="center"/>
        <w:rPr>
          <w:rFonts w:ascii="方正小标宋简体" w:eastAsia="方正小标宋简体" w:cs="方正小标宋简体"/>
          <w:sz w:val="72"/>
          <w:szCs w:val="72"/>
          <w:lang w:val="en-US" w:eastAsia="zh-CN"/>
        </w:rPr>
      </w:pPr>
      <w:r>
        <w:rPr>
          <w:rFonts w:ascii="方正小标宋简体" w:eastAsia="方正小标宋简体" w:cs="方正小标宋简体" w:hint="eastAsia"/>
          <w:sz w:val="72"/>
          <w:szCs w:val="72"/>
          <w:lang w:val="en-US" w:eastAsia="zh-CN"/>
        </w:rPr>
        <w:t>阿坝州民政局部门</w:t>
      </w:r>
    </w:p>
    <w:p>
      <w:pPr>
        <w:jc w:val="center"/>
        <w:rPr>
          <w:rFonts w:ascii="方正小标宋简体" w:eastAsia="方正小标宋简体" w:cs="方正小标宋简体" w:hint="eastAsia"/>
          <w:sz w:val="72"/>
          <w:szCs w:val="72"/>
        </w:rPr>
      </w:pPr>
      <w:r>
        <w:rPr>
          <w:rFonts w:ascii="方正小标宋简体" w:eastAsia="方正小标宋简体" w:cs="方正小标宋简体" w:hint="eastAsia"/>
          <w:sz w:val="72"/>
          <w:szCs w:val="72"/>
          <w:lang w:val="en-US" w:eastAsia="zh-CN"/>
        </w:rPr>
        <w:t>决算</w:t>
      </w:r>
      <w:r>
        <w:rPr>
          <w:rFonts w:ascii="方正小标宋简体" w:eastAsia="方正小标宋简体" w:cs="方正小标宋简体"/>
          <w:sz w:val="72"/>
          <w:szCs w:val="72"/>
          <w:lang w:eastAsia="zh-CN"/>
        </w:rPr>
        <w:t>公开</w:t>
      </w:r>
    </w:p>
    <w:p>
      <w:pPr>
        <w:spacing w:line="600" w:lineRule="exact"/>
        <w:jc w:val="center"/>
        <w:outlineLvl w:val="0"/>
        <w:rPr>
          <w:rFonts w:ascii="Times New Roman" w:eastAsia="方正小标宋简体" w:hAnsi="Times New Roman"/>
          <w:color w:val="auto"/>
          <w:sz w:val="72"/>
          <w:szCs w:val="72"/>
          <w:highlight w:val="auto"/>
        </w:rPr>
      </w:pPr>
    </w:p>
    <w:p>
      <w:pPr>
        <w:pStyle w:val="29"/>
        <w:rPr>
          <w:rFonts w:ascii="Times New Roman" w:hAnsi="Times New Roman"/>
        </w:rPr>
      </w:pPr>
    </w:p>
    <w:p/>
    <w:p>
      <w:pPr>
        <w:pStyle w:val="15"/>
      </w:pPr>
    </w:p>
    <w:p>
      <w:pPr>
        <w:pStyle w:val="17"/>
      </w:pPr>
    </w:p>
    <w:p/>
    <w:p/>
    <w:p>
      <w:pPr>
        <w:pStyle w:val="23"/>
        <w:tabs>
          <w:tab w:val="right" w:leader="dot" w:pos="8296"/>
        </w:tabs>
        <w:rPr>
          <w:rFonts w:ascii="Times New Roman" w:eastAsia="仿宋_GB2312" w:cs="仿宋_GB2312" w:hAnsi="Times New Roman" w:hint="eastAsia"/>
          <w:b/>
          <w:bCs/>
          <w:color w:val="auto"/>
          <w:sz w:val="32"/>
          <w:szCs w:val="32"/>
          <w:highlight w:val="auto"/>
        </w:rPr>
      </w:pPr>
      <w:r>
        <w:rPr>
          <w:rFonts w:ascii="Times New Roman" w:eastAsia="仿宋_GB2312" w:cs="仿宋_GB2312" w:hAnsi="Times New Roman" w:hint="eastAsia"/>
          <w:b/>
          <w:bCs/>
          <w:color w:val="auto"/>
          <w:sz w:val="32"/>
          <w:szCs w:val="32"/>
          <w:highlight w:val="auto"/>
        </w:rPr>
        <w:t>公开时间：20</w:t>
      </w:r>
      <w:r>
        <w:rPr>
          <w:rFonts w:ascii="Times New Roman" w:eastAsia="仿宋_GB2312" w:cs="仿宋_GB2312" w:hAnsi="Times New Roman" w:hint="eastAsia"/>
          <w:b/>
          <w:bCs/>
          <w:color w:val="auto"/>
          <w:sz w:val="32"/>
          <w:szCs w:val="32"/>
          <w:lang w:val="en-US" w:eastAsia="zh-CN"/>
          <w:highlight w:val="auto"/>
        </w:rPr>
        <w:t>26</w:t>
      </w:r>
      <w:r>
        <w:rPr>
          <w:rFonts w:ascii="Times New Roman" w:eastAsia="仿宋_GB2312" w:cs="仿宋_GB2312" w:hAnsi="Times New Roman" w:hint="eastAsia"/>
          <w:b/>
          <w:bCs/>
          <w:color w:val="auto"/>
          <w:sz w:val="32"/>
          <w:szCs w:val="32"/>
          <w:highlight w:val="auto"/>
        </w:rPr>
        <w:t>年</w:t>
      </w:r>
      <w:r>
        <w:rPr>
          <w:rFonts w:ascii="Times New Roman" w:eastAsia="仿宋_GB2312" w:cs="仿宋_GB2312" w:hAnsi="Times New Roman"/>
          <w:b/>
          <w:bCs/>
          <w:color w:val="auto"/>
          <w:sz w:val="32"/>
          <w:szCs w:val="32"/>
          <w:lang w:val="en-US" w:eastAsia="zh-CN"/>
          <w:highlight w:val="auto"/>
        </w:rPr>
        <w:t>9</w:t>
      </w:r>
      <w:r>
        <w:rPr>
          <w:rFonts w:ascii="Times New Roman" w:eastAsia="仿宋_GB2312" w:cs="仿宋_GB2312" w:hAnsi="Times New Roman" w:hint="eastAsia"/>
          <w:b/>
          <w:bCs/>
          <w:color w:val="auto"/>
          <w:sz w:val="32"/>
          <w:szCs w:val="32"/>
          <w:highlight w:val="auto"/>
        </w:rPr>
        <w:t>月</w:t>
      </w:r>
      <w:r>
        <w:rPr>
          <w:rFonts w:ascii="Times New Roman" w:eastAsia="仿宋_GB2312" w:cs="仿宋_GB2312" w:hAnsi="Times New Roman"/>
          <w:b/>
          <w:bCs/>
          <w:color w:val="auto"/>
          <w:sz w:val="32"/>
          <w:szCs w:val="32"/>
          <w:lang w:val="en-US" w:eastAsia="zh-CN"/>
          <w:highlight w:val="auto"/>
        </w:rPr>
        <w:t>18</w:t>
      </w:r>
      <w:r>
        <w:rPr>
          <w:rFonts w:ascii="Times New Roman" w:eastAsia="仿宋_GB2312" w:cs="仿宋_GB2312" w:hAnsi="Times New Roman" w:hint="eastAsia"/>
          <w:b/>
          <w:bCs/>
          <w:color w:val="auto"/>
          <w:sz w:val="32"/>
          <w:szCs w:val="32"/>
          <w:highlight w:val="auto"/>
        </w:rPr>
        <w:t>日</w:t>
      </w:r>
    </w:p>
    <w:p>
      <w:pPr>
        <w:pStyle w:val="15"/>
      </w:pPr>
    </w:p>
    <w:p/>
    <w:p>
      <w:pPr>
        <w:pStyle w:val="15"/>
      </w:pPr>
    </w:p>
    <w:p>
      <w:pPr>
        <w:pStyle w:val="17"/>
      </w:pPr>
    </w:p>
    <w:p>
      <w:pPr>
        <w:pStyle w:val="15"/>
      </w:pPr>
    </w:p>
    <w:p>
      <w:pPr>
        <w:pStyle w:val="17"/>
      </w:pPr>
    </w:p>
    <w:p/>
    <w:p>
      <w:pPr>
        <w:pStyle w:val="15"/>
      </w:pPr>
    </w:p>
    <w:p>
      <w:pPr>
        <w:pStyle w:val="17"/>
      </w:pPr>
    </w:p>
    <w:p>
      <w:pPr>
        <w:widowControl/>
        <w:jc w:val="center"/>
        <w:rPr>
          <w:rFonts w:ascii="Times New Roman" w:eastAsia="黑体" w:hAnsi="Times New Roman" w:hint="eastAsia"/>
          <w:color w:val="auto"/>
          <w:sz w:val="48"/>
          <w:szCs w:val="48"/>
          <w:highlight w:val="auto"/>
        </w:rPr>
        <w:sectPr>
          <w:footerReference w:type="default" r:id="rId2"/>
          <w:pgSz w:w="11906" w:h="16838"/>
          <w:pgMar w:top="1440" w:right="1800" w:bottom="1440" w:left="1800" w:header="851" w:footer="992" w:gutter="0"/>
          <w:pgNumType w:start="1"/>
          <w:titlePg/>
          <w:docGrid w:type="lines" w:linePitch="312" w:charSpace="0"/>
        </w:sectPr>
      </w:pPr>
      <w:bookmarkEnd w:id="0"/>
      <w:bookmarkEnd w:id="1"/>
      <w:bookmarkEnd w:id="2"/>
      <w:bookmarkEnd w:id="3"/>
      <w:bookmarkEnd w:id="4"/>
      <w:bookmarkEnd w:id="5"/>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pStyle w:val="15"/>
        <w:jc w:val="left"/>
      </w:pPr>
    </w:p>
    <w:p>
      <w:pPr>
        <w:pStyle w:val="23"/>
        <w:keepNext w:val="0"/>
        <w:keepLines w:val="0"/>
        <w:pageBreakBefore w:val="0"/>
        <w:widowControl w:val="0"/>
        <w:tabs>
          <w:tab w:val="right" w:leader="dot" w:pos="8296"/>
          <w:tab w:val="right" w:leader="dot" w:pos="8306"/>
        </w:tabs>
        <w:bidi w:val="0"/>
        <w:jc w:val="center"/>
        <w:rPr>
          <w:sz w:val="32"/>
          <w:szCs w:val="32"/>
        </w:rPr>
      </w:pPr>
      <w:r>
        <w:rPr>
          <w:rFonts w:ascii="Times New Roman" w:eastAsia="黑体" w:cs="Arial" w:hAnsi="Times New Roman"/>
          <w:color w:val="auto"/>
          <w:sz w:val="32"/>
          <w:szCs w:val="32"/>
          <w:highlight w:val="auto"/>
        </w:rPr>
        <w:fldChar w:fldCharType="begin"/>
      </w:r>
      <w:r>
        <w:rPr>
          <w:rFonts w:ascii="Times New Roman" w:eastAsia="黑体" w:cs="Arial" w:hAnsi="Times New Roman"/>
          <w:color w:val="auto"/>
          <w:sz w:val="32"/>
          <w:szCs w:val="32"/>
          <w:highlight w:val="auto"/>
        </w:rPr>
        <w:instrText xml:space="preserve"> TOC \o "1-2" \h \u </w:instrText>
      </w:r>
      <w:r>
        <w:rPr>
          <w:rFonts w:ascii="Times New Roman" w:eastAsia="黑体" w:cs="Arial" w:hAnsi="Times New Roman"/>
          <w:color w:val="auto"/>
          <w:sz w:val="32"/>
          <w:szCs w:val="32"/>
          <w:highlight w:val="auto"/>
        </w:rPr>
        <w:fldChar w:fldCharType="separate"/>
      </w:r>
      <w:r>
        <w:rPr>
          <w:sz w:val="32"/>
          <w:szCs w:val="32"/>
        </w:rPr>
        <w:fldChar w:fldCharType="begin"/>
      </w:r>
      <w:r>
        <w:rPr>
          <w:sz w:val="32"/>
          <w:szCs w:val="32"/>
        </w:rPr>
        <w:instrText>Hyperlink \l "_Toc99534227"</w:instrText>
      </w:r>
      <w:r>
        <w:rPr>
          <w:sz w:val="32"/>
          <w:szCs w:val="32"/>
        </w:rPr>
        <w:fldChar w:fldCharType="separate"/>
      </w:r>
      <w:r>
        <w:rPr>
          <w:rFonts w:ascii="Times New Roman" w:eastAsia="方正小标宋简体" w:cs="方正小标宋简体" w:hAnsi="Times New Roman" w:hint="eastAsia"/>
          <w:sz w:val="32"/>
          <w:szCs w:val="32"/>
          <w:highlight w:val="auto"/>
        </w:rPr>
        <w:t>第一部分</w:t>
      </w:r>
      <w:r>
        <w:rPr>
          <w:rFonts w:ascii="Times New Roman" w:eastAsia="方正小标宋简体" w:cs="方正小标宋简体" w:hAnsi="Times New Roman" w:hint="eastAsia"/>
          <w:sz w:val="32"/>
          <w:szCs w:val="32"/>
          <w:lang w:val="en-US" w:eastAsia="zh-CN"/>
          <w:highlight w:val="auto"/>
        </w:rPr>
        <w:t xml:space="preserve"> </w:t>
      </w:r>
      <w:r>
        <w:rPr>
          <w:rFonts w:ascii="Times New Roman" w:eastAsia="方正小标宋简体" w:cs="方正小标宋简体" w:hAnsi="Times New Roman" w:hint="eastAsia"/>
          <w:sz w:val="32"/>
          <w:szCs w:val="32"/>
          <w:highlight w:val="auto"/>
        </w:rPr>
        <w:t xml:space="preserve"> </w:t>
      </w:r>
      <w:r>
        <w:rPr>
          <w:rFonts w:ascii="Times New Roman" w:eastAsia="方正小标宋简体" w:cs="方正小标宋简体" w:hAnsi="Times New Roman" w:hint="eastAsia"/>
          <w:bCs w:val="0"/>
          <w:kern w:val="44"/>
          <w:sz w:val="32"/>
          <w:szCs w:val="32"/>
          <w:lang w:val="en-US" w:eastAsia="zh-CN" w:bidi="ar-SA"/>
        </w:rPr>
        <w:t>部门概况</w:t>
      </w:r>
      <w:r>
        <w:rPr>
          <w:sz w:val="32"/>
          <w:szCs w:val="32"/>
        </w:rPr>
        <w:tab/>
      </w:r>
      <w:r>
        <w:rPr>
          <w:sz w:val="32"/>
          <w:szCs w:val="32"/>
        </w:rPr>
        <w:fldChar w:fldCharType="begin"/>
      </w:r>
      <w:r>
        <w:rPr>
          <w:sz w:val="32"/>
          <w:szCs w:val="32"/>
        </w:rPr>
        <w:instrText>PageRef _Toc99534227 \h</w:instrText>
      </w:r>
      <w:r>
        <w:rPr>
          <w:sz w:val="32"/>
          <w:szCs w:val="32"/>
        </w:rPr>
        <w:fldChar w:fldCharType="separate"/>
      </w:r>
      <w:r>
        <w:rPr>
          <w:sz w:val="32"/>
          <w:szCs w:val="32"/>
        </w:rPr>
        <w:t>1</w:t>
      </w:r>
      <w:r>
        <w:rPr>
          <w:sz w:val="32"/>
          <w:szCs w:val="32"/>
        </w:rPr>
        <w:fldChar w:fldCharType="end"/>
      </w:r>
      <w:r>
        <w:rPr>
          <w:sz w:val="32"/>
          <w:szCs w:val="3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"_Toc99534228"</w:instrText>
      </w:r>
      <w:r>
        <w:rPr>
          <w:sz w:val="22"/>
          <w:szCs w:val="22"/>
        </w:rPr>
        <w:fldChar w:fldCharType="separate"/>
      </w:r>
      <w:r>
        <w:rPr>
          <w:rFonts w:ascii="Times New Roman" w:eastAsia="黑体" w:hAnsi="Times New Roman" w:hint="eastAsia"/>
          <w:sz w:val="22"/>
          <w:szCs w:val="22"/>
          <w:highlight w:val="auto"/>
        </w:rPr>
        <w:t>一、</w:t>
      </w:r>
      <w:r>
        <w:rPr>
          <w:rFonts w:ascii="Times New Roman" w:eastAsia="黑体" w:hAnsi="Times New Roman" w:hint="eastAsia"/>
          <w:sz w:val="22"/>
          <w:szCs w:val="22"/>
          <w:lang w:eastAsia="zh-CN"/>
          <w:highlight w:val="auto"/>
        </w:rPr>
        <w:t>部门职责</w:t>
      </w:r>
      <w:r>
        <w:rPr>
          <w:sz w:val="22"/>
          <w:szCs w:val="22"/>
        </w:rPr>
        <w:tab/>
      </w:r>
      <w:r>
        <w:rPr>
          <w:sz w:val="22"/>
          <w:szCs w:val="22"/>
        </w:rPr>
        <w:fldChar w:fldCharType="begin"/>
      </w:r>
      <w:r>
        <w:rPr>
          <w:sz w:val="22"/>
          <w:szCs w:val="22"/>
        </w:rPr>
        <w:instrText>PageRef _Toc99534228 \h</w:instrText>
      </w:r>
      <w:r>
        <w:rPr>
          <w:sz w:val="22"/>
          <w:szCs w:val="22"/>
        </w:rPr>
        <w:fldChar w:fldCharType="separate"/>
      </w:r>
      <w:r>
        <w:rPr>
          <w:sz w:val="22"/>
          <w:szCs w:val="22"/>
        </w:rPr>
        <w:t>1</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"_Toc99534229"</w:instrText>
      </w:r>
      <w:r>
        <w:rPr>
          <w:sz w:val="22"/>
          <w:szCs w:val="22"/>
        </w:rPr>
        <w:fldChar w:fldCharType="separate"/>
      </w:r>
      <w:r>
        <w:rPr>
          <w:rFonts w:ascii="Times New Roman" w:eastAsia="黑体" w:hAnsi="Times New Roman" w:hint="eastAsia"/>
          <w:sz w:val="22"/>
          <w:szCs w:val="22"/>
          <w:highlight w:val="auto"/>
        </w:rPr>
        <w:t>二、机</w:t>
      </w:r>
      <w:r>
        <w:rPr>
          <w:rFonts w:ascii="Times New Roman" w:eastAsia="黑体" w:cs="Times New Roman" w:hAnsi="Times New Roman" w:hint="eastAsia"/>
          <w:bCs w:val="0"/>
          <w:kern w:val="2"/>
          <w:sz w:val="22"/>
          <w:szCs w:val="22"/>
          <w:lang w:val="en-US" w:eastAsia="zh-CN" w:bidi="ar-SA"/>
        </w:rPr>
        <w:t>构设置</w:t>
      </w:r>
      <w:r>
        <w:rPr>
          <w:sz w:val="22"/>
          <w:szCs w:val="22"/>
        </w:rPr>
        <w:tab/>
      </w:r>
      <w:r>
        <w:rPr>
          <w:sz w:val="22"/>
          <w:szCs w:val="22"/>
        </w:rPr>
        <w:fldChar w:fldCharType="begin"/>
      </w:r>
      <w:r>
        <w:rPr>
          <w:sz w:val="22"/>
          <w:szCs w:val="22"/>
        </w:rPr>
        <w:instrText>PageRef _Toc99534229 \h</w:instrText>
      </w:r>
      <w:r>
        <w:rPr>
          <w:sz w:val="22"/>
          <w:szCs w:val="22"/>
        </w:rPr>
        <w:fldChar w:fldCharType="separate"/>
      </w:r>
      <w:r>
        <w:rPr>
          <w:sz w:val="22"/>
          <w:szCs w:val="22"/>
        </w:rPr>
        <w:t>5</w:t>
      </w:r>
      <w:r>
        <w:rPr>
          <w:sz w:val="22"/>
          <w:szCs w:val="22"/>
        </w:rPr>
        <w:fldChar w:fldCharType="end"/>
      </w:r>
      <w:r>
        <w:rPr>
          <w:sz w:val="22"/>
          <w:szCs w:val="22"/>
        </w:rPr>
        <w:fldChar w:fldCharType="end"/>
      </w:r>
    </w:p>
    <w:p>
      <w:pPr>
        <w:pStyle w:val="23"/>
        <w:keepNext w:val="0"/>
        <w:keepLines w:val="0"/>
        <w:pageBreakBefore w:val="0"/>
        <w:widowControl w:val="0"/>
        <w:tabs>
          <w:tab w:val="right" w:leader="dot" w:pos="8296"/>
          <w:tab w:val="right" w:leader="dot" w:pos="8306"/>
        </w:tabs>
        <w:bidi w:val="0"/>
        <w:jc w:val="center"/>
        <w:rPr>
          <w:sz w:val="32"/>
          <w:szCs w:val="32"/>
        </w:rPr>
      </w:pPr>
      <w:r>
        <w:rPr>
          <w:sz w:val="32"/>
          <w:szCs w:val="32"/>
        </w:rPr>
        <w:fldChar w:fldCharType="begin"/>
      </w:r>
      <w:r>
        <w:rPr>
          <w:sz w:val="32"/>
          <w:szCs w:val="32"/>
        </w:rPr>
        <w:instrText>Hyperlink \l "_Toc99534230"</w:instrText>
      </w:r>
      <w:r>
        <w:rPr>
          <w:sz w:val="32"/>
          <w:szCs w:val="32"/>
        </w:rPr>
        <w:fldChar w:fldCharType="separate"/>
      </w:r>
      <w:r>
        <w:rPr>
          <w:rFonts w:ascii="Times New Roman" w:eastAsia="方正小标宋简体" w:cs="方正小标宋简体" w:hAnsi="Times New Roman" w:hint="eastAsia"/>
          <w:sz w:val="32"/>
          <w:szCs w:val="32"/>
          <w:highlight w:val="auto"/>
        </w:rPr>
        <w:t>第二部分</w:t>
      </w:r>
      <w:r>
        <w:rPr>
          <w:rFonts w:ascii="Times New Roman" w:eastAsia="方正小标宋简体" w:cs="方正小标宋简体" w:hAnsi="Times New Roman" w:hint="eastAsia"/>
          <w:sz w:val="32"/>
          <w:szCs w:val="32"/>
          <w:lang w:val="en-US" w:eastAsia="zh-CN"/>
          <w:highlight w:val="auto"/>
        </w:rPr>
        <w:t xml:space="preserve"> </w:t>
      </w:r>
      <w:r>
        <w:rPr>
          <w:rFonts w:ascii="Times New Roman" w:eastAsia="方正小标宋简体" w:cs="方正小标宋简体" w:hAnsi="Times New Roman" w:hint="eastAsia"/>
          <w:sz w:val="32"/>
          <w:szCs w:val="32"/>
          <w:highlight w:val="auto"/>
        </w:rPr>
        <w:t xml:space="preserve"> </w:t>
      </w:r>
      <w:r>
        <w:rPr>
          <w:rFonts w:eastAsia="方正小标宋简体" w:cs="方正小标宋简体" w:hint="eastAsia"/>
          <w:sz w:val="32"/>
          <w:szCs w:val="32"/>
          <w:lang w:val="en-US" w:eastAsia="zh-CN"/>
          <w:highlight w:val="auto"/>
        </w:rPr>
        <w:t>2025年度</w:t>
      </w:r>
      <w:r>
        <w:rPr>
          <w:rFonts w:ascii="Times New Roman" w:eastAsia="方正小标宋简体" w:cs="方正小标宋简体" w:hAnsi="Times New Roman" w:hint="eastAsia"/>
          <w:sz w:val="32"/>
          <w:szCs w:val="32"/>
          <w:highlight w:val="auto"/>
        </w:rPr>
        <w:t>部门决算情况说明</w:t>
      </w:r>
      <w:r>
        <w:rPr>
          <w:sz w:val="32"/>
          <w:szCs w:val="32"/>
        </w:rPr>
        <w:tab/>
      </w:r>
      <w:r>
        <w:rPr>
          <w:sz w:val="32"/>
          <w:szCs w:val="32"/>
        </w:rPr>
        <w:fldChar w:fldCharType="begin"/>
      </w:r>
      <w:r>
        <w:rPr>
          <w:sz w:val="32"/>
          <w:szCs w:val="32"/>
        </w:rPr>
        <w:instrText>PageRef _Toc99534230 \h</w:instrText>
      </w:r>
      <w:r>
        <w:rPr>
          <w:sz w:val="32"/>
          <w:szCs w:val="32"/>
        </w:rPr>
        <w:fldChar w:fldCharType="separate"/>
      </w:r>
      <w:r>
        <w:rPr>
          <w:sz w:val="32"/>
          <w:szCs w:val="32"/>
        </w:rPr>
        <w:t>7</w:t>
      </w:r>
      <w:r>
        <w:rPr>
          <w:sz w:val="32"/>
          <w:szCs w:val="32"/>
        </w:rPr>
        <w:fldChar w:fldCharType="end"/>
      </w:r>
      <w:r>
        <w:rPr>
          <w:sz w:val="32"/>
          <w:szCs w:val="3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"_Toc99534231"</w:instrText>
      </w:r>
      <w:r>
        <w:rPr>
          <w:sz w:val="22"/>
          <w:szCs w:val="22"/>
        </w:rPr>
        <w:fldChar w:fldCharType="separate"/>
      </w:r>
      <w:r>
        <w:rPr>
          <w:rFonts w:ascii="Times New Roman" w:eastAsia="黑体" w:hAnsi="Times New Roman" w:hint="eastAsia"/>
          <w:sz w:val="22"/>
          <w:szCs w:val="22"/>
          <w:lang w:eastAsia="zh-CN"/>
        </w:rPr>
        <w:t>一、</w:t>
      </w:r>
      <w:r>
        <w:rPr>
          <w:rFonts w:ascii="Times New Roman" w:eastAsia="黑体" w:hAnsi="Times New Roman" w:hint="eastAsia"/>
          <w:sz w:val="22"/>
          <w:szCs w:val="22"/>
        </w:rPr>
        <w:t>收</w:t>
      </w:r>
      <w:r>
        <w:rPr>
          <w:rFonts w:ascii="Times New Roman" w:eastAsia="黑体" w:cs="Times New Roman" w:hAnsi="Times New Roman" w:hint="eastAsia"/>
          <w:bCs/>
          <w:kern w:val="2"/>
          <w:sz w:val="22"/>
          <w:szCs w:val="22"/>
          <w:lang w:val="en-US" w:eastAsia="zh-CN" w:bidi="ar-SA"/>
        </w:rPr>
        <w:t>入支出决算总体情况说明</w:t>
      </w:r>
      <w:r>
        <w:rPr>
          <w:sz w:val="22"/>
          <w:szCs w:val="22"/>
        </w:rPr>
        <w:tab/>
      </w:r>
      <w:r>
        <w:rPr>
          <w:sz w:val="22"/>
          <w:szCs w:val="22"/>
        </w:rPr>
        <w:fldChar w:fldCharType="begin"/>
      </w:r>
      <w:r>
        <w:rPr>
          <w:sz w:val="22"/>
          <w:szCs w:val="22"/>
        </w:rPr>
        <w:instrText>PageRef _Toc99534231 \h</w:instrText>
      </w:r>
      <w:r>
        <w:rPr>
          <w:sz w:val="22"/>
          <w:szCs w:val="22"/>
        </w:rPr>
        <w:fldChar w:fldCharType="separate"/>
      </w:r>
      <w:r>
        <w:rPr>
          <w:sz w:val="22"/>
          <w:szCs w:val="22"/>
        </w:rPr>
        <w:t>7</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"_Toc99534232"</w:instrText>
      </w:r>
      <w:r>
        <w:rPr>
          <w:sz w:val="22"/>
          <w:szCs w:val="22"/>
        </w:rPr>
        <w:fldChar w:fldCharType="separate"/>
      </w:r>
      <w:r>
        <w:rPr>
          <w:rFonts w:ascii="Times New Roman" w:eastAsia="黑体" w:hAnsi="Times New Roman" w:hint="eastAsia"/>
          <w:sz w:val="22"/>
          <w:szCs w:val="22"/>
          <w:lang w:eastAsia="zh-CN"/>
        </w:rPr>
        <w:t>二、收入决算情况说明</w:t>
      </w:r>
      <w:r>
        <w:rPr>
          <w:sz w:val="22"/>
          <w:szCs w:val="22"/>
        </w:rPr>
        <w:tab/>
      </w:r>
      <w:r>
        <w:rPr>
          <w:sz w:val="22"/>
          <w:szCs w:val="22"/>
        </w:rPr>
        <w:fldChar w:fldCharType="begin"/>
      </w:r>
      <w:r>
        <w:rPr>
          <w:sz w:val="22"/>
          <w:szCs w:val="22"/>
        </w:rPr>
        <w:instrText>PageRef _Toc99534232 \h</w:instrText>
      </w:r>
      <w:r>
        <w:rPr>
          <w:sz w:val="22"/>
          <w:szCs w:val="22"/>
        </w:rPr>
        <w:fldChar w:fldCharType="separate"/>
      </w:r>
      <w:r>
        <w:rPr>
          <w:sz w:val="22"/>
          <w:szCs w:val="22"/>
        </w:rPr>
        <w:t>7</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"_Toc99534233"</w:instrText>
      </w:r>
      <w:r>
        <w:rPr>
          <w:sz w:val="22"/>
          <w:szCs w:val="22"/>
        </w:rPr>
        <w:fldChar w:fldCharType="separate"/>
      </w:r>
      <w:r>
        <w:rPr>
          <w:rFonts w:ascii="Times New Roman" w:eastAsia="黑体" w:hAnsi="Times New Roman" w:hint="eastAsia"/>
          <w:sz w:val="22"/>
          <w:szCs w:val="22"/>
          <w:lang w:eastAsia="zh-CN"/>
        </w:rPr>
        <w:t>三、</w:t>
      </w:r>
      <w:r>
        <w:rPr>
          <w:rFonts w:ascii="Times New Roman" w:eastAsia="黑体" w:hAnsi="Times New Roman" w:hint="eastAsia"/>
          <w:sz w:val="22"/>
          <w:szCs w:val="22"/>
        </w:rPr>
        <w:t>支</w:t>
      </w:r>
      <w:r>
        <w:rPr>
          <w:rFonts w:ascii="Times New Roman" w:eastAsia="黑体" w:cs="Times New Roman" w:hAnsi="Times New Roman" w:hint="eastAsia"/>
          <w:bCs/>
          <w:kern w:val="2"/>
          <w:sz w:val="22"/>
          <w:szCs w:val="22"/>
          <w:lang w:val="en-US" w:eastAsia="zh-CN" w:bidi="ar-SA"/>
        </w:rPr>
        <w:t>出决算情况说明</w:t>
      </w:r>
      <w:r>
        <w:rPr>
          <w:sz w:val="22"/>
          <w:szCs w:val="22"/>
        </w:rPr>
        <w:tab/>
      </w:r>
      <w:r>
        <w:rPr>
          <w:sz w:val="22"/>
          <w:szCs w:val="22"/>
        </w:rPr>
        <w:fldChar w:fldCharType="begin"/>
      </w:r>
      <w:r>
        <w:rPr>
          <w:sz w:val="22"/>
          <w:szCs w:val="22"/>
        </w:rPr>
        <w:instrText>PageRef _Toc99534233 \h</w:instrText>
      </w:r>
      <w:r>
        <w:rPr>
          <w:sz w:val="22"/>
          <w:szCs w:val="22"/>
        </w:rPr>
        <w:fldChar w:fldCharType="separate"/>
      </w:r>
      <w:r>
        <w:rPr>
          <w:sz w:val="22"/>
          <w:szCs w:val="22"/>
        </w:rPr>
        <w:t>8</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"_Toc99534234"</w:instrText>
      </w:r>
      <w:r>
        <w:rPr>
          <w:sz w:val="22"/>
          <w:szCs w:val="22"/>
        </w:rPr>
        <w:fldChar w:fldCharType="separate"/>
      </w:r>
      <w:r>
        <w:rPr>
          <w:rFonts w:ascii="Times New Roman" w:eastAsia="黑体" w:hAnsi="Times New Roman" w:hint="eastAsia"/>
          <w:sz w:val="22"/>
          <w:szCs w:val="22"/>
        </w:rPr>
        <w:t>四、财</w:t>
      </w:r>
      <w:r>
        <w:rPr>
          <w:rFonts w:ascii="Times New Roman" w:eastAsia="黑体" w:cs="Times New Roman" w:hAnsi="Times New Roman" w:hint="eastAsia"/>
          <w:bCs/>
          <w:kern w:val="2"/>
          <w:sz w:val="22"/>
          <w:szCs w:val="22"/>
          <w:lang w:val="en-US" w:eastAsia="zh-CN" w:bidi="ar-SA"/>
        </w:rPr>
        <w:t>政拨款收入支出决算总体情况说明</w:t>
      </w:r>
      <w:r>
        <w:rPr>
          <w:sz w:val="22"/>
          <w:szCs w:val="22"/>
        </w:rPr>
        <w:tab/>
      </w:r>
      <w:r>
        <w:rPr>
          <w:sz w:val="22"/>
          <w:szCs w:val="22"/>
        </w:rPr>
        <w:fldChar w:fldCharType="begin"/>
      </w:r>
      <w:r>
        <w:rPr>
          <w:sz w:val="22"/>
          <w:szCs w:val="22"/>
        </w:rPr>
        <w:instrText>PageRef _Toc99534234 \h</w:instrText>
      </w:r>
      <w:r>
        <w:rPr>
          <w:sz w:val="22"/>
          <w:szCs w:val="22"/>
        </w:rPr>
        <w:fldChar w:fldCharType="separate"/>
      </w:r>
      <w:r>
        <w:rPr>
          <w:sz w:val="22"/>
          <w:szCs w:val="22"/>
        </w:rPr>
        <w:t>8</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"_Toc99534235"</w:instrText>
      </w:r>
      <w:r>
        <w:rPr>
          <w:sz w:val="22"/>
          <w:szCs w:val="22"/>
        </w:rPr>
        <w:fldChar w:fldCharType="separate"/>
      </w:r>
      <w:r>
        <w:rPr>
          <w:rFonts w:ascii="Times New Roman" w:eastAsia="黑体" w:hAnsi="Times New Roman" w:hint="eastAsia"/>
          <w:sz w:val="22"/>
          <w:szCs w:val="22"/>
        </w:rPr>
        <w:t>五、一</w:t>
      </w:r>
      <w:r>
        <w:rPr>
          <w:rFonts w:ascii="Times New Roman" w:eastAsia="黑体" w:cs="Times New Roman" w:hAnsi="Times New Roman" w:hint="eastAsia"/>
          <w:bCs/>
          <w:kern w:val="2"/>
          <w:sz w:val="22"/>
          <w:szCs w:val="22"/>
          <w:lang w:val="en-US" w:eastAsia="zh-CN" w:bidi="ar-SA"/>
        </w:rPr>
        <w:t>般公共预算财政拨款支出决算情况说明</w:t>
      </w:r>
      <w:r>
        <w:rPr>
          <w:sz w:val="22"/>
          <w:szCs w:val="22"/>
        </w:rPr>
        <w:tab/>
      </w:r>
      <w:r>
        <w:rPr>
          <w:sz w:val="22"/>
          <w:szCs w:val="22"/>
        </w:rPr>
        <w:fldChar w:fldCharType="begin"/>
      </w:r>
      <w:r>
        <w:rPr>
          <w:sz w:val="22"/>
          <w:szCs w:val="22"/>
        </w:rPr>
        <w:instrText>PageRef _Toc99534235 \h</w:instrText>
      </w:r>
      <w:r>
        <w:rPr>
          <w:sz w:val="22"/>
          <w:szCs w:val="22"/>
        </w:rPr>
        <w:fldChar w:fldCharType="separate"/>
      </w:r>
      <w:r>
        <w:rPr>
          <w:sz w:val="22"/>
          <w:szCs w:val="22"/>
        </w:rPr>
        <w:t>9</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"_Toc99534236"</w:instrText>
      </w:r>
      <w:r>
        <w:rPr>
          <w:sz w:val="22"/>
          <w:szCs w:val="22"/>
        </w:rPr>
        <w:fldChar w:fldCharType="separate"/>
      </w:r>
      <w:r>
        <w:rPr>
          <w:rFonts w:ascii="Times New Roman" w:eastAsia="黑体" w:hAnsi="Times New Roman" w:hint="eastAsia"/>
          <w:sz w:val="22"/>
          <w:szCs w:val="22"/>
        </w:rPr>
        <w:t>六、一</w:t>
      </w:r>
      <w:r>
        <w:rPr>
          <w:rFonts w:ascii="Times New Roman" w:eastAsia="黑体" w:cs="Times New Roman" w:hAnsi="Times New Roman" w:hint="eastAsia"/>
          <w:bCs/>
          <w:kern w:val="2"/>
          <w:sz w:val="22"/>
          <w:szCs w:val="22"/>
          <w:lang w:val="en-US" w:eastAsia="zh-CN" w:bidi="ar-SA"/>
        </w:rPr>
        <w:t>般公共预算财政拨款基本支出决算情况说明</w:t>
      </w:r>
      <w:r>
        <w:rPr>
          <w:sz w:val="22"/>
          <w:szCs w:val="22"/>
        </w:rPr>
        <w:tab/>
      </w:r>
      <w:r>
        <w:rPr>
          <w:sz w:val="22"/>
          <w:szCs w:val="22"/>
        </w:rPr>
        <w:fldChar w:fldCharType="begin"/>
      </w:r>
      <w:r>
        <w:rPr>
          <w:sz w:val="22"/>
          <w:szCs w:val="22"/>
        </w:rPr>
        <w:instrText>PageRef _Toc99534236 \h</w:instrText>
      </w:r>
      <w:r>
        <w:rPr>
          <w:sz w:val="22"/>
          <w:szCs w:val="22"/>
        </w:rPr>
        <w:fldChar w:fldCharType="separate"/>
      </w:r>
      <w:r>
        <w:rPr>
          <w:sz w:val="22"/>
          <w:szCs w:val="22"/>
        </w:rPr>
        <w:t>12</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"_Toc99534237"</w:instrText>
      </w:r>
      <w:r>
        <w:rPr>
          <w:sz w:val="22"/>
          <w:szCs w:val="22"/>
        </w:rPr>
        <w:fldChar w:fldCharType="separate"/>
      </w:r>
      <w:r>
        <w:rPr>
          <w:rFonts w:ascii="Times New Roman" w:eastAsia="黑体" w:hAnsi="Times New Roman" w:hint="eastAsia"/>
          <w:sz w:val="22"/>
          <w:szCs w:val="22"/>
        </w:rPr>
        <w:t>七、</w:t>
      </w:r>
      <w:r>
        <w:rPr>
          <w:rFonts w:ascii="Times New Roman" w:eastAsia="黑体" w:cs="Times New Roman" w:hAnsi="Times New Roman" w:hint="eastAsia"/>
          <w:bCs/>
          <w:kern w:val="2"/>
          <w:sz w:val="22"/>
          <w:szCs w:val="22"/>
          <w:lang w:val="en-US" w:eastAsia="zh-CN" w:bidi="ar-SA"/>
        </w:rPr>
        <w:t>财政拨款“三公”经费支出决算情况说明</w:t>
      </w:r>
      <w:r>
        <w:rPr>
          <w:sz w:val="22"/>
          <w:szCs w:val="22"/>
        </w:rPr>
        <w:tab/>
      </w:r>
      <w:r>
        <w:rPr>
          <w:sz w:val="22"/>
          <w:szCs w:val="22"/>
        </w:rPr>
        <w:fldChar w:fldCharType="begin"/>
      </w:r>
      <w:r>
        <w:rPr>
          <w:sz w:val="22"/>
          <w:szCs w:val="22"/>
        </w:rPr>
        <w:instrText>PageRef _Toc99534237 \h</w:instrText>
      </w:r>
      <w:r>
        <w:rPr>
          <w:sz w:val="22"/>
          <w:szCs w:val="22"/>
        </w:rPr>
        <w:fldChar w:fldCharType="separate"/>
      </w:r>
      <w:r>
        <w:rPr>
          <w:sz w:val="22"/>
          <w:szCs w:val="22"/>
        </w:rPr>
        <w:t>13</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"_Toc99534238"</w:instrText>
      </w:r>
      <w:r>
        <w:rPr>
          <w:sz w:val="22"/>
          <w:szCs w:val="22"/>
        </w:rPr>
        <w:fldChar w:fldCharType="separate"/>
      </w:r>
      <w:r>
        <w:rPr>
          <w:rFonts w:ascii="Times New Roman" w:eastAsia="黑体" w:cs="Times New Roman" w:hAnsi="Times New Roman" w:hint="eastAsia"/>
          <w:bCs/>
          <w:kern w:val="2"/>
          <w:sz w:val="22"/>
          <w:szCs w:val="22"/>
          <w:lang w:val="en-US" w:eastAsia="zh-CN" w:bidi="ar-SA"/>
        </w:rPr>
        <w:t>九、国有资本经营预算支出决算情况说明</w:t>
      </w:r>
      <w:r>
        <w:rPr>
          <w:sz w:val="22"/>
          <w:szCs w:val="22"/>
        </w:rPr>
        <w:tab/>
      </w:r>
      <w:r>
        <w:rPr>
          <w:sz w:val="22"/>
          <w:szCs w:val="22"/>
        </w:rPr>
        <w:fldChar w:fldCharType="begin"/>
      </w:r>
      <w:r>
        <w:rPr>
          <w:sz w:val="22"/>
          <w:szCs w:val="22"/>
        </w:rPr>
        <w:instrText>PageRef _Toc99534238 \h</w:instrText>
      </w:r>
      <w:r>
        <w:rPr>
          <w:sz w:val="22"/>
          <w:szCs w:val="22"/>
        </w:rPr>
        <w:fldChar w:fldCharType="separate"/>
      </w:r>
      <w:r>
        <w:rPr>
          <w:sz w:val="22"/>
          <w:szCs w:val="22"/>
        </w:rPr>
        <w:t>14</w:t>
      </w:r>
      <w:r>
        <w:rPr>
          <w:sz w:val="22"/>
          <w:szCs w:val="22"/>
        </w:rPr>
        <w:fldChar w:fldCharType="end"/>
      </w:r>
      <w:r>
        <w:rPr>
          <w:sz w:val="22"/>
          <w:szCs w:val="22"/>
        </w:rPr>
        <w:fldChar w:fldCharType="end"/>
      </w:r>
    </w:p>
    <w:p>
      <w:pPr>
        <w:pStyle w:val="25"/>
        <w:keepNext w:val="0"/>
        <w:keepLines w:val="0"/>
        <w:pageBreakBefore w:val="0"/>
        <w:widowControl w:val="0"/>
        <w:tabs>
          <w:tab w:val="right" w:leader="dot" w:pos="8296"/>
          <w:tab w:val="right" w:leader="dot" w:pos="8306"/>
        </w:tabs>
        <w:bidi w:val="0"/>
        <w:ind w:leftChars="200" w:left="420"/>
        <w:rPr>
          <w:sz w:val="22"/>
          <w:szCs w:val="22"/>
        </w:rPr>
      </w:pPr>
      <w:r>
        <w:rPr>
          <w:sz w:val="22"/>
          <w:szCs w:val="22"/>
        </w:rPr>
        <w:fldChar w:fldCharType="begin"/>
      </w:r>
      <w:r>
        <w:rPr>
          <w:sz w:val="22"/>
          <w:szCs w:val="22"/>
        </w:rPr>
        <w:instrText>Hyperlink \l "_Toc99534239"</w:instrText>
      </w:r>
      <w:r>
        <w:rPr>
          <w:sz w:val="22"/>
          <w:szCs w:val="22"/>
        </w:rPr>
        <w:fldChar w:fldCharType="separate"/>
      </w:r>
      <w:r>
        <w:rPr>
          <w:rFonts w:ascii="Times New Roman" w:eastAsia="黑体" w:cs="Times New Roman" w:hAnsi="Times New Roman" w:hint="eastAsia"/>
          <w:bCs/>
          <w:kern w:val="2"/>
          <w:sz w:val="22"/>
          <w:szCs w:val="22"/>
          <w:lang w:val="en-US" w:eastAsia="zh-CN" w:bidi="ar-SA"/>
        </w:rPr>
        <w:t>十、其他重要事项的情况说明</w:t>
      </w:r>
      <w:r>
        <w:rPr>
          <w:sz w:val="22"/>
          <w:szCs w:val="22"/>
        </w:rPr>
        <w:tab/>
      </w:r>
      <w:r>
        <w:rPr>
          <w:sz w:val="22"/>
          <w:szCs w:val="22"/>
        </w:rPr>
        <w:fldChar w:fldCharType="begin"/>
      </w:r>
      <w:r>
        <w:rPr>
          <w:sz w:val="22"/>
          <w:szCs w:val="22"/>
        </w:rPr>
        <w:instrText>PageRef _Toc99534239 \h</w:instrText>
      </w:r>
      <w:r>
        <w:rPr>
          <w:sz w:val="22"/>
          <w:szCs w:val="22"/>
        </w:rPr>
        <w:fldChar w:fldCharType="separate"/>
      </w:r>
      <w:r>
        <w:rPr>
          <w:sz w:val="22"/>
          <w:szCs w:val="22"/>
        </w:rPr>
        <w:t>15</w:t>
      </w:r>
      <w:r>
        <w:rPr>
          <w:sz w:val="22"/>
          <w:szCs w:val="22"/>
        </w:rPr>
        <w:fldChar w:fldCharType="end"/>
      </w:r>
      <w:r>
        <w:rPr>
          <w:sz w:val="22"/>
          <w:szCs w:val="22"/>
        </w:rPr>
        <w:fldChar w:fldCharType="end"/>
      </w:r>
    </w:p>
    <w:p>
      <w:pPr>
        <w:pStyle w:val="23"/>
        <w:keepNext w:val="0"/>
        <w:keepLines w:val="0"/>
        <w:pageBreakBefore w:val="0"/>
        <w:widowControl w:val="0"/>
        <w:tabs>
          <w:tab w:val="right" w:leader="dot" w:pos="8296"/>
          <w:tab w:val="right" w:leader="dot" w:pos="8306"/>
        </w:tabs>
        <w:bidi w:val="0"/>
        <w:jc w:val="center"/>
        <w:rPr>
          <w:sz w:val="32"/>
          <w:szCs w:val="32"/>
        </w:rPr>
      </w:pPr>
      <w:r>
        <w:rPr>
          <w:sz w:val="32"/>
          <w:szCs w:val="32"/>
        </w:rPr>
        <w:fldChar w:fldCharType="begin"/>
      </w:r>
      <w:r>
        <w:rPr>
          <w:sz w:val="32"/>
          <w:szCs w:val="32"/>
        </w:rPr>
        <w:instrText>Hyperlink \l "_Toc99534240"</w:instrText>
      </w:r>
      <w:r>
        <w:rPr>
          <w:sz w:val="32"/>
          <w:szCs w:val="32"/>
        </w:rPr>
        <w:fldChar w:fldCharType="separate"/>
      </w:r>
      <w:r>
        <w:rPr>
          <w:rFonts w:ascii="Times New Roman" w:eastAsia="黑体" w:hAnsi="Times New Roman" w:hint="eastAsia"/>
          <w:sz w:val="32"/>
          <w:szCs w:val="32"/>
          <w:highlight w:val="auto"/>
        </w:rPr>
        <w:t>第</w:t>
      </w:r>
      <w:r>
        <w:rPr>
          <w:rFonts w:eastAsia="黑体" w:hint="eastAsia"/>
          <w:sz w:val="32"/>
          <w:szCs w:val="32"/>
          <w:lang w:eastAsia="zh-CN"/>
          <w:highlight w:val="auto"/>
        </w:rPr>
        <w:t>三</w:t>
      </w:r>
      <w:r>
        <w:rPr>
          <w:rFonts w:ascii="Times New Roman" w:eastAsia="黑体" w:hAnsi="Times New Roman" w:hint="eastAsia"/>
          <w:sz w:val="32"/>
          <w:szCs w:val="32"/>
          <w:highlight w:val="auto"/>
        </w:rPr>
        <w:t>部分</w:t>
      </w:r>
      <w:r>
        <w:rPr>
          <w:rFonts w:ascii="Times New Roman" w:eastAsia="黑体" w:hAnsi="Times New Roman" w:hint="eastAsia"/>
          <w:sz w:val="32"/>
          <w:szCs w:val="32"/>
          <w:lang w:val="en-US" w:eastAsia="zh-CN"/>
          <w:highlight w:val="auto"/>
        </w:rPr>
        <w:t xml:space="preserve"> </w:t>
      </w:r>
      <w:r>
        <w:rPr>
          <w:rFonts w:eastAsia="黑体" w:hint="eastAsia"/>
          <w:sz w:val="32"/>
          <w:szCs w:val="32"/>
          <w:lang w:val="en-US" w:eastAsia="zh-CN"/>
          <w:highlight w:val="auto"/>
        </w:rPr>
        <w:t xml:space="preserve"> </w:t>
      </w:r>
      <w:r>
        <w:rPr>
          <w:rFonts w:ascii="Times New Roman" w:eastAsia="黑体" w:hAnsi="Times New Roman" w:hint="eastAsia"/>
          <w:sz w:val="32"/>
          <w:szCs w:val="32"/>
          <w:highlight w:val="auto"/>
        </w:rPr>
        <w:t>名词解释</w:t>
      </w:r>
      <w:r>
        <w:rPr>
          <w:sz w:val="32"/>
          <w:szCs w:val="32"/>
        </w:rPr>
        <w:tab/>
      </w:r>
      <w:r>
        <w:rPr>
          <w:sz w:val="32"/>
          <w:szCs w:val="32"/>
        </w:rPr>
        <w:fldChar w:fldCharType="begin"/>
      </w:r>
      <w:r>
        <w:rPr>
          <w:sz w:val="32"/>
          <w:szCs w:val="32"/>
        </w:rPr>
        <w:instrText>PageRef _Toc99534240 \h</w:instrText>
      </w:r>
      <w:r>
        <w:rPr>
          <w:sz w:val="32"/>
          <w:szCs w:val="32"/>
        </w:rPr>
        <w:fldChar w:fldCharType="separate"/>
      </w:r>
      <w:r>
        <w:rPr>
          <w:sz w:val="32"/>
          <w:szCs w:val="32"/>
        </w:rPr>
        <w:t>17</w:t>
      </w:r>
      <w:r>
        <w:rPr>
          <w:sz w:val="32"/>
          <w:szCs w:val="32"/>
        </w:rPr>
        <w:fldChar w:fldCharType="end"/>
      </w:r>
      <w:r>
        <w:rPr>
          <w:sz w:val="32"/>
          <w:szCs w:val="32"/>
        </w:rPr>
        <w:fldChar w:fldCharType="end"/>
      </w:r>
    </w:p>
    <w:p>
      <w:pPr>
        <w:pStyle w:val="23"/>
        <w:keepNext w:val="0"/>
        <w:keepLines w:val="0"/>
        <w:pageBreakBefore w:val="0"/>
        <w:widowControl w:val="0"/>
        <w:tabs>
          <w:tab w:val="right" w:leader="dot" w:pos="8296"/>
          <w:tab w:val="right" w:leader="dot" w:pos="8306"/>
        </w:tabs>
        <w:bidi w:val="0"/>
        <w:jc w:val="center"/>
        <w:rPr>
          <w:sz w:val="32"/>
          <w:szCs w:val="32"/>
        </w:rPr>
      </w:pPr>
      <w:r>
        <w:rPr>
          <w:sz w:val="32"/>
          <w:szCs w:val="32"/>
        </w:rPr>
        <w:fldChar w:fldCharType="begin"/>
      </w:r>
      <w:r>
        <w:rPr>
          <w:sz w:val="32"/>
          <w:szCs w:val="32"/>
        </w:rPr>
        <w:instrText>Hyperlink \l "_Toc99534241"</w:instrText>
      </w:r>
      <w:r>
        <w:rPr>
          <w:sz w:val="32"/>
          <w:szCs w:val="32"/>
        </w:rPr>
        <w:fldChar w:fldCharType="separate"/>
      </w:r>
      <w:r>
        <w:rPr>
          <w:rFonts w:ascii="Times New Roman" w:eastAsia="黑体" w:hAnsi="Times New Roman" w:hint="eastAsia"/>
          <w:sz w:val="32"/>
          <w:szCs w:val="32"/>
          <w:highlight w:val="auto"/>
        </w:rPr>
        <w:t>第</w:t>
      </w:r>
      <w:r>
        <w:rPr>
          <w:rFonts w:eastAsia="黑体"/>
          <w:sz w:val="32"/>
          <w:szCs w:val="32"/>
          <w:lang w:eastAsia="zh-CN"/>
          <w:highlight w:val="auto"/>
        </w:rPr>
        <w:t>四</w:t>
      </w:r>
      <w:r>
        <w:rPr>
          <w:rFonts w:ascii="Times New Roman" w:eastAsia="黑体" w:hAnsi="Times New Roman" w:hint="eastAsia"/>
          <w:sz w:val="32"/>
          <w:szCs w:val="32"/>
          <w:highlight w:val="auto"/>
        </w:rPr>
        <w:t>部分</w:t>
      </w:r>
      <w:r>
        <w:rPr>
          <w:rFonts w:ascii="Times New Roman" w:eastAsia="黑体" w:hAnsi="Times New Roman" w:hint="eastAsia"/>
          <w:sz w:val="32"/>
          <w:szCs w:val="32"/>
          <w:lang w:val="en-US" w:eastAsia="zh-CN"/>
          <w:highlight w:val="auto"/>
        </w:rPr>
        <w:t xml:space="preserve"> </w:t>
      </w:r>
      <w:r>
        <w:rPr>
          <w:rFonts w:eastAsia="黑体" w:hint="eastAsia"/>
          <w:sz w:val="32"/>
          <w:szCs w:val="32"/>
          <w:lang w:val="en-US" w:eastAsia="zh-CN"/>
          <w:highlight w:val="auto"/>
        </w:rPr>
        <w:t xml:space="preserve"> </w:t>
      </w:r>
      <w:r>
        <w:rPr>
          <w:rFonts w:ascii="Times New Roman" w:eastAsia="黑体" w:hAnsi="Times New Roman"/>
          <w:sz w:val="32"/>
          <w:szCs w:val="32"/>
          <w:highlight w:val="auto"/>
        </w:rPr>
        <w:t>附件</w:t>
      </w:r>
      <w:r>
        <w:rPr>
          <w:sz w:val="32"/>
          <w:szCs w:val="32"/>
        </w:rPr>
        <w:tab/>
      </w:r>
      <w:r>
        <w:rPr>
          <w:sz w:val="32"/>
          <w:szCs w:val="32"/>
        </w:rPr>
        <w:fldChar w:fldCharType="begin"/>
      </w:r>
      <w:r>
        <w:rPr>
          <w:sz w:val="32"/>
          <w:szCs w:val="32"/>
        </w:rPr>
        <w:instrText>PageRef _Toc99534241 \h</w:instrText>
      </w:r>
      <w:r>
        <w:rPr>
          <w:sz w:val="32"/>
          <w:szCs w:val="32"/>
        </w:rPr>
        <w:fldChar w:fldCharType="separate"/>
      </w:r>
      <w:r>
        <w:rPr>
          <w:sz w:val="32"/>
          <w:szCs w:val="32"/>
        </w:rPr>
        <w:t>19</w:t>
      </w:r>
      <w:r>
        <w:rPr>
          <w:sz w:val="32"/>
          <w:szCs w:val="32"/>
        </w:rPr>
        <w:fldChar w:fldCharType="end"/>
      </w:r>
      <w:r>
        <w:rPr>
          <w:sz w:val="32"/>
          <w:szCs w:val="32"/>
        </w:rPr>
        <w:fldChar w:fldCharType="end"/>
      </w:r>
    </w:p>
    <w:p>
      <w:pPr>
        <w:pStyle w:val="23"/>
        <w:keepNext w:val="0"/>
        <w:keepLines w:val="0"/>
        <w:pageBreakBefore w:val="0"/>
        <w:widowControl w:val="0"/>
        <w:tabs>
          <w:tab w:val="right" w:leader="dot" w:pos="8296"/>
          <w:tab w:val="right" w:leader="dot" w:pos="8306"/>
        </w:tabs>
        <w:bidi w:val="0"/>
        <w:jc w:val="center"/>
        <w:rPr>
          <w:sz w:val="32"/>
          <w:szCs w:val="32"/>
        </w:rPr>
      </w:pPr>
      <w:r>
        <w:rPr>
          <w:sz w:val="32"/>
          <w:szCs w:val="32"/>
        </w:rPr>
        <w:fldChar w:fldCharType="begin"/>
      </w:r>
      <w:r>
        <w:rPr>
          <w:sz w:val="32"/>
          <w:szCs w:val="32"/>
        </w:rPr>
        <w:instrText>Hyperlink \l "_Toc99534242"</w:instrText>
      </w:r>
      <w:r>
        <w:rPr>
          <w:sz w:val="32"/>
          <w:szCs w:val="32"/>
        </w:rPr>
        <w:fldChar w:fldCharType="separate"/>
      </w:r>
      <w:r>
        <w:rPr>
          <w:rFonts w:ascii="Times New Roman" w:eastAsia="黑体" w:hAnsi="Times New Roman" w:hint="eastAsia"/>
          <w:sz w:val="32"/>
          <w:szCs w:val="32"/>
          <w:highlight w:val="auto"/>
        </w:rPr>
        <w:t>第</w:t>
      </w:r>
      <w:r>
        <w:rPr>
          <w:rFonts w:eastAsia="黑体"/>
          <w:sz w:val="32"/>
          <w:szCs w:val="32"/>
          <w:lang w:eastAsia="zh-CN"/>
          <w:highlight w:val="auto"/>
        </w:rPr>
        <w:t>五</w:t>
      </w:r>
      <w:r>
        <w:rPr>
          <w:rFonts w:ascii="Times New Roman" w:eastAsia="黑体" w:hAnsi="Times New Roman" w:hint="eastAsia"/>
          <w:sz w:val="32"/>
          <w:szCs w:val="32"/>
          <w:highlight w:val="auto"/>
        </w:rPr>
        <w:t>部分</w:t>
      </w:r>
      <w:r>
        <w:rPr>
          <w:rFonts w:ascii="Times New Roman" w:eastAsia="黑体" w:hAnsi="Times New Roman" w:hint="eastAsia"/>
          <w:sz w:val="32"/>
          <w:szCs w:val="32"/>
          <w:lang w:val="en-US" w:eastAsia="zh-CN"/>
          <w:highlight w:val="auto"/>
        </w:rPr>
        <w:t xml:space="preserve"> </w:t>
      </w:r>
      <w:r>
        <w:rPr>
          <w:rFonts w:eastAsia="黑体" w:hint="eastAsia"/>
          <w:sz w:val="32"/>
          <w:szCs w:val="32"/>
          <w:lang w:val="en-US" w:eastAsia="zh-CN"/>
          <w:highlight w:val="auto"/>
        </w:rPr>
        <w:t xml:space="preserve"> </w:t>
      </w:r>
      <w:r>
        <w:rPr>
          <w:rFonts w:ascii="Times New Roman" w:eastAsia="黑体" w:hAnsi="Times New Roman"/>
          <w:sz w:val="32"/>
          <w:szCs w:val="32"/>
          <w:highlight w:val="auto"/>
        </w:rPr>
        <w:t>附表</w:t>
      </w:r>
      <w:r>
        <w:rPr>
          <w:sz w:val="32"/>
          <w:szCs w:val="32"/>
        </w:rPr>
        <w:tab/>
      </w:r>
      <w:r>
        <w:rPr>
          <w:sz w:val="32"/>
          <w:szCs w:val="32"/>
        </w:rPr>
        <w:fldChar w:fldCharType="begin"/>
      </w:r>
      <w:r>
        <w:rPr>
          <w:sz w:val="32"/>
          <w:szCs w:val="32"/>
        </w:rPr>
        <w:instrText>PageRef _Toc99534242 \h</w:instrText>
      </w:r>
      <w:r>
        <w:rPr>
          <w:sz w:val="32"/>
          <w:szCs w:val="32"/>
        </w:rPr>
        <w:fldChar w:fldCharType="separate"/>
      </w:r>
      <w:r>
        <w:rPr>
          <w:sz w:val="32"/>
          <w:szCs w:val="32"/>
        </w:rPr>
        <w:t>104</w:t>
      </w:r>
      <w:r>
        <w:rPr>
          <w:sz w:val="32"/>
          <w:szCs w:val="32"/>
        </w:rPr>
        <w:fldChar w:fldCharType="end"/>
      </w:r>
      <w:r>
        <w:rPr>
          <w:sz w:val="32"/>
          <w:szCs w:val="32"/>
        </w:rPr>
        <w:fldChar w:fldCharType="end"/>
      </w:r>
      <w:r>
        <w:rPr>
          <w:rFonts w:ascii="Times New Roman" w:eastAsia="黑体" w:cs="Arial" w:hAnsi="Times New Roman"/>
          <w:color w:val="auto"/>
          <w:sz w:val="32"/>
          <w:szCs w:val="32"/>
          <w:highlight w:val="auto"/>
        </w:rPr>
        <w:fldChar w:fldCharType="end"/>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p>
    <w:p>
      <w:pPr>
        <w:pStyle w:val="1"/>
        <w:jc w:val="center"/>
        <w:rPr>
          <w:rFonts w:ascii="Times New Roman" w:eastAsia="方正小标宋简体" w:cs="方正小标宋简体" w:hAnsi="Times New Roman" w:hint="eastAsia"/>
          <w:b w:val="0"/>
          <w:color w:val="auto"/>
          <w:highlight w:val="auto"/>
        </w:rPr>
        <w:sectPr>
          <w:footerReference w:type="default" r:id="rId3"/>
          <w:footerReference w:type="first" r:id="rId4"/>
          <w:pgSz w:w="11906" w:h="16838"/>
          <w:pgMar w:top="1440" w:right="1800" w:bottom="1440" w:left="1800" w:header="851" w:footer="992" w:gutter="0"/>
          <w:pgNumType w:start="1"/>
          <w:docGrid w:type="lines" w:linePitch="312" w:charSpace="0"/>
        </w:sectPr>
      </w:pPr>
      <w:bookmarkStart w:id="6" w:name="_Toc15377196"/>
      <w:bookmarkStart w:id="7" w:name="_Toc15396599"/>
    </w:p>
    <w:p>
      <w:pPr>
        <w:pStyle w:val="1"/>
        <w:jc w:val="center"/>
        <w:rPr>
          <w:rStyle w:val="1Char"/>
          <w:rFonts w:eastAsia="方正小标宋简体" w:cs="方正小标宋简体" w:hint="eastAsia"/>
          <w:bCs w:val="0"/>
        </w:rPr>
      </w:pPr>
      <w:bookmarkStart w:id="8" w:name="_Toc99534199"/>
      <w:bookmarkStart w:id="9" w:name="_Toc99534227"/>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6"/>
      <w:bookmarkEnd w:id="7"/>
      <w:bookmarkEnd w:id="8"/>
      <w:bookmarkEnd w:id="9"/>
    </w:p>
    <w:p>
      <w:pPr>
        <w:pStyle w:val="2"/>
        <w:rPr>
          <w:rStyle w:val="2Char"/>
          <w:rFonts w:ascii="Times New Roman" w:eastAsia="黑体" w:hAnsi="Times New Roman" w:hint="eastAsia"/>
          <w:b w:val="0"/>
          <w:bCs w:val="0"/>
          <w:color w:val="auto"/>
          <w:lang w:eastAsia="zh-CN"/>
          <w:highlight w:val="auto"/>
        </w:rPr>
      </w:pPr>
      <w:bookmarkStart w:id="10" w:name="_Toc15377197"/>
      <w:bookmarkStart w:id="11" w:name="_Toc15396600"/>
      <w:bookmarkStart w:id="12" w:name="_Toc99534200"/>
      <w:bookmarkStart w:id="13" w:name="_Toc99534228"/>
      <w:r>
        <w:rPr>
          <w:rFonts w:ascii="Times New Roman" w:eastAsia="黑体" w:hAnsi="Times New Roman" w:hint="eastAsia"/>
          <w:b w:val="0"/>
          <w:color w:val="auto"/>
          <w:highlight w:val="auto"/>
        </w:rPr>
        <w:t>一、</w:t>
      </w:r>
      <w:bookmarkEnd w:id="10"/>
      <w:bookmarkEnd w:id="11"/>
      <w:r>
        <w:rPr>
          <w:rFonts w:ascii="Times New Roman" w:eastAsia="黑体" w:hAnsi="Times New Roman" w:hint="eastAsia"/>
          <w:b w:val="0"/>
          <w:color w:val="auto"/>
          <w:lang w:eastAsia="zh-CN"/>
          <w:highlight w:val="auto"/>
        </w:rPr>
        <w:t>部门职责</w:t>
      </w:r>
      <w:bookmarkEnd w:id="12"/>
      <w:bookmarkEnd w:id="13"/>
    </w:p>
    <w:p>
      <w:pPr>
        <w:pStyle w:val="26"/>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spacing w:before="0" w:beforeAutospacing="0" w:after="0" w:afterAutospacing="0" w:line="560" w:lineRule="atLeast"/>
        <w:ind w:left="0" w:right="0" w:firstLine="643"/>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pPr>
      <w:bookmarkStart w:id="14" w:name="_Toc15396601"/>
      <w:bookmarkStart w:id="15" w:name="_Toc15377200"/>
      <w:r>
        <w:rPr>
          <w:rFonts w:ascii="仿宋_GB2312" w:eastAsia="仿宋_GB2312" w:cs="仿宋_GB2312"/>
          <w:b/>
          <w:bCs/>
          <w:i w:val="0"/>
          <w:iCs w:val="0"/>
          <w:caps w:val="0"/>
          <w:smallCaps w:val="0"/>
          <w:color w:val="000000"/>
          <w:spacing w:val="0"/>
          <w:sz w:val="32"/>
          <w:szCs w:val="32"/>
          <w:u w:val="none" w:color="auto"/>
          <w:shd w:val="clear" w:color="auto" w:fill="FFFFFF"/>
          <w:highlight w:val="auto"/>
        </w:rPr>
        <w:t>阿坝州民政局：</w:t>
      </w:r>
      <w:r>
        <w:rPr>
          <w:rFonts w:ascii="仿宋_GB2312" w:eastAsia="仿宋_GB2312" w:cs="仿宋_GB2312"/>
          <w:i w:val="0"/>
          <w:iCs w:val="0"/>
          <w:caps w:val="0"/>
          <w:smallCaps w:val="0"/>
          <w:color w:val="000000"/>
          <w:spacing w:val="0"/>
          <w:sz w:val="32"/>
          <w:szCs w:val="32"/>
          <w:u w:val="none" w:color="auto"/>
          <w:shd w:val="clear" w:color="auto" w:fill="FFFFFF"/>
          <w:highlight w:val="auto"/>
        </w:rPr>
        <w:t>负责贯彻落实党中央关于民政工作的方针政策和省委、州委决策部署，把坚持和加强党中央对民政工作的集中统一领导落实到履行职责过程中。主要职责是：</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一是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起草民政工作地方性法规、政府规章草案，拟订全州民政事业发展规划、政策、标准并组织实施。</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二是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拟订社会团体、社会服务机构等社会组织登记和监督管理办法并组织实施，依法对社会组织进行登记管理和执法监督。</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三是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牵头拟订社会救助规划、政策、标准，统筹推进社会救助体系建设，负责城乡居民最低生活保障、特困人员救助供养、临时救助、生活无着流浪乞讨人员救助工作。</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四是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行政区划、行政区域界线管理和地名管理政策，组织拟订全州行政区划优化设置建议方案，按照管理权限牵头负责全州行政区划设立、命名、撤销、变更和政府驻地迁移等审核报批工作。按照管理权限确定、公布行政区划代码，组织并指导全州行政区域界线的勘定、管理工作，调处行政区域边界争议，负责全州地名工作的统一监督管理工作。</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五是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拟订婚姻管理政策并组织实施，推进婚俗改革。</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六是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拟订殡葬管理政策、服务规范并组织实施，负责殡葬管理工作，推进殡葬改革。</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七是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拟订社会福利事业发展规划、政策、标准，拟订社会福利机构管理办法并指导实施，拟订残疾人权益保护政策并监督实施。负责康复辅助器具行业管理，统筹推进残疾人福利制度建设和康复辅助器具产业发展。</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八</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承担州老龄工作委员会的具体工作。组织拟订并协调落实积极应对人口老龄化政策措施。指导协调老年人权益保障工作。组织拟订老年人社会参与政策并组织实施。</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九</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组织拟订并协调落实促进养老事业发展的政策措施。统筹推进、督促指导、监督管理养老服务工作，拟订养老服务体系建设规划、政策、标准并组织实施，承担老年人福利和特殊困难老年人救助工作，协调推进农村留守老年人关爱服务工作。</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拟订儿童福利、孤弃儿童保障、儿童收养、儿童救助保护政策和标准并组织实施，健全农村留守儿童关爱服务体系和困境儿童保障制度。</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十一</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组织拟订促进慈善事业发展政策，指导社会捐助工作。负责职责范围内的福利彩票有关工作。</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十二</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依法依规负责康复辅助器具行业和社会福利、养老服务、殡葬服务、救助管理等机构安全生产监督管理工作。负责职责范围内的职业健康、生态环境保护、审批服务便民化等工作。</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十三</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完成州委、州政府交办的其他任务。</w:t>
      </w:r>
    </w:p>
    <w:p>
      <w:pPr>
        <w:pStyle w:val="26"/>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spacing w:before="0" w:beforeAutospacing="0" w:after="0" w:afterAutospacing="0" w:line="560" w:lineRule="exact"/>
        <w:ind w:left="0" w:right="0" w:firstLine="643"/>
        <w:rPr>
          <w:rFonts w:ascii="仿宋_GB2312" w:eastAsia="仿宋_GB2312" w:cs="仿宋_GB2312"/>
          <w:i w:val="0"/>
          <w:iCs w:val="0"/>
          <w:caps w:val="0"/>
          <w:smallCaps w:val="0"/>
          <w:color w:val="000000"/>
          <w:spacing w:val="0"/>
          <w:sz w:val="32"/>
          <w:szCs w:val="32"/>
          <w:u w:val="none" w:color="auto"/>
          <w:shd w:val="clear" w:color="auto" w:fill="FFFFFF"/>
        </w:rPr>
      </w:pP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职能转变。州民政局要推动老龄工作向主动应对和统筹协调转变，健全工作体制机制，强化综合协调、督促指导、组织推进老龄事业发展职能，协调有关部门和地方不断完善老年人社会救助、社会福利、社会优待、宜居环境、社会参与等政策，增强政策制度的针对性、协调性、系统性。推动养老服务向全面提升老年人生活质量转变，加快建设居家社区机构相协调、医养康养相结合的养老服务体系，大力发展普惠型养老服务，促进资源均衡配置，推动实现全体老年人享有基本养老服务，走出一条老有所养、老有所医、老有所为、老有所学、老有所乐的阿坝特色积极应对人口老龄化道路。强化基本民生保障，健全分层分类、城乡统筹的社会救助体系，聚焦困难群众、孤老孤残孤儿等特殊群体，促进资源向薄弱地区、领域和环节倾斜，兜牢民生底线。</w:t>
      </w:r>
      <w:r>
        <w:rPr>
          <w:rFonts w:ascii="Times New Roman" w:cs="Times New Roman" w:hAnsi="Times New Roman"/>
          <w:i w:val="0"/>
          <w:iCs w:val="0"/>
          <w:caps w:val="0"/>
          <w:smallCaps w:val="0"/>
          <w:color w:val="000000"/>
          <w:spacing w:val="0"/>
          <w:sz w:val="32"/>
          <w:szCs w:val="32"/>
          <w:u w:val="none" w:color="auto"/>
          <w:shd w:val="clear" w:color="auto" w:fill="FFFFFF"/>
          <w:highlight w:val="auto"/>
        </w:rPr>
        <w:t> </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与其他部门的职责分工：</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一是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与州委社会工作部有关职责分工。州民政局有关基层治理、基层政权建设等职责划入州委社会工作部后，涉及村民委员会、居民委员会工作中需以政府名义出面的，州民政局协助做好工作。州民政局与州委社会工作部密切配合，形成基层治理合力。</w:t>
      </w:r>
      <w:r>
        <w:rPr>
          <w:rFonts w:ascii="仿宋_GB2312" w:eastAsia="仿宋_GB2312" w:cs="仿宋_GB2312" w:hint="eastAsia"/>
          <w:b/>
          <w:bCs/>
          <w:i w:val="0"/>
          <w:iCs w:val="0"/>
          <w:caps w:val="0"/>
          <w:smallCaps w:val="0"/>
          <w:color w:val="000000"/>
          <w:spacing w:val="0"/>
          <w:sz w:val="32"/>
          <w:szCs w:val="32"/>
          <w:u w:val="none" w:color="auto"/>
          <w:shd w:val="clear" w:color="auto" w:fill="FFFFFF"/>
          <w:highlight w:val="auto"/>
        </w:rPr>
        <w:t>二</w:t>
      </w:r>
      <w:r>
        <w:rPr>
          <w:rFonts w:ascii="仿宋_GB2312" w:eastAsia="仿宋_GB2312" w:cs="仿宋_GB2312"/>
          <w:b/>
          <w:bCs/>
          <w:i w:val="0"/>
          <w:iCs w:val="0"/>
          <w:caps w:val="0"/>
          <w:smallCaps w:val="0"/>
          <w:color w:val="000000"/>
          <w:spacing w:val="0"/>
          <w:sz w:val="32"/>
          <w:szCs w:val="32"/>
          <w:u w:val="none" w:color="auto"/>
          <w:shd w:val="clear" w:color="auto" w:fill="FFFFFF"/>
          <w:highlight w:val="auto"/>
        </w:rPr>
        <w:t>是</w:t>
      </w:r>
      <w:r>
        <w:rPr>
          <w:rFonts w:ascii="仿宋_GB2312" w:eastAsia="仿宋_GB2312" w:cs="仿宋_GB2312" w:hint="eastAsia"/>
          <w:i w:val="0"/>
          <w:iCs w:val="0"/>
          <w:caps w:val="0"/>
          <w:smallCaps w:val="0"/>
          <w:color w:val="000000"/>
          <w:spacing w:val="0"/>
          <w:sz w:val="32"/>
          <w:szCs w:val="32"/>
          <w:u w:val="none" w:color="auto"/>
          <w:shd w:val="clear" w:color="auto" w:fill="FFFFFF"/>
          <w:highlight w:val="auto"/>
        </w:rPr>
        <w:t>与州卫生健康委有关职责分工。州民政局负责组织拟订并协调落实积极应对人口老龄化、促进养老事业发展的政策措施，拟订养老服务体系</w:t>
      </w:r>
      <w:r>
        <w:rPr>
          <w:rFonts w:ascii="仿宋_GB2312" w:eastAsia="仿宋_GB2312" w:cs="仿宋_GB2312" w:hint="eastAsia"/>
          <w:i w:val="0"/>
          <w:iCs w:val="0"/>
          <w:caps w:val="0"/>
          <w:smallCaps w:val="0"/>
          <w:color w:val="000000"/>
          <w:spacing w:val="0"/>
          <w:sz w:val="32"/>
          <w:szCs w:val="32"/>
          <w:u w:val="none" w:color="auto"/>
          <w:shd w:val="clear" w:color="auto" w:fill="FFFFFF"/>
        </w:rPr>
        <w:t>建设规划、地方性法规、政策、标准并组织实施，承担老年人福利和特殊困难老年人救助等工作。州卫生健康委负责组织拟订医养结合政策、标准和规范，建立和完善老年健康服务体系。</w:t>
      </w:r>
      <w:r>
        <w:rPr>
          <w:rFonts w:ascii="仿宋_GB2312" w:eastAsia="仿宋_GB2312" w:cs="仿宋_GB2312" w:hint="eastAsia"/>
          <w:b/>
          <w:bCs/>
          <w:i w:val="0"/>
          <w:iCs w:val="0"/>
          <w:caps w:val="0"/>
          <w:smallCaps w:val="0"/>
          <w:color w:val="000000"/>
          <w:spacing w:val="0"/>
          <w:sz w:val="32"/>
          <w:szCs w:val="32"/>
          <w:u w:val="none" w:color="auto"/>
          <w:shd w:val="clear" w:color="auto" w:fill="FFFFFF"/>
        </w:rPr>
        <w:t>三</w:t>
      </w:r>
      <w:r>
        <w:rPr>
          <w:rFonts w:ascii="仿宋_GB2312" w:eastAsia="仿宋_GB2312" w:cs="仿宋_GB2312"/>
          <w:b/>
          <w:bCs/>
          <w:i w:val="0"/>
          <w:iCs w:val="0"/>
          <w:caps w:val="0"/>
          <w:smallCaps w:val="0"/>
          <w:color w:val="000000"/>
          <w:spacing w:val="0"/>
          <w:sz w:val="32"/>
          <w:szCs w:val="32"/>
          <w:u w:val="none" w:color="auto"/>
          <w:shd w:val="clear" w:color="auto" w:fill="FFFFFF"/>
        </w:rPr>
        <w:t>是</w:t>
      </w:r>
      <w:r>
        <w:rPr>
          <w:rFonts w:ascii="仿宋_GB2312" w:eastAsia="仿宋_GB2312" w:cs="仿宋_GB2312" w:hint="eastAsia"/>
          <w:i w:val="0"/>
          <w:iCs w:val="0"/>
          <w:caps w:val="0"/>
          <w:smallCaps w:val="0"/>
          <w:color w:val="000000"/>
          <w:spacing w:val="0"/>
          <w:sz w:val="32"/>
          <w:szCs w:val="32"/>
          <w:u w:val="none" w:color="auto"/>
          <w:shd w:val="clear" w:color="auto" w:fill="FFFFFF"/>
        </w:rPr>
        <w:t>与州自然资源局有关职责分工。州民政局会同州自然资源局组织编制公布行政区划信息的阿坝藏族羌族自治州行政区划图。</w:t>
      </w:r>
    </w:p>
    <w:p>
      <w:pPr>
        <w:pStyle w:val="2"/>
        <w:spacing w:before="0" w:after="0" w:line="600" w:lineRule="exact"/>
        <w:ind w:firstLineChars="200" w:firstLine="640"/>
        <w:jc w:val="left"/>
        <w:rPr>
          <w:rFonts w:ascii="Times New Roman" w:eastAsia="仿宋_GB2312" w:hAnsi="Times New Roman" w:hint="eastAsia"/>
          <w:b w:val="0"/>
        </w:rPr>
      </w:pPr>
      <w:r>
        <w:rPr>
          <w:rFonts w:ascii="仿宋_GB2312" w:eastAsia="仿宋_GB2312" w:cs="仿宋_GB2312" w:hint="eastAsia"/>
          <w:b/>
          <w:bCs/>
          <w:color w:val="auto"/>
          <w:sz w:val="32"/>
          <w:szCs w:val="32"/>
          <w:lang w:val="en-US" w:eastAsia="zh-CN"/>
          <w:highlight w:val="auto"/>
        </w:rPr>
        <w:t>阿坝州低收入家庭认定指导中心：</w:t>
      </w:r>
      <w:r>
        <w:rPr>
          <w:rFonts w:ascii="Times New Roman" w:eastAsia="仿宋_GB2312" w:hAnsi="Times New Roman" w:hint="eastAsia"/>
          <w:b w:val="0"/>
          <w:lang w:val="en-US" w:eastAsia="zh-CN"/>
          <w:highlight w:val="auto"/>
        </w:rPr>
        <w:t>一是</w:t>
      </w:r>
      <w:r>
        <w:rPr>
          <w:rFonts w:ascii="Times New Roman" w:eastAsia="仿宋_GB2312" w:hAnsi="Times New Roman" w:hint="eastAsia"/>
          <w:b w:val="0"/>
        </w:rPr>
        <w:t>阿坝州低收人家庭认定指导中心（简称州低收人家庭认定指导中心）为州民政局所属正科级公益 一类事业单位。 主要职责是：负责全州城乡低保、保障性住房等政府救助家庭收人和财产情况信息核对；负责全州低收人家庭经济状况信息数据库的建立和维护、经济状况信息查询与核对、宣传交流和培训等工作。二是阿坝州老年大学职责。承担州老年大学的继续教育教学工作；负责指导县（市）规范开展老年大学（学校）教育教学工作；加强对全州各县（市）老年大学（学校）基础能力提升；整合资源，结合民族地区老年教育实际，探索建立州老年大学在州级、县（市）、乡（镇）、村（社区）教学示范点（学习示范点）。三是阿坝州慈善事业服务中心职责。阿坝州慈善总会办公室成立于2007年3月31日，为州民政局直属正科级事业单位。于2019年6月5日更名为阿坝州慈善事业服务中心。主要职能为负责推进和服务全州各类慈善组织依法依规开展慈善活动；负责为兴办慈善事业的人士、企业和各种机构搭建服务平台，促进全州慈善事业健康发展；承担与慈善组织的交流和协作，反映社会各界人士的意见、建议和要求，为政府提供咨询性意见；承担慈善文化与慈善事业发展研究；承担慈善知识的宣传和慈善舆论的引导工作。</w:t>
      </w:r>
      <w:r>
        <w:rPr>
          <w:rFonts w:ascii="仿宋_GB2312" w:eastAsia="仿宋_GB2312" w:cs="仿宋_GB2312" w:hint="eastAsia"/>
          <w:b/>
          <w:bCs/>
          <w:sz w:val="32"/>
          <w:szCs w:val="32"/>
        </w:rPr>
        <w:t>阿坝州儿童福利院：</w:t>
      </w:r>
      <w:r>
        <w:rPr>
          <w:rFonts w:ascii="Times New Roman" w:eastAsia="仿宋_GB2312" w:cs="Times New Roman" w:hAnsi="Times New Roman" w:hint="eastAsia"/>
          <w:b w:val="0"/>
          <w:color w:val="auto"/>
          <w:sz w:val="32"/>
          <w:szCs w:val="32"/>
          <w:highlight w:val="auto"/>
        </w:rPr>
        <w:t>阿坝州儿童福利院是一所综合性的福利院，承担着全州13县的孤残儿童、弃婴，孤寡老人的护理、就医、康复、学习、生活等工作。</w:t>
      </w:r>
    </w:p>
    <w:p>
      <w:pPr>
        <w:spacing w:line="560" w:lineRule="exact"/>
        <w:rPr>
          <w:b/>
          <w:bCs/>
        </w:rPr>
      </w:pPr>
      <w:r>
        <w:rPr>
          <w:rFonts w:ascii="仿宋_GB2312" w:eastAsia="仿宋_GB2312" w:cs="仿宋_GB2312" w:hint="eastAsia"/>
          <w:b/>
          <w:bCs/>
          <w:color w:val="auto"/>
          <w:kern w:val="2"/>
          <w:sz w:val="32"/>
          <w:szCs w:val="32"/>
          <w:lang w:val="en-US" w:eastAsia="zh-CN" w:bidi="ar-SA"/>
          <w:highlight w:val="auto"/>
        </w:rPr>
        <w:t>阿坝州救助站</w:t>
      </w:r>
      <w:r>
        <w:rPr>
          <w:rFonts w:ascii="仿宋_GB2312" w:eastAsia="仿宋_GB2312" w:cs="仿宋_GB2312"/>
          <w:b/>
          <w:bCs/>
          <w:color w:val="auto"/>
          <w:kern w:val="2"/>
          <w:sz w:val="32"/>
          <w:szCs w:val="32"/>
          <w:lang w:val="en-US" w:eastAsia="zh-CN" w:bidi="ar-SA"/>
          <w:highlight w:val="auto"/>
        </w:rPr>
        <w:t>：</w:t>
      </w:r>
      <w:r>
        <w:rPr>
          <w:rFonts w:ascii="Times New Roman" w:eastAsia="仿宋_GB2312" w:cs="Times New Roman" w:hAnsi="Times New Roman"/>
          <w:color w:val="auto"/>
          <w:kern w:val="2"/>
          <w:sz w:val="32"/>
          <w:szCs w:val="32"/>
          <w:lang w:val="en-US" w:eastAsia="zh-CN" w:bidi="ar-SA"/>
          <w:highlight w:val="auto"/>
        </w:rPr>
        <w:t>负责对符合条件的流浪乞讨人员和暂遇生活危机的困难群众进行救助，承担全州各县（市）救助人员的中转工作；负责对流浪未成年人的救助保护和帮扶工作。按照民政部2022年12月7日印发的《生活无着的流浪乞讨人员救助管理机构工作规程》要求：对遭遇极端天气、自然灾害、突发事件等特殊原因导致陷入生活无着困境的临时遇困人员，为其提供饮食、住宿等应急性、过渡性基本生活救助；为求助的家庭暴力受害人提供临时生活帮助，可根据需要，依法协助受害人或者代表无民事行为能力、限制民事行为能力的受害人向人民法院申请人身安全保护令；完成上级主管部门交办的其它事项。</w:t>
      </w:r>
    </w:p>
    <w:p>
      <w:pPr>
        <w:pStyle w:val="2"/>
        <w:rPr>
          <w:rStyle w:val="2Char"/>
          <w:rFonts w:ascii="Times New Roman" w:hAnsi="Times New Roman"/>
          <w:b w:val="0"/>
          <w:bCs w:val="0"/>
          <w:color w:val="auto"/>
          <w:highlight w:val="auto"/>
        </w:rPr>
      </w:pPr>
      <w:bookmarkStart w:id="16" w:name="_Toc99534201"/>
      <w:bookmarkStart w:id="17" w:name="_Toc99534229"/>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4"/>
      <w:bookmarkEnd w:id="15"/>
      <w:bookmarkEnd w:id="16"/>
      <w:bookmarkEnd w:id="17"/>
    </w:p>
    <w:p>
      <w:pPr>
        <w:ind w:firstLineChars="250" w:firstLine="800"/>
        <w:rPr>
          <w:rFonts w:ascii="仿宋_GB2312" w:eastAsia="仿宋_GB2312" w:cs="仿宋_GB2312" w:hint="eastAsia"/>
          <w:sz w:val="32"/>
          <w:szCs w:val="32"/>
          <w:highlight w:val="auto"/>
        </w:rPr>
      </w:pPr>
      <w:r>
        <w:rPr>
          <w:rFonts w:ascii="仿宋_GB2312" w:eastAsia="仿宋_GB2312" w:cs="仿宋_GB2312" w:hint="eastAsia"/>
          <w:sz w:val="32"/>
          <w:szCs w:val="32"/>
          <w:highlight w:val="auto"/>
        </w:rPr>
        <w:t>阿坝藏族羌族自治州民政局下属二级</w:t>
      </w:r>
      <w:r>
        <w:rPr>
          <w:rFonts w:ascii="仿宋_GB2312" w:eastAsia="仿宋_GB2312" w:cs="仿宋_GB2312" w:hint="eastAsia"/>
          <w:sz w:val="32"/>
          <w:szCs w:val="32"/>
          <w:lang w:eastAsia="zh-CN"/>
          <w:highlight w:val="auto"/>
        </w:rPr>
        <w:t>预算</w:t>
      </w:r>
      <w:r>
        <w:rPr>
          <w:rFonts w:ascii="仿宋_GB2312" w:eastAsia="仿宋_GB2312" w:cs="仿宋_GB2312" w:hint="eastAsia"/>
          <w:sz w:val="32"/>
          <w:szCs w:val="32"/>
          <w:highlight w:val="auto"/>
        </w:rPr>
        <w:t>单位3个，其中行政单位0个，参照公务员法管理的事业单位</w:t>
      </w:r>
      <w:r>
        <w:rPr>
          <w:rFonts w:ascii="仿宋_GB2312" w:eastAsia="仿宋_GB2312" w:cs="仿宋_GB2312" w:hint="eastAsia"/>
          <w:bCs/>
          <w:sz w:val="32"/>
          <w:szCs w:val="32"/>
          <w:highlight w:val="auto"/>
        </w:rPr>
        <w:t>0</w:t>
      </w:r>
      <w:r>
        <w:rPr>
          <w:rFonts w:ascii="仿宋_GB2312" w:eastAsia="仿宋_GB2312" w:cs="仿宋_GB2312" w:hint="eastAsia"/>
          <w:sz w:val="32"/>
          <w:szCs w:val="32"/>
          <w:highlight w:val="auto"/>
        </w:rPr>
        <w:t>个，其他事业单位3个。其中：</w:t>
      </w:r>
      <w:r>
        <w:rPr>
          <w:rFonts w:ascii="仿宋_GB2312" w:eastAsia="仿宋_GB2312" w:cs="仿宋_GB2312" w:hint="eastAsia"/>
          <w:bCs/>
          <w:sz w:val="32"/>
          <w:szCs w:val="32"/>
          <w:lang w:bidi="ar-SA"/>
        </w:rPr>
        <w:t>独立核算</w:t>
      </w:r>
      <w:r>
        <w:rPr>
          <w:rFonts w:ascii="仿宋_GB2312" w:eastAsia="仿宋_GB2312" w:cs="仿宋_GB2312" w:hint="eastAsia"/>
          <w:sz w:val="32"/>
          <w:szCs w:val="32"/>
          <w:highlight w:val="auto"/>
        </w:rPr>
        <w:t>二级</w:t>
      </w:r>
      <w:r>
        <w:rPr>
          <w:rFonts w:ascii="仿宋_GB2312" w:eastAsia="仿宋_GB2312" w:cs="仿宋_GB2312" w:hint="eastAsia"/>
          <w:sz w:val="32"/>
          <w:szCs w:val="32"/>
          <w:lang w:eastAsia="zh-CN"/>
          <w:highlight w:val="auto"/>
        </w:rPr>
        <w:t>预算</w:t>
      </w:r>
      <w:r>
        <w:rPr>
          <w:rFonts w:ascii="仿宋_GB2312" w:eastAsia="仿宋_GB2312" w:cs="仿宋_GB2312" w:hint="eastAsia"/>
          <w:sz w:val="32"/>
          <w:szCs w:val="32"/>
          <w:highlight w:val="auto"/>
        </w:rPr>
        <w:t>单位</w:t>
      </w:r>
      <w:r>
        <w:rPr>
          <w:rFonts w:ascii="仿宋_GB2312" w:eastAsia="仿宋_GB2312" w:cs="仿宋_GB2312" w:hint="eastAsia"/>
          <w:bCs/>
          <w:sz w:val="32"/>
          <w:szCs w:val="32"/>
          <w:lang w:bidi="ar-SA"/>
        </w:rPr>
        <w:t>2个，分别为阿坝州救助站和阿坝州儿童福利院；未独立核算</w:t>
      </w:r>
      <w:r>
        <w:rPr>
          <w:rFonts w:ascii="仿宋_GB2312" w:eastAsia="仿宋_GB2312" w:cs="仿宋_GB2312" w:hint="eastAsia"/>
          <w:sz w:val="32"/>
          <w:szCs w:val="32"/>
          <w:highlight w:val="auto"/>
        </w:rPr>
        <w:t>二级</w:t>
      </w:r>
      <w:r>
        <w:rPr>
          <w:rFonts w:ascii="仿宋_GB2312" w:eastAsia="仿宋_GB2312" w:cs="仿宋_GB2312" w:hint="eastAsia"/>
          <w:sz w:val="32"/>
          <w:szCs w:val="32"/>
          <w:lang w:eastAsia="zh-CN"/>
          <w:highlight w:val="auto"/>
        </w:rPr>
        <w:t>预算</w:t>
      </w:r>
      <w:r>
        <w:rPr>
          <w:rFonts w:ascii="仿宋_GB2312" w:eastAsia="仿宋_GB2312" w:cs="仿宋_GB2312" w:hint="eastAsia"/>
          <w:sz w:val="32"/>
          <w:szCs w:val="32"/>
          <w:highlight w:val="auto"/>
        </w:rPr>
        <w:t>单位</w:t>
      </w:r>
      <w:r>
        <w:rPr>
          <w:rFonts w:ascii="仿宋_GB2312" w:eastAsia="仿宋_GB2312" w:cs="仿宋_GB2312" w:hint="eastAsia"/>
          <w:bCs/>
          <w:sz w:val="32"/>
          <w:szCs w:val="32"/>
          <w:lang w:bidi="ar-SA"/>
        </w:rPr>
        <w:t>1个为阿坝州低收入家庭指导中心</w:t>
      </w:r>
      <w:r>
        <w:rPr>
          <w:rFonts w:ascii="仿宋_GB2312" w:eastAsia="仿宋_GB2312" w:cs="仿宋_GB2312" w:hint="eastAsia"/>
          <w:sz w:val="32"/>
          <w:szCs w:val="32"/>
          <w:highlight w:val="auto"/>
        </w:rPr>
        <w:t>。</w:t>
      </w:r>
    </w:p>
    <w:p>
      <w:pPr>
        <w:snapToGrid w:val="0"/>
        <w:spacing w:line="520" w:lineRule="exact"/>
        <w:rPr>
          <w:rFonts w:ascii="仿宋_GB2312" w:eastAsia="仿宋_GB2312" w:cs="仿宋_GB2312" w:hint="eastAsia"/>
          <w:bCs/>
          <w:sz w:val="32"/>
          <w:szCs w:val="32"/>
          <w:lang w:bidi="ar-SA"/>
        </w:rPr>
      </w:pPr>
      <w:r>
        <w:rPr>
          <w:rFonts w:ascii="仿宋_GB2312" w:eastAsia="仿宋_GB2312" w:cs="仿宋_GB2312" w:hint="eastAsia"/>
          <w:sz w:val="32"/>
          <w:szCs w:val="32"/>
          <w:highlight w:val="auto"/>
        </w:rPr>
        <w:t xml:space="preserve">    </w:t>
      </w:r>
      <w:r>
        <w:rPr>
          <w:rFonts w:ascii="仿宋_GB2312" w:eastAsia="仿宋_GB2312" w:cs="仿宋_GB2312"/>
          <w:sz w:val="32"/>
          <w:szCs w:val="32"/>
          <w:highlight w:val="auto"/>
        </w:rPr>
        <w:t>1.</w:t>
      </w:r>
      <w:r>
        <w:rPr>
          <w:rFonts w:ascii="仿宋_GB2312" w:eastAsia="仿宋_GB2312" w:cs="仿宋_GB2312" w:hint="eastAsia"/>
          <w:sz w:val="32"/>
          <w:szCs w:val="32"/>
          <w:highlight w:val="auto"/>
        </w:rPr>
        <w:t>阿坝</w:t>
      </w:r>
      <w:r>
        <w:rPr>
          <w:rFonts w:ascii="仿宋_GB2312" w:eastAsia="仿宋_GB2312" w:cs="仿宋_GB2312" w:hint="eastAsia"/>
          <w:bCs/>
          <w:sz w:val="32"/>
          <w:szCs w:val="32"/>
          <w:lang w:bidi="ar-SA"/>
        </w:rPr>
        <w:t>州低收入家庭认定指导中心包括</w:t>
      </w:r>
      <w:r>
        <w:rPr>
          <w:rFonts w:ascii="仿宋_GB2312" w:eastAsia="仿宋_GB2312" w:cs="仿宋_GB2312" w:hint="eastAsia"/>
          <w:bCs/>
          <w:sz w:val="32"/>
          <w:szCs w:val="32"/>
          <w:lang w:eastAsia="zh-CN" w:bidi="ar-SA"/>
        </w:rPr>
        <w:t>其他未</w:t>
      </w:r>
      <w:r>
        <w:rPr>
          <w:rFonts w:ascii="仿宋_GB2312" w:eastAsia="仿宋_GB2312" w:cs="仿宋_GB2312" w:hint="eastAsia"/>
          <w:bCs/>
          <w:sz w:val="32"/>
          <w:szCs w:val="32"/>
          <w:lang w:bidi="ar-SA"/>
        </w:rPr>
        <w:t>独立核算事业机构3个，其中：阿坝州慈善事业服务中心1个，州马尔康地区老年大学服务中心1个，州低收入家庭认定指导中心1个。</w:t>
      </w:r>
    </w:p>
    <w:p>
      <w:pPr>
        <w:pStyle w:val="18"/>
        <w:ind w:firstLine="600"/>
        <w:rPr>
          <w:rFonts w:cs="仿宋_GB2312" w:hint="eastAsia"/>
          <w:bCs/>
          <w:kern w:val="2"/>
          <w:sz w:val="32"/>
          <w:szCs w:val="32"/>
          <w:lang w:eastAsia="zh-CN" w:bidi="ar-SA"/>
        </w:rPr>
      </w:pPr>
      <w:r>
        <w:rPr>
          <w:rFonts w:cs="仿宋_GB2312"/>
          <w:bCs/>
          <w:kern w:val="2"/>
          <w:sz w:val="32"/>
          <w:szCs w:val="32"/>
          <w:lang w:val="en-US" w:eastAsia="zh-CN" w:bidi="ar-SA"/>
        </w:rPr>
        <w:t>2.</w:t>
      </w:r>
      <w:r>
        <w:rPr>
          <w:rFonts w:cs="仿宋_GB2312" w:hint="eastAsia"/>
          <w:bCs/>
          <w:kern w:val="2"/>
          <w:sz w:val="32"/>
          <w:szCs w:val="32"/>
          <w:lang w:val="en-US" w:eastAsia="zh-CN" w:bidi="ar-SA"/>
        </w:rPr>
        <w:t>阿坝州儿童福利院</w:t>
      </w:r>
      <w:r>
        <w:rPr>
          <w:rFonts w:cs="仿宋_GB2312" w:hint="eastAsia"/>
          <w:bCs/>
          <w:kern w:val="2"/>
          <w:sz w:val="32"/>
          <w:szCs w:val="32"/>
          <w:lang w:eastAsia="zh-CN" w:bidi="ar-SA"/>
        </w:rPr>
        <w:t>为</w:t>
      </w:r>
      <w:r>
        <w:rPr>
          <w:rFonts w:cs="仿宋_GB2312" w:hint="eastAsia"/>
          <w:bCs/>
          <w:kern w:val="2"/>
          <w:sz w:val="32"/>
          <w:szCs w:val="32"/>
          <w:lang w:val="en-US" w:eastAsia="zh-CN" w:bidi="ar-SA"/>
        </w:rPr>
        <w:t>独立核算机构</w:t>
      </w:r>
      <w:r>
        <w:rPr>
          <w:rFonts w:cs="仿宋_GB2312" w:hint="eastAsia"/>
          <w:bCs/>
          <w:kern w:val="2"/>
          <w:sz w:val="32"/>
          <w:szCs w:val="32"/>
          <w:lang w:eastAsia="zh-CN" w:bidi="ar-SA"/>
        </w:rPr>
        <w:t>。</w:t>
      </w:r>
    </w:p>
    <w:p>
      <w:pPr>
        <w:pStyle w:val="24"/>
        <w:ind w:left="0" w:firstLineChars="200" w:firstLine="640"/>
        <w:rPr>
          <w:rFonts w:ascii="仿宋_GB2312" w:eastAsia="仿宋_GB2312" w:cs="仿宋_GB2312" w:hint="eastAsia"/>
          <w:bCs/>
          <w:kern w:val="2"/>
          <w:sz w:val="32"/>
          <w:szCs w:val="32"/>
          <w:lang w:eastAsia="zh-CN" w:bidi="ar-SA"/>
        </w:rPr>
      </w:pPr>
      <w:r>
        <w:rPr>
          <w:rFonts w:ascii="仿宋_GB2312" w:eastAsia="仿宋_GB2312" w:cs="仿宋_GB2312"/>
          <w:bCs/>
          <w:kern w:val="2"/>
          <w:sz w:val="32"/>
          <w:szCs w:val="32"/>
          <w:lang w:val="en-US" w:eastAsia="zh-CN" w:bidi="ar-SA"/>
        </w:rPr>
        <w:t>3.</w:t>
      </w:r>
      <w:r>
        <w:rPr>
          <w:rFonts w:ascii="仿宋_GB2312" w:eastAsia="仿宋_GB2312" w:cs="仿宋_GB2312" w:hint="eastAsia"/>
          <w:bCs/>
          <w:kern w:val="2"/>
          <w:sz w:val="32"/>
          <w:szCs w:val="32"/>
          <w:lang w:val="en-US" w:eastAsia="zh-CN" w:bidi="ar-SA"/>
        </w:rPr>
        <w:t>阿坝州救助站为独立核算机构</w:t>
      </w:r>
      <w:r>
        <w:rPr>
          <w:rFonts w:ascii="仿宋_GB2312" w:eastAsia="仿宋_GB2312" w:cs="仿宋_GB2312" w:hint="eastAsia"/>
          <w:bCs/>
          <w:kern w:val="2"/>
          <w:sz w:val="32"/>
          <w:szCs w:val="32"/>
          <w:lang w:eastAsia="zh-CN" w:bidi="ar-SA"/>
        </w:rPr>
        <w:t>。</w:t>
      </w:r>
    </w:p>
    <w:p>
      <w:pPr>
        <w:pStyle w:val="18"/>
        <w:adjustRightInd w:val="0"/>
        <w:snapToGrid w:val="0"/>
        <w:spacing w:beforeLines="0" w:before="93" w:line="600" w:lineRule="exact"/>
        <w:ind w:firstLineChars="208" w:firstLine="666"/>
        <w:rPr>
          <w:rFonts w:ascii="Times New Roman" w:eastAsia="仿宋_GB2312" w:cs="仿宋_GB2312" w:hAnsi="Times New Roman" w:hint="eastAsia"/>
          <w:color w:val="auto"/>
          <w:sz w:val="32"/>
          <w:szCs w:val="32"/>
          <w:highlight w:val="auto"/>
        </w:rPr>
      </w:pPr>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18" w:name="_Toc15396602"/>
      <w:bookmarkStart w:id="19" w:name="_Toc15377204"/>
      <w:bookmarkStart w:id="20" w:name="_Toc99534202"/>
      <w:bookmarkStart w:id="21" w:name="_Toc99534230"/>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8"/>
      <w:bookmarkEnd w:id="19"/>
      <w:bookmarkEnd w:id="20"/>
      <w:bookmarkEnd w:id="21"/>
    </w:p>
    <w:p>
      <w:pPr>
        <w:rPr>
          <w:rFonts w:ascii="Times New Roman" w:hAnsi="Times New Roman"/>
          <w:color w:val="auto"/>
          <w:highlight w:val="auto"/>
        </w:rPr>
      </w:pP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rPr>
      </w:pPr>
      <w:bookmarkStart w:id="22" w:name="_Toc15377205"/>
      <w:bookmarkStart w:id="23" w:name="_Toc15396603"/>
      <w:bookmarkStart w:id="24" w:name="_Toc99534203"/>
      <w:bookmarkStart w:id="25" w:name="_Toc99534231"/>
      <w:r>
        <w:rPr>
          <w:rFonts w:ascii="Times New Roman" w:eastAsia="黑体" w:hAnsi="Times New Roman" w:hint="eastAsia"/>
          <w:color w:val="auto"/>
          <w:sz w:val="32"/>
          <w:szCs w:val="32"/>
          <w:lang w:eastAsia="zh-CN"/>
        </w:rPr>
        <w:t>一、</w:t>
      </w:r>
      <w:r>
        <w:rPr>
          <w:rFonts w:ascii="Times New Roman" w:eastAsia="黑体" w:hAnsi="Times New Roman" w:hint="eastAsia"/>
          <w:color w:val="auto"/>
          <w:sz w:val="32"/>
          <w:szCs w:val="32"/>
        </w:rPr>
        <w:t>收</w:t>
      </w:r>
      <w:r>
        <w:rPr>
          <w:rStyle w:val="2Char"/>
          <w:rFonts w:ascii="Times New Roman" w:eastAsia="黑体" w:hAnsi="Times New Roman" w:hint="eastAsia"/>
          <w:b w:val="0"/>
          <w:color w:val="auto"/>
        </w:rPr>
        <w:t>入支出决算总体情况说明</w:t>
      </w:r>
      <w:bookmarkEnd w:id="22"/>
      <w:bookmarkEnd w:id="23"/>
      <w:bookmarkEnd w:id="24"/>
      <w:bookmarkEnd w:id="25"/>
    </w:p>
    <w:p>
      <w:pPr>
        <w:spacing w:line="560" w:lineRule="exact"/>
        <w:ind w:firstLine="640"/>
        <w:rPr>
          <w:rFonts w:eastAsia="仿宋_GB2312" w:cs="仿宋_GB2312" w:hint="eastAsia"/>
          <w:sz w:val="32"/>
          <w:szCs w:val="32"/>
        </w:rPr>
      </w:pPr>
      <w:r>
        <w:rPr>
          <w:rFonts w:eastAsia="仿宋_GB2312" w:cs="仿宋_GB2312" w:hint="eastAsia"/>
          <w:color w:val="auto"/>
          <w:sz w:val="32"/>
          <w:szCs w:val="32"/>
          <w:lang w:eastAsia="zh-CN"/>
        </w:rPr>
        <w:t>2025年度</w:t>
      </w:r>
      <w:r>
        <w:rPr>
          <w:rFonts w:ascii="Times New Roman" w:eastAsia="仿宋_GB2312" w:cs="仿宋_GB2312" w:hAnsi="Times New Roman" w:hint="eastAsia"/>
          <w:color w:val="auto"/>
          <w:sz w:val="32"/>
          <w:szCs w:val="32"/>
          <w:lang w:eastAsia="zh-CN"/>
        </w:rPr>
        <w:t>收入</w:t>
      </w:r>
      <w:r>
        <w:rPr>
          <w:rFonts w:ascii="Times New Roman" w:eastAsia="仿宋_GB2312" w:cs="仿宋_GB2312" w:hAnsi="Times New Roman" w:hint="eastAsia"/>
          <w:color w:val="auto"/>
          <w:sz w:val="32"/>
          <w:szCs w:val="32"/>
        </w:rPr>
        <w:t>、</w:t>
      </w:r>
      <w:r>
        <w:rPr>
          <w:rFonts w:ascii="Times New Roman" w:eastAsia="仿宋_GB2312" w:cs="仿宋_GB2312" w:hAnsi="Times New Roman" w:hint="eastAsia"/>
          <w:color w:val="auto"/>
          <w:sz w:val="32"/>
          <w:szCs w:val="32"/>
          <w:lang w:eastAsia="zh-CN"/>
        </w:rPr>
        <w:t>支出</w:t>
      </w:r>
      <w:r>
        <w:rPr>
          <w:rFonts w:ascii="Times New Roman" w:eastAsia="仿宋_GB2312" w:cs="仿宋_GB2312" w:hAnsi="Times New Roman" w:hint="eastAsia"/>
          <w:color w:val="auto"/>
          <w:sz w:val="32"/>
          <w:szCs w:val="32"/>
        </w:rPr>
        <w:t>总计</w:t>
      </w:r>
      <w:r>
        <w:rPr>
          <w:rFonts w:ascii="Times New Roman" w:eastAsia="仿宋_GB2312" w:cs="仿宋_GB2312" w:hAnsi="Times New Roman" w:hint="eastAsia"/>
          <w:color w:val="auto"/>
          <w:sz w:val="32"/>
          <w:szCs w:val="32"/>
          <w:lang w:eastAsia="zh-CN"/>
        </w:rPr>
        <w:t>均为</w:t>
      </w:r>
      <w:r>
        <w:rPr>
          <w:rFonts w:ascii="仿宋_GB2312" w:eastAsia="仿宋_GB2312" w:cs="仿宋_GB2312" w:hint="eastAsia"/>
          <w:sz w:val="32"/>
          <w:szCs w:val="32"/>
        </w:rPr>
        <w:t>3010.31</w:t>
      </w:r>
      <w:r>
        <w:rPr>
          <w:rFonts w:ascii="Times New Roman" w:eastAsia="仿宋_GB2312" w:cs="仿宋_GB2312" w:hAnsi="Times New Roman" w:hint="eastAsia"/>
          <w:color w:val="auto"/>
          <w:sz w:val="32"/>
          <w:szCs w:val="32"/>
        </w:rPr>
        <w:t>万元。与</w:t>
      </w:r>
      <w:r>
        <w:rPr>
          <w:rFonts w:eastAsia="仿宋_GB2312" w:cs="仿宋_GB2312" w:hint="eastAsia"/>
          <w:color w:val="auto"/>
          <w:sz w:val="32"/>
          <w:szCs w:val="32"/>
          <w:lang w:eastAsia="zh-CN"/>
        </w:rPr>
        <w:t>上</w:t>
      </w:r>
      <w:r>
        <w:rPr>
          <w:rFonts w:ascii="Times New Roman" w:eastAsia="仿宋_GB2312" w:cs="仿宋_GB2312" w:hAnsi="Times New Roman" w:hint="eastAsia"/>
          <w:color w:val="auto"/>
          <w:sz w:val="32"/>
          <w:szCs w:val="32"/>
        </w:rPr>
        <w:t>年</w:t>
      </w:r>
      <w:r>
        <w:rPr>
          <w:rFonts w:ascii="Times New Roman" w:eastAsia="仿宋_GB2312" w:cs="仿宋_GB2312" w:hAnsi="Times New Roman" w:hint="eastAsia"/>
          <w:color w:val="auto"/>
          <w:sz w:val="32"/>
          <w:szCs w:val="32"/>
          <w:lang w:eastAsia="zh-CN"/>
        </w:rPr>
        <w:t>度</w:t>
      </w:r>
      <w:r>
        <w:rPr>
          <w:rFonts w:ascii="Times New Roman" w:eastAsia="仿宋_GB2312" w:cs="仿宋_GB2312" w:hAnsi="Times New Roman" w:hint="eastAsia"/>
          <w:color w:val="auto"/>
          <w:sz w:val="32"/>
          <w:szCs w:val="32"/>
        </w:rPr>
        <w:t>相比，</w:t>
      </w:r>
      <w:r>
        <w:rPr>
          <w:rFonts w:ascii="Times New Roman" w:eastAsia="仿宋_GB2312" w:cs="仿宋_GB2312" w:hAnsi="Times New Roman" w:hint="eastAsia"/>
          <w:color w:val="auto"/>
          <w:sz w:val="32"/>
          <w:szCs w:val="32"/>
          <w:lang w:eastAsia="zh-CN"/>
        </w:rPr>
        <w:t>收入</w:t>
      </w:r>
      <w:r>
        <w:rPr>
          <w:rFonts w:ascii="Times New Roman" w:eastAsia="仿宋_GB2312" w:cs="仿宋_GB2312" w:hAnsi="Times New Roman" w:hint="eastAsia"/>
          <w:color w:val="auto"/>
          <w:sz w:val="32"/>
          <w:szCs w:val="32"/>
        </w:rPr>
        <w:t>、</w:t>
      </w:r>
      <w:r>
        <w:rPr>
          <w:rFonts w:ascii="Times New Roman" w:eastAsia="仿宋_GB2312" w:cs="仿宋_GB2312" w:hAnsi="Times New Roman" w:hint="eastAsia"/>
          <w:color w:val="auto"/>
          <w:sz w:val="32"/>
          <w:szCs w:val="32"/>
          <w:lang w:eastAsia="zh-CN"/>
        </w:rPr>
        <w:t>支出</w:t>
      </w:r>
      <w:r>
        <w:rPr>
          <w:rFonts w:ascii="Times New Roman" w:eastAsia="仿宋_GB2312" w:cs="仿宋_GB2312" w:hAnsi="Times New Roman" w:hint="eastAsia"/>
          <w:color w:val="auto"/>
          <w:sz w:val="32"/>
          <w:szCs w:val="32"/>
        </w:rPr>
        <w:t>总计各增加</w:t>
      </w:r>
      <w:r>
        <w:rPr>
          <w:rFonts w:ascii="Times New Roman" w:eastAsia="仿宋_GB2312" w:cs="仿宋_GB2312" w:hAnsi="Times New Roman"/>
          <w:color w:val="auto"/>
          <w:sz w:val="32"/>
          <w:szCs w:val="32"/>
        </w:rPr>
        <w:t>19.03</w:t>
      </w:r>
      <w:r>
        <w:rPr>
          <w:rFonts w:ascii="Times New Roman" w:eastAsia="仿宋_GB2312" w:cs="仿宋_GB2312" w:hAnsi="Times New Roman" w:hint="eastAsia"/>
          <w:color w:val="auto"/>
          <w:sz w:val="32"/>
          <w:szCs w:val="32"/>
        </w:rPr>
        <w:t>万元，增长</w:t>
      </w:r>
      <w:r>
        <w:rPr>
          <w:rFonts w:ascii="Times New Roman" w:eastAsia="仿宋_GB2312" w:cs="仿宋_GB2312" w:hAnsi="Times New Roman"/>
          <w:color w:val="auto"/>
          <w:sz w:val="32"/>
          <w:szCs w:val="32"/>
        </w:rPr>
        <w:t>0.64</w:t>
      </w:r>
      <w:r>
        <w:rPr>
          <w:rFonts w:ascii="Times New Roman" w:eastAsia="仿宋_GB2312" w:cs="仿宋_GB2312" w:hAnsi="Times New Roman" w:hint="eastAsia"/>
          <w:color w:val="auto"/>
          <w:sz w:val="32"/>
          <w:szCs w:val="32"/>
        </w:rPr>
        <w:t>%。主要</w:t>
      </w:r>
      <w:r>
        <w:rPr>
          <w:rFonts w:ascii="Times New Roman" w:eastAsia="仿宋_GB2312" w:cs="仿宋_GB2312" w:hAnsi="Times New Roman" w:hint="eastAsia"/>
          <w:color w:val="auto"/>
          <w:kern w:val="2"/>
          <w:sz w:val="32"/>
          <w:szCs w:val="32"/>
          <w:lang w:val="en-US" w:eastAsia="zh-CN" w:bidi="ar-SA"/>
        </w:rPr>
        <w:t>主要变动原因是</w:t>
      </w:r>
      <w:r>
        <w:rPr>
          <w:rFonts w:ascii="Times New Roman" w:eastAsia="仿宋_GB2312" w:cs="仿宋_GB2312" w:hAnsi="Times New Roman"/>
          <w:color w:val="auto"/>
          <w:kern w:val="2"/>
          <w:sz w:val="32"/>
          <w:szCs w:val="32"/>
          <w:lang w:val="en-US" w:eastAsia="zh-CN" w:bidi="ar-SA"/>
        </w:rPr>
        <w:t>人员增加、工作量增加，导致</w:t>
      </w:r>
      <w:r>
        <w:rPr>
          <w:rFonts w:ascii="Times New Roman" w:eastAsia="仿宋_GB2312" w:cs="仿宋_GB2312" w:hAnsi="Times New Roman" w:hint="eastAsia"/>
          <w:color w:val="auto"/>
          <w:kern w:val="2"/>
          <w:sz w:val="32"/>
          <w:szCs w:val="32"/>
          <w:lang w:val="en-US" w:eastAsia="zh-CN" w:bidi="ar-SA"/>
        </w:rPr>
        <w:t>一般公共预算</w:t>
      </w:r>
      <w:r>
        <w:rPr>
          <w:rFonts w:ascii="Times New Roman" w:eastAsia="仿宋_GB2312" w:cs="仿宋_GB2312" w:hAnsi="Times New Roman"/>
          <w:color w:val="auto"/>
          <w:kern w:val="2"/>
          <w:sz w:val="32"/>
          <w:szCs w:val="32"/>
          <w:lang w:val="en-US" w:eastAsia="zh-CN" w:bidi="ar-SA"/>
        </w:rPr>
        <w:t>支出增加。</w:t>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hint="eastAsia"/>
          <w:color w:val="auto"/>
          <w:sz w:val="32"/>
          <w:szCs w:val="32"/>
          <w:highlight w:val="yellow"/>
        </w:rPr>
      </w:pPr>
      <w:r>
        <w:rPr>
          <w:rFonts w:ascii="Times New Roman" w:eastAsia="仿宋_GB2312" w:cs="仿宋_GB2312" w:hAnsi="Times New Roman"/>
          <w:color w:val="auto"/>
          <w:sz w:val="32"/>
          <w:szCs w:val="32"/>
          <w:highlight w:val="yellow"/>
        </w:rPr>
        <w:drawing>
          <wp:inline distT="0" distB="0" distL="85088" distR="85088">
            <wp:extent cx="5027295" cy="3286759"/>
            <wp:effectExtent l="0" t="0" r="18" b="18"/>
            <wp:docPr id="7" name="图片"/>
            <wp:cNvGraphicFramePr>
              <a:graphicFrameLocks noChangeAspect="1"/>
            </wp:cNvGraphicFramePr>
            <a:graphic>
              <a:graphicData uri="http://schemas.openxmlformats.org/drawingml/2006/picture">
                <pic:pic>
                  <pic:nvPicPr>
                    <pic:cNvPr id="9" name="图片 9"/>
                    <pic:cNvPicPr/>
                  </pic:nvPicPr>
                  <pic:blipFill>
                    <a:blip r:embed="rId6"/>
                    <a:stretch>
                      <a:fillRect/>
                    </a:stretch>
                  </pic:blipFill>
                  <pic:spPr>
                    <a:xfrm rot="0">
                      <a:off x="0" y="0"/>
                      <a:ext cx="5027295" cy="3286759"/>
                    </a:xfrm>
                    <a:prstGeom prst="rect"/>
                    <a:noFill/>
                    <a:ln w="9525" cmpd="sng" cap="flat">
                      <a:noFill/>
                      <a:prstDash val="solid"/>
                      <a:miter/>
                    </a:ln>
                  </pic:spPr>
                </pic:pic>
              </a:graphicData>
            </a:graphic>
          </wp:inline>
        </w:drawing>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rPr>
      </w:pPr>
      <w:bookmarkStart w:id="26" w:name="_Toc15377206"/>
      <w:bookmarkStart w:id="27" w:name="_Toc15396604"/>
      <w:bookmarkStart w:id="28" w:name="_Toc99534204"/>
      <w:bookmarkStart w:id="29" w:name="_Toc99534232"/>
      <w:r>
        <w:rPr>
          <w:rFonts w:ascii="Times New Roman" w:eastAsia="黑体" w:hAnsi="Times New Roman" w:hint="eastAsia"/>
          <w:color w:val="auto"/>
          <w:sz w:val="32"/>
          <w:szCs w:val="32"/>
          <w:lang w:eastAsia="zh-CN"/>
        </w:rPr>
        <w:t>二、收入决算情况说明</w:t>
      </w:r>
      <w:bookmarkEnd w:id="26"/>
      <w:bookmarkEnd w:id="27"/>
      <w:bookmarkEnd w:id="28"/>
      <w:bookmarkEnd w:id="29"/>
    </w:p>
    <w:p>
      <w:pPr>
        <w:ind w:firstLineChars="200" w:firstLine="640"/>
        <w:rPr>
          <w:rFonts w:eastAsia="仿宋_GB2312" w:cs="仿宋_GB2312" w:hint="eastAsia"/>
          <w:sz w:val="32"/>
          <w:szCs w:val="32"/>
        </w:rPr>
      </w:pPr>
      <w:r>
        <w:rPr>
          <w:rFonts w:eastAsia="仿宋_GB2312" w:cs="仿宋_GB2312" w:hint="eastAsia"/>
          <w:sz w:val="32"/>
          <w:szCs w:val="32"/>
        </w:rPr>
        <w:t>2025年度本年收入合计3010.31万元，其中：一般公共预算财政拨款收入2714.91万元，占90.19%；政府性基金预算财政拨款收入295.39万元，占9.81%。</w:t>
      </w:r>
    </w:p>
    <w:p>
      <w:pPr>
        <w:pStyle w:val="34"/>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eastAsia="仿宋_GB2312" w:cs="仿宋_GB2312" w:hint="eastAsia"/>
          <w:sz w:val="32"/>
          <w:szCs w:val="32"/>
        </w:rPr>
      </w:pPr>
      <w:r>
        <w:rPr>
          <w:rFonts w:eastAsia="仿宋_GB2312" w:cs="仿宋_GB2312"/>
          <w:sz w:val="32"/>
          <w:szCs w:val="32"/>
        </w:rPr>
        <w:drawing>
          <wp:anchor distT="0" distB="0" distL="85088" distR="85088" simplePos="0" relativeHeight="22" behindDoc="0" locked="0" layoutInCell="1" hidden="0" allowOverlap="1">
            <wp:simplePos x="0" y="0"/>
            <wp:positionH relativeFrom="column">
              <wp:posOffset>387280</wp:posOffset>
            </wp:positionH>
            <wp:positionV relativeFrom="paragraph">
              <wp:posOffset>8858</wp:posOffset>
            </wp:positionV>
            <wp:extent cx="4571999" cy="2743200"/>
            <wp:effectExtent l="0" t="0" r="0" b="0"/>
            <wp:wrapTopAndBottom/>
            <wp:docPr id="10" name="图片"/>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4571999" cy="2743200"/>
                    </a:xfrm>
                    <a:prstGeom prst="rect"/>
                    <a:noFill/>
                    <a:ln w="9525" cmpd="sng" cap="flat">
                      <a:noFill/>
                      <a:prstDash val="solid"/>
                      <a:miter/>
                    </a:ln>
                  </pic:spPr>
                </pic:pic>
              </a:graphicData>
            </a:graphic>
          </wp:anchor>
        </w:drawing>
      </w:r>
    </w:p>
    <w:p>
      <w:pPr>
        <w:pStyle w:val="34"/>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rPr>
      </w:pPr>
      <w:bookmarkStart w:id="30" w:name="_Toc15396605"/>
      <w:bookmarkStart w:id="31" w:name="_Toc15377207"/>
      <w:bookmarkStart w:id="32" w:name="_Toc99534205"/>
      <w:bookmarkStart w:id="33" w:name="_Toc99534233"/>
      <w:r>
        <w:rPr>
          <w:rFonts w:ascii="Times New Roman" w:eastAsia="黑体" w:hAnsi="Times New Roman" w:hint="eastAsia"/>
          <w:color w:val="auto"/>
          <w:sz w:val="32"/>
          <w:szCs w:val="32"/>
          <w:lang w:eastAsia="zh-CN"/>
        </w:rPr>
        <w:t>三、</w:t>
      </w:r>
      <w:r>
        <w:rPr>
          <w:rFonts w:ascii="Times New Roman" w:eastAsia="黑体" w:hAnsi="Times New Roman" w:hint="eastAsia"/>
          <w:color w:val="auto"/>
          <w:sz w:val="32"/>
          <w:szCs w:val="32"/>
        </w:rPr>
        <w:t>支</w:t>
      </w:r>
      <w:r>
        <w:rPr>
          <w:rStyle w:val="2Char"/>
          <w:rFonts w:ascii="Times New Roman" w:eastAsia="黑体" w:hAnsi="Times New Roman" w:hint="eastAsia"/>
          <w:b w:val="0"/>
          <w:color w:val="auto"/>
        </w:rPr>
        <w:t>出决算情况说明</w:t>
      </w:r>
      <w:bookmarkEnd w:id="30"/>
      <w:bookmarkEnd w:id="31"/>
      <w:bookmarkEnd w:id="32"/>
      <w:bookmarkEnd w:id="33"/>
    </w:p>
    <w:p>
      <w:pPr>
        <w:ind w:firstLineChars="200" w:firstLine="640"/>
        <w:rPr>
          <w:rFonts w:eastAsia="仿宋_GB2312" w:cs="仿宋_GB2312" w:hint="eastAsia"/>
          <w:sz w:val="32"/>
          <w:szCs w:val="32"/>
        </w:rPr>
      </w:pPr>
      <w:r>
        <w:rPr>
          <w:rFonts w:eastAsia="仿宋_GB2312" w:cs="仿宋_GB2312" w:hint="eastAsia"/>
          <w:sz w:val="32"/>
          <w:szCs w:val="32"/>
        </w:rPr>
        <w:t>2025年度本年支出合计3010.31万元，其中：基本支出1944.58万元，占64.59%；项目支出1065.73万元，占35.41%。</w:t>
      </w:r>
    </w:p>
    <w:p>
      <w:pPr>
        <w:pStyle w:val="34"/>
        <w:keepNext w:val="0"/>
        <w:keepLines w:val="0"/>
        <w:pageBreakBefore w:val="0"/>
        <w:widowControl w:val="0"/>
        <w:kinsoku/>
        <w:wordWrap/>
        <w:overflowPunct/>
        <w:topLinePunct w:val="0"/>
        <w:autoSpaceDE/>
        <w:autoSpaceDN/>
        <w:adjustRightInd/>
        <w:snapToGrid/>
        <w:spacing w:line="600" w:lineRule="exact"/>
        <w:ind w:firstLineChars="0" w:firstLine="0"/>
        <w:outlineLvl w:val="1"/>
        <w:rPr>
          <w:rFonts w:ascii="Times New Roman" w:eastAsia="仿宋_GB2312" w:cs="仿宋_GB2312" w:hAnsi="Times New Roman" w:hint="eastAsia"/>
          <w:color w:val="auto"/>
          <w:sz w:val="32"/>
          <w:szCs w:val="32"/>
          <w:lang w:eastAsia="zh-CN"/>
        </w:rPr>
      </w:pPr>
      <w:r>
        <w:rPr>
          <w:rFonts w:ascii="Times New Roman" w:eastAsia="仿宋_GB2312" w:cs="仿宋_GB2312" w:hAnsi="Times New Roman"/>
          <w:color w:val="auto"/>
          <w:sz w:val="32"/>
          <w:szCs w:val="32"/>
          <w:lang w:eastAsia="zh-CN"/>
        </w:rPr>
        <w:drawing>
          <wp:anchor distT="0" distB="0" distL="85088" distR="85088" simplePos="0" relativeHeight="24" behindDoc="0" locked="0" layoutInCell="1" hidden="0" allowOverlap="1">
            <wp:simplePos x="0" y="0"/>
            <wp:positionH relativeFrom="column">
              <wp:posOffset>358706</wp:posOffset>
            </wp:positionH>
            <wp:positionV relativeFrom="paragraph">
              <wp:posOffset>285078</wp:posOffset>
            </wp:positionV>
            <wp:extent cx="4571999" cy="2743200"/>
            <wp:effectExtent l="0" t="0" r="0" b="0"/>
            <wp:wrapTopAndBottom/>
            <wp:docPr id="13" name="图片"/>
            <wp:cNvGraphicFramePr>
              <a:graphicFrameLocks noChangeAspect="1"/>
            </wp:cNvGraphicFramePr>
            <a:graphic>
              <a:graphicData uri="http://schemas.openxmlformats.org/drawingml/2006/picture">
                <pic:pic>
                  <pic:nvPicPr>
                    <pic:cNvPr id="15" name="图片 15"/>
                    <pic:cNvPicPr/>
                  </pic:nvPicPr>
                  <pic:blipFill>
                    <a:blip r:embed="rId8"/>
                    <a:stretch>
                      <a:fillRect/>
                    </a:stretch>
                  </pic:blipFill>
                  <pic:spPr>
                    <a:xfrm rot="0">
                      <a:off x="0" y="0"/>
                      <a:ext cx="4571999" cy="2743200"/>
                    </a:xfrm>
                    <a:prstGeom prst="rect"/>
                    <a:noFill/>
                    <a:ln w="9525" cmpd="sng" cap="flat">
                      <a:noFill/>
                      <a:prstDash val="solid"/>
                      <a:miter/>
                    </a:ln>
                  </pic:spPr>
                </pic:pic>
              </a:graphicData>
            </a:graphic>
          </wp:anchor>
        </w:drawing>
      </w:r>
    </w:p>
    <w:p>
      <w:pPr>
        <w:spacing w:line="600" w:lineRule="exact"/>
        <w:ind w:firstLineChars="200" w:firstLine="640"/>
        <w:outlineLvl w:val="1"/>
        <w:rPr>
          <w:rStyle w:val="2Char"/>
          <w:rFonts w:ascii="Times New Roman" w:eastAsia="黑体" w:hAnsi="Times New Roman"/>
          <w:b w:val="0"/>
          <w:color w:val="auto"/>
        </w:rPr>
      </w:pPr>
      <w:bookmarkStart w:id="34" w:name="_Toc15377208"/>
      <w:bookmarkStart w:id="35" w:name="_Toc15396606"/>
      <w:bookmarkStart w:id="36" w:name="_Toc99534206"/>
      <w:bookmarkStart w:id="37" w:name="_Toc99534234"/>
      <w:r>
        <w:rPr>
          <w:rFonts w:ascii="Times New Roman" w:eastAsia="黑体" w:hAnsi="Times New Roman" w:hint="eastAsia"/>
          <w:color w:val="auto"/>
          <w:sz w:val="32"/>
          <w:szCs w:val="32"/>
        </w:rPr>
        <w:t>四、财</w:t>
      </w:r>
      <w:r>
        <w:rPr>
          <w:rStyle w:val="2Char"/>
          <w:rFonts w:ascii="Times New Roman" w:eastAsia="黑体" w:hAnsi="Times New Roman" w:hint="eastAsia"/>
          <w:b w:val="0"/>
          <w:color w:val="auto"/>
        </w:rPr>
        <w:t>政拨款收入支出决算总体情况说明</w:t>
      </w:r>
      <w:bookmarkEnd w:id="34"/>
      <w:bookmarkEnd w:id="35"/>
      <w:bookmarkEnd w:id="36"/>
      <w:bookmarkEnd w:id="37"/>
    </w:p>
    <w:p>
      <w:pPr>
        <w:spacing w:line="560" w:lineRule="exact"/>
        <w:ind w:firstLine="640"/>
        <w:rPr>
          <w:rFonts w:eastAsia="仿宋_GB2312" w:cs="仿宋_GB2312" w:hint="eastAsia"/>
          <w:sz w:val="32"/>
          <w:szCs w:val="32"/>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财政拨款收入、支出总计均为</w:t>
      </w:r>
      <w:r>
        <w:rPr>
          <w:rFonts w:ascii="仿宋_GB2312" w:eastAsia="仿宋_GB2312" w:cs="仿宋_GB2312" w:hint="eastAsia"/>
          <w:sz w:val="32"/>
          <w:szCs w:val="32"/>
        </w:rPr>
        <w:t>3010.31</w:t>
      </w:r>
      <w:r>
        <w:rPr>
          <w:rFonts w:ascii="Times New Roman" w:eastAsia="仿宋_GB2312" w:cs="仿宋_GB2312" w:hAnsi="Times New Roman" w:hint="eastAsia"/>
          <w:color w:val="auto"/>
          <w:kern w:val="2"/>
          <w:sz w:val="32"/>
          <w:szCs w:val="32"/>
          <w:lang w:val="en-US" w:eastAsia="zh-CN" w:bidi="ar-SA"/>
        </w:rPr>
        <w:t>万元。与</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年度相比，财政拨款收入、支出总计各增加</w:t>
      </w:r>
      <w:r>
        <w:rPr>
          <w:rFonts w:ascii="Times New Roman" w:eastAsia="仿宋_GB2312" w:cs="仿宋_GB2312" w:hAnsi="Times New Roman"/>
          <w:color w:val="auto"/>
          <w:kern w:val="2"/>
          <w:sz w:val="32"/>
          <w:szCs w:val="32"/>
          <w:lang w:val="en-US" w:eastAsia="zh-CN" w:bidi="ar-SA"/>
        </w:rPr>
        <w:t>19.03</w:t>
      </w:r>
      <w:r>
        <w:rPr>
          <w:rFonts w:ascii="Times New Roman" w:eastAsia="仿宋_GB2312" w:cs="仿宋_GB2312" w:hAnsi="Times New Roman" w:hint="eastAsia"/>
          <w:color w:val="auto"/>
          <w:kern w:val="2"/>
          <w:sz w:val="32"/>
          <w:szCs w:val="32"/>
          <w:lang w:val="en-US" w:eastAsia="zh-CN" w:bidi="ar-SA"/>
        </w:rPr>
        <w:t>万元，增长</w:t>
      </w:r>
      <w:r>
        <w:rPr>
          <w:rFonts w:ascii="Times New Roman" w:eastAsia="仿宋_GB2312" w:cs="仿宋_GB2312" w:hAnsi="Times New Roman"/>
          <w:color w:val="auto"/>
          <w:kern w:val="2"/>
          <w:sz w:val="32"/>
          <w:szCs w:val="32"/>
          <w:lang w:val="en-US" w:eastAsia="zh-CN" w:bidi="ar-SA"/>
        </w:rPr>
        <w:t>0.64</w:t>
      </w:r>
      <w:r>
        <w:rPr>
          <w:rFonts w:ascii="Times New Roman" w:eastAsia="仿宋_GB2312" w:cs="仿宋_GB2312" w:hAnsi="Times New Roman" w:hint="eastAsia"/>
          <w:color w:val="auto"/>
          <w:kern w:val="2"/>
          <w:sz w:val="32"/>
          <w:szCs w:val="32"/>
          <w:lang w:val="en-US" w:eastAsia="zh-CN" w:bidi="ar-SA"/>
        </w:rPr>
        <w:t>%。主要变动原因是</w:t>
      </w:r>
      <w:r>
        <w:rPr>
          <w:rFonts w:ascii="Times New Roman" w:eastAsia="仿宋_GB2312" w:cs="仿宋_GB2312" w:hAnsi="Times New Roman"/>
          <w:color w:val="auto"/>
          <w:kern w:val="2"/>
          <w:sz w:val="32"/>
          <w:szCs w:val="32"/>
          <w:lang w:val="en-US" w:eastAsia="zh-CN" w:bidi="ar-SA"/>
        </w:rPr>
        <w:t>人员增加、工作量增加，导致</w:t>
      </w:r>
      <w:r>
        <w:rPr>
          <w:rFonts w:ascii="Times New Roman" w:eastAsia="仿宋_GB2312" w:cs="仿宋_GB2312" w:hAnsi="Times New Roman" w:hint="eastAsia"/>
          <w:color w:val="auto"/>
          <w:kern w:val="2"/>
          <w:sz w:val="32"/>
          <w:szCs w:val="32"/>
          <w:lang w:val="en-US" w:eastAsia="zh-CN" w:bidi="ar-SA"/>
        </w:rPr>
        <w:t>一般公共预算</w:t>
      </w:r>
      <w:r>
        <w:rPr>
          <w:rFonts w:ascii="Times New Roman" w:eastAsia="仿宋_GB2312" w:cs="仿宋_GB2312" w:hAnsi="Times New Roman"/>
          <w:color w:val="auto"/>
          <w:kern w:val="2"/>
          <w:sz w:val="32"/>
          <w:szCs w:val="32"/>
          <w:lang w:val="en-US" w:eastAsia="zh-CN" w:bidi="ar-SA"/>
        </w:rPr>
        <w:t>支出增加。</w:t>
      </w:r>
    </w:p>
    <w:p>
      <w:pPr>
        <w:pStyle w:val="15"/>
        <w:rPr>
          <w:rFonts w:hint="eastAsia"/>
        </w:rPr>
      </w:pPr>
      <w:r>
        <w:drawing>
          <wp:anchor distT="0" distB="0" distL="85088" distR="85088" simplePos="0" relativeHeight="26" behindDoc="0" locked="0" layoutInCell="1" hidden="0" allowOverlap="1">
            <wp:simplePos x="0" y="0"/>
            <wp:positionH relativeFrom="column">
              <wp:posOffset>0</wp:posOffset>
            </wp:positionH>
            <wp:positionV relativeFrom="paragraph">
              <wp:posOffset>0</wp:posOffset>
            </wp:positionV>
            <wp:extent cx="4572000" cy="2743200"/>
            <wp:effectExtent l="0" t="0" r="0" b="0"/>
            <wp:wrapTopAndBottom/>
            <wp:docPr id="16" name="图片"/>
            <wp:cNvGraphicFramePr>
              <a:graphicFrameLocks noChangeAspect="1"/>
            </wp:cNvGraphicFramePr>
            <a:graphic>
              <a:graphicData uri="http://schemas.openxmlformats.org/drawingml/2006/picture">
                <pic:pic>
                  <pic:nvPicPr>
                    <pic:cNvPr id="18" name="图片 18"/>
                    <pic:cNvPicPr/>
                  </pic:nvPicPr>
                  <pic:blipFill>
                    <a:blip r:embed="rId9"/>
                    <a:stretch>
                      <a:fillRect/>
                    </a:stretch>
                  </pic:blipFill>
                  <pic:spPr>
                    <a:xfrm rot="0">
                      <a:off x="0" y="0"/>
                      <a:ext cx="4572000" cy="2743200"/>
                    </a:xfrm>
                    <a:prstGeom prst="rect"/>
                    <a:noFill/>
                    <a:ln w="9525" cmpd="sng" cap="flat">
                      <a:noFill/>
                      <a:prstDash val="solid"/>
                      <a:miter/>
                    </a:ln>
                  </pic:spPr>
                </pic:pic>
              </a:graphicData>
            </a:graphic>
          </wp:anchor>
        </w:drawing>
      </w:r>
    </w:p>
    <w:p>
      <w:pPr>
        <w:spacing w:line="600" w:lineRule="exact"/>
        <w:ind w:firstLineChars="200" w:firstLine="640"/>
        <w:outlineLvl w:val="1"/>
        <w:rPr>
          <w:rStyle w:val="2Char"/>
          <w:rFonts w:ascii="Times New Roman" w:eastAsia="黑体" w:hAnsi="Times New Roman"/>
          <w:b w:val="0"/>
          <w:color w:val="auto"/>
        </w:rPr>
      </w:pPr>
      <w:bookmarkStart w:id="38" w:name="_Toc15396607"/>
      <w:bookmarkStart w:id="39" w:name="_Toc15377209"/>
      <w:bookmarkStart w:id="40" w:name="_Toc99534207"/>
      <w:bookmarkStart w:id="41" w:name="_Toc99534235"/>
      <w:r>
        <w:rPr>
          <w:rFonts w:ascii="Times New Roman" w:eastAsia="黑体" w:hAnsi="Times New Roman" w:hint="eastAsia"/>
          <w:color w:val="auto"/>
          <w:sz w:val="32"/>
          <w:szCs w:val="32"/>
        </w:rPr>
        <w:t>五、</w:t>
      </w:r>
      <w:r>
        <w:rPr>
          <w:rFonts w:ascii="Times New Roman" w:eastAsia="黑体" w:hAnsi="Times New Roman" w:hint="eastAsia"/>
          <w:b/>
          <w:color w:val="auto"/>
          <w:sz w:val="32"/>
          <w:szCs w:val="32"/>
        </w:rPr>
        <w:t>一</w:t>
      </w:r>
      <w:r>
        <w:rPr>
          <w:rStyle w:val="2Char"/>
          <w:rFonts w:ascii="Times New Roman" w:eastAsia="黑体" w:hAnsi="Times New Roman" w:hint="eastAsia"/>
          <w:b w:val="0"/>
          <w:color w:val="auto"/>
        </w:rPr>
        <w:t>般公共预算财政拨款支出决算情况说明</w:t>
      </w:r>
      <w:bookmarkEnd w:id="38"/>
      <w:bookmarkEnd w:id="39"/>
      <w:bookmarkEnd w:id="40"/>
      <w:bookmarkEnd w:id="41"/>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42" w:name="_Toc15377210"/>
      <w:r>
        <w:rPr>
          <w:rFonts w:ascii="Times New Roman" w:eastAsia="楷体_GB2312" w:cs="楷体_GB2312" w:hAnsi="Times New Roman" w:hint="eastAsia"/>
          <w:b/>
          <w:color w:val="auto"/>
          <w:sz w:val="32"/>
          <w:szCs w:val="32"/>
        </w:rPr>
        <w:t>（一）一般公共预算财政拨款支出决算总体情况</w:t>
      </w:r>
      <w:bookmarkEnd w:id="42"/>
    </w:p>
    <w:p>
      <w:pPr>
        <w:spacing w:line="560" w:lineRule="exact"/>
        <w:ind w:firstLine="640"/>
        <w:rPr>
          <w:rFonts w:eastAsia="仿宋_GB2312" w:cs="仿宋_GB2312" w:hint="eastAsia"/>
          <w:sz w:val="32"/>
          <w:szCs w:val="32"/>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一般公共预算财政拨款支出</w:t>
      </w:r>
      <w:r>
        <w:rPr>
          <w:rFonts w:ascii="仿宋_GB2312" w:eastAsia="仿宋_GB2312" w:cs="仿宋_GB2312" w:hint="eastAsia"/>
          <w:sz w:val="32"/>
          <w:szCs w:val="32"/>
        </w:rPr>
        <w:t>2714.91</w:t>
      </w:r>
      <w:r>
        <w:rPr>
          <w:rFonts w:ascii="Times New Roman" w:eastAsia="仿宋_GB2312" w:cs="仿宋_GB2312" w:hAnsi="Times New Roman" w:hint="eastAsia"/>
          <w:color w:val="auto"/>
          <w:kern w:val="2"/>
          <w:sz w:val="32"/>
          <w:szCs w:val="32"/>
          <w:lang w:val="en-US" w:eastAsia="zh-CN" w:bidi="ar-SA"/>
        </w:rPr>
        <w:t>万元，占本年支出合计的</w:t>
      </w:r>
      <w:r>
        <w:rPr>
          <w:rFonts w:ascii="仿宋_GB2312" w:eastAsia="仿宋_GB2312" w:cs="仿宋_GB2312" w:hint="eastAsia"/>
          <w:sz w:val="32"/>
          <w:szCs w:val="32"/>
        </w:rPr>
        <w:t>90.18</w:t>
      </w:r>
      <w:r>
        <w:rPr>
          <w:rFonts w:ascii="Times New Roman" w:eastAsia="仿宋_GB2312" w:cs="仿宋_GB2312" w:hAnsi="Times New Roman" w:hint="eastAsia"/>
          <w:color w:val="auto"/>
          <w:kern w:val="2"/>
          <w:sz w:val="32"/>
          <w:szCs w:val="32"/>
          <w:lang w:val="en-US" w:eastAsia="zh-CN" w:bidi="ar-SA"/>
        </w:rPr>
        <w:t>%。与</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年度相比，一般公共预算财政拨款支出增加</w:t>
      </w:r>
      <w:r>
        <w:rPr>
          <w:rFonts w:ascii="Times New Roman" w:eastAsia="仿宋_GB2312" w:cs="仿宋_GB2312" w:hAnsi="Times New Roman"/>
          <w:color w:val="auto"/>
          <w:kern w:val="2"/>
          <w:sz w:val="32"/>
          <w:szCs w:val="32"/>
          <w:lang w:val="en-US" w:eastAsia="zh-CN" w:bidi="ar-SA"/>
        </w:rPr>
        <w:t>107.7</w:t>
      </w:r>
      <w:r>
        <w:rPr>
          <w:rFonts w:ascii="Times New Roman" w:eastAsia="仿宋_GB2312" w:cs="仿宋_GB2312" w:hAnsi="Times New Roman" w:hint="eastAsia"/>
          <w:color w:val="auto"/>
          <w:kern w:val="2"/>
          <w:sz w:val="32"/>
          <w:szCs w:val="32"/>
          <w:lang w:val="en-US" w:eastAsia="zh-CN" w:bidi="ar-SA"/>
        </w:rPr>
        <w:t>万元，增长</w:t>
      </w:r>
      <w:r>
        <w:rPr>
          <w:rFonts w:ascii="Times New Roman" w:eastAsia="仿宋_GB2312" w:cs="仿宋_GB2312" w:hAnsi="Times New Roman"/>
          <w:color w:val="auto"/>
          <w:kern w:val="2"/>
          <w:sz w:val="32"/>
          <w:szCs w:val="32"/>
          <w:lang w:val="en-US" w:eastAsia="zh-CN" w:bidi="ar-SA"/>
        </w:rPr>
        <w:t>4.13</w:t>
      </w:r>
      <w:r>
        <w:rPr>
          <w:rFonts w:ascii="Times New Roman" w:eastAsia="仿宋_GB2312" w:cs="仿宋_GB2312" w:hAnsi="Times New Roman" w:hint="eastAsia"/>
          <w:color w:val="auto"/>
          <w:kern w:val="2"/>
          <w:sz w:val="32"/>
          <w:szCs w:val="32"/>
          <w:lang w:val="en-US" w:eastAsia="zh-CN" w:bidi="ar-SA"/>
        </w:rPr>
        <w:t>%。主要变动原因是</w:t>
      </w:r>
      <w:r>
        <w:rPr>
          <w:rFonts w:ascii="Times New Roman" w:eastAsia="仿宋_GB2312" w:cs="仿宋_GB2312" w:hAnsi="Times New Roman"/>
          <w:color w:val="auto"/>
          <w:kern w:val="2"/>
          <w:sz w:val="32"/>
          <w:szCs w:val="32"/>
          <w:lang w:val="en-US" w:eastAsia="zh-CN" w:bidi="ar-SA"/>
        </w:rPr>
        <w:t>人员增加、工作量增加，导致</w:t>
      </w:r>
      <w:r>
        <w:rPr>
          <w:rFonts w:ascii="Times New Roman" w:eastAsia="仿宋_GB2312" w:cs="仿宋_GB2312" w:hAnsi="Times New Roman" w:hint="eastAsia"/>
          <w:color w:val="auto"/>
          <w:kern w:val="2"/>
          <w:sz w:val="32"/>
          <w:szCs w:val="32"/>
          <w:lang w:val="en-US" w:eastAsia="zh-CN" w:bidi="ar-SA"/>
        </w:rPr>
        <w:t>一般公共预算</w:t>
      </w:r>
      <w:r>
        <w:rPr>
          <w:rFonts w:ascii="Times New Roman" w:eastAsia="仿宋_GB2312" w:cs="仿宋_GB2312" w:hAnsi="Times New Roman"/>
          <w:color w:val="auto"/>
          <w:kern w:val="2"/>
          <w:sz w:val="32"/>
          <w:szCs w:val="32"/>
          <w:lang w:val="en-US" w:eastAsia="zh-CN" w:bidi="ar-SA"/>
        </w:rPr>
        <w:t>支出增加。</w:t>
      </w:r>
    </w:p>
    <w:p>
      <w:pPr>
        <w:pStyle w:val="15"/>
        <w:rPr>
          <w:rFonts w:hint="eastAsia"/>
        </w:rPr>
      </w:pPr>
      <w:r>
        <w:drawing>
          <wp:anchor distT="0" distB="0" distL="85088" distR="85088" simplePos="0" relativeHeight="28" behindDoc="0" locked="0" layoutInCell="1" hidden="0" allowOverlap="1">
            <wp:simplePos x="0" y="0"/>
            <wp:positionH relativeFrom="column">
              <wp:posOffset>0</wp:posOffset>
            </wp:positionH>
            <wp:positionV relativeFrom="paragraph">
              <wp:posOffset>0</wp:posOffset>
            </wp:positionV>
            <wp:extent cx="4572000" cy="2743200"/>
            <wp:effectExtent l="0" t="0" r="0" b="0"/>
            <wp:wrapTopAndBottom/>
            <wp:docPr id="19" name="图片"/>
            <wp:cNvGraphicFramePr>
              <a:graphicFrameLocks noChangeAspect="1"/>
            </wp:cNvGraphicFramePr>
            <a:graphic>
              <a:graphicData uri="http://schemas.openxmlformats.org/drawingml/2006/picture">
                <pic:pic>
                  <pic:nvPicPr>
                    <pic:cNvPr id="21" name="图片 21"/>
                    <pic:cNvPicPr/>
                  </pic:nvPicPr>
                  <pic:blipFill>
                    <a:blip r:embed="rId10"/>
                    <a:stretch>
                      <a:fillRect/>
                    </a:stretch>
                  </pic:blipFill>
                  <pic:spPr>
                    <a:xfrm rot="0">
                      <a:off x="0" y="0"/>
                      <a:ext cx="4572000" cy="2743200"/>
                    </a:xfrm>
                    <a:prstGeom prst="rect"/>
                    <a:noFill/>
                    <a:ln w="9525" cmpd="sng" cap="flat">
                      <a:noFill/>
                      <a:prstDash val="solid"/>
                      <a:miter/>
                    </a:ln>
                  </pic:spPr>
                </pic:pic>
              </a:graphicData>
            </a:graphic>
          </wp:anchor>
        </w:drawing>
      </w:r>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43" w:name="_Toc15377211"/>
      <w:r>
        <w:rPr>
          <w:rFonts w:ascii="Times New Roman" w:eastAsia="楷体_GB2312" w:cs="楷体_GB2312" w:hAnsi="Times New Roman" w:hint="eastAsia"/>
          <w:b/>
          <w:color w:val="auto"/>
          <w:sz w:val="32"/>
          <w:szCs w:val="32"/>
        </w:rPr>
        <w:t>（二）一般公共预算财政拨款支出决算结构情况</w:t>
      </w:r>
      <w:bookmarkEnd w:id="43"/>
    </w:p>
    <w:p>
      <w:pPr>
        <w:spacing w:line="600" w:lineRule="exact"/>
        <w:ind w:firstLine="640"/>
        <w:rPr>
          <w:rFonts w:ascii="Times New Roman" w:eastAsia="仿宋_GB2312" w:cs="仿宋_GB2312" w:hAnsi="Times New Roman"/>
          <w:color w:val="auto"/>
          <w:kern w:val="2"/>
          <w:sz w:val="32"/>
          <w:szCs w:val="32"/>
          <w:lang w:val="en-US" w:eastAsia="zh-CN" w:bidi="ar-SA"/>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一般公共预算财政拨款支出</w:t>
      </w:r>
      <w:r>
        <w:rPr>
          <w:rFonts w:ascii="仿宋_GB2312" w:eastAsia="仿宋_GB2312" w:cs="仿宋_GB2312" w:hint="eastAsia"/>
          <w:sz w:val="32"/>
          <w:szCs w:val="32"/>
        </w:rPr>
        <w:t>2714.91</w:t>
      </w:r>
      <w:r>
        <w:rPr>
          <w:rFonts w:ascii="Times New Roman" w:eastAsia="仿宋_GB2312" w:cs="仿宋_GB2312" w:hAnsi="Times New Roman" w:hint="eastAsia"/>
          <w:color w:val="auto"/>
          <w:kern w:val="2"/>
          <w:sz w:val="32"/>
          <w:szCs w:val="32"/>
          <w:lang w:val="en-US" w:eastAsia="zh-CN" w:bidi="ar-SA"/>
        </w:rPr>
        <w:t>万元，主要用于以下方面</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社会保障和就业支出</w:t>
      </w:r>
      <w:r>
        <w:rPr>
          <w:rFonts w:ascii="Times New Roman" w:eastAsia="仿宋_GB2312" w:cs="仿宋_GB2312" w:hAnsi="Times New Roman"/>
          <w:color w:val="auto"/>
          <w:kern w:val="2"/>
          <w:sz w:val="32"/>
          <w:szCs w:val="32"/>
          <w:lang w:val="en-US" w:eastAsia="zh-CN" w:bidi="ar-SA"/>
        </w:rPr>
        <w:t>2500.16</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92.09</w:t>
      </w:r>
      <w:r>
        <w:rPr>
          <w:rFonts w:ascii="Times New Roman" w:eastAsia="仿宋_GB2312" w:cs="仿宋_GB2312" w:hAnsi="Times New Roman" w:hint="eastAsia"/>
          <w:color w:val="auto"/>
          <w:kern w:val="2"/>
          <w:sz w:val="32"/>
          <w:szCs w:val="32"/>
          <w:lang w:val="en-US" w:eastAsia="zh-CN" w:bidi="ar-SA"/>
        </w:rPr>
        <w:t>%；卫生健康支出</w:t>
      </w:r>
      <w:r>
        <w:rPr>
          <w:rFonts w:ascii="Times New Roman" w:eastAsia="仿宋_GB2312" w:cs="仿宋_GB2312" w:hAnsi="Times New Roman"/>
          <w:color w:val="auto"/>
          <w:kern w:val="2"/>
          <w:sz w:val="32"/>
          <w:szCs w:val="32"/>
          <w:lang w:val="en-US" w:eastAsia="zh-CN" w:bidi="ar-SA"/>
        </w:rPr>
        <w:t>89.12</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3.28</w:t>
      </w:r>
      <w:r>
        <w:rPr>
          <w:rFonts w:ascii="Times New Roman" w:eastAsia="仿宋_GB2312" w:cs="仿宋_GB2312" w:hAnsi="Times New Roman" w:hint="eastAsia"/>
          <w:color w:val="auto"/>
          <w:kern w:val="2"/>
          <w:sz w:val="32"/>
          <w:szCs w:val="32"/>
          <w:lang w:val="en-US" w:eastAsia="zh-CN" w:bidi="ar-SA"/>
        </w:rPr>
        <w:t>%；住房保障支出</w:t>
      </w:r>
      <w:r>
        <w:rPr>
          <w:rFonts w:ascii="Times New Roman" w:eastAsia="仿宋_GB2312" w:cs="仿宋_GB2312" w:hAnsi="Times New Roman"/>
          <w:color w:val="auto"/>
          <w:kern w:val="2"/>
          <w:sz w:val="32"/>
          <w:szCs w:val="32"/>
          <w:lang w:val="en-US" w:eastAsia="zh-CN" w:bidi="ar-SA"/>
        </w:rPr>
        <w:t>125.64</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4.63</w:t>
      </w:r>
      <w:r>
        <w:rPr>
          <w:rFonts w:ascii="Times New Roman" w:eastAsia="仿宋_GB2312" w:cs="仿宋_GB2312" w:hAnsi="Times New Roman" w:hint="eastAsia"/>
          <w:color w:val="auto"/>
          <w:kern w:val="2"/>
          <w:sz w:val="32"/>
          <w:szCs w:val="32"/>
          <w:lang w:val="en-US" w:eastAsia="zh-CN" w:bidi="ar-SA"/>
        </w:rPr>
        <w:t>%</w:t>
      </w:r>
      <w:r>
        <w:rPr>
          <w:rFonts w:ascii="Times New Roman" w:eastAsia="仿宋_GB2312" w:cs="仿宋_GB2312" w:hAnsi="Times New Roman"/>
          <w:color w:val="auto"/>
          <w:kern w:val="2"/>
          <w:sz w:val="32"/>
          <w:szCs w:val="32"/>
          <w:lang w:val="en-US" w:eastAsia="zh-CN" w:bidi="ar-SA"/>
        </w:rPr>
        <w:t>。</w:t>
      </w:r>
    </w:p>
    <w:p>
      <w:pPr>
        <w:pStyle w:val="15"/>
        <w:rPr>
          <w:rFonts w:hint="eastAsia"/>
        </w:rPr>
      </w:pPr>
      <w:r>
        <w:drawing>
          <wp:anchor distT="0" distB="0" distL="85088" distR="85088" simplePos="0" relativeHeight="30" behindDoc="0" locked="0" layoutInCell="1" hidden="0" allowOverlap="1">
            <wp:simplePos x="0" y="0"/>
            <wp:positionH relativeFrom="column">
              <wp:posOffset>0</wp:posOffset>
            </wp:positionH>
            <wp:positionV relativeFrom="paragraph">
              <wp:posOffset>0</wp:posOffset>
            </wp:positionV>
            <wp:extent cx="4943473" cy="2743200"/>
            <wp:effectExtent l="0" t="0" r="0" b="0"/>
            <wp:wrapTopAndBottom/>
            <wp:docPr id="22" name="图片"/>
            <wp:cNvGraphicFramePr>
              <a:graphicFrameLocks noChangeAspect="1"/>
            </wp:cNvGraphicFramePr>
            <a:graphic>
              <a:graphicData uri="http://schemas.openxmlformats.org/drawingml/2006/picture">
                <pic:pic>
                  <pic:nvPicPr>
                    <pic:cNvPr id="24" name="图片 24"/>
                    <pic:cNvPicPr/>
                  </pic:nvPicPr>
                  <pic:blipFill>
                    <a:blip r:embed="rId11"/>
                    <a:stretch>
                      <a:fillRect/>
                    </a:stretch>
                  </pic:blipFill>
                  <pic:spPr>
                    <a:xfrm rot="0">
                      <a:off x="0" y="0"/>
                      <a:ext cx="4943473" cy="2743200"/>
                    </a:xfrm>
                    <a:prstGeom prst="rect"/>
                    <a:noFill/>
                    <a:ln w="9525" cmpd="sng" cap="flat">
                      <a:noFill/>
                      <a:prstDash val="solid"/>
                      <a:miter/>
                    </a:ln>
                  </pic:spPr>
                </pic:pic>
              </a:graphicData>
            </a:graphic>
          </wp:anchor>
        </w:drawing>
      </w:r>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44" w:name="_Toc15377212"/>
      <w:r>
        <w:rPr>
          <w:rFonts w:ascii="Times New Roman" w:eastAsia="楷体_GB2312" w:cs="楷体_GB2312" w:hAnsi="Times New Roman" w:hint="eastAsia"/>
          <w:b/>
          <w:color w:val="auto"/>
          <w:sz w:val="32"/>
          <w:szCs w:val="32"/>
        </w:rPr>
        <w:t>（三）一般公共预算财政拨款支出决算具体情况</w:t>
      </w:r>
      <w:bookmarkEnd w:id="44"/>
    </w:p>
    <w:p>
      <w:pPr>
        <w:spacing w:line="600" w:lineRule="exact"/>
        <w:ind w:firstLine="640"/>
        <w:rPr>
          <w:rFonts w:ascii="Times New Roman" w:eastAsia="仿宋_GB2312" w:cs="仿宋_GB2312" w:hAnsi="Times New Roman" w:hint="eastAsia"/>
          <w:color w:val="auto"/>
          <w:kern w:val="2"/>
          <w:sz w:val="32"/>
          <w:szCs w:val="32"/>
          <w:lang w:val="en-US" w:eastAsia="zh-CN" w:bidi="ar-SA"/>
        </w:rPr>
      </w:pPr>
      <w:bookmarkStart w:id="45" w:name="_Toc15377444"/>
      <w:bookmarkStart w:id="46" w:name="_Toc15377213"/>
      <w:bookmarkStart w:id="47" w:name="_Toc15378460"/>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一般公共预算支出决算数为</w:t>
      </w:r>
      <w:r>
        <w:rPr>
          <w:rFonts w:ascii="仿宋_GB2312" w:eastAsia="仿宋_GB2312" w:cs="仿宋_GB2312" w:hint="eastAsia"/>
          <w:sz w:val="32"/>
          <w:szCs w:val="32"/>
        </w:rPr>
        <w:t>2714.91</w:t>
      </w:r>
      <w:r>
        <w:rPr>
          <w:rFonts w:ascii="Times New Roman" w:eastAsia="仿宋_GB2312" w:cs="仿宋_GB2312" w:hAnsi="Times New Roman" w:hint="eastAsia"/>
          <w:color w:val="auto"/>
          <w:kern w:val="2"/>
          <w:sz w:val="32"/>
          <w:szCs w:val="32"/>
          <w:lang w:val="en-US" w:eastAsia="zh-CN" w:bidi="ar-SA"/>
        </w:rPr>
        <w:t>，完成预算</w:t>
      </w:r>
      <w:r>
        <w:rPr>
          <w:rFonts w:ascii="Times New Roman" w:eastAsia="仿宋_GB2312" w:cs="仿宋_GB2312" w:hAnsi="Times New Roman"/>
          <w:color w:val="auto"/>
          <w:kern w:val="2"/>
          <w:sz w:val="32"/>
          <w:szCs w:val="32"/>
          <w:lang w:val="en-US" w:eastAsia="zh-CN" w:bidi="ar-SA"/>
        </w:rPr>
        <w:t>100</w:t>
      </w:r>
      <w:r>
        <w:rPr>
          <w:rFonts w:ascii="Times New Roman" w:eastAsia="仿宋_GB2312" w:cs="仿宋_GB2312" w:hAnsi="Times New Roman" w:hint="eastAsia"/>
          <w:color w:val="auto"/>
          <w:kern w:val="2"/>
          <w:sz w:val="32"/>
          <w:szCs w:val="32"/>
          <w:lang w:val="en-US" w:eastAsia="zh-CN" w:bidi="ar-SA"/>
        </w:rPr>
        <w:t>%。其中：</w:t>
      </w:r>
      <w:bookmarkEnd w:id="45"/>
      <w:bookmarkEnd w:id="46"/>
      <w:bookmarkEnd w:id="47"/>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社会保障和就业支出（类）民政管理事务（款）行政运行（项）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支出决算为6</w:t>
      </w:r>
      <w:r>
        <w:rPr>
          <w:rFonts w:ascii="Times New Roman" w:eastAsia="仿宋_GB2312" w:cs="仿宋_GB2312" w:hAnsi="Times New Roman"/>
          <w:color w:val="auto"/>
          <w:kern w:val="2"/>
          <w:sz w:val="32"/>
          <w:szCs w:val="32"/>
          <w:lang w:val="en-US" w:eastAsia="zh-CN" w:bidi="ar-SA"/>
          <w:highlight w:val="auto"/>
        </w:rPr>
        <w:t>17.91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社会保障和就业支出（类）民政管理事务（款）一般行政管理事务（项）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271.83</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社会保障和就业支出（类）民政管理事务（款）其他民政管理事务支出（项）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215.71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4.社会保障和就业支出（类）行政事业单位养老支出（款）机关事业单位基本养老保险缴费支出（项）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146.59</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eastAsia="仿宋_GB2312" w:cs="仿宋_GB2312"/>
          <w:color w:val="auto"/>
          <w:kern w:val="2"/>
          <w:sz w:val="32"/>
          <w:szCs w:val="32"/>
          <w:lang w:eastAsia="zh-CN" w:bidi="ar-SA"/>
          <w:highlight w:val="auto"/>
        </w:rPr>
      </w:pPr>
      <w:r>
        <w:rPr>
          <w:rFonts w:eastAsia="仿宋_GB2312" w:cs="仿宋_GB2312"/>
          <w:color w:val="auto"/>
          <w:kern w:val="2"/>
          <w:sz w:val="32"/>
          <w:szCs w:val="32"/>
          <w:lang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.社会保障和就业支出（类）行政事业单位养老支出（款）机关事业单位职业年金缴费支出（项）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72.94</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eastAsia="仿宋_GB2312" w:cs="仿宋_GB2312"/>
          <w:color w:val="auto"/>
          <w:kern w:val="2"/>
          <w:sz w:val="32"/>
          <w:szCs w:val="32"/>
          <w:lang w:eastAsia="zh-CN" w:bidi="ar-SA"/>
          <w:highlight w:val="auto"/>
        </w:rPr>
      </w:pPr>
      <w:r>
        <w:rPr>
          <w:rFonts w:eastAsia="仿宋_GB2312" w:cs="仿宋_GB2312"/>
          <w:color w:val="auto"/>
          <w:kern w:val="2"/>
          <w:sz w:val="32"/>
          <w:szCs w:val="32"/>
          <w:lang w:eastAsia="zh-CN" w:bidi="ar-SA"/>
          <w:highlight w:val="auto"/>
        </w:rPr>
        <w:t>6</w:t>
      </w:r>
      <w:r>
        <w:rPr>
          <w:rFonts w:ascii="Times New Roman" w:eastAsia="仿宋_GB2312" w:cs="仿宋_GB2312" w:hAnsi="Times New Roman" w:hint="eastAsia"/>
          <w:color w:val="auto"/>
          <w:kern w:val="2"/>
          <w:sz w:val="32"/>
          <w:szCs w:val="32"/>
          <w:lang w:val="en-US" w:eastAsia="zh-CN" w:bidi="ar-SA"/>
          <w:highlight w:val="auto"/>
        </w:rPr>
        <w:t>.社会保障和就业支出（类）行政事业单位养老支出（款）</w:t>
      </w:r>
      <w:r>
        <w:rPr>
          <w:rFonts w:ascii="Times New Roman" w:eastAsia="仿宋_GB2312" w:cs="仿宋_GB2312" w:hAnsi="Times New Roman"/>
          <w:color w:val="auto"/>
          <w:kern w:val="2"/>
          <w:sz w:val="32"/>
          <w:szCs w:val="32"/>
          <w:lang w:val="en-US" w:eastAsia="zh-CN" w:bidi="ar-SA"/>
          <w:highlight w:val="auto"/>
        </w:rPr>
        <w:t>其他行政事业单位养老支出</w:t>
      </w:r>
      <w:r>
        <w:rPr>
          <w:rFonts w:ascii="Times New Roman" w:eastAsia="仿宋_GB2312" w:cs="仿宋_GB2312" w:hAnsi="Times New Roman" w:hint="eastAsia"/>
          <w:color w:val="auto"/>
          <w:kern w:val="2"/>
          <w:sz w:val="32"/>
          <w:szCs w:val="32"/>
          <w:lang w:val="en-US" w:eastAsia="zh-CN" w:bidi="ar-SA"/>
          <w:highlight w:val="auto"/>
        </w:rPr>
        <w:t>（项）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ascii="Times New Roman" w:eastAsia="仿宋_GB2312" w:cs="仿宋_GB2312" w:hAnsi="Times New Roman"/>
          <w:color w:val="auto"/>
          <w:kern w:val="2"/>
          <w:sz w:val="32"/>
          <w:szCs w:val="32"/>
          <w:lang w:val="en-US" w:eastAsia="zh-CN" w:bidi="ar-SA"/>
          <w:highlight w:val="auto"/>
        </w:rPr>
        <w:t>16.66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color w:val="auto"/>
          <w:kern w:val="2"/>
          <w:sz w:val="32"/>
          <w:szCs w:val="32"/>
          <w:lang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%，决算数等于预算数</w:t>
      </w:r>
      <w:r>
        <w:rPr>
          <w:rFonts w:eastAsia="仿宋_GB2312" w:cs="仿宋_GB2312"/>
          <w:color w:val="auto"/>
          <w:kern w:val="2"/>
          <w:sz w:val="32"/>
          <w:szCs w:val="32"/>
          <w:lang w:eastAsia="zh-CN" w:bidi="ar-SA"/>
          <w:highlight w:val="auto"/>
        </w:rPr>
        <w:t>。</w:t>
      </w:r>
    </w:p>
    <w:p>
      <w:pPr>
        <w:spacing w:line="560" w:lineRule="exact"/>
        <w:ind w:left="0" w:firstLineChars="200" w:firstLine="640"/>
        <w:rPr>
          <w:rFonts w:eastAsia="仿宋_GB2312" w:cs="仿宋_GB2312" w:hint="eastAsia"/>
          <w:sz w:val="32"/>
          <w:szCs w:val="32"/>
        </w:rPr>
      </w:pPr>
      <w:r>
        <w:rPr>
          <w:rFonts w:eastAsia="仿宋_GB2312" w:cs="仿宋_GB2312" w:hint="eastAsia"/>
          <w:sz w:val="32"/>
          <w:szCs w:val="32"/>
        </w:rPr>
        <w:t>7.</w:t>
      </w:r>
      <w:r>
        <w:rPr>
          <w:rFonts w:eastAsia="仿宋_GB2312" w:cs="仿宋_GB2312" w:hint="eastAsia"/>
          <w:sz w:val="32"/>
          <w:szCs w:val="32"/>
          <w:lang w:val="en-US"/>
          <w:highlight w:val="auto"/>
        </w:rPr>
        <w:t>社会保障和就业支出（类）行</w:t>
      </w:r>
      <w:r>
        <w:rPr>
          <w:rFonts w:eastAsia="仿宋_GB2312" w:cs="仿宋_GB2312"/>
          <w:sz w:val="32"/>
          <w:szCs w:val="32"/>
        </w:rPr>
        <w:t>社会福利（款）儿童福利（项）277.71万元，</w:t>
      </w:r>
      <w:r>
        <w:rPr>
          <w:rFonts w:eastAsia="仿宋_GB2312" w:cs="仿宋_GB2312" w:hint="eastAsia"/>
          <w:sz w:val="32"/>
          <w:szCs w:val="32"/>
          <w:lang w:val="en-US"/>
          <w:highlight w:val="auto"/>
        </w:rPr>
        <w:t>完成预算</w:t>
      </w:r>
      <w:r>
        <w:rPr>
          <w:rFonts w:eastAsia="仿宋_GB2312" w:cs="仿宋_GB2312"/>
          <w:sz w:val="32"/>
          <w:szCs w:val="32"/>
          <w:highlight w:val="auto"/>
        </w:rPr>
        <w:t>100</w:t>
      </w:r>
      <w:r>
        <w:rPr>
          <w:rFonts w:eastAsia="仿宋_GB2312" w:cs="仿宋_GB2312" w:hint="eastAsia"/>
          <w:sz w:val="32"/>
          <w:szCs w:val="32"/>
          <w:lang w:val="en-US"/>
          <w:highlight w:val="auto"/>
        </w:rPr>
        <w:t>%，决算数等于预算数</w:t>
      </w:r>
      <w:r>
        <w:rPr>
          <w:rFonts w:eastAsia="仿宋_GB2312" w:cs="仿宋_GB2312"/>
          <w:sz w:val="32"/>
          <w:szCs w:val="32"/>
          <w:highlight w:val="auto"/>
        </w:rPr>
        <w:t>。</w:t>
      </w:r>
    </w:p>
    <w:p>
      <w:pPr>
        <w:spacing w:line="560" w:lineRule="exact"/>
        <w:ind w:left="0" w:firstLineChars="200" w:firstLine="640"/>
        <w:rPr>
          <w:rFonts w:ascii="Times New Roman" w:eastAsia="仿宋_GB2312" w:cs="仿宋_GB2312" w:hAnsi="Times New Roman"/>
          <w:color w:val="auto"/>
          <w:kern w:val="2"/>
          <w:sz w:val="32"/>
          <w:szCs w:val="32"/>
          <w:lang w:val="en-US" w:eastAsia="zh-CN" w:bidi="ar-SA"/>
          <w:highlight w:val="auto"/>
        </w:rPr>
      </w:pPr>
      <w:r>
        <w:rPr>
          <w:rFonts w:eastAsia="仿宋_GB2312" w:cs="仿宋_GB2312"/>
          <w:sz w:val="32"/>
          <w:szCs w:val="32"/>
        </w:rPr>
        <w:t>8</w:t>
      </w:r>
      <w:r>
        <w:rPr>
          <w:rFonts w:eastAsia="仿宋_GB2312" w:cs="仿宋_GB2312" w:hint="eastAsia"/>
          <w:sz w:val="32"/>
          <w:szCs w:val="32"/>
        </w:rPr>
        <w:t>.</w:t>
      </w:r>
      <w:r>
        <w:rPr>
          <w:rFonts w:eastAsia="仿宋_GB2312" w:cs="仿宋_GB2312" w:hint="eastAsia"/>
          <w:sz w:val="32"/>
          <w:szCs w:val="32"/>
          <w:lang w:val="en-US"/>
          <w:highlight w:val="auto"/>
        </w:rPr>
        <w:t>社会保障和就业支出（类）行</w:t>
      </w:r>
      <w:r>
        <w:rPr>
          <w:rFonts w:eastAsia="仿宋_GB2312" w:cs="仿宋_GB2312"/>
          <w:sz w:val="32"/>
          <w:szCs w:val="32"/>
        </w:rPr>
        <w:t>社会福利（款）社会福利事业单位（项）476.87万元，</w:t>
      </w:r>
      <w:r>
        <w:rPr>
          <w:rFonts w:eastAsia="仿宋_GB2312" w:cs="仿宋_GB2312" w:hint="eastAsia"/>
          <w:sz w:val="32"/>
          <w:szCs w:val="32"/>
          <w:lang w:val="en-US"/>
          <w:highlight w:val="auto"/>
        </w:rPr>
        <w:t>完成预算</w:t>
      </w:r>
      <w:r>
        <w:rPr>
          <w:rFonts w:eastAsia="仿宋_GB2312" w:cs="仿宋_GB2312"/>
          <w:sz w:val="32"/>
          <w:szCs w:val="32"/>
          <w:highlight w:val="auto"/>
        </w:rPr>
        <w:t>100</w:t>
      </w:r>
      <w:r>
        <w:rPr>
          <w:rFonts w:eastAsia="仿宋_GB2312" w:cs="仿宋_GB2312" w:hint="eastAsia"/>
          <w:sz w:val="32"/>
          <w:szCs w:val="32"/>
          <w:lang w:val="en-US"/>
          <w:highlight w:val="auto"/>
        </w:rPr>
        <w:t>%，决算数等于预算数</w:t>
      </w:r>
      <w:r>
        <w:rPr>
          <w:rFonts w:eastAsia="仿宋_GB2312" w:cs="仿宋_GB2312"/>
          <w:sz w:val="32"/>
          <w:szCs w:val="32"/>
          <w:highlight w:val="auto"/>
        </w:rPr>
        <w:t>。</w:t>
      </w:r>
    </w:p>
    <w:p>
      <w:pPr>
        <w:spacing w:line="560" w:lineRule="exact"/>
        <w:ind w:left="0" w:firstLineChars="200" w:firstLine="640"/>
        <w:rPr>
          <w:rFonts w:ascii="Times New Roman" w:eastAsia="仿宋_GB2312" w:cs="仿宋_GB2312" w:hAnsi="Times New Roman"/>
          <w:color w:val="auto"/>
          <w:kern w:val="2"/>
          <w:sz w:val="32"/>
          <w:szCs w:val="32"/>
          <w:lang w:val="en-US" w:eastAsia="zh-CN" w:bidi="ar-SA"/>
          <w:highlight w:val="auto"/>
        </w:rPr>
      </w:pPr>
      <w:r>
        <w:rPr>
          <w:rFonts w:eastAsia="仿宋_GB2312" w:cs="仿宋_GB2312"/>
          <w:sz w:val="32"/>
          <w:szCs w:val="32"/>
        </w:rPr>
        <w:t>9</w:t>
      </w:r>
      <w:r>
        <w:rPr>
          <w:rFonts w:eastAsia="仿宋_GB2312" w:cs="仿宋_GB2312" w:hint="eastAsia"/>
          <w:sz w:val="32"/>
          <w:szCs w:val="32"/>
        </w:rPr>
        <w:t>.</w:t>
      </w:r>
      <w:r>
        <w:rPr>
          <w:rFonts w:eastAsia="仿宋_GB2312" w:cs="仿宋_GB2312" w:hint="eastAsia"/>
          <w:sz w:val="32"/>
          <w:szCs w:val="32"/>
          <w:lang w:val="en-US"/>
          <w:highlight w:val="auto"/>
        </w:rPr>
        <w:t>社会保障和就业支出（类）行</w:t>
      </w:r>
      <w:r>
        <w:rPr>
          <w:rFonts w:eastAsia="仿宋_GB2312" w:cs="仿宋_GB2312"/>
          <w:sz w:val="32"/>
          <w:szCs w:val="32"/>
        </w:rPr>
        <w:t>社会福利（款）其他社会福利支出（项）2.8万元，</w:t>
      </w:r>
      <w:r>
        <w:rPr>
          <w:rFonts w:eastAsia="仿宋_GB2312" w:cs="仿宋_GB2312" w:hint="eastAsia"/>
          <w:sz w:val="32"/>
          <w:szCs w:val="32"/>
          <w:lang w:val="en-US"/>
          <w:highlight w:val="auto"/>
        </w:rPr>
        <w:t>完成预算</w:t>
      </w:r>
      <w:r>
        <w:rPr>
          <w:rFonts w:eastAsia="仿宋_GB2312" w:cs="仿宋_GB2312"/>
          <w:sz w:val="32"/>
          <w:szCs w:val="32"/>
          <w:highlight w:val="auto"/>
        </w:rPr>
        <w:t>100</w:t>
      </w:r>
      <w:r>
        <w:rPr>
          <w:rFonts w:eastAsia="仿宋_GB2312" w:cs="仿宋_GB2312" w:hint="eastAsia"/>
          <w:sz w:val="32"/>
          <w:szCs w:val="32"/>
          <w:lang w:val="en-US"/>
          <w:highlight w:val="auto"/>
        </w:rPr>
        <w:t>%，决算数等于预算数</w:t>
      </w:r>
      <w:r>
        <w:rPr>
          <w:rFonts w:eastAsia="仿宋_GB2312" w:cs="仿宋_GB2312"/>
          <w:sz w:val="32"/>
          <w:szCs w:val="32"/>
          <w:highlight w:val="auto"/>
        </w:rPr>
        <w:t>。</w:t>
      </w:r>
    </w:p>
    <w:p>
      <w:pPr>
        <w:spacing w:line="560" w:lineRule="exact"/>
        <w:ind w:left="0" w:firstLineChars="200" w:firstLine="640"/>
        <w:rPr>
          <w:rFonts w:eastAsia="仿宋_GB2312" w:cs="仿宋_GB2312"/>
          <w:sz w:val="32"/>
          <w:szCs w:val="32"/>
          <w:lang w:val="en-US"/>
        </w:rPr>
      </w:pPr>
      <w:r>
        <w:rPr>
          <w:rFonts w:eastAsia="仿宋_GB2312" w:cs="仿宋_GB2312"/>
          <w:sz w:val="32"/>
          <w:szCs w:val="32"/>
        </w:rPr>
        <w:t>10</w:t>
      </w:r>
      <w:r>
        <w:rPr>
          <w:rFonts w:eastAsia="仿宋_GB2312" w:cs="仿宋_GB2312" w:hint="eastAsia"/>
          <w:sz w:val="32"/>
          <w:szCs w:val="32"/>
        </w:rPr>
        <w:t>.</w:t>
      </w:r>
      <w:r>
        <w:rPr>
          <w:rFonts w:eastAsia="仿宋_GB2312" w:cs="仿宋_GB2312" w:hint="eastAsia"/>
          <w:sz w:val="32"/>
          <w:szCs w:val="32"/>
          <w:lang w:val="en-US"/>
          <w:highlight w:val="auto"/>
        </w:rPr>
        <w:t>社会保障和就业支出（类）</w:t>
      </w:r>
      <w:r>
        <w:rPr>
          <w:rFonts w:eastAsia="仿宋_GB2312" w:cs="仿宋_GB2312"/>
          <w:sz w:val="32"/>
          <w:szCs w:val="32"/>
          <w:lang w:val="en-US"/>
          <w:highlight w:val="auto"/>
        </w:rPr>
        <w:t>临时救助（款）流浪乞讨人员救助（项</w:t>
      </w:r>
      <w:r>
        <w:rPr>
          <w:rFonts w:eastAsia="仿宋_GB2312" w:cs="仿宋_GB2312"/>
          <w:sz w:val="32"/>
          <w:szCs w:val="32"/>
          <w:lang w:val="en-US"/>
        </w:rPr>
        <w:t>）387.3万元</w:t>
      </w:r>
    </w:p>
    <w:p>
      <w:pPr>
        <w:spacing w:line="560" w:lineRule="exact"/>
        <w:ind w:left="0" w:firstLineChars="200" w:firstLine="640"/>
        <w:rPr>
          <w:rFonts w:eastAsia="仿宋_GB2312" w:cs="仿宋_GB2312"/>
          <w:sz w:val="32"/>
          <w:szCs w:val="32"/>
          <w:lang w:val="en-US"/>
        </w:rPr>
      </w:pPr>
      <w:r>
        <w:rPr>
          <w:rFonts w:eastAsia="仿宋_GB2312" w:cs="仿宋_GB2312"/>
          <w:sz w:val="32"/>
          <w:szCs w:val="32"/>
        </w:rPr>
        <w:t>11</w:t>
      </w:r>
      <w:r>
        <w:rPr>
          <w:rFonts w:eastAsia="仿宋_GB2312" w:cs="仿宋_GB2312" w:hint="eastAsia"/>
          <w:sz w:val="32"/>
          <w:szCs w:val="32"/>
        </w:rPr>
        <w:t>.</w:t>
      </w:r>
      <w:r>
        <w:rPr>
          <w:rFonts w:eastAsia="仿宋_GB2312" w:cs="仿宋_GB2312" w:hint="eastAsia"/>
          <w:sz w:val="32"/>
          <w:szCs w:val="32"/>
          <w:lang w:val="en-US"/>
        </w:rPr>
        <w:t>社会保障和就业支出（类）</w:t>
      </w:r>
      <w:r>
        <w:rPr>
          <w:rFonts w:eastAsia="仿宋_GB2312" w:cs="仿宋_GB2312"/>
          <w:sz w:val="32"/>
          <w:szCs w:val="32"/>
          <w:lang w:val="en-US"/>
        </w:rPr>
        <w:t>特困人员救助供养（款）城市特困人员救助供养支出（项）13.83万元</w:t>
      </w:r>
    </w:p>
    <w:p>
      <w:pPr>
        <w:spacing w:line="560" w:lineRule="exact"/>
        <w:ind w:left="0" w:firstLineChars="200" w:firstLine="640"/>
        <w:rPr>
          <w:rFonts w:eastAsia="仿宋_GB2312" w:cs="仿宋_GB2312"/>
          <w:color w:val="auto"/>
          <w:kern w:val="2"/>
          <w:sz w:val="32"/>
          <w:szCs w:val="32"/>
          <w:lang w:eastAsia="zh-CN" w:bidi="ar-SA"/>
        </w:rPr>
      </w:pPr>
      <w:r>
        <w:rPr>
          <w:rFonts w:ascii="Times New Roman" w:eastAsia="仿宋_GB2312" w:cs="仿宋_GB2312" w:hAnsi="Times New Roman"/>
          <w:color w:val="auto"/>
          <w:kern w:val="2"/>
          <w:sz w:val="32"/>
          <w:szCs w:val="32"/>
          <w:lang w:val="en-US" w:eastAsia="zh-CN" w:bidi="ar-SA"/>
        </w:rPr>
        <w:t>12</w:t>
      </w:r>
      <w:r>
        <w:rPr>
          <w:rFonts w:ascii="Times New Roman" w:eastAsia="仿宋_GB2312" w:cs="仿宋_GB2312" w:hAnsi="Times New Roman" w:hint="eastAsia"/>
          <w:color w:val="auto"/>
          <w:kern w:val="2"/>
          <w:sz w:val="32"/>
          <w:szCs w:val="32"/>
          <w:lang w:val="en-US" w:eastAsia="zh-CN" w:bidi="ar-SA"/>
        </w:rPr>
        <w:t>.卫生健康（类）行政事业单位医疗（款）行政单位医疗（项）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ascii="Times New Roman" w:eastAsia="仿宋_GB2312" w:cs="仿宋_GB2312" w:hAnsi="Times New Roman"/>
          <w:color w:val="auto"/>
          <w:kern w:val="2"/>
          <w:sz w:val="32"/>
          <w:szCs w:val="32"/>
          <w:lang w:val="en-US" w:eastAsia="zh-CN" w:bidi="ar-SA"/>
        </w:rPr>
        <w:t>28.85</w:t>
      </w:r>
      <w:r>
        <w:rPr>
          <w:rFonts w:ascii="Times New Roman" w:eastAsia="仿宋_GB2312" w:cs="仿宋_GB2312" w:hAnsi="Times New Roman" w:hint="eastAsia"/>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pPr>
        <w:spacing w:line="560" w:lineRule="exact"/>
        <w:ind w:left="0" w:firstLineChars="200" w:firstLine="640"/>
        <w:rPr>
          <w:rFonts w:eastAsia="仿宋_GB2312" w:cs="仿宋_GB2312"/>
          <w:color w:val="auto"/>
          <w:kern w:val="2"/>
          <w:sz w:val="32"/>
          <w:szCs w:val="32"/>
          <w:lang w:eastAsia="zh-CN" w:bidi="ar-SA"/>
        </w:rPr>
      </w:pPr>
      <w:r>
        <w:rPr>
          <w:rFonts w:ascii="Times New Roman" w:eastAsia="仿宋_GB2312" w:cs="仿宋_GB2312" w:hAnsi="Times New Roman"/>
          <w:color w:val="auto"/>
          <w:kern w:val="2"/>
          <w:sz w:val="32"/>
          <w:szCs w:val="32"/>
          <w:lang w:val="en-US" w:eastAsia="zh-CN" w:bidi="ar-SA"/>
        </w:rPr>
        <w:t>13</w:t>
      </w:r>
      <w:r>
        <w:rPr>
          <w:rFonts w:ascii="Times New Roman" w:eastAsia="仿宋_GB2312" w:cs="仿宋_GB2312" w:hAnsi="Times New Roman" w:hint="eastAsia"/>
          <w:color w:val="auto"/>
          <w:kern w:val="2"/>
          <w:sz w:val="32"/>
          <w:szCs w:val="32"/>
          <w:lang w:val="en-US" w:eastAsia="zh-CN" w:bidi="ar-SA"/>
        </w:rPr>
        <w:t>.卫生健康（类）行政事业单位医疗（款）</w:t>
      </w:r>
      <w:r>
        <w:rPr>
          <w:rFonts w:ascii="Times New Roman" w:eastAsia="仿宋_GB2312" w:cs="仿宋_GB2312" w:hAnsi="Times New Roman"/>
          <w:color w:val="auto"/>
          <w:kern w:val="2"/>
          <w:sz w:val="32"/>
          <w:szCs w:val="32"/>
          <w:lang w:val="en-US" w:eastAsia="zh-CN" w:bidi="ar-SA"/>
        </w:rPr>
        <w:t>事业</w:t>
      </w:r>
      <w:r>
        <w:rPr>
          <w:rFonts w:ascii="Times New Roman" w:eastAsia="仿宋_GB2312" w:cs="仿宋_GB2312" w:hAnsi="Times New Roman" w:hint="eastAsia"/>
          <w:color w:val="auto"/>
          <w:kern w:val="2"/>
          <w:sz w:val="32"/>
          <w:szCs w:val="32"/>
          <w:lang w:val="en-US" w:eastAsia="zh-CN" w:bidi="ar-SA"/>
        </w:rPr>
        <w:t>单位医疗（项）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ascii="Times New Roman" w:eastAsia="仿宋_GB2312" w:cs="仿宋_GB2312" w:hAnsi="Times New Roman"/>
          <w:color w:val="auto"/>
          <w:kern w:val="2"/>
          <w:sz w:val="32"/>
          <w:szCs w:val="32"/>
          <w:lang w:val="en-US" w:eastAsia="zh-CN" w:bidi="ar-SA"/>
        </w:rPr>
        <w:t>43.54</w:t>
      </w:r>
      <w:r>
        <w:rPr>
          <w:rFonts w:ascii="Times New Roman" w:eastAsia="仿宋_GB2312" w:cs="仿宋_GB2312" w:hAnsi="Times New Roman" w:hint="eastAsia"/>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pPr>
        <w:spacing w:line="560" w:lineRule="exact"/>
        <w:ind w:left="0" w:firstLineChars="200" w:firstLine="640"/>
        <w:rPr>
          <w:rFonts w:eastAsia="仿宋_GB2312" w:cs="仿宋_GB2312"/>
          <w:color w:val="auto"/>
          <w:kern w:val="2"/>
          <w:sz w:val="32"/>
          <w:szCs w:val="32"/>
          <w:lang w:eastAsia="zh-CN" w:bidi="ar-SA"/>
        </w:rPr>
      </w:pPr>
      <w:r>
        <w:rPr>
          <w:rFonts w:eastAsia="仿宋_GB2312" w:cs="仿宋_GB2312" w:hint="eastAsia"/>
          <w:sz w:val="32"/>
          <w:szCs w:val="32"/>
        </w:rPr>
        <w:t>14.卫生健</w:t>
      </w:r>
      <w:r>
        <w:rPr>
          <w:rFonts w:ascii="Times New Roman" w:eastAsia="仿宋_GB2312" w:cs="仿宋_GB2312" w:hAnsi="Times New Roman" w:hint="eastAsia"/>
          <w:color w:val="auto"/>
          <w:kern w:val="2"/>
          <w:sz w:val="32"/>
          <w:szCs w:val="32"/>
          <w:lang w:val="en-US" w:eastAsia="zh-CN" w:bidi="ar-SA"/>
        </w:rPr>
        <w:t>康（类）行政事业单位医疗（款）公务员医疗补助（项）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ascii="Times New Roman" w:eastAsia="仿宋_GB2312" w:cs="仿宋_GB2312" w:hAnsi="Times New Roman"/>
          <w:color w:val="auto"/>
          <w:kern w:val="2"/>
          <w:sz w:val="32"/>
          <w:szCs w:val="32"/>
          <w:lang w:val="en-US" w:eastAsia="zh-CN" w:bidi="ar-SA"/>
        </w:rPr>
        <w:t>10.84</w:t>
      </w:r>
      <w:r>
        <w:rPr>
          <w:rFonts w:ascii="Times New Roman" w:eastAsia="仿宋_GB2312" w:cs="仿宋_GB2312" w:hAnsi="Times New Roman" w:hint="eastAsia"/>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pPr>
        <w:spacing w:line="560" w:lineRule="exact"/>
        <w:ind w:left="0" w:firstLineChars="200" w:firstLine="640"/>
        <w:rPr>
          <w:rFonts w:eastAsia="仿宋_GB2312" w:cs="仿宋_GB2312"/>
          <w:color w:val="auto"/>
          <w:kern w:val="2"/>
          <w:sz w:val="32"/>
          <w:szCs w:val="32"/>
          <w:lang w:eastAsia="zh-CN" w:bidi="ar-SA"/>
        </w:rPr>
      </w:pPr>
      <w:r>
        <w:rPr>
          <w:rFonts w:eastAsia="仿宋_GB2312" w:cs="仿宋_GB2312" w:hint="eastAsia"/>
          <w:sz w:val="32"/>
          <w:szCs w:val="32"/>
        </w:rPr>
        <w:t>1</w:t>
      </w:r>
      <w:r>
        <w:rPr>
          <w:rFonts w:eastAsia="仿宋_GB2312" w:cs="仿宋_GB2312"/>
          <w:sz w:val="32"/>
          <w:szCs w:val="32"/>
        </w:rPr>
        <w:t>5</w:t>
      </w:r>
      <w:r>
        <w:rPr>
          <w:rFonts w:eastAsia="仿宋_GB2312" w:cs="仿宋_GB2312" w:hint="eastAsia"/>
          <w:sz w:val="32"/>
          <w:szCs w:val="32"/>
        </w:rPr>
        <w:t>.卫生健</w:t>
      </w:r>
      <w:r>
        <w:rPr>
          <w:rFonts w:ascii="Times New Roman" w:eastAsia="仿宋_GB2312" w:cs="仿宋_GB2312" w:hAnsi="Times New Roman" w:hint="eastAsia"/>
          <w:color w:val="auto"/>
          <w:kern w:val="2"/>
          <w:sz w:val="32"/>
          <w:szCs w:val="32"/>
          <w:lang w:val="en-US" w:eastAsia="zh-CN" w:bidi="ar-SA"/>
        </w:rPr>
        <w:t>康（类）行政事业单位医疗（款）</w:t>
      </w:r>
      <w:r>
        <w:rPr>
          <w:rFonts w:ascii="Times New Roman" w:eastAsia="仿宋_GB2312" w:cs="仿宋_GB2312" w:hAnsi="Times New Roman"/>
          <w:color w:val="auto"/>
          <w:kern w:val="2"/>
          <w:sz w:val="32"/>
          <w:szCs w:val="32"/>
          <w:lang w:val="en-US" w:eastAsia="zh-CN" w:bidi="ar-SA"/>
        </w:rPr>
        <w:t>其他行政事业单位医疗支出</w:t>
      </w:r>
      <w:r>
        <w:rPr>
          <w:rFonts w:ascii="Times New Roman" w:eastAsia="仿宋_GB2312" w:cs="仿宋_GB2312" w:hAnsi="Times New Roman" w:hint="eastAsia"/>
          <w:color w:val="auto"/>
          <w:kern w:val="2"/>
          <w:sz w:val="32"/>
          <w:szCs w:val="32"/>
          <w:lang w:val="en-US" w:eastAsia="zh-CN" w:bidi="ar-SA"/>
        </w:rPr>
        <w:t>（项）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ascii="Times New Roman" w:eastAsia="仿宋_GB2312" w:cs="仿宋_GB2312" w:hAnsi="Times New Roman"/>
          <w:color w:val="auto"/>
          <w:kern w:val="2"/>
          <w:sz w:val="32"/>
          <w:szCs w:val="32"/>
          <w:lang w:val="en-US" w:eastAsia="zh-CN" w:bidi="ar-SA"/>
        </w:rPr>
        <w:t>5.88</w:t>
      </w:r>
      <w:r>
        <w:rPr>
          <w:rFonts w:ascii="Times New Roman" w:eastAsia="仿宋_GB2312" w:cs="仿宋_GB2312" w:hAnsi="Times New Roman" w:hint="eastAsia"/>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pPr>
        <w:spacing w:line="560" w:lineRule="exact"/>
        <w:ind w:firstLine="640"/>
        <w:rPr>
          <w:rFonts w:eastAsia="仿宋_GB2312" w:cs="仿宋_GB2312"/>
          <w:color w:val="auto"/>
          <w:kern w:val="2"/>
          <w:sz w:val="32"/>
          <w:szCs w:val="32"/>
          <w:lang w:eastAsia="zh-CN" w:bidi="ar-SA"/>
        </w:rPr>
      </w:pPr>
      <w:r>
        <w:rPr>
          <w:rFonts w:eastAsia="仿宋_GB2312" w:cs="仿宋_GB2312"/>
          <w:color w:val="auto"/>
          <w:kern w:val="2"/>
          <w:sz w:val="32"/>
          <w:szCs w:val="32"/>
          <w:lang w:eastAsia="zh-CN" w:bidi="ar-SA"/>
        </w:rPr>
        <w:t>16</w:t>
      </w:r>
      <w:r>
        <w:rPr>
          <w:rFonts w:ascii="Times New Roman" w:eastAsia="仿宋_GB2312" w:cs="仿宋_GB2312" w:hAnsi="Times New Roman" w:hint="eastAsia"/>
          <w:color w:val="auto"/>
          <w:kern w:val="2"/>
          <w:sz w:val="32"/>
          <w:szCs w:val="32"/>
          <w:lang w:val="en-US" w:eastAsia="zh-CN" w:bidi="ar-SA"/>
        </w:rPr>
        <w:t>.住房保障支出（类）住房改革支出（款）住房公积金（项）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ascii="Times New Roman" w:eastAsia="仿宋_GB2312" w:cs="仿宋_GB2312" w:hAnsi="Times New Roman"/>
          <w:color w:val="auto"/>
          <w:kern w:val="2"/>
          <w:sz w:val="32"/>
          <w:szCs w:val="32"/>
          <w:lang w:val="en-US" w:eastAsia="zh-CN" w:bidi="ar-SA"/>
        </w:rPr>
        <w:t>123.24</w:t>
      </w:r>
      <w:r>
        <w:rPr>
          <w:rFonts w:ascii="Times New Roman" w:eastAsia="仿宋_GB2312" w:cs="仿宋_GB2312" w:hAnsi="Times New Roman" w:hint="eastAsia"/>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ascii="Times New Roman" w:cs="仿宋_GB2312" w:hAnsi="Times New Roman"/>
          <w:color w:val="auto"/>
          <w:kern w:val="2"/>
          <w:sz w:val="32"/>
          <w:szCs w:val="32"/>
          <w:lang w:eastAsia="zh-CN" w:bidi="ar-SA"/>
        </w:rPr>
        <w:t>17</w:t>
      </w:r>
      <w:r>
        <w:rPr>
          <w:rFonts w:ascii="Times New Roman" w:eastAsia="仿宋_GB2312" w:cs="仿宋_GB2312" w:hAnsi="Times New Roman" w:hint="eastAsia"/>
          <w:color w:val="auto"/>
          <w:kern w:val="2"/>
          <w:sz w:val="32"/>
          <w:szCs w:val="32"/>
          <w:lang w:val="en-US" w:eastAsia="zh-CN" w:bidi="ar-SA"/>
        </w:rPr>
        <w:t>.住房保障支出（类）住房改革支出（款）</w:t>
      </w:r>
      <w:r>
        <w:rPr>
          <w:rFonts w:eastAsia="仿宋_GB2312" w:cs="仿宋_GB2312"/>
          <w:color w:val="auto"/>
          <w:kern w:val="2"/>
          <w:sz w:val="32"/>
          <w:szCs w:val="32"/>
          <w:lang w:eastAsia="zh-CN" w:bidi="ar-SA"/>
        </w:rPr>
        <w:t>购房补贴</w:t>
      </w:r>
      <w:r>
        <w:rPr>
          <w:rFonts w:ascii="Times New Roman" w:eastAsia="仿宋_GB2312" w:cs="仿宋_GB2312" w:hAnsi="Times New Roman" w:hint="eastAsia"/>
          <w:color w:val="auto"/>
          <w:kern w:val="2"/>
          <w:sz w:val="32"/>
          <w:szCs w:val="32"/>
          <w:lang w:val="en-US" w:eastAsia="zh-CN" w:bidi="ar-SA"/>
        </w:rPr>
        <w:t>（项）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ascii="Times New Roman" w:eastAsia="仿宋_GB2312" w:cs="仿宋_GB2312" w:hAnsi="Times New Roman"/>
          <w:color w:val="auto"/>
          <w:kern w:val="2"/>
          <w:sz w:val="32"/>
          <w:szCs w:val="32"/>
          <w:lang w:val="en-US" w:eastAsia="zh-CN" w:bidi="ar-SA"/>
        </w:rPr>
        <w:t>2.4</w:t>
      </w:r>
      <w:r>
        <w:rPr>
          <w:rFonts w:ascii="Times New Roman" w:eastAsia="仿宋_GB2312" w:cs="仿宋_GB2312" w:hAnsi="Times New Roman" w:hint="eastAsia"/>
          <w:color w:val="auto"/>
          <w:kern w:val="2"/>
          <w:sz w:val="32"/>
          <w:szCs w:val="32"/>
          <w:lang w:val="en-US" w:eastAsia="zh-CN" w:bidi="ar-SA"/>
        </w:rPr>
        <w:t>万元，完成预算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%，决算数等于预算数</w:t>
      </w:r>
      <w:r>
        <w:rPr>
          <w:rFonts w:eastAsia="仿宋_GB2312" w:cs="仿宋_GB2312"/>
          <w:color w:val="auto"/>
          <w:kern w:val="2"/>
          <w:sz w:val="32"/>
          <w:szCs w:val="32"/>
          <w:lang w:eastAsia="zh-CN" w:bidi="ar-SA"/>
        </w:rPr>
        <w:t>。</w:t>
      </w:r>
    </w:p>
    <w:p>
      <w:pPr>
        <w:tabs>
          <w:tab w:val="right" w:pos="8306"/>
        </w:tabs>
        <w:spacing w:line="600" w:lineRule="exact"/>
        <w:ind w:firstLine="640"/>
        <w:outlineLvl w:val="1"/>
        <w:rPr>
          <w:rStyle w:val="2Char"/>
          <w:rFonts w:ascii="Times New Roman" w:hAnsi="Times New Roman"/>
          <w:color w:val="auto"/>
        </w:rPr>
      </w:pPr>
      <w:bookmarkStart w:id="48" w:name="_Toc15396608"/>
      <w:bookmarkStart w:id="49" w:name="_Toc15377214"/>
      <w:bookmarkStart w:id="50" w:name="_Toc99534208"/>
      <w:bookmarkStart w:id="51" w:name="_Toc99534236"/>
      <w:r>
        <w:rPr>
          <w:rFonts w:ascii="Times New Roman" w:eastAsia="黑体" w:hAnsi="Times New Roman" w:hint="eastAsia"/>
          <w:color w:val="auto"/>
          <w:sz w:val="32"/>
          <w:szCs w:val="32"/>
        </w:rPr>
        <w:t>六</w:t>
      </w:r>
      <w:r>
        <w:rPr>
          <w:rFonts w:ascii="Times New Roman" w:eastAsia="黑体" w:hAnsi="Times New Roman" w:hint="eastAsia"/>
          <w:b/>
          <w:color w:val="auto"/>
          <w:sz w:val="32"/>
          <w:szCs w:val="32"/>
        </w:rPr>
        <w:t>、一</w:t>
      </w:r>
      <w:r>
        <w:rPr>
          <w:rStyle w:val="2Char"/>
          <w:rFonts w:ascii="Times New Roman" w:eastAsia="黑体" w:hAnsi="Times New Roman" w:hint="eastAsia"/>
          <w:b w:val="0"/>
          <w:color w:val="auto"/>
        </w:rPr>
        <w:t>般公共预算财政拨款基本支出决算情况说明</w:t>
      </w:r>
      <w:bookmarkEnd w:id="48"/>
      <w:bookmarkEnd w:id="49"/>
      <w:r>
        <w:rPr>
          <w:rStyle w:val="2Char"/>
          <w:rFonts w:ascii="Times New Roman" w:eastAsia="黑体" w:hAnsi="Times New Roman"/>
          <w:b w:val="0"/>
          <w:color w:val="auto"/>
        </w:rPr>
        <w:tab/>
      </w:r>
      <w:bookmarkEnd w:id="50"/>
      <w:bookmarkEnd w:id="51"/>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一般公共预算财政拨款基本支出</w:t>
      </w:r>
      <w:r>
        <w:rPr>
          <w:rFonts w:ascii="仿宋_GB2312" w:eastAsia="仿宋_GB2312" w:cs="仿宋_GB2312" w:hint="eastAsia"/>
          <w:sz w:val="32"/>
          <w:szCs w:val="32"/>
        </w:rPr>
        <w:t>1944.58</w:t>
      </w:r>
      <w:r>
        <w:rPr>
          <w:rFonts w:ascii="Times New Roman" w:eastAsia="仿宋_GB2312" w:cs="仿宋_GB2312" w:hAnsi="Times New Roman" w:hint="eastAsia"/>
          <w:color w:val="auto"/>
          <w:kern w:val="2"/>
          <w:sz w:val="32"/>
          <w:szCs w:val="32"/>
          <w:lang w:val="en-US" w:eastAsia="zh-CN" w:bidi="ar-SA"/>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人员经费</w:t>
      </w:r>
      <w:r>
        <w:rPr>
          <w:rFonts w:ascii="仿宋_GB2312" w:eastAsia="仿宋_GB2312" w:cs="仿宋_GB2312" w:hint="eastAsia"/>
          <w:sz w:val="32"/>
          <w:szCs w:val="32"/>
        </w:rPr>
        <w:t>1728.08</w:t>
      </w:r>
      <w:r>
        <w:rPr>
          <w:rFonts w:ascii="Times New Roman" w:eastAsia="仿宋_GB2312" w:cs="仿宋_GB2312" w:hAnsi="Times New Roman" w:hint="eastAsia"/>
          <w:color w:val="auto"/>
          <w:kern w:val="2"/>
          <w:sz w:val="32"/>
          <w:szCs w:val="32"/>
          <w:lang w:val="en-US" w:eastAsia="zh-CN" w:bidi="ar-SA"/>
        </w:rPr>
        <w:t>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br/>
        <w:t>　　公用经费</w:t>
      </w:r>
      <w:r>
        <w:rPr>
          <w:rFonts w:ascii="仿宋_GB2312" w:eastAsia="仿宋_GB2312" w:cs="仿宋_GB2312" w:hint="eastAsia"/>
          <w:sz w:val="32"/>
          <w:szCs w:val="32"/>
        </w:rPr>
        <w:t>216.49</w:t>
      </w:r>
      <w:r>
        <w:rPr>
          <w:rFonts w:ascii="Times New Roman" w:eastAsia="仿宋_GB2312" w:cs="仿宋_GB2312" w:hAnsi="Times New Roman" w:hint="eastAsia"/>
          <w:color w:val="auto"/>
          <w:kern w:val="2"/>
          <w:sz w:val="32"/>
          <w:szCs w:val="32"/>
          <w:lang w:val="en-US" w:eastAsia="zh-CN" w:bidi="ar-SA"/>
        </w:rPr>
        <w:t>万元，主要包括：办公费、印刷费、咨询费、手续费、水费、电费、邮电费、取暖费、物业管理费、差旅费、维修（护）费、租赁费、会议费、培训费、</w:t>
      </w:r>
      <w:r>
        <w:rPr>
          <w:rFonts w:ascii="Times New Roman" w:eastAsia="仿宋_GB2312" w:cs="仿宋_GB2312" w:hAnsi="Times New Roman"/>
          <w:color w:val="auto"/>
          <w:kern w:val="2"/>
          <w:sz w:val="32"/>
          <w:szCs w:val="32"/>
          <w:lang w:val="en-US" w:eastAsia="zh-CN" w:bidi="ar-SA"/>
        </w:rPr>
        <w:t>专用材料费</w:t>
      </w:r>
      <w:r>
        <w:rPr>
          <w:rFonts w:ascii="Times New Roman" w:eastAsia="仿宋_GB2312" w:cs="仿宋_GB2312" w:hAnsi="Times New Roman" w:hint="eastAsia"/>
          <w:color w:val="auto"/>
          <w:kern w:val="2"/>
          <w:sz w:val="32"/>
          <w:szCs w:val="32"/>
          <w:lang w:val="en-US" w:eastAsia="zh-CN" w:bidi="ar-SA"/>
        </w:rPr>
        <w:t>、劳务费、委托业务费、福利费、公务用车运行维护费、其他交通费、其他商品和服务支出等。</w:t>
      </w:r>
    </w:p>
    <w:p>
      <w:pPr>
        <w:spacing w:line="600" w:lineRule="exact"/>
        <w:ind w:firstLine="640"/>
        <w:outlineLvl w:val="1"/>
        <w:rPr>
          <w:rStyle w:val="2Char"/>
          <w:rFonts w:ascii="Times New Roman" w:eastAsia="黑体" w:hAnsi="Times New Roman"/>
          <w:b w:val="0"/>
          <w:color w:val="auto"/>
        </w:rPr>
      </w:pPr>
      <w:bookmarkStart w:id="52" w:name="_Toc15377215"/>
      <w:bookmarkStart w:id="53" w:name="_Toc15396609"/>
      <w:bookmarkStart w:id="54" w:name="_Toc99534209"/>
      <w:bookmarkStart w:id="55" w:name="_Toc99534237"/>
      <w:r>
        <w:rPr>
          <w:rFonts w:ascii="Times New Roman" w:eastAsia="黑体" w:hAnsi="Times New Roman" w:hint="eastAsia"/>
          <w:color w:val="auto"/>
          <w:sz w:val="32"/>
          <w:szCs w:val="32"/>
        </w:rPr>
        <w:t>七、</w:t>
      </w:r>
      <w:r>
        <w:rPr>
          <w:rStyle w:val="2Char"/>
          <w:rFonts w:ascii="Times New Roman" w:eastAsia="黑体" w:hAnsi="Times New Roman" w:hint="eastAsia"/>
          <w:b w:val="0"/>
          <w:color w:val="auto"/>
        </w:rPr>
        <w:t>财政拨款</w:t>
      </w:r>
      <w:r>
        <w:rPr>
          <w:rStyle w:val="2Char"/>
          <w:rFonts w:ascii="Times New Roman" w:eastAsia="黑体" w:hAnsi="Times New Roman" w:hint="eastAsia"/>
          <w:color w:val="auto"/>
        </w:rPr>
        <w:t>“</w:t>
      </w:r>
      <w:r>
        <w:rPr>
          <w:rStyle w:val="2Char"/>
          <w:rFonts w:ascii="Times New Roman" w:eastAsia="黑体" w:hAnsi="Times New Roman" w:hint="eastAsia"/>
          <w:b w:val="0"/>
          <w:color w:val="auto"/>
        </w:rPr>
        <w:t>三公”经费支出决算情况说明</w:t>
      </w:r>
      <w:bookmarkEnd w:id="52"/>
      <w:bookmarkEnd w:id="53"/>
      <w:bookmarkEnd w:id="54"/>
      <w:bookmarkEnd w:id="55"/>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56" w:name="_Toc15377216"/>
      <w:r>
        <w:rPr>
          <w:rFonts w:ascii="Times New Roman" w:eastAsia="楷体_GB2312" w:cs="楷体_GB2312" w:hAnsi="Times New Roman" w:hint="eastAsia"/>
          <w:b/>
          <w:color w:val="auto"/>
          <w:sz w:val="32"/>
          <w:szCs w:val="32"/>
        </w:rPr>
        <w:t>（一）财政拨款“三公”经费支出决算总体情况说明</w:t>
      </w:r>
      <w:bookmarkEnd w:id="56"/>
    </w:p>
    <w:p>
      <w:pPr>
        <w:spacing w:line="560" w:lineRule="exact"/>
        <w:ind w:firstLineChars="200" w:firstLine="640"/>
        <w:rPr>
          <w:rFonts w:ascii="Times New Roman" w:eastAsia="仿宋_GB2312" w:cs="仿宋_GB2312" w:hAnsi="Times New Roman" w:hint="eastAsia"/>
          <w:color w:val="auto"/>
          <w:kern w:val="2"/>
          <w:sz w:val="32"/>
          <w:szCs w:val="32"/>
          <w:lang w:val="en-US" w:eastAsia="zh-CN" w:bidi="ar-SA"/>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财政拨款“三公”经费支出决算为</w:t>
      </w:r>
      <w:r>
        <w:rPr>
          <w:rFonts w:ascii="仿宋_GB2312" w:eastAsia="仿宋_GB2312" w:cs="仿宋_GB2312" w:hint="eastAsia"/>
          <w:sz w:val="32"/>
          <w:szCs w:val="32"/>
        </w:rPr>
        <w:t>58.48</w:t>
      </w:r>
      <w:r>
        <w:rPr>
          <w:rFonts w:ascii="Times New Roman" w:eastAsia="仿宋_GB2312" w:cs="仿宋_GB2312" w:hAnsi="Times New Roman" w:hint="eastAsia"/>
          <w:color w:val="auto"/>
          <w:kern w:val="2"/>
          <w:sz w:val="32"/>
          <w:szCs w:val="32"/>
          <w:lang w:val="en-US" w:eastAsia="zh-CN" w:bidi="ar-SA"/>
        </w:rPr>
        <w:t>万元，完成预算</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rPr>
        <w:t>%，较上年度减少</w:t>
      </w:r>
      <w:r>
        <w:rPr>
          <w:rFonts w:ascii="Times New Roman" w:eastAsia="仿宋_GB2312" w:cs="仿宋_GB2312" w:hAnsi="Times New Roman"/>
          <w:color w:val="auto"/>
          <w:kern w:val="2"/>
          <w:sz w:val="32"/>
          <w:szCs w:val="32"/>
          <w:lang w:val="en-US" w:eastAsia="zh-CN" w:bidi="ar-SA"/>
        </w:rPr>
        <w:t>7.42</w:t>
      </w:r>
      <w:r>
        <w:rPr>
          <w:rFonts w:ascii="Times New Roman" w:eastAsia="仿宋_GB2312" w:cs="仿宋_GB2312" w:hAnsi="Times New Roman" w:hint="eastAsia"/>
          <w:color w:val="auto"/>
          <w:kern w:val="2"/>
          <w:sz w:val="32"/>
          <w:szCs w:val="32"/>
          <w:lang w:val="en-US" w:eastAsia="zh-CN" w:bidi="ar-SA"/>
        </w:rPr>
        <w:t>万元，下降</w:t>
      </w:r>
      <w:r>
        <w:rPr>
          <w:rFonts w:ascii="Times New Roman" w:eastAsia="仿宋_GB2312" w:cs="仿宋_GB2312" w:hAnsi="Times New Roman"/>
          <w:color w:val="auto"/>
          <w:kern w:val="2"/>
          <w:sz w:val="32"/>
          <w:szCs w:val="32"/>
          <w:lang w:val="en-US" w:eastAsia="zh-CN" w:bidi="ar-SA"/>
        </w:rPr>
        <w:t>11.26</w:t>
      </w:r>
      <w:bookmarkStart w:id="57" w:name="_GoBack"/>
      <w:bookmarkEnd w:id="57"/>
      <w:r>
        <w:rPr>
          <w:rFonts w:ascii="Times New Roman" w:eastAsia="仿宋_GB2312" w:cs="仿宋_GB2312" w:hAnsi="Times New Roman" w:hint="eastAsia"/>
          <w:color w:val="auto"/>
          <w:kern w:val="2"/>
          <w:sz w:val="32"/>
          <w:szCs w:val="32"/>
          <w:lang w:val="en-US" w:eastAsia="zh-CN" w:bidi="ar-SA"/>
        </w:rPr>
        <w:t>%。主要原因是</w:t>
      </w:r>
      <w:r>
        <w:rPr>
          <w:rFonts w:ascii="Times New Roman" w:eastAsia="仿宋_GB2312" w:cs="仿宋_GB2312" w:hAnsi="Times New Roman" w:hint="eastAsia"/>
          <w:color w:val="auto"/>
          <w:sz w:val="32"/>
          <w:szCs w:val="32"/>
          <w:lang w:eastAsia="zh-CN"/>
        </w:rPr>
        <w:t>厉行节约，压减开支，减少</w:t>
      </w:r>
      <w:r>
        <w:rPr>
          <w:rFonts w:ascii="Times New Roman" w:eastAsia="仿宋_GB2312" w:cs="仿宋_GB2312" w:hAnsi="Times New Roman"/>
          <w:color w:val="auto"/>
          <w:sz w:val="32"/>
          <w:szCs w:val="32"/>
          <w:lang w:eastAsia="zh-CN"/>
        </w:rPr>
        <w:t>支出</w:t>
      </w:r>
      <w:r>
        <w:rPr>
          <w:rFonts w:eastAsia="仿宋_GB2312" w:cs="仿宋_GB2312"/>
          <w:color w:val="auto"/>
          <w:sz w:val="32"/>
          <w:szCs w:val="32"/>
          <w:lang w:eastAsia="zh-CN"/>
        </w:rPr>
        <w:t>。</w:t>
      </w:r>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58" w:name="_Toc15377217"/>
      <w:r>
        <w:rPr>
          <w:rFonts w:ascii="Times New Roman" w:eastAsia="楷体_GB2312" w:cs="楷体_GB2312" w:hAnsi="Times New Roman"/>
          <w:b/>
          <w:color w:val="auto"/>
          <w:sz w:val="32"/>
          <w:szCs w:val="32"/>
        </w:rPr>
        <w:drawing>
          <wp:anchor distT="0" distB="0" distL="85088" distR="85088" simplePos="0" relativeHeight="32" behindDoc="0" locked="0" layoutInCell="1" hidden="0" allowOverlap="1">
            <wp:simplePos x="0" y="0"/>
            <wp:positionH relativeFrom="column">
              <wp:posOffset>0</wp:posOffset>
            </wp:positionH>
            <wp:positionV relativeFrom="paragraph">
              <wp:posOffset>1904971</wp:posOffset>
            </wp:positionV>
            <wp:extent cx="4572000" cy="2322829"/>
            <wp:effectExtent l="0" t="0" r="0" b="0"/>
            <wp:wrapTopAndBottom/>
            <wp:docPr id="25" name="图片"/>
            <wp:cNvGraphicFramePr>
              <a:graphicFrameLocks noChangeAspect="1"/>
            </wp:cNvGraphicFramePr>
            <a:graphic>
              <a:graphicData uri="http://schemas.openxmlformats.org/drawingml/2006/picture">
                <pic:pic>
                  <pic:nvPicPr>
                    <pic:cNvPr id="27" name="图片 27"/>
                    <pic:cNvPicPr/>
                  </pic:nvPicPr>
                  <pic:blipFill>
                    <a:blip r:embed="rId12"/>
                    <a:srcRect t="15321"/>
                    <a:stretch>
                      <a:fillRect/>
                    </a:stretch>
                  </pic:blipFill>
                  <pic:spPr>
                    <a:xfrm rot="0">
                      <a:off x="0" y="0"/>
                      <a:ext cx="4572000" cy="2322829"/>
                    </a:xfrm>
                    <a:prstGeom prst="rect"/>
                    <a:noFill/>
                    <a:ln w="9525" cmpd="sng" cap="flat">
                      <a:noFill/>
                      <a:prstDash val="solid"/>
                      <a:miter/>
                    </a:ln>
                  </pic:spPr>
                </pic:pic>
              </a:graphicData>
            </a:graphic>
          </wp:anchor>
        </w:drawing>
      </w:r>
      <w:r>
        <w:rPr>
          <w:rFonts w:ascii="Times New Roman" w:eastAsia="楷体_GB2312" w:cs="楷体_GB2312" w:hAnsi="Times New Roman" w:hint="eastAsia"/>
          <w:b/>
          <w:color w:val="auto"/>
          <w:sz w:val="32"/>
          <w:szCs w:val="32"/>
        </w:rPr>
        <w:t>（二）财政拨款“三公”经费支出决算具体情况说明</w:t>
      </w:r>
      <w:bookmarkEnd w:id="58"/>
    </w:p>
    <w:p>
      <w:pPr>
        <w:spacing w:line="600" w:lineRule="exact"/>
        <w:ind w:firstLine="640"/>
        <w:rPr>
          <w:rFonts w:ascii="Times New Roman" w:eastAsia="仿宋_GB2312" w:cs="仿宋_GB2312" w:hAnsi="Times New Roman"/>
          <w:color w:val="auto"/>
          <w:kern w:val="2"/>
          <w:sz w:val="32"/>
          <w:szCs w:val="32"/>
          <w:lang w:val="en-US" w:eastAsia="zh-CN" w:bidi="ar-SA"/>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0</w:t>
      </w:r>
      <w:r>
        <w:rPr>
          <w:rFonts w:ascii="Times New Roman" w:eastAsia="仿宋_GB2312" w:cs="仿宋_GB2312" w:hAnsi="Times New Roman" w:hint="eastAsia"/>
          <w:color w:val="auto"/>
          <w:kern w:val="2"/>
          <w:sz w:val="32"/>
          <w:szCs w:val="32"/>
          <w:lang w:val="en-US" w:eastAsia="zh-CN" w:bidi="ar-SA"/>
        </w:rPr>
        <w:t>%；公务用车购置及运行维护费支出决算</w:t>
      </w:r>
      <w:r>
        <w:rPr>
          <w:rFonts w:ascii="仿宋_GB2312" w:eastAsia="仿宋_GB2312" w:cs="仿宋_GB2312" w:hint="eastAsia"/>
          <w:sz w:val="32"/>
          <w:szCs w:val="32"/>
        </w:rPr>
        <w:t>58.48</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100</w:t>
      </w:r>
      <w:r>
        <w:rPr>
          <w:rFonts w:ascii="Times New Roman" w:eastAsia="仿宋_GB2312" w:cs="仿宋_GB2312" w:hAnsi="Times New Roman" w:hint="eastAsia"/>
          <w:color w:val="auto"/>
          <w:kern w:val="2"/>
          <w:sz w:val="32"/>
          <w:szCs w:val="32"/>
          <w:lang w:val="en-US" w:eastAsia="zh-CN" w:bidi="ar-SA"/>
        </w:rPr>
        <w:t>%；公务接待费支出决算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万元，占</w:t>
      </w:r>
      <w:r>
        <w:rPr>
          <w:rFonts w:ascii="Times New Roman" w:eastAsia="仿宋_GB2312" w:cs="仿宋_GB2312" w:hAnsi="Times New Roman"/>
          <w:color w:val="auto"/>
          <w:kern w:val="2"/>
          <w:sz w:val="32"/>
          <w:szCs w:val="32"/>
          <w:lang w:val="en-US" w:eastAsia="zh-CN" w:bidi="ar-SA"/>
        </w:rPr>
        <w:t>0</w:t>
      </w:r>
      <w:r>
        <w:rPr>
          <w:rFonts w:ascii="Times New Roman" w:eastAsia="仿宋_GB2312" w:cs="仿宋_GB2312" w:hAnsi="Times New Roman" w:hint="eastAsia"/>
          <w:color w:val="auto"/>
          <w:kern w:val="2"/>
          <w:sz w:val="32"/>
          <w:szCs w:val="32"/>
          <w:lang w:val="en-US" w:eastAsia="zh-CN" w:bidi="ar-SA"/>
        </w:rPr>
        <w:t>%。具体情况如下：</w:t>
      </w:r>
    </w:p>
    <w:p>
      <w:pPr>
        <w:pStyle w:val="15"/>
        <w:rPr>
          <w:rFonts w:hint="eastAsia"/>
        </w:rPr>
      </w:pPr>
    </w:p>
    <w:p>
      <w:pPr>
        <w:spacing w:line="56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rPr>
        <w:t>1.因公出国（境）经费支出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rPr>
        <w:t>万元。</w:t>
      </w:r>
      <w:r>
        <w:rPr>
          <w:rFonts w:ascii="Times New Roman" w:eastAsia="仿宋_GB2312" w:cs="仿宋_GB2312" w:hAnsi="Times New Roman" w:hint="eastAsia"/>
          <w:color w:val="auto"/>
          <w:kern w:val="2"/>
          <w:sz w:val="32"/>
          <w:szCs w:val="32"/>
          <w:lang w:val="en-US" w:eastAsia="zh-CN" w:bidi="ar-SA"/>
        </w:rPr>
        <w:t>全年安</w:t>
      </w:r>
      <w:r>
        <w:rPr>
          <w:rFonts w:ascii="Times New Roman" w:eastAsia="仿宋_GB2312" w:cs="仿宋_GB2312" w:hAnsi="Times New Roman" w:hint="eastAsia"/>
          <w:color w:val="auto"/>
          <w:kern w:val="2"/>
          <w:sz w:val="32"/>
          <w:szCs w:val="32"/>
          <w:lang w:val="en-US" w:eastAsia="zh-CN" w:bidi="ar-SA"/>
          <w:highlight w:val="auto"/>
        </w:rPr>
        <w:t>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人。因公出国（境）支出决算</w:t>
      </w:r>
      <w:r>
        <w:rPr>
          <w:rFonts w:ascii="Times New Roman" w:eastAsia="仿宋_GB2312" w:cs="仿宋_GB2312" w:hAnsi="Times New Roman"/>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color w:val="auto"/>
          <w:kern w:val="2"/>
          <w:sz w:val="32"/>
          <w:szCs w:val="32"/>
          <w:lang w:val="en-US" w:eastAsia="zh-CN" w:bidi="ar-SA"/>
          <w:highlight w:val="auto"/>
        </w:rPr>
        <w:t>持平</w:t>
      </w:r>
    </w:p>
    <w:p>
      <w:pPr>
        <w:spacing w:line="600" w:lineRule="exact"/>
        <w:ind w:firstLine="640"/>
        <w:rPr>
          <w:rFonts w:eastAsia="仿宋_GB2312" w:cs="仿宋_GB2312"/>
          <w:color w:val="auto"/>
          <w:sz w:val="32"/>
          <w:szCs w:val="32"/>
          <w:lang w:eastAsia="zh-CN"/>
        </w:rPr>
      </w:pPr>
      <w:r>
        <w:rPr>
          <w:rFonts w:ascii="Times New Roman" w:eastAsia="仿宋_GB2312" w:cs="仿宋_GB2312" w:hAnsi="Times New Roman" w:hint="eastAsia"/>
          <w:b/>
          <w:bCs/>
          <w:color w:val="auto"/>
          <w:kern w:val="2"/>
          <w:sz w:val="32"/>
          <w:szCs w:val="32"/>
          <w:lang w:val="en-US" w:eastAsia="zh-CN" w:bidi="ar-SA"/>
        </w:rPr>
        <w:t>2.公务用车购置及运行维护费支出</w:t>
      </w:r>
      <w:r>
        <w:rPr>
          <w:rFonts w:ascii="仿宋_GB2312" w:eastAsia="仿宋_GB2312" w:cs="仿宋_GB2312" w:hint="eastAsia"/>
          <w:b/>
          <w:bCs/>
          <w:color w:val="auto"/>
          <w:kern w:val="2"/>
          <w:sz w:val="32"/>
          <w:szCs w:val="32"/>
          <w:lang w:val="en-US" w:eastAsia="zh-CN" w:bidi="ar-SA"/>
        </w:rPr>
        <w:t>58.48</w:t>
      </w:r>
      <w:r>
        <w:rPr>
          <w:rFonts w:ascii="Times New Roman" w:eastAsia="仿宋_GB2312" w:cs="仿宋_GB2312" w:hAnsi="Times New Roman" w:hint="eastAsia"/>
          <w:b/>
          <w:bCs/>
          <w:color w:val="auto"/>
          <w:kern w:val="2"/>
          <w:sz w:val="32"/>
          <w:szCs w:val="32"/>
          <w:lang w:val="en-US" w:eastAsia="zh-CN" w:bidi="ar-SA"/>
        </w:rPr>
        <w:t>万元</w:t>
      </w:r>
      <w:r>
        <w:rPr>
          <w:rFonts w:eastAsia="仿宋_GB2312" w:cs="仿宋_GB2312" w:hint="eastAsia"/>
          <w:b/>
          <w:bCs/>
          <w:color w:val="auto"/>
          <w:kern w:val="2"/>
          <w:sz w:val="32"/>
          <w:szCs w:val="32"/>
          <w:lang w:val="en-US" w:eastAsia="zh-CN" w:bidi="ar-SA"/>
        </w:rPr>
        <w:t>，</w:t>
      </w:r>
      <w:r>
        <w:rPr>
          <w:rFonts w:ascii="Times New Roman" w:eastAsia="仿宋_GB2312" w:cs="仿宋_GB2312" w:hAnsi="Times New Roman" w:hint="eastAsia"/>
          <w:b/>
          <w:bCs/>
          <w:color w:val="auto"/>
          <w:kern w:val="2"/>
          <w:sz w:val="32"/>
          <w:szCs w:val="32"/>
          <w:lang w:val="en-US" w:eastAsia="zh-CN" w:bidi="ar-SA"/>
        </w:rPr>
        <w:t>完成预算</w:t>
      </w:r>
      <w:r>
        <w:rPr>
          <w:rFonts w:ascii="Times New Roman" w:eastAsia="仿宋_GB2312" w:cs="仿宋_GB2312" w:hAnsi="Times New Roman"/>
          <w:b/>
          <w:bCs/>
          <w:color w:val="auto"/>
          <w:kern w:val="2"/>
          <w:sz w:val="32"/>
          <w:szCs w:val="32"/>
          <w:lang w:val="en-US" w:eastAsia="zh-CN" w:bidi="ar-SA"/>
        </w:rPr>
        <w:t>100</w:t>
      </w:r>
      <w:r>
        <w:rPr>
          <w:rFonts w:ascii="Times New Roman" w:eastAsia="仿宋_GB2312" w:cs="仿宋_GB2312" w:hAnsi="Times New Roman" w:hint="eastAsia"/>
          <w:b/>
          <w:bCs/>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公务用车购置及运行维护费支出决算比</w:t>
      </w:r>
      <w:r>
        <w:rPr>
          <w:rFonts w:eastAsia="仿宋_GB2312" w:cs="仿宋_GB2312" w:hint="eastAsia"/>
          <w:color w:val="auto"/>
          <w:kern w:val="2"/>
          <w:sz w:val="32"/>
          <w:szCs w:val="32"/>
          <w:lang w:val="en-US" w:eastAsia="zh-CN" w:bidi="ar-SA"/>
        </w:rPr>
        <w:t>上年度</w:t>
      </w:r>
      <w:r>
        <w:rPr>
          <w:rFonts w:ascii="Times New Roman" w:eastAsia="仿宋_GB2312" w:cs="仿宋_GB2312" w:hAnsi="Times New Roman" w:hint="eastAsia"/>
          <w:color w:val="auto"/>
          <w:kern w:val="2"/>
          <w:sz w:val="32"/>
          <w:szCs w:val="32"/>
          <w:lang w:val="en-US" w:eastAsia="zh-CN" w:bidi="ar-SA"/>
        </w:rPr>
        <w:t>减少</w:t>
      </w:r>
      <w:r>
        <w:rPr>
          <w:rFonts w:ascii="Times New Roman" w:eastAsia="仿宋_GB2312" w:cs="仿宋_GB2312" w:hAnsi="Times New Roman"/>
          <w:color w:val="auto"/>
          <w:kern w:val="2"/>
          <w:sz w:val="32"/>
          <w:szCs w:val="32"/>
          <w:lang w:val="en-US" w:eastAsia="zh-CN" w:bidi="ar-SA"/>
        </w:rPr>
        <w:t>7.14</w:t>
      </w:r>
      <w:r>
        <w:rPr>
          <w:rFonts w:ascii="Times New Roman" w:eastAsia="仿宋_GB2312" w:cs="仿宋_GB2312" w:hAnsi="Times New Roman" w:hint="eastAsia"/>
          <w:color w:val="auto"/>
          <w:kern w:val="2"/>
          <w:sz w:val="32"/>
          <w:szCs w:val="32"/>
          <w:lang w:val="en-US" w:eastAsia="zh-CN" w:bidi="ar-SA"/>
        </w:rPr>
        <w:t>万元，下降</w:t>
      </w:r>
      <w:r>
        <w:rPr>
          <w:rFonts w:ascii="Times New Roman" w:eastAsia="仿宋_GB2312" w:cs="仿宋_GB2312" w:hAnsi="Times New Roman"/>
          <w:color w:val="auto"/>
          <w:kern w:val="2"/>
          <w:sz w:val="32"/>
          <w:szCs w:val="32"/>
          <w:lang w:val="en-US" w:eastAsia="zh-CN" w:bidi="ar-SA"/>
        </w:rPr>
        <w:t>10.88</w:t>
      </w:r>
      <w:r>
        <w:rPr>
          <w:rFonts w:ascii="Times New Roman" w:eastAsia="仿宋_GB2312" w:cs="仿宋_GB2312" w:hAnsi="Times New Roman" w:hint="eastAsia"/>
          <w:color w:val="auto"/>
          <w:kern w:val="2"/>
          <w:sz w:val="32"/>
          <w:szCs w:val="32"/>
          <w:lang w:val="en-US" w:eastAsia="zh-CN" w:bidi="ar-SA"/>
        </w:rPr>
        <w:t>%。主要原因是</w:t>
      </w:r>
      <w:r>
        <w:rPr>
          <w:rFonts w:ascii="Times New Roman" w:eastAsia="仿宋_GB2312" w:cs="仿宋_GB2312" w:hAnsi="Times New Roman" w:hint="eastAsia"/>
          <w:color w:val="auto"/>
          <w:sz w:val="32"/>
          <w:szCs w:val="32"/>
          <w:lang w:eastAsia="zh-CN"/>
        </w:rPr>
        <w:t>厉行节约，压减开支，减少</w:t>
      </w:r>
      <w:r>
        <w:rPr>
          <w:rFonts w:ascii="Times New Roman" w:eastAsia="仿宋_GB2312" w:cs="仿宋_GB2312" w:hAnsi="Times New Roman"/>
          <w:color w:val="auto"/>
          <w:sz w:val="32"/>
          <w:szCs w:val="32"/>
          <w:lang w:eastAsia="zh-CN"/>
        </w:rPr>
        <w:t>支出</w:t>
      </w:r>
      <w:r>
        <w:rPr>
          <w:rFonts w:eastAsia="仿宋_GB2312" w:cs="仿宋_GB2312"/>
          <w:color w:val="auto"/>
          <w:sz w:val="32"/>
          <w:szCs w:val="32"/>
          <w:lang w:eastAsia="zh-CN"/>
        </w:rPr>
        <w:t>。</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万元。全年按规定更新购置公务用车</w:t>
      </w:r>
      <w:r>
        <w:rPr>
          <w:rFonts w:ascii="Times New Roman" w:eastAsia="仿宋_GB2312" w:cs="仿宋_GB2312" w:hAnsi="Times New Roman"/>
          <w:color w:val="auto"/>
          <w:kern w:val="2"/>
          <w:sz w:val="32"/>
          <w:szCs w:val="32"/>
          <w:lang w:val="en-US" w:eastAsia="zh-CN" w:bidi="ar-SA"/>
        </w:rPr>
        <w:t>0</w:t>
      </w:r>
      <w:r>
        <w:rPr>
          <w:rFonts w:ascii="Times New Roman" w:eastAsia="仿宋_GB2312" w:cs="仿宋_GB2312" w:hAnsi="Times New Roman" w:hint="eastAsia"/>
          <w:color w:val="auto"/>
          <w:kern w:val="2"/>
          <w:sz w:val="32"/>
          <w:szCs w:val="32"/>
          <w:lang w:val="en-US" w:eastAsia="zh-CN" w:bidi="ar-SA"/>
        </w:rPr>
        <w:t>辆。</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单位共有公务用车</w:t>
      </w:r>
      <w:r>
        <w:rPr>
          <w:rFonts w:eastAsia="仿宋_GB2312" w:cs="仿宋_GB2312"/>
          <w:color w:val="auto"/>
          <w:kern w:val="2"/>
          <w:sz w:val="32"/>
          <w:szCs w:val="32"/>
          <w:lang w:eastAsia="zh-CN" w:bidi="ar-SA"/>
        </w:rPr>
        <w:t>9</w:t>
      </w:r>
      <w:r>
        <w:rPr>
          <w:rFonts w:ascii="Times New Roman" w:eastAsia="仿宋_GB2312" w:cs="仿宋_GB2312" w:hAnsi="Times New Roman" w:hint="eastAsia"/>
          <w:color w:val="auto"/>
          <w:kern w:val="2"/>
          <w:sz w:val="32"/>
          <w:szCs w:val="32"/>
          <w:lang w:val="en-US" w:eastAsia="zh-CN" w:bidi="ar-SA"/>
        </w:rPr>
        <w:t>辆，其中：越野车</w:t>
      </w:r>
      <w:r>
        <w:rPr>
          <w:rFonts w:eastAsia="仿宋_GB2312" w:cs="仿宋_GB2312"/>
          <w:color w:val="auto"/>
          <w:kern w:val="2"/>
          <w:sz w:val="32"/>
          <w:szCs w:val="32"/>
          <w:lang w:eastAsia="zh-CN" w:bidi="ar-SA"/>
        </w:rPr>
        <w:t>8</w:t>
      </w:r>
      <w:r>
        <w:rPr>
          <w:rFonts w:ascii="Times New Roman" w:eastAsia="仿宋_GB2312" w:cs="仿宋_GB2312" w:hAnsi="Times New Roman" w:hint="eastAsia"/>
          <w:color w:val="auto"/>
          <w:kern w:val="2"/>
          <w:sz w:val="32"/>
          <w:szCs w:val="32"/>
          <w:lang w:val="en-US" w:eastAsia="zh-CN" w:bidi="ar-SA"/>
        </w:rPr>
        <w:t>辆、</w:t>
      </w:r>
      <w:r>
        <w:rPr>
          <w:rFonts w:eastAsia="仿宋_GB2312" w:cs="仿宋_GB2312"/>
          <w:color w:val="auto"/>
          <w:kern w:val="2"/>
          <w:sz w:val="32"/>
          <w:szCs w:val="32"/>
          <w:lang w:eastAsia="zh-CN" w:bidi="ar-SA"/>
        </w:rPr>
        <w:t>特种用车1辆</w:t>
      </w:r>
      <w:r>
        <w:rPr>
          <w:rFonts w:ascii="Times New Roman" w:eastAsia="仿宋_GB2312" w:cs="仿宋_GB2312" w:hAnsi="Times New Roman" w:hint="eastAsia"/>
          <w:color w:val="auto"/>
          <w:kern w:val="2"/>
          <w:sz w:val="32"/>
          <w:szCs w:val="32"/>
          <w:lang w:val="en-US" w:eastAsia="zh-CN" w:bidi="ar-SA"/>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公务用车运行维护费支出</w:t>
      </w:r>
      <w:r>
        <w:rPr>
          <w:rFonts w:ascii="仿宋_GB2312" w:eastAsia="仿宋_GB2312" w:cs="仿宋_GB2312" w:hint="eastAsia"/>
          <w:sz w:val="32"/>
          <w:szCs w:val="32"/>
        </w:rPr>
        <w:t>58.48</w:t>
      </w:r>
      <w:r>
        <w:rPr>
          <w:rFonts w:ascii="Times New Roman" w:eastAsia="仿宋_GB2312" w:cs="仿宋_GB2312" w:hAnsi="Times New Roman" w:hint="eastAsia"/>
          <w:color w:val="auto"/>
          <w:kern w:val="2"/>
          <w:sz w:val="32"/>
          <w:szCs w:val="32"/>
          <w:lang w:val="en-US" w:eastAsia="zh-CN" w:bidi="ar-SA"/>
        </w:rPr>
        <w:t>万元。主要用于</w:t>
      </w:r>
      <w:r>
        <w:rPr>
          <w:rFonts w:ascii="Times New Roman" w:eastAsia="仿宋_GB2312" w:cs="仿宋_GB2312" w:hAnsi="Times New Roman"/>
          <w:color w:val="auto"/>
          <w:kern w:val="2"/>
          <w:sz w:val="32"/>
          <w:szCs w:val="32"/>
          <w:lang w:val="en-US" w:eastAsia="zh-CN" w:bidi="ar-SA"/>
        </w:rPr>
        <w:t>开展民政领域专项整治等公务出差</w:t>
      </w:r>
      <w:r>
        <w:rPr>
          <w:rFonts w:ascii="Times New Roman" w:eastAsia="仿宋_GB2312" w:cs="仿宋_GB2312" w:hAnsi="Times New Roman" w:hint="eastAsia"/>
          <w:color w:val="auto"/>
          <w:kern w:val="2"/>
          <w:sz w:val="32"/>
          <w:szCs w:val="32"/>
          <w:lang w:val="en-US" w:eastAsia="zh-CN" w:bidi="ar-SA"/>
        </w:rPr>
        <w:t>所需的公务用车燃料费、维修费、过路过桥费、保险费等支出。</w:t>
      </w:r>
    </w:p>
    <w:p>
      <w:pPr>
        <w:spacing w:line="600" w:lineRule="exact"/>
        <w:ind w:firstLine="640"/>
        <w:rPr>
          <w:rFonts w:ascii="Times New Roman" w:eastAsia="仿宋_GB2312" w:cs="仿宋_GB2312" w:hAnsi="Times New Roman"/>
          <w:color w:val="auto"/>
          <w:kern w:val="2"/>
          <w:sz w:val="32"/>
          <w:szCs w:val="32"/>
          <w:lang w:val="en-US" w:eastAsia="zh-CN" w:bidi="ar-SA"/>
        </w:rPr>
      </w:pPr>
      <w:r>
        <w:rPr>
          <w:rFonts w:ascii="Times New Roman" w:eastAsia="仿宋_GB2312" w:cs="仿宋_GB2312" w:hAnsi="Times New Roman" w:hint="eastAsia"/>
          <w:b/>
          <w:bCs/>
          <w:color w:val="auto"/>
          <w:kern w:val="2"/>
          <w:sz w:val="32"/>
          <w:szCs w:val="32"/>
          <w:lang w:val="en-US" w:eastAsia="zh-CN" w:bidi="ar-SA"/>
        </w:rPr>
        <w:t>3.公务接待费支出</w:t>
      </w:r>
      <w:r>
        <w:rPr>
          <w:rFonts w:ascii="仿宋_GB2312" w:eastAsia="仿宋_GB2312" w:cs="仿宋_GB2312" w:hint="eastAsia"/>
          <w:b/>
          <w:bCs/>
          <w:color w:val="auto"/>
          <w:kern w:val="2"/>
          <w:sz w:val="32"/>
          <w:szCs w:val="32"/>
          <w:lang w:val="en-US" w:eastAsia="zh-CN" w:bidi="ar-SA"/>
        </w:rPr>
        <w:t>0</w:t>
      </w:r>
      <w:r>
        <w:rPr>
          <w:rFonts w:ascii="Times New Roman" w:eastAsia="仿宋_GB2312" w:cs="仿宋_GB2312" w:hAnsi="Times New Roman" w:hint="eastAsia"/>
          <w:b/>
          <w:bCs/>
          <w:color w:val="auto"/>
          <w:kern w:val="2"/>
          <w:sz w:val="32"/>
          <w:szCs w:val="32"/>
          <w:lang w:val="en-US" w:eastAsia="zh-CN" w:bidi="ar-SA"/>
        </w:rPr>
        <w:t>万元。</w:t>
      </w:r>
      <w:r>
        <w:rPr>
          <w:rFonts w:ascii="Times New Roman" w:eastAsia="仿宋_GB2312" w:cs="仿宋_GB2312" w:hAnsi="Times New Roman" w:hint="eastAsia"/>
          <w:color w:val="auto"/>
          <w:kern w:val="2"/>
          <w:sz w:val="32"/>
          <w:szCs w:val="32"/>
          <w:lang w:val="en-US" w:eastAsia="zh-CN" w:bidi="ar-SA"/>
        </w:rPr>
        <w:t>公务接待费支出决算比</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年度减少</w:t>
      </w:r>
      <w:r>
        <w:rPr>
          <w:rFonts w:ascii="Times New Roman" w:eastAsia="仿宋_GB2312" w:cs="仿宋_GB2312" w:hAnsi="Times New Roman"/>
          <w:color w:val="auto"/>
          <w:kern w:val="2"/>
          <w:sz w:val="32"/>
          <w:szCs w:val="32"/>
          <w:lang w:val="en-US" w:eastAsia="zh-CN" w:bidi="ar-SA"/>
        </w:rPr>
        <w:t>0.28</w:t>
      </w:r>
      <w:r>
        <w:rPr>
          <w:rFonts w:ascii="Times New Roman" w:eastAsia="仿宋_GB2312" w:cs="仿宋_GB2312" w:hAnsi="Times New Roman" w:hint="eastAsia"/>
          <w:color w:val="auto"/>
          <w:kern w:val="2"/>
          <w:sz w:val="32"/>
          <w:szCs w:val="32"/>
          <w:lang w:val="en-US" w:eastAsia="zh-CN" w:bidi="ar-SA"/>
        </w:rPr>
        <w:t>万元，下降</w:t>
      </w:r>
      <w:r>
        <w:rPr>
          <w:rFonts w:ascii="Times New Roman" w:eastAsia="仿宋_GB2312" w:cs="仿宋_GB2312" w:hAnsi="Times New Roman"/>
          <w:color w:val="auto"/>
          <w:kern w:val="2"/>
          <w:sz w:val="32"/>
          <w:szCs w:val="32"/>
          <w:lang w:val="en-US" w:eastAsia="zh-CN" w:bidi="ar-SA"/>
        </w:rPr>
        <w:t>100</w:t>
      </w:r>
      <w:r>
        <w:rPr>
          <w:rFonts w:ascii="Times New Roman" w:eastAsia="仿宋_GB2312" w:cs="仿宋_GB2312" w:hAnsi="Times New Roman" w:hint="eastAsia"/>
          <w:color w:val="auto"/>
          <w:kern w:val="2"/>
          <w:sz w:val="32"/>
          <w:szCs w:val="32"/>
          <w:lang w:val="en-US" w:eastAsia="zh-CN" w:bidi="ar-SA"/>
        </w:rPr>
        <w:t>%。主要原因是</w:t>
      </w:r>
      <w:r>
        <w:rPr>
          <w:rFonts w:ascii="Times New Roman" w:eastAsia="仿宋_GB2312" w:cs="仿宋_GB2312" w:hAnsi="Times New Roman"/>
          <w:color w:val="auto"/>
          <w:kern w:val="2"/>
          <w:sz w:val="32"/>
          <w:szCs w:val="32"/>
          <w:lang w:val="en-US" w:eastAsia="zh-CN" w:bidi="ar-SA"/>
        </w:rPr>
        <w:t>严格落实八项规定，无公务接待业务</w:t>
      </w:r>
      <w:r>
        <w:rPr>
          <w:rFonts w:ascii="Times New Roman" w:eastAsia="仿宋_GB2312" w:cs="仿宋_GB2312" w:hAnsi="Times New Roman" w:hint="eastAsia"/>
          <w:color w:val="auto"/>
          <w:kern w:val="2"/>
          <w:sz w:val="32"/>
          <w:szCs w:val="32"/>
          <w:lang w:val="en-US" w:eastAsia="zh-CN" w:bidi="ar-SA"/>
        </w:rPr>
        <w:t>。</w:t>
      </w:r>
      <w:bookmarkStart w:id="59" w:name="_Toc15377218"/>
      <w:bookmarkStart w:id="60" w:name="_Toc15396610"/>
    </w:p>
    <w:p>
      <w:pPr>
        <w:spacing w:line="600" w:lineRule="exact"/>
        <w:ind w:firstLine="640"/>
        <w:rPr>
          <w:rStyle w:val="2Char"/>
          <w:rFonts w:ascii="Times New Roman" w:eastAsia="黑体" w:hAnsi="Times New Roman"/>
          <w:color w:val="auto"/>
        </w:rPr>
      </w:pPr>
      <w:r>
        <w:rPr>
          <w:rFonts w:ascii="Times New Roman" w:eastAsia="黑体" w:hAnsi="Times New Roman" w:hint="eastAsia"/>
          <w:color w:val="auto"/>
          <w:sz w:val="32"/>
          <w:szCs w:val="32"/>
        </w:rPr>
        <w:t>八、</w:t>
      </w:r>
      <w:r>
        <w:rPr>
          <w:rStyle w:val="2Char"/>
          <w:rFonts w:ascii="Times New Roman" w:eastAsia="黑体" w:hAnsi="Times New Roman" w:hint="eastAsia"/>
          <w:b w:val="0"/>
          <w:color w:val="auto"/>
        </w:rPr>
        <w:t>政府性基金预算支出决算情况说明</w:t>
      </w:r>
      <w:bookmarkEnd w:id="59"/>
      <w:bookmarkEnd w:id="60"/>
    </w:p>
    <w:p>
      <w:pPr>
        <w:spacing w:line="560" w:lineRule="exact"/>
        <w:ind w:firstLine="640"/>
        <w:rPr>
          <w:rFonts w:eastAsia="仿宋_GB2312" w:cs="仿宋_GB2312" w:hint="eastAsia"/>
          <w:b/>
          <w:bCs/>
          <w:sz w:val="32"/>
          <w:szCs w:val="32"/>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政府性基金预算财政拨款支出</w:t>
      </w:r>
      <w:r>
        <w:rPr>
          <w:rFonts w:ascii="仿宋_GB2312" w:eastAsia="仿宋_GB2312" w:cs="仿宋_GB2312" w:hint="eastAsia"/>
          <w:sz w:val="32"/>
          <w:szCs w:val="32"/>
        </w:rPr>
        <w:t>295.39</w:t>
      </w:r>
      <w:r>
        <w:rPr>
          <w:rFonts w:ascii="Times New Roman" w:eastAsia="仿宋_GB2312" w:cs="仿宋_GB2312" w:hAnsi="Times New Roman" w:hint="eastAsia"/>
          <w:color w:val="auto"/>
          <w:kern w:val="2"/>
          <w:sz w:val="32"/>
          <w:szCs w:val="32"/>
          <w:lang w:val="en-US" w:eastAsia="zh-CN" w:bidi="ar-SA"/>
        </w:rPr>
        <w:t>万元，占本年支出合计的</w:t>
      </w:r>
      <w:r>
        <w:rPr>
          <w:rFonts w:ascii="仿宋_GB2312" w:eastAsia="仿宋_GB2312" w:cs="仿宋_GB2312" w:hint="eastAsia"/>
          <w:sz w:val="32"/>
          <w:szCs w:val="32"/>
        </w:rPr>
        <w:t>9.81</w:t>
      </w:r>
      <w:r>
        <w:rPr>
          <w:rFonts w:ascii="Times New Roman" w:eastAsia="仿宋_GB2312" w:cs="仿宋_GB2312" w:hAnsi="Times New Roman" w:hint="eastAsia"/>
          <w:color w:val="auto"/>
          <w:kern w:val="2"/>
          <w:sz w:val="32"/>
          <w:szCs w:val="32"/>
          <w:lang w:val="en-US" w:eastAsia="zh-CN" w:bidi="ar-SA"/>
        </w:rPr>
        <w:t>%。与</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年度相比，政府性基金预算财政拨款支出减少</w:t>
      </w:r>
      <w:r>
        <w:rPr>
          <w:rFonts w:ascii="Times New Roman" w:eastAsia="仿宋_GB2312" w:cs="仿宋_GB2312" w:hAnsi="Times New Roman"/>
          <w:color w:val="auto"/>
          <w:kern w:val="2"/>
          <w:sz w:val="32"/>
          <w:szCs w:val="32"/>
          <w:lang w:val="en-US" w:eastAsia="zh-CN" w:bidi="ar-SA"/>
        </w:rPr>
        <w:t>88.66</w:t>
      </w:r>
      <w:r>
        <w:rPr>
          <w:rFonts w:ascii="Times New Roman" w:eastAsia="仿宋_GB2312" w:cs="仿宋_GB2312" w:hAnsi="Times New Roman" w:hint="eastAsia"/>
          <w:color w:val="auto"/>
          <w:kern w:val="2"/>
          <w:sz w:val="32"/>
          <w:szCs w:val="32"/>
          <w:lang w:val="en-US" w:eastAsia="zh-CN" w:bidi="ar-SA"/>
        </w:rPr>
        <w:t>万元，下降</w:t>
      </w:r>
      <w:r>
        <w:rPr>
          <w:rFonts w:ascii="Times New Roman" w:eastAsia="仿宋_GB2312" w:cs="仿宋_GB2312" w:hAnsi="Times New Roman"/>
          <w:color w:val="auto"/>
          <w:kern w:val="2"/>
          <w:sz w:val="32"/>
          <w:szCs w:val="32"/>
          <w:lang w:val="en-US" w:eastAsia="zh-CN" w:bidi="ar-SA"/>
        </w:rPr>
        <w:t>23.09</w:t>
      </w:r>
      <w:r>
        <w:rPr>
          <w:rFonts w:ascii="Times New Roman" w:eastAsia="仿宋_GB2312" w:cs="仿宋_GB2312" w:hAnsi="Times New Roman" w:hint="eastAsia"/>
          <w:color w:val="auto"/>
          <w:kern w:val="2"/>
          <w:sz w:val="32"/>
          <w:szCs w:val="32"/>
          <w:lang w:val="en-US" w:eastAsia="zh-CN" w:bidi="ar-SA"/>
        </w:rPr>
        <w:t>%。主要变动原因是政府性基金</w:t>
      </w:r>
      <w:r>
        <w:rPr>
          <w:rFonts w:ascii="Times New Roman" w:eastAsia="仿宋_GB2312" w:cs="仿宋_GB2312" w:hAnsi="Times New Roman"/>
          <w:color w:val="auto"/>
          <w:kern w:val="2"/>
          <w:sz w:val="32"/>
          <w:szCs w:val="32"/>
          <w:lang w:val="en-US" w:eastAsia="zh-CN" w:bidi="ar-SA"/>
        </w:rPr>
        <w:t>安排的项目资金相对2024年度下降。</w:t>
      </w:r>
    </w:p>
    <w:p>
      <w:pPr>
        <w:spacing w:line="600" w:lineRule="exact"/>
        <w:ind w:left="630"/>
        <w:outlineLvl w:val="1"/>
        <w:rPr>
          <w:rStyle w:val="2Char"/>
          <w:rFonts w:ascii="Times New Roman" w:eastAsia="黑体" w:hAnsi="Times New Roman"/>
          <w:b w:val="0"/>
          <w:color w:val="auto"/>
        </w:rPr>
      </w:pPr>
      <w:bookmarkStart w:id="61" w:name="_Toc15377219"/>
      <w:bookmarkStart w:id="62" w:name="_Toc15396611"/>
      <w:bookmarkStart w:id="63" w:name="_Toc99534210"/>
      <w:bookmarkStart w:id="64" w:name="_Toc99534238"/>
      <w:r>
        <w:rPr>
          <w:rStyle w:val="2Char"/>
          <w:rFonts w:ascii="Times New Roman" w:eastAsia="黑体" w:hAnsi="Times New Roman" w:hint="eastAsia"/>
          <w:b w:val="0"/>
          <w:color w:val="auto"/>
          <w:lang w:eastAsia="zh-CN"/>
        </w:rPr>
        <w:t>九、</w:t>
      </w:r>
      <w:r>
        <w:rPr>
          <w:rStyle w:val="2Char"/>
          <w:rFonts w:ascii="Times New Roman" w:eastAsia="黑体" w:hAnsi="Times New Roman" w:hint="eastAsia"/>
          <w:b w:val="0"/>
          <w:color w:val="auto"/>
        </w:rPr>
        <w:t>国有资本经营预算支出决算情况说明</w:t>
      </w:r>
      <w:bookmarkEnd w:id="61"/>
      <w:bookmarkEnd w:id="62"/>
      <w:bookmarkEnd w:id="63"/>
      <w:bookmarkEnd w:id="64"/>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%。与</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w:t>
      </w:r>
      <w:r>
        <w:rPr>
          <w:rFonts w:ascii="Times New Roman" w:eastAsia="仿宋_GB2312" w:cs="仿宋_GB2312" w:hAnsi="Times New Roman"/>
          <w:color w:val="auto"/>
          <w:kern w:val="2"/>
          <w:sz w:val="32"/>
          <w:szCs w:val="32"/>
          <w:lang w:val="en-US" w:eastAsia="zh-CN" w:bidi="ar-SA"/>
        </w:rPr>
        <w:t>持平。</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yellow"/>
        </w:rPr>
      </w:pPr>
    </w:p>
    <w:p>
      <w:pPr>
        <w:spacing w:line="600" w:lineRule="exact"/>
        <w:ind w:left="630"/>
        <w:outlineLvl w:val="1"/>
        <w:rPr>
          <w:rStyle w:val="2Char"/>
          <w:rFonts w:ascii="Times New Roman" w:eastAsia="黑体" w:hAnsi="Times New Roman" w:hint="eastAsia"/>
          <w:b w:val="0"/>
          <w:color w:val="auto"/>
        </w:rPr>
      </w:pPr>
      <w:bookmarkStart w:id="65" w:name="_Toc15377221"/>
      <w:bookmarkStart w:id="66" w:name="_Toc15396612"/>
      <w:bookmarkStart w:id="67" w:name="_Toc99534211"/>
      <w:bookmarkStart w:id="68" w:name="_Toc99534239"/>
      <w:r>
        <w:rPr>
          <w:rStyle w:val="2Char"/>
          <w:rFonts w:ascii="Times New Roman" w:eastAsia="黑体" w:hAnsi="Times New Roman" w:hint="eastAsia"/>
          <w:b w:val="0"/>
          <w:color w:val="auto"/>
          <w:lang w:eastAsia="zh-CN"/>
        </w:rPr>
        <w:t>十、</w:t>
      </w:r>
      <w:r>
        <w:rPr>
          <w:rStyle w:val="2Char"/>
          <w:rFonts w:ascii="Times New Roman" w:eastAsia="黑体" w:hAnsi="Times New Roman" w:hint="eastAsia"/>
          <w:b w:val="0"/>
          <w:color w:val="auto"/>
        </w:rPr>
        <w:t>其他重要事项的情况说明</w:t>
      </w:r>
      <w:bookmarkEnd w:id="65"/>
      <w:bookmarkEnd w:id="66"/>
      <w:bookmarkEnd w:id="67"/>
      <w:bookmarkEnd w:id="68"/>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69" w:name="_Toc15377222"/>
      <w:r>
        <w:rPr>
          <w:rFonts w:ascii="Times New Roman" w:eastAsia="楷体_GB2312" w:cs="楷体_GB2312" w:hAnsi="Times New Roman" w:hint="eastAsia"/>
          <w:b/>
          <w:color w:val="auto"/>
          <w:sz w:val="32"/>
          <w:szCs w:val="32"/>
        </w:rPr>
        <w:t>（一）机关运行经费支出情况</w:t>
      </w:r>
      <w:bookmarkEnd w:id="69"/>
    </w:p>
    <w:p>
      <w:pPr>
        <w:spacing w:line="600" w:lineRule="exact"/>
        <w:ind w:firstLine="640"/>
        <w:rPr>
          <w:rFonts w:eastAsia="仿宋_GB2312" w:cs="仿宋_GB2312" w:hint="eastAsia"/>
          <w:sz w:val="32"/>
          <w:szCs w:val="32"/>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w:t>
      </w:r>
      <w:r>
        <w:rPr>
          <w:rFonts w:ascii="仿宋_GB2312" w:eastAsia="仿宋_GB2312" w:cs="仿宋_GB2312" w:hint="eastAsia"/>
          <w:sz w:val="32"/>
          <w:szCs w:val="32"/>
        </w:rPr>
        <w:t>阿坝藏族羌族自治州民政局</w:t>
      </w:r>
      <w:r>
        <w:rPr>
          <w:rFonts w:ascii="Times New Roman" w:eastAsia="仿宋_GB2312" w:cs="仿宋_GB2312" w:hAnsi="Times New Roman" w:hint="eastAsia"/>
          <w:color w:val="auto"/>
          <w:kern w:val="2"/>
          <w:sz w:val="32"/>
          <w:szCs w:val="32"/>
          <w:lang w:val="en-US" w:eastAsia="zh-CN" w:bidi="ar-SA"/>
        </w:rPr>
        <w:t>机关运行经费支出</w:t>
      </w:r>
      <w:r>
        <w:rPr>
          <w:rFonts w:ascii="仿宋_GB2312" w:eastAsia="仿宋_GB2312" w:cs="仿宋_GB2312" w:hint="eastAsia"/>
          <w:sz w:val="32"/>
          <w:szCs w:val="32"/>
        </w:rPr>
        <w:t>120.85</w:t>
      </w:r>
      <w:r>
        <w:rPr>
          <w:rFonts w:ascii="Times New Roman" w:eastAsia="仿宋_GB2312" w:cs="仿宋_GB2312" w:hAnsi="Times New Roman" w:hint="eastAsia"/>
          <w:color w:val="auto"/>
          <w:kern w:val="2"/>
          <w:sz w:val="32"/>
          <w:szCs w:val="32"/>
          <w:lang w:val="en-US" w:eastAsia="zh-CN" w:bidi="ar-SA"/>
        </w:rPr>
        <w:t>万元，比</w:t>
      </w:r>
      <w:r>
        <w:rPr>
          <w:rFonts w:eastAsia="仿宋_GB2312" w:cs="仿宋_GB2312" w:hint="eastAsia"/>
          <w:color w:val="auto"/>
          <w:kern w:val="2"/>
          <w:sz w:val="32"/>
          <w:szCs w:val="32"/>
          <w:lang w:val="en-US" w:eastAsia="zh-CN" w:bidi="ar-SA"/>
        </w:rPr>
        <w:t>上</w:t>
      </w:r>
      <w:r>
        <w:rPr>
          <w:rFonts w:ascii="Times New Roman" w:eastAsia="仿宋_GB2312" w:cs="仿宋_GB2312" w:hAnsi="Times New Roman" w:hint="eastAsia"/>
          <w:color w:val="auto"/>
          <w:kern w:val="2"/>
          <w:sz w:val="32"/>
          <w:szCs w:val="32"/>
          <w:lang w:val="en-US" w:eastAsia="zh-CN" w:bidi="ar-SA"/>
        </w:rPr>
        <w:t>年度增加</w:t>
      </w:r>
      <w:r>
        <w:rPr>
          <w:rFonts w:ascii="Times New Roman" w:eastAsia="仿宋_GB2312" w:cs="仿宋_GB2312" w:hAnsi="Times New Roman"/>
          <w:color w:val="auto"/>
          <w:kern w:val="2"/>
          <w:sz w:val="32"/>
          <w:szCs w:val="32"/>
          <w:lang w:val="en-US" w:eastAsia="zh-CN" w:bidi="ar-SA"/>
        </w:rPr>
        <w:t>23.47</w:t>
      </w:r>
      <w:r>
        <w:rPr>
          <w:rFonts w:ascii="Times New Roman" w:eastAsia="仿宋_GB2312" w:cs="仿宋_GB2312" w:hAnsi="Times New Roman" w:hint="eastAsia"/>
          <w:color w:val="auto"/>
          <w:kern w:val="2"/>
          <w:sz w:val="32"/>
          <w:szCs w:val="32"/>
          <w:lang w:val="en-US" w:eastAsia="zh-CN" w:bidi="ar-SA"/>
        </w:rPr>
        <w:t>万元，增长</w:t>
      </w:r>
      <w:r>
        <w:rPr>
          <w:rFonts w:ascii="Times New Roman" w:eastAsia="仿宋_GB2312" w:cs="仿宋_GB2312" w:hAnsi="Times New Roman"/>
          <w:color w:val="auto"/>
          <w:kern w:val="2"/>
          <w:sz w:val="32"/>
          <w:szCs w:val="32"/>
          <w:lang w:val="en-US" w:eastAsia="zh-CN" w:bidi="ar-SA"/>
        </w:rPr>
        <w:t>24.1</w:t>
      </w:r>
      <w:r>
        <w:rPr>
          <w:rFonts w:ascii="Times New Roman" w:eastAsia="仿宋_GB2312" w:cs="仿宋_GB2312" w:hAnsi="Times New Roman" w:hint="eastAsia"/>
          <w:color w:val="auto"/>
          <w:kern w:val="2"/>
          <w:sz w:val="32"/>
          <w:szCs w:val="32"/>
          <w:lang w:val="en-US" w:eastAsia="zh-CN" w:bidi="ar-SA"/>
        </w:rPr>
        <w:t>%。主要原因是</w:t>
      </w:r>
      <w:r>
        <w:rPr>
          <w:rFonts w:ascii="Times New Roman" w:eastAsia="仿宋_GB2312" w:cs="仿宋_GB2312" w:hAnsi="Times New Roman"/>
          <w:color w:val="auto"/>
          <w:kern w:val="2"/>
          <w:sz w:val="32"/>
          <w:szCs w:val="32"/>
          <w:lang w:val="en-US" w:eastAsia="zh-CN" w:bidi="ar-SA"/>
        </w:rPr>
        <w:t>人员增加、工作量增加，导致机关运行经费。</w:t>
      </w:r>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70" w:name="_Toc15377223"/>
      <w:r>
        <w:rPr>
          <w:rFonts w:ascii="Times New Roman" w:eastAsia="楷体_GB2312" w:cs="楷体_GB2312" w:hAnsi="Times New Roman" w:hint="eastAsia"/>
          <w:b/>
          <w:color w:val="auto"/>
          <w:sz w:val="32"/>
          <w:szCs w:val="32"/>
        </w:rPr>
        <w:t>（二）政府采购支出情况</w:t>
      </w:r>
      <w:bookmarkEnd w:id="70"/>
    </w:p>
    <w:p>
      <w:pPr>
        <w:spacing w:line="600" w:lineRule="exact"/>
        <w:ind w:firstLine="640"/>
        <w:rPr>
          <w:rFonts w:eastAsia="仿宋_GB2312" w:cs="仿宋_GB2312" w:hint="eastAsia"/>
          <w:sz w:val="32"/>
          <w:szCs w:val="32"/>
        </w:rPr>
      </w:pPr>
      <w:r>
        <w:rPr>
          <w:rFonts w:eastAsia="仿宋_GB2312" w:cs="仿宋_GB2312" w:hint="eastAsia"/>
          <w:color w:val="auto"/>
          <w:kern w:val="2"/>
          <w:sz w:val="32"/>
          <w:szCs w:val="32"/>
          <w:lang w:val="en-US" w:eastAsia="zh-CN" w:bidi="ar-SA"/>
        </w:rPr>
        <w:t>2025年度</w:t>
      </w:r>
      <w:r>
        <w:rPr>
          <w:rFonts w:ascii="Times New Roman" w:eastAsia="仿宋_GB2312" w:cs="仿宋_GB2312" w:hAnsi="Times New Roman" w:hint="eastAsia"/>
          <w:color w:val="auto"/>
          <w:kern w:val="2"/>
          <w:sz w:val="32"/>
          <w:szCs w:val="32"/>
          <w:lang w:val="en-US" w:eastAsia="zh-CN" w:bidi="ar-SA"/>
        </w:rPr>
        <w:t>，</w:t>
      </w:r>
      <w:r>
        <w:rPr>
          <w:rFonts w:ascii="仿宋_GB2312" w:eastAsia="仿宋_GB2312" w:cs="仿宋_GB2312" w:hint="eastAsia"/>
          <w:sz w:val="32"/>
          <w:szCs w:val="32"/>
        </w:rPr>
        <w:t>阿坝藏族羌族自治州民政局</w:t>
      </w:r>
      <w:r>
        <w:rPr>
          <w:rFonts w:ascii="Times New Roman" w:eastAsia="仿宋_GB2312" w:cs="仿宋_GB2312" w:hAnsi="Times New Roman" w:hint="eastAsia"/>
          <w:color w:val="auto"/>
          <w:kern w:val="2"/>
          <w:sz w:val="32"/>
          <w:szCs w:val="32"/>
          <w:lang w:val="en-US" w:eastAsia="zh-CN" w:bidi="ar-SA"/>
        </w:rPr>
        <w:t>政府采购支出总额</w:t>
      </w:r>
      <w:r>
        <w:rPr>
          <w:rFonts w:ascii="仿宋_GB2312" w:eastAsia="仿宋_GB2312" w:cs="仿宋_GB2312" w:hint="eastAsia"/>
          <w:sz w:val="32"/>
          <w:szCs w:val="32"/>
        </w:rPr>
        <w:t>386.73</w:t>
      </w:r>
      <w:r>
        <w:rPr>
          <w:rFonts w:ascii="Times New Roman" w:eastAsia="仿宋_GB2312" w:cs="仿宋_GB2312" w:hAnsi="Times New Roman" w:hint="eastAsia"/>
          <w:color w:val="auto"/>
          <w:kern w:val="2"/>
          <w:sz w:val="32"/>
          <w:szCs w:val="32"/>
          <w:lang w:val="en-US" w:eastAsia="zh-CN" w:bidi="ar-SA"/>
        </w:rPr>
        <w:t>万元，其中：政府采购货物支出</w:t>
      </w:r>
      <w:r>
        <w:rPr>
          <w:rFonts w:ascii="仿宋_GB2312" w:eastAsia="仿宋_GB2312" w:cs="仿宋_GB2312" w:hint="eastAsia"/>
          <w:sz w:val="32"/>
          <w:szCs w:val="32"/>
        </w:rPr>
        <w:t>84.8</w:t>
      </w:r>
      <w:r>
        <w:rPr>
          <w:rFonts w:ascii="Times New Roman" w:eastAsia="仿宋_GB2312" w:cs="仿宋_GB2312" w:hAnsi="Times New Roman" w:hint="eastAsia"/>
          <w:color w:val="auto"/>
          <w:kern w:val="2"/>
          <w:sz w:val="32"/>
          <w:szCs w:val="32"/>
          <w:lang w:val="en-US" w:eastAsia="zh-CN" w:bidi="ar-SA"/>
        </w:rPr>
        <w:t>万元、政府采购工程支出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万元、政府采购服务支出</w:t>
      </w:r>
      <w:r>
        <w:rPr>
          <w:rFonts w:ascii="仿宋_GB2312" w:eastAsia="仿宋_GB2312" w:cs="仿宋_GB2312" w:hint="eastAsia"/>
          <w:sz w:val="32"/>
          <w:szCs w:val="32"/>
        </w:rPr>
        <w:t>301.93</w:t>
      </w:r>
      <w:r>
        <w:rPr>
          <w:rFonts w:ascii="Times New Roman" w:eastAsia="仿宋_GB2312" w:cs="仿宋_GB2312" w:hAnsi="Times New Roman" w:hint="eastAsia"/>
          <w:color w:val="auto"/>
          <w:kern w:val="2"/>
          <w:sz w:val="32"/>
          <w:szCs w:val="32"/>
          <w:lang w:val="en-US" w:eastAsia="zh-CN" w:bidi="ar-SA"/>
        </w:rPr>
        <w:t>万元。主要用于</w:t>
      </w:r>
      <w:r>
        <w:rPr>
          <w:rFonts w:ascii="Times New Roman" w:eastAsia="仿宋_GB2312" w:cs="仿宋_GB2312" w:hAnsi="Times New Roman"/>
          <w:color w:val="auto"/>
          <w:kern w:val="2"/>
          <w:sz w:val="32"/>
          <w:szCs w:val="32"/>
          <w:lang w:val="en-US" w:eastAsia="zh-CN" w:bidi="ar-SA"/>
        </w:rPr>
        <w:t>阿坝州社会组织孵化园运营服务、公务车辆维修及购买保险</w:t>
      </w:r>
      <w:r>
        <w:rPr>
          <w:rFonts w:ascii="Times New Roman" w:eastAsia="仿宋_GB2312" w:cs="仿宋_GB2312" w:hAnsi="Times New Roman" w:hint="eastAsia"/>
          <w:color w:val="auto"/>
          <w:kern w:val="2"/>
          <w:sz w:val="32"/>
          <w:szCs w:val="32"/>
          <w:lang w:val="en-US" w:eastAsia="zh-CN" w:bidi="ar-SA"/>
        </w:rPr>
        <w:t>。授予中小企业合同金额</w:t>
      </w:r>
      <w:r>
        <w:rPr>
          <w:rFonts w:ascii="仿宋_GB2312" w:eastAsia="仿宋_GB2312" w:cs="仿宋_GB2312" w:hint="eastAsia"/>
          <w:sz w:val="32"/>
          <w:szCs w:val="32"/>
        </w:rPr>
        <w:t>386.73</w:t>
      </w:r>
      <w:r>
        <w:rPr>
          <w:rFonts w:ascii="Times New Roman" w:eastAsia="仿宋_GB2312" w:cs="仿宋_GB2312" w:hAnsi="Times New Roman" w:hint="eastAsia"/>
          <w:color w:val="auto"/>
          <w:kern w:val="2"/>
          <w:sz w:val="32"/>
          <w:szCs w:val="32"/>
          <w:lang w:val="en-US" w:eastAsia="zh-CN" w:bidi="ar-SA"/>
        </w:rPr>
        <w:t>万元，占政府采购支出总额的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rPr>
        <w:t>%，其中：授予小微企业合同金额</w:t>
      </w:r>
      <w:r>
        <w:rPr>
          <w:rFonts w:ascii="仿宋_GB2312" w:eastAsia="仿宋_GB2312" w:cs="仿宋_GB2312" w:hint="eastAsia"/>
          <w:sz w:val="32"/>
          <w:szCs w:val="32"/>
        </w:rPr>
        <w:t>386.73</w:t>
      </w:r>
      <w:r>
        <w:rPr>
          <w:rFonts w:ascii="Times New Roman" w:eastAsia="仿宋_GB2312" w:cs="仿宋_GB2312" w:hAnsi="Times New Roman" w:hint="eastAsia"/>
          <w:color w:val="auto"/>
          <w:kern w:val="2"/>
          <w:sz w:val="32"/>
          <w:szCs w:val="32"/>
          <w:lang w:val="en-US" w:eastAsia="zh-CN" w:bidi="ar-SA"/>
        </w:rPr>
        <w:t>万元，占政府采购支出总额的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rPr>
        <w:t>%。</w:t>
      </w:r>
    </w:p>
    <w:p>
      <w:pPr>
        <w:spacing w:line="600" w:lineRule="exact"/>
        <w:ind w:firstLineChars="200" w:firstLine="640"/>
        <w:outlineLvl w:val="2"/>
        <w:rPr>
          <w:rFonts w:ascii="Times New Roman" w:eastAsia="楷体_GB2312" w:cs="楷体_GB2312" w:hAnsi="Times New Roman" w:hint="eastAsia"/>
          <w:b/>
          <w:color w:val="auto"/>
          <w:sz w:val="32"/>
          <w:szCs w:val="32"/>
        </w:rPr>
      </w:pPr>
      <w:bookmarkStart w:id="71" w:name="_Toc15377224"/>
      <w:r>
        <w:rPr>
          <w:rFonts w:ascii="Times New Roman" w:eastAsia="楷体_GB2312" w:cs="楷体_GB2312" w:hAnsi="Times New Roman" w:hint="eastAsia"/>
          <w:b/>
          <w:color w:val="auto"/>
          <w:sz w:val="32"/>
          <w:szCs w:val="32"/>
        </w:rPr>
        <w:t>（三）国有资产占有使用情况</w:t>
      </w:r>
      <w:bookmarkEnd w:id="71"/>
    </w:p>
    <w:p>
      <w:pPr>
        <w:spacing w:line="600" w:lineRule="exact"/>
        <w:ind w:firstLine="640"/>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rPr>
        <w:t>截至202</w:t>
      </w:r>
      <w:r>
        <w:rPr>
          <w:rFonts w:eastAsia="仿宋_GB2312" w:cs="仿宋_GB2312" w:hint="eastAsia"/>
          <w:color w:val="auto"/>
          <w:kern w:val="2"/>
          <w:sz w:val="32"/>
          <w:szCs w:val="32"/>
          <w:lang w:val="en-US" w:eastAsia="zh-CN" w:bidi="ar-SA"/>
        </w:rPr>
        <w:t>5</w:t>
      </w:r>
      <w:r>
        <w:rPr>
          <w:rFonts w:ascii="Times New Roman" w:eastAsia="仿宋_GB2312" w:cs="仿宋_GB2312" w:hAnsi="Times New Roman" w:hint="eastAsia"/>
          <w:color w:val="auto"/>
          <w:kern w:val="2"/>
          <w:sz w:val="32"/>
          <w:szCs w:val="32"/>
          <w:lang w:val="en-US" w:eastAsia="zh-CN" w:bidi="ar-SA"/>
        </w:rPr>
        <w:t>年12月31日，</w:t>
      </w:r>
      <w:r>
        <w:rPr>
          <w:rFonts w:ascii="仿宋_GB2312" w:eastAsia="仿宋_GB2312" w:cs="仿宋_GB2312" w:hint="eastAsia"/>
          <w:sz w:val="32"/>
          <w:szCs w:val="32"/>
        </w:rPr>
        <w:t>阿坝藏族羌族自治州民政局</w:t>
      </w:r>
      <w:r>
        <w:rPr>
          <w:rFonts w:ascii="Times New Roman" w:eastAsia="仿宋_GB2312" w:cs="仿宋_GB2312" w:hAnsi="Times New Roman" w:hint="eastAsia"/>
          <w:color w:val="auto"/>
          <w:kern w:val="2"/>
          <w:sz w:val="32"/>
          <w:szCs w:val="32"/>
          <w:lang w:val="en-US" w:eastAsia="zh-CN" w:bidi="ar-SA"/>
        </w:rPr>
        <w:t>共有车辆</w:t>
      </w:r>
      <w:r>
        <w:rPr>
          <w:rFonts w:ascii="仿宋_GB2312" w:eastAsia="仿宋_GB2312" w:cs="仿宋_GB2312" w:hint="eastAsia"/>
          <w:sz w:val="32"/>
          <w:szCs w:val="32"/>
        </w:rPr>
        <w:t>9</w:t>
      </w:r>
      <w:r>
        <w:rPr>
          <w:rFonts w:ascii="Times New Roman" w:eastAsia="仿宋_GB2312" w:cs="仿宋_GB2312" w:hAnsi="Times New Roman" w:hint="eastAsia"/>
          <w:color w:val="auto"/>
          <w:kern w:val="2"/>
          <w:sz w:val="32"/>
          <w:szCs w:val="32"/>
          <w:lang w:val="en-US" w:eastAsia="zh-CN" w:bidi="ar-SA"/>
        </w:rPr>
        <w:t>辆，其中：副部（省）级及以上领导用车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辆、主要</w:t>
      </w:r>
      <w:r>
        <w:rPr>
          <w:rFonts w:eastAsia="仿宋_GB2312" w:cs="仿宋_GB2312" w:hint="eastAsia"/>
          <w:color w:val="auto"/>
          <w:kern w:val="2"/>
          <w:sz w:val="32"/>
          <w:szCs w:val="32"/>
          <w:lang w:val="en-US" w:eastAsia="zh-CN" w:bidi="ar-SA"/>
        </w:rPr>
        <w:t>负责人</w:t>
      </w:r>
      <w:r>
        <w:rPr>
          <w:rFonts w:ascii="Times New Roman" w:eastAsia="仿宋_GB2312" w:cs="仿宋_GB2312" w:hAnsi="Times New Roman" w:hint="eastAsia"/>
          <w:color w:val="auto"/>
          <w:kern w:val="2"/>
          <w:sz w:val="32"/>
          <w:szCs w:val="32"/>
          <w:lang w:val="en-US" w:eastAsia="zh-CN" w:bidi="ar-SA"/>
        </w:rPr>
        <w:t>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辆、机要通信用车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辆、应急保障用车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辆、执法执勤用车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辆、特种专业技术用车</w:t>
      </w:r>
      <w:r>
        <w:rPr>
          <w:rFonts w:ascii="仿宋_GB2312" w:eastAsia="仿宋_GB2312" w:cs="仿宋_GB2312" w:hint="eastAsia"/>
          <w:sz w:val="32"/>
          <w:szCs w:val="32"/>
        </w:rPr>
        <w:t>1</w:t>
      </w:r>
      <w:r>
        <w:rPr>
          <w:rFonts w:ascii="Times New Roman" w:eastAsia="仿宋_GB2312" w:cs="仿宋_GB2312" w:hAnsi="Times New Roman" w:hint="eastAsia"/>
          <w:color w:val="auto"/>
          <w:kern w:val="2"/>
          <w:sz w:val="32"/>
          <w:szCs w:val="32"/>
          <w:lang w:val="en-US" w:eastAsia="zh-CN" w:bidi="ar-SA"/>
        </w:rPr>
        <w:t>辆、离退休干部服务用车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辆、其他用车</w:t>
      </w:r>
      <w:r>
        <w:rPr>
          <w:rFonts w:ascii="仿宋_GB2312" w:eastAsia="仿宋_GB2312" w:cs="仿宋_GB2312" w:hint="eastAsia"/>
          <w:sz w:val="32"/>
          <w:szCs w:val="32"/>
        </w:rPr>
        <w:t>8</w:t>
      </w:r>
      <w:r>
        <w:rPr>
          <w:rFonts w:ascii="Times New Roman" w:eastAsia="仿宋_GB2312" w:cs="仿宋_GB2312" w:hAnsi="Times New Roman" w:hint="eastAsia"/>
          <w:color w:val="auto"/>
          <w:kern w:val="2"/>
          <w:sz w:val="32"/>
          <w:szCs w:val="32"/>
          <w:lang w:val="en-US" w:eastAsia="zh-CN" w:bidi="ar-SA"/>
        </w:rPr>
        <w:t>辆，其他用车用于</w:t>
      </w:r>
      <w:r>
        <w:rPr>
          <w:rFonts w:ascii="仿宋_GB2312" w:eastAsia="仿宋_GB2312" w:cs="仿宋_GB2312"/>
          <w:color w:val="auto"/>
          <w:kern w:val="2"/>
          <w:sz w:val="32"/>
          <w:szCs w:val="32"/>
          <w:lang w:eastAsia="zh-CN" w:bidi="ar-SA"/>
        </w:rPr>
        <w:t>执行公务</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单价100万元</w:t>
      </w:r>
      <w:r>
        <w:rPr>
          <w:rFonts w:eastAsia="仿宋_GB2312" w:cs="仿宋_GB2312" w:hint="eastAsia"/>
          <w:color w:val="auto"/>
          <w:kern w:val="2"/>
          <w:sz w:val="32"/>
          <w:szCs w:val="32"/>
          <w:lang w:val="en-US" w:eastAsia="zh-CN" w:bidi="ar-SA"/>
        </w:rPr>
        <w:t>（含）</w:t>
      </w:r>
      <w:r>
        <w:rPr>
          <w:rFonts w:ascii="Times New Roman" w:eastAsia="仿宋_GB2312" w:cs="仿宋_GB2312" w:hAnsi="Times New Roman" w:hint="eastAsia"/>
          <w:color w:val="auto"/>
          <w:kern w:val="2"/>
          <w:sz w:val="32"/>
          <w:szCs w:val="32"/>
          <w:lang w:val="en-US" w:eastAsia="zh-CN" w:bidi="ar-SA"/>
        </w:rPr>
        <w:t>以上设备（不含车辆）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rPr>
        <w:t>台（套）。</w:t>
      </w:r>
    </w:p>
    <w:p>
      <w:pPr>
        <w:spacing w:line="600" w:lineRule="exact"/>
        <w:ind w:firstLineChars="200" w:firstLine="640"/>
        <w:outlineLvl w:val="2"/>
        <w:rPr>
          <w:rFonts w:ascii="Times New Roman" w:eastAsia="楷体_GB2312" w:cs="楷体_GB2312" w:hAnsi="Times New Roman" w:hint="eastAsia"/>
          <w:b/>
          <w:color w:val="auto"/>
          <w:sz w:val="32"/>
          <w:szCs w:val="32"/>
        </w:rPr>
      </w:pPr>
      <w:r>
        <w:rPr>
          <w:rFonts w:ascii="Times New Roman" w:eastAsia="楷体_GB2312" w:cs="楷体_GB2312" w:hAnsi="Times New Roman" w:hint="eastAsia"/>
          <w:b/>
          <w:color w:val="auto"/>
          <w:sz w:val="32"/>
          <w:szCs w:val="32"/>
        </w:rPr>
        <w:t>（四）预算绩效管理情况</w:t>
      </w:r>
    </w:p>
    <w:p>
      <w:pPr>
        <w:spacing w:line="600" w:lineRule="exact"/>
        <w:ind w:firstLineChars="200" w:firstLine="640"/>
        <w:rPr>
          <w:rFonts w:ascii="仿宋_GB2312" w:eastAsia="仿宋_GB2312" w:cs="Times New Roman" w:hint="eastAsia"/>
          <w:color w:val="auto"/>
          <w:sz w:val="32"/>
          <w:szCs w:val="32"/>
          <w:lang w:val="en-US" w:eastAsia="zh-CN"/>
        </w:rPr>
      </w:pPr>
      <w:r>
        <w:rPr>
          <w:rFonts w:ascii="Times New Roman" w:eastAsia="仿宋_GB2312" w:cs="仿宋_GB2312" w:hAnsi="Times New Roman" w:hint="eastAsia"/>
          <w:color w:val="auto"/>
          <w:kern w:val="2"/>
          <w:sz w:val="32"/>
          <w:szCs w:val="32"/>
          <w:lang w:val="en-US" w:eastAsia="zh-CN" w:bidi="ar-SA"/>
        </w:rPr>
        <w:t>根据预算绩效管理要求，在202</w:t>
      </w:r>
      <w:r>
        <w:rPr>
          <w:rFonts w:ascii="Times New Roman" w:eastAsia="仿宋_GB2312" w:cs="仿宋_GB2312" w:hAnsi="Times New Roman"/>
          <w:color w:val="auto"/>
          <w:kern w:val="2"/>
          <w:sz w:val="32"/>
          <w:szCs w:val="32"/>
          <w:lang w:val="en-US" w:eastAsia="zh-CN" w:bidi="ar-SA"/>
        </w:rPr>
        <w:t>5</w:t>
      </w:r>
      <w:r>
        <w:rPr>
          <w:rFonts w:ascii="Times New Roman" w:eastAsia="仿宋_GB2312" w:cs="仿宋_GB2312" w:hAnsi="Times New Roman" w:hint="eastAsia"/>
          <w:color w:val="auto"/>
          <w:kern w:val="2"/>
          <w:sz w:val="32"/>
          <w:szCs w:val="32"/>
          <w:lang w:val="en-US" w:eastAsia="zh-CN" w:bidi="ar-SA"/>
        </w:rPr>
        <w:t>年度预算编制阶段，组织对"索玛花开"</w:t>
      </w:r>
      <w:r>
        <w:rPr>
          <w:rFonts w:ascii="Times New Roman" w:eastAsia="仿宋_GB2312" w:cs="仿宋_GB2312" w:hAnsi="Times New Roman"/>
          <w:color w:val="auto"/>
          <w:kern w:val="2"/>
          <w:sz w:val="32"/>
          <w:szCs w:val="32"/>
          <w:lang w:val="en-US" w:eastAsia="zh-CN" w:bidi="ar-SA"/>
        </w:rPr>
        <w:t>、困难群众救助补助资金</w:t>
      </w:r>
      <w:r>
        <w:rPr>
          <w:rFonts w:ascii="Times New Roman" w:eastAsia="仿宋_GB2312" w:cs="仿宋_GB2312" w:hAnsi="Times New Roman" w:hint="eastAsia"/>
          <w:color w:val="auto"/>
          <w:kern w:val="2"/>
          <w:sz w:val="32"/>
          <w:szCs w:val="32"/>
          <w:lang w:val="en-US" w:eastAsia="zh-CN" w:bidi="ar-SA"/>
        </w:rPr>
        <w:t>等</w:t>
      </w:r>
      <w:r>
        <w:rPr>
          <w:rFonts w:eastAsia="仿宋_GB2312" w:cs="仿宋_GB2312"/>
          <w:color w:val="auto"/>
          <w:kern w:val="2"/>
          <w:sz w:val="32"/>
          <w:szCs w:val="32"/>
          <w:lang w:eastAsia="zh-CN" w:bidi="ar-SA"/>
        </w:rPr>
        <w:t>55</w:t>
      </w:r>
      <w:r>
        <w:rPr>
          <w:rFonts w:ascii="Times New Roman" w:eastAsia="仿宋_GB2312" w:cs="仿宋_GB2312" w:hAnsi="Times New Roman" w:hint="eastAsia"/>
          <w:color w:val="auto"/>
          <w:kern w:val="2"/>
          <w:sz w:val="32"/>
          <w:szCs w:val="32"/>
          <w:lang w:val="en-US" w:eastAsia="zh-CN" w:bidi="ar-SA"/>
        </w:rPr>
        <w:t>个项目开展了预算事前绩效评估，对</w:t>
      </w:r>
      <w:r>
        <w:rPr>
          <w:rFonts w:eastAsia="仿宋_GB2312" w:cs="仿宋_GB2312"/>
          <w:color w:val="auto"/>
          <w:kern w:val="2"/>
          <w:sz w:val="32"/>
          <w:szCs w:val="32"/>
          <w:lang w:eastAsia="zh-CN" w:bidi="ar-SA"/>
        </w:rPr>
        <w:t>55</w:t>
      </w:r>
      <w:r>
        <w:rPr>
          <w:rFonts w:ascii="Times New Roman" w:eastAsia="仿宋_GB2312" w:cs="仿宋_GB2312" w:hAnsi="Times New Roman" w:hint="eastAsia"/>
          <w:color w:val="auto"/>
          <w:kern w:val="2"/>
          <w:sz w:val="32"/>
          <w:szCs w:val="32"/>
          <w:lang w:val="en-US" w:eastAsia="zh-CN" w:bidi="ar-SA"/>
        </w:rPr>
        <w:t>个项目编制了绩效目标，预算执行过程中，选取</w:t>
      </w:r>
      <w:r>
        <w:rPr>
          <w:rFonts w:eastAsia="仿宋_GB2312" w:cs="仿宋_GB2312"/>
          <w:color w:val="auto"/>
          <w:kern w:val="2"/>
          <w:sz w:val="32"/>
          <w:szCs w:val="32"/>
          <w:lang w:eastAsia="zh-CN" w:bidi="ar-SA"/>
        </w:rPr>
        <w:t>55</w:t>
      </w:r>
      <w:r>
        <w:rPr>
          <w:rFonts w:ascii="Times New Roman" w:eastAsia="仿宋_GB2312" w:cs="仿宋_GB2312" w:hAnsi="Times New Roman" w:hint="eastAsia"/>
          <w:color w:val="auto"/>
          <w:kern w:val="2"/>
          <w:sz w:val="32"/>
          <w:szCs w:val="32"/>
          <w:lang w:val="en-US" w:eastAsia="zh-CN" w:bidi="ar-SA"/>
        </w:rPr>
        <w:t>个项目开展绩效监控。</w:t>
      </w:r>
      <w:r>
        <w:rPr>
          <w:rFonts w:ascii="仿宋_GB2312" w:eastAsia="仿宋_GB2312" w:cs="Times New Roman" w:hint="eastAsia"/>
          <w:color w:val="auto"/>
          <w:sz w:val="32"/>
          <w:szCs w:val="32"/>
          <w:lang w:val="en-US" w:eastAsia="zh-CN"/>
        </w:rPr>
        <w:t>绩效自评表详见第四部分附件。</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sectPr>
          <w:footerReference w:type="default" r:id="rId5"/>
          <w:pgSz w:w="11906" w:h="16838"/>
          <w:pgMar w:top="1440" w:right="1800" w:bottom="1440" w:left="1800" w:header="851" w:footer="992" w:gutter="0"/>
          <w:pgNumType w:start="1"/>
          <w:docGrid w:type="lines" w:linePitch="312" w:charSpace="0"/>
        </w:sect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72" w:name="_Toc15396613"/>
      <w:bookmarkStart w:id="73" w:name="_Toc15377225"/>
      <w:bookmarkStart w:id="74" w:name="_Toc99534212"/>
      <w:bookmarkStart w:id="75" w:name="_Toc99534240"/>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72"/>
      <w:bookmarkEnd w:id="73"/>
      <w:bookmarkEnd w:id="74"/>
      <w:bookmarkEnd w:id="75"/>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76" w:name="_Toc15377226"/>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w:t>
      </w:r>
      <w:r>
        <w:rPr>
          <w:rFonts w:ascii="仿宋_GB2312" w:eastAsia="仿宋_GB2312"/>
          <w:color w:val="auto"/>
          <w:sz w:val="32"/>
          <w:szCs w:val="32"/>
          <w:highlight w:val="auto"/>
        </w:rPr>
        <w:t>.</w:t>
      </w:r>
      <w:r>
        <w:rPr>
          <w:rFonts w:ascii="仿宋_GB2312" w:eastAsia="仿宋_GB2312" w:hint="eastAsia"/>
          <w:color w:val="auto"/>
          <w:sz w:val="32"/>
          <w:szCs w:val="32"/>
          <w:highlight w:val="auto"/>
        </w:rPr>
        <w:t>社会保障和就业支出（类）行政事业单位养老支出（款）机关事业单位基本养老保险缴费支出（项）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反映机关事业单位实施养老保险制度由单位缴纳的基本养老保险费支出。</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3</w:t>
      </w:r>
      <w:r>
        <w:rPr>
          <w:rFonts w:ascii="仿宋_GB2312" w:eastAsia="仿宋_GB2312" w:hint="eastAsia"/>
          <w:color w:val="auto"/>
          <w:sz w:val="32"/>
          <w:szCs w:val="32"/>
          <w:highlight w:val="auto"/>
        </w:rPr>
        <w:t>.社会保障和就业支出（类）行政事业单位养老支出（款）机关事业单位职业年金缴费支出（项）</w:t>
      </w:r>
      <w:r>
        <w:rPr>
          <w:rFonts w:ascii="仿宋_GB2312" w:eastAsia="仿宋_GB2312" w:hint="eastAsia"/>
          <w:color w:val="auto"/>
          <w:sz w:val="32"/>
          <w:szCs w:val="32"/>
          <w:lang w:val="en-US" w:eastAsia="zh-CN"/>
          <w:highlight w:val="auto"/>
        </w:rPr>
        <w:t>:指反映机关事业单位实施养老保险制度由单位实际缴纳的职业年金支出</w:t>
      </w:r>
      <w:r>
        <w:rPr>
          <w:rFonts w:ascii="仿宋_GB2312" w:eastAsia="仿宋_GB2312" w:hint="eastAsia"/>
          <w:color w:val="auto"/>
          <w:sz w:val="32"/>
          <w:szCs w:val="32"/>
          <w:highlight w:val="auto"/>
        </w:rPr>
        <w:t>。</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highlight w:val="auto"/>
        </w:rPr>
        <w:t>.卫生健康支出（类）行政事业单位医疗（款）事业单位医疗（项）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反映财政部门安排的事业单位基本医疗保险缴费经费，未参加医疗保险的事业单位的公费医疗经费，按国家规定享受离休人员待遇的医疗经费。</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highlight w:val="auto"/>
        </w:rPr>
        <w:t>.卫生健康支出（类）行政事业单位医疗（款）其他行政事业单位医疗支出（项）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反映除上述项目以外的其他用于行政事业单位医疗方面的支出。</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6.</w:t>
      </w:r>
      <w:r>
        <w:rPr>
          <w:rFonts w:ascii="仿宋_GB2312" w:eastAsia="仿宋_GB2312" w:hint="eastAsia"/>
          <w:color w:val="auto"/>
          <w:sz w:val="32"/>
          <w:szCs w:val="32"/>
          <w:highlight w:val="auto"/>
        </w:rPr>
        <w:t>住房保障支出（类）住房改革支出（款）住房公积金（项）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反映行政事业单位按人力资源和社会保障部、财政部规定的基本工资和津贴补贴以及规定比例为职工缴纳的住房公积金。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7.基本支出：指为保障机构正常运转、完成日常工作任务而发生的人员支出和公用支出。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8.项目支出：指在基本支出之外为完成特定行政任务和事业发展目标所发生的支出。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9.经营支出：指事业单位在专业业务活动及其辅助活动之外开展非独立核算经营活动发生的支出。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ascii="Times New Roman" w:eastAsia="黑体" w:hAnsi="Times New Roman"/>
          <w:color w:val="auto"/>
          <w:sz w:val="44"/>
          <w:szCs w:val="44"/>
          <w:highlight w:val="yellow"/>
        </w:rPr>
        <w:sectPr>
          <w:pgSz w:w="11906" w:h="16838"/>
          <w:pgMar w:top="1440" w:right="1800" w:bottom="1440" w:left="1800" w:header="851" w:footer="992" w:gutter="0"/>
          <w:pgNumType/>
          <w:docGrid w:type="lines" w:linePitch="312" w:charSpace="0"/>
        </w:sectPr>
      </w:pPr>
      <w:bookmarkStart w:id="77" w:name="_Toc15396614"/>
    </w:p>
    <w:p>
      <w:pPr>
        <w:spacing w:line="600" w:lineRule="exact"/>
        <w:jc w:val="center"/>
        <w:outlineLvl w:val="0"/>
        <w:rPr>
          <w:rFonts w:ascii="Times New Roman" w:eastAsia="黑体" w:hAnsi="Times New Roman" w:hint="eastAsia"/>
          <w:color w:val="auto"/>
          <w:sz w:val="44"/>
          <w:szCs w:val="44"/>
          <w:highlight w:val="auto"/>
        </w:rPr>
      </w:pPr>
      <w:bookmarkStart w:id="78" w:name="_Toc99534241"/>
      <w:r>
        <w:rPr>
          <w:rFonts w:ascii="Times New Roman" w:eastAsia="黑体" w:hAnsi="Times New Roman" w:hint="eastAsia"/>
          <w:color w:val="auto"/>
          <w:sz w:val="44"/>
          <w:szCs w:val="44"/>
          <w:highlight w:val="auto"/>
        </w:rPr>
        <w:t>第</w:t>
      </w:r>
      <w:r>
        <w:rPr>
          <w:rFonts w:eastAsia="黑体"/>
          <w:color w:val="auto"/>
          <w:sz w:val="44"/>
          <w:szCs w:val="44"/>
          <w:lang w:eastAsia="zh-CN"/>
          <w:highlight w:val="auto"/>
        </w:rPr>
        <w:t>四</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color w:val="auto"/>
          <w:sz w:val="44"/>
          <w:szCs w:val="44"/>
          <w:highlight w:val="auto"/>
        </w:rPr>
        <w:t>附件</w:t>
      </w:r>
      <w:bookmarkEnd w:id="78"/>
    </w:p>
    <w:p>
      <w:pPr>
        <w:pStyle w:val="18"/>
        <w:rPr>
          <w:rFonts w:ascii="Times New Roman" w:eastAsia="黑体" w:cs="黑体" w:hAnsi="Times New Roman" w:hint="eastAsia"/>
          <w:color w:val="auto"/>
          <w:sz w:val="32"/>
          <w:szCs w:val="32"/>
          <w:lang w:val="en-US" w:eastAsia="zh-CN"/>
          <w:highlight w:val="auto"/>
        </w:rPr>
      </w:pPr>
      <w:bookmarkEnd w:id="77"/>
    </w:p>
    <w:p>
      <w:pPr>
        <w:pStyle w:val="37"/>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eastAsia="方正小标宋简体" w:cs="方正小标宋简体" w:hAnsi="Times New Roman" w:hint="eastAsia"/>
          <w:color w:val="auto"/>
          <w:kern w:val="2"/>
          <w:sz w:val="44"/>
          <w:szCs w:val="44"/>
          <w:lang w:val="en-US" w:eastAsia="zh-CN"/>
          <w:highlight w:val="auto"/>
        </w:rPr>
      </w:pPr>
    </w:p>
    <w:tbl>
      <w:tblPr>
        <w:jc w:val="left"/>
        <w:tblInd w:w="0" w:type="dxa"/>
        <w:tblW w:w="1504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24"/>
        <w:gridCol w:w="1383"/>
        <w:gridCol w:w="1775"/>
        <w:gridCol w:w="1950"/>
        <w:gridCol w:w="1962"/>
        <w:gridCol w:w="1013"/>
        <w:gridCol w:w="849"/>
        <w:gridCol w:w="109"/>
        <w:gridCol w:w="742"/>
        <w:gridCol w:w="1301"/>
        <w:gridCol w:w="1000"/>
        <w:gridCol w:w="1493"/>
        <w:gridCol w:w="1245"/>
      </w:tblGrid>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51320021T000000123301-马尔康地区老年协会活动经费</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保障马尔康地区老年协会正常运转，开展服务马尔康地区老年人活动,提升老年人幸福感。</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该项目年度目标任务完成，有效保障了协会正常运转，成功组织开展了多项服务老年人的活动，显著提升了当地老年人的幸福感与获得感。</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本项目通过向马尔康地区老年协会拨付专项活动经费，有效保障了其日常运行需求。协会围绕提升老年人幸福感的核心目标，系统策划并组织了包括节日慰问、文艺活动等多项适老服务活动。项目实施过程管理规范，确保了经费专款专用与活动有序开展，切实丰富了当地老年人的精神文化生活，促进了社会和谐。</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活动完成数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保障马尔康地区老年协会正常运转率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验收通过率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按期完成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按期完成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老年人幸福度提升率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60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老年人满意度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自评得分为100分，该项目已全面完成年度预设目标，经费保障有力，确保了协会正常运转；常态开展活动，有效服务了老年群体。项目实施过程规范，资金使用合规，社会效益显著，圆满达成了提升马尔康地区老年人幸福感的根本宗旨。</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color w:val="000000"/>
                <w:sz w:val="18"/>
              </w:rPr>
            </w:pPr>
            <w:r>
              <w:rPr>
                <w:rFonts w:ascii="黑体" w:eastAsia="黑体" w:cs="Lucida Sans"/>
                <w:color w:val="000000"/>
                <w:sz w:val="18"/>
              </w:rPr>
              <w:t>一是民族地区老年人文化素质参差不齐，活动设计与服务内容较为单一；二是马尔康地区少数民族语言种类较多，协会工作人员语言掌握范围有限，存在语言沟通障碍，一定程度上影响政策宣传与服务精准提供。</w:t>
            </w:r>
          </w:p>
          <w:p>
            <w:pPr>
              <w:rPr>
                <w:rFonts w:ascii="黑体" w:eastAsia="黑体" w:cs="Lucida Sans"/>
                <w:color w:val="000000"/>
                <w:sz w:val="18"/>
              </w:rPr>
            </w:pP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color w:val="000000"/>
                <w:sz w:val="18"/>
              </w:rPr>
            </w:pPr>
            <w:r>
              <w:rPr>
                <w:rFonts w:ascii="黑体" w:eastAsia="黑体" w:cs="Lucida Sans"/>
                <w:color w:val="000000"/>
                <w:sz w:val="18"/>
              </w:rPr>
              <w:t>一是强化活动分层设计。结合日常活动，在老年群体中开展调研，深入了解不同文化背景、兴趣爱好老年群体的实际需求，并依据调研结果，设计基础文娱、健康科普等多层次活动，满足差异化需求。二是注重融入本土文化。将政策宣传、健康知识等与本地民族节日、传统艺术、非遗项目相结合，增强吸引力与文化传承功能。三是建强“双语”服务队伍，招募通晓当地民族语言的社区志愿者、低龄健康老年人，协助日常沟通与活动组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p>
            <w:pPr>
              <w:pStyle w:val="15"/>
            </w:pPr>
          </w:p>
          <w:p>
            <w:pPr>
              <w:pStyle w:val="17"/>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51320021T000000123379-阿坝州马尔康地区老年大学办学经费</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保障马尔康地区老年大学正常运转，开展服务马尔康地区老年人老年教育工作，提升老年教育对社会发展的积极作用。</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6"/>
              </w:rPr>
            </w:pPr>
            <w:r>
              <w:rPr>
                <w:rFonts w:ascii="黑体" w:eastAsia="黑体" w:cs="Lucida Sans"/>
                <w:color w:val="000000"/>
                <w:sz w:val="16"/>
              </w:rPr>
              <w:t>本项目年度目标顺利完成。马尔康地区老年大学全年教学运转正常，按计划每月开展各类教学活动，有效保障了老年教育服务的持续供给。办学工作有力带动了本地区老年教育事业发展，学员参与度与满意度稳步提升，实现了通过老年教育服务积极促进社会发展的预期目标。</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本项目围绕保障马尔康地区老年大学正常运转的核心目标，有序推进实施。通过专项经费的稳定支持，确保了老年大学教学活动持续开展。全年办学工作有效满足了当地老年人的精神文化需求，促进了老年教育的规范化、常态化发展，带动了学员参与度与满意度的双提升，发挥了老年教育在丰富老年人生活、促进社会和谐方面的积极作用。</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老年大学按月开展教学活动次数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次/年</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项目验收通过率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老年教育社会影响程度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作用明显</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作用明显</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带动老年教育发展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带动老年教育显著发展</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带动老年教育显著发展</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老年人满意率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color w:val="000000"/>
                <w:sz w:val="18"/>
              </w:rPr>
            </w:pPr>
            <w:r>
              <w:rPr>
                <w:rFonts w:ascii="黑体" w:eastAsia="黑体" w:cs="Lucida Sans"/>
                <w:color w:val="000000"/>
                <w:sz w:val="18"/>
              </w:rPr>
              <w:t>项目自评100分，该项目实施在促进区域老年教育事业发展、丰富老年人精神文化生活、提升老年人社会参与感与幸福感方面取得了明显成效，较好地完成了项目设定的各项绩效目标。</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color w:val="000000"/>
                <w:sz w:val="18"/>
              </w:rPr>
            </w:pPr>
            <w:r>
              <w:rPr>
                <w:rFonts w:ascii="黑体" w:eastAsia="黑体" w:cs="Lucida Sans"/>
                <w:color w:val="000000"/>
                <w:sz w:val="18"/>
              </w:rPr>
              <w:t>一是服务覆盖不够均衡，老年大学地处州域中心，当前服务对象以州市退休人员为主，对偏远乡镇老年群体的延伸覆盖不足。二是发展后劲有待增强，面临后备师资与骨干力量短缺的问题，在民族文化传承、项目可持续发展方面推动乏力。</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color w:val="000000"/>
                <w:sz w:val="18"/>
              </w:rPr>
            </w:pPr>
            <w:r>
              <w:rPr>
                <w:rFonts w:ascii="黑体" w:eastAsia="黑体" w:cs="Lucida Sans"/>
                <w:color w:val="000000"/>
                <w:sz w:val="18"/>
              </w:rPr>
              <w:t>一是强化校社联动，加强与村（社）、老年协会的合作，实现资源共享、活动联动，形成老年教育服务网络，延伸服务范围。二是建立本土师资库，积极动员本地退休教师、非遗传承人、文艺骨干、行业能手等进入兼职教师队伍，强化师资力量。三是丰富教学活动，针对不同文化程度、不同需求的老年人，设计多层次课程，满足多样化需求。</w:t>
            </w:r>
          </w:p>
          <w:p>
            <w:pPr>
              <w:rPr>
                <w:rFonts w:ascii="黑体" w:eastAsia="黑体" w:cs="Lucida Sans"/>
                <w:color w:val="000000"/>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p>
            <w:pPr>
              <w:pStyle w:val="15"/>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51320025T000012501249-老龄事业专项经费</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2024年机构改革后，贯彻落实国家应对人口老龄化政策措施、承担州老龄工作委员会日常工作等职责划入州民政局，州老龄工作委员会办公室设在州民政局,属州委州政府确定的议事机构之一。按照2025年老年老龄工作安排,为深入学习贯彻习近平总书记关于老龄工作重要指示精神，一是完成省厅对我州老龄工作综合目标任务，主要为开展老龄委全体会议、老年友好型社区创建、人口老年化国情教育、老年优待工作、老年人权益保障、老年志愿服务活动、基层老年协会建设指导、老年人文化体育教育活动等工作。二是开展敬老月系列活动，在敬老月期间走访慰问困难老年人，开展文艺汇演及祝老活动等工作。三是开展老龄事业发展统计调查等调研工作，在全州开展老年人口基本情况、老年人健康状况、养老服务体系、老年人经济状况、老年人权益保障、老龄工作政策与措施、老年产业发展等调研工作。四是积极研究银发经济助老惠老工作。随着人口老龄化的加剧，银发经济逐渐成为经济发展的新引擎。研究如何通过发展银发经济实现助老惠老，对于提升老年人的生活质量、促进社会和谐发展具有重要意义。资金主要用于：州老龄工作委员会办公室产生的办公费、印刷费、劳务费、编外聘用人员劳务报酬、差旅费、公务用车运行维护费等相关费用。</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有力保障了州老龄工作委员会办公室高效运转，有效支撑了年度各项重点工作的顺利完成。2025年印发《阿坝州老龄工作委员会工作规则》，对州老龄委成员单位进行调整优化，职责边界进一步厘清。组织参加敬老月活动10场次，慰问老年人11205位，发放慰问金160.76万元；“天府银龄行动”在3县试点，开展服务201场，老年志愿者参与3958人次，服务群众11949人次；全州运营老年活动中心34家，年均服务超1.2万人次；成功推荐6家单位获全国“敬老文明号”称号，老龄工作体系构建与效能进一步提升。</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6"/>
              </w:rPr>
            </w:pPr>
            <w:r>
              <w:rPr>
                <w:rFonts w:ascii="宋体" w:eastAsia="宋体" w:cs="Lucida Sans"/>
                <w:color w:val="000000"/>
                <w:sz w:val="16"/>
              </w:rPr>
              <w:t>本项目实施过程围绕老年老龄工作职责全面展开。一是优化体制机制，将老龄委成员单位精简为28个，印发系列制度文件，推动工作向“主动谋划、系统供给”转型。二是落实目标任务，在三县试点开展“天府银龄行动”志愿服务201场，动员参与老年志愿服务3958人次，服务群众11949人次。三是加强示范带动，推荐6家单位、3名个人获国家级荣誉，组织参加敬老月活动10场次，慰问老年人11205位。项目实施规范有序，资金主要用于老龄办日常运行资金，有效完成了年度工作目标。</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33.06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33.06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33.06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33.06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敬老月活动开展次数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老龄工作完成率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调研报告完成质量合格率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老年人权益保障水平提升程度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老年人满意度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6"/>
              </w:rPr>
            </w:pPr>
            <w:r>
              <w:rPr>
                <w:rFonts w:ascii="宋体" w:eastAsia="宋体" w:cs="Lucida Sans"/>
                <w:color w:val="000000"/>
                <w:sz w:val="16"/>
              </w:rPr>
              <w:t>本项目自评总分为100分。项目有力保障了州老龄工作委员会办公室高效运转，有效支撑了年度各项重点工作的顺利完成。2025年印发《阿坝州老龄工作委员会工作规则》，对州老龄委成员单位进行调整优化，职责边界进一步厘清。敬老月期间，全州组织活动260场，慰问老年人11205位，发放慰问金160.76万元；“天府银龄行动”在3县试点，开展服务201场，老年志愿者参与3958人次，服务群众11949人次；全州运营老年活动中心34家，年均服务超1.2万人次；成功推荐6家单位获全国“敬老文明号”称号，老龄工作体系构建与效能进一步提升。</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6"/>
              </w:rPr>
            </w:pPr>
            <w:r>
              <w:rPr>
                <w:rFonts w:ascii="宋体" w:eastAsia="宋体" w:cs="Lucida Sans"/>
                <w:color w:val="000000"/>
                <w:sz w:val="16"/>
              </w:rPr>
              <w:t>存在的主要问题有：一是银发经济助老惠老工作推进不足，与目标要求存在差距，主要因我州银发经济基础薄弱，相关产业和服务体系尚不健全，工作推进面临困难。二是部分具体老龄工作任务完成率未达100%，表明在工作的全面性和精细化管理方面仍有提升空间。上述问题反映出，在资源统筹、产业培育和工作落实的精准性上需进一步加强。</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6"/>
              </w:rPr>
            </w:pPr>
            <w:r>
              <w:rPr>
                <w:rFonts w:ascii="宋体" w:eastAsia="宋体" w:cs="Lucida Sans"/>
                <w:color w:val="000000"/>
                <w:sz w:val="16"/>
              </w:rPr>
              <w:t>一是加强银发经济研究与实践，积极对接上级部门争取政策与项目支持，结合我州实际培育发展适老产业，拓展助老惠老新路径。二是健全工作督导机制，细化年度任务清单，明确责任分工和时限要求，强化过程跟踪与动态评估，确保各项老龄工作任务全面、精准、按时完成。</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项目负责人：张通全</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51320025T000013864941-内控制作(质保金)</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委托专业的三方公司制作符合我单位实际情况的内控.</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已按照合同约定完成并支付质保金。</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委托专业的三方公司制作符合我单位实际情况的内控的质保金。</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0.98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内控制作数量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套</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内控合格率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项目按时完成率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制作的内控有利于民政事业发展，提升服务质效程度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职工对新制作的内控的满意度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该项目质保金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项目完成较好，得分100分，已按照合同约定完成并支付质保金。</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项目负责人：杨小蓉</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51320025T000012493765-民政系统财务统计专项经费</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293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根据《四川省民政厅关于进一步加强民政事业统计工作的通知》（川民发[2013]180号）文件要求，将专项安排工作经费，用于：1.民政系统服务业统计软件维护、业务培训会产生的费用及民政系统服务业统计工作人员差旅费及办公经费等相关费用；2.开展民政专项资金的内部审计和绩效评价工作；3.委托编制项目规划的委托业务费；4.通过加强统计工作，提高统计数据质量，提升统计人员业务能力。</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按照项目年度目标完成设定的的民政系统服务业统计软件维护等民政系统财务统计专项工作</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开展了民政系统服务业统计软件维护、、民政系统服务业统计工作、开展民政专项资金的内部审计和绩效评价及项目规划编制前期准备工作。</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10.96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10.96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黑体" w:eastAsia="黑体" w:cs="Lucida Sans"/>
                <w:b w:val="0"/>
                <w:i/>
                <w:color w:val="000000"/>
                <w:sz w:val="18"/>
              </w:rPr>
            </w:pPr>
            <w:r>
              <w:rPr>
                <w:rFonts w:ascii="黑体" w:eastAsia="黑体" w:cs="Lucida Sans"/>
                <w:b w:val="0"/>
                <w:i/>
                <w:color w:val="000000"/>
                <w:sz w:val="18"/>
              </w:rPr>
              <w:t>0</w:t>
            </w: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10.96</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10.96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报表质量通过率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内部审计完成率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统计人员能力提升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民政工作可行</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民政工作可行</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统计数据质量填报评级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工作人员满意度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委托编制项目规划资金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培训成本节约率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完成较好，得分100分，完成民政系统服务业统计软件维护及统计工作，开展专项资金内部审计与绩效评价，强化资金监管，推进项目规划前期准备，夯实项目实施基础，有效提升民政工作规范化、精细化管理水平。</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持续加强资金使用效益。</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项目负责人：杨小蓉</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51320025T000013658828-四川省居民家庭经济状况核对信息系统阿坝州数据交换平台维护服务</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293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该系统实现“数据向上集中，服务向下延伸”，支撑居民家庭经济状况核对业务的开展，建立健全居民家庭经济状况核对工作机制，促进社会救助工作步入法制化、科学化、规范化、制度化的轨道，显著提高社会救助的效率和效果；通过跨部门、多层次的信息共享，逐步建立为社会政策提供综合服务的核对系统，推动政府职能转变和政务模式转型，促进社会公平正义和诚信体系的建设。</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系统故障响应及时（30分钟内响应，1小时出应急方案，24小时内到场）；数据交换准确率达98%以上；共享单位对接稳定性良好；年度集中培训不少于1次；平台可用率不低于95%；用户满意度达90%以上。</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全面掌握数据交换平台维护项目的实施效果，评估资金使用效益和服务质量，判断运维工作是否有效保障了核对业务的正常开展，为后续运维合同续签或服务优化提供依据。</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对城乡低保对象新增和清退人数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对城乡低保对象应保尽报，应退尽退</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及时核对新增和清退对城乡低保对象</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对城乡低保对象应保尽保</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平台长期对新增和清退对城乡低保对象进行核对率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对城乡低保新增人员及社会人员评价</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每年向财政申请平台维护费用</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项目绩效自评总体得分204分。项目实施达到预期效果，有效保障了四川省居民家庭经济状况核对信息系统阿坝州数据交换平台的安全稳定运行，为全州社会救助对象精准认定提供了可靠的技术保障。</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一是部分县级民政部门网络条件有限，访问平台速度偶有延迟，影响核对工作效率；二是随着相关部门数据更新频率加快，接口对接偶有不稳定现象，需运维方及时协调处理；三是个别基层核对人员对平台功能掌握不够全面，操作熟练度有待进一步提高。</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一是加强网络保障，协调相关部门改善基层网络条件，同时优化平台在低带宽环境下的运行效率。二是强化接口监控，建立与数据提供部门的常态化沟通机制，对共享接口运行状态进行实时监控，发现问题及时协调处理。三是深化业务培训，除集中培训外，可针对常见问题制作操作手册和短视频教程，方便基层人员随时查阅学习，持续提升平台应用水平和核对工作效率。</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p>
            <w:pPr>
              <w:pStyle w:val="15"/>
            </w:pPr>
          </w:p>
          <w:p>
            <w:pPr>
              <w:pStyle w:val="17"/>
            </w:pPr>
          </w:p>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51320021T000000130922-全州民政系统业务培训</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不断提高全体民政工作人员的专业知识水平、业务技能和服务意识，提高服务质量和行政效率。通过培训，使全州民政系统工作人员的业务能力提升30%以上，服务效率提升20%以上。</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分四期对全州民政系统干部共计255人进行系统培训，涵盖社会救助、儿童福利等重点业务领域。</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通过系统化培训，提升基层民政干部的政策理解力、执行力和服务能力，锻造一支政治过硬、业务精通、作风优良的民政队伍。项目计划分四期对全州民政系统干部共计255人进行系统培训，涵盖社会救助、儿童福利等重点业务领域。</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24.1878</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23.49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23.49</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23.49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23.49</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业务培训人数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255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服务效率提升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民政系统工作人员业务能力提升率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参加培训人员满意度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培训总成本控制率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项目绩效自评总体得分220分。项目实施达到了预期效果，有效保障了社会救助督导及办公经费需求，对提升全州社会救助工作质效发挥了积极作用。</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黑体" w:eastAsia="黑体"/>
                <w:color w:val="000000"/>
                <w:sz w:val="18"/>
              </w:rPr>
            </w:pPr>
          </w:p>
        </w:tc>
        <w:tc>
          <w:tcPr>
            <w:tcW w:w="1775" w:type="dxa"/>
            <w:tcBorders>
              <w:top w:val="nil"/>
              <w:left w:val="nil"/>
              <w:bottom w:val="nil"/>
              <w:right w:val="nil"/>
              <w:tl2br w:val="nil"/>
              <w:tr2bl w:val="nil"/>
            </w:tcBorders>
            <w:noWrap/>
            <w:vAlign w:val="center"/>
          </w:tcPr>
          <w:p>
            <w:pPr>
              <w:rPr>
                <w:rFonts w:ascii="黑体" w:eastAsia="黑体"/>
                <w:color w:val="000000"/>
                <w:sz w:val="18"/>
              </w:rPr>
            </w:pPr>
          </w:p>
        </w:tc>
        <w:tc>
          <w:tcPr>
            <w:tcW w:w="1950" w:type="dxa"/>
            <w:tcBorders>
              <w:top w:val="nil"/>
              <w:left w:val="nil"/>
              <w:bottom w:val="nil"/>
              <w:right w:val="nil"/>
              <w:tl2br w:val="nil"/>
              <w:tr2bl w:val="nil"/>
            </w:tcBorders>
            <w:noWrap/>
            <w:vAlign w:val="center"/>
          </w:tcPr>
          <w:p>
            <w:pPr>
              <w:rPr>
                <w:rFonts w:ascii="黑体" w:eastAsia="黑体"/>
                <w:color w:val="000000"/>
                <w:sz w:val="18"/>
              </w:rPr>
            </w:pPr>
          </w:p>
        </w:tc>
        <w:tc>
          <w:tcPr>
            <w:tcW w:w="1962" w:type="dxa"/>
            <w:tcBorders>
              <w:top w:val="nil"/>
              <w:left w:val="nil"/>
              <w:bottom w:val="nil"/>
              <w:right w:val="nil"/>
              <w:tl2br w:val="nil"/>
              <w:tr2bl w:val="nil"/>
            </w:tcBorders>
            <w:noWrap/>
            <w:vAlign w:val="center"/>
          </w:tcPr>
          <w:p>
            <w:pPr>
              <w:rPr>
                <w:rFonts w:ascii="黑体" w:eastAsia="黑体"/>
                <w:color w:val="000000"/>
                <w:sz w:val="18"/>
              </w:rPr>
            </w:pPr>
          </w:p>
        </w:tc>
        <w:tc>
          <w:tcPr>
            <w:tcW w:w="1012" w:type="dxa"/>
            <w:tcBorders>
              <w:top w:val="nil"/>
              <w:left w:val="nil"/>
              <w:bottom w:val="nil"/>
              <w:right w:val="nil"/>
              <w:tl2br w:val="nil"/>
              <w:tr2bl w:val="nil"/>
            </w:tcBorders>
            <w:noWrap/>
            <w:vAlign w:val="center"/>
          </w:tcPr>
          <w:p>
            <w:pPr>
              <w:rPr>
                <w:rFonts w:ascii="黑体" w:eastAsia="黑体"/>
                <w:color w:val="000000"/>
                <w:sz w:val="18"/>
              </w:rPr>
            </w:pPr>
          </w:p>
        </w:tc>
        <w:tc>
          <w:tcPr>
            <w:tcW w:w="958" w:type="dxa"/>
            <w:gridSpan w:val="2"/>
            <w:tcBorders>
              <w:top w:val="nil"/>
              <w:left w:val="nil"/>
              <w:bottom w:val="nil"/>
              <w:right w:val="nil"/>
              <w:tl2br w:val="nil"/>
              <w:tr2bl w:val="nil"/>
            </w:tcBorders>
            <w:noWrap/>
            <w:vAlign w:val="center"/>
          </w:tcPr>
          <w:p>
            <w:pPr>
              <w:rPr>
                <w:rFonts w:ascii="黑体" w:eastAsia="黑体"/>
                <w:color w:val="000000"/>
                <w:sz w:val="18"/>
              </w:rPr>
            </w:pPr>
          </w:p>
        </w:tc>
        <w:tc>
          <w:tcPr>
            <w:tcW w:w="742" w:type="dxa"/>
            <w:tcBorders>
              <w:top w:val="nil"/>
              <w:left w:val="nil"/>
              <w:bottom w:val="nil"/>
              <w:right w:val="nil"/>
              <w:tl2br w:val="nil"/>
              <w:tr2bl w:val="nil"/>
            </w:tcBorders>
            <w:noWrap/>
            <w:vAlign w:val="center"/>
          </w:tcPr>
          <w:p>
            <w:pPr>
              <w:rPr>
                <w:rFonts w:ascii="黑体" w:eastAsia="黑体"/>
                <w:color w:val="000000"/>
                <w:sz w:val="18"/>
              </w:rPr>
            </w:pPr>
          </w:p>
        </w:tc>
        <w:tc>
          <w:tcPr>
            <w:tcW w:w="1301" w:type="dxa"/>
            <w:tcBorders>
              <w:top w:val="nil"/>
              <w:left w:val="nil"/>
              <w:bottom w:val="nil"/>
              <w:right w:val="nil"/>
              <w:tl2br w:val="nil"/>
              <w:tr2bl w:val="nil"/>
            </w:tcBorders>
            <w:noWrap/>
            <w:vAlign w:val="center"/>
          </w:tcPr>
          <w:p>
            <w:pPr>
              <w:rPr>
                <w:rFonts w:ascii="黑体" w:eastAsia="黑体"/>
                <w:color w:val="000000"/>
                <w:sz w:val="18"/>
              </w:rPr>
            </w:pPr>
          </w:p>
        </w:tc>
        <w:tc>
          <w:tcPr>
            <w:tcW w:w="1000" w:type="dxa"/>
            <w:tcBorders>
              <w:top w:val="nil"/>
              <w:left w:val="nil"/>
              <w:bottom w:val="nil"/>
              <w:right w:val="nil"/>
              <w:tl2br w:val="nil"/>
              <w:tr2bl w:val="nil"/>
            </w:tcBorders>
            <w:noWrap/>
            <w:vAlign w:val="center"/>
          </w:tcPr>
          <w:p>
            <w:pPr>
              <w:rPr>
                <w:rFonts w:ascii="黑体" w:eastAsia="黑体"/>
                <w:color w:val="000000"/>
                <w:sz w:val="18"/>
              </w:rPr>
            </w:pPr>
          </w:p>
        </w:tc>
        <w:tc>
          <w:tcPr>
            <w:tcW w:w="1493" w:type="dxa"/>
            <w:tcBorders>
              <w:top w:val="nil"/>
              <w:left w:val="nil"/>
              <w:bottom w:val="nil"/>
              <w:right w:val="nil"/>
              <w:tl2br w:val="nil"/>
              <w:tr2bl w:val="nil"/>
            </w:tcBorders>
            <w:noWrap/>
            <w:vAlign w:val="center"/>
          </w:tcPr>
          <w:p>
            <w:pPr>
              <w:rPr>
                <w:rFonts w:ascii="黑体" w:eastAsia="黑体"/>
                <w:color w:val="000000"/>
                <w:sz w:val="18"/>
              </w:rPr>
            </w:pPr>
          </w:p>
        </w:tc>
        <w:tc>
          <w:tcPr>
            <w:tcW w:w="1245" w:type="dxa"/>
            <w:tcBorders>
              <w:top w:val="nil"/>
              <w:left w:val="nil"/>
              <w:bottom w:val="nil"/>
              <w:right w:val="nil"/>
              <w:tl2br w:val="nil"/>
              <w:tr2bl w:val="nil"/>
            </w:tcBorders>
            <w:noWrap/>
            <w:vAlign w:val="center"/>
          </w:tcPr>
          <w:p>
            <w:pPr>
              <w:rPr>
                <w:rFonts w:ascii="黑体" w:eastAsia="黑体"/>
                <w:color w:val="000000"/>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51320025T000012176753-"索玛花开"专项经费</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改善阿坝州城、乡户籍（民政服务对象）及城乡困难家庭的白内障患者生活水平和质量，共享经济社会文明成果，共建和谐社会。为具有阿坝州城、乡户籍（民政服务对象）及城乡困难家庭的白内障患者免费治疗。</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此项目目标为200例，完成223例，超额完成目标任务。</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2024年9月1日-2025年8月31日，省民政厅投入40万元补助200名白内障患者复明手术，符合《索玛花开》白内障手术项目补助条件的，在我州指定合作医院中手术的病员，完成医保报销后，患者享受人均2000元的补助，确保救治患者免费治疗。阿坝州人民医院承担150名白内障患者免费复明手术，补助金额30万元，汶川县人民医院承担50名白内障患者免费复明手术，补助金额10万元。</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24.47</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24.47</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24.47</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24.47</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为大于等于200名白内障患者免费进行手术治疗。</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223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提高患者生活质量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024年8月1月-2025年7月31日</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让患者减轻经济负担</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有效减轻负担</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0.2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共享经济社会文明成果，共建和谐社会。</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社会有效共鸣</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223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患者术后对生活质量满意度大大提升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让患者重获光明，对生活充满向往，对社会满意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比较满意</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0.2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67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项目绩效自评总体得分204分。项目实施取得了一定成果，帮助我州众多患者重见光明。</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我州属于高原地区，海波较高，日晒较长，紫外线较强容易导致群众患上白内障疾病，但是更多的患者对此项目的知晓度不够，在宣传方面需加大宣传力度。</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加强培训，强化人才培养与队伍建设，出台激励政策。加强与卫生健康、残联等部门的合作，整合资源，加强信息共享，形成工作合力。</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黑体" w:eastAsia="黑体"/>
                <w:color w:val="000000"/>
                <w:sz w:val="18"/>
              </w:rPr>
            </w:pPr>
          </w:p>
        </w:tc>
        <w:tc>
          <w:tcPr>
            <w:tcW w:w="1775" w:type="dxa"/>
            <w:tcBorders>
              <w:top w:val="nil"/>
              <w:left w:val="nil"/>
              <w:bottom w:val="nil"/>
              <w:right w:val="nil"/>
              <w:tl2br w:val="nil"/>
              <w:tr2bl w:val="nil"/>
            </w:tcBorders>
            <w:noWrap/>
            <w:vAlign w:val="center"/>
          </w:tcPr>
          <w:p>
            <w:pPr>
              <w:rPr>
                <w:rFonts w:ascii="黑体" w:eastAsia="黑体"/>
                <w:color w:val="000000"/>
                <w:sz w:val="18"/>
              </w:rPr>
            </w:pPr>
          </w:p>
        </w:tc>
        <w:tc>
          <w:tcPr>
            <w:tcW w:w="1950" w:type="dxa"/>
            <w:tcBorders>
              <w:top w:val="nil"/>
              <w:left w:val="nil"/>
              <w:bottom w:val="nil"/>
              <w:right w:val="nil"/>
              <w:tl2br w:val="nil"/>
              <w:tr2bl w:val="nil"/>
            </w:tcBorders>
            <w:noWrap/>
            <w:vAlign w:val="center"/>
          </w:tcPr>
          <w:p>
            <w:pPr>
              <w:rPr>
                <w:rFonts w:ascii="黑体" w:eastAsia="黑体"/>
                <w:color w:val="000000"/>
                <w:sz w:val="18"/>
              </w:rPr>
            </w:pPr>
          </w:p>
        </w:tc>
        <w:tc>
          <w:tcPr>
            <w:tcW w:w="1962" w:type="dxa"/>
            <w:tcBorders>
              <w:top w:val="nil"/>
              <w:left w:val="nil"/>
              <w:bottom w:val="nil"/>
              <w:right w:val="nil"/>
              <w:tl2br w:val="nil"/>
              <w:tr2bl w:val="nil"/>
            </w:tcBorders>
            <w:noWrap/>
            <w:vAlign w:val="center"/>
          </w:tcPr>
          <w:p>
            <w:pPr>
              <w:rPr>
                <w:rFonts w:ascii="黑体" w:eastAsia="黑体"/>
                <w:color w:val="000000"/>
                <w:sz w:val="18"/>
              </w:rPr>
            </w:pPr>
          </w:p>
        </w:tc>
        <w:tc>
          <w:tcPr>
            <w:tcW w:w="1012" w:type="dxa"/>
            <w:tcBorders>
              <w:top w:val="nil"/>
              <w:left w:val="nil"/>
              <w:bottom w:val="nil"/>
              <w:right w:val="nil"/>
              <w:tl2br w:val="nil"/>
              <w:tr2bl w:val="nil"/>
            </w:tcBorders>
            <w:noWrap/>
            <w:vAlign w:val="center"/>
          </w:tcPr>
          <w:p>
            <w:pPr>
              <w:rPr>
                <w:rFonts w:ascii="黑体" w:eastAsia="黑体"/>
                <w:color w:val="000000"/>
                <w:sz w:val="18"/>
              </w:rPr>
            </w:pPr>
          </w:p>
        </w:tc>
        <w:tc>
          <w:tcPr>
            <w:tcW w:w="958" w:type="dxa"/>
            <w:gridSpan w:val="2"/>
            <w:tcBorders>
              <w:top w:val="nil"/>
              <w:left w:val="nil"/>
              <w:bottom w:val="nil"/>
              <w:right w:val="nil"/>
              <w:tl2br w:val="nil"/>
              <w:tr2bl w:val="nil"/>
            </w:tcBorders>
            <w:noWrap/>
            <w:vAlign w:val="center"/>
          </w:tcPr>
          <w:p>
            <w:pPr>
              <w:rPr>
                <w:rFonts w:ascii="黑体" w:eastAsia="黑体"/>
                <w:color w:val="000000"/>
                <w:sz w:val="18"/>
              </w:rPr>
            </w:pPr>
          </w:p>
        </w:tc>
        <w:tc>
          <w:tcPr>
            <w:tcW w:w="742" w:type="dxa"/>
            <w:tcBorders>
              <w:top w:val="nil"/>
              <w:left w:val="nil"/>
              <w:bottom w:val="nil"/>
              <w:right w:val="nil"/>
              <w:tl2br w:val="nil"/>
              <w:tr2bl w:val="nil"/>
            </w:tcBorders>
            <w:noWrap/>
            <w:vAlign w:val="center"/>
          </w:tcPr>
          <w:p>
            <w:pPr>
              <w:rPr>
                <w:rFonts w:ascii="黑体" w:eastAsia="黑体"/>
                <w:color w:val="000000"/>
                <w:sz w:val="18"/>
              </w:rPr>
            </w:pPr>
          </w:p>
        </w:tc>
        <w:tc>
          <w:tcPr>
            <w:tcW w:w="1301" w:type="dxa"/>
            <w:tcBorders>
              <w:top w:val="nil"/>
              <w:left w:val="nil"/>
              <w:bottom w:val="nil"/>
              <w:right w:val="nil"/>
              <w:tl2br w:val="nil"/>
              <w:tr2bl w:val="nil"/>
            </w:tcBorders>
            <w:noWrap/>
            <w:vAlign w:val="center"/>
          </w:tcPr>
          <w:p>
            <w:pPr>
              <w:rPr>
                <w:rFonts w:ascii="黑体" w:eastAsia="黑体"/>
                <w:color w:val="000000"/>
                <w:sz w:val="18"/>
              </w:rPr>
            </w:pPr>
          </w:p>
        </w:tc>
        <w:tc>
          <w:tcPr>
            <w:tcW w:w="1000" w:type="dxa"/>
            <w:tcBorders>
              <w:top w:val="nil"/>
              <w:left w:val="nil"/>
              <w:bottom w:val="nil"/>
              <w:right w:val="nil"/>
              <w:tl2br w:val="nil"/>
              <w:tr2bl w:val="nil"/>
            </w:tcBorders>
            <w:noWrap/>
            <w:vAlign w:val="center"/>
          </w:tcPr>
          <w:p>
            <w:pPr>
              <w:rPr>
                <w:rFonts w:ascii="黑体" w:eastAsia="黑体"/>
                <w:color w:val="000000"/>
                <w:sz w:val="18"/>
              </w:rPr>
            </w:pPr>
          </w:p>
        </w:tc>
        <w:tc>
          <w:tcPr>
            <w:tcW w:w="1493" w:type="dxa"/>
            <w:tcBorders>
              <w:top w:val="nil"/>
              <w:left w:val="nil"/>
              <w:bottom w:val="nil"/>
              <w:right w:val="nil"/>
              <w:tl2br w:val="nil"/>
              <w:tr2bl w:val="nil"/>
            </w:tcBorders>
            <w:noWrap/>
            <w:vAlign w:val="center"/>
          </w:tcPr>
          <w:p>
            <w:pPr>
              <w:rPr>
                <w:rFonts w:ascii="黑体" w:eastAsia="黑体"/>
                <w:color w:val="000000"/>
                <w:sz w:val="18"/>
              </w:rPr>
            </w:pPr>
          </w:p>
        </w:tc>
        <w:tc>
          <w:tcPr>
            <w:tcW w:w="1245" w:type="dxa"/>
            <w:tcBorders>
              <w:top w:val="nil"/>
              <w:left w:val="nil"/>
              <w:bottom w:val="nil"/>
              <w:right w:val="nil"/>
              <w:tl2br w:val="nil"/>
              <w:tr2bl w:val="nil"/>
            </w:tcBorders>
            <w:noWrap/>
            <w:vAlign w:val="center"/>
          </w:tcPr>
          <w:p>
            <w:pPr>
              <w:rPr>
                <w:rFonts w:ascii="黑体" w:eastAsia="黑体"/>
                <w:color w:val="000000"/>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51320025T000012493640-社会救助与社会福利专项经费</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保障会救助与社会福利工作相关人员督导差旅费及办公经费，提高社会救助工作质效。</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安排资金10万元，主要用于社会救助与社会福利工作人员的督导差旅费及办公经费支出，确保各项救助政策精准落实，困难群众基本生活权益得到有效保障。</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进一步提升全州社会救助与社会福利工作质效，保障基层督导检查、业务培训及日常办公正常开展，设立社会救助与社会福利专项经费。项目安排资金10万元，主要用于社会救助与社会福利工作人员的督导差旅费及办公经费支出，确保各项救助政策精准落实，困难群众基本生活权益得到有效保障。</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保障正常办公运转数量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出差次数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批次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印制宣传资料合格率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工作序时开展及时性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群众对会救助与社会福利政策宣传知晓度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抽样群众对会救助与社会福利政策宣传满意度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该项工作总成本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项目绩效自评总体得分220分。项目实施达到了预期效果，有效保障了社会救助督导及办公经费需求，对提升全州社会救助工作质效发挥了积极作用。</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我州地域辽阔，部分乡镇距离县城较远，开展入户核查和督导工作的交通成本高、时间长，现有经费有时难以完全满足深度督导的需求。此外，基层救助工作人员流动性较大，新上岗人员的业务能力需持续跟踪培训。</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一是强化统筹，优化督导路线和频次，尽量合并任务，降低交通成本，提高资金使用效益。二是创新培训，探索运用线上培训、以干代训等方式，提升培训覆盖面和实效性。三是完善协同，加强与财政、医保、残联等部门的信息共享，减少重复核查，形成工作合力，进一步提升社会救助整体质效。</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olor w:val="000000"/>
                <w:sz w:val="18"/>
              </w:rPr>
            </w:pPr>
          </w:p>
          <w:p>
            <w:pPr>
              <w:rPr>
                <w:rFonts w:ascii="黑体" w:eastAsia="黑体"/>
                <w:color w:val="000000"/>
                <w:sz w:val="18"/>
              </w:rPr>
            </w:pPr>
          </w:p>
          <w:p>
            <w:pPr>
              <w:pStyle w:val="15"/>
            </w:pPr>
          </w:p>
          <w:p>
            <w:pPr>
              <w:pStyle w:val="17"/>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51320026T000014111006-民政事业发展补助资金</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开展“蜀光工程”公益助残项目，为困难家庭白内障患者解除疾苦、重见光明、回归正常生活。</w:t>
            </w:r>
          </w:p>
          <w:p>
            <w:pPr>
              <w:rPr>
                <w:rFonts w:ascii="宋体" w:eastAsia="宋体" w:cs="Lucida Sans"/>
                <w:color w:val="000000"/>
                <w:sz w:val="18"/>
              </w:rPr>
            </w:pP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此项目实施时间为2025年4月-2026年6月，目前完成304例，支付资金52.53万元，项目正在持续实施中。</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4月-2026年6月，省民政厅投入70万元补助350名白内障患者复明手术，符合《蜀光工程》白内障手术项目补助条件的，在我州指定合作医院中手术的病员，完成医保报销后，患者享受人均2000元的补助，确保救治患者免费治疗。阿坝州人民医院承担200名白内障患者免费复明手术，补助金额40万元，汶川县人民医院承担150名白内障患者免费复明手术，补助金额30万元。</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52.53</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52.53</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52.53</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52.53</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白内障手术实施人数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304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提升受助对象的生活质量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项目实施完成时间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2026年8月15日前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民政事业发展成效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成效显著</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成效明显</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“蜀光工程”受助人员持续增加</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持续增加</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持续增加</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白内障手术对象满意度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减少受助人员家庭经济负担</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304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项目绩效自评总体得分204分。项目实施取得了一定成果，帮助我州众多患者重见光明。</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我州属于高原地区，海波较高，日晒较长，紫外线较强容易导致群众患上白内障疾病，但是更多的患者对此项目的知晓度不够，在宣传方面需加大宣传力度。</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加强培训，强化人才培养与队伍建设，出台激励政策。加强与卫生健康、残联等部门的合作，整合资源，加强信息共享，形成工作合力。</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51320026T000014494274-四川省社会救助综合服务平台和低收入人口动态监测预警平台建设项目维护服务</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以集约化思想建设社会救助综合服务平台、低收入人口资源库及监测预警平台强化社会救助数据资源、服务能力的建设，保障公民的基本生活，促进社会公平，维护社会和谐稳定，以现有的民政救助信息化系统、政务信息共享平台、数据资源局云平台等为基础，构建社会救助综合服务平台、低收入人口资源库及监测预警平台，通过创新社会救助工作和管理模式，完善社会救助信息共享与监管，加强部门之间的统筹协调和密切配合，加强救助效果分析和工作监督，提升社会救助整体效益，形成分工协作、齐抓共管、全面推进的良好局面。</w:t>
            </w:r>
          </w:p>
          <w:p>
            <w:pPr>
              <w:rPr>
                <w:rFonts w:ascii="宋体" w:eastAsia="宋体" w:cs="Lucida Sans"/>
                <w:color w:val="000000"/>
                <w:sz w:val="18"/>
              </w:rPr>
            </w:pP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一是强化统筹，优化督导路线和频次，尽量合并任务，降低交通成本，提高资金使用效益。二是创新培训，探索运用线上培训、以干代训等方式，提升培训覆盖面和实效性。三是完善协同，加强与财政、医保、残联等部门的信息共享，减少重复核查，形成工作合力，进一步提升社会救助整体质效。</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台日常技术维护，包括系统BUG修复、故障处理、数据维护、硬件调试、定期巡检、功能本地化调整、操作培训及应急响应等服务。确保两个业务平台安全、稳定、高效运行，支撑全州社会救助工作数字化转型，提升基层经办服务效率。支持方向为支付第三方运维服务费用，涵盖系统维护、技术支持、人员培训等。</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对新申请城乡低保、特困人员、临时救助人员和未纳入保障范围内的人员进行预警监测</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450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对暂时不符合低保、特困进行监测</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及时对不符合城乡低保、特困人员、临时救助人员进行回复</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对新申请城乡低保、特困人员、临时救助人员应保尽保，应助尽助。</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平台长期对新申请城乡低保、特困人员、临时救助人员进行预警监测</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群众满意度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每年向财政申请平台维护费用</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2.58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67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项目绩效自评总体得分204分。项目实施达到预期效果，有效保障了四川省社会救助综合服务平台和低收入人口动态监测预警平台的安全稳定运行，为全州社会救助工作提供了可靠的技术支撑。</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一是部分偏远乡镇网络条件较差，偶有系统登录缓慢现象，运维方虽能远程指导但难以根本解决；二是本地化功能调整需求偶有临时增加，有时超出常规运维范围，需启动额外沟通流程；三是对基层操作人员的个性化指导还不够深入。</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一是强化网络协同，加强与通信运营商沟通，协调改善偏远地区网络基础设施，同时优化系统轻量化运行能力。二是完善需求管理，进一步梳理本地化调整的常规需求和非常规需求，明确运维边界，对重大功能调整提前纳入预算规划。三是深化培训指导，除集中培训外，探索制作操作短视频、编制简易手册等方式，方便基层人员随时查阅学习，持续提升系统应用水平。</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项目负责人：胡志才</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p>
            <w:pPr>
              <w:pStyle w:val="15"/>
            </w:pPr>
          </w:p>
          <w:p>
            <w:pPr>
              <w:pStyle w:val="17"/>
            </w:pPr>
          </w:p>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p>
            <w:pPr>
              <w:pStyle w:val="15"/>
            </w:pPr>
          </w:p>
          <w:p>
            <w:pPr>
              <w:pStyle w:val="17"/>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51320025T000012578249-儿童福利工作专项经费</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各县（市）儿童主任、民政部门工作人员工作开展中的相关儿童福利政策、工作职责、出现的重点、难点问题等进行详细的讲解，进一步提升基层工作人员对政策的知悉率达到90%及以上。压实相关的工作职责；印制《未成年人保护法》、《预防未成年人犯罪法》及未成年人保护六项措施、关爱困境儿童三年行动等儿童福利现行政策宣传资料，通过宣传提高儿童福利政策知晓率，加强未成年人权益保护，提升儿童福利工作水平。</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已完成对各县（市）儿童主任及民政工作人员的政策、职责、重难点讲解，全力推动基层政策知悉率达90%以上，压实工作职责，印制发放相关政策宣传资料，助力提升政策知晓率与儿童福利工作水平。</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实施中主要对民政相关工作人员、儿童督导员、儿童主任开展儿童福利政策、工作职责、出现的重点、难点问题等进行详细督导，并全力推动基层政策知悉率达90%以上，压实工作职责，印制发放相关政策宣传资料，助力提升政策知晓率与儿童福利工作水平。</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9.18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9.18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9.18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9.18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宣传资料印制份数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份</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460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2"/>
              </w:rPr>
            </w:pPr>
            <w:r>
              <w:rPr>
                <w:rFonts w:ascii="仿宋_GB2312" w:eastAsia="仿宋_GB2312" w:cs="Lucida Sans"/>
                <w:color w:val="000000"/>
                <w:sz w:val="12"/>
              </w:rPr>
              <w:t>宣传资料由单份综合印制为综合资料，故打印份数缩减为460份</w:t>
            </w: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资料印刷合格率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民政儿童福利政策知晓率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抽样受宣传人员满意度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2"/>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各县宣传资料印制平均数量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份/县</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36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2"/>
              </w:rPr>
            </w:pPr>
            <w:r>
              <w:rPr>
                <w:rFonts w:ascii="仿宋_GB2312" w:eastAsia="仿宋_GB2312" w:cs="Lucida Sans"/>
                <w:color w:val="000000"/>
                <w:sz w:val="12"/>
              </w:rPr>
              <w:t>宣传资料由单份综合印制为综合资料，故打印份数缩减</w:t>
            </w: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儿童工作办公成本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6.34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8"/>
              </w:rPr>
            </w:pPr>
            <w:r>
              <w:rPr>
                <w:rFonts w:ascii="仿宋_GB2312" w:eastAsia="仿宋_GB2312" w:cs="Lucida Sans"/>
                <w:color w:val="000000"/>
                <w:sz w:val="18"/>
              </w:rPr>
              <w:t>项目实施取得显著成效，已完成对各县（市）儿童主任及民政工作人员的政策、工作职责、工作重难点全面讲解，有效提升基层工作人员政策理解与执行能力，全力推动基层政策知悉率达到90%以上。同时，压实各级相关工作职责，印制并发放儿童福利相关政策宣传资料，广泛普及政策知识，进一步提高了儿童福利政策知晓率，强化了未成年人权益保护，切实提升了基层儿童福利工作规范化水平，为儿童福利事业高质量发展奠定坚实基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8"/>
              </w:rPr>
            </w:pPr>
            <w:r>
              <w:rPr>
                <w:rFonts w:ascii="仿宋_GB2312" w:eastAsia="仿宋_GB2312" w:cs="Lucida Sans"/>
                <w:color w:val="000000"/>
                <w:sz w:val="18"/>
              </w:rPr>
              <w:t>结合自评情况，当前工作仍存在一些问题：政策讲解深度不足，部分基层工作人员对政策细节掌握不扎实，政策知悉率未完全稳定在90%以上；宣传资料由单份一政策印制为综合资料，故打印份数缩减；政策宣传形式较为单一，覆盖面和渗透力有限，未能充分提升群众政策知晓率。主要原因是对基层实际需求调研不深入，工作方式缺乏创新，督导检查力度不足，未能及时发现并解决基层落实中的薄弱环节。</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8"/>
              </w:rPr>
            </w:pPr>
            <w:r>
              <w:rPr>
                <w:rFonts w:ascii="仿宋_GB2312" w:eastAsia="仿宋_GB2312" w:cs="Lucida Sans"/>
                <w:color w:val="000000"/>
                <w:sz w:val="18"/>
              </w:rPr>
              <w:t>针对项目自评发现的问题，下一步改进建议如下：一是深化政策讲解，结合基层实际细化培训内容，确保政策知悉率稳定在90%以上；二是强化督导考核，进一步压实基层工作职责，提升履职主动性；三是创新宣传形式，加强宣传资料印制计划，拓宽宣传渠道，增强政策宣传覆盖面与渗透力。建议完善基层培训长效机制，加大政策宣传投入，助力提升儿童福利工作规范化、精细化水平。</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项目负责人：申振鹏</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51320022T000004704282-州慈善总会办公室专项经费</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照2025年工作计划安排，初步制定以下工作目标：第一，完成省民政厅、省慈社服务中心级省慈善联合总会下达的各项工作任务，主要包括各慈善项目的申请、执行、整理、上报。第二，加强与省、市（州）、浙江省慈善组织的交流和协作；第三，完成日常慈善捐赠物资的接收和使用工作；第四，组织全州慈善会业务人员外地先进慈善会进行交流学习，并就《中华人民共和国慈善法》等相关法律、法规和制度以及业务能力提升的相关内容进行培训；第五，推进和服务全州慈善组织依法依规开展慈善活动，大力宣传慈善爱心文化，让慈善理念深入人心；第六，保障慈善事业发展人员差旅及公务用车运行维护；第七制作相关宣传广告、图文资料及音像视频等宣传品，进一步切实加大对慈善总会公益品牌活动宣传，不断创新宣传工作方式方法，全力构建慈善总会大宣传格局，大力动员社会各界积极支持和参与慈善总会事业。第八，召开阿坝州慈善总会理事会相关会议。第九通过开展慈善活动，提升社会救助水平，改善困难群众生活条件，贫困率有所下降。</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已全面完成省、州级慈善工作任务，规范做好捐赠物资管理使用；组织业务培训与慈善宣传，召开理事会，有效提升救助水平，改善困难群众生活。</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严格按年度计划推进：落实省级慈善项目任务，规范捐赠物资管理；组织业务交流与《慈善法》培训，提升队伍能力；制作多类宣传品弘扬慈善理念；保障公务出行，召开理事会；开展公益活动，提升社会救助水平，改善困难群众生活。</w:t>
            </w:r>
          </w:p>
        </w:tc>
      </w:tr>
      <w:tr>
        <w:trPr>
          <w:trHeight w:val="13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19.81</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19.81</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19.81</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19.81</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理事会召开次数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完成慈善活动数量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培训次数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慈善工作规范率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贫困率下降</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有所下降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有所下降</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受助对象满意度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本项目严格按年度计划推进：落实省级慈善项目任务，规范捐赠物资管理；组织业务交流与《慈善法》培训，提升队伍能力；制作多类宣传品弘扬慈善理念；保障公务出行，召开理事会；开展公益活动，提升社会救助水平，改善困难群众生活。</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慈善宣传方式较为传统，新媒体运用不足；基层慈善队伍专业能力有待提升。</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创新宣传载体，强化新媒体运用；加强业务培训，提升队伍专业素养。</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项目负责人：泽晓欢</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51320023T000007892225-福彩帮困助学项目</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年目标如下：1.贫困学生50名，每人资助5000元。2，被省内外大专及以上院校录取具有阿坝州户籍的贫困家庭学生；低保户、脱贫户、孤儿（含事实孤儿）、贫困烈（军）属子女、贫困残疾人子女、贫困见义勇为者子女和丧失主要劳动力的贫困家庭学生优先资助。</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8"/>
              </w:rPr>
            </w:pPr>
            <w:r>
              <w:rPr>
                <w:rFonts w:ascii="仿宋_GB2312" w:eastAsia="仿宋_GB2312" w:cs="Lucida Sans"/>
                <w:color w:val="000000"/>
                <w:sz w:val="18"/>
              </w:rPr>
              <w:t>已按计划资助贫困学生50名，每人资助标准5000元，均为符合条件的困难家庭学生；助学工作按时完成率达100%，于本年度内顺利结束，有效保障了困难学生就学需求。</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8"/>
              </w:rPr>
            </w:pPr>
            <w:r>
              <w:rPr>
                <w:rFonts w:ascii="仿宋_GB2312" w:eastAsia="仿宋_GB2312" w:cs="Lucida Sans"/>
                <w:color w:val="000000"/>
                <w:sz w:val="18"/>
              </w:rPr>
              <w:t>本项目通过精准摸排，确定50名符合条件的贫困学生，按每人5000元标准发放资助金；同步开展政策宣传与信息核实，规范资金拨付流程，确保专款专用，按时完成全部助学任务。</w:t>
            </w:r>
          </w:p>
        </w:tc>
      </w:tr>
      <w:tr>
        <w:trPr>
          <w:trHeight w:val="551"/>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8"/>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帮困学生数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50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助学工作按时完成率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本年度内</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12月30日</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社会影响</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助学帮扶,提高困难学生帮扶</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帮扶贫困学生50人</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教育成果改善</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学生学习成果持续上升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贫困学生学习成果有所提高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帮扶对象满意度指标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帮困学生满意度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人均资助标准</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color w:val="000000"/>
                <w:sz w:val="16"/>
              </w:rPr>
            </w:pPr>
            <w:r>
              <w:rPr>
                <w:rFonts w:ascii="仿宋_GB2312" w:eastAsia="仿宋_GB2312" w:cs="Lucida Sans"/>
                <w:color w:val="000000"/>
                <w:sz w:val="16"/>
              </w:rPr>
              <w:t>5000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8"/>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96</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b w:val="0"/>
                <w:i/>
                <w:color w:val="000000"/>
                <w:sz w:val="18"/>
              </w:rPr>
            </w:pPr>
            <w:r>
              <w:rPr>
                <w:rFonts w:ascii="仿宋_GB2312" w:eastAsia="仿宋_GB2312" w:cs="Lucida Sans"/>
                <w:b w:val="0"/>
                <w:i/>
                <w:color w:val="000000"/>
                <w:sz w:val="18"/>
              </w:rPr>
              <w:t>本项目自评总分为96分，预算执行率100%，圆满完成帮困学生50人的目标，助学工作按时完成率100%，人均资助标准落实到位，学生满意度达95%。项目有效帮扶了困难学生，提升了教育保障水平，取得了良好的社会效益，达到了预期绩效目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b w:val="0"/>
                <w:i/>
                <w:color w:val="000000"/>
                <w:sz w:val="18"/>
              </w:rPr>
            </w:pPr>
            <w:r>
              <w:rPr>
                <w:rFonts w:ascii="仿宋_GB2312" w:eastAsia="仿宋_GB2312" w:cs="Lucida Sans"/>
                <w:b w:val="0"/>
                <w:i/>
                <w:color w:val="000000"/>
                <w:sz w:val="18"/>
              </w:rPr>
              <w:t>收集资料困难，资料汇总迟缓。主要原因是困难学生分布较为分散，跨区域摸排和资料收集耗时较长，一定程度上影响了整体工作进度。</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仿宋_GB2312" w:eastAsia="仿宋_GB2312" w:cs="Lucida Sans"/>
                <w:b w:val="0"/>
                <w:i/>
                <w:color w:val="000000"/>
                <w:sz w:val="18"/>
              </w:rPr>
            </w:pPr>
            <w:r>
              <w:rPr>
                <w:rFonts w:ascii="仿宋_GB2312" w:eastAsia="仿宋_GB2312" w:cs="Lucida Sans"/>
                <w:b w:val="0"/>
                <w:i/>
                <w:color w:val="000000"/>
                <w:sz w:val="18"/>
              </w:rPr>
              <w:t>1. 优化摸排机制：联合各县（市）民政、教育部门建立学生信息共享机制，提前梳理困难学生分布情况，采用线上填报+线下分片包干的方式，提升资料收集效率。2. 简化报送流程：设计标准化电子表单与资料清单，通过政务微信、线上平台推送填报指引，减少学生及家庭重复提交材料，加快资料汇总进度。3. 强化协同联动：建立季度工作调度会，明确各环节时限要求，压实县（市）级经办责任，对进度滞后的地区及时督导，保障项目全流程高效推进。4. 拓展宣传渠道：通过乡镇、学校、村社多渠道宣传助学政策，提前告知申报要求，提升家庭主动申报意愿，从源头缓解资料收集压力。</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项目负责人：泽晓欢</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51320025T000013718387-移动云—云信大数据服务</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加强惠民补贴政策宣传，全面实现从“群众找政策”到“政策找人”的转变，确保群众全面了解各类民政政策。</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已发送惠民政策宣传短信100万条，覆盖目标人群，政策知晓度有效提升，宣传及时率90%，受益人群覆盖率70%，群众满意度90%，成本控制在8.7万元以内。全面完成年度目标。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与移动公司合作，利用移动云平台向全州群众发送惠民政策宣传短信。全年累计发送短信100万条，覆盖目标人群，实现“群众找政策”到“政策找人”的转变，有效提升政策知晓率。</w:t>
            </w:r>
          </w:p>
        </w:tc>
      </w:tr>
      <w:tr>
        <w:trPr>
          <w:trHeight w:val="13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8.68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8.68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8.68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8.68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发送各类惠民政策宣传短信</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100万条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提升群众各类民政政策知晓度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政策宣传对象中受益人群的覆盖率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75%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宣传各类政策及时率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提升公众对民政政策的认识，进而民政良性事业发展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促进作用</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促进作用</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群众对新宣传方式（短信宣传）的满意度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短信宣传民政政策成本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87000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87000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项目按计划完成，发送短信100万条，有效提升群众政策知晓度，满意度达90%，成本控制良好，取得较好社会效益。</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进一步优化短信内容，探索多渠道宣传方式，提升宣传精准度。</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p>
            <w:pPr>
              <w:rPr>
                <w:rFonts w:ascii="宋体" w:eastAsia="宋体"/>
                <w:sz w:val="18"/>
              </w:rPr>
            </w:pPr>
          </w:p>
          <w:p>
            <w:pPr>
              <w:pStyle w:val="15"/>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51320022T000000341759-电子政务运行维护及档案数字化建设经费</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保证民政会议系统、门户网站维护、电子政务运行网络费及档案数字化建设.</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完成各类系统及网站维护，电子信息化建设通过率100%，维护通过率100%，项目按时完成，民政服务能力提升95%，工作人员及服务对象满意度均达95%。全面完成目标。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对民政会议系统、门户网站、电子政务网络进行常态化维护，确保系统稳定运行；同步开展档案数字化建设，完成档案扫描、录入及数据库建设，提升信息化服务水平。</w:t>
            </w:r>
          </w:p>
        </w:tc>
      </w:tr>
      <w:tr>
        <w:trPr>
          <w:trHeight w:val="672"/>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nil"/>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数量指标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维护系统及网站数量</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w:t>
            </w:r>
          </w:p>
        </w:tc>
        <w:tc>
          <w:tcPr>
            <w:tcW w:w="742" w:type="dxa"/>
            <w:tcBorders>
              <w:top w:val="nil"/>
              <w:left w:val="nil"/>
              <w:bottom w:val="nil"/>
              <w:right w:val="nil"/>
              <w:tl2br w:val="nil"/>
              <w:tr2bl w:val="nil"/>
            </w:tcBorders>
            <w:noWrap/>
            <w:vAlign w:val="center"/>
          </w:tcPr>
          <w:p>
            <w:pPr>
              <w:jc w:val="center"/>
              <w:rPr>
                <w:rFonts w:ascii="宋体" w:eastAsia="宋体" w:cs="Lucida Sans"/>
                <w:color w:val="000000"/>
                <w:sz w:val="20"/>
              </w:rPr>
            </w:pPr>
            <w:r>
              <w:rPr>
                <w:rFonts w:ascii="宋体" w:eastAsia="宋体" w:cs="Lucida Sans"/>
                <w:color w:val="000000"/>
                <w:sz w:val="20"/>
              </w:rPr>
              <w:t>套</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质量指标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电子信息化建设通过率</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时效指标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项目完成时间</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定性</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按期完成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产出指标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质量指标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维护系统网站数量通过率</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效益指标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社会效益指标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提升民政服务能力</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nil"/>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满意度指标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服务对象满意度指标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工作人员满意度</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nil"/>
              <w:left w:val="single" w:sz="6" w:space="0" w:color="000000"/>
              <w:bottom w:val="single" w:sz="6" w:space="0" w:color="000000"/>
              <w:right w:val="nil"/>
              <w:tl2br w:val="nil"/>
              <w:tr2bl w:val="nil"/>
            </w:tcBorders>
            <w:noWrap/>
            <w:vAlign w:val="center"/>
          </w:tcPr>
          <w:p/>
        </w:tc>
        <w:tc>
          <w:tcPr>
            <w:tcW w:w="1775"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满意度指标</w:t>
            </w:r>
          </w:p>
        </w:tc>
        <w:tc>
          <w:tcPr>
            <w:tcW w:w="195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满意度指标</w:t>
            </w:r>
          </w:p>
        </w:tc>
        <w:tc>
          <w:tcPr>
            <w:tcW w:w="196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服务对象满意度</w:t>
            </w:r>
          </w:p>
        </w:tc>
        <w:tc>
          <w:tcPr>
            <w:tcW w:w="1012"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cs="Lucida Sans"/>
                <w:color w:val="000000"/>
                <w:sz w:val="20"/>
              </w:rPr>
            </w:pPr>
            <w:r>
              <w:rPr>
                <w:rFonts w:ascii="宋体" w:eastAsia="宋体" w:cs="Lucida Sans"/>
                <w:color w:val="000000"/>
                <w:sz w:val="20"/>
              </w:rPr>
              <w:t>≥</w:t>
            </w:r>
          </w:p>
        </w:tc>
        <w:tc>
          <w:tcPr>
            <w:tcW w:w="958" w:type="dxa"/>
            <w:gridSpan w:val="2"/>
            <w:tcBorders>
              <w:top w:val="single" w:sz="6" w:space="0" w:color="000000"/>
              <w:left w:val="nil"/>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系统运行稳定，档案数字化建设顺利，通过率高，服务能力提升明显，满意度达标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加强日常运维监测，定期安全检查，确保系统长期稳定。</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51320023T000007866602-车辆大修</w:t>
            </w:r>
          </w:p>
        </w:tc>
      </w:tr>
      <w:tr>
        <w:trPr>
          <w:trHeight w:val="8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该两辆车于2009年购置，分别已行驶60万公里。因车辆使用时间长，为确保车辆行驶安全，川UQ7777、 川U16888进行大修，通过车辆大修提高车辆安全性能，保障公务用车安全运行。</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完成2辆公务用车大修，工作完成率100%，按期完成，车辆安全运行率100%，用车人员满意度98%，节约购置成本0.1万元。全面完成目标。</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对川UQ7777、川U16888两辆公务用车进行大修。经公开询价确定维修单位，严格监督维修过程，按期完成大修，车辆安全性能恢复，保障公务出行安全。</w:t>
            </w:r>
          </w:p>
        </w:tc>
      </w:tr>
      <w:tr>
        <w:trPr>
          <w:trHeight w:val="7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15.92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15.90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99.91%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16.00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15.92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15.90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99.91%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完成车辆大修数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辆</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2辆</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工作完成率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按期完成</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按期完成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车辆安全运行率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工作人员满意度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用车人员满意度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节约车辆购置成本金额</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0.02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车辆大修按期完成，质量合格，安全运行率100%，节约成本，用车人员满意。</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加强日常保养，延长车辆使用寿命，降低维修成本。</w:t>
            </w:r>
          </w:p>
        </w:tc>
      </w:tr>
      <w:tr>
        <w:trPr>
          <w:trHeight w:val="56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51320025T000012838593-档案数字化建设专项经费</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加强档案保管保护工作的规范化和专业化,有效开展机关档案室标准化建设工作.</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建成档案数据库1个、示范档案室1个，设备验收合格率100%，档案查询效率显著提升，满意度85%。全面完成目标。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启动档案数字化建设，建成档案数据库1个、示范档案室1个。完成档案硬件设备采购及验收，实现档案查询电子化，提高档案管理效率和规范化水平。</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建设档案数据库</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1个</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示范档案室建成数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1个</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档案设备验收合格率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建设周期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长期</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长期</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提高档案查询效率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档案查询群体满意度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档案硬件设施费</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5万元</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档案数据库和示范档案室建成，设备合格率100%，查询效率提高，满意度达标。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完善档案数字化管理，加强数据安全，推动资源共享。</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51320025T000013718714-阿坝州民政局视频系统会议系统建设项目</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增强全州各级民政部门之间的沟通交流，充分整合各部门之间的会议资源，根据省厅有关要求，在现有高清视频会议系统上，建设完成省厅-州局-县（市）民政局高清视频会议系统的互联互通，并通过视频会议系统加强协调、协作。</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建成省-州-县三级视频会议系统，全年召开会议50余次，系统正常运行率99%，故障解决及时率99%，对接及时率99%，缩减差旅成本显著，满意度96%，运行成本13万元。全面完成目标。</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在现有高清视频会议系统基础上进行维修维护，全面实现省厅-州局-县（市）民政局三级互联互通。全年召开视频会议50余次，系统运行稳定，显著缩减差旅成本，提升沟通效率。</w:t>
            </w: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13.02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13.02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13.02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13.02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全年省、州、县视频会议及各类工作调度次数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50余次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系统正常运行率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系统解决故障及时率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及时参加省级会议，按照要求对接到县市</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缩减差旅费用成本、提高管理成效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省厅-州局-县（市）民政局对高清视频会议系统的互联互通的满意度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系统保障运行成本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131000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130200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视频会议系统实现互联互通，运行稳定，会议效率提升，成本控制良好，满意度高。</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加强系统维护，定期培训，探索更多应用场景</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项目负责人：周晓龙</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51320022T000006150947-两项改革“后半篇”文章专项资金</w:t>
            </w:r>
          </w:p>
        </w:tc>
      </w:tr>
      <w:tr>
        <w:trPr>
          <w:trHeight w:val="8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50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开展全省两项改革“后半篇”工作及州委重点工作部署延伸，按照省委、州委总体部署安排和州委2024年初部署的专项工作（属于两项改革“后半篇”的延伸工作，州委主要领导多次就相关工作作出重要批示），制定2025年重点项目和重点任务，建立州级巡回督导组适时开展督查检查，积极向上争取汇报，确保年底完成省级2025年度目标任务。具有相应的质量检查、验收等必要的控制措施或手段，有针对突发事件或未知风险的应急措施等。按照2024年度资金使用情况分析，两项改革“后半篇”及州委专项工作涉及两项改革“后半篇”的延伸资金主要用于：报送资料的打印、复印资料经费、采购办公及相关设施设备经费、专项业务经费、差旅费用、业务用车支出、会议费用、相关项目经费及其他省、州要求的相关图纸制作经费，绩效目标和绩效指标已量化可考核，并纳入年度省州县三级目标绩效考核内容，符合政策要求，与省级2021年至2025年规划一致，全面完成省州既定目标并通过两项改革后半篇工作提升基层治理水平，增强群众获得感。</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2025年全面完成省州两项改革“后半篇”年度目标，完成阿坝州行政区划图编制项目招标制作，落实巡回督导、质量验收与应急管控，资金规范使用，绩效指标全部达标，基层治理效能与群众获得感持续提升。</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项目围绕两项改革“后半篇”工作及州委重点工作部署延伸，落实省委、州委总体安排，推进2025年重点项目与任务落地。实施内容包括招标制作阿坝州行政区划图编制项目，规范使用专项资金，开展业务推进、资料报送等相关工作；过程中建立州级巡回督导机制，加强督查检查，做好质量验收与风险应急管控，积极向上汇报争取支持，确保完成省级年度目标，同步提升基层治理水平。</w:t>
            </w:r>
          </w:p>
        </w:tc>
      </w:tr>
      <w:tr>
        <w:trPr>
          <w:trHeight w:val="690"/>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6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35.74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35.74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35.74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35.74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督导检查次数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召开工作会议次数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资料印制次数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印刷资料合格率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755"/>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3"/>
                <w:szCs w:val="13"/>
              </w:rPr>
            </w:pPr>
            <w:r>
              <w:rPr>
                <w:rFonts w:ascii="宋体" w:eastAsia="宋体" w:cs="Lucida Sans"/>
                <w:color w:val="000000"/>
                <w:sz w:val="13"/>
                <w:szCs w:val="13"/>
              </w:rPr>
              <w:t>2025年12月31日前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1"/>
                <w:szCs w:val="11"/>
              </w:rPr>
            </w:pPr>
            <w:r>
              <w:rPr>
                <w:rFonts w:ascii="微软雅黑" w:eastAsia="微软雅黑" w:cs="Lucida Sans"/>
                <w:b w:val="0"/>
                <w:i/>
                <w:color w:val="000000"/>
                <w:sz w:val="11"/>
                <w:szCs w:val="11"/>
              </w:rPr>
              <w:t>2025年12月31日前已完成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提升基层治理水平，增强群众获得感。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受众群体满意度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项目预算控制率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51.06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95</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经自评，本项目自评得分95分。项目有序推进两项改革“后半篇”及州委重点工作，督导有力、资金使用规范，圆满完成年度目标任务，基层治理水平持续提升，群众获得感明显增强，各项指标均达到预期绩效要求。</w:t>
            </w:r>
          </w:p>
        </w:tc>
      </w:tr>
      <w:tr>
        <w:trPr>
          <w:trHeight w:val="5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项目预算控制率偏低，预算与执行衔接不够紧密，需进一步强化资金统筹与执行预判。</w:t>
            </w:r>
          </w:p>
        </w:tc>
      </w:tr>
      <w:tr>
        <w:trPr>
          <w:trHeight w:val="56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强化预算与项目执行挂钩管理，科学做好执行预判，提升预算控制水平。</w:t>
            </w:r>
          </w:p>
        </w:tc>
      </w:tr>
      <w:tr>
        <w:trPr>
          <w:trHeight w:val="62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项目负责人：张明灵</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8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51320023T000007886993-老年博览会专项工作专项经费</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50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“四川老博会”已被四川省人民政府办公厅作为培育扶持的“四川特色会展品牌”纳入我省《“十三五”会展业发展规划》</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根据2025年四川省民政厅重点工作任务，组织全州13县市民政局，参加第六届四川老博会。涉及搭建阿坝州展馆，组织展示全州养老服务事业和产业、阿坝州老年人良好风貌，积极通过老博会平台宣传、推介阿坝州优质养老资源。</w:t>
            </w:r>
          </w:p>
        </w:tc>
      </w:tr>
      <w:tr>
        <w:trPr>
          <w:trHeight w:val="7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5月25日-29日，以“安逸四川·幸福银发”为主题的第六届四川国际养老服务业暨养老产业博览会在成都盛大举办。我州参展以“天下九寨沟 大美阿坝州”为主题，深度融合“自驾之州、研学之州、民宿之州、网红之州、好客之州”五大特色元素，精心打造“颐养展示区、孝老展示区、发展展示区”三大主题展区，组织10家涉老企业携120余类特色展品集中亮相，全方位展示民族地区养老服务体系建设成果、老年教育与文化艺术发展成就，重点推介旅养康养、智慧养老等特色资源及孝老敬老文化，吸引超2万余人次驻足参观，为推动民族地区旅养、养老服务事业高质量发展注入了强劲动力。</w:t>
            </w:r>
          </w:p>
        </w:tc>
      </w:tr>
      <w:tr>
        <w:trPr>
          <w:trHeight w:val="6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59.79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59.66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99.78%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59.79</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59.66</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99.78%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拟申请展位总面积</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286</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平方米</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286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布展项目验收合格率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节目演出每场会展最低时间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分钟</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银发经济发展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有效助推</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有效助推</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社会对高质量养老方面的关注度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有效增加</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有效增加</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社会对我州养老工作推进的满意度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较为满意</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满意</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展位每平方预计成本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元/平方米</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589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搭建场地300平方米的单位成本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元/平方米</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1300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color w:val="000000"/>
                <w:sz w:val="16"/>
              </w:rPr>
            </w:pPr>
            <w:r>
              <w:rPr>
                <w:rFonts w:ascii="微软雅黑" w:eastAsia="微软雅黑" w:cs="Lucida Sans"/>
                <w:color w:val="000000"/>
                <w:sz w:val="16"/>
              </w:rPr>
              <w:t>本项目自评总分为100分。有效完成了省民政厅工作目标任务。为充分利用好四川国际“老博会”平台，展示我州养老服务业取得的成果，宣传我州优势养老服务资源的影响力，助推民族地区养老服务的发展，充分展示我州老年人良好的精神、文化、生活风采。按照工作安排，我州设立阿坝州展馆，以“天下九寨沟 大美阿坝州”为主题，涉及搭建，深度融合“自驾之州、研学之州、民宿之州、网红之州、好客之州”五大特色元素，精心打造“颐养展示区、孝老展示区、发展展示区”三大主题展区，组织10家涉老企业携120余类特色展品集中亮相，全方位展示民族地区养老服务体系建设成果、老年教育与文化艺术发展成就，重点推介旅养康养、智慧养老等特色资源及孝老敬老文化，吸引超2万余人次驻足参观，为推动民族地区旅养、养老服务事业高质量发展注入了强劲动力。</w:t>
            </w:r>
          </w:p>
        </w:tc>
      </w:tr>
      <w:tr>
        <w:trPr>
          <w:trHeight w:val="56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因我州本土各县市涉老产品较其他地市州比较较少，组织和参与的涉老企业较少，培育和发展本土涉老服务产业还需持续通过参与老博会持续推进。</w:t>
            </w:r>
          </w:p>
        </w:tc>
      </w:tr>
      <w:tr>
        <w:trPr>
          <w:trHeight w:val="62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下一步，持续坚持参与省级组织的老博会，借助老博会平台积极学习、借鉴养老服务产业发展经验，加大培育本土涉老服务企业。</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51320025T000012190241-养老公共服务能力提升专项经费</w:t>
            </w:r>
          </w:p>
        </w:tc>
      </w:tr>
      <w:tr>
        <w:trPr>
          <w:trHeight w:val="50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阿坝州“数字护老”系统主要是通过建设与全州民政服务机构视频监控系统串联，建立24小时州对机构的互联互通系统。有效解决民政部门对养老机构的监管盲区和覆盖面问题。该系统的建立进一步降低了对民政服务机构的监管成本，进一步提升了对全州运营养老机构的监管能力。</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推进“数字护老”系统建设。结合全州养老机构管理实际，确保视频监控系统在2025年正常运转，完成20个机构监控联网、调度视频系统、调度中心的硬件正常运营。通过数字护老系统有有效运营，有效加大了民政部门对养老机构的监管，通过视频调度的方式降低了民政部门对养老机构监管成本。提升了养老服务机构综合监管能力。</w:t>
            </w:r>
          </w:p>
        </w:tc>
      </w:tr>
      <w:tr>
        <w:trPr>
          <w:trHeight w:val="6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依托中国移动网络专线平台，保障了“数字护老”视频监控系统有效运行。该项目的持续实施，实现了州民政局直接通过视频监控系统，调度、了解全州20个机构的日常运行情况，及时。通过项目的实施，降低了州局实地开展安全督查成本，对核实实际情况、督促养老机构安全管理起到了积极作用。该项目确保了2025年全年12月全时段视频监控，提升了民政部门综合监管养老服务能力。</w:t>
            </w: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20个机构视频监控系统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建立1个州级调度系统</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套</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系统建立后可实现对20个机构日实时调度时间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小时</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建立平台后，对20个机构有效监管</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可持续发展指标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平台的建立实现了阿坝州智慧养老”零”突破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为养老事业持续赋能</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持续赋能</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平台运行后，监管部门满意度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建立平台后，可通过视频事实调度查看情况，减少到实地检查成本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有效降低成本</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有效降低</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本项目自评总分为100分。有效完成了民政部门对养老服务机构的日常监管工作。通过在20个民政服务机构设立的视频监控调度设备，依托州级调度平台对机构安全管理工作进行日常监管、调度，及时了解、掌握民政服务机构安全生产管理情况。进一步增强了对民政服务机构监管工作能力。</w:t>
            </w:r>
          </w:p>
        </w:tc>
      </w:tr>
      <w:tr>
        <w:trPr>
          <w:trHeight w:val="56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该系统只能实现州对民政服务机构点对点调度、监控，与县级民政部门自建系统融合度不高。</w:t>
            </w:r>
          </w:p>
        </w:tc>
      </w:tr>
      <w:tr>
        <w:trPr>
          <w:trHeight w:val="62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持续加大硬件投入，优化系统兼容性。</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51320025T000013864819-移动公司转入数字护老服务系统建设项目(质保金)</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有效保障养老事业的良性发展</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按照项目合同，确保系统后续维护运营。</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根据合同，待系统有效运营1年后退还质保金</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2.52</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2.52</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系统调度的下一级（市）县数量</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113</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113</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系统运行保障率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有效运行</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有效运行</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系统全天24小时运行保障时效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24</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小时</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有效保障养老事业的良性发展</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有效保障</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有效保障</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各市县对该系统使用质量满意度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该项目质保金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25171.29</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25171.29</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按照合同，在确保系统服务运行1年后支付质保金</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项目负责人：彭闰</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51320025T000012814894-社会组织事务及政策法规专项</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开展社会组织培训及评估,促进社会组织健康有序发展，开展社会组织评估，健全操作规范、运转协调的评估工作机制，通过“以评促建、以评促管、以评促创”激励社会组织对照评估标准加强自身建设,发展一批服务有特色、能力强、公信力高、影响力大的社会组织品牌。加大对品牌社会组织的宣传力度，推广其成功做法和经验，引导我州各类社会组织整体健康有序发展。聘请法律顾问,促进依法决策、科学决策,发挥法律顾问在民政法治建设中的参谋助手作用，开展政策法规宣传等有效保障民政法治政府建设工作的顺利开展。根据《四川省民政厅关于印发&lt;四川省《婚姻登记工作规范》实施细则&gt;的通知》(川民发〔2019〕44号)通过开展婚姻登记培训、线上婚姻家庭辅导、婚姻政策法规宣传加强婚姻法律法规政策宣传教育，普及法律知识，提升婚姻登记队伍能力，强化婚姻文化建设，引导婚姻登记当事人树立健康、文明、向上的婚姻理念。按照民政厅工作要求，为提升殡葬便民服务水平，保障殡葬服务热线“96444”服务平台有效运行。</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本年度，围绕专项经费设定的年度目标，我局对照工作实际，逐项落实并完成相关工作。在社会组织事务方面，紧扣“促进社会组织健康有序发展”目标，持续推进社会组织规范化建设，强化登记审查与内部治理指导，深入开展突出问题专项整治，并统筹推进州、县两级孵化体系规范发展，同时深入实施社区社会组织“找、建、用、统”行动，不断提升社会组织发展质量。需说明的是，本年度实际工作主要侧重于规范化建设、专项整治及孵化培育，未专门组织开展社会组织培训及评估工作。在政策法规保障方面，聘请法律顾问采用“日常咨询+专项服务”模式，累计审查规范性文件及合同协议37份，协助处理行政争议1件，在民政法治建设中有效发挥了参谋助手作用，保障了依法决策与科学决策。在婚姻登记与殡葬服务方面，通过婚姻登记流程优化、婚姻家庭辅导服务体系建设及特色婚俗改革，有效提升了便民服务水平，开展了婚姻政策法规宣传，同时持续保障殡葬服务热线“96444”服务平台运行，确保相关服务工作按要求落实。</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年度，项目围绕社会组织管理、政策法规保障及婚姻殡葬服务三条主线有序实施。在社会组织领域，项目重点推进了规范化建设与专项整治工作。年初印发专项行动方案，会同多部门建立协同机制，通过规范登记审查、强化内部治理指导、开展问题排查整治等措施，对36家存在问题的社会组织建立清单并逐一销号，已完成整改17家。同时，统筹推进州县两级孵化体系建设，州级孵化园通过政府采购委托专业机构运营，明确年度培育任务，小金、汶川等县孵化工作取得实质进展，全年累计备案社区社会组织282个，完成州本级社会组织审批服务42项。在法治保障方面，聘请法律顾问采取“日常咨询+专项服务”模式，对民政政策文件、合同协议进行合法性审查，全年累计审查规范性文件9份、合同协议28份，协助处理行政争议1件，有效防范法律风险。在婚姻登记与殡葬服务方面，重点优化登记流程，推动“全国通办”及“公民婚育”一件事一次办落实，完成婚姻历史档案电子化补录14.7万余份，并依托福彩公益金支持13个县（市）开展婚姻家庭辅导服务，累计接待辅导1100余人次。同时，保障殡葬服务热线“96444”平台有效运行，指导茂县、汶川等地打造羌族特色婚俗改革品牌，形成“婚俗+文旅”融合模式。项目实施过程中，注重部门协同与上下联动，确保各项工作按计划稳步推进。</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法律顾问服务次数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96444殡葬服务热线接通率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单位对法律顾问服务质量评价</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良好</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良好</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资金支付及时性</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按时支付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按时支付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社会组织规范化运行水平提升程度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经济成本控制率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2025年度，该项目围绕年度目标有序推进实施。在社会组织管理方面，通过规范化建设、专项整治及孵化培育，有效促进了社会组织健康有序发展，但未按计划开展社会组织培训及评估工作。在法治保障方面，法律顾问服务扎实有效，为民政依法决策提供了有力支撑。在婚姻登记及殡葬服务方面，便民水平持续提升，婚俗改革特色鲜明，热线平台运行正常。总体来看，项目基本完成了年度既定任务，资金使用效益良好。</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结合自评情况，分析存在的问题及原因。（200字以内）</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针对项目自评中发现的问题，提出下一步改进完善的意见及有关政策性建议。（200字以内）</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color w:val="000000"/>
                <w:sz w:val="22"/>
              </w:rPr>
            </w:pPr>
          </w:p>
        </w:tc>
        <w:tc>
          <w:tcPr>
            <w:tcW w:w="1775" w:type="dxa"/>
            <w:tcBorders>
              <w:top w:val="nil"/>
              <w:left w:val="nil"/>
              <w:bottom w:val="nil"/>
              <w:right w:val="nil"/>
              <w:tl2br w:val="nil"/>
              <w:tr2bl w:val="nil"/>
            </w:tcBorders>
            <w:noWrap/>
            <w:vAlign w:val="center"/>
          </w:tcPr>
          <w:p>
            <w:pPr>
              <w:rPr>
                <w:rFonts w:ascii="宋体" w:eastAsia="宋体"/>
                <w:color w:val="000000"/>
                <w:sz w:val="22"/>
              </w:rPr>
            </w:pPr>
          </w:p>
        </w:tc>
        <w:tc>
          <w:tcPr>
            <w:tcW w:w="1950" w:type="dxa"/>
            <w:tcBorders>
              <w:top w:val="nil"/>
              <w:left w:val="nil"/>
              <w:bottom w:val="nil"/>
              <w:right w:val="nil"/>
              <w:tl2br w:val="nil"/>
              <w:tr2bl w:val="nil"/>
            </w:tcBorders>
            <w:noWrap/>
            <w:vAlign w:val="center"/>
          </w:tcPr>
          <w:p>
            <w:pPr>
              <w:rPr>
                <w:rFonts w:ascii="宋体" w:eastAsia="宋体"/>
                <w:color w:val="000000"/>
                <w:sz w:val="22"/>
              </w:rPr>
            </w:pPr>
          </w:p>
        </w:tc>
        <w:tc>
          <w:tcPr>
            <w:tcW w:w="1962" w:type="dxa"/>
            <w:tcBorders>
              <w:top w:val="nil"/>
              <w:left w:val="nil"/>
              <w:bottom w:val="nil"/>
              <w:right w:val="nil"/>
              <w:tl2br w:val="nil"/>
              <w:tr2bl w:val="nil"/>
            </w:tcBorders>
            <w:noWrap/>
            <w:vAlign w:val="center"/>
          </w:tcPr>
          <w:p>
            <w:pPr>
              <w:rPr>
                <w:rFonts w:ascii="宋体" w:eastAsia="宋体"/>
                <w:color w:val="000000"/>
                <w:sz w:val="22"/>
              </w:rPr>
            </w:pPr>
          </w:p>
        </w:tc>
        <w:tc>
          <w:tcPr>
            <w:tcW w:w="1012" w:type="dxa"/>
            <w:tcBorders>
              <w:top w:val="nil"/>
              <w:left w:val="nil"/>
              <w:bottom w:val="nil"/>
              <w:right w:val="nil"/>
              <w:tl2br w:val="nil"/>
              <w:tr2bl w:val="nil"/>
            </w:tcBorders>
            <w:noWrap/>
            <w:vAlign w:val="center"/>
          </w:tcPr>
          <w:p>
            <w:pPr>
              <w:rPr>
                <w:rFonts w:ascii="宋体" w:eastAsia="宋体"/>
                <w:color w:val="000000"/>
                <w:sz w:val="22"/>
              </w:rPr>
            </w:pPr>
          </w:p>
        </w:tc>
        <w:tc>
          <w:tcPr>
            <w:tcW w:w="958" w:type="dxa"/>
            <w:gridSpan w:val="2"/>
            <w:tcBorders>
              <w:top w:val="nil"/>
              <w:left w:val="nil"/>
              <w:bottom w:val="nil"/>
              <w:right w:val="nil"/>
              <w:tl2br w:val="nil"/>
              <w:tr2bl w:val="nil"/>
            </w:tcBorders>
            <w:noWrap/>
            <w:vAlign w:val="center"/>
          </w:tcPr>
          <w:p>
            <w:pPr>
              <w:rPr>
                <w:rFonts w:ascii="宋体" w:eastAsia="宋体"/>
                <w:color w:val="000000"/>
                <w:sz w:val="22"/>
              </w:rPr>
            </w:pPr>
          </w:p>
        </w:tc>
        <w:tc>
          <w:tcPr>
            <w:tcW w:w="742" w:type="dxa"/>
            <w:tcBorders>
              <w:top w:val="nil"/>
              <w:left w:val="nil"/>
              <w:bottom w:val="nil"/>
              <w:right w:val="nil"/>
              <w:tl2br w:val="nil"/>
              <w:tr2bl w:val="nil"/>
            </w:tcBorders>
            <w:noWrap/>
            <w:vAlign w:val="center"/>
          </w:tcPr>
          <w:p>
            <w:pPr>
              <w:rPr>
                <w:rFonts w:ascii="宋体" w:eastAsia="宋体"/>
                <w:color w:val="000000"/>
                <w:sz w:val="22"/>
              </w:rPr>
            </w:pPr>
          </w:p>
        </w:tc>
        <w:tc>
          <w:tcPr>
            <w:tcW w:w="1301" w:type="dxa"/>
            <w:tcBorders>
              <w:top w:val="nil"/>
              <w:left w:val="nil"/>
              <w:bottom w:val="nil"/>
              <w:right w:val="nil"/>
              <w:tl2br w:val="nil"/>
              <w:tr2bl w:val="nil"/>
            </w:tcBorders>
            <w:noWrap/>
            <w:vAlign w:val="center"/>
          </w:tcPr>
          <w:p>
            <w:pPr>
              <w:rPr>
                <w:rFonts w:ascii="宋体" w:eastAsia="宋体"/>
                <w:color w:val="000000"/>
                <w:sz w:val="22"/>
              </w:rPr>
            </w:pPr>
          </w:p>
          <w:p>
            <w:pPr>
              <w:pStyle w:val="15"/>
            </w:pPr>
          </w:p>
        </w:tc>
        <w:tc>
          <w:tcPr>
            <w:tcW w:w="1000" w:type="dxa"/>
            <w:tcBorders>
              <w:top w:val="nil"/>
              <w:left w:val="nil"/>
              <w:bottom w:val="nil"/>
              <w:right w:val="nil"/>
              <w:tl2br w:val="nil"/>
              <w:tr2bl w:val="nil"/>
            </w:tcBorders>
            <w:noWrap/>
            <w:vAlign w:val="center"/>
          </w:tcPr>
          <w:p>
            <w:pPr>
              <w:rPr>
                <w:rFonts w:ascii="宋体" w:eastAsia="宋体"/>
                <w:color w:val="000000"/>
                <w:sz w:val="22"/>
              </w:rPr>
            </w:pPr>
          </w:p>
        </w:tc>
        <w:tc>
          <w:tcPr>
            <w:tcW w:w="1493" w:type="dxa"/>
            <w:tcBorders>
              <w:top w:val="nil"/>
              <w:left w:val="nil"/>
              <w:bottom w:val="nil"/>
              <w:right w:val="nil"/>
              <w:tl2br w:val="nil"/>
              <w:tr2bl w:val="nil"/>
            </w:tcBorders>
            <w:noWrap/>
            <w:vAlign w:val="center"/>
          </w:tcPr>
          <w:p>
            <w:pPr>
              <w:rPr>
                <w:rFonts w:ascii="宋体" w:eastAsia="宋体"/>
                <w:color w:val="000000"/>
                <w:sz w:val="22"/>
              </w:rPr>
            </w:pPr>
          </w:p>
        </w:tc>
        <w:tc>
          <w:tcPr>
            <w:tcW w:w="1245" w:type="dxa"/>
            <w:tcBorders>
              <w:top w:val="nil"/>
              <w:left w:val="nil"/>
              <w:bottom w:val="nil"/>
              <w:right w:val="nil"/>
              <w:tl2br w:val="nil"/>
              <w:tr2bl w:val="nil"/>
            </w:tcBorders>
            <w:noWrap/>
            <w:vAlign w:val="center"/>
          </w:tcPr>
          <w:p>
            <w:pPr>
              <w:rPr>
                <w:rFonts w:ascii="宋体" w:eastAsia="宋体"/>
                <w:color w:val="000000"/>
                <w:sz w:val="22"/>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51320025T000013437861-社会组织孵化园维修改造项目</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孵化园维修改造项目</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本年度，社会组织孵化园维修改造项目按计划完成各项维修改造任务。针对园区设施老化、功能不全等问题，重点对一二楼厕所进行全面维修，完成取暖器维修、电表更换、窗户更新、停车场闸机安装、灯具更换、门锁更换及厕所爆管抢修等工作。通过维修改造，有效解决了园区日常运营中的安全隐患和功能短板，改善了办公环境，提升了设施运行效率，为入驻社会组织提供了更加安全、便捷、舒适的工作条件，保障了孵化园各项活动的正常开展，年度目标全面完成。</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实施过程中，重点围绕园区基础设施开展维修改造。一是对一二楼厕所进行整体维修，包括防水处理、洁具更换、管道疏通等，及时处置厕所爆管突发情况；二是对取暖器进行维修保养，确保冬季供暖正常；三是更换老化电表和破损窗户，提升用电安全和采光效果；四是安装停车场闸机，规范车辆进出管理；五是对园区内损坏灯具、门锁进行逐一更换，消除安全隐患。项目严格按照采购程序确定施工单位，施工过程中加强现场监管，确保工程质量和进度，各项维修改造均按计划完成并投入使用。</w:t>
            </w: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4.44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4.44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4.44</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4.44</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维修改造项目数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维修改造个数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维修产品合格率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2025年12月31日前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2025年12月31日前</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67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孵化园效益</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显著提高</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显著提高</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群众满意度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维修改造质量保证金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722"/>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资金使用规范，组织实施有序，维修改造内容全面覆盖了园区基础设施短板。通过维修改造，有效解决了厕所爆管、取暖故障、用电隐患等突出问题，园区整体环境明显改善，设施运行更加安全高效，为孵化园正常运营提供了有力保障。项目完成后，入驻社会组织反映良好，满意度较高。总体来看，项目达到了预期目标，成效明显。</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p>
            <w:pPr>
              <w:pStyle w:val="15"/>
            </w:pPr>
          </w:p>
          <w:p>
            <w:pPr>
              <w:pStyle w:val="17"/>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51320025T000013458156-阿坝州社会组织孵化培育项目</w:t>
            </w:r>
          </w:p>
        </w:tc>
      </w:tr>
      <w:tr>
        <w:trPr>
          <w:trHeight w:val="50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按照《四川省民政厅关于印发市（州）社会组织孵化园建设指导方案的通知》（川民发[2021]23号）文件要求，2021年建成阿坝州社会组织孵化园，省级无配套运营经费，根据测算，需配套州级福彩公益金30万元保障正常运营。</w:t>
            </w:r>
          </w:p>
          <w:p>
            <w:pPr>
              <w:rPr>
                <w:rFonts w:ascii="宋体" w:eastAsia="宋体" w:cs="Lucida Sans"/>
                <w:color w:val="000000"/>
                <w:sz w:val="18"/>
              </w:rPr>
            </w:pP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在日常运营管理方面，制定安全生产管理制度和应急预案，定期开展隐患排查与消防演练，运营微信公众号发布文章84条，实行门卫24小时值班制度，规范公共空间借用管理，确保园区安全高效运转。在培育孵化方面，重点指导州心理咨询师协会、州图书馆协会等社会组织的筹备与运营，协助完成登记流程、资源衔接及活动开展，累计指导解决疑难问题28起。在能力建设方面，围绕年报年检、党建、财务管理、内部治理及社工考前等内容，组织开展了多场专题培训，有效提升了社会组织规范化水平和业务能力。在资源链接与协作方面，积极衔接爱心企业、高校及专业机构，组织开展交流座谈、志愿服务、关爱帮扶等系列活动，引导社会组织参与社区治理、拥军优属、婚俗改革等公益服务，拓展了组织发展资源，增强了社会影响力。</w:t>
            </w:r>
          </w:p>
        </w:tc>
      </w:tr>
      <w:tr>
        <w:trPr>
          <w:trHeight w:val="6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年度，项目围绕社会组织孵化园运营保障和培育孵化两大核心任务有序实施。在日常运营方面，制定安全生产管理制度和应急预案，定期开展消防隐患排查与演练，确保园区安全运行；运营微信公众号发布文章84条，加强信息宣传与审核管理；实行门卫24小时值班制度，规范公共空间借用管理，为社会组织提供活动场所支持。在培育孵化方面，重点指导州心理咨询师协会完成筹备登记，衔接多部门资源开展心理健康讲座和结对帮扶活动；指导州图书馆协会开展全民阅读、馆校合作、亲子阅读等系列活动，拓展社会影响力。在能力建设方面，组织开展了年报年检、党建、财务管理、内部治理及助理社工师考前等5场专题培训，覆盖州、县200余家社会组织。在资源链接方面，积极衔接爱心企业、高校及专业机构，组织开展交流座谈、志愿服务、关爱帮扶等系列活动，引导社会组织参与社区治理、拥军优属、婚俗改革等公益服务。全年累计指导解决社会组织疑难问题28起，有效提升了社会组织规范化水平和综合服务能力。</w:t>
            </w:r>
          </w:p>
          <w:p>
            <w:pPr>
              <w:rPr>
                <w:rFonts w:ascii="宋体" w:eastAsia="宋体" w:cs="Lucida Sans"/>
                <w:color w:val="000000"/>
                <w:sz w:val="18"/>
              </w:rPr>
            </w:pPr>
          </w:p>
          <w:p>
            <w:pPr>
              <w:rPr>
                <w:rFonts w:ascii="宋体" w:eastAsia="宋体" w:cs="Lucida Sans"/>
                <w:color w:val="000000"/>
                <w:sz w:val="18"/>
              </w:rPr>
            </w:p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29.80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49.67%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29.80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49.67%</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保障社会组织孵化园正常运转数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社会组织培训次数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社会组织孵化园购置设备合格率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项目完成时效</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2025年12月31日前</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及时完成</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提升社会组织服务水平</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显著提升</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显著提升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帮扶对象满意度指标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社会组织的满意度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项目成本</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29.8</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2025年度，阿坝州社会组织孵化培育项目资金使用规范，运营保障有力，圆满完成年度目标任务。项目狠抓日常运营管理，确保孵化园安全高效运转；重点指导州心理咨询师协会、州图书馆协会等社会组织的培育孵化，累计指导解决疑难问题28起；围绕年报年检、党建、财务管理等开展5场专题培训，有效提升了社会组织规范化水平；积极链接社会资源，引导社会组织参与社区治理、拥军优属、关爱帮扶等公益活动，拓展了组织发展资源，增强了社会影响力。总体来看，项目成效明显，发挥了州级孵化园的示范引领作用。</w:t>
            </w:r>
          </w:p>
        </w:tc>
      </w:tr>
      <w:tr>
        <w:trPr>
          <w:trHeight w:val="56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r>
        <w:trPr>
          <w:trHeight w:val="284"/>
        </w:trPr>
        <w:tc>
          <w:tcPr>
            <w:tcW w:w="224" w:type="dxa"/>
            <w:tcBorders>
              <w:top w:val="nil"/>
              <w:left w:val="nil"/>
              <w:bottom w:val="nil"/>
              <w:right w:val="nil"/>
              <w:tl2br w:val="nil"/>
              <w:tr2bl w:val="nil"/>
            </w:tcBorders>
            <w:noWrap/>
            <w:vAlign w:val="center"/>
          </w:tcPr>
          <w:p>
            <w:pPr>
              <w:rPr>
                <w:rFonts w:ascii="Times New Roman" w:eastAsia="方正兰亭黑_GBK" w:hAnsi="Times New Roman"/>
                <w:sz w:val="24"/>
              </w:rPr>
            </w:pPr>
          </w:p>
        </w:tc>
        <w:tc>
          <w:tcPr>
            <w:tcW w:w="1383" w:type="dxa"/>
            <w:tcBorders>
              <w:top w:val="nil"/>
              <w:left w:val="nil"/>
              <w:bottom w:val="nil"/>
              <w:right w:val="nil"/>
              <w:tl2br w:val="nil"/>
              <w:tr2bl w:val="nil"/>
            </w:tcBorders>
            <w:noWrap/>
            <w:vAlign w:val="center"/>
          </w:tcPr>
          <w:p>
            <w:pPr>
              <w:rPr>
                <w:rFonts w:ascii="宋体" w:eastAsia="宋体"/>
                <w:sz w:val="18"/>
              </w:rPr>
            </w:pPr>
          </w:p>
        </w:tc>
        <w:tc>
          <w:tcPr>
            <w:tcW w:w="1775" w:type="dxa"/>
            <w:tcBorders>
              <w:top w:val="nil"/>
              <w:left w:val="nil"/>
              <w:bottom w:val="nil"/>
              <w:right w:val="nil"/>
              <w:tl2br w:val="nil"/>
              <w:tr2bl w:val="nil"/>
            </w:tcBorders>
            <w:noWrap/>
            <w:vAlign w:val="center"/>
          </w:tcPr>
          <w:p>
            <w:pPr>
              <w:rPr>
                <w:rFonts w:ascii="宋体" w:eastAsia="宋体"/>
                <w:sz w:val="18"/>
              </w:rPr>
            </w:pPr>
          </w:p>
        </w:tc>
        <w:tc>
          <w:tcPr>
            <w:tcW w:w="1950" w:type="dxa"/>
            <w:tcBorders>
              <w:top w:val="nil"/>
              <w:left w:val="nil"/>
              <w:bottom w:val="nil"/>
              <w:right w:val="nil"/>
              <w:tl2br w:val="nil"/>
              <w:tr2bl w:val="nil"/>
            </w:tcBorders>
            <w:noWrap/>
            <w:vAlign w:val="center"/>
          </w:tcPr>
          <w:p>
            <w:pPr>
              <w:rPr>
                <w:rFonts w:ascii="宋体" w:eastAsia="宋体"/>
                <w:sz w:val="18"/>
              </w:rPr>
            </w:pPr>
          </w:p>
        </w:tc>
        <w:tc>
          <w:tcPr>
            <w:tcW w:w="1962" w:type="dxa"/>
            <w:tcBorders>
              <w:top w:val="nil"/>
              <w:left w:val="nil"/>
              <w:bottom w:val="nil"/>
              <w:right w:val="nil"/>
              <w:tl2br w:val="nil"/>
              <w:tr2bl w:val="nil"/>
            </w:tcBorders>
            <w:noWrap/>
            <w:vAlign w:val="center"/>
          </w:tcPr>
          <w:p>
            <w:pPr>
              <w:rPr>
                <w:rFonts w:ascii="宋体" w:eastAsia="宋体"/>
                <w:sz w:val="18"/>
              </w:rPr>
            </w:pPr>
          </w:p>
        </w:tc>
        <w:tc>
          <w:tcPr>
            <w:tcW w:w="1012" w:type="dxa"/>
            <w:tcBorders>
              <w:top w:val="nil"/>
              <w:left w:val="nil"/>
              <w:bottom w:val="nil"/>
              <w:right w:val="nil"/>
              <w:tl2br w:val="nil"/>
              <w:tr2bl w:val="nil"/>
            </w:tcBorders>
            <w:noWrap/>
            <w:vAlign w:val="center"/>
          </w:tcPr>
          <w:p>
            <w:pPr>
              <w:rPr>
                <w:rFonts w:ascii="宋体" w:eastAsia="宋体"/>
                <w:sz w:val="18"/>
              </w:rPr>
            </w:pPr>
          </w:p>
        </w:tc>
        <w:tc>
          <w:tcPr>
            <w:tcW w:w="958" w:type="dxa"/>
            <w:gridSpan w:val="2"/>
            <w:tcBorders>
              <w:top w:val="nil"/>
              <w:left w:val="nil"/>
              <w:bottom w:val="nil"/>
              <w:right w:val="nil"/>
              <w:tl2br w:val="nil"/>
              <w:tr2bl w:val="nil"/>
            </w:tcBorders>
            <w:noWrap/>
            <w:vAlign w:val="center"/>
          </w:tcPr>
          <w:p>
            <w:pPr>
              <w:rPr>
                <w:rFonts w:ascii="宋体" w:eastAsia="宋体"/>
                <w:sz w:val="18"/>
              </w:rPr>
            </w:pPr>
          </w:p>
        </w:tc>
        <w:tc>
          <w:tcPr>
            <w:tcW w:w="742" w:type="dxa"/>
            <w:tcBorders>
              <w:top w:val="nil"/>
              <w:left w:val="nil"/>
              <w:bottom w:val="nil"/>
              <w:right w:val="nil"/>
              <w:tl2br w:val="nil"/>
              <w:tr2bl w:val="nil"/>
            </w:tcBorders>
            <w:noWrap/>
            <w:vAlign w:val="center"/>
          </w:tcPr>
          <w:p>
            <w:pPr>
              <w:rPr>
                <w:rFonts w:ascii="宋体" w:eastAsia="宋体"/>
                <w:sz w:val="18"/>
              </w:rPr>
            </w:pPr>
          </w:p>
        </w:tc>
        <w:tc>
          <w:tcPr>
            <w:tcW w:w="1301" w:type="dxa"/>
            <w:tcBorders>
              <w:top w:val="nil"/>
              <w:left w:val="nil"/>
              <w:bottom w:val="nil"/>
              <w:right w:val="nil"/>
              <w:tl2br w:val="nil"/>
              <w:tr2bl w:val="nil"/>
            </w:tcBorders>
            <w:noWrap/>
            <w:vAlign w:val="center"/>
          </w:tcPr>
          <w:p>
            <w:pPr>
              <w:rPr>
                <w:rFonts w:ascii="宋体" w:eastAsia="宋体"/>
                <w:sz w:val="18"/>
              </w:rPr>
            </w:pPr>
          </w:p>
        </w:tc>
        <w:tc>
          <w:tcPr>
            <w:tcW w:w="1000" w:type="dxa"/>
            <w:tcBorders>
              <w:top w:val="nil"/>
              <w:left w:val="nil"/>
              <w:bottom w:val="nil"/>
              <w:right w:val="nil"/>
              <w:tl2br w:val="nil"/>
              <w:tr2bl w:val="nil"/>
            </w:tcBorders>
            <w:noWrap/>
            <w:vAlign w:val="center"/>
          </w:tcPr>
          <w:p>
            <w:pPr>
              <w:rPr>
                <w:rFonts w:ascii="宋体" w:eastAsia="宋体"/>
                <w:sz w:val="18"/>
              </w:rPr>
            </w:pPr>
          </w:p>
        </w:tc>
        <w:tc>
          <w:tcPr>
            <w:tcW w:w="1493" w:type="dxa"/>
            <w:tcBorders>
              <w:top w:val="nil"/>
              <w:left w:val="nil"/>
              <w:bottom w:val="nil"/>
              <w:right w:val="nil"/>
              <w:tl2br w:val="nil"/>
              <w:tr2bl w:val="nil"/>
            </w:tcBorders>
            <w:noWrap/>
            <w:vAlign w:val="center"/>
          </w:tcPr>
          <w:p>
            <w:pPr>
              <w:rPr>
                <w:rFonts w:ascii="宋体" w:eastAsia="宋体"/>
                <w:sz w:val="18"/>
              </w:rPr>
            </w:pPr>
          </w:p>
        </w:tc>
        <w:tc>
          <w:tcPr>
            <w:tcW w:w="1245" w:type="dxa"/>
            <w:tcBorders>
              <w:top w:val="nil"/>
              <w:left w:val="nil"/>
              <w:bottom w:val="nil"/>
              <w:right w:val="nil"/>
              <w:tl2br w:val="nil"/>
              <w:tr2bl w:val="nil"/>
            </w:tcBorders>
            <w:noWrap/>
            <w:vAlign w:val="center"/>
          </w:tcPr>
          <w:p>
            <w:pPr>
              <w:rPr>
                <w:rFonts w:ascii="宋体" w:eastAsia="宋体"/>
                <w:sz w:val="18"/>
              </w:rPr>
            </w:pPr>
          </w:p>
        </w:tc>
      </w:tr>
      <w:tr>
        <w:trPr>
          <w:trHeight w:val="8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4820" w:type="dxa"/>
            <w:gridSpan w:val="1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51320025T000013864842-2023年度孵化园服务项目(质保金)</w:t>
            </w:r>
          </w:p>
        </w:tc>
      </w:tr>
      <w:tr>
        <w:trPr>
          <w:trHeight w:val="50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31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2151" w:type="dxa"/>
            <w:gridSpan w:val="3"/>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7"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w:t>
            </w:r>
          </w:p>
        </w:tc>
      </w:tr>
      <w:tr>
        <w:trPr>
          <w:trHeight w:val="28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860"/>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5774"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保障孵化园运行。</w:t>
            </w:r>
          </w:p>
        </w:tc>
        <w:tc>
          <w:tcPr>
            <w:tcW w:w="5888"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在日常运营管理方面，制定安全生产管理制度和应急预案，定期开展隐患排查与消防演练，运营微信公众号发布文章84条，实行门卫24小时值班制度，规范公共空间借用管理，确保园区安全高效运转。在培育孵化方面，重点指导州心理咨询师协会、州图书馆协会等社会组织的筹备与运营，协助完成登记流程、资源衔接及活动开展，累计指导解决疑难问题28起。在能力建设方面，围绕年报年检、党建、财务管理、内部治理及社工考前等内容，组织开展了多场专题培训，有效提升了社会组织规范化水平和业务能力。在资源链接与协作方面，积极衔接爱心企业、高校及专业机构，组织开展交流座谈、志愿服务、关爱帮扶等系列活动，引导社会组织参与社区治理、拥军优属、婚俗改革等公益服务，拓展了组织发展资源，增强了社会影响力。</w:t>
            </w:r>
          </w:p>
        </w:tc>
      </w:tr>
      <w:tr>
        <w:trPr>
          <w:trHeight w:val="6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1663"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本年度，项目围绕社会组织孵化园运营保障和培育孵化两大核心任务有序实施。在日常运营方面，制定安全生产管理制度和应急预案，定期开展消防隐患排查与演练，确保园区安全运行；运营微信公众号发布文章84条，加强信息宣传与审核管理；实行门卫24小时值班制度，规范公共空间借用管理，为社会组织提供活动场所支持。在培育孵化方面，重点指导州心理咨询师协会完成筹备登记，衔接多部门资源开展心理健康讲座和结对帮扶活动；指导州图书馆协会开展全民阅读、馆校合作、亲子阅读等系列活动，拓展社会影响力。在能力建设方面，组织开展了年报年检、党建、财务管理、内部治理及助理社工师考前等5场专题培训，覆盖州、县200余家社会组织。在资源链接方面，积极衔接爱心企业、高校及专业机构，组织开展交流座谈、志愿服务、关爱帮扶等系列活动，引导社会组织参与社区治理、拥军优属、婚俗改革等公益服务。全年累计指导解决社会组织疑难问题28起，有效提升了社会组织规范化水平和综合服务能力。</w:t>
            </w: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5.78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5.78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5.78</w:t>
            </w: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5.78</w:t>
            </w: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272"/>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862"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2151"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2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553"/>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950"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社会组织培训次数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保障社会组织孵化园正常运转数</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个</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00"/>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项目合格率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11"/>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质保金及时支付率</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97"/>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提升社工服务水平</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显著</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71"/>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社工服务对象满意度</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94"/>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2130"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77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95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196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质保金</w:t>
            </w:r>
          </w:p>
        </w:tc>
        <w:tc>
          <w:tcPr>
            <w:tcW w:w="101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958"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57800</w:t>
            </w:r>
          </w:p>
        </w:tc>
        <w:tc>
          <w:tcPr>
            <w:tcW w:w="742"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301"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57800</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93"/>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1083"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10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149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100</w:t>
            </w:r>
          </w:p>
        </w:tc>
        <w:tc>
          <w:tcPr>
            <w:tcW w:w="12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2025年度，阿坝州社会组织孵化培育项目资金使用规范，运营保障有力，圆满完成年度目标任务。项目狠抓日常运营管理，确保孵化园安全高效运转；重点指导州心理咨询师协会、州图书馆协会等社会组织的培育孵化，累计指导解决疑难问题28起；围绕年报年检、党建、财务管理等开展5场专题培训，有效提升了社会组织规范化水平；积极链接社会资源，引导社会组织参与社区治理、拥军优属、关爱帮扶等公益活动，拓展了组织发展资源，增强了社会影响力。总体来看，项目成效明显，发挥了州级孵化园的示范引领作用。</w:t>
            </w:r>
          </w:p>
        </w:tc>
      </w:tr>
      <w:tr>
        <w:trPr>
          <w:trHeight w:val="515"/>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413"/>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1383"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437"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522"/>
        </w:trPr>
        <w:tc>
          <w:tcPr>
            <w:tcW w:w="224" w:type="dxa"/>
            <w:tcBorders>
              <w:top w:val="nil"/>
              <w:left w:val="nil"/>
              <w:bottom w:val="nil"/>
              <w:right w:val="nil"/>
              <w:tl2br w:val="nil"/>
              <w:tr2bl w:val="nil"/>
            </w:tcBorders>
            <w:noWrap/>
            <w:vAlign w:val="center"/>
          </w:tcPr>
          <w:p>
            <w:pPr>
              <w:rPr>
                <w:rFonts w:ascii="宋体" w:eastAsia="宋体"/>
                <w:color w:val="000000"/>
                <w:sz w:val="22"/>
              </w:rPr>
            </w:pPr>
          </w:p>
        </w:tc>
        <w:tc>
          <w:tcPr>
            <w:tcW w:w="8083"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项目负责人：秦岭</w:t>
            </w:r>
          </w:p>
        </w:tc>
        <w:tc>
          <w:tcPr>
            <w:tcW w:w="6738" w:type="dxa"/>
            <w:gridSpan w:val="7"/>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财务负责人：杨琴琴</w:t>
            </w:r>
          </w:p>
        </w:tc>
      </w:tr>
    </w:tbl>
    <w:p>
      <w:pPr>
        <w:pStyle w:val="17"/>
        <w:keepNext w:val="0"/>
        <w:keepLines w:val="0"/>
        <w:pageBreakBefore w:val="0"/>
        <w:widowControl w:val="0"/>
        <w:kinsoku/>
        <w:wordWrap/>
        <w:overflowPunct/>
        <w:topLinePunct w:val="0"/>
        <w:autoSpaceDE/>
        <w:autoSpaceDN/>
        <w:spacing w:line="560" w:lineRule="exact"/>
        <w:ind w:leftChars="0" w:left="0" w:firstLineChars="0" w:firstLine="0"/>
        <w:rPr>
          <w:rFonts w:ascii="Times New Roman" w:hAnsi="Times New Roman"/>
          <w:sz w:val="32"/>
          <w:lang w:val="zh-CN"/>
          <w:highlight w:val="yellow"/>
        </w:rPr>
      </w:pPr>
    </w:p>
    <w:p>
      <w:pPr>
        <w:keepNext w:val="0"/>
        <w:keepLines w:val="0"/>
        <w:pageBreakBefore w:val="0"/>
        <w:widowControl w:val="0"/>
        <w:suppressLineNumbers w:val="0"/>
        <w:suppressAutoHyphens w:val="0"/>
      </w:pPr>
    </w:p>
    <w:tbl>
      <w:tblPr>
        <w:jc w:val="left"/>
        <w:tblInd w:w="0" w:type="dxa"/>
        <w:tblW w:w="1493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078"/>
        <w:gridCol w:w="1817"/>
        <w:gridCol w:w="1845"/>
        <w:gridCol w:w="2340"/>
        <w:gridCol w:w="600"/>
        <w:gridCol w:w="1755"/>
        <w:gridCol w:w="600"/>
        <w:gridCol w:w="1170"/>
        <w:gridCol w:w="585"/>
        <w:gridCol w:w="525"/>
        <w:gridCol w:w="2625"/>
      </w:tblGrid>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51320021T000000056823-孤儿生活费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满足院内42名18岁以上在院孤儿的生活费、医疗费、衣被费等日常生活开销</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完成院内42名18岁以上在院孤儿的生活费、医疗费、衣被费等日常生活开销</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27.58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27.58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27.58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27.58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孤儿生活费发放人次</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金额发放足额率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每月１０日前完成当月生活费发放及时率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保障孤儿基本生活费</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满足</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满足</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孤儿满意度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孤儿生活费</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27.58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27.58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该项目实施并顺利完成，满足院内42名18岁以上在院孤儿的生活费、医疗费、衣被费等日常生活开销，自评得分86分。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51320021T000000056851-院民护理费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47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集中供养孤残儿童和事实无人抚养儿童83人，为了儿童住院期间能得到更好的康复治疗、日常照料、安全管理，聘请护理人员24小时护理陪同。</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3.92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3.92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3.92</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3.92</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集中供养儿童人数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护理人员工作质量达标率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项目完成的及时率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有效促进儿童健康成长</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被照顾孤儿满意度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每人每日护理费不超过２００元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150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院民护理费</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该项目实施并完成，有效保障儿童生病住院期间的护理、陪护及安全，自评得分86分。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项目负责人：杨远琴</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51320021T000000056856-院民维修费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通过对院内各功能用房器材、宿舍、厨房、房屋建筑物的设施设备、管道线路、门窗等进行维修维护，保障机构日常工作、生活正常运行。</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维修工作完成率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设备等维修维护验收合格率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故障响应及时率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有效保障福利院正常运转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有效保障</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有效保障</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院民满意度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91</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院民维修费用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19.99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该项目顺利实施，保障院内设施设备、水电线路、门窗等及时维修，确保院内儿童生活、学习、工作运行。自评得分85分。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51320021T000000056859-成年残疾孤儿托养费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我院尚未设立康复机构，缺乏康复训练教师、康复训练设备、康复训练场地。为满足成年残疾孤儿的康复训练需求，优化成年残疾孤儿养育环境，提高生活质量，委托具有相关资质的福利机构进行托养康复。</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6.89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6.89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6.89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6.89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成年残疾孤儿托养覆盖率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养育标准及医疗标准的合格率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残疾儿童接受康复率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养育环境改善程度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成年残疾孤儿的满意度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成年残疾孤儿托养费</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6.89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该项目实施并顺利完成，保障两名托养残疾成年孤儿生活、医疗康复，提升罗养育质量。自评得分80分。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项目负责人：杨远琴</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 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51320021T000000056866-院民学习费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12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我院集中供养孤残儿童和事实无人抚养儿童83人，在外就读大中专院校、职高（其中民办大专院校10余人）学生48人，学生在校就读期间需要交纳学费、住宿费、教材费、学杂费等，需保障学生享有良好的教育，促进基础教育，满足教育教学需求。</w:t>
            </w:r>
          </w:p>
          <w:p>
            <w:pPr>
              <w:rPr>
                <w:rFonts w:ascii="宋体" w:eastAsia="宋体" w:cs="Lucida Sans"/>
                <w:color w:val="000000"/>
                <w:sz w:val="18"/>
              </w:rPr>
            </w:pPr>
          </w:p>
          <w:p>
            <w:pPr>
              <w:rPr>
                <w:rFonts w:ascii="宋体" w:eastAsia="宋体" w:cs="Lucida Sans"/>
                <w:color w:val="000000"/>
                <w:sz w:val="18"/>
              </w:rPr>
            </w:pPr>
          </w:p>
          <w:p>
            <w:pPr>
              <w:rPr>
                <w:rFonts w:ascii="宋体" w:eastAsia="宋体" w:cs="Lucida Sans"/>
                <w:color w:val="000000"/>
                <w:sz w:val="18"/>
              </w:rPr>
            </w:pPr>
          </w:p>
          <w:p>
            <w:pPr>
              <w:rPr>
                <w:rFonts w:ascii="宋体" w:eastAsia="宋体" w:cs="Lucida Sans"/>
                <w:color w:val="000000"/>
                <w:sz w:val="18"/>
              </w:rPr>
            </w:pPr>
          </w:p>
          <w:p>
            <w:pPr>
              <w:rPr>
                <w:rFonts w:ascii="宋体" w:eastAsia="宋体" w:cs="Lucida Sans"/>
                <w:color w:val="000000"/>
                <w:sz w:val="18"/>
              </w:rPr>
            </w:pPr>
          </w:p>
          <w:p>
            <w:pPr>
              <w:rPr>
                <w:rFonts w:ascii="宋体" w:eastAsia="宋体" w:cs="Lucida Sans"/>
                <w:color w:val="000000"/>
                <w:sz w:val="18"/>
              </w:rPr>
            </w:pP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31.69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31.69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31.69</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31.69</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应缴学费院民的完成率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学生供养资格符合率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学费按时缴纳率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学生完成学业毕业率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保障学生基本受教育权利</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基本保障</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基本保障</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供养学生的满意度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院民学习费用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31.69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87</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该项目实施并顺利完成，保障就读大中专院校学生顺利完成学业，步入社会就业。生活。自评得分87分。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51320022T000000341007-孤儿异地就读支出项目</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3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我院在成都周边、重庆等异地就读大专院校、中专职高学生48人，针对异地就读学生面对陌生的学习、生活环境，适应能力较差，为学生能够更好更快的适应新环境，了解学生在校期间的学业情况、生活状况、应急事件处理、参加家长会等。每年组织职工进校园回访,看望学生，并与学生的老师、辅导员进行面对面交流，沟通，了解学生在校期间的表现，促进提高适应能力、自理能力，更好地完成学业。</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异地就读孤儿人数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异地就读孤儿回访覆盖率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学生学业完成率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帮助学生更好适应新环境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帮助学生更好适应新环境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项目总成本</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7.99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该项目实施并顺利完成，确保对在外就读学生在校期间对学习。生活、安全情况的了解。自评得分86分。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51320022T000000344730-儿童素质拓展</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作为孤弃儿童学校教学补充，丰富儿童课余文化生活，增强其动手动脑能力，综合素质进一步提升。利用周末、节假日、暑假期间，聘请第三方机构在院为儿童提供艺术教育课程。</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9.60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9.60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9.60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9.60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艺术教育课程课时＝２００课时</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学时</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素质拓展课程考核的达标率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课程按时开课率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提升儿童综合素质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可持续影响指标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促进儿童教育发展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有效促进</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有效促进</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课程费用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该项目实施并顺利完成，丰富儿童假期生活，提升儿童综合素质。自评得分86分。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51320022T000000344753-网络租赁费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8.38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8.38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8.38</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8.38</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网络使用人数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网络覆盖率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2025年12月底前</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12月完成</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拓展儿童的视野</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有效拓展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有效拓展</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增加儿童学习资源渠道</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有效增加</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有效增加</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院民满意度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成本控制率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11</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8.38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该项目实施并顺利完成，满足儿童学习、生活需求，拓展儿童的视野。自评得分85分。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项目负责人：杨远琴</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51320022T000005474874-新春慰问金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慰问金的发放，提升孩子的幸福感．</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2.80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集中供养孤儿慰问金的发放率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慰问金发放足额率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91</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提升孩子的幸福感</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效果明显</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明显</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在院集中供养儿童满意度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发放总金额小于３万元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2.9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慰问金的发放，提升孩子的幸福感．自评得分86分。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项目负责人：杨远琴</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51320022T000005931181-彩票公益金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18岁以上孤儿助学金，保证孤儿正常就学</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助学金发放人次</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34</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经费发放足额率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助学金按时发放率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学生完成学业的毕业率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发放金额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13330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13330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87</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该项目实施并顺利完成，保障成年孤儿基本生活、学习，提高生活质量，提升幸福感。自评得分87分。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项目负责人：杨东生</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51320023T000007899920-孤儿心理健康课程</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3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我国近年来青少年儿童表现出较多的心理健康方面的问题：抑郁、焦虑、厌学、网络依赖、人际交往困难、情绪障碍、睡眠障碍增多，自残自伤以及自杀的青少年比率上升。我院高度重视青少年儿童心理健康教育，积极开展心理测评、一对一心理咨询、团体心理辅导、绘本生命教育等多种多样的心理健康课程，并对有需求的儿童进行心理干预、心理矫正。</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67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全院青少年儿童的参与率（参与人数／在院人数＊１００％）</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参与心理健康课程培训心理测评的合格率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项目完成的及时率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提升孩子心理健康素养</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效果明显</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有效提升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促进儿童教育发展</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有效促进</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孩子对课程的满意度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课程费用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该项目实施并顺利完成，增强儿童的心理健康意识和心理调适能力，促进儿童身心健康成长。自评得分86分。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51320023T000008176965-18岁以上孤儿生活费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112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我院集中供养孤残儿童和事实无人抚养儿童83人，其中年满十八岁41人，为满足孤儿、事实无人抚养儿童衣、医、食、住、行所需，购置生活用品、日用品等，解决孤儿生活所需，保障孤儿基本生活权益，营造安全无虞，生活无忧、充满关爱、健康发展的成长环境。</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54.16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54.16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54.16</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54.16</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成年孤儿生活费发放人次</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满足成年孤儿的日常生活开销</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满足</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满足</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生活费发放的及时性</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及时</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及时</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提升成年孤儿的幸福感</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效果明显</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明显</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在院成年孤儿满意度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生活费用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79.8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54.16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81</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该项目实施并顺利完成，保障成年孤儿基本生活、学习，提高生活质量，提升幸福感。自评得分81分。</w:t>
            </w:r>
          </w:p>
        </w:tc>
      </w:tr>
      <w:tr>
        <w:trPr>
          <w:trHeight w:val="56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62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项目负责人：文德巧</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51320024T000010291349-后勤综合管理费</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89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为确保全院消防、特种设备安全正常运行；厨房膳食卫生、安全；院内外绿植养护修剪及绿植盆栽租赁，美化环境；保障儿童合法权益等。我院聘请第三方维保公司进行消防、电梯维保，聘请法律顾问维护儿童合法权益等，最终为儿童提供安全、卫生、优良的居住、生活、学习环境，提高生活质量。</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73.50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70.01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69.71</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99.57%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73.50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70.01</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69.71</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99.57%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消防设备维保次数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外包服务派遣人数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12</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特种设备维护次数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次</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物业管理覆盖率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设备维护保养及时率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2025年12月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提高院民生活质量</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明显提高</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明显提高</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确保全院消防、特种设备安全正常运行</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正常运行</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正常运行</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在院院民对居住环境的满意度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物业管理费用</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73.5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69.7</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该项目实施并顺利完成，保障了院内绿化、环境卫生、绿化养护，厨房设备安全等，促进机构安全运行。自评得分85。</w:t>
            </w:r>
          </w:p>
        </w:tc>
      </w:tr>
      <w:tr>
        <w:trPr>
          <w:trHeight w:val="61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472"/>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51320024T000011501018-困难群众救助资金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满足在院集中供养孩子的生活费、医疗费、衣被费等</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111.83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111.83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111.83</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111.83</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生活费发放人数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53</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53</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生活费发放足额率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27"/>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项目完成时间</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１２月３０日前</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生活费发放的及时性</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每月10日前</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每月10日前</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提升供养孤儿幸福感</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效果显著</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集中供养孤儿满意度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孤儿生活费98万元</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98</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该项目实施并顺利完成。能够保障我院孤儿和事实无人抚养儿童基本生活、医疗所需，预期产出和效果能够满足需求。该项目自评86分。</w:t>
            </w:r>
          </w:p>
        </w:tc>
      </w:tr>
      <w:tr>
        <w:trPr>
          <w:trHeight w:val="388"/>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428"/>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51320025T000012609730-儿童福利能力提升</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加强院内儿童生活、学习安全，提升基础设施建设，切实保障孤弃儿童生命健康安全</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49.95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49.00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98.10%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49.95</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49.00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98.10%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640.5平方改造</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平米</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达到设定验收标准</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平米</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儿童生活学习环境安全提升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显著</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处</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显著</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供养儿童满意度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小于项目评审金额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万元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49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83</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项目实施并顺利完成。能强院内儿童生活、学习安全，提升基础设施建设，切实保障孤弃儿童生命健康安全，预期产出和效果能够满足需求。该项目自评83分</w:t>
            </w:r>
          </w:p>
        </w:tc>
      </w:tr>
      <w:tr>
        <w:trPr>
          <w:trHeight w:val="337"/>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322"/>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p>
            <w:pPr>
              <w:pStyle w:val="15"/>
            </w:pPr>
          </w:p>
          <w:p>
            <w:pPr>
              <w:pStyle w:val="17"/>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51320025T000014024934-民政事业补助资金</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民政事业补助资金项目提升孩子幸福值，保障孩子毕业率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6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87.50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31.50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36.00%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87.50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31.50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36.00%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助学金发放人次</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39</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39</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明天项目体检人数</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人数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14</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经费足额发放率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项目完成及时率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助学金按时发放率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学生完成学业毕业率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学生满意度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项目总金额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896000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896000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86</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目实施并顺利完成。能强院内儿童生活、学习安全，提升基础设施建设，切实保障孤弃儿童生命健康安全，预期产出和效果能够满足需求。该项目自评86分</w:t>
            </w:r>
          </w:p>
        </w:tc>
      </w:tr>
      <w:tr>
        <w:trPr>
          <w:trHeight w:val="41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434"/>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项目负责人：罗逸</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财务负责人：文德巧</w:t>
            </w:r>
          </w:p>
        </w:tc>
      </w:tr>
      <w:tr>
        <w:trPr>
          <w:trHeight w:val="284"/>
        </w:trPr>
        <w:tc>
          <w:tcPr>
            <w:tcW w:w="1078" w:type="dxa"/>
            <w:tcBorders>
              <w:top w:val="nil"/>
              <w:left w:val="nil"/>
              <w:bottom w:val="nil"/>
              <w:right w:val="nil"/>
              <w:tl2br w:val="nil"/>
              <w:tr2bl w:val="nil"/>
            </w:tcBorders>
            <w:noWrap/>
            <w:vAlign w:val="center"/>
          </w:tcPr>
          <w:p>
            <w:pPr>
              <w:rPr>
                <w:rFonts w:ascii="宋体" w:eastAsia="宋体"/>
                <w:color w:val="000000"/>
                <w:sz w:val="18"/>
              </w:rPr>
            </w:pPr>
          </w:p>
        </w:tc>
        <w:tc>
          <w:tcPr>
            <w:tcW w:w="1817" w:type="dxa"/>
            <w:tcBorders>
              <w:top w:val="nil"/>
              <w:left w:val="nil"/>
              <w:bottom w:val="nil"/>
              <w:right w:val="nil"/>
              <w:tl2br w:val="nil"/>
              <w:tr2bl w:val="nil"/>
            </w:tcBorders>
            <w:noWrap/>
            <w:vAlign w:val="center"/>
          </w:tcPr>
          <w:p>
            <w:pPr>
              <w:rPr>
                <w:rFonts w:ascii="宋体" w:eastAsia="宋体"/>
                <w:color w:val="000000"/>
                <w:sz w:val="18"/>
              </w:rPr>
            </w:pPr>
          </w:p>
        </w:tc>
        <w:tc>
          <w:tcPr>
            <w:tcW w:w="1845" w:type="dxa"/>
            <w:tcBorders>
              <w:top w:val="nil"/>
              <w:left w:val="nil"/>
              <w:bottom w:val="nil"/>
              <w:right w:val="nil"/>
              <w:tl2br w:val="nil"/>
              <w:tr2bl w:val="nil"/>
            </w:tcBorders>
            <w:noWrap/>
            <w:vAlign w:val="center"/>
          </w:tcPr>
          <w:p>
            <w:pPr>
              <w:rPr>
                <w:rFonts w:ascii="宋体" w:eastAsia="宋体"/>
                <w:color w:val="000000"/>
                <w:sz w:val="18"/>
              </w:rPr>
            </w:pPr>
          </w:p>
        </w:tc>
        <w:tc>
          <w:tcPr>
            <w:tcW w:w="2340" w:type="dxa"/>
            <w:tcBorders>
              <w:top w:val="nil"/>
              <w:left w:val="nil"/>
              <w:bottom w:val="nil"/>
              <w:right w:val="nil"/>
              <w:tl2br w:val="nil"/>
              <w:tr2bl w:val="nil"/>
            </w:tcBorders>
            <w:noWrap/>
            <w:vAlign w:val="center"/>
          </w:tcPr>
          <w:p>
            <w:pPr>
              <w:rPr>
                <w:rFonts w:ascii="宋体" w:eastAsia="宋体"/>
                <w:color w:val="000000"/>
                <w:sz w:val="18"/>
              </w:rPr>
            </w:pPr>
          </w:p>
          <w:p>
            <w:pPr>
              <w:pStyle w:val="15"/>
            </w:pPr>
          </w:p>
          <w:p>
            <w:pPr>
              <w:pStyle w:val="17"/>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755" w:type="dxa"/>
            <w:tcBorders>
              <w:top w:val="nil"/>
              <w:left w:val="nil"/>
              <w:bottom w:val="nil"/>
              <w:right w:val="nil"/>
              <w:tl2br w:val="nil"/>
              <w:tr2bl w:val="nil"/>
            </w:tcBorders>
            <w:noWrap/>
            <w:vAlign w:val="center"/>
          </w:tcPr>
          <w:p>
            <w:pPr>
              <w:rPr>
                <w:rFonts w:ascii="宋体" w:eastAsia="宋体"/>
                <w:color w:val="000000"/>
                <w:sz w:val="18"/>
              </w:rPr>
            </w:pPr>
          </w:p>
        </w:tc>
        <w:tc>
          <w:tcPr>
            <w:tcW w:w="600" w:type="dxa"/>
            <w:tcBorders>
              <w:top w:val="nil"/>
              <w:left w:val="nil"/>
              <w:bottom w:val="nil"/>
              <w:right w:val="nil"/>
              <w:tl2br w:val="nil"/>
              <w:tr2bl w:val="nil"/>
            </w:tcBorders>
            <w:noWrap/>
            <w:vAlign w:val="center"/>
          </w:tcPr>
          <w:p>
            <w:pPr>
              <w:rPr>
                <w:rFonts w:ascii="宋体" w:eastAsia="宋体"/>
                <w:color w:val="000000"/>
                <w:sz w:val="18"/>
              </w:rPr>
            </w:pPr>
          </w:p>
        </w:tc>
        <w:tc>
          <w:tcPr>
            <w:tcW w:w="1170" w:type="dxa"/>
            <w:tcBorders>
              <w:top w:val="nil"/>
              <w:left w:val="nil"/>
              <w:bottom w:val="nil"/>
              <w:right w:val="nil"/>
              <w:tl2br w:val="nil"/>
              <w:tr2bl w:val="nil"/>
            </w:tcBorders>
            <w:noWrap/>
            <w:vAlign w:val="center"/>
          </w:tcPr>
          <w:p>
            <w:pPr>
              <w:rPr>
                <w:rFonts w:ascii="宋体" w:eastAsia="宋体"/>
                <w:color w:val="000000"/>
                <w:sz w:val="18"/>
              </w:rPr>
            </w:pPr>
          </w:p>
        </w:tc>
        <w:tc>
          <w:tcPr>
            <w:tcW w:w="585" w:type="dxa"/>
            <w:tcBorders>
              <w:top w:val="nil"/>
              <w:left w:val="nil"/>
              <w:bottom w:val="nil"/>
              <w:right w:val="nil"/>
              <w:tl2br w:val="nil"/>
              <w:tr2bl w:val="nil"/>
            </w:tcBorders>
            <w:noWrap/>
            <w:vAlign w:val="center"/>
          </w:tcPr>
          <w:p>
            <w:pPr>
              <w:rPr>
                <w:rFonts w:ascii="宋体" w:eastAsia="宋体"/>
                <w:color w:val="000000"/>
                <w:sz w:val="18"/>
              </w:rPr>
            </w:pPr>
          </w:p>
        </w:tc>
        <w:tc>
          <w:tcPr>
            <w:tcW w:w="525" w:type="dxa"/>
            <w:tcBorders>
              <w:top w:val="nil"/>
              <w:left w:val="nil"/>
              <w:bottom w:val="nil"/>
              <w:right w:val="nil"/>
              <w:tl2br w:val="nil"/>
              <w:tr2bl w:val="nil"/>
            </w:tcBorders>
            <w:noWrap/>
            <w:vAlign w:val="center"/>
          </w:tcPr>
          <w:p>
            <w:pPr>
              <w:rPr>
                <w:rFonts w:ascii="宋体" w:eastAsia="宋体"/>
                <w:color w:val="000000"/>
                <w:sz w:val="18"/>
              </w:rPr>
            </w:pPr>
          </w:p>
        </w:tc>
        <w:tc>
          <w:tcPr>
            <w:tcW w:w="2625" w:type="dxa"/>
            <w:tcBorders>
              <w:top w:val="nil"/>
              <w:left w:val="nil"/>
              <w:bottom w:val="nil"/>
              <w:right w:val="nil"/>
              <w:tl2br w:val="nil"/>
              <w:tr2bl w:val="nil"/>
            </w:tcBorders>
            <w:noWrap/>
            <w:vAlign w:val="center"/>
          </w:tcPr>
          <w:p>
            <w:pPr>
              <w:rPr>
                <w:rFonts w:ascii="宋体" w:eastAsia="宋体"/>
                <w:color w:val="000000"/>
                <w:sz w:val="18"/>
              </w:rPr>
            </w:pPr>
          </w:p>
        </w:tc>
      </w:tr>
      <w:tr>
        <w:trPr>
          <w:trHeight w:val="899"/>
        </w:trPr>
        <w:tc>
          <w:tcPr>
            <w:tcW w:w="14939" w:type="dxa"/>
            <w:gridSpan w:val="11"/>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i w:val="0"/>
                <w:color w:val="000000"/>
                <w:sz w:val="30"/>
              </w:rPr>
            </w:pPr>
            <w:r>
              <w:rPr>
                <w:rFonts w:ascii="黑体" w:eastAsia="黑体" w:cs="Lucida Sans"/>
                <w:b/>
                <w:i w:val="0"/>
                <w:color w:val="000000"/>
                <w:sz w:val="30"/>
              </w:rPr>
              <w:t>部门预算项目支出绩效自评表（2025年度）</w:t>
            </w:r>
          </w:p>
        </w:tc>
      </w:tr>
      <w:tr>
        <w:trPr>
          <w:trHeight w:val="284"/>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项目名称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51320025T000014042468-儿童福利机构及未成年人救助保护机构消防安全整治</w:t>
            </w:r>
          </w:p>
        </w:tc>
      </w:tr>
      <w:tr>
        <w:trPr>
          <w:trHeight w:val="509"/>
        </w:trPr>
        <w:tc>
          <w:tcPr>
            <w:tcW w:w="2895" w:type="dxa"/>
            <w:gridSpan w:val="2"/>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主管部门</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州民政局部门</w:t>
            </w:r>
          </w:p>
        </w:tc>
        <w:tc>
          <w:tcPr>
            <w:tcW w:w="1170" w:type="dxa"/>
            <w:tcBorders>
              <w:top w:val="nil"/>
              <w:left w:val="nil"/>
              <w:bottom w:val="nil"/>
              <w:right w:val="nil"/>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实施单位 （盖章）</w:t>
            </w:r>
          </w:p>
        </w:tc>
        <w:tc>
          <w:tcPr>
            <w:tcW w:w="373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州福利院</w:t>
            </w:r>
          </w:p>
        </w:tc>
      </w:tr>
      <w:tr>
        <w:trPr>
          <w:trHeight w:val="284"/>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项目基本情况</w:t>
            </w: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1.项目年度目标完成情况</w:t>
            </w: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项目年度目标</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年度目标完成情况</w:t>
            </w:r>
          </w:p>
        </w:tc>
      </w:tr>
      <w:tr>
        <w:trPr>
          <w:trHeight w:val="7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714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提高全体工作人员和儿童等消防安全意识和应急处置能力，降低火灾事故发生概率，保障全院等生命财产安全．</w:t>
            </w:r>
          </w:p>
        </w:tc>
        <w:tc>
          <w:tcPr>
            <w:tcW w:w="4905" w:type="dxa"/>
            <w:gridSpan w:val="4"/>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对照年度目标，说明相关任务目标的完成情况（100字以内）</w:t>
            </w:r>
          </w:p>
        </w:tc>
      </w:tr>
      <w:tr>
        <w:trPr>
          <w:trHeight w:val="480"/>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2.项目实施内容及过程概述</w:t>
            </w:r>
          </w:p>
        </w:tc>
        <w:tc>
          <w:tcPr>
            <w:tcW w:w="12045" w:type="dxa"/>
            <w:gridSpan w:val="9"/>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s="Lucida Sans"/>
                <w:color w:val="000000"/>
                <w:sz w:val="18"/>
              </w:rPr>
            </w:pPr>
          </w:p>
        </w:tc>
      </w:tr>
      <w:tr>
        <w:trPr>
          <w:trHeight w:val="35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预算执行情况（10分）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年度预算数（万元）</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年初预算</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调整后预算数</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预算执行数</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预算执行率</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原因</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总额</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66.75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95.36%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olor w:val="000000"/>
                <w:sz w:val="18"/>
              </w:rPr>
            </w:pPr>
          </w:p>
        </w:tc>
        <w:tc>
          <w:tcPr>
            <w:tcW w:w="2625"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b w:val="0"/>
                <w:i/>
                <w:color w:val="000000"/>
                <w:sz w:val="18"/>
              </w:rPr>
            </w:pPr>
          </w:p>
        </w:tc>
      </w:tr>
      <w:tr>
        <w:trPr>
          <w:trHeight w:val="38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其中：财政资金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66.75</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95.36%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0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财政专户管理资金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5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单位资金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0.00%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其他资金</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2955" w:type="dxa"/>
            <w:gridSpan w:val="3"/>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2625"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r>
      <w:tr>
        <w:trPr>
          <w:trHeight w:val="449"/>
        </w:trPr>
        <w:tc>
          <w:tcPr>
            <w:tcW w:w="1078"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绩效指标（90分）</w:t>
            </w: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一级指标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二级指标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三级指标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指标性质</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指标值</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度量单位</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完成值</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权重</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得分</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未完成原因分析</w:t>
            </w: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val="restart"/>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产出指标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数量指标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1000平方改造</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质量指标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达到设定验收标准</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100</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时效指标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12月完成</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12</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月</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12月</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15</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14</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效益指标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社会效益指标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儿童生活学习环境安全提升</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明显</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处</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明显</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18</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449"/>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满意度指标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服务对象满意度指标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供养儿童满意度</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95</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96</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7</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344"/>
        </w:trPr>
        <w:tc>
          <w:tcPr>
            <w:tcW w:w="1078" w:type="dxa"/>
            <w:vMerge/>
            <w:tcBorders>
              <w:top w:val="single" w:sz="6" w:space="0" w:color="000000"/>
              <w:left w:val="single" w:sz="6" w:space="0" w:color="000000"/>
              <w:bottom w:val="single" w:sz="6" w:space="0" w:color="000000"/>
              <w:right w:val="single" w:sz="6" w:space="0" w:color="000000"/>
              <w:tl2br w:val="nil"/>
              <w:tr2bl w:val="nil"/>
            </w:tcBorders>
            <w:noWrap/>
            <w:vAlign w:val="center"/>
          </w:tcPr>
          <w:p/>
        </w:tc>
        <w:tc>
          <w:tcPr>
            <w:tcW w:w="1817"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成本指标</w:t>
            </w:r>
          </w:p>
        </w:tc>
        <w:tc>
          <w:tcPr>
            <w:tcW w:w="184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经济成本指标</w:t>
            </w:r>
          </w:p>
        </w:tc>
        <w:tc>
          <w:tcPr>
            <w:tcW w:w="234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小于项目评审金额</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定性</w:t>
            </w:r>
          </w:p>
        </w:tc>
        <w:tc>
          <w:tcPr>
            <w:tcW w:w="175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小于</w:t>
            </w:r>
          </w:p>
        </w:tc>
        <w:tc>
          <w:tcPr>
            <w:tcW w:w="60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元</w:t>
            </w:r>
          </w:p>
        </w:tc>
        <w:tc>
          <w:tcPr>
            <w:tcW w:w="1170"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66.75</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20</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b w:val="0"/>
                <w:i/>
                <w:color w:val="000000"/>
                <w:sz w:val="16"/>
              </w:rPr>
            </w:pPr>
          </w:p>
        </w:tc>
      </w:tr>
      <w:tr>
        <w:trPr>
          <w:trHeight w:val="284"/>
        </w:trPr>
        <w:tc>
          <w:tcPr>
            <w:tcW w:w="11205" w:type="dxa"/>
            <w:gridSpan w:val="8"/>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合计</w:t>
            </w:r>
          </w:p>
        </w:tc>
        <w:tc>
          <w:tcPr>
            <w:tcW w:w="58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100</w:t>
            </w:r>
          </w:p>
        </w:tc>
        <w:tc>
          <w:tcPr>
            <w:tcW w:w="5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right"/>
              <w:rPr>
                <w:rFonts w:ascii="宋体" w:eastAsia="宋体" w:cs="Lucida Sans"/>
                <w:color w:val="000000"/>
                <w:sz w:val="18"/>
              </w:rPr>
            </w:pPr>
            <w:r>
              <w:rPr>
                <w:rFonts w:ascii="宋体" w:eastAsia="宋体" w:cs="Lucida Sans"/>
                <w:color w:val="000000"/>
                <w:sz w:val="18"/>
              </w:rPr>
              <w:t>84</w:t>
            </w:r>
          </w:p>
        </w:tc>
        <w:tc>
          <w:tcPr>
            <w:tcW w:w="2625" w:type="dxa"/>
            <w:tcBorders>
              <w:top w:val="single" w:sz="6" w:space="0" w:color="000000"/>
              <w:left w:val="single" w:sz="6" w:space="0" w:color="000000"/>
              <w:bottom w:val="single" w:sz="6" w:space="0" w:color="000000"/>
              <w:right w:val="single" w:sz="6" w:space="0" w:color="000000"/>
              <w:tl2br w:val="nil"/>
              <w:tr2bl w:val="nil"/>
            </w:tcBorders>
            <w:noWrap/>
            <w:vAlign w:val="center"/>
          </w:tcPr>
          <w:p>
            <w:pPr>
              <w:rPr>
                <w:rFonts w:ascii="宋体" w:eastAsia="宋体"/>
                <w:color w:val="000000"/>
                <w:sz w:val="18"/>
              </w:rPr>
            </w:pPr>
          </w:p>
        </w:tc>
      </w:tr>
      <w:tr>
        <w:trPr>
          <w:trHeight w:val="599"/>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评价结论</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目实施并顺利完成。能强院内儿童生活、学习安全，提升基础设施建设，切实保障孤弃儿童生命健康安全，预期产出和效果能够满足需求。该项目自评84分</w:t>
            </w:r>
          </w:p>
        </w:tc>
      </w:tr>
      <w:tr>
        <w:trPr>
          <w:trHeight w:val="454"/>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存在问题</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422"/>
        </w:trPr>
        <w:tc>
          <w:tcPr>
            <w:tcW w:w="1078" w:type="dxa"/>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宋体" w:eastAsia="宋体" w:cs="Lucida Sans"/>
                <w:color w:val="000000"/>
                <w:sz w:val="18"/>
              </w:rPr>
            </w:pPr>
            <w:r>
              <w:rPr>
                <w:rFonts w:ascii="宋体" w:eastAsia="宋体" w:cs="Lucida Sans"/>
                <w:color w:val="000000"/>
                <w:sz w:val="18"/>
              </w:rPr>
              <w:t>改进措施</w:t>
            </w:r>
          </w:p>
        </w:tc>
        <w:tc>
          <w:tcPr>
            <w:tcW w:w="13862" w:type="dxa"/>
            <w:gridSpan w:val="10"/>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微软雅黑" w:eastAsia="微软雅黑" w:cs="Lucida Sans"/>
                <w:b w:val="0"/>
                <w:i/>
                <w:color w:val="000000"/>
                <w:sz w:val="16"/>
              </w:rPr>
            </w:pPr>
            <w:r>
              <w:rPr>
                <w:rFonts w:ascii="微软雅黑" w:eastAsia="微软雅黑" w:cs="Lucida Sans"/>
                <w:b w:val="0"/>
                <w:i/>
                <w:color w:val="000000"/>
                <w:sz w:val="16"/>
              </w:rPr>
              <w:t>无</w:t>
            </w:r>
          </w:p>
        </w:tc>
      </w:tr>
      <w:tr>
        <w:trPr>
          <w:trHeight w:val="284"/>
        </w:trPr>
        <w:tc>
          <w:tcPr>
            <w:tcW w:w="7680" w:type="dxa"/>
            <w:gridSpan w:val="5"/>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项目负责人：</w:t>
            </w:r>
          </w:p>
        </w:tc>
        <w:tc>
          <w:tcPr>
            <w:tcW w:w="7260" w:type="dxa"/>
            <w:gridSpan w:val="6"/>
            <w:tcBorders>
              <w:top w:val="single" w:sz="6" w:space="0" w:color="000000"/>
              <w:left w:val="single" w:sz="6" w:space="0" w:color="000000"/>
              <w:bottom w:val="single" w:sz="6" w:space="0" w:color="000000"/>
              <w:right w:val="single" w:sz="6" w:space="0" w:color="000000"/>
              <w:tl2br w:val="nil"/>
              <w:tr2bl w:val="nil"/>
            </w:tcBorders>
            <w:noWrap/>
            <w:vAlign w:val="center"/>
          </w:tcPr>
          <w:p>
            <w:pPr>
              <w:jc w:val="center"/>
              <w:rPr>
                <w:rFonts w:ascii="黑体" w:eastAsia="黑体" w:cs="Lucida Sans"/>
                <w:color w:val="000000"/>
                <w:sz w:val="18"/>
              </w:rPr>
            </w:pPr>
            <w:r>
              <w:rPr>
                <w:rFonts w:ascii="黑体" w:eastAsia="黑体" w:cs="Lucida Sans"/>
                <w:color w:val="000000"/>
                <w:sz w:val="18"/>
              </w:rPr>
              <w:t>财务负责人：</w:t>
            </w:r>
          </w:p>
        </w:tc>
      </w:tr>
    </w:tbl>
    <w:p>
      <w:pPr>
        <w:pStyle w:val="15"/>
        <w:keepNext w:val="0"/>
        <w:keepLines w:val="0"/>
        <w:pageBreakBefore w:val="0"/>
        <w:widowControl w:val="0"/>
        <w:suppressLineNumbers w:val="0"/>
        <w:suppressAutoHyphens w:val="0"/>
      </w:pPr>
    </w:p>
    <w:p>
      <w:pPr>
        <w:pStyle w:val="17"/>
        <w:keepNext w:val="0"/>
        <w:keepLines w:val="0"/>
        <w:pageBreakBefore w:val="0"/>
        <w:widowControl w:val="0"/>
        <w:suppressLineNumbers w:val="0"/>
        <w:suppressAutoHyphens w:val="0"/>
      </w:pPr>
    </w:p>
    <w:p>
      <w:pPr>
        <w:keepNext w:val="0"/>
        <w:keepLines w:val="0"/>
        <w:pageBreakBefore w:val="0"/>
        <w:widowControl w:val="0"/>
        <w:suppressLineNumbers w:val="0"/>
        <w:suppressAutoHyphens w:val="0"/>
      </w:pPr>
    </w:p>
    <w:p>
      <w:pPr>
        <w:pStyle w:val="15"/>
        <w:keepNext w:val="0"/>
        <w:keepLines w:val="0"/>
        <w:pageBreakBefore w:val="0"/>
        <w:widowControl w:val="0"/>
        <w:suppressLineNumbers w:val="0"/>
        <w:suppressAutoHyphens w:val="0"/>
      </w:pPr>
    </w:p>
    <w:p>
      <w:pPr>
        <w:pStyle w:val="17"/>
        <w:keepNext w:val="0"/>
        <w:keepLines w:val="0"/>
        <w:pageBreakBefore w:val="0"/>
        <w:widowControl w:val="0"/>
        <w:suppressLineNumbers w:val="0"/>
        <w:suppressAutoHyphens w:val="0"/>
        <w:sectPr>
          <w:pgSz w:w="16838" w:h="11906" w:orient="landscape"/>
          <w:pgMar w:top="1800" w:right="1440" w:bottom="1800" w:left="1440" w:header="851" w:footer="992" w:gutter="0"/>
          <w:pgNumType/>
          <w:docGrid w:type="lines" w:linePitch="312" w:charSpace="0"/>
        </w:sectPr>
      </w:pPr>
    </w:p>
    <w:p>
      <w:pPr>
        <w:pStyle w:val="17"/>
        <w:keepNext w:val="0"/>
        <w:keepLines w:val="0"/>
        <w:pageBreakBefore w:val="0"/>
        <w:widowControl w:val="0"/>
        <w:kinsoku/>
        <w:wordWrap/>
        <w:overflowPunct/>
        <w:topLinePunct w:val="0"/>
        <w:autoSpaceDE/>
        <w:autoSpaceDN/>
        <w:spacing w:line="560" w:lineRule="exact"/>
        <w:ind w:leftChars="0" w:left="0" w:firstLineChars="0" w:firstLine="0"/>
        <w:rPr>
          <w:rFonts w:ascii="Times New Roman" w:hAnsi="Times New Roman" w:hint="eastAsia"/>
          <w:sz w:val="32"/>
          <w:lang w:val="zh-CN"/>
          <w:highlight w:val="yellow"/>
        </w:rPr>
      </w:pPr>
    </w:p>
    <w:p>
      <w:pPr>
        <w:spacing w:line="600" w:lineRule="exact"/>
        <w:jc w:val="center"/>
        <w:outlineLvl w:val="0"/>
        <w:rPr>
          <w:rFonts w:ascii="Times New Roman" w:eastAsia="黑体" w:hAnsi="Times New Roman" w:hint="eastAsia"/>
          <w:color w:val="auto"/>
          <w:sz w:val="44"/>
          <w:szCs w:val="44"/>
          <w:highlight w:val="auto"/>
        </w:rPr>
      </w:pPr>
      <w:bookmarkStart w:id="79" w:name="_Toc15396618"/>
      <w:bookmarkStart w:id="80" w:name="_Toc99534242"/>
      <w:r>
        <w:rPr>
          <w:rFonts w:ascii="Times New Roman" w:eastAsia="黑体" w:hAnsi="Times New Roman" w:hint="eastAsia"/>
          <w:color w:val="auto"/>
          <w:sz w:val="44"/>
          <w:szCs w:val="44"/>
          <w:highlight w:val="auto"/>
        </w:rPr>
        <w:t>第</w:t>
      </w:r>
      <w:r>
        <w:rPr>
          <w:rFonts w:eastAsia="黑体"/>
          <w:color w:val="auto"/>
          <w:sz w:val="44"/>
          <w:szCs w:val="44"/>
          <w:lang w:eastAsia="zh-CN"/>
          <w:highlight w:val="auto"/>
        </w:rPr>
        <w:t>五</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color w:val="auto"/>
          <w:sz w:val="44"/>
          <w:szCs w:val="44"/>
          <w:highlight w:val="auto"/>
        </w:rPr>
        <w:t>附表</w:t>
      </w:r>
      <w:bookmarkEnd w:id="80"/>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1" w:name="_Toc15396619"/>
      <w:bookmarkEnd w:id="76"/>
      <w:bookmarkEnd w:id="79"/>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81"/>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2" w:name="_Toc15396620"/>
      <w:r>
        <w:rPr>
          <w:rFonts w:ascii="Times New Roman" w:eastAsia="仿宋_GB2312" w:cs="仿宋_GB2312" w:hAnsi="Times New Roman" w:hint="eastAsia"/>
          <w:color w:val="auto"/>
          <w:sz w:val="32"/>
          <w:szCs w:val="32"/>
          <w:highlight w:val="auto"/>
        </w:rPr>
        <w:t>二、收入决算表</w:t>
      </w:r>
      <w:bookmarkEnd w:id="82"/>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3" w:name="_Toc15396621"/>
      <w:r>
        <w:rPr>
          <w:rFonts w:ascii="Times New Roman" w:eastAsia="仿宋_GB2312" w:cs="仿宋_GB2312" w:hAnsi="Times New Roman" w:hint="eastAsia"/>
          <w:color w:val="auto"/>
          <w:sz w:val="32"/>
          <w:szCs w:val="32"/>
          <w:highlight w:val="auto"/>
        </w:rPr>
        <w:t>三、支出决算表</w:t>
      </w:r>
      <w:bookmarkEnd w:id="83"/>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4" w:name="_Toc15396622"/>
      <w:r>
        <w:rPr>
          <w:rFonts w:ascii="Times New Roman" w:eastAsia="仿宋_GB2312" w:cs="仿宋_GB2312" w:hAnsi="Times New Roman" w:hint="eastAsia"/>
          <w:color w:val="auto"/>
          <w:sz w:val="32"/>
          <w:szCs w:val="32"/>
          <w:highlight w:val="auto"/>
        </w:rPr>
        <w:t>四、财政拨款收入支出决算总表</w:t>
      </w:r>
      <w:bookmarkEnd w:id="84"/>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5" w:name="_Toc15396623"/>
      <w:r>
        <w:rPr>
          <w:rFonts w:ascii="Times New Roman" w:eastAsia="仿宋_GB2312" w:cs="仿宋_GB2312" w:hAnsi="Times New Roman" w:hint="eastAsia"/>
          <w:color w:val="auto"/>
          <w:sz w:val="32"/>
          <w:szCs w:val="32"/>
          <w:highlight w:val="auto"/>
        </w:rPr>
        <w:t>五、财政拨款支出决算明细表</w:t>
      </w:r>
      <w:bookmarkStart w:id="86" w:name="_Toc15396624"/>
      <w:bookmarkEnd w:id="85"/>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86"/>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7" w:name="_Toc15396625"/>
      <w:r>
        <w:rPr>
          <w:rFonts w:ascii="Times New Roman" w:eastAsia="仿宋_GB2312" w:cs="仿宋_GB2312" w:hAnsi="Times New Roman" w:hint="eastAsia"/>
          <w:color w:val="auto"/>
          <w:sz w:val="32"/>
          <w:szCs w:val="32"/>
          <w:highlight w:val="auto"/>
        </w:rPr>
        <w:t>七、一般公共预算财政拨款支出决算明细表</w:t>
      </w:r>
      <w:bookmarkEnd w:id="87"/>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8" w:name="_Toc15396626"/>
      <w:r>
        <w:rPr>
          <w:rFonts w:ascii="Times New Roman" w:eastAsia="仿宋_GB2312" w:cs="仿宋_GB2312" w:hAnsi="Times New Roman" w:hint="eastAsia"/>
          <w:color w:val="auto"/>
          <w:sz w:val="32"/>
          <w:szCs w:val="32"/>
          <w:highlight w:val="auto"/>
        </w:rPr>
        <w:t>八、一般公共预算财政拨款基本支出决算表</w:t>
      </w:r>
      <w:bookmarkEnd w:id="88"/>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9" w:name="_Toc15396627"/>
      <w:r>
        <w:rPr>
          <w:rFonts w:ascii="Times New Roman" w:eastAsia="仿宋_GB2312" w:cs="仿宋_GB2312" w:hAnsi="Times New Roman" w:hint="eastAsia"/>
          <w:color w:val="auto"/>
          <w:sz w:val="32"/>
          <w:szCs w:val="32"/>
          <w:highlight w:val="auto"/>
        </w:rPr>
        <w:t>九、一般公共预算财政拨款项目支出决算表</w:t>
      </w:r>
      <w:bookmarkEnd w:id="89"/>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0" w:name="_Toc15396628"/>
      <w:r>
        <w:rPr>
          <w:rFonts w:ascii="Times New Roman" w:eastAsia="仿宋_GB2312" w:cs="仿宋_GB2312" w:hAnsi="Times New Roman" w:hint="eastAsia"/>
          <w:color w:val="auto"/>
          <w:sz w:val="32"/>
          <w:szCs w:val="32"/>
          <w:highlight w:val="auto"/>
        </w:rPr>
        <w:t>十、</w:t>
      </w:r>
      <w:bookmarkEnd w:id="90"/>
      <w:r>
        <w:rPr>
          <w:rFonts w:ascii="Times New Roman" w:eastAsia="仿宋_GB2312" w:cs="仿宋_GB2312" w:hAnsi="Times New Roman" w:hint="eastAsia"/>
          <w:color w:val="auto"/>
          <w:sz w:val="32"/>
          <w:szCs w:val="32"/>
          <w:highlight w:val="auto"/>
        </w:rPr>
        <w:t>政府性基金预算财政拨款收入支出决算表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1" w:name="_Toc15396629"/>
      <w:r>
        <w:rPr>
          <w:rFonts w:ascii="Times New Roman" w:eastAsia="仿宋_GB2312" w:cs="仿宋_GB2312" w:hAnsi="Times New Roman" w:hint="eastAsia"/>
          <w:color w:val="auto"/>
          <w:sz w:val="32"/>
          <w:szCs w:val="32"/>
          <w:highlight w:val="auto"/>
        </w:rPr>
        <w:t>十一、</w:t>
      </w:r>
      <w:bookmarkEnd w:id="91"/>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2" w:name="_Toc15396630"/>
      <w:r>
        <w:rPr>
          <w:rFonts w:ascii="Times New Roman" w:eastAsia="仿宋_GB2312" w:cs="仿宋_GB2312" w:hAnsi="Times New Roman" w:hint="eastAsia"/>
          <w:color w:val="auto"/>
          <w:sz w:val="32"/>
          <w:szCs w:val="32"/>
          <w:highlight w:val="auto"/>
        </w:rPr>
        <w:t>十二、</w:t>
      </w:r>
      <w:bookmarkEnd w:id="92"/>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5"/>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93" w:name="_Toc15396631"/>
      <w:r>
        <w:rPr>
          <w:rFonts w:ascii="Times New Roman" w:eastAsia="仿宋_GB2312" w:cs="仿宋_GB2312" w:hAnsi="Times New Roman" w:hint="eastAsia"/>
          <w:color w:val="auto"/>
          <w:sz w:val="32"/>
          <w:szCs w:val="32"/>
          <w:highlight w:val="auto"/>
        </w:rPr>
        <w:t>十三、</w:t>
      </w:r>
      <w:bookmarkEnd w:id="93"/>
      <w:r>
        <w:rPr>
          <w:rFonts w:ascii="Times New Roman" w:eastAsia="仿宋_GB2312" w:cs="仿宋_GB2312" w:hAnsi="Times New Roman" w:hint="eastAsia"/>
          <w:color w:val="auto"/>
          <w:sz w:val="32"/>
          <w:szCs w:val="32"/>
          <w:lang w:eastAsia="zh-CN"/>
          <w:highlight w:val="auto"/>
        </w:rPr>
        <w:t>财政拨款“三公”经费支出决算表</w:t>
      </w:r>
    </w:p>
    <w:p>
      <w:pPr>
        <w:jc w:val="center"/>
        <w:rPr>
          <w:rFonts w:eastAsia="仿宋_GB2312" w:cs="仿宋_GB2312" w:hint="eastAsia"/>
          <w:sz w:val="32"/>
          <w:szCs w:val="32"/>
        </w:rPr>
      </w:pPr>
      <w:r>
        <w:rPr>
          <w:rFonts w:eastAsia="仿宋_GB2312" w:cs="仿宋_GB2312" w:hint="eastAsia"/>
          <w:sz w:val="32"/>
          <w:szCs w:val="32"/>
        </w:rPr>
        <w:t>（以上表格见附件）</w:t>
      </w:r>
    </w:p>
    <w:sectPr>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10601030101010101"/>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宋体">
    <w:altName w:val="方正书宋_GBK"/>
    <w:panose1 w:val="02010600030101010101"/>
    <w:charset w:val="7A"/>
    <w:family w:val="auto"/>
    <w:pitch w:val="variable"/>
    <w:sig w:usb0="00000203" w:usb1="288F0000" w:usb2="00000006" w:usb3="00000000" w:csb0="00040001" w:csb1="00000000"/>
  </w:font>
  <w:font w:name="Arial">
    <w:altName w:val="DejaVu Sans"/>
    <w:panose1 w:val="020B0604020202020204"/>
    <w:charset w:val="01"/>
    <w:family w:val="swiss"/>
    <w:pitch w:val="variable"/>
    <w:sig w:usb0="E0002EFF" w:usb1="C000785B" w:usb2="00000009" w:usb3="00000000" w:csb0="400001FF" w:csb1="FFFF0000"/>
  </w:font>
  <w:font w:name="仿宋">
    <w:altName w:val="仿宋_GB2312"/>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方正兰亭黑_GBK">
    <w:altName w:val="Arial Unicode MS"/>
    <w:panose1 w:val="02000000000000000000"/>
    <w:charset w:val="86"/>
    <w:family w:val="script"/>
    <w:pitch w:val="variable"/>
    <w:sig w:usb0="00000000" w:usb1="00000000" w:usb2="0008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微软雅黑">
    <w:altName w:val="方正兰亭黑_GBK"/>
    <w:panose1 w:val="020B0503020204020204"/>
    <w:charset w:val="86"/>
    <w:family w:val="auto"/>
    <w:pitch w:val="variable"/>
    <w:sig w:usb0="80000287" w:usb1="2ACF3C50" w:usb2="00000016" w:usb3="00000000" w:csb0="0004001F"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200247B" w:usb2="00000009" w:usb3="00000000" w:csb0="200001FF" w:csb1="0000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r>
      <w:rPr>
        <w:sz w:val="18"/>
      </w:rPr>
      <mc:AlternateContent>
        <mc:Choice Requires="wps">
          <w:drawing>
            <wp:anchor distT="0" distB="0" distL="114298" distR="114298" simplePos="0" relativeHeight="34" behindDoc="0" locked="0" layoutInCell="1" hidden="0" allowOverlap="1">
              <wp:simplePos x="0" y="0"/>
              <wp:positionH relativeFrom="margin">
                <wp:align>center</wp:align>
              </wp:positionH>
              <wp:positionV relativeFrom="paragraph">
                <wp:posOffset>0</wp:posOffset>
              </wp:positionV>
              <wp:extent cx="190423" cy="131559"/>
              <wp:effectExtent l="0" t="0" r="0" b="0"/>
              <wp:wrapNone/>
              <wp:docPr id="1" name="文本框 6"/>
              <wp:cNvGraphicFramePr>
                <a:graphicFrameLocks noChangeAspect="0"/>
              </wp:cNvGraphicFramePr>
              <a:graphic>
                <a:graphicData uri="http://schemas.microsoft.com/office/word/2010/wordprocessingShape">
                  <wps:wsp>
                    <wps:cNvSpPr/>
                    <wps:spPr>
                      <a:xfrm rot="0">
                        <a:off x="0" y="0"/>
                        <a:ext cx="190423" cy="131559"/>
                      </a:xfrm>
                      <a:prstGeom prst="rect"/>
                      <a:noFill/>
                      <a:ln w="6350" cmpd="sng" cap="flat">
                        <a:noFill/>
                        <a:prstDash val="solid"/>
                        <a:round/>
                      </a:ln>
                    </wps:spPr>
                    <wps:txbx id="2">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type="#_x0000_t1" id="文本框 6 3" o:spid="_x0000_s3" filled="f" stroked="f" strokeweight="0.5pt" style="position:absolute;margin-left:0.0pt;margin-top:0.0pt;width:14.994001pt;height:10.359pt;z-index:34;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r>
      <w:rPr>
        <w:sz w:val="18"/>
      </w:rPr>
      <mc:AlternateContent>
        <mc:Choice Requires="wps">
          <w:drawing>
            <wp:anchor distT="0" distB="0" distL="114298" distR="114298" simplePos="0" relativeHeight="36" behindDoc="0" locked="0" layoutInCell="1" hidden="0" allowOverlap="1">
              <wp:simplePos x="0" y="0"/>
              <wp:positionH relativeFrom="margin">
                <wp:align>outside</wp:align>
              </wp:positionH>
              <wp:positionV relativeFrom="paragraph">
                <wp:posOffset>0</wp:posOffset>
              </wp:positionV>
              <wp:extent cx="711199" cy="266561"/>
              <wp:effectExtent l="0" t="0" r="0" b="0"/>
              <wp:wrapNone/>
              <wp:docPr id="4" name="文本框 3"/>
              <wp:cNvGraphicFramePr>
                <a:graphicFrameLocks noChangeAspect="0"/>
              </wp:cNvGraphicFramePr>
              <a:graphic>
                <a:graphicData uri="http://schemas.microsoft.com/office/word/2010/wordprocessingShape">
                  <wps:wsp>
                    <wps:cNvSpPr/>
                    <wps:spPr>
                      <a:xfrm rot="0">
                        <a:off x="0" y="0"/>
                        <a:ext cx="711199" cy="266561"/>
                      </a:xfrm>
                      <a:prstGeom prst="rect"/>
                      <a:noFill/>
                      <a:ln w="6350" cmpd="sng" cap="flat">
                        <a:noFill/>
                        <a:prstDash val="solid"/>
                        <a:round/>
                      </a:ln>
                    </wps:spPr>
                    <wps:txbx id="5">
                      <w:txbxContent>
                        <w:p>
                          <w:pPr>
                            <w:pStyle w:val="21"/>
                            <w:tabs>
                              <w:tab w:val="center" w:pos="4153"/>
                              <w:tab w:val="right" w:pos="8306"/>
                            </w:tabs>
                            <w:rPr>
                              <w:rFonts w:ascii="宋体" w:eastAsia="宋体" w:cs="宋体" w:hint="eastAsia"/>
                              <w:sz w:val="28"/>
                              <w:szCs w:val="28"/>
                            </w:rPr>
                          </w:pPr>
                          <w:r>
                            <w:rPr>
                              <w:rFonts w:ascii="宋体" w:eastAsia="宋体" w:cs="宋体" w:hint="eastAsia"/>
                              <w:sz w:val="28"/>
                              <w:szCs w:val="28"/>
                            </w:rP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1</w:t>
                          </w:r>
                          <w:r>
                            <w:rPr>
                              <w:rFonts w:ascii="宋体" w:eastAsia="宋体" w:cs="宋体" w:hint="eastAsia"/>
                              <w:sz w:val="28"/>
                              <w:szCs w:val="28"/>
                            </w:rPr>
                            <w:fldChar w:fldCharType="end"/>
                          </w:r>
                          <w:r>
                            <w:rPr>
                              <w:rFonts w:ascii="宋体" w:eastAsia="宋体" w:cs="宋体" w:hint="eastAsia"/>
                              <w:sz w:val="28"/>
                              <w:szCs w:val="28"/>
                            </w:rPr>
                            <w:t xml:space="preserve"> —</w:t>
                          </w:r>
                        </w:p>
                      </w:txbxContent>
                    </wps:txbx>
                    <wps:bodyPr vert="horz" wrap="none" lIns="0" tIns="0" rIns="0" bIns="0" anchor="t" anchorCtr="0" upright="0">
                      <a:spAutoFit/>
                    </wps:bodyPr>
                  </wps:wsp>
                </a:graphicData>
              </a:graphic>
            </wp:anchor>
          </w:drawing>
        </mc:Choice>
        <mc:Fallback>
          <w:pict>
            <v:shape type="#_x0000_t202" id="文本框 3 6" o:spid="_x0000_s6" filled="f" stroked="f" strokeweight="0.5pt" style="position:absolute;margin-left:0.0pt;margin-top:0.0pt;width:55.999996pt;height:20.98906pt;z-index:36;mso-position-horizontal:outside;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rPr>
                        <w:rFonts w:ascii="宋体" w:eastAsia="宋体" w:cs="宋体" w:hint="eastAsia"/>
                        <w:sz w:val="28"/>
                        <w:szCs w:val="28"/>
                      </w:rPr>
                    </w:pPr>
                    <w:r>
                      <w:rPr>
                        <w:rFonts w:ascii="宋体" w:eastAsia="宋体" w:cs="宋体" w:hint="eastAsia"/>
                        <w:sz w:val="28"/>
                        <w:szCs w:val="28"/>
                      </w:rP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1</w:t>
                    </w:r>
                    <w:r>
                      <w:rPr>
                        <w:rFonts w:ascii="宋体" w:eastAsia="宋体" w:cs="宋体" w:hint="eastAsia"/>
                        <w:sz w:val="28"/>
                        <w:szCs w:val="28"/>
                      </w:rPr>
                      <w:fldChar w:fldCharType="end"/>
                    </w:r>
                    <w:r>
                      <w:rPr>
                        <w:rFonts w:ascii="宋体" w:eastAsia="宋体" w:cs="宋体" w:hint="eastAsia"/>
                        <w:sz w:val="28"/>
                        <w:szCs w:val="28"/>
                      </w:rPr>
                      <w:t xml:space="preserve"> —</w:t>
                    </w:r>
                  </w:p>
                </w:txbxContent>
              </v:textbox>
            </v:shape>
          </w:pict>
        </mc:Fallback>
      </mc:AlternateContent>
    </w:r>
  </w:p>
  <w:p>
    <w:pPr>
      <w:pStyle w:val="21"/>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next w:val="0"/>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6"/>
    <w:autoRedefine/>
    <w:next w:val="0"/>
    <w:pPr>
      <w:wordWrap w:val="0"/>
      <w:ind w:left="1700"/>
      <w:jc w:val="both"/>
    </w:pPr>
    <w:rPr>
      <w:rFonts w:ascii="Calibri" w:eastAsia="宋体" w:cs="Calibri" w:hAnsi="Calibri"/>
      <w:sz w:val="21"/>
      <w:szCs w:val="22"/>
      <w:lang w:val="en-US" w:eastAsia="zh-CN" w:bidi="ar-SA"/>
    </w:rPr>
  </w:style>
  <w:style w:type="paragraph" w:styleId="25">
    <w:name w:val="toc 2"/>
    <w:basedOn w:val="0"/>
    <w:next w:val="0"/>
    <w:pPr>
      <w:tabs>
        <w:tab w:val="right" w:leader="dot" w:pos="8296"/>
      </w:tabs>
      <w:ind w:leftChars="200" w:left="200"/>
    </w:pPr>
  </w:style>
  <w:style w:type="paragraph" w:styleId="26">
    <w:name w:val="Normal (Web)"/>
    <w:basedOn w:val="0"/>
    <w:next w:val="21"/>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Times New Roman" w:eastAsia="宋体" w:cs="Times New Roman" w:hAnsi="Times New Roman"/>
      <w:snapToGrid/>
      <w:color w:val="auto"/>
      <w:spacing w:val="0"/>
      <w:w w:val="100"/>
      <w:kern w:val="0"/>
      <w:position w:val="0"/>
      <w:sz w:val="24"/>
      <w:szCs w:val="24"/>
      <w:u w:val="none" w:color="auto"/>
      <w:vertAlign w:val="baseline"/>
      <w:lang w:val="en-US" w:eastAsia="zh-CN" w:bidi="ar-SA"/>
    </w:rPr>
  </w:style>
  <w:style w:type="character" w:styleId="27">
    <w:name w:val="Strong"/>
    <w:basedOn w:val="10"/>
    <w:rPr>
      <w:b/>
    </w:rPr>
  </w:style>
  <w:style w:type="character" w:styleId="28">
    <w:name w:val="Hyperlink"/>
    <w:basedOn w:val="10"/>
    <w:rPr>
      <w:color w:val="0000FF"/>
      <w:u w:val="single"/>
    </w:rPr>
  </w:style>
  <w:style w:type="paragraph" w:customStyle="1" w:styleId="29">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30">
    <w:name w:val="Header Char"/>
    <w:basedOn w:val="10"/>
    <w:rPr>
      <w:rFonts w:ascii="Times New Roman" w:hAnsi="Times New Roman"/>
      <w:sz w:val="18"/>
      <w:szCs w:val="18"/>
    </w:rPr>
  </w:style>
  <w:style w:type="character" w:customStyle="1" w:styleId="31">
    <w:name w:val="Footer Char"/>
    <w:basedOn w:val="10"/>
    <w:rPr>
      <w:rFonts w:ascii="Times New Roman" w:hAnsi="Times New Roman"/>
      <w:sz w:val="18"/>
      <w:szCs w:val="18"/>
    </w:rPr>
  </w:style>
  <w:style w:type="character" w:customStyle="1" w:styleId="32">
    <w:name w:val="Body Text Char"/>
    <w:basedOn w:val="10"/>
    <w:rPr>
      <w:rFonts w:ascii="Times New Roman" w:hAnsi="Times New Roman"/>
      <w:szCs w:val="24"/>
    </w:rPr>
  </w:style>
  <w:style w:type="paragraph" w:customStyle="1" w:styleId="33">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4">
    <w:name w:val="List Paragraph"/>
    <w:basedOn w:val="0"/>
    <w:pPr>
      <w:ind w:firstLineChars="200" w:firstLine="200"/>
    </w:pPr>
  </w:style>
  <w:style w:type="paragraph" w:customStyle="1" w:styleId="35">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7">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image" Target="media/8.bmp"/><Relationship Id="rId7" Type="http://schemas.openxmlformats.org/officeDocument/2006/relationships/image" Target="media/11.bmp"/><Relationship Id="rId8" Type="http://schemas.openxmlformats.org/officeDocument/2006/relationships/image" Target="media/14.bmp"/><Relationship Id="rId9" Type="http://schemas.openxmlformats.org/officeDocument/2006/relationships/image" Target="media/17.bmp"/><Relationship Id="rId10" Type="http://schemas.openxmlformats.org/officeDocument/2006/relationships/image" Target="media/20.bmp"/><Relationship Id="rId11" Type="http://schemas.openxmlformats.org/officeDocument/2006/relationships/image" Target="media/23.bmp"/><Relationship Id="rId12" Type="http://schemas.openxmlformats.org/officeDocument/2006/relationships/image" Target="media/26.bmp"/><Relationship Id="rId13" Type="http://schemas.openxmlformats.org/officeDocument/2006/relationships/styles" Target="styles.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63</TotalTime>
  <Application>Yozo_Office27021597764231179</Application>
  <Pages>107</Pages>
  <Words>46368</Words>
  <Characters>52813</Characters>
  <Lines>9007</Lines>
  <Paragraphs>6058</Paragraphs>
  <CharactersWithSpaces>52908</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2026-09-18T01:50:01Z</cp:lastPrinted>
  <dcterms:created xsi:type="dcterms:W3CDTF">2020-08-08T17:49:00Z</dcterms:created>
  <dcterms:modified xsi:type="dcterms:W3CDTF">2026-09-18T03:15:28Z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eyJoZGlkIjoiOGI4NWUyYTcxODE2OTc3OTljNGQ5NWQ0NThlZTY3ZjkiLCJ1c2VySWQiOiI0MjI4MTQyOTcifQ==</vt:lpwstr>
  </property>
</Properties>
</file>