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19"/>
        <w:rPr>
          <w:rFonts w:ascii="Times New Roman" w:eastAsia="方正小标宋简体" w:cs="Times New Roman" w:hAnsi="Times New Roman"/>
          <w:color w:val="auto"/>
          <w:kern w:val="2"/>
          <w:sz w:val="72"/>
          <w:szCs w:val="72"/>
          <w:lang w:val="en-US" w:eastAsia="zh-CN" w:bidi="ar-SA"/>
          <w:highlight w:val="auto"/>
        </w:rPr>
      </w:pPr>
      <w:bookmarkStart w:id="0" w:name="_Toc15378441"/>
      <w:bookmarkStart w:id="1" w:name="_Toc15377425"/>
      <w:bookmarkStart w:id="2" w:name="_Toc15377193"/>
      <w:bookmarkStart w:id="3" w:name="_Toc15396597"/>
      <w:bookmarkStart w:id="4" w:name="_Toc15396475"/>
      <w:bookmarkStart w:id="5" w:name="_Toc15306267"/>
    </w:p>
    <w:p>
      <w:pPr>
        <w:pStyle w:val="19"/>
        <w:rPr>
          <w:rFonts w:ascii="Times New Roman" w:eastAsia="方正小标宋简体" w:cs="Times New Roman" w:hAnsi="Times New Roman"/>
          <w:color w:val="auto"/>
          <w:kern w:val="2"/>
          <w:sz w:val="72"/>
          <w:szCs w:val="72"/>
          <w:lang w:val="en-US" w:eastAsia="zh-CN" w:bidi="ar-SA"/>
          <w:highlight w:val="auto"/>
        </w:rPr>
      </w:pPr>
    </w:p>
    <w:p>
      <w:pPr>
        <w:pStyle w:val="19"/>
        <w:rPr>
          <w:rFonts w:ascii="Times New Roman" w:eastAsia="方正小标宋简体" w:cs="Times New Roman" w:hAnsi="Times New Roman" w:hint="eastAsia"/>
          <w:color w:val="auto"/>
          <w:kern w:val="2"/>
          <w:sz w:val="72"/>
          <w:szCs w:val="72"/>
          <w:lang w:val="en-US" w:eastAsia="zh-CN" w:bidi="ar-SA"/>
          <w:highlight w:val="auto"/>
        </w:rPr>
      </w:pPr>
    </w:p>
    <w:p>
      <w:pPr>
        <w:jc w:val="center"/>
        <w:rPr>
          <w:rFonts w:ascii="方正大黑_GBK" w:eastAsia="方正大黑_GBK"/>
          <w:sz w:val="80"/>
          <w:szCs w:val="80"/>
        </w:rPr>
      </w:pPr>
      <w:r>
        <w:rPr>
          <w:rFonts w:ascii="方正大黑_GBK" w:eastAsia="方正大黑_GBK" w:hint="eastAsia"/>
          <w:sz w:val="80"/>
          <w:szCs w:val="80"/>
        </w:rPr>
        <w:t>2025年阿坝州</w:t>
      </w:r>
    </w:p>
    <w:p>
      <w:pPr>
        <w:jc w:val="center"/>
        <w:rPr>
          <w:rFonts w:ascii="方正大黑_GBK" w:eastAsia="方正大黑_GBK" w:hint="eastAsia"/>
          <w:sz w:val="80"/>
          <w:szCs w:val="80"/>
        </w:rPr>
      </w:pPr>
      <w:r>
        <w:rPr>
          <w:rFonts w:ascii="方正大黑_GBK" w:eastAsia="方正大黑_GBK" w:hint="eastAsia"/>
          <w:sz w:val="80"/>
          <w:szCs w:val="80"/>
        </w:rPr>
        <w:t>低收入家庭认定指导中心</w:t>
      </w:r>
    </w:p>
    <w:p>
      <w:pPr>
        <w:jc w:val="center"/>
        <w:rPr>
          <w:rFonts w:ascii="方正大黑_GBK" w:eastAsia="方正大黑_GBK" w:hint="eastAsia"/>
          <w:sz w:val="80"/>
          <w:szCs w:val="80"/>
        </w:rPr>
      </w:pPr>
      <w:r>
        <w:rPr>
          <w:rFonts w:ascii="方正大黑_GBK" w:eastAsia="方正大黑_GBK" w:hint="eastAsia"/>
          <w:sz w:val="80"/>
          <w:szCs w:val="80"/>
        </w:rPr>
        <w:t>决算公开</w:t>
      </w:r>
    </w:p>
    <w:p>
      <w:pPr>
        <w:pStyle w:val="19"/>
        <w:rPr>
          <w:rFonts w:ascii="方正小标宋简体" w:eastAsia="方正小标宋简体" w:cs="方正小标宋简体"/>
          <w:sz w:val="72"/>
          <w:szCs w:val="72"/>
        </w:rPr>
      </w:pPr>
    </w:p>
    <w:p>
      <w:pPr>
        <w:pStyle w:val="19"/>
        <w:rPr>
          <w:rFonts w:ascii="方正小标宋简体" w:eastAsia="方正小标宋简体" w:cs="方正小标宋简体" w:hint="eastAsia"/>
          <w:sz w:val="72"/>
          <w:szCs w:val="72"/>
        </w:rPr>
      </w:pPr>
    </w:p>
    <w:p>
      <w:pPr>
        <w:pStyle w:val="26"/>
        <w:tabs>
          <w:tab w:val="right" w:leader="dot" w:pos="8296"/>
        </w:tabs>
        <w:jc w:val="center"/>
        <w:rPr>
          <w:rFonts w:ascii="Times New Roman" w:eastAsia="仿宋_GB2312" w:cs="仿宋_GB2312" w:hAnsi="Times New Roman"/>
          <w:color w:val="auto"/>
          <w:sz w:val="32"/>
          <w:szCs w:val="32"/>
          <w:highlight w:val="auto"/>
        </w:rPr>
      </w:pPr>
      <w:r>
        <w:rPr>
          <w:rFonts w:ascii="Times New Roman" w:eastAsia="仿宋_GB2312" w:cs="仿宋_GB2312" w:hAnsi="Times New Roman" w:hint="eastAsia"/>
          <w:color w:val="auto"/>
          <w:sz w:val="32"/>
          <w:szCs w:val="32"/>
          <w:highlight w:val="auto"/>
        </w:rPr>
        <w:t>公开时间：20</w:t>
      </w:r>
      <w:r>
        <w:rPr>
          <w:rFonts w:ascii="Times New Roman" w:eastAsia="仿宋_GB2312" w:cs="仿宋_GB2312" w:hAnsi="Times New Roman"/>
          <w:color w:val="auto"/>
          <w:sz w:val="32"/>
          <w:szCs w:val="32"/>
          <w:lang w:val="en-US" w:eastAsia="zh-CN"/>
          <w:highlight w:val="auto"/>
        </w:rPr>
        <w:t>26</w:t>
      </w:r>
      <w:r>
        <w:rPr>
          <w:rFonts w:ascii="Times New Roman" w:eastAsia="仿宋_GB2312" w:cs="仿宋_GB2312" w:hAnsi="Times New Roman" w:hint="eastAsia"/>
          <w:color w:val="auto"/>
          <w:sz w:val="32"/>
          <w:szCs w:val="32"/>
          <w:highlight w:val="auto"/>
        </w:rPr>
        <w:t>年</w:t>
      </w:r>
      <w:r>
        <w:rPr>
          <w:rFonts w:ascii="Times New Roman" w:eastAsia="仿宋_GB2312" w:cs="仿宋_GB2312" w:hAnsi="Times New Roman"/>
          <w:color w:val="auto"/>
          <w:sz w:val="32"/>
          <w:szCs w:val="32"/>
          <w:lang w:eastAsia="zh-CN"/>
          <w:highlight w:val="auto"/>
        </w:rPr>
        <w:t>9</w:t>
      </w:r>
      <w:r>
        <w:rPr>
          <w:rFonts w:ascii="Times New Roman" w:eastAsia="仿宋_GB2312" w:cs="仿宋_GB2312" w:hAnsi="Times New Roman" w:hint="eastAsia"/>
          <w:color w:val="auto"/>
          <w:sz w:val="32"/>
          <w:szCs w:val="32"/>
          <w:highlight w:val="auto"/>
        </w:rPr>
        <w:t>月</w:t>
      </w:r>
      <w:r>
        <w:rPr>
          <w:rFonts w:ascii="Times New Roman" w:eastAsia="仿宋_GB2312" w:cs="仿宋_GB2312" w:hAnsi="Times New Roman" w:hint="eastAsia"/>
          <w:color w:val="auto"/>
          <w:sz w:val="32"/>
          <w:szCs w:val="32"/>
          <w:lang w:val="en-US" w:eastAsia="zh-CN"/>
          <w:highlight w:val="auto"/>
        </w:rPr>
        <w:t xml:space="preserve"> </w:t>
      </w:r>
      <w:r>
        <w:rPr>
          <w:rFonts w:ascii="Times New Roman" w:eastAsia="仿宋_GB2312" w:cs="仿宋_GB2312" w:hAnsi="Times New Roman"/>
          <w:color w:val="auto"/>
          <w:sz w:val="32"/>
          <w:szCs w:val="32"/>
          <w:lang w:eastAsia="zh-CN"/>
          <w:highlight w:val="auto"/>
        </w:rPr>
        <w:t>18</w:t>
      </w:r>
      <w:bookmarkStart w:id="6" w:name="_GoBack"/>
      <w:bookmarkEnd w:id="6"/>
      <w:r>
        <w:rPr>
          <w:rFonts w:ascii="Times New Roman" w:eastAsia="仿宋_GB2312" w:cs="仿宋_GB2312" w:hAnsi="Times New Roman" w:hint="eastAsia"/>
          <w:color w:val="auto"/>
          <w:sz w:val="32"/>
          <w:szCs w:val="32"/>
          <w:highlight w:val="auto"/>
        </w:rPr>
        <w:t>日</w:t>
      </w:r>
    </w:p>
    <w:p>
      <w:pPr>
        <w:pStyle w:val="19"/>
        <w:jc w:val="center"/>
        <w:rPr>
          <w:rFonts w:ascii="Times New Roman" w:eastAsia="方正小标宋简体" w:hAnsi="Times New Roman"/>
          <w:color w:val="auto"/>
          <w:sz w:val="72"/>
          <w:szCs w:val="72"/>
          <w:highlight w:val="auto"/>
        </w:rPr>
      </w:pPr>
    </w:p>
    <w:p>
      <w:pPr>
        <w:pStyle w:val="34"/>
        <w:rPr>
          <w:rFonts w:ascii="Times New Roman" w:hAnsi="Times New Roman"/>
        </w:rPr>
      </w:pPr>
    </w:p>
    <w:p>
      <w:pPr>
        <w:sectPr>
          <w:headerReference w:type="default" r:id="rId2"/>
          <w:footerReference w:type="default" r:id="rId3"/>
          <w:footerReference w:type="even" r:id="rId4"/>
          <w:pgSz w:w="11907" w:h="16840"/>
          <w:pgMar w:top="2098" w:right="1474" w:bottom="1985" w:left="1588" w:header="851" w:footer="992" w:gutter="0"/>
          <w:pgNumType w:start="1"/>
          <w:titlePg/>
          <w:docGrid w:type="lines" w:linePitch="312" w:charSpace="0"/>
        </w:sectPr>
      </w:pPr>
    </w:p>
    <w:p>
      <w:pPr>
        <w:widowControl/>
        <w:rPr>
          <w:rFonts w:ascii="Times New Roman" w:eastAsia="黑体" w:hAnsi="Times New Roman" w:hint="eastAsia"/>
          <w:color w:val="auto"/>
          <w:sz w:val="48"/>
          <w:szCs w:val="48"/>
          <w:highlight w:val="auto"/>
        </w:rPr>
        <w:sectPr>
          <w:footerReference w:type="default" r:id="rId5"/>
          <w:footerReference w:type="first" r:id="rId6"/>
          <w:pgSz w:w="11906" w:h="16838"/>
          <w:pgMar w:top="1440" w:right="1800" w:bottom="1440" w:left="1800" w:header="851" w:footer="992" w:gutter="0"/>
          <w:pgNumType w:start="1"/>
          <w:titlePg/>
          <w:docGrid w:type="lines" w:linePitch="312" w:charSpace="0"/>
        </w:sectPr>
      </w:pPr>
      <w:bookmarkEnd w:id="0"/>
      <w:bookmarkEnd w:id="1"/>
      <w:bookmarkEnd w:id="2"/>
      <w:bookmarkEnd w:id="3"/>
      <w:bookmarkEnd w:id="4"/>
      <w:bookmarkEnd w:id="5"/>
    </w:p>
    <w:p>
      <w:pPr>
        <w:widowControl/>
        <w:jc w:val="center"/>
        <w:rPr>
          <w:rFonts w:ascii="Times New Roman" w:eastAsia="黑体" w:hAnsi="Times New Roman"/>
          <w:color w:val="auto"/>
          <w:sz w:val="48"/>
          <w:szCs w:val="48"/>
          <w:highlight w:val="auto"/>
        </w:rPr>
      </w:pPr>
      <w:r>
        <w:rPr>
          <w:rFonts w:ascii="Times New Roman" w:eastAsia="黑体" w:hAnsi="Times New Roman" w:hint="eastAsia"/>
          <w:color w:val="auto"/>
          <w:sz w:val="48"/>
          <w:szCs w:val="48"/>
          <w:highlight w:val="auto"/>
        </w:rPr>
        <w:t>目录</w:t>
      </w:r>
    </w:p>
    <w:p>
      <w:pPr>
        <w:pStyle w:val="15"/>
        <w:jc w:val="left"/>
      </w:pPr>
    </w:p>
    <w:p>
      <w:pPr>
        <w:pStyle w:val="17"/>
        <w:jc w:val="both"/>
      </w:pPr>
    </w:p>
    <w:p>
      <w:pPr>
        <w:spacing w:line="560" w:lineRule="exact"/>
        <w:rPr>
          <w:sz w:val="28"/>
          <w:szCs w:val="28"/>
        </w:rPr>
      </w:pPr>
    </w:p>
    <w:p>
      <w:pPr>
        <w:pStyle w:val="26"/>
        <w:tabs>
          <w:tab w:val="right" w:leader="dot" w:pos="8306"/>
        </w:tabs>
        <w:spacing w:line="560" w:lineRule="exact"/>
        <w:rPr>
          <w:sz w:val="24"/>
          <w:szCs w:val="24"/>
        </w:rPr>
      </w:pPr>
      <w:r>
        <w:rPr>
          <w:sz w:val="32"/>
          <w:szCs w:val="32"/>
        </w:rPr>
        <w:fldChar w:fldCharType="begin"/>
      </w:r>
      <w:r>
        <w:rPr>
          <w:sz w:val="32"/>
          <w:szCs w:val="32"/>
        </w:rPr>
        <w:instrText xml:space="preserve"> TOC \o "1-2" \h \u </w:instrText>
      </w:r>
      <w:r>
        <w:rPr>
          <w:sz w:val="32"/>
          <w:szCs w:val="32"/>
        </w:rPr>
        <w:fldChar w:fldCharType="separate"/>
      </w:r>
      <w:r>
        <w:rPr>
          <w:sz w:val="24"/>
          <w:szCs w:val="24"/>
        </w:rPr>
        <w:fldChar w:fldCharType="begin"/>
      </w:r>
      <w:r>
        <w:rPr>
          <w:sz w:val="24"/>
          <w:szCs w:val="24"/>
        </w:rPr>
        <w:instrText>Hyperlink \l "_Toc25193331"</w:instrText>
      </w:r>
      <w:r>
        <w:rPr>
          <w:sz w:val="24"/>
          <w:szCs w:val="24"/>
        </w:rPr>
        <w:fldChar w:fldCharType="separate"/>
      </w:r>
      <w:r>
        <w:rPr>
          <w:rFonts w:ascii="Times New Roman" w:eastAsia="方正小标宋简体" w:cs="方正小标宋简体" w:hAnsi="Times New Roman" w:hint="eastAsia"/>
          <w:sz w:val="24"/>
          <w:szCs w:val="24"/>
          <w:highlight w:val="auto"/>
        </w:rPr>
        <w:t>第一部分</w:t>
      </w:r>
      <w:r>
        <w:rPr>
          <w:rFonts w:ascii="Times New Roman" w:eastAsia="方正小标宋简体" w:cs="方正小标宋简体" w:hAnsi="Times New Roman" w:hint="eastAsia"/>
          <w:sz w:val="24"/>
          <w:szCs w:val="24"/>
          <w:lang w:val="en-US" w:eastAsia="zh-CN"/>
          <w:highlight w:val="auto"/>
        </w:rPr>
        <w:t xml:space="preserve"> </w:t>
      </w:r>
      <w:r>
        <w:rPr>
          <w:rFonts w:ascii="Times New Roman" w:eastAsia="方正小标宋简体" w:cs="方正小标宋简体" w:hAnsi="Times New Roman" w:hint="eastAsia"/>
          <w:sz w:val="24"/>
          <w:szCs w:val="24"/>
          <w:highlight w:val="auto"/>
        </w:rPr>
        <w:t xml:space="preserve"> </w:t>
      </w:r>
      <w:r>
        <w:rPr>
          <w:rFonts w:ascii="Times New Roman" w:eastAsia="方正小标宋简体" w:cs="方正小标宋简体" w:hAnsi="Times New Roman" w:hint="eastAsia"/>
          <w:bCs w:val="0"/>
          <w:kern w:val="44"/>
          <w:sz w:val="24"/>
          <w:szCs w:val="24"/>
          <w:lang w:val="en-US" w:eastAsia="zh-CN" w:bidi="ar-SA"/>
        </w:rPr>
        <w:t>部门概况</w:t>
      </w:r>
      <w:r>
        <w:rPr>
          <w:sz w:val="24"/>
          <w:szCs w:val="24"/>
        </w:rPr>
        <w:tab/>
      </w:r>
      <w:r>
        <w:rPr>
          <w:sz w:val="24"/>
          <w:szCs w:val="24"/>
        </w:rPr>
        <w:fldChar w:fldCharType="begin"/>
      </w:r>
      <w:r>
        <w:rPr>
          <w:sz w:val="24"/>
          <w:szCs w:val="24"/>
        </w:rPr>
        <w:instrText>PageRef _Toc25193331 \h</w:instrText>
      </w:r>
      <w:r>
        <w:rPr>
          <w:sz w:val="24"/>
          <w:szCs w:val="24"/>
        </w:rPr>
        <w:fldChar w:fldCharType="separate"/>
      </w:r>
      <w:r>
        <w:rPr>
          <w:sz w:val="24"/>
          <w:szCs w:val="24"/>
        </w:rPr>
        <w:t>1</w:t>
      </w:r>
      <w:r>
        <w:rPr>
          <w:sz w:val="24"/>
          <w:szCs w:val="24"/>
        </w:rPr>
        <w:fldChar w:fldCharType="end"/>
      </w:r>
      <w:r>
        <w:rPr>
          <w:sz w:val="24"/>
          <w:szCs w:val="24"/>
        </w:rPr>
        <w:fldChar w:fldCharType="end"/>
      </w:r>
    </w:p>
    <w:p>
      <w:pPr>
        <w:pStyle w:val="29"/>
        <w:tabs>
          <w:tab w:val="right" w:leader="dot" w:pos="8306"/>
        </w:tabs>
        <w:spacing w:line="560" w:lineRule="exact"/>
        <w:rPr>
          <w:sz w:val="24"/>
          <w:szCs w:val="24"/>
        </w:rPr>
      </w:pPr>
      <w:r>
        <w:rPr>
          <w:sz w:val="24"/>
          <w:szCs w:val="24"/>
        </w:rPr>
        <w:fldChar w:fldCharType="begin"/>
      </w:r>
      <w:r>
        <w:rPr>
          <w:sz w:val="24"/>
          <w:szCs w:val="24"/>
        </w:rPr>
        <w:instrText>Hyperlink \l "_Toc25193332"</w:instrText>
      </w:r>
      <w:r>
        <w:rPr>
          <w:sz w:val="24"/>
          <w:szCs w:val="24"/>
        </w:rPr>
        <w:fldChar w:fldCharType="separate"/>
      </w:r>
      <w:r>
        <w:rPr>
          <w:rFonts w:ascii="Times New Roman" w:eastAsia="黑体" w:hAnsi="Times New Roman" w:hint="eastAsia"/>
          <w:sz w:val="24"/>
          <w:szCs w:val="24"/>
          <w:u w:color="auto"/>
          <w:shd w:val="clear" w:color="auto" w:fill="auto"/>
          <w:lang w:eastAsia="zh-CN"/>
          <w:highlight w:val="auto"/>
        </w:rPr>
        <w:t>一、</w:t>
      </w:r>
      <w:r>
        <w:rPr>
          <w:sz w:val="24"/>
          <w:szCs w:val="24"/>
        </w:rPr>
        <w:t xml:space="preserve">  </w:t>
      </w:r>
      <w:r>
        <w:rPr>
          <w:rFonts w:ascii="Times New Roman" w:eastAsia="黑体" w:hAnsi="Times New Roman" w:hint="eastAsia"/>
          <w:sz w:val="24"/>
          <w:szCs w:val="24"/>
          <w:lang w:eastAsia="zh-CN"/>
          <w:highlight w:val="auto"/>
        </w:rPr>
        <w:t>部门职责</w:t>
      </w:r>
      <w:r>
        <w:rPr>
          <w:sz w:val="24"/>
          <w:szCs w:val="24"/>
        </w:rPr>
        <w:tab/>
      </w:r>
      <w:r>
        <w:rPr>
          <w:sz w:val="24"/>
          <w:szCs w:val="24"/>
        </w:rPr>
        <w:fldChar w:fldCharType="begin"/>
      </w:r>
      <w:r>
        <w:rPr>
          <w:sz w:val="24"/>
          <w:szCs w:val="24"/>
        </w:rPr>
        <w:instrText>PageRef _Toc25193332 \h</w:instrText>
      </w:r>
      <w:r>
        <w:rPr>
          <w:sz w:val="24"/>
          <w:szCs w:val="24"/>
        </w:rPr>
        <w:fldChar w:fldCharType="separate"/>
      </w:r>
      <w:r>
        <w:rPr>
          <w:sz w:val="24"/>
          <w:szCs w:val="24"/>
        </w:rPr>
        <w:t>1</w:t>
      </w:r>
      <w:r>
        <w:rPr>
          <w:sz w:val="24"/>
          <w:szCs w:val="24"/>
        </w:rPr>
        <w:fldChar w:fldCharType="end"/>
      </w:r>
      <w:r>
        <w:rPr>
          <w:sz w:val="24"/>
          <w:szCs w:val="24"/>
        </w:rPr>
        <w:fldChar w:fldCharType="end"/>
      </w:r>
    </w:p>
    <w:p>
      <w:pPr>
        <w:pStyle w:val="29"/>
        <w:tabs>
          <w:tab w:val="right" w:leader="dot" w:pos="8306"/>
        </w:tabs>
        <w:spacing w:line="560" w:lineRule="exact"/>
        <w:rPr>
          <w:sz w:val="24"/>
          <w:szCs w:val="24"/>
        </w:rPr>
      </w:pPr>
      <w:r>
        <w:rPr>
          <w:sz w:val="24"/>
          <w:szCs w:val="24"/>
        </w:rPr>
        <w:fldChar w:fldCharType="begin"/>
      </w:r>
      <w:r>
        <w:rPr>
          <w:sz w:val="24"/>
          <w:szCs w:val="24"/>
        </w:rPr>
        <w:instrText>Hyperlink \l "_Toc25193333"</w:instrText>
      </w:r>
      <w:r>
        <w:rPr>
          <w:sz w:val="24"/>
          <w:szCs w:val="24"/>
        </w:rPr>
        <w:fldChar w:fldCharType="separate"/>
      </w:r>
      <w:r>
        <w:rPr>
          <w:rFonts w:ascii="Times New Roman" w:eastAsia="黑体" w:hAnsi="Times New Roman" w:hint="eastAsia"/>
          <w:sz w:val="24"/>
          <w:szCs w:val="24"/>
          <w:highlight w:val="auto"/>
        </w:rPr>
        <w:t>二、机</w:t>
      </w:r>
      <w:r>
        <w:rPr>
          <w:rFonts w:ascii="Times New Roman" w:eastAsia="黑体" w:cs="Times New Roman" w:hAnsi="Times New Roman" w:hint="eastAsia"/>
          <w:bCs w:val="0"/>
          <w:kern w:val="2"/>
          <w:sz w:val="24"/>
          <w:szCs w:val="24"/>
          <w:lang w:val="en-US" w:eastAsia="zh-CN" w:bidi="ar-SA"/>
        </w:rPr>
        <w:t>构设置</w:t>
      </w:r>
      <w:r>
        <w:rPr>
          <w:sz w:val="24"/>
          <w:szCs w:val="24"/>
        </w:rPr>
        <w:tab/>
      </w:r>
      <w:r>
        <w:rPr>
          <w:sz w:val="24"/>
          <w:szCs w:val="24"/>
        </w:rPr>
        <w:fldChar w:fldCharType="begin"/>
      </w:r>
      <w:r>
        <w:rPr>
          <w:sz w:val="24"/>
          <w:szCs w:val="24"/>
        </w:rPr>
        <w:instrText>PageRef _Toc25193333 \h</w:instrText>
      </w:r>
      <w:r>
        <w:rPr>
          <w:sz w:val="24"/>
          <w:szCs w:val="24"/>
        </w:rPr>
        <w:fldChar w:fldCharType="separate"/>
      </w:r>
      <w:r>
        <w:rPr>
          <w:sz w:val="24"/>
          <w:szCs w:val="24"/>
        </w:rPr>
        <w:t>2</w:t>
      </w:r>
      <w:r>
        <w:rPr>
          <w:sz w:val="24"/>
          <w:szCs w:val="24"/>
        </w:rPr>
        <w:fldChar w:fldCharType="end"/>
      </w:r>
      <w:r>
        <w:rPr>
          <w:sz w:val="24"/>
          <w:szCs w:val="24"/>
        </w:rPr>
        <w:fldChar w:fldCharType="end"/>
      </w:r>
    </w:p>
    <w:p>
      <w:pPr>
        <w:pStyle w:val="26"/>
        <w:tabs>
          <w:tab w:val="right" w:leader="dot" w:pos="8306"/>
        </w:tabs>
        <w:spacing w:line="560" w:lineRule="exact"/>
        <w:rPr>
          <w:sz w:val="24"/>
          <w:szCs w:val="24"/>
        </w:rPr>
      </w:pPr>
      <w:r>
        <w:rPr>
          <w:sz w:val="24"/>
          <w:szCs w:val="24"/>
        </w:rPr>
        <w:fldChar w:fldCharType="begin"/>
      </w:r>
      <w:r>
        <w:rPr>
          <w:sz w:val="24"/>
          <w:szCs w:val="24"/>
        </w:rPr>
        <w:instrText>Hyperlink \l "_Toc25193334"</w:instrText>
      </w:r>
      <w:r>
        <w:rPr>
          <w:sz w:val="24"/>
          <w:szCs w:val="24"/>
        </w:rPr>
        <w:fldChar w:fldCharType="separate"/>
      </w:r>
      <w:r>
        <w:rPr>
          <w:rFonts w:ascii="Times New Roman" w:eastAsia="方正小标宋简体" w:cs="方正小标宋简体" w:hAnsi="Times New Roman" w:hint="eastAsia"/>
          <w:sz w:val="24"/>
          <w:szCs w:val="24"/>
        </w:rPr>
        <w:t>第二部分</w:t>
      </w:r>
      <w:r>
        <w:rPr>
          <w:rFonts w:ascii="Times New Roman" w:eastAsia="方正小标宋简体" w:cs="方正小标宋简体" w:hAnsi="Times New Roman" w:hint="eastAsia"/>
          <w:sz w:val="24"/>
          <w:szCs w:val="24"/>
          <w:lang w:val="en-US" w:eastAsia="zh-CN"/>
        </w:rPr>
        <w:t xml:space="preserve"> </w:t>
      </w:r>
      <w:r>
        <w:rPr>
          <w:rFonts w:ascii="Times New Roman" w:eastAsia="方正小标宋简体" w:cs="方正小标宋简体" w:hAnsi="Times New Roman" w:hint="eastAsia"/>
          <w:sz w:val="24"/>
          <w:szCs w:val="24"/>
        </w:rPr>
        <w:t xml:space="preserve"> </w:t>
      </w:r>
      <w:r>
        <w:rPr>
          <w:rFonts w:eastAsia="方正小标宋简体" w:cs="方正小标宋简体" w:hint="eastAsia"/>
          <w:sz w:val="24"/>
          <w:szCs w:val="24"/>
          <w:lang w:val="en-US" w:eastAsia="zh-CN"/>
        </w:rPr>
        <w:t>2025年度</w:t>
      </w:r>
      <w:r>
        <w:rPr>
          <w:rFonts w:ascii="Times New Roman" w:eastAsia="方正小标宋简体" w:cs="方正小标宋简体" w:hAnsi="Times New Roman" w:hint="eastAsia"/>
          <w:sz w:val="24"/>
          <w:szCs w:val="24"/>
        </w:rPr>
        <w:t>部门决算情况说明</w:t>
      </w:r>
      <w:r>
        <w:rPr>
          <w:sz w:val="24"/>
          <w:szCs w:val="24"/>
        </w:rPr>
        <w:tab/>
      </w:r>
      <w:r>
        <w:rPr>
          <w:sz w:val="24"/>
          <w:szCs w:val="24"/>
        </w:rPr>
        <w:fldChar w:fldCharType="begin"/>
      </w:r>
      <w:r>
        <w:rPr>
          <w:sz w:val="24"/>
          <w:szCs w:val="24"/>
        </w:rPr>
        <w:instrText>PageRef _Toc25193334 \h</w:instrText>
      </w:r>
      <w:r>
        <w:rPr>
          <w:sz w:val="24"/>
          <w:szCs w:val="24"/>
        </w:rPr>
        <w:fldChar w:fldCharType="separate"/>
      </w:r>
      <w:r>
        <w:rPr>
          <w:sz w:val="24"/>
          <w:szCs w:val="24"/>
        </w:rPr>
        <w:t>3</w:t>
      </w:r>
      <w:r>
        <w:rPr>
          <w:sz w:val="24"/>
          <w:szCs w:val="24"/>
        </w:rPr>
        <w:fldChar w:fldCharType="end"/>
      </w:r>
      <w:r>
        <w:rPr>
          <w:sz w:val="24"/>
          <w:szCs w:val="24"/>
        </w:rPr>
        <w:fldChar w:fldCharType="end"/>
      </w:r>
    </w:p>
    <w:p>
      <w:pPr>
        <w:pStyle w:val="29"/>
        <w:tabs>
          <w:tab w:val="right" w:leader="dot" w:pos="8306"/>
        </w:tabs>
        <w:spacing w:line="560" w:lineRule="exact"/>
        <w:rPr>
          <w:sz w:val="24"/>
          <w:szCs w:val="24"/>
        </w:rPr>
      </w:pPr>
      <w:r>
        <w:rPr>
          <w:sz w:val="24"/>
          <w:szCs w:val="24"/>
        </w:rPr>
        <w:fldChar w:fldCharType="begin"/>
      </w:r>
      <w:r>
        <w:rPr>
          <w:sz w:val="24"/>
          <w:szCs w:val="24"/>
        </w:rPr>
        <w:instrText>Hyperlink \l "_Toc25193335"</w:instrText>
      </w:r>
      <w:r>
        <w:rPr>
          <w:sz w:val="24"/>
          <w:szCs w:val="24"/>
        </w:rPr>
        <w:fldChar w:fldCharType="separate"/>
      </w:r>
      <w:r>
        <w:rPr>
          <w:rFonts w:ascii="Times New Roman" w:eastAsia="黑体" w:hAnsi="Times New Roman" w:hint="eastAsia"/>
          <w:sz w:val="24"/>
          <w:szCs w:val="24"/>
          <w:lang w:eastAsia="zh-CN"/>
        </w:rPr>
        <w:t>一、</w:t>
      </w:r>
      <w:r>
        <w:rPr>
          <w:rFonts w:ascii="Times New Roman" w:eastAsia="黑体" w:hAnsi="Times New Roman" w:hint="eastAsia"/>
          <w:sz w:val="24"/>
          <w:szCs w:val="24"/>
        </w:rPr>
        <w:t>收</w:t>
      </w:r>
      <w:r>
        <w:rPr>
          <w:rFonts w:ascii="Times New Roman" w:eastAsia="黑体" w:cs="Times New Roman" w:hAnsi="Times New Roman" w:hint="eastAsia"/>
          <w:bCs/>
          <w:kern w:val="2"/>
          <w:sz w:val="24"/>
          <w:szCs w:val="24"/>
          <w:lang w:val="en-US" w:eastAsia="zh-CN" w:bidi="ar-SA"/>
        </w:rPr>
        <w:t>入支出决算总体情况说明</w:t>
      </w:r>
      <w:r>
        <w:rPr>
          <w:sz w:val="24"/>
          <w:szCs w:val="24"/>
        </w:rPr>
        <w:tab/>
      </w:r>
      <w:r>
        <w:rPr>
          <w:sz w:val="24"/>
          <w:szCs w:val="24"/>
        </w:rPr>
        <w:fldChar w:fldCharType="begin"/>
      </w:r>
      <w:r>
        <w:rPr>
          <w:sz w:val="24"/>
          <w:szCs w:val="24"/>
        </w:rPr>
        <w:instrText>PageRef _Toc25193335 \h</w:instrText>
      </w:r>
      <w:r>
        <w:rPr>
          <w:sz w:val="24"/>
          <w:szCs w:val="24"/>
        </w:rPr>
        <w:fldChar w:fldCharType="separate"/>
      </w:r>
      <w:r>
        <w:rPr>
          <w:sz w:val="24"/>
          <w:szCs w:val="24"/>
        </w:rPr>
        <w:t>3</w:t>
      </w:r>
      <w:r>
        <w:rPr>
          <w:sz w:val="24"/>
          <w:szCs w:val="24"/>
        </w:rPr>
        <w:fldChar w:fldCharType="end"/>
      </w:r>
      <w:r>
        <w:rPr>
          <w:sz w:val="24"/>
          <w:szCs w:val="24"/>
        </w:rPr>
        <w:fldChar w:fldCharType="end"/>
      </w:r>
    </w:p>
    <w:p>
      <w:pPr>
        <w:pStyle w:val="29"/>
        <w:tabs>
          <w:tab w:val="right" w:leader="dot" w:pos="8306"/>
        </w:tabs>
        <w:spacing w:line="560" w:lineRule="exact"/>
        <w:rPr>
          <w:sz w:val="24"/>
          <w:szCs w:val="24"/>
        </w:rPr>
      </w:pPr>
      <w:r>
        <w:rPr>
          <w:sz w:val="24"/>
          <w:szCs w:val="24"/>
        </w:rPr>
        <w:fldChar w:fldCharType="begin"/>
      </w:r>
      <w:r>
        <w:rPr>
          <w:sz w:val="24"/>
          <w:szCs w:val="24"/>
        </w:rPr>
        <w:instrText>Hyperlink \l "_Toc25193336"</w:instrText>
      </w:r>
      <w:r>
        <w:rPr>
          <w:sz w:val="24"/>
          <w:szCs w:val="24"/>
        </w:rPr>
        <w:fldChar w:fldCharType="separate"/>
      </w:r>
      <w:r>
        <w:rPr>
          <w:rFonts w:ascii="Times New Roman" w:eastAsia="黑体" w:hAnsi="Times New Roman" w:hint="eastAsia"/>
          <w:sz w:val="24"/>
          <w:szCs w:val="24"/>
          <w:lang w:eastAsia="zh-CN"/>
        </w:rPr>
        <w:t>二、收入决算情况说明</w:t>
      </w:r>
      <w:r>
        <w:rPr>
          <w:sz w:val="24"/>
          <w:szCs w:val="24"/>
        </w:rPr>
        <w:tab/>
      </w:r>
      <w:r>
        <w:rPr>
          <w:sz w:val="24"/>
          <w:szCs w:val="24"/>
        </w:rPr>
        <w:fldChar w:fldCharType="begin"/>
      </w:r>
      <w:r>
        <w:rPr>
          <w:sz w:val="24"/>
          <w:szCs w:val="24"/>
        </w:rPr>
        <w:instrText>PageRef _Toc25193336 \h</w:instrText>
      </w:r>
      <w:r>
        <w:rPr>
          <w:sz w:val="24"/>
          <w:szCs w:val="24"/>
        </w:rPr>
        <w:fldChar w:fldCharType="separate"/>
      </w:r>
      <w:r>
        <w:rPr>
          <w:sz w:val="24"/>
          <w:szCs w:val="24"/>
        </w:rPr>
        <w:t>3</w:t>
      </w:r>
      <w:r>
        <w:rPr>
          <w:sz w:val="24"/>
          <w:szCs w:val="24"/>
        </w:rPr>
        <w:fldChar w:fldCharType="end"/>
      </w:r>
      <w:r>
        <w:rPr>
          <w:sz w:val="24"/>
          <w:szCs w:val="24"/>
        </w:rPr>
        <w:fldChar w:fldCharType="end"/>
      </w:r>
    </w:p>
    <w:p>
      <w:pPr>
        <w:pStyle w:val="29"/>
        <w:tabs>
          <w:tab w:val="right" w:leader="dot" w:pos="8306"/>
        </w:tabs>
        <w:spacing w:line="560" w:lineRule="exact"/>
        <w:rPr>
          <w:sz w:val="24"/>
          <w:szCs w:val="24"/>
        </w:rPr>
      </w:pPr>
      <w:r>
        <w:rPr>
          <w:sz w:val="24"/>
          <w:szCs w:val="24"/>
        </w:rPr>
        <w:fldChar w:fldCharType="begin"/>
      </w:r>
      <w:r>
        <w:rPr>
          <w:sz w:val="24"/>
          <w:szCs w:val="24"/>
        </w:rPr>
        <w:instrText>Hyperlink \l "_Toc25193337"</w:instrText>
      </w:r>
      <w:r>
        <w:rPr>
          <w:sz w:val="24"/>
          <w:szCs w:val="24"/>
        </w:rPr>
        <w:fldChar w:fldCharType="separate"/>
      </w:r>
      <w:r>
        <w:rPr>
          <w:rFonts w:ascii="Times New Roman" w:eastAsia="黑体" w:hAnsi="Times New Roman" w:hint="eastAsia"/>
          <w:sz w:val="24"/>
          <w:szCs w:val="24"/>
        </w:rPr>
        <w:t>四、财</w:t>
      </w:r>
      <w:r>
        <w:rPr>
          <w:rFonts w:ascii="Times New Roman" w:eastAsia="黑体" w:cs="Times New Roman" w:hAnsi="Times New Roman" w:hint="eastAsia"/>
          <w:bCs/>
          <w:kern w:val="2"/>
          <w:sz w:val="24"/>
          <w:szCs w:val="24"/>
          <w:lang w:val="en-US" w:eastAsia="zh-CN" w:bidi="ar-SA"/>
        </w:rPr>
        <w:t>政拨款收入支出决算总体情况说明</w:t>
      </w:r>
      <w:r>
        <w:rPr>
          <w:sz w:val="24"/>
          <w:szCs w:val="24"/>
        </w:rPr>
        <w:tab/>
      </w:r>
      <w:r>
        <w:rPr>
          <w:sz w:val="24"/>
          <w:szCs w:val="24"/>
        </w:rPr>
        <w:fldChar w:fldCharType="begin"/>
      </w:r>
      <w:r>
        <w:rPr>
          <w:sz w:val="24"/>
          <w:szCs w:val="24"/>
        </w:rPr>
        <w:instrText>PageRef _Toc25193337 \h</w:instrText>
      </w:r>
      <w:r>
        <w:rPr>
          <w:sz w:val="24"/>
          <w:szCs w:val="24"/>
        </w:rPr>
        <w:fldChar w:fldCharType="separate"/>
      </w:r>
      <w:r>
        <w:rPr>
          <w:sz w:val="24"/>
          <w:szCs w:val="24"/>
        </w:rPr>
        <w:t>4</w:t>
      </w:r>
      <w:r>
        <w:rPr>
          <w:sz w:val="24"/>
          <w:szCs w:val="24"/>
        </w:rPr>
        <w:fldChar w:fldCharType="end"/>
      </w:r>
      <w:r>
        <w:rPr>
          <w:sz w:val="24"/>
          <w:szCs w:val="24"/>
        </w:rPr>
        <w:fldChar w:fldCharType="end"/>
      </w:r>
    </w:p>
    <w:p>
      <w:pPr>
        <w:pStyle w:val="29"/>
        <w:tabs>
          <w:tab w:val="right" w:leader="dot" w:pos="8306"/>
        </w:tabs>
        <w:spacing w:line="560" w:lineRule="exact"/>
        <w:rPr>
          <w:sz w:val="24"/>
          <w:szCs w:val="24"/>
        </w:rPr>
      </w:pPr>
      <w:r>
        <w:rPr>
          <w:sz w:val="24"/>
          <w:szCs w:val="24"/>
        </w:rPr>
        <w:fldChar w:fldCharType="begin"/>
      </w:r>
      <w:r>
        <w:rPr>
          <w:sz w:val="24"/>
          <w:szCs w:val="24"/>
        </w:rPr>
        <w:instrText>Hyperlink \l "_Toc25193338"</w:instrText>
      </w:r>
      <w:r>
        <w:rPr>
          <w:sz w:val="24"/>
          <w:szCs w:val="24"/>
        </w:rPr>
        <w:fldChar w:fldCharType="separate"/>
      </w:r>
      <w:r>
        <w:rPr>
          <w:rFonts w:ascii="Times New Roman" w:eastAsia="黑体" w:hAnsi="Times New Roman" w:hint="eastAsia"/>
          <w:sz w:val="24"/>
          <w:szCs w:val="24"/>
          <w:highlight w:val="auto"/>
        </w:rPr>
        <w:t>五、一</w:t>
      </w:r>
      <w:r>
        <w:rPr>
          <w:rFonts w:ascii="Times New Roman" w:eastAsia="黑体" w:cs="Times New Roman" w:hAnsi="Times New Roman" w:hint="eastAsia"/>
          <w:bCs/>
          <w:kern w:val="2"/>
          <w:sz w:val="24"/>
          <w:szCs w:val="24"/>
          <w:lang w:val="en-US" w:eastAsia="zh-CN" w:bidi="ar-SA"/>
        </w:rPr>
        <w:t>般公共预算财政拨款支出决算情况说明</w:t>
      </w:r>
      <w:r>
        <w:rPr>
          <w:sz w:val="24"/>
          <w:szCs w:val="24"/>
        </w:rPr>
        <w:tab/>
      </w:r>
      <w:r>
        <w:rPr>
          <w:sz w:val="24"/>
          <w:szCs w:val="24"/>
        </w:rPr>
        <w:fldChar w:fldCharType="begin"/>
      </w:r>
      <w:r>
        <w:rPr>
          <w:sz w:val="24"/>
          <w:szCs w:val="24"/>
        </w:rPr>
        <w:instrText>PageRef _Toc25193338 \h</w:instrText>
      </w:r>
      <w:r>
        <w:rPr>
          <w:sz w:val="24"/>
          <w:szCs w:val="24"/>
        </w:rPr>
        <w:fldChar w:fldCharType="separate"/>
      </w:r>
      <w:r>
        <w:rPr>
          <w:sz w:val="24"/>
          <w:szCs w:val="24"/>
        </w:rPr>
        <w:t>4</w:t>
      </w:r>
      <w:r>
        <w:rPr>
          <w:sz w:val="24"/>
          <w:szCs w:val="24"/>
        </w:rPr>
        <w:fldChar w:fldCharType="end"/>
      </w:r>
      <w:r>
        <w:rPr>
          <w:sz w:val="24"/>
          <w:szCs w:val="24"/>
        </w:rPr>
        <w:fldChar w:fldCharType="end"/>
      </w:r>
    </w:p>
    <w:p>
      <w:pPr>
        <w:pStyle w:val="29"/>
        <w:tabs>
          <w:tab w:val="right" w:leader="dot" w:pos="8306"/>
        </w:tabs>
        <w:spacing w:line="560" w:lineRule="exact"/>
        <w:rPr>
          <w:sz w:val="24"/>
          <w:szCs w:val="24"/>
        </w:rPr>
      </w:pPr>
      <w:r>
        <w:rPr>
          <w:sz w:val="24"/>
          <w:szCs w:val="24"/>
        </w:rPr>
        <w:fldChar w:fldCharType="begin"/>
      </w:r>
      <w:r>
        <w:rPr>
          <w:sz w:val="24"/>
          <w:szCs w:val="24"/>
        </w:rPr>
        <w:instrText>Hyperlink \l "_Toc25193339"</w:instrText>
      </w:r>
      <w:r>
        <w:rPr>
          <w:sz w:val="24"/>
          <w:szCs w:val="24"/>
        </w:rPr>
        <w:fldChar w:fldCharType="separate"/>
      </w:r>
      <w:r>
        <w:rPr>
          <w:rFonts w:ascii="Times New Roman" w:eastAsia="黑体" w:hAnsi="Times New Roman" w:hint="eastAsia"/>
          <w:sz w:val="24"/>
          <w:szCs w:val="24"/>
          <w:highlight w:val="auto"/>
        </w:rPr>
        <w:t>六、一</w:t>
      </w:r>
      <w:r>
        <w:rPr>
          <w:rFonts w:ascii="Times New Roman" w:eastAsia="黑体" w:cs="Times New Roman" w:hAnsi="Times New Roman" w:hint="eastAsia"/>
          <w:bCs/>
          <w:kern w:val="2"/>
          <w:sz w:val="24"/>
          <w:szCs w:val="24"/>
          <w:lang w:val="en-US" w:eastAsia="zh-CN" w:bidi="ar-SA"/>
        </w:rPr>
        <w:t>般公共预算财政拨款基本支出决算情况说明</w:t>
      </w:r>
      <w:r>
        <w:rPr>
          <w:sz w:val="24"/>
          <w:szCs w:val="24"/>
        </w:rPr>
        <w:tab/>
      </w:r>
      <w:r>
        <w:rPr>
          <w:sz w:val="24"/>
          <w:szCs w:val="24"/>
        </w:rPr>
        <w:fldChar w:fldCharType="begin"/>
      </w:r>
      <w:r>
        <w:rPr>
          <w:sz w:val="24"/>
          <w:szCs w:val="24"/>
        </w:rPr>
        <w:instrText>PageRef _Toc25193339 \h</w:instrText>
      </w:r>
      <w:r>
        <w:rPr>
          <w:sz w:val="24"/>
          <w:szCs w:val="24"/>
        </w:rPr>
        <w:fldChar w:fldCharType="separate"/>
      </w:r>
      <w:r>
        <w:rPr>
          <w:sz w:val="24"/>
          <w:szCs w:val="24"/>
        </w:rPr>
        <w:t>6</w:t>
      </w:r>
      <w:r>
        <w:rPr>
          <w:sz w:val="24"/>
          <w:szCs w:val="24"/>
        </w:rPr>
        <w:fldChar w:fldCharType="end"/>
      </w:r>
      <w:r>
        <w:rPr>
          <w:sz w:val="24"/>
          <w:szCs w:val="24"/>
        </w:rPr>
        <w:fldChar w:fldCharType="end"/>
      </w:r>
    </w:p>
    <w:p>
      <w:pPr>
        <w:pStyle w:val="29"/>
        <w:tabs>
          <w:tab w:val="right" w:leader="dot" w:pos="8306"/>
        </w:tabs>
        <w:spacing w:line="560" w:lineRule="exact"/>
        <w:rPr>
          <w:sz w:val="24"/>
          <w:szCs w:val="24"/>
        </w:rPr>
      </w:pPr>
      <w:r>
        <w:rPr>
          <w:sz w:val="24"/>
          <w:szCs w:val="24"/>
        </w:rPr>
        <w:fldChar w:fldCharType="begin"/>
      </w:r>
      <w:r>
        <w:rPr>
          <w:sz w:val="24"/>
          <w:szCs w:val="24"/>
        </w:rPr>
        <w:instrText>Hyperlink \l "_Toc25193340"</w:instrText>
      </w:r>
      <w:r>
        <w:rPr>
          <w:sz w:val="24"/>
          <w:szCs w:val="24"/>
        </w:rPr>
        <w:fldChar w:fldCharType="separate"/>
      </w:r>
      <w:r>
        <w:rPr>
          <w:rFonts w:ascii="Times New Roman" w:eastAsia="黑体" w:hAnsi="Times New Roman" w:hint="eastAsia"/>
          <w:sz w:val="24"/>
          <w:szCs w:val="24"/>
          <w:highlight w:val="auto"/>
        </w:rPr>
        <w:t>七、</w:t>
      </w:r>
      <w:r>
        <w:rPr>
          <w:rFonts w:ascii="Times New Roman" w:eastAsia="黑体" w:cs="Times New Roman" w:hAnsi="Times New Roman" w:hint="eastAsia"/>
          <w:bCs/>
          <w:kern w:val="2"/>
          <w:sz w:val="24"/>
          <w:szCs w:val="24"/>
          <w:lang w:val="en-US" w:eastAsia="zh-CN" w:bidi="ar-SA"/>
        </w:rPr>
        <w:t>财政拨款“三公”经费支出决算情况说明</w:t>
      </w:r>
      <w:r>
        <w:rPr>
          <w:sz w:val="24"/>
          <w:szCs w:val="24"/>
        </w:rPr>
        <w:tab/>
      </w:r>
      <w:r>
        <w:rPr>
          <w:sz w:val="24"/>
          <w:szCs w:val="24"/>
        </w:rPr>
        <w:fldChar w:fldCharType="begin"/>
      </w:r>
      <w:r>
        <w:rPr>
          <w:sz w:val="24"/>
          <w:szCs w:val="24"/>
        </w:rPr>
        <w:instrText>PageRef _Toc25193340 \h</w:instrText>
      </w:r>
      <w:r>
        <w:rPr>
          <w:sz w:val="24"/>
          <w:szCs w:val="24"/>
        </w:rPr>
        <w:fldChar w:fldCharType="separate"/>
      </w:r>
      <w:r>
        <w:rPr>
          <w:sz w:val="24"/>
          <w:szCs w:val="24"/>
        </w:rPr>
        <w:t>7</w:t>
      </w:r>
      <w:r>
        <w:rPr>
          <w:sz w:val="24"/>
          <w:szCs w:val="24"/>
        </w:rPr>
        <w:fldChar w:fldCharType="end"/>
      </w:r>
      <w:r>
        <w:rPr>
          <w:sz w:val="24"/>
          <w:szCs w:val="24"/>
        </w:rPr>
        <w:fldChar w:fldCharType="end"/>
      </w:r>
    </w:p>
    <w:p>
      <w:pPr>
        <w:pStyle w:val="29"/>
        <w:tabs>
          <w:tab w:val="right" w:leader="dot" w:pos="8306"/>
        </w:tabs>
        <w:spacing w:line="560" w:lineRule="exact"/>
        <w:rPr>
          <w:sz w:val="24"/>
          <w:szCs w:val="24"/>
        </w:rPr>
      </w:pPr>
      <w:r>
        <w:rPr>
          <w:sz w:val="24"/>
          <w:szCs w:val="24"/>
        </w:rPr>
        <w:fldChar w:fldCharType="begin"/>
      </w:r>
      <w:r>
        <w:rPr>
          <w:sz w:val="24"/>
          <w:szCs w:val="24"/>
        </w:rPr>
        <w:instrText>Hyperlink \l "_Toc25193341"</w:instrText>
      </w:r>
      <w:r>
        <w:rPr>
          <w:sz w:val="24"/>
          <w:szCs w:val="24"/>
        </w:rPr>
        <w:fldChar w:fldCharType="separate"/>
      </w:r>
      <w:r>
        <w:rPr>
          <w:rFonts w:ascii="Times New Roman" w:eastAsia="黑体" w:hAnsi="Times New Roman" w:hint="eastAsia"/>
          <w:sz w:val="24"/>
          <w:szCs w:val="24"/>
          <w:highlight w:val="auto"/>
        </w:rPr>
        <w:t>八、</w:t>
      </w:r>
      <w:r>
        <w:rPr>
          <w:rFonts w:ascii="Times New Roman" w:eastAsia="黑体" w:cs="Times New Roman" w:hAnsi="Times New Roman" w:hint="eastAsia"/>
          <w:bCs/>
          <w:kern w:val="2"/>
          <w:sz w:val="24"/>
          <w:szCs w:val="24"/>
          <w:lang w:val="en-US" w:eastAsia="zh-CN" w:bidi="ar-SA"/>
        </w:rPr>
        <w:t>政府性基金预算支出决算情况说明</w:t>
      </w:r>
      <w:r>
        <w:rPr>
          <w:sz w:val="24"/>
          <w:szCs w:val="24"/>
        </w:rPr>
        <w:tab/>
      </w:r>
      <w:r>
        <w:rPr>
          <w:sz w:val="24"/>
          <w:szCs w:val="24"/>
        </w:rPr>
        <w:fldChar w:fldCharType="begin"/>
      </w:r>
      <w:r>
        <w:rPr>
          <w:sz w:val="24"/>
          <w:szCs w:val="24"/>
        </w:rPr>
        <w:instrText>PageRef _Toc25193341 \h</w:instrText>
      </w:r>
      <w:r>
        <w:rPr>
          <w:sz w:val="24"/>
          <w:szCs w:val="24"/>
        </w:rPr>
        <w:fldChar w:fldCharType="separate"/>
      </w:r>
      <w:r>
        <w:rPr>
          <w:sz w:val="24"/>
          <w:szCs w:val="24"/>
        </w:rPr>
        <w:t>8</w:t>
      </w:r>
      <w:r>
        <w:rPr>
          <w:sz w:val="24"/>
          <w:szCs w:val="24"/>
        </w:rPr>
        <w:fldChar w:fldCharType="end"/>
      </w:r>
      <w:r>
        <w:rPr>
          <w:sz w:val="24"/>
          <w:szCs w:val="24"/>
        </w:rPr>
        <w:fldChar w:fldCharType="end"/>
      </w:r>
    </w:p>
    <w:p>
      <w:pPr>
        <w:pStyle w:val="29"/>
        <w:tabs>
          <w:tab w:val="right" w:leader="dot" w:pos="8306"/>
        </w:tabs>
        <w:spacing w:line="560" w:lineRule="exact"/>
        <w:rPr>
          <w:sz w:val="24"/>
          <w:szCs w:val="24"/>
        </w:rPr>
      </w:pPr>
      <w:r>
        <w:rPr>
          <w:sz w:val="24"/>
          <w:szCs w:val="24"/>
        </w:rPr>
        <w:fldChar w:fldCharType="begin"/>
      </w:r>
      <w:r>
        <w:rPr>
          <w:sz w:val="24"/>
          <w:szCs w:val="24"/>
        </w:rPr>
        <w:instrText>Hyperlink \l "_Toc25193342"</w:instrText>
      </w:r>
      <w:r>
        <w:rPr>
          <w:sz w:val="24"/>
          <w:szCs w:val="24"/>
        </w:rPr>
        <w:fldChar w:fldCharType="separate"/>
      </w:r>
      <w:r>
        <w:rPr>
          <w:rFonts w:ascii="Times New Roman" w:eastAsia="黑体" w:cs="Times New Roman" w:hAnsi="Times New Roman" w:hint="eastAsia"/>
          <w:bCs/>
          <w:kern w:val="2"/>
          <w:sz w:val="24"/>
          <w:szCs w:val="24"/>
          <w:lang w:val="en-US" w:eastAsia="zh-CN" w:bidi="ar-SA"/>
        </w:rPr>
        <w:t>九、国有资本经营预算支出决算情况说明</w:t>
      </w:r>
      <w:r>
        <w:rPr>
          <w:sz w:val="24"/>
          <w:szCs w:val="24"/>
        </w:rPr>
        <w:tab/>
      </w:r>
      <w:r>
        <w:rPr>
          <w:sz w:val="24"/>
          <w:szCs w:val="24"/>
        </w:rPr>
        <w:fldChar w:fldCharType="begin"/>
      </w:r>
      <w:r>
        <w:rPr>
          <w:sz w:val="24"/>
          <w:szCs w:val="24"/>
        </w:rPr>
        <w:instrText>PageRef _Toc25193342 \h</w:instrText>
      </w:r>
      <w:r>
        <w:rPr>
          <w:sz w:val="24"/>
          <w:szCs w:val="24"/>
        </w:rPr>
        <w:fldChar w:fldCharType="separate"/>
      </w:r>
      <w:r>
        <w:rPr>
          <w:sz w:val="24"/>
          <w:szCs w:val="24"/>
        </w:rPr>
        <w:t>8</w:t>
      </w:r>
      <w:r>
        <w:rPr>
          <w:sz w:val="24"/>
          <w:szCs w:val="24"/>
        </w:rPr>
        <w:fldChar w:fldCharType="end"/>
      </w:r>
      <w:r>
        <w:rPr>
          <w:sz w:val="24"/>
          <w:szCs w:val="24"/>
        </w:rPr>
        <w:fldChar w:fldCharType="end"/>
      </w:r>
    </w:p>
    <w:p>
      <w:pPr>
        <w:pStyle w:val="29"/>
        <w:tabs>
          <w:tab w:val="right" w:leader="dot" w:pos="8306"/>
        </w:tabs>
        <w:spacing w:line="560" w:lineRule="exact"/>
        <w:rPr>
          <w:sz w:val="24"/>
          <w:szCs w:val="24"/>
        </w:rPr>
      </w:pPr>
      <w:r>
        <w:rPr>
          <w:sz w:val="24"/>
          <w:szCs w:val="24"/>
        </w:rPr>
        <w:fldChar w:fldCharType="begin"/>
      </w:r>
      <w:r>
        <w:rPr>
          <w:sz w:val="24"/>
          <w:szCs w:val="24"/>
        </w:rPr>
        <w:instrText>Hyperlink \l "_Toc25193343"</w:instrText>
      </w:r>
      <w:r>
        <w:rPr>
          <w:sz w:val="24"/>
          <w:szCs w:val="24"/>
        </w:rPr>
        <w:fldChar w:fldCharType="separate"/>
      </w:r>
      <w:r>
        <w:rPr>
          <w:rFonts w:ascii="Times New Roman" w:eastAsia="黑体" w:cs="Times New Roman" w:hAnsi="Times New Roman" w:hint="eastAsia"/>
          <w:bCs/>
          <w:kern w:val="2"/>
          <w:sz w:val="24"/>
          <w:szCs w:val="24"/>
          <w:lang w:val="en-US" w:eastAsia="zh-CN" w:bidi="ar-SA"/>
        </w:rPr>
        <w:t>十、其他重要事项的情况说明</w:t>
      </w:r>
      <w:r>
        <w:rPr>
          <w:sz w:val="24"/>
          <w:szCs w:val="24"/>
        </w:rPr>
        <w:tab/>
      </w:r>
      <w:r>
        <w:rPr>
          <w:sz w:val="24"/>
          <w:szCs w:val="24"/>
        </w:rPr>
        <w:fldChar w:fldCharType="begin"/>
      </w:r>
      <w:r>
        <w:rPr>
          <w:sz w:val="24"/>
          <w:szCs w:val="24"/>
        </w:rPr>
        <w:instrText>PageRef _Toc25193343 \h</w:instrText>
      </w:r>
      <w:r>
        <w:rPr>
          <w:sz w:val="24"/>
          <w:szCs w:val="24"/>
        </w:rPr>
        <w:fldChar w:fldCharType="separate"/>
      </w:r>
      <w:r>
        <w:rPr>
          <w:sz w:val="24"/>
          <w:szCs w:val="24"/>
        </w:rPr>
        <w:t>8</w:t>
      </w:r>
      <w:r>
        <w:rPr>
          <w:sz w:val="24"/>
          <w:szCs w:val="24"/>
        </w:rPr>
        <w:fldChar w:fldCharType="end"/>
      </w:r>
      <w:r>
        <w:rPr>
          <w:sz w:val="24"/>
          <w:szCs w:val="24"/>
        </w:rPr>
        <w:fldChar w:fldCharType="end"/>
      </w:r>
    </w:p>
    <w:p>
      <w:pPr>
        <w:pStyle w:val="26"/>
        <w:tabs>
          <w:tab w:val="right" w:leader="dot" w:pos="8306"/>
        </w:tabs>
        <w:spacing w:line="560" w:lineRule="exact"/>
        <w:rPr>
          <w:sz w:val="24"/>
          <w:szCs w:val="24"/>
        </w:rPr>
      </w:pPr>
      <w:r>
        <w:rPr>
          <w:sz w:val="24"/>
          <w:szCs w:val="24"/>
        </w:rPr>
        <w:fldChar w:fldCharType="begin"/>
      </w:r>
      <w:r>
        <w:rPr>
          <w:sz w:val="24"/>
          <w:szCs w:val="24"/>
        </w:rPr>
        <w:instrText>Hyperlink \l "_Toc25193344"</w:instrText>
      </w:r>
      <w:r>
        <w:rPr>
          <w:sz w:val="24"/>
          <w:szCs w:val="24"/>
        </w:rPr>
        <w:fldChar w:fldCharType="separate"/>
      </w:r>
      <w:r>
        <w:rPr>
          <w:rFonts w:ascii="Times New Roman" w:eastAsia="黑体" w:hAnsi="Times New Roman" w:hint="eastAsia"/>
          <w:sz w:val="24"/>
          <w:szCs w:val="24"/>
          <w:highlight w:val="auto"/>
        </w:rPr>
        <w:t>第</w:t>
      </w:r>
      <w:r>
        <w:rPr>
          <w:rFonts w:eastAsia="黑体" w:hint="eastAsia"/>
          <w:sz w:val="24"/>
          <w:szCs w:val="24"/>
          <w:lang w:eastAsia="zh-CN"/>
          <w:highlight w:val="auto"/>
        </w:rPr>
        <w:t>三</w:t>
      </w:r>
      <w:r>
        <w:rPr>
          <w:rFonts w:ascii="Times New Roman" w:eastAsia="黑体" w:hAnsi="Times New Roman" w:hint="eastAsia"/>
          <w:sz w:val="24"/>
          <w:szCs w:val="24"/>
          <w:highlight w:val="auto"/>
        </w:rPr>
        <w:t>部分</w:t>
      </w:r>
      <w:r>
        <w:rPr>
          <w:rFonts w:ascii="Times New Roman" w:eastAsia="黑体" w:hAnsi="Times New Roman" w:hint="eastAsia"/>
          <w:sz w:val="24"/>
          <w:szCs w:val="24"/>
          <w:lang w:val="en-US" w:eastAsia="zh-CN"/>
          <w:highlight w:val="auto"/>
        </w:rPr>
        <w:t xml:space="preserve"> </w:t>
      </w:r>
      <w:r>
        <w:rPr>
          <w:rFonts w:eastAsia="黑体" w:hint="eastAsia"/>
          <w:sz w:val="24"/>
          <w:szCs w:val="24"/>
          <w:lang w:val="en-US" w:eastAsia="zh-CN"/>
          <w:highlight w:val="auto"/>
        </w:rPr>
        <w:t xml:space="preserve"> </w:t>
      </w:r>
      <w:r>
        <w:rPr>
          <w:rFonts w:ascii="Times New Roman" w:eastAsia="黑体" w:hAnsi="Times New Roman" w:hint="eastAsia"/>
          <w:sz w:val="24"/>
          <w:szCs w:val="24"/>
          <w:highlight w:val="auto"/>
        </w:rPr>
        <w:t>名词解释</w:t>
      </w:r>
      <w:r>
        <w:rPr>
          <w:sz w:val="24"/>
          <w:szCs w:val="24"/>
        </w:rPr>
        <w:tab/>
      </w:r>
      <w:r>
        <w:rPr>
          <w:sz w:val="24"/>
          <w:szCs w:val="24"/>
        </w:rPr>
        <w:fldChar w:fldCharType="begin"/>
      </w:r>
      <w:r>
        <w:rPr>
          <w:sz w:val="24"/>
          <w:szCs w:val="24"/>
        </w:rPr>
        <w:instrText>PageRef _Toc25193344 \h</w:instrText>
      </w:r>
      <w:r>
        <w:rPr>
          <w:sz w:val="24"/>
          <w:szCs w:val="24"/>
        </w:rPr>
        <w:fldChar w:fldCharType="separate"/>
      </w:r>
      <w:r>
        <w:rPr>
          <w:sz w:val="24"/>
          <w:szCs w:val="24"/>
        </w:rPr>
        <w:t>9</w:t>
      </w:r>
      <w:r>
        <w:rPr>
          <w:sz w:val="24"/>
          <w:szCs w:val="24"/>
        </w:rPr>
        <w:fldChar w:fldCharType="end"/>
      </w:r>
      <w:r>
        <w:rPr>
          <w:sz w:val="24"/>
          <w:szCs w:val="24"/>
        </w:rPr>
        <w:fldChar w:fldCharType="end"/>
      </w:r>
    </w:p>
    <w:p>
      <w:pPr>
        <w:pStyle w:val="26"/>
        <w:tabs>
          <w:tab w:val="right" w:leader="dot" w:pos="8306"/>
        </w:tabs>
        <w:spacing w:line="560" w:lineRule="exact"/>
        <w:rPr>
          <w:sz w:val="24"/>
          <w:szCs w:val="24"/>
        </w:rPr>
      </w:pPr>
      <w:r>
        <w:rPr>
          <w:sz w:val="24"/>
          <w:szCs w:val="24"/>
        </w:rPr>
        <w:fldChar w:fldCharType="begin"/>
      </w:r>
      <w:r>
        <w:rPr>
          <w:sz w:val="24"/>
          <w:szCs w:val="24"/>
        </w:rPr>
        <w:instrText>Hyperlink \l "_Toc25193345"</w:instrText>
      </w:r>
      <w:r>
        <w:rPr>
          <w:sz w:val="24"/>
          <w:szCs w:val="24"/>
        </w:rPr>
        <w:fldChar w:fldCharType="separate"/>
      </w:r>
      <w:r>
        <w:rPr>
          <w:rFonts w:ascii="Times New Roman" w:eastAsia="黑体" w:hAnsi="Times New Roman" w:hint="eastAsia"/>
          <w:sz w:val="24"/>
          <w:szCs w:val="24"/>
          <w:highlight w:val="auto"/>
        </w:rPr>
        <w:t>第</w:t>
      </w:r>
      <w:r>
        <w:rPr>
          <w:rFonts w:eastAsia="黑体"/>
          <w:sz w:val="24"/>
          <w:szCs w:val="24"/>
          <w:lang w:eastAsia="zh-CN"/>
          <w:highlight w:val="auto"/>
        </w:rPr>
        <w:t>四</w:t>
      </w:r>
      <w:r>
        <w:rPr>
          <w:rFonts w:ascii="Times New Roman" w:eastAsia="黑体" w:hAnsi="Times New Roman" w:hint="eastAsia"/>
          <w:sz w:val="24"/>
          <w:szCs w:val="24"/>
          <w:highlight w:val="auto"/>
        </w:rPr>
        <w:t>部分</w:t>
      </w:r>
      <w:r>
        <w:rPr>
          <w:rFonts w:ascii="Times New Roman" w:eastAsia="黑体" w:hAnsi="Times New Roman" w:hint="eastAsia"/>
          <w:sz w:val="24"/>
          <w:szCs w:val="24"/>
          <w:lang w:val="en-US" w:eastAsia="zh-CN"/>
          <w:highlight w:val="auto"/>
        </w:rPr>
        <w:t xml:space="preserve"> </w:t>
      </w:r>
      <w:r>
        <w:rPr>
          <w:rFonts w:eastAsia="黑体" w:hint="eastAsia"/>
          <w:sz w:val="24"/>
          <w:szCs w:val="24"/>
          <w:lang w:val="en-US" w:eastAsia="zh-CN"/>
          <w:highlight w:val="auto"/>
        </w:rPr>
        <w:t xml:space="preserve"> </w:t>
      </w:r>
      <w:r>
        <w:rPr>
          <w:rFonts w:ascii="Times New Roman" w:eastAsia="黑体" w:hAnsi="Times New Roman"/>
          <w:sz w:val="24"/>
          <w:szCs w:val="24"/>
          <w:highlight w:val="auto"/>
        </w:rPr>
        <w:t>附件</w:t>
      </w:r>
      <w:r>
        <w:rPr>
          <w:sz w:val="24"/>
          <w:szCs w:val="24"/>
        </w:rPr>
        <w:tab/>
      </w:r>
      <w:r>
        <w:rPr>
          <w:sz w:val="24"/>
          <w:szCs w:val="24"/>
        </w:rPr>
        <w:fldChar w:fldCharType="begin"/>
      </w:r>
      <w:r>
        <w:rPr>
          <w:sz w:val="24"/>
          <w:szCs w:val="24"/>
        </w:rPr>
        <w:instrText>PageRef _Toc25193345 \h</w:instrText>
      </w:r>
      <w:r>
        <w:rPr>
          <w:sz w:val="24"/>
          <w:szCs w:val="24"/>
        </w:rPr>
        <w:fldChar w:fldCharType="separate"/>
      </w:r>
      <w:r>
        <w:rPr>
          <w:sz w:val="24"/>
          <w:szCs w:val="24"/>
        </w:rPr>
        <w:t>11</w:t>
      </w:r>
      <w:r>
        <w:rPr>
          <w:sz w:val="24"/>
          <w:szCs w:val="24"/>
        </w:rPr>
        <w:fldChar w:fldCharType="end"/>
      </w:r>
      <w:r>
        <w:rPr>
          <w:sz w:val="24"/>
          <w:szCs w:val="24"/>
        </w:rPr>
        <w:fldChar w:fldCharType="end"/>
      </w:r>
    </w:p>
    <w:p>
      <w:pPr>
        <w:pStyle w:val="26"/>
        <w:tabs>
          <w:tab w:val="right" w:leader="dot" w:pos="8306"/>
        </w:tabs>
        <w:spacing w:line="560" w:lineRule="exact"/>
      </w:pPr>
      <w:r>
        <w:rPr>
          <w:sz w:val="24"/>
          <w:szCs w:val="24"/>
        </w:rPr>
        <w:fldChar w:fldCharType="begin"/>
      </w:r>
      <w:r>
        <w:rPr>
          <w:sz w:val="24"/>
          <w:szCs w:val="24"/>
        </w:rPr>
        <w:instrText>Hyperlink \l "_Toc25193346"</w:instrText>
      </w:r>
      <w:r>
        <w:rPr>
          <w:sz w:val="24"/>
          <w:szCs w:val="24"/>
        </w:rPr>
        <w:fldChar w:fldCharType="separate"/>
      </w:r>
      <w:r>
        <w:rPr>
          <w:rFonts w:ascii="Times New Roman" w:eastAsia="黑体" w:hAnsi="Times New Roman" w:hint="eastAsia"/>
          <w:sz w:val="24"/>
          <w:szCs w:val="24"/>
          <w:highlight w:val="auto"/>
        </w:rPr>
        <w:t>第</w:t>
      </w:r>
      <w:r>
        <w:rPr>
          <w:rFonts w:eastAsia="黑体"/>
          <w:sz w:val="24"/>
          <w:szCs w:val="24"/>
          <w:lang w:eastAsia="zh-CN"/>
          <w:highlight w:val="auto"/>
        </w:rPr>
        <w:t>五</w:t>
      </w:r>
      <w:r>
        <w:rPr>
          <w:rFonts w:ascii="Times New Roman" w:eastAsia="黑体" w:hAnsi="Times New Roman" w:hint="eastAsia"/>
          <w:sz w:val="24"/>
          <w:szCs w:val="24"/>
          <w:highlight w:val="auto"/>
        </w:rPr>
        <w:t>部分</w:t>
      </w:r>
      <w:r>
        <w:rPr>
          <w:rFonts w:ascii="Times New Roman" w:eastAsia="黑体" w:hAnsi="Times New Roman" w:hint="eastAsia"/>
          <w:sz w:val="24"/>
          <w:szCs w:val="24"/>
          <w:lang w:val="en-US" w:eastAsia="zh-CN"/>
          <w:highlight w:val="auto"/>
        </w:rPr>
        <w:t xml:space="preserve"> </w:t>
      </w:r>
      <w:r>
        <w:rPr>
          <w:rFonts w:eastAsia="黑体" w:hint="eastAsia"/>
          <w:sz w:val="24"/>
          <w:szCs w:val="24"/>
          <w:lang w:val="en-US" w:eastAsia="zh-CN"/>
          <w:highlight w:val="auto"/>
        </w:rPr>
        <w:t xml:space="preserve"> </w:t>
      </w:r>
      <w:r>
        <w:rPr>
          <w:rFonts w:ascii="Times New Roman" w:eastAsia="黑体" w:hAnsi="Times New Roman"/>
          <w:sz w:val="24"/>
          <w:szCs w:val="24"/>
          <w:highlight w:val="auto"/>
        </w:rPr>
        <w:t>附表</w:t>
      </w:r>
      <w:r>
        <w:rPr>
          <w:sz w:val="24"/>
          <w:szCs w:val="24"/>
        </w:rPr>
        <w:tab/>
      </w:r>
      <w:r>
        <w:rPr>
          <w:sz w:val="24"/>
          <w:szCs w:val="24"/>
        </w:rPr>
        <w:fldChar w:fldCharType="begin"/>
      </w:r>
      <w:r>
        <w:rPr>
          <w:sz w:val="24"/>
          <w:szCs w:val="24"/>
        </w:rPr>
        <w:instrText>PageRef _Toc25193346 \h</w:instrText>
      </w:r>
      <w:r>
        <w:rPr>
          <w:sz w:val="24"/>
          <w:szCs w:val="24"/>
        </w:rPr>
        <w:fldChar w:fldCharType="separate"/>
      </w:r>
      <w:r>
        <w:rPr>
          <w:sz w:val="24"/>
          <w:szCs w:val="24"/>
        </w:rPr>
        <w:t>12</w:t>
      </w:r>
      <w:r>
        <w:rPr>
          <w:sz w:val="24"/>
          <w:szCs w:val="24"/>
        </w:rPr>
        <w:fldChar w:fldCharType="end"/>
      </w:r>
      <w:r>
        <w:rPr>
          <w:sz w:val="24"/>
          <w:szCs w:val="24"/>
        </w:rPr>
        <w:fldChar w:fldCharType="end"/>
      </w:r>
      <w:r>
        <w:rPr>
          <w:sz w:val="32"/>
          <w:szCs w:val="32"/>
        </w:rPr>
        <w:fldChar w:fldCharType="end"/>
      </w:r>
    </w:p>
    <w:p>
      <w:pPr>
        <w:pStyle w:val="26"/>
        <w:tabs>
          <w:tab w:val="right" w:leader="dot" w:pos="8306"/>
        </w:tabs>
        <w:rPr>
          <w:sz w:val="22"/>
          <w:szCs w:val="22"/>
        </w:rPr>
        <w:sectPr>
          <w:footerReference w:type="default" r:id="rId7"/>
          <w:footerReference w:type="first" r:id="rId8"/>
          <w:pgSz w:w="11906" w:h="16838"/>
          <w:pgMar w:top="1440" w:right="1800" w:bottom="1440" w:left="1800" w:header="851" w:footer="992" w:gutter="0"/>
          <w:pgNumType w:start="1"/>
          <w:docGrid w:type="lines" w:linePitch="312" w:charSpace="0"/>
        </w:sectPr>
      </w:pPr>
    </w:p>
    <w:p>
      <w:pPr>
        <w:pStyle w:val="1"/>
        <w:rPr>
          <w:rFonts w:ascii="Times New Roman" w:eastAsia="方正小标宋简体" w:cs="方正小标宋简体" w:hAnsi="Times New Roman"/>
          <w:b w:val="0"/>
          <w:color w:val="auto"/>
          <w:highlight w:val="auto"/>
        </w:rPr>
      </w:pPr>
      <w:bookmarkStart w:id="7" w:name="_Toc97631118"/>
      <w:bookmarkStart w:id="8" w:name="_Toc15377196"/>
      <w:bookmarkStart w:id="9" w:name="_Toc15396599"/>
    </w:p>
    <w:p>
      <w:pPr>
        <w:pStyle w:val="1"/>
        <w:jc w:val="center"/>
        <w:rPr>
          <w:rStyle w:val="1Char"/>
          <w:rFonts w:eastAsia="方正小标宋简体" w:cs="方正小标宋简体" w:hint="eastAsia"/>
          <w:bCs w:val="0"/>
        </w:rPr>
      </w:pPr>
      <w:bookmarkStart w:id="10" w:name="_Toc25193331"/>
      <w:r>
        <w:rPr>
          <w:rFonts w:ascii="Times New Roman" w:eastAsia="方正小标宋简体" w:cs="方正小标宋简体" w:hAnsi="Times New Roman" w:hint="eastAsia"/>
          <w:b w:val="0"/>
          <w:color w:val="auto"/>
          <w:highlight w:val="auto"/>
        </w:rPr>
        <w:t>第一部分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Style w:val="1Char"/>
          <w:rFonts w:ascii="Times New Roman" w:eastAsia="方正小标宋简体" w:cs="方正小标宋简体" w:hAnsi="Times New Roman" w:hint="eastAsia"/>
          <w:b w:val="0"/>
          <w:bCs w:val="0"/>
          <w:color w:val="auto"/>
          <w:highlight w:val="auto"/>
        </w:rPr>
        <w:t>部门概况</w:t>
      </w:r>
      <w:bookmarkEnd w:id="7"/>
      <w:bookmarkEnd w:id="8"/>
      <w:bookmarkEnd w:id="9"/>
      <w:bookmarkEnd w:id="10"/>
    </w:p>
    <w:p>
      <w:pPr>
        <w:pStyle w:val="2"/>
        <w:numPr>
          <w:ilvl w:val="0"/>
          <w:numId w:val="1"/>
        </w:numPr>
        <w:rPr>
          <w:rFonts w:ascii="Times New Roman" w:eastAsia="黑体" w:hAnsi="Times New Roman"/>
          <w:b w:val="0"/>
          <w:color w:val="auto"/>
          <w:lang w:eastAsia="zh-CN"/>
          <w:highlight w:val="auto"/>
        </w:rPr>
      </w:pPr>
      <w:bookmarkStart w:id="11" w:name="_Toc15396600"/>
      <w:bookmarkStart w:id="12" w:name="_Toc15377197"/>
      <w:bookmarkStart w:id="13" w:name="_Toc97631119"/>
      <w:bookmarkStart w:id="14" w:name="_Toc25193332"/>
      <w:bookmarkEnd w:id="11"/>
      <w:bookmarkEnd w:id="12"/>
      <w:r>
        <w:rPr>
          <w:rFonts w:ascii="Times New Roman" w:eastAsia="黑体" w:hAnsi="Times New Roman" w:hint="eastAsia"/>
          <w:b w:val="0"/>
          <w:color w:val="auto"/>
          <w:lang w:eastAsia="zh-CN"/>
          <w:highlight w:val="auto"/>
        </w:rPr>
        <w:t>部门职责</w:t>
      </w:r>
      <w:bookmarkEnd w:id="13"/>
      <w:bookmarkEnd w:id="14"/>
    </w:p>
    <w:p>
      <w:pPr>
        <w:pStyle w:val="15"/>
        <w:keepNext w:val="0"/>
        <w:keepLines w:val="0"/>
        <w:pageBreakBefore w:val="0"/>
        <w:widowControl w:val="0"/>
        <w:suppressLineNumbers w:val="0"/>
        <w:suppressAutoHyphens w:val="0"/>
        <w:spacing w:line="560" w:lineRule="exact"/>
        <w:ind w:firstLineChars="200" w:firstLine="600"/>
        <w:rPr>
          <w:rFonts w:ascii="方正仿宋_GBK" w:eastAsia="方正仿宋_GBK" w:hint="eastAsia"/>
          <w:b/>
          <w:bCs/>
          <w:sz w:val="30"/>
          <w:szCs w:val="30"/>
        </w:rPr>
      </w:pPr>
      <w:r>
        <w:rPr>
          <w:rFonts w:ascii="方正仿宋_GBK" w:eastAsia="方正仿宋_GBK" w:cs="方正仿宋_GB2312" w:hint="eastAsia"/>
          <w:b/>
          <w:bCs/>
          <w:sz w:val="30"/>
          <w:szCs w:val="30"/>
          <w:lang w:bidi="ar-SA"/>
        </w:rPr>
        <w:t>阿坝州低收入家庭认定指导中心：</w:t>
      </w:r>
      <w:r>
        <w:rPr>
          <w:rFonts w:ascii="方正仿宋_GBK" w:eastAsia="方正仿宋_GBK"/>
          <w:bCs/>
          <w:sz w:val="32"/>
        </w:rPr>
        <w:t>阿坝州低收人家庭认定指导中心（简称州低收人家庭认定指导中心）为州民政局所属正科级公益 一类事业单位。 主要职责是：负责全州城乡低保、保障性住房等政府救助家庭收人和财产情况信息核对；负责全州低收人家庭经济状况信息数据库的建立和维护、经济状况信息查询与核对、宣传交流和培训等工作。</w:t>
      </w:r>
    </w:p>
    <w:p>
      <w:pPr>
        <w:pStyle w:val="15"/>
        <w:keepNext w:val="0"/>
        <w:keepLines w:val="0"/>
        <w:pageBreakBefore w:val="0"/>
        <w:widowControl w:val="0"/>
        <w:suppressLineNumbers w:val="0"/>
        <w:suppressAutoHyphens w:val="0"/>
        <w:spacing w:line="560" w:lineRule="exact"/>
        <w:ind w:firstLineChars="200" w:firstLine="600"/>
        <w:rPr>
          <w:rFonts w:ascii="方正仿宋_GBK" w:eastAsia="方正仿宋_GBK"/>
          <w:b/>
          <w:bCs/>
          <w:sz w:val="30"/>
          <w:szCs w:val="30"/>
        </w:rPr>
      </w:pPr>
      <w:r>
        <w:rPr>
          <w:rFonts w:ascii="方正仿宋_GBK" w:eastAsia="方正仿宋_GBK" w:hint="eastAsia"/>
          <w:b/>
          <w:bCs/>
          <w:sz w:val="30"/>
          <w:szCs w:val="30"/>
        </w:rPr>
        <w:t>阿坝州老年大学：</w:t>
      </w:r>
      <w:r>
        <w:rPr>
          <w:rFonts w:ascii="方正仿宋_GBK" w:eastAsia="方正仿宋_GBK"/>
          <w:bCs/>
          <w:sz w:val="32"/>
        </w:rPr>
        <w:t>承担州老年大学的继续教育教学工作；负责指导县（市）规范开展老年大学（学校）教育教学工作；加强对全州各县（市）老年大学（学校）基础能力提升；整合资源，结合民族地区老年教育实际，探索建立州老年大学在州级、县（市）、乡（镇）、村（社区）教学示范点（学习示范点）。</w:t>
      </w:r>
    </w:p>
    <w:p>
      <w:pPr>
        <w:pStyle w:val="15"/>
        <w:keepNext w:val="0"/>
        <w:keepLines w:val="0"/>
        <w:pageBreakBefore w:val="0"/>
        <w:widowControl w:val="0"/>
        <w:suppressLineNumbers w:val="0"/>
        <w:suppressAutoHyphens w:val="0"/>
        <w:spacing w:line="560" w:lineRule="exact"/>
        <w:ind w:firstLineChars="200" w:firstLine="640"/>
        <w:rPr>
          <w:rFonts w:hint="eastAsia"/>
        </w:rPr>
      </w:pPr>
      <w:r>
        <w:rPr>
          <w:rFonts w:ascii="方正仿宋_GBK" w:eastAsia="方正仿宋_GBK"/>
          <w:b/>
          <w:bCs/>
          <w:sz w:val="32"/>
        </w:rPr>
        <w:t>阿坝州慈善事业服务中心：</w:t>
      </w:r>
      <w:r>
        <w:rPr>
          <w:rFonts w:ascii="方正仿宋_GBK" w:eastAsia="方正仿宋_GBK"/>
          <w:sz w:val="32"/>
        </w:rPr>
        <w:t>阿坝州慈善总会办公室成立于2007年3月31日，为州民政局直属正科级事业单位。于2019年6月5日更名为阿坝州慈善事业服务中心。主要职能为</w:t>
      </w:r>
      <w:r>
        <w:rPr>
          <w:rFonts w:ascii="方正仿宋_GBK" w:eastAsia="方正仿宋_GBK"/>
          <w:b/>
          <w:bCs/>
          <w:sz w:val="32"/>
        </w:rPr>
        <w:t>一是</w:t>
      </w:r>
      <w:r>
        <w:rPr>
          <w:rFonts w:ascii="方正仿宋_GBK" w:eastAsia="方正仿宋_GBK"/>
          <w:sz w:val="32"/>
        </w:rPr>
        <w:t>负责推进和服务全州各类慈善组织依法依规开展慈善活动。</w:t>
      </w:r>
      <w:r>
        <w:rPr>
          <w:rFonts w:ascii="方正仿宋_GBK" w:eastAsia="方正仿宋_GBK"/>
          <w:b/>
          <w:bCs/>
          <w:sz w:val="32"/>
        </w:rPr>
        <w:t>二是</w:t>
      </w:r>
      <w:r>
        <w:rPr>
          <w:rFonts w:ascii="方正仿宋_GBK" w:eastAsia="方正仿宋_GBK"/>
          <w:sz w:val="32"/>
        </w:rPr>
        <w:t>负责为兴办慈善事业的人士、企业和各种机构搭建服务平台，促进全州慈善事业健康发展。</w:t>
      </w:r>
      <w:r>
        <w:rPr>
          <w:rFonts w:ascii="方正仿宋_GBK" w:eastAsia="方正仿宋_GBK"/>
          <w:b/>
          <w:bCs/>
          <w:sz w:val="32"/>
        </w:rPr>
        <w:t>三是</w:t>
      </w:r>
      <w:r>
        <w:rPr>
          <w:rFonts w:ascii="方正仿宋_GBK" w:eastAsia="方正仿宋_GBK"/>
          <w:sz w:val="32"/>
        </w:rPr>
        <w:t>承担与慈善组织的交流和协作，反映社会各界人士的意见、建议和要求，为政府提供咨询性意见。</w:t>
      </w:r>
      <w:r>
        <w:rPr>
          <w:rFonts w:ascii="方正仿宋_GBK" w:eastAsia="方正仿宋_GBK"/>
          <w:b/>
          <w:bCs/>
          <w:sz w:val="32"/>
        </w:rPr>
        <w:t>四是</w:t>
      </w:r>
      <w:r>
        <w:rPr>
          <w:rFonts w:ascii="方正仿宋_GBK" w:eastAsia="方正仿宋_GBK"/>
          <w:sz w:val="32"/>
        </w:rPr>
        <w:t>承担慈善文化与慈善事业发展研究。</w:t>
      </w:r>
      <w:r>
        <w:rPr>
          <w:rFonts w:ascii="方正仿宋_GBK" w:eastAsia="方正仿宋_GBK"/>
          <w:b/>
          <w:bCs/>
          <w:sz w:val="32"/>
        </w:rPr>
        <w:t>五是</w:t>
      </w:r>
      <w:r>
        <w:rPr>
          <w:rFonts w:ascii="方正仿宋_GBK" w:eastAsia="方正仿宋_GBK"/>
          <w:sz w:val="32"/>
        </w:rPr>
        <w:t>承担慈善知识的宣传和慈善舆论的引导工作。</w:t>
      </w:r>
    </w:p>
    <w:p>
      <w:pPr>
        <w:pStyle w:val="2"/>
        <w:rPr>
          <w:rStyle w:val="2Char"/>
          <w:rFonts w:ascii="Times New Roman" w:hAnsi="Times New Roman"/>
          <w:b w:val="0"/>
          <w:bCs w:val="0"/>
          <w:color w:val="auto"/>
          <w:highlight w:val="auto"/>
        </w:rPr>
      </w:pPr>
      <w:bookmarkStart w:id="15" w:name="_Toc15377200"/>
      <w:bookmarkStart w:id="16" w:name="_Toc15396601"/>
      <w:bookmarkStart w:id="17" w:name="_Toc97631120"/>
      <w:bookmarkStart w:id="18" w:name="_Toc25193333"/>
      <w:r>
        <w:rPr>
          <w:rFonts w:ascii="Times New Roman" w:eastAsia="黑体" w:hAnsi="Times New Roman" w:hint="eastAsia"/>
          <w:b w:val="0"/>
          <w:color w:val="auto"/>
          <w:highlight w:val="auto"/>
        </w:rPr>
        <w:t>二、机</w:t>
      </w:r>
      <w:r>
        <w:rPr>
          <w:rStyle w:val="2Char"/>
          <w:rFonts w:ascii="Times New Roman" w:eastAsia="黑体" w:hAnsi="Times New Roman" w:hint="eastAsia"/>
          <w:b w:val="0"/>
          <w:bCs w:val="0"/>
          <w:color w:val="auto"/>
          <w:highlight w:val="auto"/>
        </w:rPr>
        <w:t>构设置</w:t>
      </w:r>
      <w:bookmarkEnd w:id="15"/>
      <w:bookmarkEnd w:id="16"/>
      <w:bookmarkEnd w:id="17"/>
      <w:bookmarkEnd w:id="18"/>
    </w:p>
    <w:p>
      <w:pPr>
        <w:snapToGrid w:val="0"/>
        <w:spacing w:line="520" w:lineRule="exact"/>
        <w:ind w:left="0" w:firstLineChars="200" w:firstLine="640"/>
        <w:rPr>
          <w:rFonts w:ascii="方正仿宋_GBK" w:eastAsia="方正仿宋_GBK" w:cs="方正仿宋_GB2312" w:hint="eastAsia"/>
          <w:bCs/>
          <w:color w:val="000000"/>
          <w:sz w:val="32"/>
          <w:szCs w:val="32"/>
        </w:rPr>
      </w:pPr>
      <w:r>
        <w:rPr>
          <w:rFonts w:ascii="方正仿宋_GBK" w:eastAsia="方正仿宋_GBK" w:cs="仿宋_GB2312" w:hint="eastAsia"/>
          <w:color w:val="auto"/>
          <w:sz w:val="32"/>
          <w:szCs w:val="32"/>
          <w:highlight w:val="auto"/>
        </w:rPr>
        <w:t>阿坝</w:t>
      </w:r>
      <w:r>
        <w:rPr>
          <w:rFonts w:ascii="方正仿宋_GBK" w:eastAsia="方正仿宋_GBK" w:cs="方正仿宋_GB2312" w:hint="eastAsia"/>
          <w:bCs/>
          <w:color w:val="000000"/>
          <w:sz w:val="32"/>
          <w:szCs w:val="32"/>
          <w:lang w:bidi="ar-SA"/>
        </w:rPr>
        <w:t>州低收入家庭认定指导中心包括</w:t>
      </w:r>
      <w:r>
        <w:rPr>
          <w:rFonts w:ascii="方正仿宋_GBK" w:eastAsia="方正仿宋_GBK" w:cs="方正仿宋_GB2312" w:hint="eastAsia"/>
          <w:bCs/>
          <w:color w:val="000000"/>
          <w:sz w:val="32"/>
          <w:szCs w:val="32"/>
          <w:lang w:eastAsia="zh-CN" w:bidi="ar-SA"/>
        </w:rPr>
        <w:t>其他未</w:t>
      </w:r>
      <w:r>
        <w:rPr>
          <w:rFonts w:ascii="方正仿宋_GBK" w:eastAsia="方正仿宋_GBK" w:cs="方正仿宋_GB2312" w:hint="eastAsia"/>
          <w:bCs/>
          <w:color w:val="000000"/>
          <w:sz w:val="32"/>
          <w:szCs w:val="32"/>
          <w:lang w:bidi="ar-SA"/>
        </w:rPr>
        <w:t>独立核算事业机构3个，其中：阿坝州慈善事业服务中心1个，州马尔康地区老年大学服务中心1个，州低收入家庭认定指导中心1个。</w:t>
      </w:r>
      <w:r>
        <w:rPr>
          <w:rFonts w:ascii="Times New Roman" w:eastAsia="仿宋" w:hAnsi="Times New Roman"/>
          <w:color w:val="auto"/>
          <w:sz w:val="32"/>
          <w:szCs w:val="32"/>
          <w:highlight w:val="auto"/>
        </w:rPr>
        <w:br w:type="page"/>
      </w:r>
    </w:p>
    <w:p>
      <w:pPr>
        <w:pStyle w:val="1"/>
        <w:jc w:val="center"/>
        <w:rPr>
          <w:rFonts w:ascii="Times New Roman" w:eastAsia="方正小标宋简体" w:cs="方正小标宋简体" w:hAnsi="Times New Roman" w:hint="eastAsia"/>
          <w:b w:val="0"/>
          <w:color w:val="auto"/>
        </w:rPr>
      </w:pPr>
      <w:bookmarkStart w:id="19" w:name="_Toc15377204"/>
      <w:bookmarkStart w:id="20" w:name="_Toc15396602"/>
      <w:bookmarkStart w:id="21" w:name="_Toc97631124"/>
      <w:bookmarkStart w:id="22" w:name="_Toc25193334"/>
      <w:r>
        <w:rPr>
          <w:rFonts w:ascii="Times New Roman" w:eastAsia="方正小标宋简体" w:cs="方正小标宋简体" w:hAnsi="Times New Roman" w:hint="eastAsia"/>
          <w:b w:val="0"/>
          <w:color w:val="auto"/>
        </w:rPr>
        <w:t>第二部分</w:t>
      </w:r>
      <w:r>
        <w:rPr>
          <w:rFonts w:ascii="Times New Roman" w:eastAsia="方正小标宋简体" w:cs="方正小标宋简体" w:hAnsi="Times New Roman" w:hint="eastAsia"/>
          <w:b w:val="0"/>
          <w:color w:val="auto"/>
          <w:lang w:val="en-US" w:eastAsia="zh-CN"/>
        </w:rPr>
        <w:t xml:space="preserve"> </w:t>
      </w:r>
      <w:r>
        <w:rPr>
          <w:rFonts w:ascii="Times New Roman" w:eastAsia="方正小标宋简体" w:cs="方正小标宋简体" w:hAnsi="Times New Roman" w:hint="eastAsia"/>
          <w:b w:val="0"/>
          <w:color w:val="auto"/>
        </w:rPr>
        <w:t xml:space="preserve"> </w:t>
      </w:r>
      <w:r>
        <w:rPr>
          <w:rFonts w:eastAsia="方正小标宋简体" w:cs="方正小标宋简体" w:hint="eastAsia"/>
          <w:b w:val="0"/>
          <w:color w:val="auto"/>
          <w:lang w:val="en-US" w:eastAsia="zh-CN"/>
        </w:rPr>
        <w:t>2025年度</w:t>
      </w:r>
      <w:r>
        <w:rPr>
          <w:rFonts w:ascii="Times New Roman" w:eastAsia="方正小标宋简体" w:cs="方正小标宋简体" w:hAnsi="Times New Roman" w:hint="eastAsia"/>
          <w:b w:val="0"/>
          <w:color w:val="auto"/>
        </w:rPr>
        <w:t>部门决算情况说明</w:t>
      </w:r>
      <w:bookmarkEnd w:id="19"/>
      <w:bookmarkEnd w:id="20"/>
      <w:bookmarkEnd w:id="21"/>
      <w:bookmarkEnd w:id="22"/>
    </w:p>
    <w:p>
      <w:pPr>
        <w:rPr>
          <w:rFonts w:ascii="Times New Roman" w:hAnsi="Times New Roman"/>
          <w:color w:val="auto"/>
        </w:rPr>
      </w:pPr>
    </w:p>
    <w:p>
      <w:pPr>
        <w:pStyle w:val="39"/>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Style w:val="2Char"/>
          <w:rFonts w:ascii="Times New Roman" w:eastAsia="黑体" w:hAnsi="Times New Roman" w:hint="eastAsia"/>
          <w:b w:val="0"/>
          <w:color w:val="auto"/>
        </w:rPr>
      </w:pPr>
      <w:bookmarkStart w:id="23" w:name="_Toc15396603"/>
      <w:bookmarkStart w:id="24" w:name="_Toc15377205"/>
      <w:bookmarkStart w:id="25" w:name="_Toc97631125"/>
      <w:bookmarkStart w:id="26" w:name="_Toc25193335"/>
      <w:r>
        <w:rPr>
          <w:rFonts w:ascii="Times New Roman" w:eastAsia="黑体" w:hAnsi="Times New Roman" w:hint="eastAsia"/>
          <w:color w:val="auto"/>
          <w:sz w:val="32"/>
          <w:szCs w:val="32"/>
          <w:lang w:eastAsia="zh-CN"/>
        </w:rPr>
        <w:t>一、</w:t>
      </w:r>
      <w:r>
        <w:rPr>
          <w:rFonts w:ascii="Times New Roman" w:eastAsia="黑体" w:hAnsi="Times New Roman" w:hint="eastAsia"/>
          <w:color w:val="auto"/>
          <w:sz w:val="32"/>
          <w:szCs w:val="32"/>
        </w:rPr>
        <w:t>收</w:t>
      </w:r>
      <w:r>
        <w:rPr>
          <w:rStyle w:val="2Char"/>
          <w:rFonts w:ascii="Times New Roman" w:eastAsia="黑体" w:hAnsi="Times New Roman" w:hint="eastAsia"/>
          <w:b w:val="0"/>
          <w:color w:val="auto"/>
        </w:rPr>
        <w:t>入支出决算总体情况说明</w:t>
      </w:r>
      <w:bookmarkEnd w:id="23"/>
      <w:bookmarkEnd w:id="24"/>
      <w:bookmarkEnd w:id="25"/>
      <w:bookmarkEnd w:id="26"/>
    </w:p>
    <w:p>
      <w:pPr>
        <w:keepNext w:val="0"/>
        <w:keepLines w:val="0"/>
        <w:pageBreakBefore w:val="0"/>
        <w:widowControl w:val="0"/>
        <w:suppressLineNumbers w:val="0"/>
        <w:suppressAutoHyphens w:val="0"/>
        <w:bidi w:val="0"/>
        <w:ind w:firstLineChars="250" w:firstLine="800"/>
        <w:rPr>
          <w:rFonts w:hint="eastAsia"/>
        </w:rPr>
      </w:pPr>
      <w:bookmarkStart w:id="27" w:name="_Toc97631126"/>
      <w:r>
        <w:rPr>
          <w:rFonts w:eastAsia="仿宋_GB2312" w:cs="仿宋_GB2312"/>
          <w:color w:val="auto"/>
          <w:sz w:val="32"/>
          <w:szCs w:val="32"/>
          <w:lang w:eastAsia="zh-CN"/>
        </w:rPr>
        <w:drawing>
          <wp:anchor distT="0" distB="0" distL="85088" distR="85088" simplePos="0" relativeHeight="21" behindDoc="0" locked="0" layoutInCell="1" hidden="0" allowOverlap="1">
            <wp:simplePos x="0" y="0"/>
            <wp:positionH relativeFrom="column">
              <wp:posOffset>405758</wp:posOffset>
            </wp:positionH>
            <wp:positionV relativeFrom="paragraph">
              <wp:posOffset>1289092</wp:posOffset>
            </wp:positionV>
            <wp:extent cx="3768725" cy="2267584"/>
            <wp:effectExtent l="0" t="0" r="0" b="0"/>
            <wp:wrapTopAndBottom/>
            <wp:docPr id="7" name="图片"/>
            <wp:cNvGraphicFramePr>
              <a:graphicFrameLocks noChangeAspect="1"/>
            </wp:cNvGraphicFramePr>
            <a:graphic>
              <a:graphicData uri="http://schemas.openxmlformats.org/drawingml/2006/picture">
                <pic:pic>
                  <pic:nvPicPr>
                    <pic:cNvPr id="9" name="图片 9"/>
                    <pic:cNvPicPr/>
                  </pic:nvPicPr>
                  <pic:blipFill>
                    <a:blip r:embed="rId10"/>
                    <a:stretch>
                      <a:fillRect/>
                    </a:stretch>
                  </pic:blipFill>
                  <pic:spPr>
                    <a:xfrm rot="0">
                      <a:off x="0" y="0"/>
                      <a:ext cx="3768725" cy="2267584"/>
                    </a:xfrm>
                    <a:prstGeom prst="rect"/>
                    <a:noFill/>
                    <a:ln w="9525" cmpd="sng" cap="flat">
                      <a:noFill/>
                      <a:prstDash val="solid"/>
                      <a:miter/>
                    </a:ln>
                  </pic:spPr>
                </pic:pic>
              </a:graphicData>
            </a:graphic>
          </wp:anchor>
        </w:drawing>
      </w:r>
      <w:r>
        <w:rPr>
          <w:rFonts w:eastAsia="仿宋_GB2312" w:cs="仿宋_GB2312" w:hint="eastAsia"/>
          <w:color w:val="auto"/>
          <w:sz w:val="32"/>
          <w:szCs w:val="32"/>
          <w:lang w:eastAsia="zh-CN"/>
        </w:rPr>
        <w:t>2025年度</w:t>
      </w:r>
      <w:r>
        <w:rPr>
          <w:rFonts w:ascii="Times New Roman" w:eastAsia="仿宋_GB2312" w:cs="仿宋_GB2312" w:hAnsi="Times New Roman" w:hint="eastAsia"/>
          <w:color w:val="auto"/>
          <w:sz w:val="32"/>
          <w:szCs w:val="32"/>
          <w:lang w:eastAsia="zh-CN"/>
        </w:rPr>
        <w:t>收入</w:t>
      </w:r>
      <w:r>
        <w:rPr>
          <w:rFonts w:ascii="Times New Roman" w:eastAsia="仿宋_GB2312" w:cs="仿宋_GB2312" w:hAnsi="Times New Roman" w:hint="eastAsia"/>
          <w:color w:val="auto"/>
          <w:sz w:val="32"/>
          <w:szCs w:val="32"/>
        </w:rPr>
        <w:t>、</w:t>
      </w:r>
      <w:r>
        <w:rPr>
          <w:rFonts w:ascii="Times New Roman" w:eastAsia="仿宋_GB2312" w:cs="仿宋_GB2312" w:hAnsi="Times New Roman" w:hint="eastAsia"/>
          <w:color w:val="auto"/>
          <w:sz w:val="32"/>
          <w:szCs w:val="32"/>
          <w:lang w:eastAsia="zh-CN"/>
        </w:rPr>
        <w:t>支出</w:t>
      </w:r>
      <w:r>
        <w:rPr>
          <w:rFonts w:ascii="Times New Roman" w:eastAsia="仿宋_GB2312" w:cs="仿宋_GB2312" w:hAnsi="Times New Roman" w:hint="eastAsia"/>
          <w:color w:val="auto"/>
          <w:sz w:val="32"/>
          <w:szCs w:val="32"/>
        </w:rPr>
        <w:t>总计</w:t>
      </w:r>
      <w:r>
        <w:rPr>
          <w:rFonts w:ascii="Times New Roman" w:eastAsia="仿宋_GB2312" w:cs="仿宋_GB2312" w:hAnsi="Times New Roman" w:hint="eastAsia"/>
          <w:color w:val="auto"/>
          <w:sz w:val="32"/>
          <w:szCs w:val="32"/>
          <w:lang w:eastAsia="zh-CN"/>
        </w:rPr>
        <w:t>均为</w:t>
      </w:r>
      <w:r>
        <w:rPr>
          <w:rFonts w:ascii="仿宋_GB2312" w:eastAsia="仿宋_GB2312" w:cs="仿宋_GB2312" w:hint="eastAsia"/>
          <w:sz w:val="32"/>
          <w:szCs w:val="32"/>
        </w:rPr>
        <w:t>250.62</w:t>
      </w:r>
      <w:r>
        <w:rPr>
          <w:rFonts w:ascii="Times New Roman" w:eastAsia="仿宋_GB2312" w:cs="仿宋_GB2312" w:hAnsi="Times New Roman" w:hint="eastAsia"/>
          <w:color w:val="auto"/>
          <w:sz w:val="32"/>
          <w:szCs w:val="32"/>
        </w:rPr>
        <w:t>万元。与</w:t>
      </w:r>
      <w:r>
        <w:rPr>
          <w:rFonts w:eastAsia="仿宋_GB2312" w:cs="仿宋_GB2312" w:hint="eastAsia"/>
          <w:color w:val="auto"/>
          <w:sz w:val="32"/>
          <w:szCs w:val="32"/>
          <w:lang w:eastAsia="zh-CN"/>
        </w:rPr>
        <w:t>上</w:t>
      </w:r>
      <w:r>
        <w:rPr>
          <w:rFonts w:ascii="Times New Roman" w:eastAsia="仿宋_GB2312" w:cs="仿宋_GB2312" w:hAnsi="Times New Roman" w:hint="eastAsia"/>
          <w:color w:val="auto"/>
          <w:sz w:val="32"/>
          <w:szCs w:val="32"/>
        </w:rPr>
        <w:t>年</w:t>
      </w:r>
      <w:r>
        <w:rPr>
          <w:rFonts w:ascii="Times New Roman" w:eastAsia="仿宋_GB2312" w:cs="仿宋_GB2312" w:hAnsi="Times New Roman" w:hint="eastAsia"/>
          <w:color w:val="auto"/>
          <w:sz w:val="32"/>
          <w:szCs w:val="32"/>
          <w:lang w:eastAsia="zh-CN"/>
        </w:rPr>
        <w:t>度</w:t>
      </w:r>
      <w:r>
        <w:rPr>
          <w:rFonts w:ascii="Times New Roman" w:eastAsia="仿宋_GB2312" w:cs="仿宋_GB2312" w:hAnsi="Times New Roman" w:hint="eastAsia"/>
          <w:color w:val="auto"/>
          <w:sz w:val="32"/>
          <w:szCs w:val="32"/>
        </w:rPr>
        <w:t>相比，</w:t>
      </w:r>
      <w:r>
        <w:rPr>
          <w:rFonts w:ascii="Times New Roman" w:eastAsia="仿宋_GB2312" w:cs="仿宋_GB2312" w:hAnsi="Times New Roman" w:hint="eastAsia"/>
          <w:color w:val="auto"/>
          <w:sz w:val="32"/>
          <w:szCs w:val="32"/>
          <w:lang w:eastAsia="zh-CN"/>
        </w:rPr>
        <w:t>收入</w:t>
      </w:r>
      <w:r>
        <w:rPr>
          <w:rFonts w:ascii="Times New Roman" w:eastAsia="仿宋_GB2312" w:cs="仿宋_GB2312" w:hAnsi="Times New Roman" w:hint="eastAsia"/>
          <w:color w:val="auto"/>
          <w:sz w:val="32"/>
          <w:szCs w:val="32"/>
        </w:rPr>
        <w:t>、</w:t>
      </w:r>
      <w:r>
        <w:rPr>
          <w:rFonts w:ascii="Times New Roman" w:eastAsia="仿宋_GB2312" w:cs="仿宋_GB2312" w:hAnsi="Times New Roman" w:hint="eastAsia"/>
          <w:color w:val="auto"/>
          <w:sz w:val="32"/>
          <w:szCs w:val="32"/>
          <w:lang w:eastAsia="zh-CN"/>
        </w:rPr>
        <w:t>支出</w:t>
      </w:r>
      <w:r>
        <w:rPr>
          <w:rFonts w:ascii="Times New Roman" w:eastAsia="仿宋_GB2312" w:cs="仿宋_GB2312" w:hAnsi="Times New Roman" w:hint="eastAsia"/>
          <w:color w:val="auto"/>
          <w:sz w:val="32"/>
          <w:szCs w:val="32"/>
        </w:rPr>
        <w:t>总计各增加</w:t>
      </w:r>
      <w:r>
        <w:rPr>
          <w:rFonts w:ascii="方正仿宋_GBK" w:eastAsia="方正仿宋_GBK" w:cs="仿宋_GB2312" w:hint="eastAsia"/>
          <w:color w:val="auto"/>
          <w:sz w:val="30"/>
          <w:szCs w:val="30"/>
          <w:lang w:eastAsia="zh-CN"/>
        </w:rPr>
        <w:t>33.16万元</w:t>
      </w:r>
      <w:r>
        <w:rPr>
          <w:rFonts w:ascii="Times New Roman" w:eastAsia="仿宋_GB2312" w:cs="仿宋_GB2312" w:hAnsi="Times New Roman" w:hint="eastAsia"/>
          <w:color w:val="auto"/>
          <w:sz w:val="32"/>
          <w:szCs w:val="32"/>
        </w:rPr>
        <w:t>，</w:t>
      </w:r>
      <w:bookmarkStart w:id="28" w:name="_Toc97631127"/>
      <w:bookmarkEnd w:id="27"/>
      <w:r>
        <w:rPr>
          <w:rFonts w:ascii="方正仿宋_GBK" w:eastAsia="方正仿宋_GBK" w:cs="仿宋_GB2312" w:hint="eastAsia"/>
          <w:color w:val="auto"/>
          <w:sz w:val="30"/>
          <w:szCs w:val="30"/>
          <w:lang w:eastAsia="zh-CN"/>
        </w:rPr>
        <w:t>增</w:t>
      </w:r>
      <w:r>
        <w:rPr>
          <w:rFonts w:ascii="方正仿宋_GBK" w:eastAsia="方正仿宋_GBK" w:cs="仿宋_GB2312"/>
          <w:color w:val="auto"/>
          <w:sz w:val="30"/>
          <w:szCs w:val="30"/>
          <w:lang w:eastAsia="zh-CN"/>
        </w:rPr>
        <w:t>长</w:t>
      </w:r>
      <w:r>
        <w:rPr>
          <w:rFonts w:ascii="方正仿宋_GBK" w:eastAsia="方正仿宋_GBK" w:cs="仿宋_GB2312" w:hint="eastAsia"/>
          <w:color w:val="auto"/>
          <w:sz w:val="30"/>
          <w:szCs w:val="30"/>
          <w:lang w:eastAsia="zh-CN"/>
        </w:rPr>
        <w:t>15.25%。主要原因为人员增加。</w:t>
      </w:r>
    </w:p>
    <w:p>
      <w:pPr>
        <w:pStyle w:val="39"/>
        <w:keepNext w:val="0"/>
        <w:keepLines w:val="0"/>
        <w:pageBreakBefore w:val="0"/>
        <w:widowControl w:val="0"/>
        <w:kinsoku/>
        <w:wordWrap/>
        <w:overflowPunct/>
        <w:topLinePunct w:val="0"/>
        <w:autoSpaceDE/>
        <w:autoSpaceDN/>
        <w:adjustRightInd/>
        <w:snapToGrid/>
        <w:spacing w:line="600" w:lineRule="exact"/>
        <w:ind w:left="0" w:firstLineChars="200" w:firstLine="640"/>
        <w:outlineLvl w:val="1"/>
        <w:rPr>
          <w:rFonts w:ascii="Times New Roman" w:eastAsia="黑体" w:hAnsi="Times New Roman"/>
          <w:color w:val="auto"/>
          <w:sz w:val="32"/>
          <w:szCs w:val="32"/>
          <w:lang w:eastAsia="zh-CN"/>
        </w:rPr>
      </w:pPr>
      <w:bookmarkStart w:id="29" w:name="_Toc15377206"/>
      <w:bookmarkStart w:id="30" w:name="_Toc15396604"/>
      <w:bookmarkStart w:id="31" w:name="_Toc97631128"/>
      <w:bookmarkStart w:id="32" w:name="_Toc25193336"/>
      <w:bookmarkEnd w:id="28"/>
      <w:r>
        <w:rPr>
          <w:rFonts w:ascii="Times New Roman" w:eastAsia="黑体" w:hAnsi="Times New Roman" w:hint="eastAsia"/>
          <w:color w:val="auto"/>
          <w:sz w:val="32"/>
          <w:szCs w:val="32"/>
          <w:lang w:eastAsia="zh-CN"/>
        </w:rPr>
        <w:t>二、收入决算情况说明</w:t>
      </w:r>
      <w:bookmarkStart w:id="33" w:name="_Toc97631129"/>
      <w:bookmarkEnd w:id="29"/>
      <w:bookmarkEnd w:id="30"/>
      <w:bookmarkEnd w:id="31"/>
      <w:bookmarkEnd w:id="32"/>
    </w:p>
    <w:p>
      <w:pPr>
        <w:ind w:firstLineChars="200" w:firstLine="640"/>
        <w:rPr>
          <w:rFonts w:ascii="Times New Roman" w:eastAsia="黑体" w:hAnsi="Times New Roman"/>
          <w:color w:val="auto"/>
          <w:sz w:val="32"/>
          <w:szCs w:val="32"/>
          <w:lang w:eastAsia="zh-CN"/>
        </w:rPr>
      </w:pPr>
      <w:r>
        <w:rPr>
          <w:rFonts w:ascii="Times New Roman" w:eastAsia="仿宋_GB2312" w:cs="仿宋_GB2312" w:hAnsi="Times New Roman"/>
          <w:b/>
          <w:bCs/>
          <w:color w:val="auto"/>
          <w:sz w:val="32"/>
          <w:szCs w:val="32"/>
          <w:lang w:eastAsia="zh-CN"/>
        </w:rPr>
        <w:drawing>
          <wp:anchor distT="0" distB="0" distL="85088" distR="85088" simplePos="0" relativeHeight="23" behindDoc="0" locked="0" layoutInCell="1" hidden="0" allowOverlap="1">
            <wp:simplePos x="0" y="0"/>
            <wp:positionH relativeFrom="column">
              <wp:posOffset>580254</wp:posOffset>
            </wp:positionH>
            <wp:positionV relativeFrom="paragraph">
              <wp:posOffset>913147</wp:posOffset>
            </wp:positionV>
            <wp:extent cx="4038600" cy="2502535"/>
            <wp:effectExtent l="0" t="0" r="0" b="0"/>
            <wp:wrapTopAndBottom/>
            <wp:docPr id="10" name="图片"/>
            <wp:cNvGraphicFramePr>
              <a:graphicFrameLocks noChangeAspect="1"/>
            </wp:cNvGraphicFramePr>
            <a:graphic>
              <a:graphicData uri="http://schemas.openxmlformats.org/drawingml/2006/picture">
                <pic:pic>
                  <pic:nvPicPr>
                    <pic:cNvPr id="12" name="图片 12"/>
                    <pic:cNvPicPr/>
                  </pic:nvPicPr>
                  <pic:blipFill>
                    <a:blip r:embed="rId11"/>
                    <a:stretch>
                      <a:fillRect/>
                    </a:stretch>
                  </pic:blipFill>
                  <pic:spPr>
                    <a:xfrm rot="0">
                      <a:off x="0" y="0"/>
                      <a:ext cx="4038600" cy="2502535"/>
                    </a:xfrm>
                    <a:prstGeom prst="rect"/>
                    <a:noFill/>
                    <a:ln w="9525" cmpd="sng" cap="flat">
                      <a:noFill/>
                      <a:prstDash val="solid"/>
                      <a:miter/>
                    </a:ln>
                  </pic:spPr>
                </pic:pic>
              </a:graphicData>
            </a:graphic>
          </wp:anchor>
        </w:drawing>
      </w:r>
      <w:r>
        <w:rPr>
          <w:rFonts w:ascii="方正仿宋_GBK" w:eastAsia="方正仿宋_GBK" w:hint="eastAsia"/>
          <w:sz w:val="32"/>
          <w:szCs w:val="32"/>
        </w:rPr>
        <w:t>2025年度本年收入合计250.62万元，其中：一般公共预算财政拨款收入250.62万元，占100%</w:t>
      </w:r>
      <w:bookmarkEnd w:id="33"/>
      <w:r>
        <w:rPr>
          <w:rFonts w:ascii="方正仿宋_GBK" w:eastAsia="方正仿宋_GBK" w:hint="eastAsia"/>
          <w:sz w:val="32"/>
          <w:szCs w:val="32"/>
        </w:rPr>
        <w:t>。</w:t>
      </w:r>
      <w:bookmarkStart w:id="34" w:name="_Toc15396605"/>
      <w:bookmarkStart w:id="35" w:name="_Toc15377207"/>
      <w:bookmarkStart w:id="36" w:name="_Toc97631131"/>
    </w:p>
    <w:p>
      <w:pPr>
        <w:rPr>
          <w:rStyle w:val="2Char"/>
          <w:rFonts w:ascii="Times New Roman" w:eastAsia="黑体" w:hAnsi="Times New Roman" w:hint="eastAsia"/>
          <w:b w:val="0"/>
          <w:color w:val="auto"/>
        </w:rPr>
      </w:pPr>
      <w:r>
        <w:rPr>
          <w:rFonts w:ascii="Times New Roman" w:eastAsia="黑体" w:hAnsi="Times New Roman" w:hint="eastAsia"/>
          <w:color w:val="auto"/>
          <w:sz w:val="32"/>
          <w:szCs w:val="32"/>
          <w:lang w:eastAsia="zh-CN"/>
        </w:rPr>
        <w:t>三、</w:t>
      </w:r>
      <w:r>
        <w:rPr>
          <w:rFonts w:ascii="Times New Roman" w:eastAsia="黑体" w:hAnsi="Times New Roman" w:hint="eastAsia"/>
          <w:color w:val="auto"/>
          <w:sz w:val="32"/>
          <w:szCs w:val="32"/>
        </w:rPr>
        <w:t>支</w:t>
      </w:r>
      <w:r>
        <w:rPr>
          <w:rStyle w:val="2Char"/>
          <w:rFonts w:ascii="Times New Roman" w:eastAsia="黑体" w:hAnsi="Times New Roman" w:hint="eastAsia"/>
          <w:b w:val="0"/>
          <w:color w:val="auto"/>
        </w:rPr>
        <w:t>出决算情况说明</w:t>
      </w:r>
      <w:bookmarkEnd w:id="34"/>
      <w:bookmarkEnd w:id="35"/>
      <w:bookmarkEnd w:id="36"/>
    </w:p>
    <w:p>
      <w:pPr>
        <w:ind w:firstLineChars="200" w:firstLine="640"/>
        <w:rPr>
          <w:rFonts w:eastAsia="仿宋_GB2312" w:cs="仿宋_GB2312" w:hint="eastAsia"/>
          <w:b/>
          <w:bCs/>
          <w:sz w:val="32"/>
          <w:szCs w:val="32"/>
        </w:rPr>
      </w:pPr>
      <w:bookmarkStart w:id="37" w:name="_Toc97631132"/>
      <w:r>
        <w:rPr>
          <w:rFonts w:eastAsia="仿宋_GB2312" w:cs="仿宋_GB2312"/>
          <w:color w:val="auto"/>
          <w:sz w:val="32"/>
          <w:szCs w:val="32"/>
          <w:lang w:eastAsia="zh-CN"/>
        </w:rPr>
        <w:drawing>
          <wp:anchor distT="0" distB="0" distL="85088" distR="85088" simplePos="0" relativeHeight="25" behindDoc="0" locked="0" layoutInCell="1" hidden="0" allowOverlap="1">
            <wp:simplePos x="0" y="0"/>
            <wp:positionH relativeFrom="column">
              <wp:posOffset>405758</wp:posOffset>
            </wp:positionH>
            <wp:positionV relativeFrom="paragraph">
              <wp:posOffset>899145</wp:posOffset>
            </wp:positionV>
            <wp:extent cx="4114800" cy="2468880"/>
            <wp:effectExtent l="0" t="0" r="0" b="0"/>
            <wp:wrapTopAndBottom/>
            <wp:docPr id="13" name="图片"/>
            <wp:cNvGraphicFramePr>
              <a:graphicFrameLocks noChangeAspect="1"/>
            </wp:cNvGraphicFramePr>
            <a:graphic>
              <a:graphicData uri="http://schemas.openxmlformats.org/drawingml/2006/picture">
                <pic:pic>
                  <pic:nvPicPr>
                    <pic:cNvPr id="15" name="图片 15"/>
                    <pic:cNvPicPr/>
                  </pic:nvPicPr>
                  <pic:blipFill>
                    <a:blip r:embed="rId12"/>
                    <a:stretch>
                      <a:fillRect/>
                    </a:stretch>
                  </pic:blipFill>
                  <pic:spPr>
                    <a:xfrm rot="0">
                      <a:off x="0" y="0"/>
                      <a:ext cx="4114800" cy="2468880"/>
                    </a:xfrm>
                    <a:prstGeom prst="rect"/>
                    <a:noFill/>
                    <a:ln w="9525" cmpd="sng" cap="flat">
                      <a:noFill/>
                      <a:prstDash val="solid"/>
                      <a:miter/>
                    </a:ln>
                  </pic:spPr>
                </pic:pic>
              </a:graphicData>
            </a:graphic>
          </wp:anchor>
        </w:drawing>
      </w:r>
      <w:r>
        <w:rPr>
          <w:rFonts w:ascii="方正仿宋_GBK" w:eastAsia="方正仿宋_GBK" w:hint="eastAsia"/>
          <w:sz w:val="32"/>
          <w:szCs w:val="32"/>
        </w:rPr>
        <w:t>2025年度本年支出合计250.62万元，其中：基本支出250.62万元，占100%</w:t>
      </w:r>
      <w:bookmarkEnd w:id="37"/>
      <w:r>
        <w:rPr>
          <w:rFonts w:ascii="方正仿宋_GBK" w:eastAsia="方正仿宋_GBK" w:hint="eastAsia"/>
          <w:sz w:val="32"/>
          <w:szCs w:val="32"/>
        </w:rPr>
        <w:t>。</w:t>
      </w:r>
    </w:p>
    <w:p>
      <w:pPr>
        <w:spacing w:line="600" w:lineRule="exact"/>
        <w:ind w:firstLineChars="200" w:firstLine="640"/>
        <w:outlineLvl w:val="1"/>
        <w:rPr>
          <w:rStyle w:val="2Char"/>
          <w:rFonts w:ascii="Times New Roman" w:eastAsia="黑体" w:hAnsi="Times New Roman"/>
          <w:b w:val="0"/>
          <w:color w:val="auto"/>
        </w:rPr>
      </w:pPr>
      <w:bookmarkStart w:id="38" w:name="_Toc97631134"/>
      <w:bookmarkStart w:id="39" w:name="_Toc15396606"/>
      <w:bookmarkStart w:id="40" w:name="_Toc15377208"/>
      <w:bookmarkStart w:id="41" w:name="_Toc25193337"/>
      <w:r>
        <w:rPr>
          <w:rFonts w:ascii="Times New Roman" w:eastAsia="黑体" w:hAnsi="Times New Roman" w:hint="eastAsia"/>
          <w:color w:val="auto"/>
          <w:sz w:val="32"/>
          <w:szCs w:val="32"/>
        </w:rPr>
        <w:t>四、财</w:t>
      </w:r>
      <w:r>
        <w:rPr>
          <w:rStyle w:val="2Char"/>
          <w:rFonts w:ascii="Times New Roman" w:eastAsia="黑体" w:hAnsi="Times New Roman" w:hint="eastAsia"/>
          <w:b w:val="0"/>
          <w:color w:val="auto"/>
        </w:rPr>
        <w:t>政拨款收入支出决算总体情况说明</w:t>
      </w:r>
      <w:bookmarkEnd w:id="38"/>
      <w:bookmarkEnd w:id="39"/>
      <w:bookmarkEnd w:id="40"/>
      <w:bookmarkEnd w:id="41"/>
    </w:p>
    <w:p>
      <w:pPr>
        <w:keepNext w:val="0"/>
        <w:keepLines w:val="0"/>
        <w:pageBreakBefore w:val="0"/>
        <w:widowControl w:val="0"/>
        <w:suppressLineNumbers w:val="0"/>
        <w:suppressAutoHyphens w:val="0"/>
        <w:bidi w:val="0"/>
        <w:ind w:firstLineChars="200" w:firstLine="640"/>
        <w:rPr>
          <w:rFonts w:eastAsia="仿宋_GB2312" w:cs="仿宋_GB2312"/>
          <w:sz w:val="32"/>
          <w:szCs w:val="32"/>
        </w:rPr>
      </w:pPr>
      <w:r>
        <w:rPr>
          <w:rFonts w:eastAsia="仿宋_GB2312" w:cs="仿宋_GB2312" w:hint="eastAsia"/>
          <w:sz w:val="32"/>
          <w:szCs w:val="32"/>
        </w:rPr>
        <w:t>2025年度</w:t>
      </w:r>
      <w:r>
        <w:rPr>
          <w:rFonts w:eastAsia="仿宋_GB2312" w:cs="仿宋_GB2312" w:hint="eastAsia"/>
          <w:sz w:val="32"/>
          <w:szCs w:val="32"/>
          <w:highlight w:val="auto"/>
        </w:rPr>
        <w:t>财政拨款收入、支出</w:t>
      </w:r>
      <w:r>
        <w:rPr>
          <w:rFonts w:eastAsia="仿宋_GB2312" w:cs="仿宋_GB2312" w:hint="eastAsia"/>
          <w:sz w:val="32"/>
          <w:szCs w:val="32"/>
        </w:rPr>
        <w:t>总计均为250.62万元。与2024年度相比，</w:t>
      </w:r>
      <w:r>
        <w:rPr>
          <w:rFonts w:eastAsia="仿宋_GB2312" w:cs="仿宋_GB2312" w:hint="eastAsia"/>
          <w:sz w:val="32"/>
          <w:szCs w:val="32"/>
          <w:highlight w:val="auto"/>
        </w:rPr>
        <w:t>财政拨款</w:t>
      </w:r>
      <w:r>
        <w:rPr>
          <w:rFonts w:eastAsia="仿宋_GB2312" w:cs="仿宋_GB2312" w:hint="eastAsia"/>
          <w:sz w:val="32"/>
          <w:szCs w:val="32"/>
        </w:rPr>
        <w:t>收入、支出总计各增加33.16万元，增</w:t>
      </w:r>
      <w:r>
        <w:rPr>
          <w:rFonts w:eastAsia="仿宋_GB2312" w:cs="仿宋_GB2312"/>
          <w:sz w:val="32"/>
          <w:szCs w:val="32"/>
        </w:rPr>
        <w:t>张</w:t>
      </w:r>
      <w:r>
        <w:rPr>
          <w:rFonts w:eastAsia="仿宋_GB2312" w:cs="仿宋_GB2312" w:hint="eastAsia"/>
          <w:sz w:val="32"/>
          <w:szCs w:val="32"/>
        </w:rPr>
        <w:t>15.25%。主要原因为人员增加。</w:t>
      </w:r>
    </w:p>
    <w:p>
      <w:pPr>
        <w:pStyle w:val="15"/>
        <w:keepNext w:val="0"/>
        <w:keepLines w:val="0"/>
        <w:pageBreakBefore w:val="0"/>
        <w:widowControl w:val="0"/>
        <w:suppressLineNumbers w:val="0"/>
        <w:suppressAutoHyphens w:val="0"/>
        <w:rPr>
          <w:rFonts w:hint="eastAsia"/>
        </w:rPr>
      </w:pPr>
      <w:r>
        <w:drawing>
          <wp:anchor distT="0" distB="0" distL="85088" distR="85088" simplePos="0" relativeHeight="27" behindDoc="0" locked="0" layoutInCell="1" hidden="0" allowOverlap="1">
            <wp:simplePos x="0" y="0"/>
            <wp:positionH relativeFrom="column">
              <wp:posOffset>304033</wp:posOffset>
            </wp:positionH>
            <wp:positionV relativeFrom="paragraph">
              <wp:posOffset>18382</wp:posOffset>
            </wp:positionV>
            <wp:extent cx="4572000" cy="2993390"/>
            <wp:effectExtent l="0" t="0" r="0" b="0"/>
            <wp:wrapTopAndBottom/>
            <wp:docPr id="16" name="图片"/>
            <wp:cNvGraphicFramePr>
              <a:graphicFrameLocks noChangeAspect="1"/>
            </wp:cNvGraphicFramePr>
            <a:graphic>
              <a:graphicData uri="http://schemas.openxmlformats.org/drawingml/2006/picture">
                <pic:pic>
                  <pic:nvPicPr>
                    <pic:cNvPr id="18" name="图片 18"/>
                    <pic:cNvPicPr/>
                  </pic:nvPicPr>
                  <pic:blipFill>
                    <a:blip r:embed="rId13"/>
                    <a:stretch>
                      <a:fillRect/>
                    </a:stretch>
                  </pic:blipFill>
                  <pic:spPr>
                    <a:xfrm rot="0">
                      <a:off x="0" y="0"/>
                      <a:ext cx="4572000" cy="2993390"/>
                    </a:xfrm>
                    <a:prstGeom prst="rect"/>
                    <a:noFill/>
                    <a:ln w="9525" cmpd="sng" cap="flat">
                      <a:noFill/>
                      <a:prstDash val="solid"/>
                      <a:miter/>
                    </a:ln>
                  </pic:spPr>
                </pic:pic>
              </a:graphicData>
            </a:graphic>
          </wp:anchor>
        </w:drawing>
      </w:r>
    </w:p>
    <w:p>
      <w:pPr>
        <w:spacing w:line="600" w:lineRule="exact"/>
        <w:ind w:firstLineChars="200" w:firstLine="640"/>
        <w:outlineLvl w:val="1"/>
        <w:rPr>
          <w:rStyle w:val="2Char"/>
          <w:rFonts w:ascii="Times New Roman" w:eastAsia="黑体" w:hAnsi="Times New Roman"/>
          <w:b w:val="0"/>
          <w:color w:val="auto"/>
          <w:highlight w:val="auto"/>
        </w:rPr>
      </w:pPr>
      <w:bookmarkStart w:id="42" w:name="_Toc15396607"/>
      <w:bookmarkStart w:id="43" w:name="_Toc97631135"/>
      <w:bookmarkStart w:id="44" w:name="_Toc15377209"/>
      <w:bookmarkStart w:id="45" w:name="_Toc25193338"/>
      <w:r>
        <w:rPr>
          <w:rFonts w:ascii="Times New Roman" w:eastAsia="黑体" w:hAnsi="Times New Roman" w:hint="eastAsia"/>
          <w:color w:val="auto"/>
          <w:sz w:val="32"/>
          <w:szCs w:val="32"/>
          <w:highlight w:val="auto"/>
        </w:rPr>
        <w:t>五、</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般公共预算财政拨款支出决算情况说明</w:t>
      </w:r>
      <w:bookmarkEnd w:id="42"/>
      <w:bookmarkEnd w:id="43"/>
      <w:bookmarkEnd w:id="44"/>
      <w:bookmarkEnd w:id="45"/>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6" w:name="_Toc15377210"/>
      <w:bookmarkStart w:id="47" w:name="_Toc97631136"/>
      <w:r>
        <w:rPr>
          <w:rFonts w:ascii="Times New Roman" w:eastAsia="楷体_GB2312" w:cs="楷体_GB2312" w:hAnsi="Times New Roman" w:hint="eastAsia"/>
          <w:b/>
          <w:color w:val="auto"/>
          <w:sz w:val="32"/>
          <w:szCs w:val="32"/>
          <w:highlight w:val="auto"/>
        </w:rPr>
        <w:t>（一）一般公共预算财政拨款支出决算总体情况</w:t>
      </w:r>
      <w:bookmarkEnd w:id="46"/>
      <w:bookmarkEnd w:id="47"/>
    </w:p>
    <w:p>
      <w:pPr>
        <w:spacing w:line="600" w:lineRule="exact"/>
        <w:ind w:firstLine="640"/>
        <w:rPr>
          <w:rFonts w:ascii="Times New Roman" w:eastAsia="仿宋_GB2312" w:cs="仿宋_GB2312" w:hAnsi="Times New Roman"/>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一般公共预算财政拨款支出</w:t>
      </w:r>
      <w:r>
        <w:rPr>
          <w:rFonts w:ascii="仿宋_GB2312" w:eastAsia="仿宋_GB2312" w:cs="仿宋_GB2312" w:hint="eastAsia"/>
          <w:sz w:val="32"/>
          <w:szCs w:val="32"/>
        </w:rPr>
        <w:t>250.62</w:t>
      </w:r>
      <w:r>
        <w:rPr>
          <w:rFonts w:ascii="Times New Roman" w:eastAsia="仿宋_GB2312" w:cs="仿宋_GB2312" w:hAnsi="Times New Roman"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100</w:t>
      </w:r>
      <w:r>
        <w:rPr>
          <w:rFonts w:ascii="Times New Roman" w:eastAsia="仿宋_GB2312" w:cs="仿宋_GB2312" w:hAnsi="Times New Roman" w:hint="eastAsia"/>
          <w:color w:val="auto"/>
          <w:kern w:val="2"/>
          <w:sz w:val="32"/>
          <w:szCs w:val="32"/>
          <w:lang w:val="en-US" w:eastAsia="zh-CN" w:bidi="ar-SA"/>
          <w:highlight w:val="auto"/>
        </w:rPr>
        <w:t>%。与</w:t>
      </w:r>
      <w:r>
        <w:rPr>
          <w:rFonts w:eastAsia="仿宋_GB2312" w:cs="仿宋_GB2312" w:hint="eastAsia"/>
          <w:color w:val="auto"/>
          <w:kern w:val="2"/>
          <w:sz w:val="32"/>
          <w:szCs w:val="32"/>
          <w:lang w:val="en-US" w:eastAsia="zh-CN" w:bidi="ar-SA"/>
          <w:highlight w:val="auto"/>
        </w:rPr>
        <w:t>上</w:t>
      </w:r>
      <w:r>
        <w:rPr>
          <w:rFonts w:ascii="Times New Roman" w:eastAsia="仿宋_GB2312" w:cs="仿宋_GB2312" w:hAnsi="Times New Roman" w:hint="eastAsia"/>
          <w:color w:val="auto"/>
          <w:kern w:val="2"/>
          <w:sz w:val="32"/>
          <w:szCs w:val="32"/>
          <w:lang w:val="en-US" w:eastAsia="zh-CN" w:bidi="ar-SA"/>
          <w:highlight w:val="auto"/>
        </w:rPr>
        <w:t>年度相比，一般公共预算财政拨款支出增加</w:t>
      </w:r>
      <w:r>
        <w:rPr>
          <w:rFonts w:ascii="Times New Roman" w:eastAsia="仿宋_GB2312" w:cs="仿宋_GB2312" w:hAnsi="Times New Roman"/>
          <w:color w:val="auto"/>
          <w:kern w:val="2"/>
          <w:sz w:val="32"/>
          <w:szCs w:val="32"/>
          <w:lang w:val="en-US" w:eastAsia="zh-CN" w:bidi="ar-SA"/>
          <w:highlight w:val="auto"/>
        </w:rPr>
        <w:t>33.16</w:t>
      </w:r>
      <w:r>
        <w:rPr>
          <w:rFonts w:ascii="Times New Roman" w:eastAsia="仿宋_GB2312" w:cs="仿宋_GB2312" w:hAnsi="Times New Roman" w:hint="eastAsia"/>
          <w:color w:val="auto"/>
          <w:kern w:val="2"/>
          <w:sz w:val="32"/>
          <w:szCs w:val="32"/>
          <w:lang w:val="en-US" w:eastAsia="zh-CN" w:bidi="ar-SA"/>
          <w:highlight w:val="auto"/>
        </w:rPr>
        <w:t>万元，</w:t>
      </w:r>
      <w:r>
        <w:rPr>
          <w:rFonts w:eastAsia="仿宋_GB2312" w:cs="仿宋_GB2312" w:hint="eastAsia"/>
          <w:sz w:val="32"/>
          <w:szCs w:val="32"/>
        </w:rPr>
        <w:t>增</w:t>
      </w:r>
      <w:r>
        <w:rPr>
          <w:rFonts w:eastAsia="仿宋_GB2312" w:cs="仿宋_GB2312"/>
          <w:sz w:val="32"/>
          <w:szCs w:val="32"/>
        </w:rPr>
        <w:t>张</w:t>
      </w:r>
      <w:r>
        <w:rPr>
          <w:rFonts w:eastAsia="仿宋_GB2312" w:cs="仿宋_GB2312" w:hint="eastAsia"/>
          <w:sz w:val="32"/>
          <w:szCs w:val="32"/>
        </w:rPr>
        <w:t>15.25%。主要原因为人员增加。</w:t>
      </w:r>
    </w:p>
    <w:p>
      <w:pPr>
        <w:pStyle w:val="15"/>
        <w:rPr>
          <w:rFonts w:hint="eastAsia"/>
        </w:rPr>
      </w:pPr>
      <w:r>
        <w:drawing>
          <wp:inline distT="0" distB="0" distL="85088" distR="85088">
            <wp:extent cx="5019040" cy="2742565"/>
            <wp:effectExtent l="0" t="0" r="13" b="21"/>
            <wp:docPr id="19" name="图片"/>
            <wp:cNvGraphicFramePr>
              <a:graphicFrameLocks noChangeAspect="1"/>
            </wp:cNvGraphicFramePr>
            <a:graphic>
              <a:graphicData uri="http://schemas.openxmlformats.org/drawingml/2006/picture">
                <pic:pic>
                  <pic:nvPicPr>
                    <pic:cNvPr id="21" name="图片 21"/>
                    <pic:cNvPicPr/>
                  </pic:nvPicPr>
                  <pic:blipFill>
                    <a:blip r:embed="rId14"/>
                    <a:stretch>
                      <a:fillRect/>
                    </a:stretch>
                  </pic:blipFill>
                  <pic:spPr>
                    <a:xfrm rot="0">
                      <a:off x="0" y="0"/>
                      <a:ext cx="5019040" cy="2742565"/>
                    </a:xfrm>
                    <a:prstGeom prst="rect"/>
                    <a:noFill/>
                    <a:ln w="9525" cmpd="sng" cap="flat">
                      <a:noFill/>
                      <a:prstDash val="solid"/>
                      <a:miter/>
                    </a:ln>
                  </pic:spPr>
                </pic:pic>
              </a:graphicData>
            </a:graphic>
          </wp:inline>
        </w:drawing>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8" w:name="_Toc97631137"/>
      <w:bookmarkStart w:id="49" w:name="_Toc15377211"/>
      <w:r>
        <w:rPr>
          <w:rFonts w:ascii="Times New Roman" w:eastAsia="楷体_GB2312" w:cs="楷体_GB2312" w:hAnsi="Times New Roman" w:hint="eastAsia"/>
          <w:b/>
          <w:color w:val="auto"/>
          <w:sz w:val="32"/>
          <w:szCs w:val="32"/>
          <w:highlight w:val="auto"/>
        </w:rPr>
        <w:t>（二）一般公共预算财政拨款支出决算结构情况</w:t>
      </w:r>
      <w:bookmarkEnd w:id="48"/>
      <w:bookmarkEnd w:id="49"/>
    </w:p>
    <w:p>
      <w:pPr>
        <w:keepNext w:val="0"/>
        <w:keepLines w:val="0"/>
        <w:pageBreakBefore w:val="0"/>
        <w:widowControl w:val="0"/>
        <w:suppressLineNumbers w:val="0"/>
        <w:suppressAutoHyphens w:val="0"/>
        <w:ind w:firstLineChars="200" w:firstLine="420"/>
        <w:rPr>
          <w:rFonts w:eastAsia="仿宋_GB2312" w:cs="仿宋_GB2312" w:hint="eastAsia"/>
          <w:sz w:val="32"/>
          <w:szCs w:val="32"/>
        </w:rPr>
      </w:pPr>
      <w:r>
        <w:drawing>
          <wp:anchor distT="0" distB="0" distL="85088" distR="85088" simplePos="0" relativeHeight="29" behindDoc="0" locked="0" layoutInCell="1" hidden="0" allowOverlap="1">
            <wp:simplePos x="0" y="0"/>
            <wp:positionH relativeFrom="column">
              <wp:posOffset>370707</wp:posOffset>
            </wp:positionH>
            <wp:positionV relativeFrom="paragraph">
              <wp:posOffset>1713902</wp:posOffset>
            </wp:positionV>
            <wp:extent cx="4302125" cy="2003423"/>
            <wp:effectExtent l="0" t="0" r="0" b="0"/>
            <wp:wrapTopAndBottom/>
            <wp:docPr id="22" name="图片"/>
            <wp:cNvGraphicFramePr>
              <a:graphicFrameLocks noChangeAspect="1"/>
            </wp:cNvGraphicFramePr>
            <a:graphic>
              <a:graphicData uri="http://schemas.openxmlformats.org/drawingml/2006/picture">
                <pic:pic>
                  <pic:nvPicPr>
                    <pic:cNvPr id="24" name="图片 24"/>
                    <pic:cNvPicPr/>
                  </pic:nvPicPr>
                  <pic:blipFill>
                    <a:blip r:embed="rId15"/>
                    <a:stretch>
                      <a:fillRect/>
                    </a:stretch>
                  </pic:blipFill>
                  <pic:spPr>
                    <a:xfrm rot="0">
                      <a:off x="0" y="0"/>
                      <a:ext cx="4302125" cy="2003423"/>
                    </a:xfrm>
                    <a:prstGeom prst="rect"/>
                    <a:noFill/>
                    <a:ln w="9525" cmpd="sng" cap="flat">
                      <a:noFill/>
                      <a:prstDash val="solid"/>
                      <a:miter/>
                    </a:ln>
                  </pic:spPr>
                </pic:pic>
              </a:graphicData>
            </a:graphic>
          </wp:anchor>
        </w:drawing>
      </w:r>
      <w:r>
        <w:rPr>
          <w:rFonts w:ascii="Times New Roman" w:eastAsia="仿宋_GB2312" w:cs="仿宋_GB2312" w:hAnsi="Times New Roman" w:hint="eastAsia"/>
          <w:color w:val="auto"/>
          <w:kern w:val="2"/>
          <w:sz w:val="32"/>
          <w:szCs w:val="32"/>
          <w:lang w:val="en-US" w:eastAsia="zh-CN" w:bidi="ar-SA"/>
          <w:highlight w:val="auto"/>
        </w:rPr>
        <w:t>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年度一般公共预算财政拨款支出</w:t>
      </w:r>
      <w:r>
        <w:rPr>
          <w:rFonts w:ascii="仿宋_GB2312" w:eastAsia="仿宋_GB2312" w:cs="仿宋_GB2312"/>
          <w:sz w:val="32"/>
          <w:szCs w:val="32"/>
          <w:highlight w:val="auto"/>
        </w:rPr>
        <w:t>250.62</w:t>
      </w:r>
      <w:r>
        <w:rPr>
          <w:rFonts w:ascii="仿宋_GB2312" w:eastAsia="仿宋_GB2312" w:cs="仿宋_GB2312" w:hint="eastAsia"/>
          <w:color w:val="auto"/>
          <w:kern w:val="2"/>
          <w:sz w:val="32"/>
          <w:szCs w:val="32"/>
          <w:lang w:val="en-US" w:eastAsia="zh-CN" w:bidi="ar-SA"/>
          <w:highlight w:val="auto"/>
        </w:rPr>
        <w:t>万元</w:t>
      </w:r>
      <w:r>
        <w:rPr>
          <w:rFonts w:ascii="Times New Roman" w:eastAsia="仿宋_GB2312" w:cs="仿宋_GB2312" w:hAnsi="Times New Roman" w:hint="eastAsia"/>
          <w:color w:val="auto"/>
          <w:kern w:val="2"/>
          <w:sz w:val="32"/>
          <w:szCs w:val="32"/>
          <w:lang w:val="en-US" w:eastAsia="zh-CN" w:bidi="ar-SA"/>
          <w:highlight w:val="auto"/>
        </w:rPr>
        <w:t>，主要用于以下方面</w:t>
      </w:r>
      <w:r>
        <w:rPr>
          <w:rFonts w:eastAsia="仿宋_GB2312" w:cs="仿宋_GB2312" w:hint="eastAsia"/>
          <w:color w:val="auto"/>
          <w:kern w:val="2"/>
          <w:sz w:val="32"/>
          <w:szCs w:val="32"/>
          <w:lang w:val="en-US" w:eastAsia="zh-CN" w:bidi="ar-SA"/>
          <w:highlight w:val="auto"/>
        </w:rPr>
        <w:t>：</w:t>
      </w:r>
      <w:r>
        <w:rPr>
          <w:rFonts w:eastAsia="仿宋_GB2312" w:cs="仿宋_GB2312"/>
          <w:color w:val="auto"/>
          <w:kern w:val="2"/>
          <w:sz w:val="32"/>
          <w:szCs w:val="32"/>
          <w:lang w:eastAsia="zh-CN" w:bidi="ar-SA"/>
          <w:highlight w:val="auto"/>
        </w:rPr>
        <w:t>社会保障就业支出212.82</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color w:val="auto"/>
          <w:kern w:val="2"/>
          <w:sz w:val="32"/>
          <w:szCs w:val="32"/>
          <w:lang w:eastAsia="zh-CN" w:bidi="ar-SA"/>
          <w:highlight w:val="auto"/>
        </w:rPr>
        <w:t>84.92</w:t>
      </w:r>
      <w:r>
        <w:rPr>
          <w:rFonts w:ascii="Times New Roman" w:eastAsia="仿宋_GB2312" w:cs="仿宋_GB2312" w:hAnsi="Times New Roman" w:hint="eastAsia"/>
          <w:color w:val="auto"/>
          <w:kern w:val="2"/>
          <w:sz w:val="32"/>
          <w:szCs w:val="32"/>
          <w:lang w:val="en-US" w:eastAsia="zh-CN" w:bidi="ar-SA"/>
          <w:highlight w:val="auto"/>
        </w:rPr>
        <w:t>%；卫生健康支出</w:t>
      </w:r>
      <w:r>
        <w:rPr>
          <w:rFonts w:eastAsia="仿宋_GB2312" w:cs="仿宋_GB2312"/>
          <w:color w:val="auto"/>
          <w:kern w:val="2"/>
          <w:sz w:val="32"/>
          <w:szCs w:val="32"/>
          <w:lang w:eastAsia="zh-CN" w:bidi="ar-SA"/>
          <w:highlight w:val="auto"/>
        </w:rPr>
        <w:t>9.79</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color w:val="auto"/>
          <w:kern w:val="2"/>
          <w:sz w:val="32"/>
          <w:szCs w:val="32"/>
          <w:lang w:eastAsia="zh-CN" w:bidi="ar-SA"/>
          <w:highlight w:val="auto"/>
        </w:rPr>
        <w:t>3.9</w:t>
      </w:r>
      <w:r>
        <w:rPr>
          <w:rFonts w:ascii="Times New Roman" w:eastAsia="仿宋_GB2312" w:cs="仿宋_GB2312" w:hAnsi="Times New Roman" w:hint="eastAsia"/>
          <w:color w:val="auto"/>
          <w:kern w:val="2"/>
          <w:sz w:val="32"/>
          <w:szCs w:val="32"/>
          <w:lang w:val="en-US" w:eastAsia="zh-CN" w:bidi="ar-SA"/>
          <w:highlight w:val="auto"/>
        </w:rPr>
        <w:t>%；住房保障支出</w:t>
      </w:r>
      <w:r>
        <w:rPr>
          <w:rFonts w:ascii="Times New Roman" w:eastAsia="仿宋_GB2312" w:cs="仿宋_GB2312" w:hAnsi="Times New Roman"/>
          <w:color w:val="auto"/>
          <w:kern w:val="2"/>
          <w:sz w:val="32"/>
          <w:szCs w:val="32"/>
          <w:lang w:val="en-US" w:eastAsia="zh-CN" w:bidi="ar-SA"/>
          <w:highlight w:val="auto"/>
        </w:rPr>
        <w:t>2</w:t>
      </w:r>
      <w:r>
        <w:rPr>
          <w:rFonts w:eastAsia="仿宋_GB2312" w:cs="仿宋_GB2312"/>
          <w:color w:val="auto"/>
          <w:kern w:val="2"/>
          <w:sz w:val="32"/>
          <w:szCs w:val="32"/>
          <w:lang w:eastAsia="zh-CN" w:bidi="ar-SA"/>
          <w:highlight w:val="auto"/>
        </w:rPr>
        <w:t>8.01</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color w:val="auto"/>
          <w:kern w:val="2"/>
          <w:sz w:val="32"/>
          <w:szCs w:val="32"/>
          <w:lang w:eastAsia="zh-CN" w:bidi="ar-SA"/>
          <w:highlight w:val="auto"/>
        </w:rPr>
        <w:t>11.18</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color w:val="auto"/>
          <w:kern w:val="2"/>
          <w:sz w:val="32"/>
          <w:szCs w:val="32"/>
          <w:lang w:eastAsia="zh-CN" w:bidi="ar-SA"/>
          <w:highlight w:val="auto"/>
        </w:rPr>
        <w:t>。</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50" w:name="_Toc15377212"/>
      <w:bookmarkStart w:id="51" w:name="_Toc97631138"/>
      <w:r>
        <w:rPr>
          <w:rFonts w:ascii="Times New Roman" w:eastAsia="楷体_GB2312" w:cs="楷体_GB2312" w:hAnsi="Times New Roman" w:hint="eastAsia"/>
          <w:b/>
          <w:color w:val="auto"/>
          <w:sz w:val="32"/>
          <w:szCs w:val="32"/>
          <w:highlight w:val="auto"/>
        </w:rPr>
        <w:t>（三）一般公共预算财政拨款支出决算具体情况</w:t>
      </w:r>
      <w:bookmarkEnd w:id="50"/>
      <w:bookmarkEnd w:id="51"/>
    </w:p>
    <w:p>
      <w:pPr>
        <w:spacing w:line="600" w:lineRule="exact"/>
        <w:ind w:firstLine="640"/>
        <w:rPr>
          <w:rFonts w:ascii="Times New Roman" w:eastAsia="仿宋_GB2312" w:cs="仿宋_GB2312" w:hAnsi="Times New Roman" w:hint="eastAsia"/>
          <w:color w:val="auto"/>
          <w:kern w:val="2"/>
          <w:sz w:val="32"/>
          <w:szCs w:val="32"/>
          <w:lang w:val="en-US" w:eastAsia="zh-CN" w:bidi="ar-SA"/>
        </w:rPr>
      </w:pPr>
      <w:bookmarkStart w:id="52" w:name="_Toc15378460"/>
      <w:bookmarkStart w:id="53" w:name="_Toc15377213"/>
      <w:bookmarkStart w:id="54" w:name="_Toc15377444"/>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一般公共预算支出决算数为</w:t>
      </w:r>
      <w:r>
        <w:rPr>
          <w:rFonts w:ascii="仿宋_GB2312" w:eastAsia="仿宋_GB2312" w:cs="仿宋_GB2312" w:hint="eastAsia"/>
          <w:sz w:val="32"/>
          <w:szCs w:val="32"/>
        </w:rPr>
        <w:t>250.62</w:t>
      </w:r>
      <w:r>
        <w:rPr>
          <w:rFonts w:ascii="Times New Roman" w:eastAsia="仿宋_GB2312" w:cs="仿宋_GB2312" w:hAnsi="Times New Roman" w:hint="eastAsia"/>
          <w:color w:val="auto"/>
          <w:kern w:val="2"/>
          <w:sz w:val="32"/>
          <w:szCs w:val="32"/>
          <w:lang w:val="en-US" w:eastAsia="zh-CN" w:bidi="ar-SA"/>
          <w:highlight w:val="auto"/>
        </w:rPr>
        <w:t>，</w:t>
      </w:r>
      <w:bookmarkEnd w:id="52"/>
      <w:bookmarkEnd w:id="53"/>
      <w:bookmarkEnd w:id="54"/>
      <w:r>
        <w:rPr>
          <w:rFonts w:ascii="Times New Roman" w:eastAsia="仿宋_GB2312" w:cs="仿宋_GB2312" w:hAnsi="Times New Roman" w:hint="eastAsia"/>
          <w:color w:val="auto"/>
          <w:kern w:val="2"/>
          <w:sz w:val="32"/>
          <w:szCs w:val="32"/>
          <w:lang w:val="en-US" w:eastAsia="zh-CN" w:bidi="ar-SA"/>
        </w:rPr>
        <w:t>完成预算</w:t>
      </w:r>
      <w:r>
        <w:rPr>
          <w:rFonts w:eastAsia="仿宋_GB2312" w:cs="仿宋_GB2312"/>
          <w:color w:val="auto"/>
          <w:kern w:val="2"/>
          <w:sz w:val="32"/>
          <w:szCs w:val="32"/>
          <w:lang w:eastAsia="zh-CN" w:bidi="ar-SA"/>
        </w:rPr>
        <w:t>100</w:t>
      </w:r>
      <w:r>
        <w:rPr>
          <w:rFonts w:ascii="Times New Roman" w:eastAsia="仿宋_GB2312" w:cs="仿宋_GB2312" w:hAnsi="Times New Roman" w:hint="eastAsia"/>
          <w:color w:val="auto"/>
          <w:kern w:val="2"/>
          <w:sz w:val="32"/>
          <w:szCs w:val="32"/>
          <w:lang w:val="en-US" w:eastAsia="zh-CN" w:bidi="ar-SA"/>
        </w:rPr>
        <w:t>%。其中：</w:t>
      </w:r>
    </w:p>
    <w:p>
      <w:pPr>
        <w:spacing w:line="600" w:lineRule="exact"/>
        <w:ind w:left="0" w:firstLineChars="200" w:firstLine="640"/>
        <w:rPr>
          <w:rFonts w:ascii="Times New Roman" w:eastAsia="仿宋_GB2312" w:cs="仿宋_GB2312" w:hAnsi="Times New Roman" w:hint="eastAsia"/>
          <w:color w:val="auto"/>
          <w:kern w:val="2"/>
          <w:sz w:val="32"/>
          <w:szCs w:val="32"/>
          <w:lang w:val="en-US" w:eastAsia="zh-CN" w:bidi="ar-SA"/>
        </w:rPr>
      </w:pPr>
      <w:r>
        <w:rPr>
          <w:rFonts w:ascii="Times New Roman" w:eastAsia="仿宋_GB2312" w:cs="仿宋_GB2312" w:hAnsi="Times New Roman"/>
          <w:color w:val="auto"/>
          <w:kern w:val="2"/>
          <w:sz w:val="32"/>
          <w:szCs w:val="32"/>
          <w:lang w:eastAsia="zh-CN" w:bidi="ar-SA"/>
        </w:rPr>
        <w:t>1.</w:t>
      </w:r>
      <w:r>
        <w:rPr>
          <w:rFonts w:ascii="Times New Roman" w:eastAsia="仿宋_GB2312" w:cs="仿宋_GB2312" w:hAnsi="Times New Roman" w:hint="eastAsia"/>
          <w:color w:val="auto"/>
          <w:kern w:val="2"/>
          <w:sz w:val="32"/>
          <w:szCs w:val="32"/>
          <w:lang w:val="en-US" w:eastAsia="zh-CN" w:bidi="ar-SA"/>
        </w:rPr>
        <w:t>社会保障和就业支出（类）</w:t>
      </w:r>
      <w:r>
        <w:rPr>
          <w:rFonts w:ascii="Times New Roman" w:eastAsia="仿宋_GB2312" w:cs="仿宋_GB2312" w:hAnsi="Times New Roman"/>
          <w:color w:val="auto"/>
          <w:kern w:val="2"/>
          <w:sz w:val="32"/>
          <w:szCs w:val="32"/>
          <w:lang w:eastAsia="zh-CN" w:bidi="ar-SA"/>
        </w:rPr>
        <w:t>民政管理事务</w:t>
      </w:r>
      <w:r>
        <w:rPr>
          <w:rFonts w:ascii="Times New Roman" w:eastAsia="仿宋_GB2312" w:cs="仿宋_GB2312" w:hAnsi="Times New Roman" w:hint="eastAsia"/>
          <w:color w:val="auto"/>
          <w:kern w:val="2"/>
          <w:sz w:val="32"/>
          <w:szCs w:val="32"/>
          <w:lang w:val="en-US" w:eastAsia="zh-CN" w:bidi="ar-SA"/>
        </w:rPr>
        <w:t>（款）</w:t>
      </w:r>
      <w:r>
        <w:rPr>
          <w:rFonts w:ascii="Times New Roman" w:eastAsia="仿宋_GB2312" w:cs="仿宋_GB2312" w:hAnsi="Times New Roman"/>
          <w:color w:val="auto"/>
          <w:kern w:val="2"/>
          <w:sz w:val="32"/>
          <w:szCs w:val="32"/>
          <w:lang w:eastAsia="zh-CN" w:bidi="ar-SA"/>
        </w:rPr>
        <w:t>其他民政事务管理支出</w:t>
      </w:r>
      <w:r>
        <w:rPr>
          <w:rFonts w:ascii="Times New Roman" w:eastAsia="仿宋_GB2312" w:cs="仿宋_GB2312" w:hAnsi="Times New Roman" w:hint="eastAsia"/>
          <w:color w:val="auto"/>
          <w:kern w:val="2"/>
          <w:sz w:val="32"/>
          <w:szCs w:val="32"/>
          <w:lang w:val="en-US" w:eastAsia="zh-CN" w:bidi="ar-SA"/>
        </w:rPr>
        <w:t>（项）:支出决算为</w:t>
      </w:r>
      <w:r>
        <w:rPr>
          <w:rFonts w:ascii="Times New Roman" w:eastAsia="仿宋_GB2312" w:cs="仿宋_GB2312" w:hAnsi="Times New Roman"/>
          <w:color w:val="auto"/>
          <w:kern w:val="2"/>
          <w:sz w:val="32"/>
          <w:szCs w:val="32"/>
          <w:lang w:eastAsia="zh-CN" w:bidi="ar-SA"/>
        </w:rPr>
        <w:t>181.21</w:t>
      </w:r>
      <w:r>
        <w:rPr>
          <w:rFonts w:ascii="Times New Roman" w:eastAsia="仿宋_GB2312" w:cs="仿宋_GB2312" w:hAnsi="Times New Roman" w:hint="eastAsia"/>
          <w:color w:val="auto"/>
          <w:kern w:val="2"/>
          <w:sz w:val="32"/>
          <w:szCs w:val="32"/>
          <w:lang w:val="en-US" w:eastAsia="zh-CN" w:bidi="ar-SA"/>
        </w:rPr>
        <w:t>万元，完成预算100%，决算数等于预算数。</w:t>
      </w:r>
    </w:p>
    <w:p>
      <w:pPr>
        <w:pStyle w:val="19"/>
        <w:ind w:left="0" w:firstLineChars="200" w:firstLine="640"/>
        <w:rPr>
          <w:rFonts w:ascii="Times New Roman" w:eastAsia="仿宋_GB2312" w:cs="仿宋_GB2312" w:hAnsi="Times New Roman" w:hint="eastAsia"/>
          <w:color w:val="auto"/>
          <w:kern w:val="2"/>
          <w:sz w:val="32"/>
          <w:szCs w:val="32"/>
          <w:lang w:val="en-US" w:eastAsia="zh-CN" w:bidi="ar-SA"/>
        </w:rPr>
      </w:pPr>
      <w:r>
        <w:rPr>
          <w:rFonts w:ascii="Times New Roman" w:cs="仿宋_GB2312" w:hAnsi="Times New Roman"/>
          <w:color w:val="auto"/>
          <w:kern w:val="2"/>
          <w:sz w:val="32"/>
          <w:szCs w:val="32"/>
          <w:lang w:eastAsia="zh-CN" w:bidi="ar-SA"/>
        </w:rPr>
        <w:t>2.社</w:t>
      </w:r>
      <w:r>
        <w:rPr>
          <w:rFonts w:ascii="Times New Roman" w:eastAsia="仿宋_GB2312" w:cs="仿宋_GB2312" w:hAnsi="Times New Roman" w:hint="eastAsia"/>
          <w:color w:val="auto"/>
          <w:kern w:val="2"/>
          <w:sz w:val="32"/>
          <w:szCs w:val="32"/>
          <w:lang w:val="en-US" w:eastAsia="zh-CN" w:bidi="ar-SA"/>
        </w:rPr>
        <w:t>会保障和就业支出（类）行政事业单位养老支出（款）机关事业单位基本养老保险缴费支出（项）:支出决算为</w:t>
      </w:r>
      <w:r>
        <w:rPr>
          <w:rFonts w:ascii="Times New Roman" w:eastAsia="仿宋_GB2312" w:cs="仿宋_GB2312" w:hAnsi="Times New Roman"/>
          <w:color w:val="auto"/>
          <w:kern w:val="2"/>
          <w:sz w:val="32"/>
          <w:szCs w:val="32"/>
          <w:lang w:eastAsia="zh-CN" w:bidi="ar-SA"/>
        </w:rPr>
        <w:t>20.98</w:t>
      </w:r>
      <w:r>
        <w:rPr>
          <w:rFonts w:ascii="Times New Roman" w:eastAsia="仿宋_GB2312" w:cs="仿宋_GB2312" w:hAnsi="Times New Roman" w:hint="eastAsia"/>
          <w:color w:val="auto"/>
          <w:kern w:val="2"/>
          <w:sz w:val="32"/>
          <w:szCs w:val="32"/>
          <w:lang w:val="en-US" w:eastAsia="zh-CN" w:bidi="ar-SA"/>
        </w:rPr>
        <w:t>万元，完成预算100%，决算数等于预算数。</w:t>
      </w:r>
    </w:p>
    <w:p>
      <w:pPr>
        <w:spacing w:line="600" w:lineRule="exact"/>
        <w:ind w:firstLine="640"/>
        <w:rPr>
          <w:rFonts w:ascii="Times New Roman" w:eastAsia="仿宋_GB2312" w:cs="仿宋_GB2312" w:hAnsi="Times New Roman" w:hint="eastAsia"/>
          <w:color w:val="auto"/>
          <w:kern w:val="2"/>
          <w:sz w:val="32"/>
          <w:szCs w:val="32"/>
          <w:lang w:val="en-US" w:eastAsia="zh-CN" w:bidi="ar-SA"/>
        </w:rPr>
      </w:pPr>
      <w:r>
        <w:rPr>
          <w:rFonts w:ascii="Times New Roman" w:eastAsia="仿宋_GB2312" w:cs="仿宋_GB2312" w:hAnsi="Times New Roman" w:hint="eastAsia"/>
          <w:color w:val="auto"/>
          <w:kern w:val="2"/>
          <w:sz w:val="32"/>
          <w:szCs w:val="32"/>
          <w:lang w:val="en-US" w:eastAsia="zh-CN" w:bidi="ar-SA"/>
        </w:rPr>
        <w:t>3.社会保障和就业支出（类）行政事业单位养老支出（款）机关事业单位职业年金缴费支出（项）:支出决算为</w:t>
      </w:r>
      <w:r>
        <w:rPr>
          <w:rFonts w:eastAsia="仿宋_GB2312" w:cs="仿宋_GB2312"/>
          <w:color w:val="auto"/>
          <w:kern w:val="2"/>
          <w:sz w:val="32"/>
          <w:szCs w:val="32"/>
          <w:lang w:eastAsia="zh-CN" w:bidi="ar-SA"/>
        </w:rPr>
        <w:t>10.64</w:t>
      </w:r>
      <w:r>
        <w:rPr>
          <w:rFonts w:ascii="Times New Roman" w:eastAsia="仿宋_GB2312" w:cs="仿宋_GB2312" w:hAnsi="Times New Roman" w:hint="eastAsia"/>
          <w:color w:val="auto"/>
          <w:kern w:val="2"/>
          <w:sz w:val="32"/>
          <w:szCs w:val="32"/>
          <w:lang w:val="en-US" w:eastAsia="zh-CN" w:bidi="ar-SA"/>
        </w:rPr>
        <w:t>万元，完成预算100%，决算数等于预算数。</w:t>
      </w:r>
    </w:p>
    <w:p>
      <w:pPr>
        <w:spacing w:line="600" w:lineRule="exact"/>
        <w:ind w:firstLine="640"/>
        <w:rPr>
          <w:rFonts w:ascii="Times New Roman" w:eastAsia="仿宋_GB2312" w:cs="仿宋_GB2312" w:hAnsi="Times New Roman" w:hint="eastAsia"/>
          <w:color w:val="auto"/>
          <w:kern w:val="2"/>
          <w:sz w:val="32"/>
          <w:szCs w:val="32"/>
          <w:lang w:val="en-US" w:eastAsia="zh-CN" w:bidi="ar-SA"/>
        </w:rPr>
      </w:pPr>
      <w:r>
        <w:rPr>
          <w:rFonts w:ascii="Times New Roman" w:eastAsia="仿宋_GB2312" w:cs="仿宋_GB2312" w:hAnsi="Times New Roman" w:hint="eastAsia"/>
          <w:color w:val="auto"/>
          <w:kern w:val="2"/>
          <w:sz w:val="32"/>
          <w:szCs w:val="32"/>
          <w:lang w:val="en-US" w:eastAsia="zh-CN" w:bidi="ar-SA"/>
        </w:rPr>
        <w:t>4.卫生健康支出（类）行政事业单位医疗（款）事业单位医疗（项）</w:t>
      </w:r>
      <w:r>
        <w:rPr>
          <w:rFonts w:eastAsia="仿宋_GB2312" w:cs="仿宋_GB2312" w:hint="eastAsia"/>
          <w:color w:val="auto"/>
          <w:kern w:val="2"/>
          <w:sz w:val="32"/>
          <w:szCs w:val="32"/>
          <w:lang w:val="en-US" w:eastAsia="zh-CN" w:bidi="ar-SA"/>
        </w:rPr>
        <w:t>：</w:t>
      </w:r>
      <w:r>
        <w:rPr>
          <w:rFonts w:ascii="Times New Roman" w:eastAsia="仿宋_GB2312" w:cs="仿宋_GB2312" w:hAnsi="Times New Roman" w:hint="eastAsia"/>
          <w:color w:val="auto"/>
          <w:kern w:val="2"/>
          <w:sz w:val="32"/>
          <w:szCs w:val="32"/>
          <w:lang w:val="en-US" w:eastAsia="zh-CN" w:bidi="ar-SA"/>
        </w:rPr>
        <w:t>支出决算为</w:t>
      </w:r>
      <w:r>
        <w:rPr>
          <w:rFonts w:eastAsia="仿宋_GB2312" w:cs="仿宋_GB2312"/>
          <w:color w:val="auto"/>
          <w:kern w:val="2"/>
          <w:sz w:val="32"/>
          <w:szCs w:val="32"/>
          <w:lang w:eastAsia="zh-CN" w:bidi="ar-SA"/>
        </w:rPr>
        <w:t>9.79</w:t>
      </w:r>
      <w:r>
        <w:rPr>
          <w:rFonts w:ascii="Times New Roman" w:eastAsia="仿宋_GB2312" w:cs="仿宋_GB2312" w:hAnsi="Times New Roman" w:hint="eastAsia"/>
          <w:color w:val="auto"/>
          <w:kern w:val="2"/>
          <w:sz w:val="32"/>
          <w:szCs w:val="32"/>
          <w:lang w:val="en-US" w:eastAsia="zh-CN" w:bidi="ar-SA"/>
        </w:rPr>
        <w:t>万元，完成预算100%，决算数等于预算数。</w:t>
      </w:r>
    </w:p>
    <w:p>
      <w:pPr>
        <w:spacing w:line="600" w:lineRule="exact"/>
        <w:ind w:firstLine="640"/>
        <w:rPr>
          <w:rFonts w:eastAsia="仿宋_GB2312" w:cs="仿宋_GB2312" w:hint="eastAsia"/>
          <w:sz w:val="32"/>
          <w:szCs w:val="32"/>
        </w:rPr>
      </w:pPr>
      <w:r>
        <w:rPr>
          <w:rFonts w:ascii="Times New Roman" w:eastAsia="仿宋_GB2312" w:cs="仿宋_GB2312" w:hAnsi="Times New Roman" w:hint="eastAsia"/>
          <w:color w:val="auto"/>
          <w:kern w:val="2"/>
          <w:sz w:val="32"/>
          <w:szCs w:val="32"/>
          <w:lang w:val="en-US" w:eastAsia="zh-CN" w:bidi="ar-SA"/>
        </w:rPr>
        <w:t>5.住房保障支出（类）住房改革支出（款）住房公积金（项）</w:t>
      </w:r>
      <w:r>
        <w:rPr>
          <w:rFonts w:eastAsia="仿宋_GB2312" w:cs="仿宋_GB2312" w:hint="eastAsia"/>
          <w:color w:val="auto"/>
          <w:kern w:val="2"/>
          <w:sz w:val="32"/>
          <w:szCs w:val="32"/>
          <w:lang w:val="en-US" w:eastAsia="zh-CN" w:bidi="ar-SA"/>
        </w:rPr>
        <w:t>：</w:t>
      </w:r>
      <w:r>
        <w:rPr>
          <w:rFonts w:ascii="Times New Roman" w:eastAsia="仿宋_GB2312" w:cs="仿宋_GB2312" w:hAnsi="Times New Roman" w:hint="eastAsia"/>
          <w:color w:val="auto"/>
          <w:kern w:val="2"/>
          <w:sz w:val="32"/>
          <w:szCs w:val="32"/>
          <w:lang w:val="en-US" w:eastAsia="zh-CN" w:bidi="ar-SA"/>
        </w:rPr>
        <w:t>支出决算为</w:t>
      </w:r>
      <w:r>
        <w:rPr>
          <w:rFonts w:eastAsia="仿宋_GB2312" w:cs="仿宋_GB2312"/>
          <w:color w:val="auto"/>
          <w:kern w:val="2"/>
          <w:sz w:val="32"/>
          <w:szCs w:val="32"/>
          <w:lang w:eastAsia="zh-CN" w:bidi="ar-SA"/>
        </w:rPr>
        <w:t>28.01</w:t>
      </w:r>
      <w:r>
        <w:rPr>
          <w:rFonts w:ascii="Times New Roman" w:eastAsia="仿宋_GB2312" w:cs="仿宋_GB2312" w:hAnsi="Times New Roman" w:hint="eastAsia"/>
          <w:color w:val="auto"/>
          <w:kern w:val="2"/>
          <w:sz w:val="32"/>
          <w:szCs w:val="32"/>
          <w:lang w:val="en-US" w:eastAsia="zh-CN" w:bidi="ar-SA"/>
        </w:rPr>
        <w:t>万元，完成预算100%，决算数等于预算数。</w:t>
      </w:r>
    </w:p>
    <w:p>
      <w:pPr>
        <w:tabs>
          <w:tab w:val="right" w:pos="8306"/>
        </w:tabs>
        <w:spacing w:line="600" w:lineRule="exact"/>
        <w:ind w:firstLine="640"/>
        <w:outlineLvl w:val="1"/>
        <w:rPr>
          <w:rStyle w:val="2Char"/>
          <w:rFonts w:ascii="Times New Roman" w:hAnsi="Times New Roman"/>
          <w:color w:val="auto"/>
          <w:highlight w:val="auto"/>
        </w:rPr>
      </w:pPr>
      <w:bookmarkStart w:id="55" w:name="_Toc15377214"/>
      <w:bookmarkStart w:id="56" w:name="_Toc15396608"/>
      <w:bookmarkStart w:id="57" w:name="_Toc97631139"/>
      <w:bookmarkStart w:id="58" w:name="_Toc25193339"/>
      <w:r>
        <w:rPr>
          <w:rFonts w:ascii="Times New Roman" w:eastAsia="黑体" w:hAnsi="Times New Roman" w:hint="eastAsia"/>
          <w:color w:val="auto"/>
          <w:sz w:val="32"/>
          <w:szCs w:val="32"/>
          <w:highlight w:val="auto"/>
        </w:rPr>
        <w:t>六</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般公共预算财政拨款基本支出决算情况说明</w:t>
      </w:r>
      <w:bookmarkEnd w:id="55"/>
      <w:bookmarkEnd w:id="56"/>
      <w:r>
        <w:rPr>
          <w:rStyle w:val="2Char"/>
          <w:rFonts w:ascii="Times New Roman" w:eastAsia="黑体" w:hAnsi="Times New Roman"/>
          <w:b w:val="0"/>
          <w:color w:val="auto"/>
          <w:highlight w:val="auto"/>
        </w:rPr>
        <w:tab/>
      </w:r>
      <w:bookmarkEnd w:id="57"/>
      <w:bookmarkEnd w:id="58"/>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一般公共预算财政拨款基本支出</w:t>
      </w:r>
      <w:r>
        <w:rPr>
          <w:rFonts w:ascii="仿宋_GB2312" w:eastAsia="仿宋_GB2312" w:cs="仿宋_GB2312" w:hint="eastAsia"/>
          <w:sz w:val="32"/>
          <w:szCs w:val="32"/>
        </w:rPr>
        <w:t>250.62</w:t>
      </w:r>
      <w:r>
        <w:rPr>
          <w:rFonts w:ascii="Times New Roman" w:eastAsia="仿宋_GB2312" w:cs="仿宋_GB2312" w:hAnsi="Times New Roman" w:hint="eastAsia"/>
          <w:color w:val="auto"/>
          <w:kern w:val="2"/>
          <w:sz w:val="32"/>
          <w:szCs w:val="32"/>
          <w:lang w:val="en-US" w:eastAsia="zh-CN" w:bidi="ar-SA"/>
          <w:highlight w:val="auto"/>
        </w:rPr>
        <w:t>万元，其中：</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人员经费</w:t>
      </w:r>
      <w:r>
        <w:rPr>
          <w:rFonts w:ascii="仿宋_GB2312" w:eastAsia="仿宋_GB2312" w:cs="仿宋_GB2312" w:hint="eastAsia"/>
          <w:sz w:val="32"/>
          <w:szCs w:val="32"/>
        </w:rPr>
        <w:t>239.83</w:t>
      </w:r>
      <w:r>
        <w:rPr>
          <w:rFonts w:ascii="Times New Roman" w:eastAsia="仿宋_GB2312" w:cs="仿宋_GB2312" w:hAnsi="Times New Roman" w:hint="eastAsia"/>
          <w:color w:val="auto"/>
          <w:kern w:val="2"/>
          <w:sz w:val="32"/>
          <w:szCs w:val="32"/>
          <w:lang w:val="en-US" w:eastAsia="zh-CN" w:bidi="ar-SA"/>
          <w:highlight w:val="auto"/>
        </w:rPr>
        <w:t>万元，主要包括：基本工资、津贴补贴、奖金、伙食补助费、绩效工资、机关事业单位基本养老保险缴费、职业年金缴费、其他社会保障缴费离休费、退休费、抚恤金、生活补助、医疗费补助、奖励金、住房公积金。</w:t>
        <w:br/>
        <w:t>　　公用经费</w:t>
      </w:r>
      <w:r>
        <w:rPr>
          <w:rFonts w:ascii="仿宋_GB2312" w:eastAsia="仿宋_GB2312" w:cs="仿宋_GB2312" w:hint="eastAsia"/>
          <w:sz w:val="32"/>
          <w:szCs w:val="32"/>
        </w:rPr>
        <w:t>10.8</w:t>
      </w:r>
      <w:r>
        <w:rPr>
          <w:rFonts w:ascii="Times New Roman" w:eastAsia="仿宋_GB2312" w:cs="仿宋_GB2312" w:hAnsi="Times New Roman" w:hint="eastAsia"/>
          <w:color w:val="auto"/>
          <w:kern w:val="2"/>
          <w:sz w:val="32"/>
          <w:szCs w:val="32"/>
          <w:lang w:val="en-US" w:eastAsia="zh-CN" w:bidi="ar-SA"/>
          <w:highlight w:val="auto"/>
        </w:rPr>
        <w:t>万元，主要包括：办公费、电费、邮电费、差旅费、维修（护）费、劳务费、福利费、其他商品和服务支出。</w:t>
      </w:r>
    </w:p>
    <w:p>
      <w:pPr>
        <w:spacing w:line="600" w:lineRule="exact"/>
        <w:ind w:firstLine="640"/>
        <w:outlineLvl w:val="1"/>
        <w:rPr>
          <w:rStyle w:val="2Char"/>
          <w:rFonts w:ascii="Times New Roman" w:eastAsia="黑体" w:hAnsi="Times New Roman"/>
          <w:b w:val="0"/>
          <w:color w:val="auto"/>
          <w:highlight w:val="auto"/>
        </w:rPr>
      </w:pPr>
      <w:bookmarkStart w:id="59" w:name="_Toc15396609"/>
      <w:bookmarkStart w:id="60" w:name="_Toc15377215"/>
      <w:bookmarkStart w:id="61" w:name="_Toc97631140"/>
      <w:bookmarkStart w:id="62" w:name="_Toc25193340"/>
      <w:r>
        <w:rPr>
          <w:rFonts w:ascii="Times New Roman" w:eastAsia="黑体" w:hAnsi="Times New Roman" w:hint="eastAsia"/>
          <w:color w:val="auto"/>
          <w:sz w:val="32"/>
          <w:szCs w:val="32"/>
          <w:highlight w:val="auto"/>
        </w:rPr>
        <w:t>七、</w:t>
      </w:r>
      <w:r>
        <w:rPr>
          <w:rStyle w:val="2Char"/>
          <w:rFonts w:ascii="Times New Roman" w:eastAsia="黑体" w:hAnsi="Times New Roman" w:hint="eastAsia"/>
          <w:b w:val="0"/>
          <w:color w:val="auto"/>
          <w:highlight w:val="auto"/>
        </w:rPr>
        <w:t>财政拨款</w:t>
      </w:r>
      <w:r>
        <w:rPr>
          <w:rStyle w:val="2Char"/>
          <w:rFonts w:ascii="Times New Roman" w:eastAsia="黑体" w:hAnsi="Times New Roman" w:hint="eastAsia"/>
          <w:color w:val="auto"/>
          <w:highlight w:val="auto"/>
        </w:rPr>
        <w:t>“</w:t>
      </w:r>
      <w:r>
        <w:rPr>
          <w:rStyle w:val="2Char"/>
          <w:rFonts w:ascii="Times New Roman" w:eastAsia="黑体" w:hAnsi="Times New Roman" w:hint="eastAsia"/>
          <w:b w:val="0"/>
          <w:color w:val="auto"/>
          <w:highlight w:val="auto"/>
        </w:rPr>
        <w:t>三公”经费支出决算情况说明</w:t>
      </w:r>
      <w:bookmarkEnd w:id="59"/>
      <w:bookmarkEnd w:id="60"/>
      <w:bookmarkEnd w:id="61"/>
      <w:bookmarkEnd w:id="62"/>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63" w:name="_Toc15377216"/>
      <w:bookmarkStart w:id="64" w:name="_Toc97631141"/>
      <w:r>
        <w:rPr>
          <w:rFonts w:ascii="Times New Roman" w:eastAsia="楷体_GB2312" w:cs="楷体_GB2312" w:hAnsi="Times New Roman" w:hint="eastAsia"/>
          <w:b/>
          <w:color w:val="auto"/>
          <w:sz w:val="32"/>
          <w:szCs w:val="32"/>
          <w:highlight w:val="auto"/>
        </w:rPr>
        <w:t>（一）财政拨款“三公”经费支出决算总体情况说明</w:t>
      </w:r>
      <w:bookmarkEnd w:id="63"/>
      <w:bookmarkEnd w:id="64"/>
    </w:p>
    <w:p>
      <w:pPr>
        <w:snapToGrid w:val="0"/>
        <w:spacing w:line="560" w:lineRule="exact"/>
        <w:ind w:firstLineChars="200" w:firstLine="640"/>
        <w:rPr>
          <w:rFonts w:ascii="仿宋_GB2312" w:eastAsia="仿宋_GB2312" w:cs="仿宋_GB2312" w:hint="eastAsia"/>
          <w:sz w:val="32"/>
          <w:szCs w:val="32"/>
          <w:lang w:eastAsia="zh-CN"/>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财政拨款“三公”经费支出决算为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万元，完成预算</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cs="仿宋_GB2312"/>
          <w:sz w:val="32"/>
          <w:szCs w:val="32"/>
          <w:lang w:eastAsia="zh-CN"/>
        </w:rPr>
        <w:t>与上年持平。</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65" w:name="_Toc15377217"/>
      <w:bookmarkStart w:id="66" w:name="_Toc97631142"/>
      <w:r>
        <w:rPr>
          <w:rFonts w:ascii="Times New Roman" w:eastAsia="楷体_GB2312" w:cs="楷体_GB2312" w:hAnsi="Times New Roman" w:hint="eastAsia"/>
          <w:b/>
          <w:color w:val="auto"/>
          <w:sz w:val="32"/>
          <w:szCs w:val="32"/>
          <w:highlight w:val="auto"/>
        </w:rPr>
        <w:t>（二）财政拨款“三公”经费支出决算具体情况说明</w:t>
      </w:r>
      <w:bookmarkEnd w:id="65"/>
      <w:bookmarkEnd w:id="66"/>
    </w:p>
    <w:p>
      <w:pPr>
        <w:spacing w:line="600" w:lineRule="exact"/>
        <w:ind w:firstLine="640"/>
        <w:rPr>
          <w:rFonts w:ascii="Times New Roman" w:eastAsia="仿宋_GB2312" w:cs="仿宋_GB2312" w:hAnsi="Times New Roman"/>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财政拨款“三公”经费支出决算中，因公出国（境）费支出决算</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%；公务用车购置及运行维护费支出决算</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%；公务接待费支出决算</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1.因公出国（境）经费支出</w:t>
      </w:r>
      <w:r>
        <w:rPr>
          <w:rFonts w:ascii="仿宋_GB2312" w:eastAsia="仿宋_GB2312" w:cs="仿宋_GB2312" w:hint="eastAsia"/>
          <w:sz w:val="32"/>
          <w:szCs w:val="32"/>
        </w:rPr>
        <w:t>0</w:t>
      </w:r>
      <w:r>
        <w:rPr>
          <w:rFonts w:ascii="Times New Roman" w:eastAsia="仿宋_GB2312" w:cs="仿宋_GB2312" w:hAnsi="Times New Roman" w:hint="eastAsia"/>
          <w:b/>
          <w:bCs/>
          <w:color w:val="auto"/>
          <w:kern w:val="2"/>
          <w:sz w:val="32"/>
          <w:szCs w:val="32"/>
          <w:lang w:val="en-US" w:eastAsia="zh-CN" w:bidi="ar-SA"/>
          <w:highlight w:val="auto"/>
        </w:rPr>
        <w:t>万元。</w:t>
      </w:r>
      <w:r>
        <w:rPr>
          <w:rFonts w:ascii="Times New Roman" w:eastAsia="仿宋_GB2312" w:cs="仿宋_GB2312" w:hAnsi="Times New Roman" w:hint="eastAsia"/>
          <w:color w:val="auto"/>
          <w:kern w:val="2"/>
          <w:sz w:val="32"/>
          <w:szCs w:val="32"/>
          <w:lang w:val="en-US" w:eastAsia="zh-CN" w:bidi="ar-SA"/>
          <w:highlight w:val="auto"/>
        </w:rPr>
        <w:t>全年安排因公出国（境）团组</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次，出国（境）</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人。</w:t>
      </w:r>
      <w:r>
        <w:rPr>
          <w:rFonts w:ascii="Times New Roman" w:eastAsia="仿宋_GB2312" w:cs="仿宋_GB2312" w:hAnsi="Times New Roman"/>
          <w:color w:val="auto"/>
          <w:kern w:val="2"/>
          <w:sz w:val="32"/>
          <w:szCs w:val="32"/>
          <w:lang w:val="en-US" w:eastAsia="zh-CN" w:bidi="ar-SA"/>
          <w:highlight w:val="auto"/>
        </w:rPr>
        <w:t>与上年持平。</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2.公务用车购置及运行维护费支出</w:t>
      </w:r>
      <w:r>
        <w:rPr>
          <w:rFonts w:ascii="仿宋_GB2312" w:eastAsia="仿宋_GB2312" w:cs="仿宋_GB2312" w:hint="eastAsia"/>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万元。</w:t>
      </w:r>
      <w:r>
        <w:rPr>
          <w:rFonts w:ascii="Times New Roman" w:eastAsia="仿宋_GB2312" w:cs="仿宋_GB2312" w:hAnsi="Times New Roman" w:hint="eastAsia"/>
          <w:color w:val="auto"/>
          <w:kern w:val="2"/>
          <w:sz w:val="32"/>
          <w:szCs w:val="32"/>
          <w:lang w:val="en-US" w:eastAsia="zh-CN" w:bidi="ar-SA"/>
          <w:highlight w:val="auto"/>
        </w:rPr>
        <w:t>公务用车购置及运行维护费</w:t>
      </w:r>
      <w:r>
        <w:rPr>
          <w:rFonts w:ascii="Times New Roman" w:eastAsia="仿宋_GB2312" w:cs="仿宋_GB2312" w:hAnsi="Times New Roman"/>
          <w:color w:val="auto"/>
          <w:kern w:val="2"/>
          <w:sz w:val="32"/>
          <w:szCs w:val="32"/>
          <w:lang w:val="en-US" w:eastAsia="zh-CN" w:bidi="ar-SA"/>
          <w:highlight w:val="auto"/>
        </w:rPr>
        <w:t>与上年持平。</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其中：公务用车购置支出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万元。全年按规定更新购置公务用车</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w:t>
      </w:r>
      <w:r>
        <w:rPr>
          <w:rFonts w:ascii="Times New Roman" w:eastAsia="仿宋_GB2312" w:cs="仿宋_GB2312" w:hAnsi="Times New Roman"/>
          <w:color w:val="auto"/>
          <w:kern w:val="2"/>
          <w:sz w:val="32"/>
          <w:szCs w:val="32"/>
          <w:lang w:val="en-US" w:eastAsia="zh-CN" w:bidi="ar-SA"/>
          <w:highlight w:val="auto"/>
        </w:rPr>
        <w:t>与上年持平。</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截至202</w:t>
      </w:r>
      <w:r>
        <w:rPr>
          <w:rFonts w:eastAsia="仿宋_GB2312" w:cs="仿宋_GB2312"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年12月31日，单位共有公务用车</w:t>
      </w:r>
      <w:r>
        <w:rPr>
          <w:rFonts w:ascii="Times New Roman" w:eastAsia="仿宋_GB2312" w:cs="仿宋_GB2312" w:hAnsi="Times New Roman"/>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辆</w:t>
      </w:r>
      <w:r>
        <w:rPr>
          <w:rFonts w:ascii="Times New Roman" w:eastAsia="仿宋_GB2312" w:cs="仿宋_GB2312" w:hAnsi="Times New Roman"/>
          <w:color w:val="auto"/>
          <w:kern w:val="2"/>
          <w:sz w:val="32"/>
          <w:szCs w:val="32"/>
          <w:lang w:val="en-US" w:eastAsia="zh-CN" w:bidi="ar-SA"/>
          <w:highlight w:val="auto"/>
        </w:rPr>
        <w:t>，与上年持平。</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3.公务接待费支出</w:t>
      </w:r>
      <w:r>
        <w:rPr>
          <w:rFonts w:ascii="仿宋_GB2312" w:eastAsia="仿宋_GB2312" w:cs="仿宋_GB2312" w:hint="eastAsia"/>
          <w:b/>
          <w:bCs/>
          <w:color w:val="auto"/>
          <w:kern w:val="2"/>
          <w:sz w:val="32"/>
          <w:szCs w:val="32"/>
          <w:lang w:val="en-US" w:eastAsia="zh-CN" w:bidi="ar-SA"/>
          <w:highlight w:val="auto"/>
        </w:rPr>
        <w:t>0</w:t>
      </w:r>
      <w:r>
        <w:rPr>
          <w:rFonts w:ascii="Times New Roman" w:eastAsia="仿宋_GB2312" w:cs="仿宋_GB2312" w:hAnsi="Times New Roman" w:hint="eastAsia"/>
          <w:b/>
          <w:bCs/>
          <w:color w:val="auto"/>
          <w:kern w:val="2"/>
          <w:sz w:val="32"/>
          <w:szCs w:val="32"/>
          <w:lang w:val="en-US" w:eastAsia="zh-CN" w:bidi="ar-SA"/>
          <w:highlight w:val="auto"/>
        </w:rPr>
        <w:t>万元。</w:t>
      </w:r>
      <w:r>
        <w:rPr>
          <w:rFonts w:ascii="Times New Roman" w:eastAsia="仿宋_GB2312" w:cs="仿宋_GB2312" w:hAnsi="Times New Roman" w:hint="eastAsia"/>
          <w:color w:val="auto"/>
          <w:kern w:val="2"/>
          <w:sz w:val="32"/>
          <w:szCs w:val="32"/>
          <w:lang w:val="en-US" w:eastAsia="zh-CN" w:bidi="ar-SA"/>
          <w:highlight w:val="auto"/>
        </w:rPr>
        <w:t>公务接待费支出决算</w:t>
      </w:r>
      <w:r>
        <w:rPr>
          <w:rFonts w:ascii="Times New Roman" w:eastAsia="仿宋_GB2312" w:cs="仿宋_GB2312" w:hAnsi="Times New Roman"/>
          <w:color w:val="auto"/>
          <w:kern w:val="2"/>
          <w:sz w:val="32"/>
          <w:szCs w:val="32"/>
          <w:lang w:val="en-US" w:eastAsia="zh-CN" w:bidi="ar-SA"/>
          <w:highlight w:val="auto"/>
        </w:rPr>
        <w:t>与上年持平</w:t>
      </w:r>
      <w:bookmarkStart w:id="67" w:name="_Toc15396610"/>
      <w:bookmarkStart w:id="68" w:name="_Toc15377218"/>
      <w:r>
        <w:rPr>
          <w:rFonts w:ascii="Times New Roman" w:eastAsia="仿宋_GB2312" w:cs="仿宋_GB2312" w:hAnsi="Times New Roman"/>
          <w:color w:val="auto"/>
          <w:kern w:val="2"/>
          <w:sz w:val="32"/>
          <w:szCs w:val="32"/>
          <w:lang w:val="en-US" w:eastAsia="zh-CN" w:bidi="ar-SA"/>
          <w:highlight w:val="auto"/>
        </w:rPr>
        <w:t>。</w:t>
      </w:r>
    </w:p>
    <w:p>
      <w:pPr>
        <w:spacing w:line="600" w:lineRule="exact"/>
        <w:ind w:firstLine="640"/>
        <w:outlineLvl w:val="1"/>
        <w:rPr>
          <w:rStyle w:val="2Char"/>
          <w:rFonts w:ascii="Times New Roman" w:eastAsia="黑体" w:hAnsi="Times New Roman"/>
          <w:color w:val="auto"/>
          <w:highlight w:val="auto"/>
        </w:rPr>
      </w:pPr>
      <w:bookmarkStart w:id="69" w:name="_Toc97631143"/>
      <w:bookmarkStart w:id="70" w:name="_Toc25193341"/>
      <w:r>
        <w:rPr>
          <w:rFonts w:ascii="Times New Roman" w:eastAsia="黑体" w:hAnsi="Times New Roman" w:hint="eastAsia"/>
          <w:color w:val="auto"/>
          <w:sz w:val="32"/>
          <w:szCs w:val="32"/>
          <w:highlight w:val="auto"/>
        </w:rPr>
        <w:t>八、</w:t>
      </w:r>
      <w:r>
        <w:rPr>
          <w:rStyle w:val="2Char"/>
          <w:rFonts w:ascii="Times New Roman" w:eastAsia="黑体" w:hAnsi="Times New Roman" w:hint="eastAsia"/>
          <w:b w:val="0"/>
          <w:color w:val="auto"/>
          <w:highlight w:val="auto"/>
        </w:rPr>
        <w:t>政府性基金预算支出决算情况说明</w:t>
      </w:r>
      <w:bookmarkEnd w:id="67"/>
      <w:bookmarkEnd w:id="68"/>
      <w:bookmarkEnd w:id="69"/>
      <w:bookmarkEnd w:id="70"/>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政府性基金预算财政拨款支出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cs="仿宋_GB2312" w:hint="eastAsia"/>
          <w:color w:val="auto"/>
          <w:kern w:val="2"/>
          <w:sz w:val="32"/>
          <w:szCs w:val="32"/>
          <w:lang w:val="en-US" w:eastAsia="zh-CN" w:bidi="ar-SA"/>
        </w:rPr>
        <w:t>与上年持平</w:t>
      </w:r>
      <w:r>
        <w:rPr>
          <w:rFonts w:ascii="仿宋_GB2312" w:eastAsia="仿宋_GB2312" w:cs="仿宋_GB2312"/>
          <w:color w:val="auto"/>
          <w:kern w:val="2"/>
          <w:sz w:val="32"/>
          <w:szCs w:val="32"/>
          <w:lang w:val="en-US" w:eastAsia="zh-CN" w:bidi="ar-SA"/>
        </w:rPr>
        <w:t>。</w:t>
      </w:r>
    </w:p>
    <w:p>
      <w:pPr>
        <w:spacing w:line="600" w:lineRule="exact"/>
        <w:ind w:left="630"/>
        <w:outlineLvl w:val="1"/>
        <w:rPr>
          <w:rStyle w:val="2Char"/>
          <w:rFonts w:ascii="Times New Roman" w:eastAsia="黑体" w:hAnsi="Times New Roman"/>
          <w:b w:val="0"/>
          <w:color w:val="auto"/>
          <w:highlight w:val="auto"/>
        </w:rPr>
      </w:pPr>
      <w:bookmarkStart w:id="71" w:name="_Toc15396611"/>
      <w:bookmarkStart w:id="72" w:name="_Toc97631144"/>
      <w:bookmarkStart w:id="73" w:name="_Toc15377219"/>
      <w:bookmarkStart w:id="74" w:name="_Toc25193342"/>
      <w:r>
        <w:rPr>
          <w:rStyle w:val="2Char"/>
          <w:rFonts w:ascii="Times New Roman" w:eastAsia="黑体" w:hAnsi="Times New Roman" w:hint="eastAsia"/>
          <w:b w:val="0"/>
          <w:color w:val="auto"/>
          <w:lang w:eastAsia="zh-CN"/>
          <w:highlight w:val="auto"/>
        </w:rPr>
        <w:t>九、</w:t>
      </w:r>
      <w:r>
        <w:rPr>
          <w:rStyle w:val="2Char"/>
          <w:rFonts w:ascii="Times New Roman" w:eastAsia="黑体" w:hAnsi="Times New Roman" w:hint="eastAsia"/>
          <w:b w:val="0"/>
          <w:color w:val="auto"/>
          <w:highlight w:val="auto"/>
        </w:rPr>
        <w:t>国有资本经营预算支出决算情况说明</w:t>
      </w:r>
      <w:bookmarkEnd w:id="71"/>
      <w:bookmarkEnd w:id="72"/>
      <w:bookmarkEnd w:id="73"/>
      <w:bookmarkEnd w:id="74"/>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国有资本经营预算财政拨款支出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cs="仿宋_GB2312" w:hint="eastAsia"/>
          <w:color w:val="auto"/>
          <w:kern w:val="2"/>
          <w:sz w:val="32"/>
          <w:szCs w:val="32"/>
          <w:lang w:val="en-US" w:eastAsia="zh-CN" w:bidi="ar-SA"/>
        </w:rPr>
        <w:t>与上年持平</w:t>
      </w:r>
      <w:r>
        <w:rPr>
          <w:rFonts w:ascii="仿宋_GB2312" w:eastAsia="仿宋_GB2312" w:cs="仿宋_GB2312"/>
          <w:color w:val="auto"/>
          <w:kern w:val="2"/>
          <w:sz w:val="32"/>
          <w:szCs w:val="32"/>
          <w:lang w:val="en-US" w:eastAsia="zh-CN" w:bidi="ar-SA"/>
        </w:rPr>
        <w:t>。</w:t>
      </w:r>
    </w:p>
    <w:p>
      <w:pPr>
        <w:spacing w:line="600" w:lineRule="exact"/>
        <w:ind w:left="630"/>
        <w:outlineLvl w:val="1"/>
        <w:rPr>
          <w:rStyle w:val="2Char"/>
          <w:rFonts w:ascii="Times New Roman" w:eastAsia="黑体" w:hAnsi="Times New Roman" w:hint="eastAsia"/>
          <w:b w:val="0"/>
          <w:color w:val="auto"/>
          <w:highlight w:val="auto"/>
        </w:rPr>
      </w:pPr>
      <w:bookmarkStart w:id="75" w:name="_Toc97631145"/>
      <w:bookmarkStart w:id="76" w:name="_Toc15377221"/>
      <w:bookmarkStart w:id="77" w:name="_Toc15396612"/>
      <w:bookmarkStart w:id="78" w:name="_Toc25193343"/>
      <w:r>
        <w:rPr>
          <w:rStyle w:val="2Char"/>
          <w:rFonts w:ascii="Times New Roman" w:eastAsia="黑体" w:hAnsi="Times New Roman" w:hint="eastAsia"/>
          <w:b w:val="0"/>
          <w:color w:val="auto"/>
          <w:lang w:eastAsia="zh-CN"/>
          <w:highlight w:val="auto"/>
        </w:rPr>
        <w:t>十、</w:t>
      </w:r>
      <w:r>
        <w:rPr>
          <w:rStyle w:val="2Char"/>
          <w:rFonts w:ascii="Times New Roman" w:eastAsia="黑体" w:hAnsi="Times New Roman" w:hint="eastAsia"/>
          <w:b w:val="0"/>
          <w:color w:val="auto"/>
          <w:highlight w:val="auto"/>
        </w:rPr>
        <w:t>其他重要事项的情况说明</w:t>
      </w:r>
      <w:bookmarkEnd w:id="75"/>
      <w:bookmarkEnd w:id="76"/>
      <w:bookmarkEnd w:id="77"/>
      <w:bookmarkEnd w:id="78"/>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79" w:name="_Toc15377222"/>
      <w:bookmarkStart w:id="80" w:name="_Toc97631146"/>
      <w:r>
        <w:rPr>
          <w:rFonts w:ascii="Times New Roman" w:eastAsia="楷体_GB2312" w:cs="楷体_GB2312" w:hAnsi="Times New Roman" w:hint="eastAsia"/>
          <w:b/>
          <w:color w:val="auto"/>
          <w:sz w:val="32"/>
          <w:szCs w:val="32"/>
          <w:highlight w:val="auto"/>
        </w:rPr>
        <w:t>（一）机关运行经费支出情况</w:t>
      </w:r>
      <w:bookmarkEnd w:id="79"/>
      <w:bookmarkEnd w:id="80"/>
    </w:p>
    <w:p>
      <w:pPr>
        <w:spacing w:line="600" w:lineRule="exact"/>
        <w:ind w:firstLine="640"/>
        <w:rPr>
          <w:rFonts w:eastAsia="仿宋_GB2312" w:cs="仿宋_GB2312" w:hint="eastAsia"/>
          <w:sz w:val="32"/>
          <w:szCs w:val="32"/>
        </w:rPr>
      </w:pPr>
      <w:r>
        <w:rPr>
          <w:rFonts w:ascii="Times New Roman" w:eastAsia="仿宋_GB2312" w:cs="仿宋_GB2312" w:hAnsi="Times New Roman" w:hint="eastAsia"/>
          <w:color w:val="auto"/>
          <w:kern w:val="2"/>
          <w:sz w:val="32"/>
          <w:szCs w:val="32"/>
          <w:lang w:val="en-US" w:eastAsia="zh-CN" w:bidi="ar-SA"/>
        </w:rPr>
        <w:t>202</w:t>
      </w:r>
      <w:r>
        <w:rPr>
          <w:rFonts w:ascii="Times New Roman" w:eastAsia="仿宋_GB2312" w:cs="仿宋_GB2312" w:hAnsi="Times New Roman"/>
          <w:color w:val="auto"/>
          <w:kern w:val="2"/>
          <w:sz w:val="32"/>
          <w:szCs w:val="32"/>
          <w:lang w:val="en-US" w:eastAsia="zh-CN" w:bidi="ar-SA"/>
        </w:rPr>
        <w:t>5</w:t>
      </w:r>
      <w:r>
        <w:rPr>
          <w:rFonts w:ascii="Times New Roman" w:eastAsia="仿宋_GB2312" w:cs="仿宋_GB2312" w:hAnsi="Times New Roman" w:hint="eastAsia"/>
          <w:color w:val="auto"/>
          <w:kern w:val="2"/>
          <w:sz w:val="32"/>
          <w:szCs w:val="32"/>
          <w:lang w:val="en-US" w:eastAsia="zh-CN" w:bidi="ar-SA"/>
        </w:rPr>
        <w:t>年度</w:t>
      </w:r>
      <w:r>
        <w:rPr>
          <w:rFonts w:ascii="仿宋_GB2312" w:eastAsia="仿宋_GB2312" w:cs="仿宋_GB2312" w:hint="eastAsia"/>
          <w:color w:val="auto"/>
          <w:kern w:val="2"/>
          <w:sz w:val="32"/>
          <w:szCs w:val="32"/>
          <w:lang w:val="en-US" w:eastAsia="zh-CN" w:bidi="ar-SA"/>
        </w:rPr>
        <w:t>，</w:t>
      </w:r>
      <w:r>
        <w:rPr>
          <w:rFonts w:ascii="仿宋_GB2312" w:eastAsia="仿宋_GB2312" w:cs="仿宋_GB2312" w:hint="eastAsia"/>
          <w:sz w:val="32"/>
          <w:szCs w:val="32"/>
        </w:rPr>
        <w:t>阿坝州低收入家庭认定指导中心</w:t>
      </w:r>
      <w:r>
        <w:rPr>
          <w:rFonts w:ascii="仿宋_GB2312" w:eastAsia="仿宋_GB2312" w:cs="仿宋_GB2312" w:hint="eastAsia"/>
          <w:color w:val="auto"/>
          <w:kern w:val="2"/>
          <w:sz w:val="32"/>
          <w:szCs w:val="32"/>
          <w:lang w:val="en-US" w:eastAsia="zh-CN" w:bidi="ar-SA"/>
        </w:rPr>
        <w:t>机关运行经费支出</w:t>
      </w:r>
      <w:r>
        <w:rPr>
          <w:rFonts w:ascii="仿宋_GB2312" w:eastAsia="仿宋_GB2312" w:cs="仿宋_GB2312"/>
          <w:sz w:val="32"/>
          <w:szCs w:val="32"/>
        </w:rPr>
        <w:t>10.8</w:t>
      </w:r>
      <w:r>
        <w:rPr>
          <w:rFonts w:ascii="仿宋_GB2312" w:eastAsia="仿宋_GB2312" w:cs="仿宋_GB2312" w:hint="eastAsia"/>
          <w:color w:val="auto"/>
          <w:kern w:val="2"/>
          <w:sz w:val="32"/>
          <w:szCs w:val="32"/>
          <w:lang w:val="en-US" w:eastAsia="zh-CN" w:bidi="ar-SA"/>
        </w:rPr>
        <w:t>万</w:t>
      </w:r>
      <w:r>
        <w:rPr>
          <w:rFonts w:ascii="Times New Roman" w:eastAsia="仿宋_GB2312" w:cs="仿宋_GB2312" w:hAnsi="Times New Roman" w:hint="eastAsia"/>
          <w:color w:val="auto"/>
          <w:kern w:val="2"/>
          <w:sz w:val="32"/>
          <w:szCs w:val="32"/>
          <w:lang w:val="en-US" w:eastAsia="zh-CN" w:bidi="ar-SA"/>
        </w:rPr>
        <w:t>元，比202</w:t>
      </w:r>
      <w:r>
        <w:rPr>
          <w:rFonts w:ascii="Times New Roman" w:eastAsia="仿宋_GB2312" w:cs="仿宋_GB2312" w:hAnsi="Times New Roman"/>
          <w:color w:val="auto"/>
          <w:kern w:val="2"/>
          <w:sz w:val="32"/>
          <w:szCs w:val="32"/>
          <w:lang w:val="en-US" w:eastAsia="zh-CN" w:bidi="ar-SA"/>
        </w:rPr>
        <w:t>4</w:t>
      </w:r>
      <w:r>
        <w:rPr>
          <w:rFonts w:ascii="Times New Roman" w:eastAsia="仿宋_GB2312" w:cs="仿宋_GB2312" w:hAnsi="Times New Roman" w:hint="eastAsia"/>
          <w:color w:val="auto"/>
          <w:kern w:val="2"/>
          <w:sz w:val="32"/>
          <w:szCs w:val="32"/>
          <w:lang w:val="en-US" w:eastAsia="zh-CN" w:bidi="ar-SA"/>
        </w:rPr>
        <w:t>年度减</w:t>
      </w:r>
      <w:r>
        <w:rPr>
          <w:rFonts w:ascii="Times New Roman" w:eastAsia="仿宋_GB2312" w:cs="仿宋_GB2312" w:hAnsi="Times New Roman" w:hint="eastAsia"/>
          <w:color w:val="auto"/>
          <w:kern w:val="2"/>
          <w:sz w:val="32"/>
          <w:szCs w:val="32"/>
          <w:lang w:val="en-US" w:eastAsia="zh-CN" w:bidi="ar-SA"/>
          <w:highlight w:val="auto"/>
        </w:rPr>
        <w:t>少</w:t>
      </w:r>
      <w:r>
        <w:rPr>
          <w:rFonts w:eastAsia="仿宋_GB2312" w:cs="仿宋_GB2312"/>
          <w:color w:val="auto"/>
          <w:kern w:val="2"/>
          <w:sz w:val="32"/>
          <w:szCs w:val="32"/>
          <w:lang w:eastAsia="zh-CN" w:bidi="ar-SA"/>
          <w:highlight w:val="auto"/>
        </w:rPr>
        <w:t>2.61</w:t>
      </w:r>
      <w:r>
        <w:rPr>
          <w:rFonts w:ascii="Times New Roman" w:eastAsia="仿宋_GB2312" w:cs="仿宋_GB2312" w:hAnsi="Times New Roman" w:hint="eastAsia"/>
          <w:color w:val="auto"/>
          <w:kern w:val="2"/>
          <w:sz w:val="32"/>
          <w:szCs w:val="32"/>
          <w:lang w:val="en-US" w:eastAsia="zh-CN" w:bidi="ar-SA"/>
          <w:highlight w:val="auto"/>
        </w:rPr>
        <w:t>万元，下降</w:t>
      </w:r>
      <w:r>
        <w:rPr>
          <w:rFonts w:eastAsia="仿宋_GB2312" w:cs="仿宋_GB2312"/>
          <w:color w:val="auto"/>
          <w:kern w:val="2"/>
          <w:sz w:val="32"/>
          <w:szCs w:val="32"/>
          <w:lang w:eastAsia="zh-CN" w:bidi="ar-SA"/>
          <w:highlight w:val="auto"/>
        </w:rPr>
        <w:t>19.45</w:t>
      </w:r>
      <w:r>
        <w:rPr>
          <w:rFonts w:ascii="Times New Roman" w:eastAsia="仿宋_GB2312" w:cs="仿宋_GB2312" w:hAnsi="Times New Roman" w:hint="eastAsia"/>
          <w:color w:val="auto"/>
          <w:kern w:val="2"/>
          <w:sz w:val="32"/>
          <w:szCs w:val="32"/>
          <w:lang w:val="en-US" w:eastAsia="zh-CN" w:bidi="ar-SA"/>
          <w:highlight w:val="auto"/>
        </w:rPr>
        <w:t>%。主要原因是</w:t>
      </w:r>
      <w:r>
        <w:rPr>
          <w:rFonts w:eastAsia="仿宋_GB2312" w:cs="仿宋_GB2312"/>
          <w:color w:val="auto"/>
          <w:kern w:val="2"/>
          <w:sz w:val="32"/>
          <w:szCs w:val="32"/>
          <w:lang w:eastAsia="zh-CN" w:bidi="ar-SA"/>
          <w:highlight w:val="auto"/>
        </w:rPr>
        <w:t>厉行节</w:t>
      </w:r>
      <w:r>
        <w:rPr>
          <w:rFonts w:ascii="Times New Roman" w:eastAsia="仿宋_GB2312" w:cs="仿宋_GB2312" w:hAnsi="Times New Roman" w:hint="eastAsia"/>
          <w:color w:val="auto"/>
          <w:sz w:val="32"/>
          <w:szCs w:val="32"/>
          <w:lang w:eastAsia="zh-CN"/>
          <w:highlight w:val="auto"/>
        </w:rPr>
        <w:t>，压减开支，减少预算</w:t>
      </w:r>
      <w:r>
        <w:rPr>
          <w:rFonts w:ascii="Times New Roman" w:eastAsia="仿宋_GB2312" w:cs="仿宋_GB2312" w:hAnsi="Times New Roman"/>
          <w:color w:val="auto"/>
          <w:sz w:val="32"/>
          <w:szCs w:val="32"/>
          <w:lang w:eastAsia="zh-CN"/>
          <w:highlight w:val="auto"/>
        </w:rPr>
        <w:t>支出。</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81" w:name="_Toc15377223"/>
      <w:bookmarkStart w:id="82" w:name="_Toc97631147"/>
      <w:r>
        <w:rPr>
          <w:rFonts w:ascii="Times New Roman" w:eastAsia="楷体_GB2312" w:cs="楷体_GB2312" w:hAnsi="Times New Roman" w:hint="eastAsia"/>
          <w:b/>
          <w:color w:val="auto"/>
          <w:sz w:val="32"/>
          <w:szCs w:val="32"/>
          <w:highlight w:val="auto"/>
        </w:rPr>
        <w:t>（二）政府采购支出情况</w:t>
      </w:r>
      <w:bookmarkEnd w:id="81"/>
      <w:bookmarkEnd w:id="82"/>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cs="仿宋_GB2312" w:hint="eastAsia"/>
          <w:sz w:val="32"/>
          <w:szCs w:val="32"/>
        </w:rPr>
        <w:t>阿坝州低收入家庭认定指导中心</w:t>
      </w:r>
      <w:r>
        <w:rPr>
          <w:rFonts w:ascii="Times New Roman" w:eastAsia="仿宋_GB2312" w:cs="仿宋_GB2312" w:hAnsi="Times New Roman" w:hint="eastAsia"/>
          <w:color w:val="auto"/>
          <w:kern w:val="2"/>
          <w:sz w:val="32"/>
          <w:szCs w:val="32"/>
          <w:lang w:val="en-US" w:eastAsia="zh-CN" w:bidi="ar-SA"/>
          <w:highlight w:val="auto"/>
        </w:rPr>
        <w:t>政府采购支出总额</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w:t>
      </w:r>
      <w:r>
        <w:rPr>
          <w:rFonts w:ascii="Times New Roman" w:eastAsia="仿宋_GB2312" w:cs="仿宋_GB2312" w:hAnsi="Times New Roman"/>
          <w:color w:val="auto"/>
          <w:kern w:val="2"/>
          <w:sz w:val="32"/>
          <w:szCs w:val="32"/>
          <w:lang w:val="en-US" w:eastAsia="zh-CN" w:bidi="ar-SA"/>
          <w:highlight w:val="auto"/>
        </w:rPr>
        <w:t>。</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83" w:name="_Toc97631148"/>
      <w:bookmarkStart w:id="84" w:name="_Toc15377224"/>
      <w:r>
        <w:rPr>
          <w:rFonts w:ascii="Times New Roman" w:eastAsia="楷体_GB2312" w:cs="楷体_GB2312" w:hAnsi="Times New Roman" w:hint="eastAsia"/>
          <w:b/>
          <w:color w:val="auto"/>
          <w:sz w:val="32"/>
          <w:szCs w:val="32"/>
          <w:highlight w:val="auto"/>
        </w:rPr>
        <w:t>（三）国有资产占有使用情况</w:t>
      </w:r>
      <w:bookmarkEnd w:id="83"/>
      <w:bookmarkEnd w:id="84"/>
    </w:p>
    <w:p>
      <w:pPr>
        <w:spacing w:line="600" w:lineRule="exact"/>
        <w:ind w:firstLine="640"/>
        <w:rPr>
          <w:rFonts w:ascii="Times New Roman" w:eastAsia="仿宋_GB2312" w:cs="仿宋_GB2312" w:hAnsi="Times New Roman"/>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截至202</w:t>
      </w:r>
      <w:r>
        <w:rPr>
          <w:rFonts w:eastAsia="仿宋_GB2312" w:cs="仿宋_GB2312"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年12月31日，</w:t>
      </w:r>
      <w:r>
        <w:rPr>
          <w:rFonts w:ascii="仿宋_GB2312" w:eastAsia="仿宋_GB2312" w:cs="仿宋_GB2312" w:hint="eastAsia"/>
          <w:sz w:val="32"/>
          <w:szCs w:val="32"/>
        </w:rPr>
        <w:t>阿坝州低收入家庭认定指导中心</w:t>
      </w:r>
      <w:r>
        <w:rPr>
          <w:rFonts w:ascii="Times New Roman" w:eastAsia="仿宋_GB2312" w:cs="仿宋_GB2312" w:hAnsi="Times New Roman" w:hint="eastAsia"/>
          <w:color w:val="auto"/>
          <w:kern w:val="2"/>
          <w:sz w:val="32"/>
          <w:szCs w:val="32"/>
          <w:lang w:val="en-US" w:eastAsia="zh-CN" w:bidi="ar-SA"/>
          <w:highlight w:val="auto"/>
        </w:rPr>
        <w:t>共有车辆</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辆</w:t>
      </w:r>
      <w:r>
        <w:rPr>
          <w:rFonts w:ascii="Times New Roman" w:eastAsia="仿宋_GB2312" w:cs="仿宋_GB2312" w:hAnsi="Times New Roman"/>
          <w:color w:val="auto"/>
          <w:kern w:val="2"/>
          <w:sz w:val="32"/>
          <w:szCs w:val="32"/>
          <w:lang w:val="en-US" w:eastAsia="zh-CN" w:bidi="ar-SA"/>
          <w:highlight w:val="auto"/>
        </w:rPr>
        <w:t>。</w:t>
      </w:r>
      <w:bookmarkStart w:id="85" w:name="_Toc97631149"/>
    </w:p>
    <w:p>
      <w:pPr>
        <w:spacing w:line="600" w:lineRule="exact"/>
        <w:ind w:firstLine="640"/>
        <w:rPr>
          <w:rFonts w:ascii="Times New Roman" w:eastAsia="楷体_GB2312" w:cs="楷体_GB2312" w:hAnsi="Times New Roman" w:hint="eastAsia"/>
          <w:b/>
          <w:color w:val="auto"/>
          <w:sz w:val="32"/>
          <w:szCs w:val="32"/>
          <w:highlight w:val="auto"/>
        </w:rPr>
      </w:pPr>
      <w:r>
        <w:rPr>
          <w:rFonts w:ascii="Times New Roman" w:eastAsia="楷体_GB2312" w:cs="楷体_GB2312" w:hAnsi="Times New Roman" w:hint="eastAsia"/>
          <w:b/>
          <w:color w:val="auto"/>
          <w:sz w:val="32"/>
          <w:szCs w:val="32"/>
          <w:highlight w:val="auto"/>
        </w:rPr>
        <w:t>（四）预算绩效管理情况</w:t>
      </w:r>
      <w:bookmarkEnd w:id="85"/>
    </w:p>
    <w:p>
      <w:pPr>
        <w:spacing w:line="600" w:lineRule="exact"/>
        <w:ind w:firstLine="640"/>
        <w:rPr>
          <w:rFonts w:eastAsia="仿宋_GB2312" w:cs="仿宋_GB2312"/>
          <w:color w:val="auto"/>
          <w:kern w:val="2"/>
          <w:sz w:val="32"/>
          <w:szCs w:val="32"/>
          <w:lang w:eastAsia="zh-CN" w:bidi="ar-SA"/>
          <w:highlight w:val="auto"/>
        </w:rPr>
        <w:sectPr>
          <w:footerReference w:type="default" r:id="rId9"/>
          <w:pgSz w:w="11906" w:h="16838"/>
          <w:pgMar w:top="1440" w:right="1800" w:bottom="1440" w:left="1800" w:header="851" w:footer="992" w:gutter="0"/>
          <w:pgNumType w:start="1"/>
          <w:docGrid w:type="lines" w:linePitch="312" w:charSpace="0"/>
        </w:sectPr>
      </w:pPr>
      <w:r>
        <w:rPr>
          <w:rFonts w:ascii="Times New Roman" w:eastAsia="仿宋_GB2312" w:cs="仿宋_GB2312" w:hAnsi="Times New Roman" w:hint="eastAsia"/>
          <w:color w:val="auto"/>
          <w:kern w:val="2"/>
          <w:sz w:val="32"/>
          <w:szCs w:val="32"/>
          <w:lang w:val="en-US" w:eastAsia="zh-CN" w:bidi="ar-SA"/>
          <w:highlight w:val="auto"/>
        </w:rPr>
        <w:t>根据预算绩效管理要求，</w:t>
      </w:r>
      <w:r>
        <w:rPr>
          <w:rFonts w:ascii="仿宋_GB2312" w:eastAsia="仿宋_GB2312" w:cs="仿宋_GB2312" w:hint="eastAsia"/>
          <w:sz w:val="32"/>
          <w:szCs w:val="32"/>
        </w:rPr>
        <w:t>阿坝州低收入家庭认定指导中心</w:t>
      </w:r>
      <w:r>
        <w:rPr>
          <w:rFonts w:ascii="Times New Roman" w:eastAsia="仿宋_GB2312" w:cs="仿宋_GB2312" w:hAnsi="Times New Roman" w:hint="eastAsia"/>
          <w:color w:val="auto"/>
          <w:kern w:val="2"/>
          <w:sz w:val="32"/>
          <w:szCs w:val="32"/>
          <w:lang w:val="en-US" w:eastAsia="zh-CN" w:bidi="ar-SA"/>
          <w:highlight w:val="auto"/>
        </w:rPr>
        <w:t>在202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w:t>
      </w:r>
      <w:r>
        <w:rPr>
          <w:rFonts w:eastAsia="仿宋_GB2312" w:cs="仿宋_GB2312"/>
          <w:color w:val="auto"/>
          <w:kern w:val="2"/>
          <w:sz w:val="32"/>
          <w:szCs w:val="32"/>
          <w:lang w:eastAsia="zh-CN" w:bidi="ar-SA"/>
          <w:highlight w:val="auto"/>
        </w:rPr>
        <w:t>无特定目标项目。</w:t>
      </w:r>
    </w:p>
    <w:p>
      <w:pPr>
        <w:spacing w:line="600" w:lineRule="exact"/>
        <w:ind w:firstLine="640"/>
        <w:rPr>
          <w:rFonts w:eastAsia="仿宋_GB2312" w:cs="仿宋_GB2312" w:hint="eastAsia"/>
          <w:b/>
          <w:bCs/>
          <w:sz w:val="32"/>
          <w:szCs w:val="32"/>
        </w:rPr>
      </w:pPr>
    </w:p>
    <w:p>
      <w:pPr>
        <w:spacing w:line="600" w:lineRule="exact"/>
        <w:jc w:val="center"/>
        <w:outlineLvl w:val="0"/>
        <w:rPr>
          <w:rFonts w:ascii="Times New Roman" w:eastAsia="黑体" w:hAnsi="Times New Roman" w:hint="eastAsia"/>
          <w:color w:val="auto"/>
          <w:sz w:val="44"/>
          <w:szCs w:val="44"/>
          <w:highlight w:val="auto"/>
        </w:rPr>
      </w:pPr>
      <w:bookmarkStart w:id="86" w:name="_Toc97631150"/>
      <w:bookmarkStart w:id="87" w:name="_Toc15396613"/>
      <w:bookmarkStart w:id="88" w:name="_Toc15377225"/>
      <w:bookmarkStart w:id="89" w:name="_Toc25193344"/>
      <w:r>
        <w:rPr>
          <w:rFonts w:ascii="Times New Roman" w:eastAsia="黑体" w:hAnsi="Times New Roman" w:hint="eastAsia"/>
          <w:color w:val="auto"/>
          <w:sz w:val="44"/>
          <w:szCs w:val="44"/>
          <w:highlight w:val="auto"/>
        </w:rPr>
        <w:t>第</w:t>
      </w:r>
      <w:r>
        <w:rPr>
          <w:rFonts w:eastAsia="黑体" w:hint="eastAsia"/>
          <w:color w:val="auto"/>
          <w:sz w:val="44"/>
          <w:szCs w:val="44"/>
          <w:lang w:eastAsia="zh-CN"/>
          <w:highlight w:val="auto"/>
        </w:rPr>
        <w:t>三</w:t>
      </w:r>
      <w:r>
        <w:rPr>
          <w:rFonts w:ascii="Times New Roman" w:eastAsia="黑体" w:hAnsi="Times New Roman" w:hint="eastAsia"/>
          <w:color w:val="auto"/>
          <w:sz w:val="44"/>
          <w:szCs w:val="44"/>
          <w:highlight w:val="auto"/>
        </w:rPr>
        <w:t>部分</w:t>
      </w:r>
      <w:r>
        <w:rPr>
          <w:rFonts w:ascii="Times New Roman" w:eastAsia="黑体" w:hAnsi="Times New Roman" w:hint="eastAsia"/>
          <w:color w:val="auto"/>
          <w:sz w:val="44"/>
          <w:szCs w:val="44"/>
          <w:lang w:val="en-US" w:eastAsia="zh-CN"/>
          <w:highlight w:val="auto"/>
        </w:rPr>
        <w:t xml:space="preserve"> </w:t>
      </w:r>
      <w:r>
        <w:rPr>
          <w:rFonts w:eastAsia="黑体" w:hint="eastAsia"/>
          <w:color w:val="auto"/>
          <w:sz w:val="44"/>
          <w:szCs w:val="44"/>
          <w:lang w:val="en-US" w:eastAsia="zh-CN"/>
          <w:highlight w:val="auto"/>
        </w:rPr>
        <w:t xml:space="preserve"> </w:t>
      </w:r>
      <w:r>
        <w:rPr>
          <w:rFonts w:ascii="Times New Roman" w:eastAsia="黑体" w:hAnsi="Times New Roman" w:hint="eastAsia"/>
          <w:color w:val="auto"/>
          <w:sz w:val="44"/>
          <w:szCs w:val="44"/>
          <w:highlight w:val="auto"/>
        </w:rPr>
        <w:t>名词解释</w:t>
      </w:r>
      <w:bookmarkEnd w:id="86"/>
      <w:bookmarkEnd w:id="87"/>
      <w:bookmarkEnd w:id="88"/>
      <w:bookmarkEnd w:id="89"/>
    </w:p>
    <w:p>
      <w:pPr>
        <w:spacing w:line="600" w:lineRule="exact"/>
        <w:jc w:val="left"/>
        <w:rPr>
          <w:rFonts w:ascii="Times New Roman" w:hAnsi="Times New Roman"/>
          <w:b/>
          <w:color w:val="auto"/>
          <w:sz w:val="44"/>
          <w:szCs w:val="44"/>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bookmarkStart w:id="90" w:name="_Toc15377226"/>
      <w:r>
        <w:rPr>
          <w:rFonts w:ascii="Times New Roman" w:eastAsia="仿宋_GB2312" w:cs="仿宋_GB2312" w:hAnsi="Times New Roman" w:hint="eastAsia"/>
          <w:color w:val="auto"/>
          <w:kern w:val="2"/>
          <w:sz w:val="32"/>
          <w:szCs w:val="32"/>
          <w:lang w:val="en-US" w:eastAsia="zh-CN" w:bidi="ar-SA"/>
          <w:highlight w:val="auto"/>
        </w:rPr>
        <w:t>1.财政拨款收入：指单位从同级财政部门取得的财政预算资金。</w:t>
      </w:r>
    </w:p>
    <w:p>
      <w:pPr>
        <w:ind w:firstLineChars="200" w:firstLine="640"/>
        <w:rPr>
          <w:rFonts w:ascii="仿宋_GB2312" w:eastAsia="仿宋_GB2312" w:hint="eastAsia"/>
          <w:color w:val="auto"/>
          <w:sz w:val="32"/>
          <w:szCs w:val="32"/>
          <w:highlight w:val="auto"/>
        </w:rPr>
      </w:pPr>
      <w:r>
        <w:rPr>
          <w:rFonts w:ascii="仿宋_GB2312" w:eastAsia="仿宋_GB2312" w:hint="eastAsia"/>
          <w:color w:val="auto"/>
          <w:sz w:val="32"/>
          <w:szCs w:val="32"/>
          <w:lang w:val="en-US" w:eastAsia="zh-CN"/>
          <w:highlight w:val="auto"/>
        </w:rPr>
        <w:t>2</w:t>
      </w:r>
      <w:r>
        <w:rPr>
          <w:rFonts w:ascii="仿宋_GB2312" w:eastAsia="仿宋_GB2312"/>
          <w:color w:val="auto"/>
          <w:sz w:val="32"/>
          <w:szCs w:val="32"/>
          <w:highlight w:val="auto"/>
        </w:rPr>
        <w:t>.</w:t>
      </w:r>
      <w:r>
        <w:rPr>
          <w:rFonts w:ascii="仿宋_GB2312" w:eastAsia="仿宋_GB2312" w:hint="eastAsia"/>
          <w:color w:val="auto"/>
          <w:sz w:val="32"/>
          <w:szCs w:val="32"/>
          <w:highlight w:val="auto"/>
        </w:rPr>
        <w:t>社会保障和就业支出（类）行政事业单位养老支出（款）机关事业单位基本养老保险缴费支出（项）</w:t>
      </w:r>
      <w:r>
        <w:rPr>
          <w:rFonts w:ascii="仿宋_GB2312" w:eastAsia="仿宋_GB2312" w:hint="eastAsia"/>
          <w:color w:val="auto"/>
          <w:sz w:val="32"/>
          <w:szCs w:val="32"/>
          <w:lang w:val="en-US" w:eastAsia="zh-CN"/>
          <w:highlight w:val="auto"/>
        </w:rPr>
        <w:t>:指</w:t>
      </w:r>
      <w:r>
        <w:rPr>
          <w:rFonts w:ascii="仿宋_GB2312" w:eastAsia="仿宋_GB2312" w:hint="eastAsia"/>
          <w:color w:val="auto"/>
          <w:sz w:val="32"/>
          <w:szCs w:val="32"/>
          <w:highlight w:val="auto"/>
        </w:rPr>
        <w:t>反映机关事业单位实施养老保险制度由单位缴纳的基本养老保险费支出。</w:t>
      </w:r>
    </w:p>
    <w:p>
      <w:pPr>
        <w:ind w:firstLineChars="200" w:firstLine="640"/>
        <w:rPr>
          <w:rFonts w:ascii="仿宋_GB2312" w:eastAsia="仿宋_GB2312" w:hint="eastAsia"/>
          <w:color w:val="auto"/>
          <w:sz w:val="32"/>
          <w:szCs w:val="32"/>
          <w:highlight w:val="auto"/>
        </w:rPr>
      </w:pPr>
      <w:r>
        <w:rPr>
          <w:rFonts w:ascii="仿宋_GB2312" w:eastAsia="仿宋_GB2312" w:hint="eastAsia"/>
          <w:color w:val="auto"/>
          <w:sz w:val="32"/>
          <w:szCs w:val="32"/>
          <w:lang w:val="en-US" w:eastAsia="zh-CN"/>
          <w:highlight w:val="auto"/>
        </w:rPr>
        <w:t>3</w:t>
      </w:r>
      <w:r>
        <w:rPr>
          <w:rFonts w:ascii="仿宋_GB2312" w:eastAsia="仿宋_GB2312" w:hint="eastAsia"/>
          <w:color w:val="auto"/>
          <w:sz w:val="32"/>
          <w:szCs w:val="32"/>
          <w:highlight w:val="auto"/>
        </w:rPr>
        <w:t>.社会保障和就业支出（类）行政事业单位养老支出（款）机关事业单位职业年金缴费支出（项）</w:t>
      </w:r>
      <w:r>
        <w:rPr>
          <w:rFonts w:ascii="仿宋_GB2312" w:eastAsia="仿宋_GB2312" w:hint="eastAsia"/>
          <w:color w:val="auto"/>
          <w:sz w:val="32"/>
          <w:szCs w:val="32"/>
          <w:lang w:val="en-US" w:eastAsia="zh-CN"/>
          <w:highlight w:val="auto"/>
        </w:rPr>
        <w:t>:指反映机关事业单位实施养老保险制度由单位实际缴纳的职业年金支出</w:t>
      </w:r>
      <w:r>
        <w:rPr>
          <w:rFonts w:ascii="仿宋_GB2312" w:eastAsia="仿宋_GB2312" w:hint="eastAsia"/>
          <w:color w:val="auto"/>
          <w:sz w:val="32"/>
          <w:szCs w:val="32"/>
          <w:highlight w:val="auto"/>
        </w:rPr>
        <w:t>。</w:t>
      </w:r>
    </w:p>
    <w:p>
      <w:pPr>
        <w:ind w:firstLineChars="200" w:firstLine="640"/>
        <w:rPr>
          <w:rFonts w:ascii="仿宋_GB2312" w:eastAsia="仿宋_GB2312" w:hint="eastAsia"/>
          <w:color w:val="auto"/>
          <w:sz w:val="32"/>
          <w:szCs w:val="32"/>
          <w:highlight w:val="auto"/>
        </w:rPr>
      </w:pPr>
      <w:r>
        <w:rPr>
          <w:rFonts w:ascii="仿宋_GB2312" w:eastAsia="仿宋_GB2312" w:hint="eastAsia"/>
          <w:color w:val="auto"/>
          <w:sz w:val="32"/>
          <w:szCs w:val="32"/>
          <w:lang w:val="en-US" w:eastAsia="zh-CN"/>
          <w:highlight w:val="auto"/>
        </w:rPr>
        <w:t>4</w:t>
      </w:r>
      <w:r>
        <w:rPr>
          <w:rFonts w:ascii="仿宋_GB2312" w:eastAsia="仿宋_GB2312" w:hint="eastAsia"/>
          <w:color w:val="auto"/>
          <w:sz w:val="32"/>
          <w:szCs w:val="32"/>
          <w:highlight w:val="auto"/>
        </w:rPr>
        <w:t>.卫生健康支出（类）行政事业单位医疗（款）事业单位医疗（项）</w:t>
      </w:r>
      <w:r>
        <w:rPr>
          <w:rFonts w:ascii="仿宋_GB2312" w:eastAsia="仿宋_GB2312" w:hint="eastAsia"/>
          <w:color w:val="auto"/>
          <w:sz w:val="32"/>
          <w:szCs w:val="32"/>
          <w:lang w:val="en-US" w:eastAsia="zh-CN"/>
          <w:highlight w:val="auto"/>
        </w:rPr>
        <w:t>:指</w:t>
      </w:r>
      <w:r>
        <w:rPr>
          <w:rFonts w:ascii="仿宋_GB2312" w:eastAsia="仿宋_GB2312" w:hint="eastAsia"/>
          <w:color w:val="auto"/>
          <w:sz w:val="32"/>
          <w:szCs w:val="32"/>
          <w:highlight w:val="auto"/>
        </w:rPr>
        <w:t>反映财政部门安排的事业单位基本医疗保险缴费经费，未参加医疗保险的事业单位的公费医疗经费，按国家规定享受离休人员待遇的医疗经费。</w:t>
      </w:r>
    </w:p>
    <w:p>
      <w:pPr>
        <w:ind w:firstLineChars="200" w:firstLine="640"/>
        <w:rPr>
          <w:rFonts w:ascii="仿宋_GB2312" w:eastAsia="仿宋_GB2312" w:hint="eastAsia"/>
          <w:color w:val="auto"/>
          <w:sz w:val="32"/>
          <w:szCs w:val="32"/>
          <w:highlight w:val="auto"/>
        </w:rPr>
      </w:pPr>
      <w:r>
        <w:rPr>
          <w:rFonts w:ascii="仿宋_GB2312" w:eastAsia="仿宋_GB2312" w:hint="eastAsia"/>
          <w:color w:val="auto"/>
          <w:sz w:val="32"/>
          <w:szCs w:val="32"/>
          <w:lang w:val="en-US" w:eastAsia="zh-CN"/>
          <w:highlight w:val="auto"/>
        </w:rPr>
        <w:t>5</w:t>
      </w:r>
      <w:r>
        <w:rPr>
          <w:rFonts w:ascii="仿宋_GB2312" w:eastAsia="仿宋_GB2312" w:hint="eastAsia"/>
          <w:color w:val="auto"/>
          <w:sz w:val="32"/>
          <w:szCs w:val="32"/>
          <w:highlight w:val="auto"/>
        </w:rPr>
        <w:t>.卫生健康支出（类）行政事业单位医疗（款）其他行政事业单位医疗支出（项）</w:t>
      </w:r>
      <w:r>
        <w:rPr>
          <w:rFonts w:ascii="仿宋_GB2312" w:eastAsia="仿宋_GB2312" w:hint="eastAsia"/>
          <w:color w:val="auto"/>
          <w:sz w:val="32"/>
          <w:szCs w:val="32"/>
          <w:lang w:val="en-US" w:eastAsia="zh-CN"/>
          <w:highlight w:val="auto"/>
        </w:rPr>
        <w:t>:指</w:t>
      </w:r>
      <w:r>
        <w:rPr>
          <w:rFonts w:ascii="仿宋_GB2312" w:eastAsia="仿宋_GB2312" w:hint="eastAsia"/>
          <w:color w:val="auto"/>
          <w:sz w:val="32"/>
          <w:szCs w:val="32"/>
          <w:highlight w:val="auto"/>
        </w:rPr>
        <w:t>反映除上述项目以外的其他用于行政事业单位医疗方面的支出。</w:t>
      </w:r>
    </w:p>
    <w:p>
      <w:pPr>
        <w:ind w:firstLineChars="200" w:firstLine="640"/>
        <w:rPr>
          <w:rFonts w:ascii="仿宋_GB2312" w:eastAsia="仿宋_GB2312" w:hint="eastAsia"/>
          <w:color w:val="auto"/>
          <w:sz w:val="32"/>
          <w:szCs w:val="32"/>
          <w:highlight w:val="auto"/>
        </w:rPr>
      </w:pPr>
      <w:r>
        <w:rPr>
          <w:rFonts w:ascii="仿宋_GB2312" w:eastAsia="仿宋_GB2312" w:hint="eastAsia"/>
          <w:color w:val="auto"/>
          <w:sz w:val="32"/>
          <w:szCs w:val="32"/>
          <w:lang w:val="en-US" w:eastAsia="zh-CN"/>
          <w:highlight w:val="auto"/>
        </w:rPr>
        <w:t>6.</w:t>
      </w:r>
      <w:r>
        <w:rPr>
          <w:rFonts w:ascii="仿宋_GB2312" w:eastAsia="仿宋_GB2312" w:hint="eastAsia"/>
          <w:color w:val="auto"/>
          <w:sz w:val="32"/>
          <w:szCs w:val="32"/>
          <w:highlight w:val="auto"/>
        </w:rPr>
        <w:t>住房保障支出（类）住房改革支出（款）住房公积金（项）</w:t>
      </w:r>
      <w:r>
        <w:rPr>
          <w:rFonts w:ascii="仿宋_GB2312" w:eastAsia="仿宋_GB2312" w:hint="eastAsia"/>
          <w:color w:val="auto"/>
          <w:sz w:val="32"/>
          <w:szCs w:val="32"/>
          <w:lang w:val="en-US" w:eastAsia="zh-CN"/>
          <w:highlight w:val="auto"/>
        </w:rPr>
        <w:t>:指</w:t>
      </w:r>
      <w:r>
        <w:rPr>
          <w:rFonts w:ascii="仿宋_GB2312" w:eastAsia="仿宋_GB2312" w:hint="eastAsia"/>
          <w:color w:val="auto"/>
          <w:sz w:val="32"/>
          <w:szCs w:val="32"/>
          <w:highlight w:val="auto"/>
        </w:rPr>
        <w:t>反映行政事业单位按人力资源和社会保障部、财政部规定的基本工资和津贴补贴以及规定比例为职工缴纳的住房公积金。</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7.基本支出：指为保障机构正常运转、完成日常工作任务而发生的人员支出和公用支出。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 xml:space="preserve">8.项目支出：指在基本支出之外为完成特定行政任务和事业发展目标所发生的支出。 </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9.经营支出：指事业单位在专业业务活动及其辅助活动之外开展非独立核算经营活动发生的支出。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color w:val="auto"/>
          <w:kern w:val="2"/>
          <w:sz w:val="32"/>
          <w:szCs w:val="32"/>
          <w:lang w:eastAsia="zh-CN" w:bidi="ar-SA"/>
          <w:highlight w:val="auto"/>
        </w:rPr>
        <w:t>1</w:t>
      </w:r>
      <w:r>
        <w:rPr>
          <w:rFonts w:ascii="Times New Roman" w:eastAsia="仿宋_GB2312" w:cs="仿宋_GB2312" w:hAnsi="Times New Roman" w:hint="eastAsia"/>
          <w:color w:val="auto"/>
          <w:kern w:val="2"/>
          <w:sz w:val="32"/>
          <w:szCs w:val="32"/>
          <w:lang w:val="en-US" w:eastAsia="zh-CN" w:bidi="ar-SA"/>
          <w:highlight w:val="auto"/>
        </w:rPr>
        <w:t>0.</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三公</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color w:val="auto"/>
          <w:kern w:val="2"/>
          <w:sz w:val="32"/>
          <w:szCs w:val="32"/>
          <w:lang w:eastAsia="zh-CN" w:bidi="ar-SA"/>
          <w:highlight w:val="auto"/>
        </w:rPr>
        <w:t>1</w:t>
      </w:r>
      <w:r>
        <w:rPr>
          <w:rFonts w:ascii="Times New Roman" w:eastAsia="仿宋_GB2312" w:cs="仿宋_GB2312" w:hAnsi="Times New Roman" w:hint="eastAsia"/>
          <w:color w:val="auto"/>
          <w:kern w:val="2"/>
          <w:sz w:val="32"/>
          <w:szCs w:val="32"/>
          <w:lang w:val="en-US" w:eastAsia="zh-CN" w:bidi="ar-SA"/>
          <w:highlight w:val="auto"/>
        </w:rPr>
        <w:t>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outlineLvl w:val="0"/>
        <w:rPr>
          <w:rFonts w:ascii="Times New Roman" w:eastAsia="黑体" w:hAnsi="Times New Roman" w:hint="eastAsia"/>
          <w:color w:val="auto"/>
          <w:sz w:val="44"/>
          <w:szCs w:val="44"/>
          <w:highlight w:val="auto"/>
        </w:rPr>
      </w:pPr>
      <w:r>
        <w:rPr>
          <w:rFonts w:ascii="Times New Roman" w:eastAsia="仿宋_GB2312" w:cs="仿宋_GB2312" w:hAnsi="Times New Roman" w:hint="eastAsia"/>
          <w:color w:val="auto"/>
          <w:kern w:val="2"/>
          <w:sz w:val="32"/>
          <w:szCs w:val="32"/>
          <w:lang w:val="en-US" w:eastAsia="zh-CN" w:bidi="ar-SA"/>
          <w:highlight w:val="auto"/>
        </w:rPr>
        <w:br w:type="page"/>
      </w:r>
      <w:bookmarkStart w:id="91" w:name="_Toc15396614"/>
      <w:bookmarkStart w:id="92" w:name="_Toc25193345"/>
      <w:r>
        <w:rPr>
          <w:rFonts w:ascii="Times New Roman" w:eastAsia="黑体" w:hAnsi="Times New Roman" w:hint="eastAsia"/>
          <w:color w:val="auto"/>
          <w:sz w:val="44"/>
          <w:szCs w:val="44"/>
          <w:highlight w:val="auto"/>
        </w:rPr>
        <w:t>第</w:t>
      </w:r>
      <w:r>
        <w:rPr>
          <w:rFonts w:eastAsia="黑体"/>
          <w:color w:val="auto"/>
          <w:sz w:val="44"/>
          <w:szCs w:val="44"/>
          <w:lang w:eastAsia="zh-CN"/>
          <w:highlight w:val="auto"/>
        </w:rPr>
        <w:t>四</w:t>
      </w:r>
      <w:r>
        <w:rPr>
          <w:rFonts w:ascii="Times New Roman" w:eastAsia="黑体" w:hAnsi="Times New Roman" w:hint="eastAsia"/>
          <w:color w:val="auto"/>
          <w:sz w:val="44"/>
          <w:szCs w:val="44"/>
          <w:highlight w:val="auto"/>
        </w:rPr>
        <w:t>部分</w:t>
      </w:r>
      <w:r>
        <w:rPr>
          <w:rFonts w:ascii="Times New Roman" w:eastAsia="黑体" w:hAnsi="Times New Roman" w:hint="eastAsia"/>
          <w:color w:val="auto"/>
          <w:sz w:val="44"/>
          <w:szCs w:val="44"/>
          <w:lang w:val="en-US" w:eastAsia="zh-CN"/>
          <w:highlight w:val="auto"/>
        </w:rPr>
        <w:t xml:space="preserve"> </w:t>
      </w:r>
      <w:r>
        <w:rPr>
          <w:rFonts w:eastAsia="黑体" w:hint="eastAsia"/>
          <w:color w:val="auto"/>
          <w:sz w:val="44"/>
          <w:szCs w:val="44"/>
          <w:lang w:val="en-US" w:eastAsia="zh-CN"/>
          <w:highlight w:val="auto"/>
        </w:rPr>
        <w:t xml:space="preserve"> </w:t>
      </w:r>
      <w:r>
        <w:rPr>
          <w:rFonts w:ascii="Times New Roman" w:eastAsia="黑体" w:hAnsi="Times New Roman"/>
          <w:color w:val="auto"/>
          <w:sz w:val="44"/>
          <w:szCs w:val="44"/>
          <w:highlight w:val="auto"/>
        </w:rPr>
        <w:t>附件</w:t>
      </w:r>
      <w:bookmarkEnd w:id="92"/>
    </w:p>
    <w:p>
      <w:pPr>
        <w:keepNext w:val="0"/>
        <w:keepLines w:val="0"/>
        <w:pageBreakBefore w:val="0"/>
        <w:widowControl w:val="0"/>
        <w:kinsoku/>
        <w:wordWrap/>
        <w:overflowPunct/>
        <w:topLinePunct w:val="0"/>
        <w:autoSpaceDE/>
        <w:autoSpaceDN/>
        <w:bidi w:val="0"/>
        <w:spacing w:line="572" w:lineRule="exact"/>
        <w:jc w:val="left"/>
        <w:textAlignment w:val="auto"/>
        <w:outlineLvl w:val="0"/>
        <w:rPr>
          <w:rFonts w:ascii="Times New Roman" w:eastAsia="黑体" w:cs="黑体" w:hAnsi="Times New Roman" w:hint="eastAsia"/>
          <w:color w:val="FF0000"/>
          <w:sz w:val="32"/>
          <w:szCs w:val="32"/>
          <w:highlight w:val="auto"/>
        </w:rPr>
      </w:pPr>
      <w:bookmarkEnd w:id="91"/>
    </w:p>
    <w:p>
      <w:pPr>
        <w:ind w:firstLineChars="200" w:firstLine="640"/>
        <w:rPr>
          <w:rFonts w:eastAsia="仿宋_GB2312" w:cs="仿宋_GB2312" w:hint="eastAsia"/>
          <w:sz w:val="32"/>
          <w:szCs w:val="32"/>
        </w:rPr>
        <w:sectPr>
          <w:pgSz w:w="11906" w:h="16838"/>
          <w:pgMar w:top="1440" w:right="1800" w:bottom="1440" w:left="1800" w:header="851" w:footer="992" w:gutter="0"/>
          <w:pgNumType/>
          <w:docGrid w:type="lines" w:linePitch="312" w:charSpace="0"/>
        </w:sectPr>
      </w:pPr>
      <w:r>
        <w:rPr>
          <w:rFonts w:ascii="Times New Roman" w:eastAsia="仿宋_GB2312" w:cs="仿宋_GB2312" w:hAnsi="Times New Roman" w:hint="eastAsia"/>
          <w:color w:val="auto"/>
          <w:kern w:val="2"/>
          <w:sz w:val="32"/>
          <w:szCs w:val="32"/>
          <w:lang w:val="en-US" w:eastAsia="zh-CN" w:bidi="ar-SA"/>
          <w:highlight w:val="auto"/>
        </w:rPr>
        <w:t>部门预算项目支出绩效自评表（202</w:t>
      </w:r>
      <w:r>
        <w:rPr>
          <w:rFonts w:ascii="Times New Roman" w:eastAsia="仿宋_GB2312" w:cs="仿宋_GB2312" w:hAnsi="Times New Roman"/>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年度）</w:t>
      </w:r>
      <w:r>
        <w:rPr>
          <w:rFonts w:ascii="Times New Roman" w:eastAsia="仿宋_GB2312" w:cs="仿宋_GB2312" w:hAnsi="Times New Roman"/>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本单位无项目预算，无开展预算事前绩效评估的项目。</w:t>
      </w:r>
    </w:p>
    <w:p>
      <w:pPr>
        <w:pStyle w:val="17"/>
        <w:keepNext w:val="0"/>
        <w:keepLines w:val="0"/>
        <w:pageBreakBefore w:val="0"/>
        <w:widowControl w:val="0"/>
        <w:kinsoku/>
        <w:wordWrap/>
        <w:overflowPunct/>
        <w:topLinePunct w:val="0"/>
        <w:autoSpaceDE/>
        <w:autoSpaceDN/>
        <w:bidi w:val="0"/>
        <w:spacing w:line="560" w:lineRule="exact"/>
        <w:ind w:leftChars="0" w:left="0" w:firstLineChars="0" w:firstLine="0"/>
        <w:textAlignment w:val="auto"/>
        <w:rPr>
          <w:rFonts w:ascii="Times New Roman" w:cs="Times New Roman" w:hAnsi="Times New Roman" w:hint="eastAsia"/>
          <w:sz w:val="32"/>
          <w:szCs w:val="32"/>
          <w:lang w:val="zh-CN" w:eastAsia="zh-CN"/>
          <w:highlight w:val="yellow"/>
        </w:rPr>
      </w:pPr>
    </w:p>
    <w:p>
      <w:pPr>
        <w:spacing w:line="600" w:lineRule="exact"/>
        <w:jc w:val="center"/>
        <w:outlineLvl w:val="0"/>
        <w:rPr>
          <w:rFonts w:ascii="Times New Roman" w:eastAsia="黑体" w:hAnsi="Times New Roman" w:hint="eastAsia"/>
          <w:color w:val="auto"/>
          <w:sz w:val="44"/>
          <w:szCs w:val="44"/>
          <w:highlight w:val="auto"/>
        </w:rPr>
      </w:pPr>
      <w:bookmarkStart w:id="93" w:name="_Toc25193346"/>
      <w:r>
        <w:rPr>
          <w:rFonts w:ascii="Times New Roman" w:eastAsia="黑体" w:hAnsi="Times New Roman" w:hint="eastAsia"/>
          <w:color w:val="auto"/>
          <w:sz w:val="44"/>
          <w:szCs w:val="44"/>
          <w:highlight w:val="auto"/>
        </w:rPr>
        <w:t>第</w:t>
      </w:r>
      <w:r>
        <w:rPr>
          <w:rFonts w:eastAsia="黑体"/>
          <w:color w:val="auto"/>
          <w:sz w:val="44"/>
          <w:szCs w:val="44"/>
          <w:lang w:eastAsia="zh-CN"/>
          <w:highlight w:val="auto"/>
        </w:rPr>
        <w:t>五</w:t>
      </w:r>
      <w:r>
        <w:rPr>
          <w:rFonts w:ascii="Times New Roman" w:eastAsia="黑体" w:hAnsi="Times New Roman" w:hint="eastAsia"/>
          <w:color w:val="auto"/>
          <w:sz w:val="44"/>
          <w:szCs w:val="44"/>
          <w:highlight w:val="auto"/>
        </w:rPr>
        <w:t>部分</w:t>
      </w:r>
      <w:r>
        <w:rPr>
          <w:rFonts w:ascii="Times New Roman" w:eastAsia="黑体" w:hAnsi="Times New Roman" w:hint="eastAsia"/>
          <w:color w:val="auto"/>
          <w:sz w:val="44"/>
          <w:szCs w:val="44"/>
          <w:lang w:val="en-US" w:eastAsia="zh-CN"/>
          <w:highlight w:val="auto"/>
        </w:rPr>
        <w:t xml:space="preserve"> </w:t>
      </w:r>
      <w:r>
        <w:rPr>
          <w:rFonts w:eastAsia="黑体" w:hint="eastAsia"/>
          <w:color w:val="auto"/>
          <w:sz w:val="44"/>
          <w:szCs w:val="44"/>
          <w:lang w:val="en-US" w:eastAsia="zh-CN"/>
          <w:highlight w:val="auto"/>
        </w:rPr>
        <w:t xml:space="preserve"> </w:t>
      </w:r>
      <w:r>
        <w:rPr>
          <w:rFonts w:ascii="Times New Roman" w:eastAsia="黑体" w:hAnsi="Times New Roman"/>
          <w:color w:val="auto"/>
          <w:sz w:val="44"/>
          <w:szCs w:val="44"/>
          <w:highlight w:val="auto"/>
        </w:rPr>
        <w:t>附表</w:t>
      </w:r>
      <w:bookmarkEnd w:id="93"/>
    </w:p>
    <w:p>
      <w:pPr>
        <w:pStyle w:val="2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94" w:name="_Toc15396619"/>
      <w:bookmarkEnd w:id="90"/>
    </w:p>
    <w:p>
      <w:pPr>
        <w:pStyle w:val="2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一、收入支出决算总表</w:t>
      </w:r>
      <w:bookmarkEnd w:id="94"/>
    </w:p>
    <w:p>
      <w:pPr>
        <w:pStyle w:val="2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95" w:name="_Toc15396620"/>
      <w:r>
        <w:rPr>
          <w:rFonts w:ascii="Times New Roman" w:eastAsia="仿宋_GB2312" w:cs="仿宋_GB2312" w:hAnsi="Times New Roman" w:hint="eastAsia"/>
          <w:color w:val="auto"/>
          <w:sz w:val="32"/>
          <w:szCs w:val="32"/>
          <w:highlight w:val="auto"/>
        </w:rPr>
        <w:t>二、收入决算表</w:t>
      </w:r>
      <w:bookmarkEnd w:id="95"/>
    </w:p>
    <w:p>
      <w:pPr>
        <w:pStyle w:val="2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96" w:name="_Toc15396621"/>
      <w:r>
        <w:rPr>
          <w:rFonts w:ascii="Times New Roman" w:eastAsia="仿宋_GB2312" w:cs="仿宋_GB2312" w:hAnsi="Times New Roman" w:hint="eastAsia"/>
          <w:color w:val="auto"/>
          <w:sz w:val="32"/>
          <w:szCs w:val="32"/>
          <w:highlight w:val="auto"/>
        </w:rPr>
        <w:t>三、支出决算表</w:t>
      </w:r>
      <w:bookmarkEnd w:id="96"/>
    </w:p>
    <w:p>
      <w:pPr>
        <w:pStyle w:val="2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97" w:name="_Toc15396622"/>
      <w:r>
        <w:rPr>
          <w:rFonts w:ascii="Times New Roman" w:eastAsia="仿宋_GB2312" w:cs="仿宋_GB2312" w:hAnsi="Times New Roman" w:hint="eastAsia"/>
          <w:color w:val="auto"/>
          <w:sz w:val="32"/>
          <w:szCs w:val="32"/>
          <w:highlight w:val="auto"/>
        </w:rPr>
        <w:t>四、财政拨款收入支出决算总表</w:t>
      </w:r>
      <w:bookmarkEnd w:id="97"/>
    </w:p>
    <w:p>
      <w:pPr>
        <w:pStyle w:val="2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98" w:name="_Toc15396623"/>
      <w:r>
        <w:rPr>
          <w:rFonts w:ascii="Times New Roman" w:eastAsia="仿宋_GB2312" w:cs="仿宋_GB2312" w:hAnsi="Times New Roman" w:hint="eastAsia"/>
          <w:color w:val="auto"/>
          <w:sz w:val="32"/>
          <w:szCs w:val="32"/>
          <w:highlight w:val="auto"/>
        </w:rPr>
        <w:t>五、财政拨款支出决算明细表</w:t>
      </w:r>
      <w:bookmarkStart w:id="99" w:name="_Toc15396624"/>
      <w:bookmarkEnd w:id="98"/>
    </w:p>
    <w:p>
      <w:pPr>
        <w:pStyle w:val="2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r>
        <w:rPr>
          <w:rFonts w:ascii="Times New Roman" w:eastAsia="仿宋_GB2312" w:cs="仿宋_GB2312" w:hAnsi="Times New Roman" w:hint="eastAsia"/>
          <w:color w:val="auto"/>
          <w:sz w:val="32"/>
          <w:szCs w:val="32"/>
          <w:highlight w:val="auto"/>
        </w:rPr>
        <w:t>六、一般公共预算财政拨款支出决算表</w:t>
      </w:r>
      <w:bookmarkEnd w:id="99"/>
    </w:p>
    <w:p>
      <w:pPr>
        <w:pStyle w:val="2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100" w:name="_Toc15396625"/>
      <w:r>
        <w:rPr>
          <w:rFonts w:ascii="Times New Roman" w:eastAsia="仿宋_GB2312" w:cs="仿宋_GB2312" w:hAnsi="Times New Roman" w:hint="eastAsia"/>
          <w:color w:val="auto"/>
          <w:sz w:val="32"/>
          <w:szCs w:val="32"/>
          <w:highlight w:val="auto"/>
        </w:rPr>
        <w:t>七、一般公共预算财政拨款支出决算明细表</w:t>
      </w:r>
      <w:bookmarkEnd w:id="100"/>
    </w:p>
    <w:p>
      <w:pPr>
        <w:pStyle w:val="2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101" w:name="_Toc15396626"/>
      <w:r>
        <w:rPr>
          <w:rFonts w:ascii="Times New Roman" w:eastAsia="仿宋_GB2312" w:cs="仿宋_GB2312" w:hAnsi="Times New Roman" w:hint="eastAsia"/>
          <w:color w:val="auto"/>
          <w:sz w:val="32"/>
          <w:szCs w:val="32"/>
          <w:highlight w:val="auto"/>
        </w:rPr>
        <w:t>八、一般公共预算财政拨款基本支出决算表</w:t>
      </w:r>
      <w:bookmarkEnd w:id="101"/>
    </w:p>
    <w:p>
      <w:pPr>
        <w:pStyle w:val="2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102" w:name="_Toc15396627"/>
      <w:r>
        <w:rPr>
          <w:rFonts w:ascii="Times New Roman" w:eastAsia="仿宋_GB2312" w:cs="仿宋_GB2312" w:hAnsi="Times New Roman" w:hint="eastAsia"/>
          <w:color w:val="auto"/>
          <w:sz w:val="32"/>
          <w:szCs w:val="32"/>
          <w:highlight w:val="auto"/>
        </w:rPr>
        <w:t>九、一般公共预算财政拨款项目支出决算表</w:t>
      </w:r>
      <w:bookmarkEnd w:id="102"/>
    </w:p>
    <w:p>
      <w:pPr>
        <w:pStyle w:val="2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103" w:name="_Toc15396628"/>
      <w:r>
        <w:rPr>
          <w:rFonts w:ascii="Times New Roman" w:eastAsia="仿宋_GB2312" w:cs="仿宋_GB2312" w:hAnsi="Times New Roman" w:hint="eastAsia"/>
          <w:color w:val="auto"/>
          <w:sz w:val="32"/>
          <w:szCs w:val="32"/>
          <w:highlight w:val="auto"/>
        </w:rPr>
        <w:t>十、</w:t>
      </w:r>
      <w:bookmarkEnd w:id="103"/>
      <w:r>
        <w:rPr>
          <w:rFonts w:ascii="Times New Roman" w:eastAsia="仿宋_GB2312" w:cs="仿宋_GB2312" w:hAnsi="Times New Roman" w:hint="eastAsia"/>
          <w:color w:val="auto"/>
          <w:sz w:val="32"/>
          <w:szCs w:val="32"/>
          <w:highlight w:val="auto"/>
        </w:rPr>
        <w:t>政府性基金预算财政拨款收入支出决算表</w:t>
      </w:r>
    </w:p>
    <w:p>
      <w:pPr>
        <w:pStyle w:val="2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104" w:name="_Toc15396629"/>
      <w:r>
        <w:rPr>
          <w:rFonts w:ascii="Times New Roman" w:eastAsia="仿宋_GB2312" w:cs="仿宋_GB2312" w:hAnsi="Times New Roman" w:hint="eastAsia"/>
          <w:color w:val="auto"/>
          <w:sz w:val="32"/>
          <w:szCs w:val="32"/>
          <w:highlight w:val="auto"/>
        </w:rPr>
        <w:t>十一、</w:t>
      </w:r>
      <w:bookmarkEnd w:id="104"/>
      <w:r>
        <w:rPr>
          <w:rFonts w:ascii="Times New Roman" w:eastAsia="仿宋_GB2312" w:cs="仿宋_GB2312" w:hAnsi="Times New Roman" w:hint="eastAsia"/>
          <w:color w:val="auto"/>
          <w:sz w:val="32"/>
          <w:szCs w:val="32"/>
          <w:highlight w:val="auto"/>
        </w:rPr>
        <w:t>国有资本经营预算</w:t>
      </w:r>
      <w:r>
        <w:rPr>
          <w:rFonts w:ascii="Times New Roman" w:eastAsia="仿宋_GB2312" w:cs="仿宋_GB2312" w:hAnsi="Times New Roman" w:hint="eastAsia"/>
          <w:color w:val="auto"/>
          <w:sz w:val="32"/>
          <w:szCs w:val="32"/>
          <w:lang w:eastAsia="zh-CN"/>
          <w:highlight w:val="auto"/>
        </w:rPr>
        <w:t>财政拨款收入</w:t>
      </w:r>
      <w:r>
        <w:rPr>
          <w:rFonts w:ascii="Times New Roman" w:eastAsia="仿宋_GB2312" w:cs="仿宋_GB2312" w:hAnsi="Times New Roman" w:hint="eastAsia"/>
          <w:color w:val="auto"/>
          <w:sz w:val="32"/>
          <w:szCs w:val="32"/>
          <w:highlight w:val="auto"/>
        </w:rPr>
        <w:t>支出决算表</w:t>
      </w:r>
    </w:p>
    <w:p>
      <w:pPr>
        <w:pStyle w:val="2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highlight w:val="auto"/>
        </w:rPr>
      </w:pPr>
      <w:bookmarkStart w:id="105" w:name="_Toc15396630"/>
      <w:r>
        <w:rPr>
          <w:rFonts w:ascii="Times New Roman" w:eastAsia="仿宋_GB2312" w:cs="仿宋_GB2312" w:hAnsi="Times New Roman" w:hint="eastAsia"/>
          <w:color w:val="auto"/>
          <w:sz w:val="32"/>
          <w:szCs w:val="32"/>
          <w:highlight w:val="auto"/>
        </w:rPr>
        <w:t>十二、</w:t>
      </w:r>
      <w:bookmarkEnd w:id="105"/>
      <w:r>
        <w:rPr>
          <w:rFonts w:ascii="Times New Roman" w:eastAsia="仿宋_GB2312" w:cs="仿宋_GB2312" w:hAnsi="Times New Roman" w:hint="eastAsia"/>
          <w:color w:val="auto"/>
          <w:sz w:val="32"/>
          <w:szCs w:val="32"/>
          <w:lang w:eastAsia="zh-CN"/>
          <w:highlight w:val="auto"/>
        </w:rPr>
        <w:t>国有资本经营预算财政拨款支出决算表</w:t>
      </w:r>
    </w:p>
    <w:p>
      <w:pPr>
        <w:pStyle w:val="2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ascii="Times New Roman" w:eastAsia="仿宋_GB2312" w:cs="仿宋_GB2312" w:hAnsi="Times New Roman" w:hint="eastAsia"/>
          <w:color w:val="auto"/>
          <w:sz w:val="32"/>
          <w:szCs w:val="32"/>
          <w:lang w:eastAsia="zh-CN"/>
          <w:highlight w:val="auto"/>
        </w:rPr>
      </w:pPr>
      <w:bookmarkStart w:id="106" w:name="_Toc15396631"/>
      <w:r>
        <w:rPr>
          <w:rFonts w:ascii="Times New Roman" w:eastAsia="仿宋_GB2312" w:cs="仿宋_GB2312" w:hAnsi="Times New Roman" w:hint="eastAsia"/>
          <w:color w:val="auto"/>
          <w:sz w:val="32"/>
          <w:szCs w:val="32"/>
          <w:highlight w:val="auto"/>
        </w:rPr>
        <w:t>十三、</w:t>
      </w:r>
      <w:bookmarkEnd w:id="106"/>
      <w:r>
        <w:rPr>
          <w:rFonts w:ascii="Times New Roman" w:eastAsia="仿宋_GB2312" w:cs="仿宋_GB2312" w:hAnsi="Times New Roman" w:hint="eastAsia"/>
          <w:color w:val="auto"/>
          <w:sz w:val="32"/>
          <w:szCs w:val="32"/>
          <w:lang w:eastAsia="zh-CN"/>
          <w:highlight w:val="auto"/>
        </w:rPr>
        <w:t>财政拨款“三公”经费支出决算表</w:t>
      </w:r>
    </w:p>
    <w:p>
      <w:pPr>
        <w:jc w:val="center"/>
        <w:rPr>
          <w:rFonts w:eastAsia="仿宋_GB2312" w:cs="仿宋_GB2312" w:hint="eastAsia"/>
          <w:caps w:val="0"/>
          <w:smallCaps/>
          <w:kern w:val="0"/>
          <w:sz w:val="32"/>
          <w:szCs w:val="32"/>
        </w:rPr>
      </w:pPr>
      <w:r>
        <w:rPr>
          <w:rFonts w:eastAsia="仿宋_GB2312" w:cs="仿宋_GB2312" w:hint="eastAsia"/>
          <w:caps w:val="0"/>
          <w:smallCaps/>
          <w:kern w:val="0"/>
          <w:sz w:val="32"/>
          <w:szCs w:val="32"/>
        </w:rPr>
        <w:t>（以上表格见附件）</w:t>
      </w:r>
    </w:p>
    <w:sectPr>
      <w:pgSz w:w="11906" w:h="16838"/>
      <w:pgMar w:top="1440" w:right="1800" w:bottom="1440" w:left="1800" w:header="851" w:footer="992" w:gutter="0"/>
      <w:pgNumType/>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1"/>
    <w:family w:val="auto"/>
    <w:pitch w:val="variable"/>
    <w:sig w:usb0="E0002EFF" w:usb1="C000785B" w:usb2="00000009" w:usb3="00000000" w:csb0="400001FF" w:csb1="FFFF0000"/>
  </w:font>
  <w:font w:name="方正小标宋简体">
    <w:panose1 w:val="02010601030101010101"/>
    <w:charset w:val="86"/>
    <w:family w:val="script"/>
    <w:pitch w:val="variable"/>
    <w:sig w:usb0="00000001" w:usb1="080E0000" w:usb2="00000000" w:usb3="00000000" w:csb0="00040000" w:csb1="00000000"/>
  </w:font>
  <w:font w:name="方正大黑_GBK">
    <w:altName w:val="黑体"/>
    <w:panose1 w:val="03000509000000000000"/>
    <w:charset w:val="86"/>
    <w:family w:val="script"/>
    <w:pitch w:val="variable"/>
    <w:sig w:usb0="00000000" w:usb1="00000000" w:usb2="00000000" w:usb3="00000000" w:csb0="00040000" w:csb1="00000000"/>
  </w:font>
  <w:font w:name="仿宋_GB2312">
    <w:panose1 w:val="02010609030101010101"/>
    <w:charset w:val="86"/>
    <w:family w:val="modern"/>
    <w:pitch w:val="variable"/>
    <w:sig w:usb0="00000001" w:usb1="080E0000" w:usb2="00000000" w:usb3="00000000" w:csb0="00040000" w:csb1="00000000"/>
  </w:font>
  <w:font w:name="黑体">
    <w:altName w:val="方正黑体_GBK"/>
    <w:panose1 w:val="02010609060101010101"/>
    <w:charset w:val="86"/>
    <w:family w:val="auto"/>
    <w:pitch w:val="variable"/>
    <w:sig w:usb0="800002BF" w:usb1="38CF7CFA" w:usb2="00000016" w:usb3="00000000" w:csb0="00040001" w:csb1="00000000"/>
  </w:font>
  <w:font w:name="宋体">
    <w:altName w:val="方正书宋_GBK"/>
    <w:panose1 w:val="02010600030101010101"/>
    <w:charset w:val="7A"/>
    <w:family w:val="auto"/>
    <w:pitch w:val="variable"/>
    <w:sig w:usb0="00000203" w:usb1="288F0000" w:usb2="00000006" w:usb3="00000000" w:csb0="00040001" w:csb1="00000000"/>
  </w:font>
  <w:font w:name="方正仿宋_GBK">
    <w:panose1 w:val="03000509000000000000"/>
    <w:charset w:val="86"/>
    <w:family w:val="script"/>
    <w:pitch w:val="variable"/>
    <w:sig w:usb0="00000001" w:usb1="080E0000" w:usb2="00000000" w:usb3="00000000" w:csb0="00040000" w:csb1="00000000"/>
  </w:font>
  <w:font w:name="方正仿宋_GB2312">
    <w:altName w:val="方正兰亭黑_GBK"/>
    <w:panose1 w:val="02000000000000000000"/>
    <w:charset w:val="86"/>
    <w:family w:val="auto"/>
    <w:pitch w:val="variable"/>
    <w:sig w:usb0="A00002BF" w:usb1="184F6CFA" w:usb2="00000012" w:usb3="00000000" w:csb0="00040001" w:csb1="00000000"/>
  </w:font>
  <w:font w:name="仿宋">
    <w:altName w:val="仿宋_GB2312"/>
    <w:panose1 w:val="02010609060101010101"/>
    <w:charset w:val="86"/>
    <w:family w:val="modern"/>
    <w:pitch w:val="variable"/>
    <w:sig w:usb0="800002BF" w:usb1="38CF7CFA" w:usb2="00000016" w:usb3="00000000" w:csb0="00040001" w:csb1="00000000"/>
  </w:font>
  <w:font w:name="楷体_GB2312">
    <w:panose1 w:val="02010609030101010101"/>
    <w:charset w:val="86"/>
    <w:family w:val="auto"/>
    <w:pitch w:val="variable"/>
    <w:sig w:usb0="00000001" w:usb1="080E0000" w:usb2="00000000" w:usb3="00000000" w:csb0="00040000" w:csb1="00000000"/>
  </w:font>
  <w:font w:name="Cambria">
    <w:altName w:val="DejaVu Sans"/>
    <w:panose1 w:val="02040503050406030204"/>
    <w:charset w:val="00"/>
    <w:family w:val="roman"/>
    <w:pitch w:val="variable"/>
    <w:sig w:usb0="E00006FF" w:usb1="420024FF" w:usb2="02000000" w:usb3="00000000" w:csb0="2000019F" w:csb1="00000000"/>
  </w:font>
  <w:font w:name="Calibri">
    <w:altName w:val="Times New Roman"/>
    <w:panose1 w:val="020F0502020204030204"/>
    <w:charset w:val="00"/>
    <w:family w:val="swiss"/>
    <w:pitch w:val="variable"/>
    <w:sig w:usb0="E4002EFF" w:usb1="C200247B" w:usb2="00000009" w:usb3="00000000" w:csb0="200001FF" w:csb1="00000000"/>
  </w:font>
  <w:font w:name="Arial">
    <w:altName w:val="DejaVu Sans"/>
    <w:panose1 w:val="020B0604020202020204"/>
    <w:charset w:val="01"/>
    <w:family w:val="swiss"/>
    <w:pitch w:val="variable"/>
    <w:sig w:usb0="E0002EFF" w:usb1="C000785B" w:usb2="00000009" w:usb3="00000000" w:csb0="400001FF" w:csb1="FFFF0000"/>
  </w:font>
  <w:font w:name="??">
    <w:altName w:val="DejaVu Sans"/>
    <w:panose1 w:val="00000000000000000000"/>
    <w:charset w:val="00"/>
    <w:family w:val="roman"/>
    <w:pitch w:val="variable"/>
    <w:sig w:usb0="00000000" w:usb1="00000000" w:usb2="00000000" w:usb3="00000000" w:csb0="00000000" w:csb1="00000000"/>
  </w:font>
  <w:font w:name="方正仿宋简体">
    <w:panose1 w:val="02000000000000000000"/>
    <w:charset w:val="86"/>
    <w:family w:val="script"/>
    <w:pitch w:val="variable"/>
    <w:sig w:usb0="A00002BF" w:usb1="184F6CFA" w:usb2="00000012" w:usb3="00000000" w:csb0="0004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tabs>
        <w:tab w:val="center" w:pos="4153"/>
        <w:tab w:val="right" w:pos="8306"/>
      </w:tabs>
      <w:jc w:val="center"/>
    </w:pPr>
  </w:p>
  <w:p>
    <w:pPr>
      <w:pStyle w:val="24"/>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framePr w:w="0" w:hRule="auto" w:wrap="around" w:vAnchor="text" w:hAnchor="margin" w:xAlign="outside" w:y="1" w:anchorLock="0"/>
      <w:pBdr>
        <w:top w:val="none" w:sz="0" w:space="0" w:color="auto"/>
        <w:left w:val="none" w:sz="0" w:space="0" w:color="auto"/>
        <w:bottom w:val="none" w:sz="0" w:space="0" w:color="auto"/>
        <w:right w:val="none" w:sz="0" w:space="0" w:color="auto"/>
      </w:pBdr>
      <w:tabs>
        <w:tab w:val="center" w:pos="4153"/>
        <w:tab w:val="right" w:pos="8306"/>
      </w:tabs>
    </w:pPr>
    <w:r>
      <w:rPr>
        <w:rStyle w:val="32"/>
      </w:rPr>
      <w:fldChar w:fldCharType="begin"/>
    </w:r>
    <w:r>
      <w:rPr>
        <w:rStyle w:val="32"/>
      </w:rPr>
      <w:instrText>Page</w:instrText>
    </w:r>
    <w:r>
      <w:rPr>
        <w:rStyle w:val="32"/>
      </w:rPr>
      <w:fldChar w:fldCharType="separate"/>
    </w:r>
    <w:r>
      <w:rPr>
        <w:rStyle w:val="32"/>
      </w:rPr>
      <w:t>1</w:t>
    </w:r>
    <w:r>
      <w:rPr>
        <w:rStyle w:val="32"/>
      </w:rPr>
      <w:fldChar w:fldCharType="end"/>
    </w:r>
  </w:p>
  <w:p>
    <w:pPr>
      <w:pStyle w:val="24"/>
      <w:framePr w:w="0" w:hRule="auto" w:wrap="around" w:vAnchor="text" w:hAnchor="margin" w:xAlign="outside" w:y="1" w:anchorLock="0"/>
      <w:pBdr>
        <w:top w:val="none" w:sz="0" w:space="0" w:color="auto"/>
        <w:left w:val="none" w:sz="0" w:space="0" w:color="auto"/>
        <w:bottom w:val="none" w:sz="0" w:space="0" w:color="auto"/>
        <w:right w:val="none" w:sz="0" w:space="0" w:color="auto"/>
      </w:pBdr>
      <w:tabs>
        <w:tab w:val="center" w:pos="4153"/>
        <w:tab w:val="right" w:pos="8306"/>
      </w:tabs>
      <w:ind w:right="360" w:firstLine="360"/>
    </w:pPr>
    <w:r>
      <w:rPr>
        <w:rStyle w:val="32"/>
      </w:rPr>
      <w:fldChar w:fldCharType="begin"/>
    </w:r>
    <w:r>
      <w:rPr>
        <w:rStyle w:val="32"/>
      </w:rPr>
      <w:instrText>Page</w:instrText>
    </w:r>
    <w:r>
      <w:rPr>
        <w:rStyle w:val="32"/>
      </w:rPr>
      <w:fldChar w:fldCharType="separate"/>
    </w:r>
    <w:r>
      <w:rPr>
        <w:rStyle w:val="32"/>
      </w:rPr>
      <w:t>1</w:t>
    </w:r>
    <w:r>
      <w:rPr>
        <w:rStyle w:val="32"/>
      </w:rPr>
      <w:fldChar w:fldCharType="end"/>
    </w:r>
  </w:p>
  <w:p>
    <w:pPr>
      <w:pStyle w:val="24"/>
      <w:tabs>
        <w:tab w:val="center" w:pos="4153"/>
        <w:tab w:val="right" w:pos="8306"/>
      </w:tabs>
      <w:ind w:right="360" w:firstLine="360"/>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tabs>
        <w:tab w:val="center" w:pos="4153"/>
        <w:tab w:val="right" w:pos="8306"/>
      </w:tabs>
      <w:jc w:val="center"/>
    </w:pPr>
  </w:p>
  <w:p>
    <w:pPr>
      <w:pStyle w:val="24"/>
      <w:tabs>
        <w:tab w:val="center" w:pos="4153"/>
        <w:tab w:val="right" w:pos="8306"/>
      </w:tabs>
    </w:pPr>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tabs>
        <w:tab w:val="center" w:pos="4153"/>
        <w:tab w:val="right" w:pos="8306"/>
      </w:tabs>
    </w:pPr>
  </w:p>
</w:ftr>
</file>

<file path=word/footer5.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tabs>
        <w:tab w:val="center" w:pos="4153"/>
        <w:tab w:val="right" w:pos="8306"/>
      </w:tabs>
      <w:ind w:left="0" w:right="360"/>
    </w:pPr>
  </w:p>
</w:ftr>
</file>

<file path=word/footer6.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tabs>
        <w:tab w:val="center" w:pos="4153"/>
        <w:tab w:val="right" w:pos="8306"/>
      </w:tabs>
    </w:pPr>
    <w:r>
      <w:rPr>
        <w:sz w:val="18"/>
      </w:rPr>
      <mc:AlternateContent>
        <mc:Choice Requires="wps">
          <w:drawing>
            <wp:anchor distT="0" distB="0" distL="114298" distR="114298" simplePos="0" relativeHeight="31" behindDoc="0" locked="0" layoutInCell="1" hidden="0" allowOverlap="1">
              <wp:simplePos x="0" y="0"/>
              <wp:positionH relativeFrom="margin">
                <wp:align>center</wp:align>
              </wp:positionH>
              <wp:positionV relativeFrom="paragraph">
                <wp:posOffset>0</wp:posOffset>
              </wp:positionV>
              <wp:extent cx="311010" cy="135902"/>
              <wp:effectExtent l="0" t="0" r="0" b="0"/>
              <wp:wrapNone/>
              <wp:docPr id="1" name="文本框 6"/>
              <wp:cNvGraphicFramePr>
                <a:graphicFrameLocks noChangeAspect="0"/>
              </wp:cNvGraphicFramePr>
              <a:graphic>
                <a:graphicData uri="http://schemas.microsoft.com/office/word/2010/wordprocessingShape">
                  <wps:wsp>
                    <wps:cNvSpPr/>
                    <wps:spPr>
                      <a:xfrm rot="0">
                        <a:off x="0" y="0"/>
                        <a:ext cx="311010" cy="135902"/>
                      </a:xfrm>
                      <a:prstGeom prst="rect"/>
                      <a:noFill/>
                      <a:ln w="6350" cmpd="sng" cap="flat">
                        <a:noFill/>
                        <a:prstDash val="solid"/>
                        <a:round/>
                      </a:ln>
                    </wps:spPr>
                    <wps:txbx id="2">
                      <w:txbxContent>
                        <w:p>
                          <w:pPr>
                            <w:pStyle w:val="24"/>
                            <w:tabs>
                              <w:tab w:val="center" w:pos="4153"/>
                              <w:tab w:val="right" w:pos="8306"/>
                            </w:tabs>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rect type="#_x0000_t1" id="文本框 6 3" o:spid="_x0000_s3" filled="f" stroked="f" strokeweight="0.5pt" style="position:absolute;margin-left:0.0pt;margin-top:0.0pt;width:24.489002pt;height:10.701pt;z-index:31;mso-position-horizontal:center;mso-position-horizontal-relative:margin;mso-position-vertical:absolute;mso-wrap-distance-left:8.999863pt;mso-wrap-distance-right:8.999863pt;mso-wrap-style:none;">
              <v:stroke color="#000000"/>
              <v:textbox id="855" inset="0mm,0mm,0mm,0mm" o:insetmode="custom" style="layout-flow:horizontal;v-text-anchor:top;mso-fit-shape-to-text:t;">
                <w:txbxContent>
                  <w:p>
                    <w:pPr>
                      <w:pStyle w:val="24"/>
                      <w:tabs>
                        <w:tab w:val="center" w:pos="4153"/>
                        <w:tab w:val="right" w:pos="8306"/>
                      </w:tabs>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rect>
          </w:pict>
        </mc:Fallback>
      </mc:AlternateContent>
    </w:r>
  </w:p>
</w:ftr>
</file>

<file path=word/footer7.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4"/>
      <w:tabs>
        <w:tab w:val="center" w:pos="4153"/>
        <w:tab w:val="right" w:pos="8306"/>
      </w:tabs>
      <w:ind w:left="0" w:right="360"/>
    </w:pPr>
    <w:r>
      <w:rPr>
        <w:sz w:val="18"/>
      </w:rPr>
      <mc:AlternateContent>
        <mc:Choice Requires="wps">
          <w:drawing>
            <wp:anchor distT="0" distB="0" distL="114298" distR="114298" simplePos="0" relativeHeight="33" behindDoc="0" locked="0" layoutInCell="1" hidden="0" allowOverlap="1">
              <wp:simplePos x="0" y="0"/>
              <wp:positionH relativeFrom="margin">
                <wp:align>outside</wp:align>
              </wp:positionH>
              <wp:positionV relativeFrom="paragraph">
                <wp:posOffset>0</wp:posOffset>
              </wp:positionV>
              <wp:extent cx="622299" cy="266561"/>
              <wp:effectExtent l="0" t="0" r="0" b="0"/>
              <wp:wrapNone/>
              <wp:docPr id="4" name="文本框 2"/>
              <wp:cNvGraphicFramePr>
                <a:graphicFrameLocks noChangeAspect="0"/>
              </wp:cNvGraphicFramePr>
              <a:graphic>
                <a:graphicData uri="http://schemas.microsoft.com/office/word/2010/wordprocessingShape">
                  <wps:wsp>
                    <wps:cNvSpPr/>
                    <wps:spPr>
                      <a:xfrm rot="0">
                        <a:off x="0" y="0"/>
                        <a:ext cx="622299" cy="266561"/>
                      </a:xfrm>
                      <a:prstGeom prst="rect"/>
                      <a:noFill/>
                      <a:ln w="6350" cmpd="sng" cap="flat">
                        <a:noFill/>
                        <a:prstDash val="solid"/>
                        <a:round/>
                      </a:ln>
                    </wps:spPr>
                    <wps:txbx id="5">
                      <w:txbxContent>
                        <w:p>
                          <w:pPr>
                            <w:pStyle w:val="24"/>
                            <w:tabs>
                              <w:tab w:val="center" w:pos="4153"/>
                              <w:tab w:val="right" w:pos="8306"/>
                            </w:tabs>
                            <w:rPr>
                              <w:rFonts w:ascii="宋体" w:eastAsia="宋体" w:cs="宋体" w:hint="eastAsia"/>
                              <w:sz w:val="28"/>
                              <w:szCs w:val="28"/>
                            </w:rPr>
                          </w:pPr>
                          <w:r>
                            <w:rPr>
                              <w:rFonts w:ascii="宋体" w:eastAsia="宋体" w:cs="宋体" w:hint="eastAsia"/>
                              <w:sz w:val="28"/>
                              <w:szCs w:val="28"/>
                            </w:rPr>
                            <w:t xml:space="preserve">— </w:t>
                          </w:r>
                          <w:r>
                            <w:rPr>
                              <w:rFonts w:ascii="宋体" w:eastAsia="宋体" w:cs="宋体" w:hint="eastAsia"/>
                              <w:sz w:val="28"/>
                              <w:szCs w:val="28"/>
                            </w:rPr>
                            <w:fldChar w:fldCharType="begin"/>
                          </w:r>
                          <w:r>
                            <w:rPr>
                              <w:rFonts w:ascii="宋体" w:eastAsia="宋体" w:cs="宋体" w:hint="eastAsia"/>
                              <w:sz w:val="28"/>
                              <w:szCs w:val="28"/>
                            </w:rPr>
                            <w:instrText xml:space="preserve"> PAGE  \* MERGEFORMAT </w:instrText>
                          </w:r>
                          <w:r>
                            <w:rPr>
                              <w:rFonts w:ascii="宋体" w:eastAsia="宋体" w:cs="宋体" w:hint="eastAsia"/>
                              <w:sz w:val="28"/>
                              <w:szCs w:val="28"/>
                            </w:rPr>
                            <w:fldChar w:fldCharType="separate"/>
                          </w:r>
                          <w:r>
                            <w:rPr>
                              <w:rFonts w:ascii="宋体" w:eastAsia="宋体" w:cs="宋体" w:hint="eastAsia"/>
                              <w:sz w:val="28"/>
                              <w:szCs w:val="28"/>
                            </w:rPr>
                            <w:t>1</w:t>
                          </w:r>
                          <w:r>
                            <w:rPr>
                              <w:rFonts w:ascii="宋体" w:eastAsia="宋体" w:cs="宋体" w:hint="eastAsia"/>
                              <w:sz w:val="28"/>
                              <w:szCs w:val="28"/>
                            </w:rPr>
                            <w:fldChar w:fldCharType="end"/>
                          </w:r>
                          <w:r>
                            <w:rPr>
                              <w:rFonts w:ascii="宋体" w:eastAsia="宋体" w:cs="宋体" w:hint="eastAsia"/>
                              <w:sz w:val="28"/>
                              <w:szCs w:val="28"/>
                            </w:rPr>
                            <w:t xml:space="preserve"> —</w:t>
                          </w:r>
                        </w:p>
                      </w:txbxContent>
                    </wps:txbx>
                    <wps:bodyPr vert="horz" wrap="none" lIns="0" tIns="0" rIns="0" bIns="0" anchor="t" anchorCtr="0" upright="0">
                      <a:spAutoFit/>
                    </wps:bodyPr>
                  </wps:wsp>
                </a:graphicData>
              </a:graphic>
            </wp:anchor>
          </w:drawing>
        </mc:Choice>
        <mc:Fallback>
          <w:pict>
            <v:shape type="#_x0000_t202" id="文本框 2 6" o:spid="_x0000_s6" filled="f" stroked="f" strokeweight="0.5pt" style="position:absolute;margin-left:0.0pt;margin-top:0.0pt;width:48.999992pt;height:20.98906pt;z-index:33;mso-position-horizontal:outside;mso-position-horizontal-relative:margin;mso-position-vertical:absolute;mso-wrap-distance-left:8.999863pt;mso-wrap-distance-right:8.999863pt;mso-wrap-style:none;">
              <v:stroke color="#000000"/>
              <v:textbox id="854" inset="0mm,0mm,0mm,0mm" o:insetmode="custom" style="layout-flow:horizontal;v-text-anchor:top;mso-fit-shape-to-text:t;">
                <w:txbxContent>
                  <w:p>
                    <w:pPr>
                      <w:pStyle w:val="24"/>
                      <w:tabs>
                        <w:tab w:val="center" w:pos="4153"/>
                        <w:tab w:val="right" w:pos="8306"/>
                      </w:tabs>
                      <w:rPr>
                        <w:rFonts w:ascii="宋体" w:eastAsia="宋体" w:cs="宋体" w:hint="eastAsia"/>
                        <w:sz w:val="28"/>
                        <w:szCs w:val="28"/>
                      </w:rPr>
                    </w:pPr>
                    <w:r>
                      <w:rPr>
                        <w:rFonts w:ascii="宋体" w:eastAsia="宋体" w:cs="宋体" w:hint="eastAsia"/>
                        <w:sz w:val="28"/>
                        <w:szCs w:val="28"/>
                      </w:rPr>
                      <w:t xml:space="preserve">— </w:t>
                    </w:r>
                    <w:r>
                      <w:rPr>
                        <w:rFonts w:ascii="宋体" w:eastAsia="宋体" w:cs="宋体" w:hint="eastAsia"/>
                        <w:sz w:val="28"/>
                        <w:szCs w:val="28"/>
                      </w:rPr>
                      <w:fldChar w:fldCharType="begin"/>
                    </w:r>
                    <w:r>
                      <w:rPr>
                        <w:rFonts w:ascii="宋体" w:eastAsia="宋体" w:cs="宋体" w:hint="eastAsia"/>
                        <w:sz w:val="28"/>
                        <w:szCs w:val="28"/>
                      </w:rPr>
                      <w:instrText xml:space="preserve"> PAGE  \* MERGEFORMAT </w:instrText>
                    </w:r>
                    <w:r>
                      <w:rPr>
                        <w:rFonts w:ascii="宋体" w:eastAsia="宋体" w:cs="宋体" w:hint="eastAsia"/>
                        <w:sz w:val="28"/>
                        <w:szCs w:val="28"/>
                      </w:rPr>
                      <w:fldChar w:fldCharType="separate"/>
                    </w:r>
                    <w:r>
                      <w:rPr>
                        <w:rFonts w:ascii="宋体" w:eastAsia="宋体" w:cs="宋体" w:hint="eastAsia"/>
                        <w:sz w:val="28"/>
                        <w:szCs w:val="28"/>
                      </w:rPr>
                      <w:t>1</w:t>
                    </w:r>
                    <w:r>
                      <w:rPr>
                        <w:rFonts w:ascii="宋体" w:eastAsia="宋体" w:cs="宋体" w:hint="eastAsia"/>
                        <w:sz w:val="28"/>
                        <w:szCs w:val="28"/>
                      </w:rPr>
                      <w:fldChar w:fldCharType="end"/>
                    </w:r>
                    <w:r>
                      <w:rPr>
                        <w:rFonts w:ascii="宋体" w:eastAsia="宋体" w:cs="宋体" w:hint="eastAsia"/>
                        <w:sz w:val="28"/>
                        <w:szCs w:val="28"/>
                      </w:rPr>
                      <w:t xml:space="preserve"> —</w:t>
                    </w:r>
                  </w:p>
                </w:txbxContent>
              </v:textbox>
            </v:shape>
          </w:pict>
        </mc:Fallback>
      </mc:AlternateContent>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5"/>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225AA2DE"/>
    <w:multiLevelType w:val="multilevel"/>
    <w:tmpl w:val="225AA2DE"/>
    <w:lvl w:ilvl="0">
      <w:start w:val="1"/>
      <w:numFmt w:val="chineseCountingThousand"/>
      <w:lvlRestart w:val="0"/>
      <w:lvlText w:val="%1、"/>
      <w:lvlJc w:val="left"/>
      <w:pPr>
        <w:ind w:left="640" w:hanging="640"/>
      </w:pPr>
      <w:rPr>
        <w:rFonts w:eastAsia="黑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eastAsia="宋体" w:cs="Times New Roman"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note text"/>
    <w:basedOn w:val="0"/>
    <w:next w:val="17"/>
    <w:pPr>
      <w:snapToGrid w:val="0"/>
      <w:jc w:val="left"/>
    </w:pPr>
    <w:rPr>
      <w:sz w:val="18"/>
      <w:szCs w:val="18"/>
    </w:rPr>
  </w:style>
  <w:style w:type="paragraph" w:styleId="16">
    <w:name w:val="Body Text Indent"/>
    <w:basedOn w:val="0"/>
    <w:next w:val="17"/>
    <w:pPr>
      <w:spacing w:after="120"/>
      <w:ind w:leftChars="200" w:left="200"/>
    </w:pPr>
    <w:rPr>
      <w:rFonts w:ascii="仿宋_GB2312" w:hAnsi="仿宋_GB2312"/>
      <w:szCs w:val="32"/>
    </w:rPr>
  </w:style>
  <w:style w:type="paragraph" w:styleId="17">
    <w:name w:val="Body Text First Indent 2"/>
    <w:basedOn w:val="16"/>
    <w:next w:val="0"/>
    <w:pPr>
      <w:ind w:firstLineChars="200" w:firstLine="200"/>
    </w:pPr>
  </w:style>
  <w:style w:type="paragraph" w:styleId="18">
    <w:name w:val="toc 7"/>
    <w:autoRedefine/>
    <w:pPr>
      <w:ind w:left="1260"/>
      <w:jc w:val="left"/>
    </w:pPr>
    <w:rPr>
      <w:rFonts w:ascii="Times New Roman" w:eastAsia="宋体" w:cs="Times New Roman" w:hAnsi="Times New Roman"/>
      <w:sz w:val="18"/>
      <w:szCs w:val="20"/>
      <w:lang w:val="en-US" w:eastAsia="zh-CN" w:bidi="ar-SA"/>
    </w:rPr>
  </w:style>
  <w:style w:type="paragraph" w:styleId="19">
    <w:name w:val="Body Text"/>
    <w:basedOn w:val="0"/>
    <w:pPr>
      <w:spacing w:beforeLines="30" w:before="30"/>
    </w:pPr>
    <w:rPr>
      <w:rFonts w:ascii="仿宋_GB2312" w:eastAsia="仿宋_GB2312"/>
      <w:kern w:val="0"/>
      <w:sz w:val="30"/>
    </w:rPr>
  </w:style>
  <w:style w:type="paragraph" w:styleId="20">
    <w:name w:val="toc 5"/>
    <w:autoRedefine/>
    <w:pPr>
      <w:ind w:left="840"/>
      <w:jc w:val="left"/>
    </w:pPr>
    <w:rPr>
      <w:rFonts w:ascii="Times New Roman" w:eastAsia="宋体" w:cs="Times New Roman" w:hAnsi="Times New Roman"/>
      <w:sz w:val="18"/>
      <w:szCs w:val="20"/>
      <w:lang w:val="en-US" w:eastAsia="zh-CN" w:bidi="ar-SA"/>
    </w:rPr>
  </w:style>
  <w:style w:type="paragraph" w:styleId="21">
    <w:name w:val="toc 3"/>
    <w:pPr>
      <w:ind w:left="420"/>
      <w:jc w:val="left"/>
    </w:pPr>
    <w:rPr>
      <w:rFonts w:ascii="Times New Roman" w:eastAsia="宋体" w:cs="Times New Roman" w:hAnsi="Times New Roman"/>
      <w:i/>
      <w:sz w:val="20"/>
      <w:szCs w:val="20"/>
      <w:lang w:val="en-US" w:eastAsia="zh-CN" w:bidi="ar-SA"/>
    </w:rPr>
  </w:style>
  <w:style w:type="paragraph" w:styleId="22">
    <w:name w:val="toc 8"/>
    <w:autoRedefine/>
    <w:pPr>
      <w:ind w:left="1470"/>
      <w:jc w:val="left"/>
    </w:pPr>
    <w:rPr>
      <w:rFonts w:ascii="Times New Roman" w:eastAsia="宋体" w:cs="Times New Roman" w:hAnsi="Times New Roman"/>
      <w:sz w:val="18"/>
      <w:szCs w:val="20"/>
      <w:lang w:val="en-US" w:eastAsia="zh-CN" w:bidi="ar-SA"/>
    </w:rPr>
  </w:style>
  <w:style w:type="paragraph" w:styleId="23">
    <w:name w:val="Balloon Text"/>
    <w:basedOn w:val="0"/>
    <w:rPr>
      <w:sz w:val="18"/>
      <w:szCs w:val="18"/>
    </w:rPr>
  </w:style>
  <w:style w:type="paragraph" w:styleId="24">
    <w:name w:val="footer"/>
    <w:basedOn w:val="0"/>
    <w:pPr>
      <w:tabs>
        <w:tab w:val="center" w:pos="4153"/>
        <w:tab w:val="right" w:pos="8306"/>
      </w:tabs>
      <w:snapToGrid w:val="0"/>
      <w:jc w:val="left"/>
    </w:pPr>
    <w:rPr>
      <w:rFonts w:ascii="Calibri" w:hAnsi="Calibri"/>
      <w:kern w:val="0"/>
      <w:sz w:val="18"/>
      <w:szCs w:val="18"/>
    </w:rPr>
  </w:style>
  <w:style w:type="paragraph" w:styleId="25">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6">
    <w:name w:val="toc 1"/>
    <w:pPr>
      <w:spacing w:before="120" w:after="120"/>
      <w:ind w:left="0"/>
      <w:jc w:val="left"/>
    </w:pPr>
    <w:rPr>
      <w:rFonts w:ascii="Times New Roman" w:eastAsia="宋体" w:cs="Times New Roman" w:hAnsi="Times New Roman"/>
      <w:b/>
      <w:caps/>
      <w:smallCaps w:val="0"/>
      <w:sz w:val="20"/>
      <w:szCs w:val="20"/>
      <w:lang w:val="en-US" w:eastAsia="zh-CN" w:bidi="ar-SA"/>
    </w:rPr>
  </w:style>
  <w:style w:type="paragraph" w:styleId="27">
    <w:name w:val="toc 4"/>
    <w:autoRedefine/>
    <w:pPr>
      <w:ind w:left="630"/>
      <w:jc w:val="left"/>
    </w:pPr>
    <w:rPr>
      <w:rFonts w:ascii="Times New Roman" w:eastAsia="宋体" w:cs="Times New Roman" w:hAnsi="Times New Roman"/>
      <w:sz w:val="18"/>
      <w:szCs w:val="20"/>
      <w:lang w:val="en-US" w:eastAsia="zh-CN" w:bidi="ar-SA"/>
    </w:rPr>
  </w:style>
  <w:style w:type="paragraph" w:styleId="28">
    <w:name w:val="toc 6"/>
    <w:autoRedefine/>
    <w:pPr>
      <w:ind w:left="1050"/>
      <w:jc w:val="left"/>
    </w:pPr>
    <w:rPr>
      <w:rFonts w:ascii="Times New Roman" w:eastAsia="宋体" w:cs="Times New Roman" w:hAnsi="Times New Roman"/>
      <w:sz w:val="18"/>
      <w:szCs w:val="20"/>
      <w:lang w:val="en-US" w:eastAsia="zh-CN" w:bidi="ar-SA"/>
    </w:rPr>
  </w:style>
  <w:style w:type="paragraph" w:styleId="29">
    <w:name w:val="toc 2"/>
    <w:pPr>
      <w:ind w:left="210"/>
      <w:jc w:val="left"/>
    </w:pPr>
    <w:rPr>
      <w:rFonts w:ascii="Times New Roman" w:eastAsia="宋体" w:cs="Times New Roman" w:hAnsi="Times New Roman"/>
      <w:caps w:val="0"/>
      <w:smallCaps/>
      <w:sz w:val="20"/>
      <w:szCs w:val="20"/>
      <w:lang w:val="en-US" w:eastAsia="zh-CN" w:bidi="ar-SA"/>
    </w:rPr>
  </w:style>
  <w:style w:type="paragraph" w:styleId="30">
    <w:name w:val="toc 9"/>
    <w:autoRedefine/>
    <w:pPr>
      <w:ind w:left="1680"/>
      <w:jc w:val="left"/>
    </w:pPr>
    <w:rPr>
      <w:rFonts w:ascii="Times New Roman" w:eastAsia="宋体" w:cs="Times New Roman" w:hAnsi="Times New Roman"/>
      <w:sz w:val="18"/>
      <w:szCs w:val="20"/>
      <w:lang w:val="en-US" w:eastAsia="zh-CN" w:bidi="ar-SA"/>
    </w:rPr>
  </w:style>
  <w:style w:type="character" w:styleId="31">
    <w:name w:val="Strong"/>
    <w:basedOn w:val="10"/>
    <w:rPr>
      <w:b/>
    </w:rPr>
  </w:style>
  <w:style w:type="character" w:styleId="32">
    <w:name w:val="page number"/>
    <w:basedOn w:val="10"/>
  </w:style>
  <w:style w:type="character" w:styleId="33">
    <w:name w:val="Hyperlink"/>
    <w:basedOn w:val="10"/>
    <w:rPr>
      <w:color w:val="0000FF"/>
      <w:u w:val="single"/>
    </w:rPr>
  </w:style>
  <w:style w:type="paragraph" w:customStyle="1" w:styleId="34">
    <w:name w:val="标题 5（有编号）（绿盟科技）"/>
    <w:next w:val="0"/>
    <w:pPr>
      <w:keepNext/>
      <w:keepLines/>
      <w:widowControl w:val="0"/>
      <w:spacing w:before="280" w:after="156" w:line="377" w:lineRule="auto"/>
      <w:jc w:val="left"/>
      <w:outlineLvl w:val="4"/>
    </w:pPr>
    <w:rPr>
      <w:rFonts w:ascii="Arial" w:eastAsia="黑体" w:cs="Times New Roman" w:hAnsi="Arial"/>
      <w:b/>
      <w:kern w:val="2"/>
      <w:sz w:val="24"/>
      <w:szCs w:val="28"/>
      <w:lang w:val="en-US" w:eastAsia="zh-CN" w:bidi="ar-SA"/>
    </w:rPr>
  </w:style>
  <w:style w:type="character" w:customStyle="1" w:styleId="35">
    <w:name w:val="Header Char"/>
    <w:basedOn w:val="10"/>
    <w:rPr>
      <w:rFonts w:ascii="Times New Roman" w:hAnsi="Times New Roman"/>
      <w:sz w:val="18"/>
      <w:szCs w:val="18"/>
    </w:rPr>
  </w:style>
  <w:style w:type="character" w:customStyle="1" w:styleId="36">
    <w:name w:val="Footer Char"/>
    <w:basedOn w:val="10"/>
    <w:rPr>
      <w:rFonts w:ascii="Times New Roman" w:hAnsi="Times New Roman"/>
      <w:sz w:val="18"/>
      <w:szCs w:val="18"/>
    </w:rPr>
  </w:style>
  <w:style w:type="character" w:customStyle="1" w:styleId="37">
    <w:name w:val="Body Text Char"/>
    <w:basedOn w:val="10"/>
    <w:rPr>
      <w:rFonts w:ascii="Times New Roman" w:hAnsi="Times New Roman"/>
      <w:szCs w:val="24"/>
    </w:rPr>
  </w:style>
  <w:style w:type="paragraph" w:customStyle="1" w:styleId="38">
    <w:name w:val="Default"/>
    <w:pPr>
      <w:widowControl w:val="0"/>
      <w:autoSpaceDE w:val="0"/>
      <w:autoSpaceDN w:val="0"/>
      <w:adjustRightInd w:val="0"/>
    </w:pPr>
    <w:rPr>
      <w:rFonts w:ascii="仿宋" w:eastAsia="仿宋" w:cs="仿宋"/>
      <w:color w:val="000000"/>
      <w:sz w:val="24"/>
      <w:szCs w:val="24"/>
      <w:lang w:val="en-US" w:eastAsia="zh-CN" w:bidi="ar-SA"/>
    </w:rPr>
  </w:style>
  <w:style w:type="paragraph" w:styleId="39">
    <w:name w:val="List Paragraph"/>
    <w:basedOn w:val="0"/>
    <w:pPr>
      <w:ind w:firstLineChars="200" w:firstLine="200"/>
    </w:pPr>
  </w:style>
  <w:style w:type="paragraph" w:customStyle="1" w:styleId="40">
    <w:name w:val="TOC 标题1"/>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41">
    <w:name w:val="TOC Heading"/>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42">
    <w:name w:val="四号正文"/>
    <w:basedOn w:val="0"/>
    <w:pPr>
      <w:spacing w:line="360" w:lineRule="auto"/>
    </w:pPr>
    <w:rPr>
      <w:rFonts w:ascii="??" w:eastAsia="宋体" w:hAnsi="??"/>
      <w:color w:val="000000"/>
      <w:kern w:val="0"/>
      <w:sz w:val="28"/>
      <w:szCs w:val="21"/>
      <w:lang w:val="zh-CN" w:eastAsia="zh-CN"/>
    </w:rPr>
  </w:style>
  <w:style w:type="paragraph" w:customStyle="1" w:styleId="43">
    <w:name w:val="常用样式（方正仿宋简）"/>
    <w:basedOn w:val="0"/>
    <w:pPr>
      <w:widowControl w:val="0"/>
      <w:spacing w:line="560" w:lineRule="exact"/>
      <w:ind w:firstLineChars="200" w:firstLine="200"/>
      <w:jc w:val="both"/>
    </w:pPr>
    <w:rPr>
      <w:rFonts w:ascii="Times New Roman" w:eastAsia="方正仿宋简体" w:cs="Times New Roman" w:hAnsi="Times New Roman"/>
      <w:kern w:val="2"/>
      <w:sz w:val="32"/>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footer" Target="footer5.xml"/><Relationship Id="rId8" Type="http://schemas.openxmlformats.org/officeDocument/2006/relationships/footer" Target="footer6.xml"/><Relationship Id="rId9" Type="http://schemas.openxmlformats.org/officeDocument/2006/relationships/footer" Target="footer7.xml"/><Relationship Id="rId10" Type="http://schemas.openxmlformats.org/officeDocument/2006/relationships/image" Target="media/8.png"/><Relationship Id="rId11" Type="http://schemas.openxmlformats.org/officeDocument/2006/relationships/image" Target="media/11.bmp"/><Relationship Id="rId12" Type="http://schemas.openxmlformats.org/officeDocument/2006/relationships/image" Target="media/14.bmp"/><Relationship Id="rId13" Type="http://schemas.openxmlformats.org/officeDocument/2006/relationships/image" Target="media/17.bmp"/><Relationship Id="rId14" Type="http://schemas.openxmlformats.org/officeDocument/2006/relationships/image" Target="media/20.bmp"/><Relationship Id="rId15" Type="http://schemas.openxmlformats.org/officeDocument/2006/relationships/image" Target="media/23.bmp"/><Relationship Id="rId16" Type="http://schemas.openxmlformats.org/officeDocument/2006/relationships/styles" Target="styles.xml"/><Relationship Id="rId17" Type="http://schemas.openxmlformats.org/officeDocument/2006/relationships/numbering" Target="numbering.xml"/><Relationship Id="rId18" Type="http://schemas.openxmlformats.org/officeDocument/2006/relationships/fontTable" Target="fontTable.xml"/></Relationships>
</file>

<file path=docProps/app.xml><?xml version="1.0" encoding="utf-8"?>
<Properties xmlns="http://schemas.openxmlformats.org/officeDocument/2006/extended-properties">
  <Template>Normal.eit</Template>
  <TotalTime>10</TotalTime>
  <Application>Yozo_Office27021597764231179</Application>
  <Pages>15</Pages>
  <Words>3687</Words>
  <Characters>3968</Characters>
  <Lines>221</Lines>
  <Paragraphs>104</Paragraphs>
  <CharactersWithSpaces>4010</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user</cp:lastModifiedBy>
  <cp:revision>32</cp:revision>
  <cp:lastPrinted>2026-09-16T09:31:06Z</cp:lastPrinted>
  <dcterms:created xsi:type="dcterms:W3CDTF">2020-08-08T17:49:00Z</dcterms:created>
  <dcterms:modified xsi:type="dcterms:W3CDTF">2026-09-18T01:58:16Z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eyJoZGlkIjoiOGI4NWUyYTcxODE2OTc3OTljNGQ5NWQ0NThlZTY3ZjkiLCJ1c2VySWQiOiI0MjI4MTQyOTcifQ==</vt:lpwstr>
  </property>
</Properties>
</file>