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913EB">
      <w:pPr>
        <w:spacing w:before="231" w:line="977" w:lineRule="exact"/>
        <w:outlineLvl w:val="0"/>
        <w:rPr>
          <w:rFonts w:hint="default" w:ascii="Times New Roman" w:hAnsi="Times New Roman" w:eastAsia="宋体" w:cs="Times New Roman"/>
          <w:b/>
          <w:bCs/>
          <w:spacing w:val="-7"/>
          <w:position w:val="4"/>
          <w:sz w:val="60"/>
          <w:szCs w:val="60"/>
        </w:rPr>
      </w:pPr>
      <w:bookmarkStart w:id="0" w:name="_Toc15396475"/>
      <w:bookmarkStart w:id="1" w:name="_Toc15378441"/>
      <w:bookmarkStart w:id="2" w:name="_Toc15306267"/>
      <w:bookmarkStart w:id="3" w:name="_Toc15377425"/>
      <w:bookmarkStart w:id="4" w:name="_Toc15396597"/>
      <w:bookmarkStart w:id="5" w:name="_Toc15377193"/>
    </w:p>
    <w:p w14:paraId="6FF7CC59">
      <w:pPr>
        <w:spacing w:before="231" w:line="977" w:lineRule="exact"/>
        <w:jc w:val="center"/>
        <w:outlineLvl w:val="0"/>
        <w:rPr>
          <w:rFonts w:hint="default" w:ascii="Times New Roman" w:hAnsi="Times New Roman" w:eastAsia="方正小标宋简体" w:cs="Times New Roman"/>
          <w:sz w:val="52"/>
          <w:szCs w:val="52"/>
          <w:lang w:val="en-US" w:eastAsia="zh-CN"/>
        </w:rPr>
      </w:pPr>
      <w:bookmarkStart w:id="6" w:name="_Toc31002"/>
      <w:r>
        <w:rPr>
          <w:rFonts w:hint="default" w:ascii="Times New Roman" w:hAnsi="Times New Roman" w:eastAsia="方正小标宋简体" w:cs="Times New Roman"/>
          <w:b/>
          <w:bCs/>
          <w:spacing w:val="-7"/>
          <w:position w:val="4"/>
          <w:sz w:val="52"/>
          <w:szCs w:val="52"/>
        </w:rPr>
        <w:t>202</w:t>
      </w:r>
      <w:r>
        <w:rPr>
          <w:rFonts w:hint="default" w:ascii="Times New Roman" w:hAnsi="Times New Roman" w:eastAsia="方正小标宋简体" w:cs="Times New Roman"/>
          <w:b/>
          <w:bCs/>
          <w:spacing w:val="-7"/>
          <w:position w:val="4"/>
          <w:sz w:val="52"/>
          <w:szCs w:val="52"/>
          <w:lang w:val="en-US" w:eastAsia="zh-CN"/>
        </w:rPr>
        <w:t>5</w:t>
      </w:r>
      <w:r>
        <w:rPr>
          <w:rFonts w:hint="default" w:ascii="Times New Roman" w:hAnsi="Times New Roman" w:eastAsia="方正小标宋简体" w:cs="Times New Roman"/>
          <w:spacing w:val="-154"/>
          <w:position w:val="4"/>
          <w:sz w:val="52"/>
          <w:szCs w:val="52"/>
        </w:rPr>
        <w:t xml:space="preserve"> </w:t>
      </w:r>
      <w:r>
        <w:rPr>
          <w:rFonts w:hint="default" w:ascii="Times New Roman" w:hAnsi="Times New Roman" w:eastAsia="方正小标宋简体" w:cs="Times New Roman"/>
          <w:b/>
          <w:bCs/>
          <w:spacing w:val="-7"/>
          <w:position w:val="4"/>
          <w:sz w:val="52"/>
          <w:szCs w:val="52"/>
        </w:rPr>
        <w:t>年度</w:t>
      </w:r>
      <w:bookmarkEnd w:id="0"/>
      <w:bookmarkEnd w:id="1"/>
      <w:bookmarkEnd w:id="2"/>
      <w:bookmarkEnd w:id="3"/>
      <w:bookmarkEnd w:id="4"/>
      <w:bookmarkEnd w:id="5"/>
      <w:r>
        <w:rPr>
          <w:rFonts w:hint="default" w:ascii="Times New Roman" w:hAnsi="Times New Roman" w:eastAsia="方正小标宋简体" w:cs="Times New Roman"/>
          <w:b/>
          <w:bCs/>
          <w:spacing w:val="-4"/>
          <w:sz w:val="52"/>
          <w:szCs w:val="52"/>
          <w:lang w:val="en-US" w:eastAsia="zh-CN"/>
        </w:rPr>
        <w:t>阿坝州</w:t>
      </w:r>
      <w:r>
        <w:rPr>
          <w:rFonts w:hint="default" w:ascii="Times New Roman" w:hAnsi="Times New Roman" w:eastAsia="方正小标宋简体" w:cs="Times New Roman"/>
          <w:b/>
          <w:bCs/>
          <w:spacing w:val="-7"/>
          <w:position w:val="4"/>
          <w:sz w:val="52"/>
          <w:szCs w:val="52"/>
          <w:lang w:val="en-US" w:eastAsia="zh-CN"/>
        </w:rPr>
        <w:t>救助站</w:t>
      </w:r>
      <w:r>
        <w:rPr>
          <w:rFonts w:hint="default" w:ascii="Times New Roman" w:hAnsi="Times New Roman" w:eastAsia="方正小标宋简体" w:cs="Times New Roman"/>
          <w:b/>
          <w:bCs/>
          <w:spacing w:val="-7"/>
          <w:position w:val="4"/>
          <w:sz w:val="52"/>
          <w:szCs w:val="52"/>
        </w:rPr>
        <w:t>决算公开</w:t>
      </w:r>
      <w:r>
        <w:rPr>
          <w:rFonts w:hint="default" w:ascii="Times New Roman" w:hAnsi="Times New Roman" w:eastAsia="方正小标宋简体" w:cs="Times New Roman"/>
          <w:b/>
          <w:bCs/>
          <w:spacing w:val="-7"/>
          <w:position w:val="4"/>
          <w:sz w:val="52"/>
          <w:szCs w:val="52"/>
          <w:lang w:val="en-US" w:eastAsia="zh-CN"/>
        </w:rPr>
        <w:t>说明</w:t>
      </w:r>
      <w:bookmarkEnd w:id="6"/>
    </w:p>
    <w:p w14:paraId="1FA95613">
      <w:pPr>
        <w:pStyle w:val="5"/>
        <w:spacing w:line="248" w:lineRule="auto"/>
        <w:rPr>
          <w:rFonts w:hint="default" w:ascii="Times New Roman" w:hAnsi="Times New Roman" w:cs="Times New Roman"/>
        </w:rPr>
      </w:pPr>
    </w:p>
    <w:p w14:paraId="18710B22">
      <w:pPr>
        <w:pStyle w:val="5"/>
        <w:spacing w:line="248" w:lineRule="auto"/>
        <w:rPr>
          <w:rFonts w:hint="default" w:ascii="Times New Roman" w:hAnsi="Times New Roman" w:cs="Times New Roman"/>
        </w:rPr>
      </w:pPr>
    </w:p>
    <w:p w14:paraId="4F04660E">
      <w:pPr>
        <w:pStyle w:val="6"/>
        <w:outlineLvl w:val="9"/>
        <w:rPr>
          <w:rFonts w:hint="default" w:ascii="Times New Roman" w:hAnsi="Times New Roman" w:cs="Times New Roman"/>
        </w:rPr>
      </w:pPr>
    </w:p>
    <w:p w14:paraId="66F4C8A9">
      <w:pPr>
        <w:rPr>
          <w:rFonts w:hint="default" w:ascii="Times New Roman" w:hAnsi="Times New Roman" w:cs="Times New Roman"/>
        </w:rPr>
      </w:pPr>
    </w:p>
    <w:p w14:paraId="533DF2BD">
      <w:pPr>
        <w:spacing w:before="78" w:line="219" w:lineRule="auto"/>
        <w:jc w:val="both"/>
        <w:rPr>
          <w:rFonts w:hint="default" w:ascii="Times New Roman" w:hAnsi="Times New Roman" w:eastAsia="宋体" w:cs="Times New Roman"/>
          <w:spacing w:val="-2"/>
          <w:sz w:val="32"/>
          <w:szCs w:val="32"/>
        </w:rPr>
      </w:pPr>
    </w:p>
    <w:p w14:paraId="1B7D85F0">
      <w:pPr>
        <w:spacing w:before="78" w:line="219"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spacing w:val="-2"/>
          <w:sz w:val="32"/>
          <w:szCs w:val="32"/>
        </w:rPr>
        <w:t>已经保密审查、内容审定，同意对外公开</w:t>
      </w:r>
    </w:p>
    <w:p w14:paraId="1B1DEE50">
      <w:pPr>
        <w:spacing w:before="92" w:line="223" w:lineRule="auto"/>
        <w:jc w:val="center"/>
        <w:rPr>
          <w:rFonts w:hint="default" w:ascii="Times New Roman" w:hAnsi="Times New Roman" w:eastAsia="仿宋_GB2312" w:cs="Times New Roman"/>
          <w:sz w:val="32"/>
          <w:szCs w:val="32"/>
          <w:lang w:val="en-US"/>
        </w:rPr>
        <w:sectPr>
          <w:footerReference r:id="rId3" w:type="default"/>
          <w:pgSz w:w="11906" w:h="16839"/>
          <w:pgMar w:top="1431" w:right="1785" w:bottom="0" w:left="1785" w:header="0" w:footer="0" w:gutter="0"/>
          <w:pgNumType w:fmt="numberInDash"/>
          <w:cols w:space="720" w:num="1"/>
        </w:sectPr>
      </w:pPr>
      <w:r>
        <w:rPr>
          <w:rFonts w:hint="default" w:ascii="Times New Roman" w:hAnsi="Times New Roman" w:eastAsia="仿宋_GB2312" w:cs="Times New Roman"/>
          <w:spacing w:val="-8"/>
          <w:sz w:val="32"/>
          <w:szCs w:val="32"/>
        </w:rPr>
        <w:t>公开时间：202</w:t>
      </w:r>
      <w:r>
        <w:rPr>
          <w:rFonts w:hint="default" w:ascii="Times New Roman" w:hAnsi="Times New Roman" w:eastAsia="仿宋_GB2312" w:cs="Times New Roman"/>
          <w:spacing w:val="-8"/>
          <w:sz w:val="32"/>
          <w:szCs w:val="32"/>
          <w:lang w:val="en-US" w:eastAsia="zh-CN"/>
        </w:rPr>
        <w:t>6</w:t>
      </w:r>
      <w:r>
        <w:rPr>
          <w:rFonts w:hint="default" w:ascii="Times New Roman" w:hAnsi="Times New Roman" w:eastAsia="仿宋_GB2312" w:cs="Times New Roman"/>
          <w:spacing w:val="-35"/>
          <w:sz w:val="32"/>
          <w:szCs w:val="32"/>
        </w:rPr>
        <w:t xml:space="preserve"> </w:t>
      </w:r>
      <w:r>
        <w:rPr>
          <w:rFonts w:hint="default" w:ascii="Times New Roman" w:hAnsi="Times New Roman" w:eastAsia="仿宋_GB2312" w:cs="Times New Roman"/>
          <w:spacing w:val="-8"/>
          <w:sz w:val="32"/>
          <w:szCs w:val="32"/>
        </w:rPr>
        <w:t>年</w:t>
      </w:r>
      <w:r>
        <w:rPr>
          <w:rFonts w:hint="default" w:ascii="Times New Roman" w:hAnsi="Times New Roman" w:eastAsia="仿宋_GB2312" w:cs="Times New Roman"/>
          <w:spacing w:val="-59"/>
          <w:sz w:val="32"/>
          <w:szCs w:val="32"/>
        </w:rPr>
        <w:t xml:space="preserve"> </w:t>
      </w:r>
      <w:r>
        <w:rPr>
          <w:rFonts w:hint="default" w:ascii="Times New Roman" w:hAnsi="Times New Roman" w:eastAsia="仿宋_GB2312" w:cs="Times New Roman"/>
          <w:spacing w:val="-8"/>
          <w:sz w:val="32"/>
          <w:szCs w:val="32"/>
        </w:rPr>
        <w:t>9</w:t>
      </w:r>
      <w:r>
        <w:rPr>
          <w:rFonts w:hint="default" w:ascii="Times New Roman" w:hAnsi="Times New Roman" w:eastAsia="仿宋_GB2312" w:cs="Times New Roman"/>
          <w:spacing w:val="-38"/>
          <w:sz w:val="32"/>
          <w:szCs w:val="32"/>
        </w:rPr>
        <w:t xml:space="preserve"> </w:t>
      </w:r>
      <w:r>
        <w:rPr>
          <w:rFonts w:hint="default" w:ascii="Times New Roman" w:hAnsi="Times New Roman" w:eastAsia="仿宋_GB2312" w:cs="Times New Roman"/>
          <w:spacing w:val="-8"/>
          <w:sz w:val="32"/>
          <w:szCs w:val="32"/>
        </w:rPr>
        <w:t>月</w:t>
      </w:r>
      <w:r>
        <w:rPr>
          <w:rFonts w:hint="default" w:ascii="Times New Roman" w:hAnsi="Times New Roman" w:eastAsia="仿宋_GB2312" w:cs="Times New Roman"/>
          <w:spacing w:val="-40"/>
          <w:sz w:val="32"/>
          <w:szCs w:val="32"/>
        </w:rPr>
        <w:t xml:space="preserve"> </w:t>
      </w:r>
      <w:r>
        <w:rPr>
          <w:rFonts w:hint="default" w:ascii="Times New Roman" w:hAnsi="Times New Roman" w:eastAsia="仿宋_GB2312" w:cs="Times New Roman"/>
          <w:spacing w:val="-8"/>
          <w:sz w:val="32"/>
          <w:szCs w:val="32"/>
          <w:lang w:val="en-US" w:eastAsia="zh-CN"/>
        </w:rPr>
        <w:t>15日</w:t>
      </w:r>
    </w:p>
    <w:p w14:paraId="38322E0E">
      <w:pPr>
        <w:rPr>
          <w:rFonts w:hint="default" w:ascii="Times New Roman" w:hAnsi="Times New Roman" w:cs="Times New Roman"/>
          <w:lang w:val="en-US" w:eastAsia="zh-CN"/>
        </w:rPr>
      </w:pPr>
    </w:p>
    <w:sdt>
      <w:sdtPr>
        <w:rPr>
          <w:rFonts w:hint="default" w:ascii="Times New Roman" w:hAnsi="Times New Roman" w:cs="Times New Roman"/>
          <w:lang w:val="en-US" w:eastAsia="zh-CN"/>
        </w:rPr>
        <w:id w:val="147451703"/>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26C61A81">
          <w:pPr>
            <w:jc w:val="center"/>
            <w:rPr>
              <w:rFonts w:hint="default" w:ascii="Times New Roman" w:hAnsi="Times New Roman" w:cs="Times New Roman"/>
            </w:rPr>
          </w:pPr>
          <w:r>
            <w:rPr>
              <w:rFonts w:hint="default" w:ascii="Times New Roman" w:hAnsi="Times New Roman" w:eastAsia="方正小标宋简体" w:cs="Times New Roman"/>
              <w:sz w:val="44"/>
              <w:szCs w:val="52"/>
            </w:rPr>
            <w:t>目录</w:t>
          </w:r>
        </w:p>
        <w:p w14:paraId="6032C1FF">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"1-3"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_Toc31002 </w:instrText>
          </w:r>
          <w:r>
            <w:rPr>
              <w:rFonts w:hint="default" w:ascii="Times New Roman" w:hAnsi="Times New Roman" w:cs="Times New Roman"/>
            </w:rPr>
            <w:fldChar w:fldCharType="separate"/>
          </w:r>
          <w:r>
            <w:rPr>
              <w:rFonts w:hint="default" w:ascii="Times New Roman" w:hAnsi="Times New Roman" w:eastAsia="宋体" w:cs="Times New Roman"/>
              <w:bCs/>
              <w:spacing w:val="-7"/>
              <w:position w:val="4"/>
              <w:szCs w:val="48"/>
            </w:rPr>
            <w:t>202</w:t>
          </w:r>
          <w:r>
            <w:rPr>
              <w:rFonts w:hint="default" w:ascii="Times New Roman" w:hAnsi="Times New Roman" w:cs="Times New Roman"/>
              <w:bCs/>
              <w:spacing w:val="-7"/>
              <w:position w:val="4"/>
              <w:szCs w:val="48"/>
              <w:lang w:val="en-US" w:eastAsia="zh-CN"/>
            </w:rPr>
            <w:t>5</w:t>
          </w:r>
          <w:r>
            <w:rPr>
              <w:rFonts w:hint="default" w:ascii="Times New Roman" w:hAnsi="Times New Roman" w:eastAsia="宋体" w:cs="Times New Roman"/>
              <w:spacing w:val="-154"/>
              <w:position w:val="4"/>
              <w:szCs w:val="48"/>
            </w:rPr>
            <w:t xml:space="preserve"> </w:t>
          </w:r>
          <w:r>
            <w:rPr>
              <w:rFonts w:hint="default" w:ascii="Times New Roman" w:hAnsi="Times New Roman" w:eastAsia="宋体" w:cs="Times New Roman"/>
              <w:bCs/>
              <w:spacing w:val="-7"/>
              <w:position w:val="4"/>
              <w:szCs w:val="48"/>
            </w:rPr>
            <w:t>年度</w:t>
          </w:r>
          <w:r>
            <w:rPr>
              <w:rFonts w:hint="default" w:ascii="Times New Roman" w:hAnsi="Times New Roman" w:eastAsia="宋体" w:cs="Times New Roman"/>
              <w:bCs/>
              <w:spacing w:val="-4"/>
              <w:szCs w:val="48"/>
            </w:rPr>
            <w:t>阿</w:t>
          </w:r>
          <w:r>
            <w:rPr>
              <w:rFonts w:hint="default" w:ascii="Times New Roman" w:hAnsi="Times New Roman" w:eastAsia="宋体" w:cs="Times New Roman"/>
              <w:bCs/>
              <w:spacing w:val="-7"/>
              <w:position w:val="4"/>
              <w:szCs w:val="48"/>
            </w:rPr>
            <w:t>坝州</w:t>
          </w:r>
          <w:r>
            <w:rPr>
              <w:rFonts w:hint="default" w:ascii="Times New Roman" w:hAnsi="Times New Roman" w:cs="Times New Roman"/>
              <w:bCs/>
              <w:spacing w:val="-7"/>
              <w:position w:val="4"/>
              <w:szCs w:val="48"/>
              <w:lang w:val="en-US" w:eastAsia="zh-CN"/>
            </w:rPr>
            <w:t>救助站</w:t>
          </w:r>
          <w:r>
            <w:rPr>
              <w:rFonts w:hint="default" w:ascii="Times New Roman" w:hAnsi="Times New Roman" w:eastAsia="宋体" w:cs="Times New Roman"/>
              <w:bCs/>
              <w:spacing w:val="-7"/>
              <w:position w:val="4"/>
              <w:szCs w:val="48"/>
            </w:rPr>
            <w:t>决算公开</w:t>
          </w:r>
          <w:r>
            <w:rPr>
              <w:rFonts w:hint="default" w:ascii="Times New Roman" w:hAnsi="Times New Roman" w:eastAsia="宋体" w:cs="Times New Roman"/>
              <w:bCs/>
              <w:spacing w:val="-7"/>
              <w:position w:val="4"/>
              <w:szCs w:val="48"/>
              <w:lang w:val="en-US" w:eastAsia="zh-CN"/>
            </w:rPr>
            <w:t>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_Toc31002 \h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r>
            <w:rPr>
              <w:rFonts w:hint="default" w:ascii="Times New Roman" w:hAnsi="Times New Roman" w:cs="Times New Roman"/>
            </w:rPr>
            <w:fldChar w:fldCharType="end"/>
          </w:r>
        </w:p>
        <w:p w14:paraId="3949EFA2">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_Toc19044 </w:instrText>
          </w:r>
          <w:r>
            <w:rPr>
              <w:rFonts w:hint="default" w:ascii="Times New Roman" w:hAnsi="Times New Roman" w:cs="Times New Roman"/>
            </w:rPr>
            <w:fldChar w:fldCharType="separate"/>
          </w:r>
          <w:r>
            <w:rPr>
              <w:rFonts w:hint="default" w:ascii="Times New Roman" w:hAnsi="Times New Roman" w:eastAsia="方正小标宋简体" w:cs="Times New Roman"/>
              <w:highlight w:val="none"/>
            </w:rPr>
            <w:t>第一部分</w:t>
          </w:r>
          <w:r>
            <w:rPr>
              <w:rFonts w:hint="default" w:ascii="Times New Roman" w:hAnsi="Times New Roman" w:eastAsia="方正小标宋简体" w:cs="Times New Roman"/>
              <w:highlight w:val="none"/>
              <w:lang w:val="en-US" w:eastAsia="zh-CN"/>
            </w:rPr>
            <w:t xml:space="preserve"> </w:t>
          </w:r>
          <w:r>
            <w:rPr>
              <w:rFonts w:hint="default" w:ascii="Times New Roman" w:hAnsi="Times New Roman" w:eastAsia="方正小标宋简体" w:cs="Times New Roman"/>
              <w:highlight w:val="none"/>
            </w:rPr>
            <w:t xml:space="preserve"> </w:t>
          </w:r>
          <w:r>
            <w:rPr>
              <w:rFonts w:hint="default" w:ascii="Times New Roman" w:hAnsi="Times New Roman" w:eastAsia="方正小标宋简体" w:cs="Times New Roman"/>
              <w:bCs w:val="0"/>
              <w:highlight w:val="none"/>
            </w:rPr>
            <w:t>部门概况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_Toc19044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2B491E65">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_Toc26883 </w:instrText>
          </w:r>
          <w:r>
            <w:rPr>
              <w:rFonts w:hint="default" w:ascii="Times New Roman" w:hAnsi="Times New Roman" w:cs="Times New Roman"/>
            </w:rPr>
            <w:fldChar w:fldCharType="separate"/>
          </w:r>
          <w:r>
            <w:rPr>
              <w:rFonts w:hint="default" w:ascii="Times New Roman" w:hAnsi="Times New Roman" w:eastAsia="黑体" w:cs="Times New Roman"/>
              <w:lang w:eastAsia="zh-CN"/>
            </w:rPr>
            <w:t xml:space="preserve">一、 </w:t>
          </w:r>
          <w:r>
            <w:rPr>
              <w:rFonts w:hint="default" w:ascii="Times New Roman" w:hAnsi="Times New Roman" w:eastAsia="黑体" w:cs="Times New Roman"/>
              <w:highlight w:val="none"/>
              <w:lang w:eastAsia="zh-CN"/>
            </w:rPr>
            <w:t>部门职责</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_Toc26883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0258541D">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_Toc5851 </w:instrText>
          </w:r>
          <w:r>
            <w:rPr>
              <w:rFonts w:hint="default" w:ascii="Times New Roman" w:hAnsi="Times New Roman" w:cs="Times New Roman"/>
            </w:rPr>
            <w:fldChar w:fldCharType="separate"/>
          </w:r>
          <w:r>
            <w:rPr>
              <w:rFonts w:hint="default" w:ascii="Times New Roman" w:hAnsi="Times New Roman" w:eastAsia="黑体" w:cs="Times New Roman"/>
              <w:highlight w:val="none"/>
            </w:rPr>
            <w:t>二、机</w:t>
          </w:r>
          <w:r>
            <w:rPr>
              <w:rFonts w:hint="default" w:ascii="Times New Roman" w:hAnsi="Times New Roman" w:eastAsia="黑体" w:cs="Times New Roman"/>
              <w:bCs w:val="0"/>
              <w:highlight w:val="none"/>
            </w:rPr>
            <w:t>构设置</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_Toc5851 \h </w:instrText>
          </w:r>
          <w:r>
            <w:rPr>
              <w:rFonts w:hint="default" w:ascii="Times New Roman" w:hAnsi="Times New Roman" w:cs="Times New Roman"/>
            </w:rPr>
            <w:fldChar w:fldCharType="separate"/>
          </w:r>
          <w:r>
            <w:rPr>
              <w:rFonts w:hint="default" w:ascii="Times New Roman" w:hAnsi="Times New Roman" w:cs="Times New Roman"/>
            </w:rPr>
            <w:t>3</w:t>
          </w:r>
          <w:r>
            <w:rPr>
              <w:rFonts w:hint="default" w:ascii="Times New Roman" w:hAnsi="Times New Roman" w:cs="Times New Roman"/>
            </w:rPr>
            <w:fldChar w:fldCharType="end"/>
          </w:r>
          <w:r>
            <w:rPr>
              <w:rFonts w:hint="default" w:ascii="Times New Roman" w:hAnsi="Times New Roman" w:cs="Times New Roman"/>
            </w:rPr>
            <w:fldChar w:fldCharType="end"/>
          </w:r>
        </w:p>
        <w:p w14:paraId="0E1D0ED9">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_Toc27814 </w:instrText>
          </w:r>
          <w:r>
            <w:rPr>
              <w:rFonts w:hint="default" w:ascii="Times New Roman" w:hAnsi="Times New Roman" w:cs="Times New Roman"/>
            </w:rPr>
            <w:fldChar w:fldCharType="separate"/>
          </w:r>
          <w:r>
            <w:rPr>
              <w:rFonts w:hint="default" w:ascii="Times New Roman" w:hAnsi="Times New Roman" w:eastAsia="方正小标宋简体" w:cs="Times New Roman"/>
              <w:highlight w:val="none"/>
            </w:rPr>
            <w:t>第二部分</w:t>
          </w:r>
          <w:r>
            <w:rPr>
              <w:rFonts w:hint="default" w:ascii="Times New Roman" w:hAnsi="Times New Roman" w:eastAsia="方正小标宋简体" w:cs="Times New Roman"/>
              <w:highlight w:val="none"/>
              <w:lang w:val="en-US" w:eastAsia="zh-CN"/>
            </w:rPr>
            <w:t xml:space="preserve"> </w:t>
          </w:r>
          <w:r>
            <w:rPr>
              <w:rFonts w:hint="default" w:ascii="Times New Roman" w:hAnsi="Times New Roman" w:eastAsia="方正小标宋简体" w:cs="Times New Roman"/>
              <w:highlight w:val="none"/>
            </w:rPr>
            <w:t xml:space="preserve"> </w:t>
          </w:r>
          <w:r>
            <w:rPr>
              <w:rFonts w:hint="default" w:ascii="Times New Roman" w:hAnsi="Times New Roman" w:eastAsia="方正小标宋简体" w:cs="Times New Roman"/>
              <w:highlight w:val="none"/>
              <w:lang w:val="en-US" w:eastAsia="zh-CN"/>
            </w:rPr>
            <w:t>2025年度</w:t>
          </w:r>
          <w:r>
            <w:rPr>
              <w:rFonts w:hint="default" w:ascii="Times New Roman" w:hAnsi="Times New Roman" w:eastAsia="方正小标宋简体" w:cs="Times New Roman"/>
              <w:highlight w:val="none"/>
            </w:rPr>
            <w:t>部门决算情况说明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_Toc27814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36BF3BBB">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_Toc6141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lang w:eastAsia="zh-CN"/>
            </w:rPr>
            <w:t>一、</w:t>
          </w:r>
          <w:r>
            <w:rPr>
              <w:rFonts w:hint="default" w:ascii="Times New Roman" w:hAnsi="Times New Roman" w:eastAsia="黑体" w:cs="Times New Roman"/>
              <w:szCs w:val="32"/>
              <w:highlight w:val="none"/>
            </w:rPr>
            <w:t>收</w:t>
          </w:r>
          <w:r>
            <w:rPr>
              <w:rFonts w:hint="default" w:ascii="Times New Roman" w:hAnsi="Times New Roman" w:eastAsia="黑体" w:cs="Times New Roman"/>
              <w:highlight w:val="none"/>
            </w:rPr>
            <w:t>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_Toc6141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14:paraId="3324F04F">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_Toc28612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lang w:eastAsia="zh-CN"/>
            </w:rPr>
            <w:t>二、收入决算情况说明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_Toc28612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25DBB4EB">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_Toc31552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lang w:eastAsia="zh-CN"/>
            </w:rPr>
            <w:t>三、</w:t>
          </w:r>
          <w:r>
            <w:rPr>
              <w:rFonts w:hint="default" w:ascii="Times New Roman" w:hAnsi="Times New Roman" w:eastAsia="黑体" w:cs="Times New Roman"/>
              <w:szCs w:val="32"/>
              <w:highlight w:val="none"/>
            </w:rPr>
            <w:t>支</w:t>
          </w:r>
          <w:r>
            <w:rPr>
              <w:rFonts w:hint="default" w:ascii="Times New Roman" w:hAnsi="Times New Roman" w:eastAsia="黑体" w:cs="Times New Roman"/>
              <w:highlight w:val="none"/>
            </w:rPr>
            <w:t>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_Toc31552 \h </w:instrText>
          </w:r>
          <w:r>
            <w:rPr>
              <w:rFonts w:hint="default" w:ascii="Times New Roman" w:hAnsi="Times New Roman" w:cs="Times New Roman"/>
            </w:rPr>
            <w:fldChar w:fldCharType="separate"/>
          </w:r>
          <w:r>
            <w:rPr>
              <w:rFonts w:hint="default" w:ascii="Times New Roman" w:hAnsi="Times New Roman" w:cs="Times New Roman"/>
            </w:rPr>
            <w:t>5</w:t>
          </w:r>
          <w:r>
            <w:rPr>
              <w:rFonts w:hint="default" w:ascii="Times New Roman" w:hAnsi="Times New Roman" w:cs="Times New Roman"/>
            </w:rPr>
            <w:fldChar w:fldCharType="end"/>
          </w:r>
          <w:r>
            <w:rPr>
              <w:rFonts w:hint="default" w:ascii="Times New Roman" w:hAnsi="Times New Roman" w:cs="Times New Roman"/>
            </w:rPr>
            <w:fldChar w:fldCharType="end"/>
          </w:r>
        </w:p>
        <w:p w14:paraId="52FD9D6A">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_Toc32711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四、财</w:t>
          </w:r>
          <w:r>
            <w:rPr>
              <w:rFonts w:hint="default" w:ascii="Times New Roman" w:hAnsi="Times New Roman" w:eastAsia="黑体" w:cs="Times New Roman"/>
              <w:highlight w:val="none"/>
            </w:rPr>
            <w:t>政拨款收入支出决算总体情况说明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_Toc32711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17262029">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_Toc7915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五、一</w:t>
          </w:r>
          <w:r>
            <w:rPr>
              <w:rFonts w:hint="default" w:ascii="Times New Roman" w:hAnsi="Times New Roman" w:eastAsia="黑体" w:cs="Times New Roman"/>
              <w:highlight w:val="none"/>
            </w:rPr>
            <w:t>般公共预算财政拨款支出决算情况说明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_Toc7915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39DB6677">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_Toc5699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（一）一般公共预算财政拨款支出决算总体情况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_Toc5699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14:paraId="346F64FE">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_Toc24868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（二）一般公共预算财政拨款支出决算结构情况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_Toc24868 \h </w:instrText>
          </w:r>
          <w:r>
            <w:rPr>
              <w:rFonts w:hint="default" w:ascii="Times New Roman" w:hAnsi="Times New Roman" w:cs="Times New Roman"/>
            </w:rPr>
            <w:fldChar w:fldCharType="separate"/>
          </w:r>
          <w:r>
            <w:rPr>
              <w:rFonts w:hint="default" w:ascii="Times New Roman" w:hAnsi="Times New Roman" w:cs="Times New Roman"/>
            </w:rPr>
            <w:t>7</w:t>
          </w:r>
          <w:r>
            <w:rPr>
              <w:rFonts w:hint="default" w:ascii="Times New Roman" w:hAnsi="Times New Roman" w:cs="Times New Roman"/>
            </w:rPr>
            <w:fldChar w:fldCharType="end"/>
          </w:r>
          <w:r>
            <w:rPr>
              <w:rFonts w:hint="default" w:ascii="Times New Roman" w:hAnsi="Times New Roman" w:cs="Times New Roman"/>
            </w:rPr>
            <w:fldChar w:fldCharType="end"/>
          </w:r>
        </w:p>
        <w:p w14:paraId="02C29492">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_Toc8242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（三）一般公共预算财政拨款支出决算具体情况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_Toc8242 \h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rPr>
              <w:rFonts w:hint="default" w:ascii="Times New Roman" w:hAnsi="Times New Roman" w:cs="Times New Roman"/>
            </w:rPr>
            <w:fldChar w:fldCharType="end"/>
          </w:r>
        </w:p>
        <w:p w14:paraId="6062F560">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_Toc11426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六、一</w:t>
          </w:r>
          <w:r>
            <w:rPr>
              <w:rFonts w:hint="default" w:ascii="Times New Roman" w:hAnsi="Times New Roman" w:eastAsia="黑体" w:cs="Times New Roman"/>
              <w:highlight w:val="none"/>
            </w:rPr>
            <w:t>般公共预算财政拨款基本支出决算情况说明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_Toc11426 \h </w:instrText>
          </w:r>
          <w:r>
            <w:rPr>
              <w:rFonts w:hint="default" w:ascii="Times New Roman" w:hAnsi="Times New Roman" w:cs="Times New Roman"/>
            </w:rPr>
            <w:fldChar w:fldCharType="separate"/>
          </w:r>
          <w:r>
            <w:rPr>
              <w:rFonts w:hint="default" w:ascii="Times New Roman" w:hAnsi="Times New Roman" w:cs="Times New Roman"/>
            </w:rPr>
            <w:t>9</w:t>
          </w:r>
          <w:r>
            <w:rPr>
              <w:rFonts w:hint="default" w:ascii="Times New Roman" w:hAnsi="Times New Roman" w:cs="Times New Roman"/>
            </w:rPr>
            <w:fldChar w:fldCharType="end"/>
          </w:r>
          <w:r>
            <w:rPr>
              <w:rFonts w:hint="default" w:ascii="Times New Roman" w:hAnsi="Times New Roman" w:cs="Times New Roman"/>
            </w:rPr>
            <w:fldChar w:fldCharType="end"/>
          </w:r>
        </w:p>
        <w:p w14:paraId="19174732">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_Toc28793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七、</w:t>
          </w:r>
          <w:r>
            <w:rPr>
              <w:rFonts w:hint="default" w:ascii="Times New Roman" w:hAnsi="Times New Roman" w:eastAsia="黑体" w:cs="Times New Roman"/>
              <w:highlight w:val="none"/>
            </w:rPr>
            <w:t>财政拨款“三公”经费支出决算情况说明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_Toc28793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2CED6127">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_Toc22450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（一）财政拨款“三公”经费支出决算总体情况说明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_Toc22450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399047B7">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_Toc32570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（二）财政拨款“三公”经费支出决算具体情况说明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_Toc32570 \h </w:instrText>
          </w:r>
          <w:r>
            <w:rPr>
              <w:rFonts w:hint="default" w:ascii="Times New Roman" w:hAnsi="Times New Roman" w:cs="Times New Roman"/>
            </w:rPr>
            <w:fldChar w:fldCharType="separate"/>
          </w:r>
          <w:r>
            <w:rPr>
              <w:rFonts w:hint="default" w:ascii="Times New Roman" w:hAnsi="Times New Roman" w:cs="Times New Roman"/>
            </w:rPr>
            <w:t>10</w:t>
          </w:r>
          <w:r>
            <w:rPr>
              <w:rFonts w:hint="default" w:ascii="Times New Roman" w:hAnsi="Times New Roman" w:cs="Times New Roman"/>
            </w:rPr>
            <w:fldChar w:fldCharType="end"/>
          </w:r>
          <w:r>
            <w:rPr>
              <w:rFonts w:hint="default" w:ascii="Times New Roman" w:hAnsi="Times New Roman" w:cs="Times New Roman"/>
            </w:rPr>
            <w:fldChar w:fldCharType="end"/>
          </w:r>
        </w:p>
        <w:p w14:paraId="1F09D1EA">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_Toc20663 </w:instrText>
          </w:r>
          <w:r>
            <w:rPr>
              <w:rFonts w:hint="default" w:ascii="Times New Roman" w:hAnsi="Times New Roman" w:cs="Times New Roman"/>
            </w:rPr>
            <w:fldChar w:fldCharType="separate"/>
          </w:r>
          <w:r>
            <w:rPr>
              <w:rFonts w:hint="default" w:ascii="Times New Roman" w:hAnsi="Times New Roman" w:eastAsia="黑体" w:cs="Times New Roman"/>
              <w:szCs w:val="32"/>
              <w:highlight w:val="none"/>
            </w:rPr>
            <w:t>八、</w:t>
          </w:r>
          <w:r>
            <w:rPr>
              <w:rFonts w:hint="default" w:ascii="Times New Roman" w:hAnsi="Times New Roman" w:eastAsia="黑体" w:cs="Times New Roman"/>
              <w:highlight w:val="none"/>
            </w:rPr>
            <w:t>政府性基金预算支出决算情况说明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_Toc20663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521087FF">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_Toc9462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eastAsia="zh-CN"/>
            </w:rPr>
            <w:t>九、</w:t>
          </w:r>
          <w:r>
            <w:rPr>
              <w:rFonts w:hint="default" w:ascii="Times New Roman" w:hAnsi="Times New Roman" w:eastAsia="黑体" w:cs="Times New Roman"/>
              <w:highlight w:val="none"/>
            </w:rPr>
            <w:t>国有资本经营预算支出决算情况说明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_Toc9462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38F50DC6">
          <w:pPr>
            <w:pStyle w:val="15"/>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_Toc11079 </w:instrText>
          </w:r>
          <w:r>
            <w:rPr>
              <w:rFonts w:hint="default" w:ascii="Times New Roman" w:hAnsi="Times New Roman" w:cs="Times New Roman"/>
            </w:rPr>
            <w:fldChar w:fldCharType="separate"/>
          </w:r>
          <w:r>
            <w:rPr>
              <w:rFonts w:hint="default" w:ascii="Times New Roman" w:hAnsi="Times New Roman" w:eastAsia="黑体" w:cs="Times New Roman"/>
              <w:highlight w:val="none"/>
              <w:lang w:eastAsia="zh-CN"/>
            </w:rPr>
            <w:t>十、</w:t>
          </w:r>
          <w:r>
            <w:rPr>
              <w:rFonts w:hint="default" w:ascii="Times New Roman" w:hAnsi="Times New Roman" w:eastAsia="黑体" w:cs="Times New Roman"/>
              <w:highlight w:val="none"/>
            </w:rPr>
            <w:t>其他重要事项的情况说明</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_Toc11079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6DE10329">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_Toc14230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（一）机关运行经费支出情况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_Toc14230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2FB880F5">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_Toc31637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（二）政府采购支出情况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_Toc31637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0137486D">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_Toc24777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（三）国有资产占有使用情况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_Toc24777 \h </w:instrText>
          </w:r>
          <w:r>
            <w:rPr>
              <w:rFonts w:hint="default" w:ascii="Times New Roman" w:hAnsi="Times New Roman" w:cs="Times New Roman"/>
            </w:rPr>
            <w:fldChar w:fldCharType="separate"/>
          </w:r>
          <w:r>
            <w:rPr>
              <w:rFonts w:hint="default" w:ascii="Times New Roman" w:hAnsi="Times New Roman" w:cs="Times New Roman"/>
            </w:rPr>
            <w:t>12</w:t>
          </w:r>
          <w:r>
            <w:rPr>
              <w:rFonts w:hint="default" w:ascii="Times New Roman" w:hAnsi="Times New Roman" w:cs="Times New Roman"/>
            </w:rPr>
            <w:fldChar w:fldCharType="end"/>
          </w:r>
          <w:r>
            <w:rPr>
              <w:rFonts w:hint="default" w:ascii="Times New Roman" w:hAnsi="Times New Roman" w:cs="Times New Roman"/>
            </w:rPr>
            <w:fldChar w:fldCharType="end"/>
          </w:r>
        </w:p>
        <w:p w14:paraId="3937428F">
          <w:pPr>
            <w:pStyle w:val="9"/>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_Toc6601 </w:instrText>
          </w:r>
          <w:r>
            <w:rPr>
              <w:rFonts w:hint="default" w:ascii="Times New Roman" w:hAnsi="Times New Roman" w:cs="Times New Roman"/>
            </w:rPr>
            <w:fldChar w:fldCharType="separate"/>
          </w:r>
          <w:r>
            <w:rPr>
              <w:rFonts w:hint="default" w:ascii="Times New Roman" w:hAnsi="Times New Roman" w:eastAsia="楷体_GB2312" w:cs="Times New Roman"/>
              <w:szCs w:val="32"/>
              <w:highlight w:val="none"/>
            </w:rPr>
            <w:t>（四）预算绩效管理情况</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_Toc6601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6D0EFED8">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_Toc99 </w:instrText>
          </w:r>
          <w:r>
            <w:rPr>
              <w:rFonts w:hint="default" w:ascii="Times New Roman" w:hAnsi="Times New Roman" w:cs="Times New Roman"/>
            </w:rPr>
            <w:fldChar w:fldCharType="separate"/>
          </w:r>
          <w:r>
            <w:rPr>
              <w:rFonts w:hint="default" w:ascii="Times New Roman" w:hAnsi="Times New Roman" w:eastAsia="黑体" w:cs="Times New Roman"/>
              <w:szCs w:val="44"/>
              <w:highlight w:val="none"/>
            </w:rPr>
            <w:t>第</w:t>
          </w:r>
          <w:r>
            <w:rPr>
              <w:rFonts w:hint="default" w:ascii="Times New Roman" w:hAnsi="Times New Roman" w:eastAsia="黑体" w:cs="Times New Roman"/>
              <w:szCs w:val="44"/>
              <w:highlight w:val="none"/>
              <w:lang w:eastAsia="zh-CN"/>
            </w:rPr>
            <w:t>三</w:t>
          </w:r>
          <w:r>
            <w:rPr>
              <w:rFonts w:hint="default" w:ascii="Times New Roman" w:hAnsi="Times New Roman" w:eastAsia="黑体" w:cs="Times New Roman"/>
              <w:szCs w:val="44"/>
              <w:highlight w:val="none"/>
            </w:rPr>
            <w:t>部分</w:t>
          </w:r>
          <w:r>
            <w:rPr>
              <w:rFonts w:hint="default" w:ascii="Times New Roman" w:hAnsi="Times New Roman" w:eastAsia="黑体" w:cs="Times New Roman"/>
              <w:szCs w:val="44"/>
              <w:highlight w:val="none"/>
              <w:lang w:val="en-US" w:eastAsia="zh-CN"/>
            </w:rPr>
            <w:t xml:space="preserve"> </w:t>
          </w:r>
          <w:r>
            <w:rPr>
              <w:rFonts w:hint="default" w:ascii="Times New Roman" w:hAnsi="Times New Roman" w:eastAsia="黑体" w:cs="Times New Roman"/>
              <w:szCs w:val="44"/>
              <w:highlight w:val="none"/>
              <w:lang w:val="en-US" w:eastAsia="zh-CN"/>
            </w:rPr>
            <w:t xml:space="preserve"> </w:t>
          </w:r>
          <w:r>
            <w:rPr>
              <w:rFonts w:hint="default" w:ascii="Times New Roman" w:hAnsi="Times New Roman" w:eastAsia="黑体" w:cs="Times New Roman"/>
              <w:szCs w:val="44"/>
              <w:highlight w:val="none"/>
            </w:rPr>
            <w:t>名词解释</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_Toc99 \h </w:instrText>
          </w:r>
          <w:r>
            <w:rPr>
              <w:rFonts w:hint="default" w:ascii="Times New Roman" w:hAnsi="Times New Roman" w:cs="Times New Roman"/>
            </w:rPr>
            <w:fldChar w:fldCharType="separate"/>
          </w:r>
          <w:r>
            <w:rPr>
              <w:rFonts w:hint="default" w:ascii="Times New Roman" w:hAnsi="Times New Roman" w:cs="Times New Roman"/>
            </w:rPr>
            <w:t>13</w:t>
          </w:r>
          <w:r>
            <w:rPr>
              <w:rFonts w:hint="default" w:ascii="Times New Roman" w:hAnsi="Times New Roman" w:cs="Times New Roman"/>
            </w:rPr>
            <w:fldChar w:fldCharType="end"/>
          </w:r>
          <w:r>
            <w:rPr>
              <w:rFonts w:hint="default" w:ascii="Times New Roman" w:hAnsi="Times New Roman" w:cs="Times New Roman"/>
            </w:rPr>
            <w:fldChar w:fldCharType="end"/>
          </w:r>
        </w:p>
        <w:p w14:paraId="4D487D9E">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_Toc30066 </w:instrText>
          </w:r>
          <w:r>
            <w:rPr>
              <w:rFonts w:hint="default" w:ascii="Times New Roman" w:hAnsi="Times New Roman" w:cs="Times New Roman"/>
            </w:rPr>
            <w:fldChar w:fldCharType="separate"/>
          </w:r>
          <w:r>
            <w:rPr>
              <w:rFonts w:hint="default" w:ascii="Times New Roman" w:hAnsi="Times New Roman" w:eastAsia="黑体" w:cs="Times New Roman"/>
              <w:szCs w:val="44"/>
              <w:highlight w:val="none"/>
            </w:rPr>
            <w:t>第四部分</w:t>
          </w:r>
          <w:r>
            <w:rPr>
              <w:rFonts w:hint="default" w:ascii="Times New Roman" w:hAnsi="Times New Roman" w:eastAsia="黑体" w:cs="Times New Roman"/>
              <w:szCs w:val="44"/>
              <w:highlight w:val="none"/>
              <w:lang w:val="en-US" w:eastAsia="zh-CN"/>
            </w:rPr>
            <w:t xml:space="preserve"> </w:t>
          </w:r>
          <w:r>
            <w:rPr>
              <w:rFonts w:hint="default" w:ascii="Times New Roman" w:hAnsi="Times New Roman" w:eastAsia="黑体" w:cs="Times New Roman"/>
              <w:szCs w:val="44"/>
              <w:highlight w:val="none"/>
            </w:rPr>
            <w:t xml:space="preserve"> 附件</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_Toc30066 \h </w:instrText>
          </w:r>
          <w:r>
            <w:rPr>
              <w:rFonts w:hint="default" w:ascii="Times New Roman" w:hAnsi="Times New Roman" w:cs="Times New Roman"/>
            </w:rPr>
            <w:fldChar w:fldCharType="separate"/>
          </w:r>
          <w:r>
            <w:rPr>
              <w:rFonts w:hint="default" w:ascii="Times New Roman" w:hAnsi="Times New Roman" w:cs="Times New Roman"/>
            </w:rPr>
            <w:t>17</w:t>
          </w:r>
          <w:r>
            <w:rPr>
              <w:rFonts w:hint="default" w:ascii="Times New Roman" w:hAnsi="Times New Roman" w:cs="Times New Roman"/>
            </w:rPr>
            <w:fldChar w:fldCharType="end"/>
          </w:r>
          <w:r>
            <w:rPr>
              <w:rFonts w:hint="default" w:ascii="Times New Roman" w:hAnsi="Times New Roman" w:cs="Times New Roman"/>
            </w:rPr>
            <w:fldChar w:fldCharType="end"/>
          </w:r>
        </w:p>
        <w:p w14:paraId="1020D7FB">
          <w:pPr>
            <w:pStyle w:val="13"/>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_Toc17056 </w:instrText>
          </w:r>
          <w:r>
            <w:rPr>
              <w:rFonts w:hint="default" w:ascii="Times New Roman" w:hAnsi="Times New Roman" w:cs="Times New Roman"/>
            </w:rPr>
            <w:fldChar w:fldCharType="separate"/>
          </w:r>
          <w:r>
            <w:rPr>
              <w:rFonts w:hint="default" w:ascii="Times New Roman" w:hAnsi="Times New Roman" w:eastAsia="黑体" w:cs="Times New Roman"/>
              <w:szCs w:val="44"/>
              <w:highlight w:val="none"/>
            </w:rPr>
            <w:t>第</w:t>
          </w:r>
          <w:r>
            <w:rPr>
              <w:rFonts w:hint="default" w:ascii="Times New Roman" w:hAnsi="Times New Roman" w:eastAsia="黑体" w:cs="Times New Roman"/>
              <w:highlight w:val="none"/>
            </w:rPr>
            <w:t>五部分 附表</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_Toc17056 \h </w:instrText>
          </w:r>
          <w:r>
            <w:rPr>
              <w:rFonts w:hint="default" w:ascii="Times New Roman" w:hAnsi="Times New Roman" w:cs="Times New Roman"/>
            </w:rPr>
            <w:fldChar w:fldCharType="separate"/>
          </w:r>
          <w:r>
            <w:rPr>
              <w:rFonts w:hint="default" w:ascii="Times New Roman" w:hAnsi="Times New Roman" w:cs="Times New Roman"/>
            </w:rPr>
            <w:t>35</w:t>
          </w:r>
          <w:r>
            <w:rPr>
              <w:rFonts w:hint="default" w:ascii="Times New Roman" w:hAnsi="Times New Roman" w:cs="Times New Roman"/>
            </w:rPr>
            <w:fldChar w:fldCharType="end"/>
          </w:r>
          <w:r>
            <w:rPr>
              <w:rFonts w:hint="default" w:ascii="Times New Roman" w:hAnsi="Times New Roman" w:cs="Times New Roman"/>
            </w:rPr>
            <w:fldChar w:fldCharType="end"/>
          </w:r>
        </w:p>
        <w:p w14:paraId="12AAC668">
          <w:pPr>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rPr>
            <w:fldChar w:fldCharType="end"/>
          </w:r>
        </w:p>
      </w:sdtContent>
    </w:sdt>
    <w:p w14:paraId="43C487E6">
      <w:pPr>
        <w:rPr>
          <w:rFonts w:hint="default" w:ascii="Times New Roman" w:hAnsi="Times New Roman" w:eastAsia="仿宋_GB2312" w:cs="Times New Roman"/>
          <w:color w:val="auto"/>
          <w:sz w:val="32"/>
          <w:szCs w:val="32"/>
          <w:highlight w:val="none"/>
        </w:rPr>
      </w:pPr>
    </w:p>
    <w:p w14:paraId="3FFD88F5">
      <w:pPr>
        <w:pStyle w:val="5"/>
        <w:rPr>
          <w:rFonts w:hint="default" w:ascii="Times New Roman" w:hAnsi="Times New Roman" w:eastAsia="仿宋_GB2312" w:cs="Times New Roman"/>
          <w:color w:val="auto"/>
          <w:sz w:val="32"/>
          <w:szCs w:val="32"/>
          <w:highlight w:val="none"/>
        </w:rPr>
      </w:pPr>
    </w:p>
    <w:p w14:paraId="2A54CC93">
      <w:pPr>
        <w:rPr>
          <w:rFonts w:hint="default" w:ascii="Times New Roman" w:hAnsi="Times New Roman" w:cs="Times New Roman"/>
        </w:rPr>
      </w:pPr>
    </w:p>
    <w:p w14:paraId="5481122B">
      <w:pPr>
        <w:pStyle w:val="2"/>
        <w:pageBreakBefore w:val="0"/>
        <w:kinsoku/>
        <w:overflowPunct/>
        <w:topLinePunct w:val="0"/>
        <w:bidi w:val="0"/>
        <w:spacing w:before="0" w:after="0" w:line="560" w:lineRule="atLeast"/>
        <w:jc w:val="center"/>
        <w:textAlignment w:val="auto"/>
        <w:rPr>
          <w:rFonts w:hint="default" w:ascii="Times New Roman" w:hAnsi="Times New Roman" w:eastAsia="黑体" w:cs="Times New Roman"/>
          <w:color w:val="auto"/>
          <w:sz w:val="32"/>
          <w:szCs w:val="32"/>
          <w:highlight w:val="none"/>
        </w:rPr>
      </w:pPr>
      <w:bookmarkStart w:id="7" w:name="_Toc19044"/>
      <w:bookmarkStart w:id="8" w:name="_Toc15396599"/>
      <w:bookmarkStart w:id="9" w:name="_Toc15377196"/>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0"/>
          <w:rFonts w:hint="default" w:ascii="Times New Roman" w:hAnsi="Times New Roman" w:eastAsia="方正小标宋简体" w:cs="Times New Roman"/>
          <w:b w:val="0"/>
          <w:bCs w:val="0"/>
          <w:color w:val="auto"/>
          <w:highlight w:val="none"/>
        </w:rPr>
        <w:t>部门概况</w:t>
      </w:r>
      <w:bookmarkEnd w:id="7"/>
      <w:bookmarkEnd w:id="8"/>
      <w:bookmarkEnd w:id="9"/>
    </w:p>
    <w:p w14:paraId="1FB509B8">
      <w:pPr>
        <w:pStyle w:val="3"/>
        <w:pageBreakBefore w:val="0"/>
        <w:numPr>
          <w:numId w:val="0"/>
        </w:numPr>
        <w:kinsoku/>
        <w:overflowPunct/>
        <w:topLinePunct w:val="0"/>
        <w:bidi w:val="0"/>
        <w:spacing w:before="0" w:after="0" w:line="560" w:lineRule="atLeast"/>
        <w:textAlignment w:val="auto"/>
        <w:rPr>
          <w:rFonts w:hint="default" w:ascii="Times New Roman" w:hAnsi="Times New Roman" w:eastAsia="黑体" w:cs="Times New Roman"/>
          <w:b w:val="0"/>
          <w:color w:val="auto"/>
          <w:highlight w:val="none"/>
          <w:lang w:val="en-US" w:eastAsia="zh-CN"/>
        </w:rPr>
      </w:pPr>
      <w:bookmarkStart w:id="10" w:name="_Toc26883"/>
    </w:p>
    <w:p w14:paraId="3FF69BD6">
      <w:pPr>
        <w:pStyle w:val="3"/>
        <w:pageBreakBefore w:val="0"/>
        <w:numPr>
          <w:numId w:val="0"/>
        </w:numPr>
        <w:kinsoku/>
        <w:overflowPunct/>
        <w:topLinePunct w:val="0"/>
        <w:bidi w:val="0"/>
        <w:spacing w:before="0" w:after="0" w:line="560" w:lineRule="atLeast"/>
        <w:ind w:firstLine="640" w:firstLineChars="200"/>
        <w:textAlignment w:val="auto"/>
        <w:rPr>
          <w:rFonts w:hint="default" w:ascii="Times New Roman" w:hAnsi="Times New Roman" w:eastAsia="楷体_GB2312" w:cs="Times New Roman"/>
          <w:b/>
          <w:sz w:val="32"/>
          <w:szCs w:val="32"/>
        </w:rPr>
      </w:pPr>
      <w:r>
        <w:rPr>
          <w:rFonts w:hint="default" w:ascii="Times New Roman" w:hAnsi="Times New Roman" w:eastAsia="黑体" w:cs="Times New Roman"/>
          <w:b w:val="0"/>
          <w:color w:val="auto"/>
          <w:highlight w:val="none"/>
          <w:lang w:val="en-US" w:eastAsia="zh-CN"/>
        </w:rPr>
        <w:t>一、</w:t>
      </w:r>
      <w:r>
        <w:rPr>
          <w:rFonts w:hint="default" w:ascii="Times New Roman" w:hAnsi="Times New Roman" w:eastAsia="黑体" w:cs="Times New Roman"/>
          <w:b w:val="0"/>
          <w:color w:val="auto"/>
          <w:highlight w:val="none"/>
          <w:lang w:eastAsia="zh-CN"/>
        </w:rPr>
        <w:t>部门职责</w:t>
      </w:r>
      <w:bookmarkEnd w:id="10"/>
    </w:p>
    <w:p w14:paraId="341132E6">
      <w:pPr>
        <w:pStyle w:val="3"/>
        <w:pageBreakBefore w:val="0"/>
        <w:numPr>
          <w:ilvl w:val="0"/>
          <w:numId w:val="0"/>
        </w:numPr>
        <w:kinsoku/>
        <w:overflowPunct/>
        <w:topLinePunct w:val="0"/>
        <w:bidi w:val="0"/>
        <w:spacing w:before="0" w:after="0" w:line="560" w:lineRule="atLeast"/>
        <w:ind w:firstLine="643" w:firstLineChars="200"/>
        <w:textAlignment w:val="auto"/>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（一）基本情况。</w:t>
      </w:r>
    </w:p>
    <w:p w14:paraId="7D8DB389">
      <w:pPr>
        <w:pageBreakBefore w:val="0"/>
        <w:kinsoku/>
        <w:overflowPunct/>
        <w:topLinePunct w:val="0"/>
        <w:bidi w:val="0"/>
        <w:snapToGrid w:val="0"/>
        <w:spacing w:line="560" w:lineRule="atLeas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主要职能</w:t>
      </w:r>
    </w:p>
    <w:p w14:paraId="433E6C89">
      <w:pPr>
        <w:pageBreakBefore w:val="0"/>
        <w:kinsoku/>
        <w:overflowPunct/>
        <w:topLinePunct w:val="0"/>
        <w:bidi w:val="0"/>
        <w:spacing w:line="560" w:lineRule="atLeas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bookmarkStart w:id="11" w:name="_Toc15396601"/>
      <w:bookmarkStart w:id="12" w:name="_Toc5851"/>
      <w:bookmarkStart w:id="13" w:name="_Toc15377200"/>
      <w:r>
        <w:rPr>
          <w:rFonts w:hint="default" w:ascii="Times New Roman" w:hAnsi="Times New Roman" w:eastAsia="仿宋_GB2312" w:cs="Times New Roman"/>
          <w:color w:val="auto"/>
          <w:kern w:val="2"/>
          <w:sz w:val="32"/>
          <w:szCs w:val="32"/>
          <w:highlight w:val="none"/>
          <w:lang w:val="en-US" w:eastAsia="zh-CN" w:bidi="ar-SA"/>
        </w:rPr>
        <w:t>负责对符合条件的流浪乞讨人员和暂遇生活危机的困难群众进行救助，承担全州各县（市）救助人员的中转工作；负责对流浪未成年人的救助保护和帮扶工作。按照民政部2022年12月7日印发的《生活无着的流浪乞讨人员救助管理机构工作规程》要求：对遭遇极端天气、自然灾害、突发事件等特殊原因导致陷入生活无着困境的临时遇困人员，为其提供饮食、住宿等应急性、过渡性基本生活救助；为求助的家庭暴力受害人提供临时生活帮助，可根据需要，依法协助受害人或者代表无民事行为能力、限制民事行为能力的受害人向人民法院申请人身安全保护令；完成上级主管部门交办的其它事项。</w:t>
      </w:r>
    </w:p>
    <w:p w14:paraId="295895D0">
      <w:pPr>
        <w:pStyle w:val="3"/>
        <w:pageBreakBefore w:val="0"/>
        <w:kinsoku/>
        <w:wordWrap/>
        <w:overflowPunct/>
        <w:topLinePunct w:val="0"/>
        <w:autoSpaceDE/>
        <w:autoSpaceDN/>
        <w:bidi w:val="0"/>
        <w:adjustRightInd/>
        <w:spacing w:before="0" w:after="0" w:line="560" w:lineRule="atLeast"/>
        <w:ind w:firstLine="640" w:firstLineChars="200"/>
        <w:textAlignment w:val="auto"/>
        <w:rPr>
          <w:rStyle w:val="31"/>
          <w:rFonts w:hint="default" w:ascii="Times New Roman" w:hAnsi="Times New Roman" w:cs="Times New Roman"/>
          <w:b w:val="0"/>
          <w:bCs w:val="0"/>
          <w:color w:val="auto"/>
          <w:highlight w:val="none"/>
        </w:rPr>
      </w:pPr>
      <w:r>
        <w:rPr>
          <w:rFonts w:hint="default" w:ascii="Times New Roman" w:hAnsi="Times New Roman" w:eastAsia="黑体" w:cs="Times New Roman"/>
          <w:b w:val="0"/>
          <w:color w:val="auto"/>
          <w:highlight w:val="none"/>
        </w:rPr>
        <w:t>二、机</w:t>
      </w:r>
      <w:r>
        <w:rPr>
          <w:rStyle w:val="31"/>
          <w:rFonts w:hint="default" w:ascii="Times New Roman" w:hAnsi="Times New Roman" w:eastAsia="黑体" w:cs="Times New Roman"/>
          <w:b w:val="0"/>
          <w:bCs w:val="0"/>
          <w:color w:val="auto"/>
          <w:highlight w:val="none"/>
        </w:rPr>
        <w:t>构设置</w:t>
      </w:r>
      <w:bookmarkEnd w:id="11"/>
      <w:bookmarkEnd w:id="12"/>
      <w:bookmarkEnd w:id="13"/>
    </w:p>
    <w:p w14:paraId="36854C75">
      <w:pPr>
        <w:pageBreakBefore w:val="0"/>
        <w:kinsoku/>
        <w:wordWrap/>
        <w:overflowPunct/>
        <w:topLinePunct w:val="0"/>
        <w:autoSpaceDE/>
        <w:autoSpaceDN/>
        <w:bidi w:val="0"/>
        <w:adjustRightInd/>
        <w:spacing w:line="560" w:lineRule="atLeast"/>
        <w:ind w:firstLine="640" w:firstLineChars="200"/>
        <w:textAlignment w:val="auto"/>
        <w:rPr>
          <w:rFonts w:hint="default" w:ascii="Times New Roman" w:hAnsi="Times New Roman" w:eastAsia="仿宋_GB2312" w:cs="Times New Roman"/>
          <w:sz w:val="32"/>
          <w:szCs w:val="32"/>
        </w:rPr>
      </w:pPr>
      <w:bookmarkStart w:id="14" w:name="_Toc15377204"/>
      <w:bookmarkStart w:id="15" w:name="_Toc15396602"/>
      <w:r>
        <w:rPr>
          <w:rFonts w:hint="default" w:ascii="Times New Roman" w:hAnsi="Times New Roman" w:eastAsia="仿宋_GB2312" w:cs="Times New Roman"/>
          <w:bCs/>
          <w:color w:val="000000"/>
          <w:sz w:val="32"/>
          <w:szCs w:val="32"/>
        </w:rPr>
        <w:t>本单位本年度纳入本级决算编制范围的独立编制机构数共1个，比上年增加0个；独立核算机构数共1个，比上年增加0个。</w:t>
      </w:r>
    </w:p>
    <w:p w14:paraId="0C06BAD9">
      <w:pPr>
        <w:pageBreakBefore w:val="0"/>
        <w:kinsoku/>
        <w:overflowPunct/>
        <w:topLinePunct w:val="0"/>
        <w:bidi w:val="0"/>
        <w:snapToGrid w:val="0"/>
        <w:spacing w:line="560" w:lineRule="atLeast"/>
        <w:ind w:firstLine="643"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人员情况</w:t>
      </w:r>
      <w:r>
        <w:rPr>
          <w:rFonts w:hint="default" w:ascii="Times New Roman" w:hAnsi="Times New Roman" w:eastAsia="仿宋_GB2312" w:cs="Times New Roman"/>
          <w:b/>
          <w:bCs/>
          <w:sz w:val="32"/>
          <w:szCs w:val="32"/>
          <w:lang w:eastAsia="zh-CN"/>
        </w:rPr>
        <w:t>：</w:t>
      </w:r>
    </w:p>
    <w:p w14:paraId="73189E98">
      <w:pPr>
        <w:keepNext w:val="0"/>
        <w:keepLines w:val="0"/>
        <w:pageBreakBefore w:val="0"/>
        <w:widowControl w:val="0"/>
        <w:kinsoku/>
        <w:wordWrap/>
        <w:overflowPunct/>
        <w:topLinePunct w:val="0"/>
        <w:autoSpaceDN/>
        <w:bidi w:val="0"/>
        <w:spacing w:line="560" w:lineRule="atLeast"/>
        <w:ind w:firstLine="640" w:firstLineChars="200"/>
        <w:jc w:val="both"/>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阿坝州救助站</w:t>
      </w:r>
      <w:r>
        <w:rPr>
          <w:rFonts w:hint="default" w:ascii="Times New Roman" w:hAnsi="Times New Roman" w:eastAsia="仿宋_GB2312" w:cs="Times New Roman"/>
          <w:sz w:val="32"/>
          <w:szCs w:val="32"/>
          <w:lang w:val="en-US" w:eastAsia="zh-CN" w:bidi="ar-SA"/>
        </w:rPr>
        <w:t>事业编制数10名，其中正科级领导职数2（其中主任科员1名），副科级领导职数</w:t>
      </w:r>
      <w:r>
        <w:rPr>
          <w:rFonts w:hint="default" w:ascii="Times New Roman" w:hAnsi="Times New Roman" w:eastAsia="仿宋_GB2312" w:cs="Times New Roman"/>
          <w:sz w:val="32"/>
          <w:szCs w:val="32"/>
          <w:lang w:eastAsia="zh-CN" w:bidi="ar-SA"/>
        </w:rPr>
        <w:t>2</w:t>
      </w:r>
      <w:r>
        <w:rPr>
          <w:rFonts w:hint="default" w:ascii="Times New Roman" w:hAnsi="Times New Roman" w:eastAsia="仿宋_GB2312" w:cs="Times New Roman"/>
          <w:sz w:val="32"/>
          <w:szCs w:val="32"/>
          <w:lang w:val="en-US" w:eastAsia="zh-CN" w:bidi="ar-SA"/>
        </w:rPr>
        <w:t>名（其中副主任科员1名），管理岗工作人员2名，工勤技能岗</w:t>
      </w:r>
      <w:r>
        <w:rPr>
          <w:rFonts w:hint="default" w:ascii="Times New Roman" w:hAnsi="Times New Roman" w:eastAsia="仿宋_GB2312" w:cs="Times New Roman"/>
          <w:sz w:val="32"/>
          <w:szCs w:val="32"/>
          <w:lang w:eastAsia="zh-CN" w:bidi="ar-SA"/>
        </w:rPr>
        <w:t>2</w:t>
      </w:r>
      <w:r>
        <w:rPr>
          <w:rFonts w:hint="default" w:ascii="Times New Roman" w:hAnsi="Times New Roman" w:eastAsia="仿宋_GB2312" w:cs="Times New Roman"/>
          <w:sz w:val="32"/>
          <w:szCs w:val="32"/>
          <w:lang w:val="en-US" w:eastAsia="zh-CN" w:bidi="ar-SA"/>
        </w:rPr>
        <w:t>名。</w:t>
      </w:r>
      <w:r>
        <w:rPr>
          <w:rFonts w:hint="default" w:ascii="Times New Roman" w:hAnsi="Times New Roman" w:eastAsia="仿宋_GB2312" w:cs="Times New Roman"/>
          <w:sz w:val="32"/>
          <w:szCs w:val="32"/>
          <w:lang w:eastAsia="zh-CN" w:bidi="ar-SA"/>
        </w:rPr>
        <w:t>退休人员2名，年末实有人数为8人。</w:t>
      </w:r>
    </w:p>
    <w:p w14:paraId="107B1CA5">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bookmarkStart w:id="16" w:name="_Toc27814"/>
    </w:p>
    <w:p w14:paraId="15702DE0">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p>
    <w:p w14:paraId="056798EE">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p>
    <w:p w14:paraId="3E1D32CC">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p>
    <w:p w14:paraId="576A4A44">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p>
    <w:p w14:paraId="389A0623">
      <w:pPr>
        <w:pStyle w:val="2"/>
        <w:pageBreakBefore w:val="0"/>
        <w:kinsoku/>
        <w:overflowPunct/>
        <w:topLinePunct w:val="0"/>
        <w:bidi w:val="0"/>
        <w:spacing w:before="0" w:after="0" w:line="560" w:lineRule="atLeast"/>
        <w:jc w:val="both"/>
        <w:textAlignment w:val="auto"/>
        <w:rPr>
          <w:rFonts w:hint="default" w:ascii="Times New Roman" w:hAnsi="Times New Roman" w:eastAsia="方正小标宋简体" w:cs="Times New Roman"/>
          <w:b w:val="0"/>
          <w:color w:val="auto"/>
          <w:highlight w:val="none"/>
        </w:rPr>
      </w:pPr>
    </w:p>
    <w:p w14:paraId="10A85E1E">
      <w:pPr>
        <w:rPr>
          <w:rFonts w:hint="default" w:ascii="Times New Roman" w:hAnsi="Times New Roman" w:eastAsia="方正小标宋简体" w:cs="Times New Roman"/>
          <w:b w:val="0"/>
          <w:color w:val="auto"/>
          <w:highlight w:val="none"/>
        </w:rPr>
      </w:pPr>
    </w:p>
    <w:p w14:paraId="56979B2C">
      <w:pPr>
        <w:rPr>
          <w:rFonts w:hint="default" w:ascii="Times New Roman" w:hAnsi="Times New Roman" w:eastAsia="方正小标宋简体" w:cs="Times New Roman"/>
          <w:b w:val="0"/>
          <w:color w:val="auto"/>
          <w:highlight w:val="none"/>
        </w:rPr>
      </w:pPr>
    </w:p>
    <w:p w14:paraId="58A5C171">
      <w:pPr>
        <w:rPr>
          <w:rFonts w:hint="default" w:ascii="Times New Roman" w:hAnsi="Times New Roman" w:eastAsia="方正小标宋简体" w:cs="Times New Roman"/>
          <w:b w:val="0"/>
          <w:color w:val="auto"/>
          <w:highlight w:val="none"/>
          <w:lang w:eastAsia="zh-CN"/>
        </w:rPr>
      </w:pPr>
    </w:p>
    <w:p w14:paraId="0451A0BC">
      <w:pPr>
        <w:rPr>
          <w:rFonts w:hint="default" w:ascii="Times New Roman" w:hAnsi="Times New Roman" w:eastAsia="方正小标宋简体" w:cs="Times New Roman"/>
          <w:b w:val="0"/>
          <w:color w:val="auto"/>
          <w:highlight w:val="none"/>
          <w:lang w:eastAsia="zh-CN"/>
        </w:rPr>
      </w:pPr>
    </w:p>
    <w:p w14:paraId="14C3184E">
      <w:pPr>
        <w:rPr>
          <w:rFonts w:hint="default" w:ascii="Times New Roman" w:hAnsi="Times New Roman" w:eastAsia="方正小标宋简体" w:cs="Times New Roman"/>
          <w:b w:val="0"/>
          <w:color w:val="auto"/>
          <w:highlight w:val="none"/>
          <w:lang w:eastAsia="zh-CN"/>
        </w:rPr>
      </w:pPr>
    </w:p>
    <w:p w14:paraId="5F75C796">
      <w:pPr>
        <w:rPr>
          <w:rFonts w:hint="default" w:ascii="Times New Roman" w:hAnsi="Times New Roman" w:eastAsia="方正小标宋简体" w:cs="Times New Roman"/>
          <w:b w:val="0"/>
          <w:color w:val="auto"/>
          <w:highlight w:val="none"/>
          <w:lang w:eastAsia="zh-CN"/>
        </w:rPr>
      </w:pPr>
    </w:p>
    <w:p w14:paraId="09556FFC">
      <w:pPr>
        <w:rPr>
          <w:rFonts w:hint="default" w:ascii="Times New Roman" w:hAnsi="Times New Roman" w:eastAsia="方正小标宋简体" w:cs="Times New Roman"/>
          <w:b w:val="0"/>
          <w:color w:val="auto"/>
          <w:highlight w:val="none"/>
          <w:lang w:eastAsia="zh-CN"/>
        </w:rPr>
      </w:pPr>
    </w:p>
    <w:p w14:paraId="03C5F6D7">
      <w:pPr>
        <w:rPr>
          <w:rFonts w:hint="default" w:ascii="Times New Roman" w:hAnsi="Times New Roman" w:eastAsia="方正小标宋简体" w:cs="Times New Roman"/>
          <w:b w:val="0"/>
          <w:color w:val="auto"/>
          <w:highlight w:val="none"/>
          <w:lang w:eastAsia="zh-CN"/>
        </w:rPr>
      </w:pPr>
    </w:p>
    <w:p w14:paraId="24E08039">
      <w:pPr>
        <w:rPr>
          <w:rFonts w:hint="default" w:ascii="Times New Roman" w:hAnsi="Times New Roman" w:eastAsia="方正小标宋简体" w:cs="Times New Roman"/>
          <w:b w:val="0"/>
          <w:color w:val="auto"/>
          <w:highlight w:val="none"/>
          <w:lang w:eastAsia="zh-CN"/>
        </w:rPr>
      </w:pPr>
    </w:p>
    <w:p w14:paraId="7A2A4501">
      <w:pPr>
        <w:rPr>
          <w:rFonts w:hint="default" w:ascii="Times New Roman" w:hAnsi="Times New Roman" w:eastAsia="方正小标宋简体" w:cs="Times New Roman"/>
          <w:b w:val="0"/>
          <w:color w:val="auto"/>
          <w:highlight w:val="none"/>
          <w:lang w:eastAsia="zh-CN"/>
        </w:rPr>
      </w:pPr>
    </w:p>
    <w:p w14:paraId="709869D7">
      <w:pPr>
        <w:rPr>
          <w:rFonts w:hint="default" w:ascii="Times New Roman" w:hAnsi="Times New Roman" w:eastAsia="方正小标宋简体" w:cs="Times New Roman"/>
          <w:b w:val="0"/>
          <w:color w:val="auto"/>
          <w:highlight w:val="none"/>
          <w:lang w:eastAsia="zh-CN"/>
        </w:rPr>
      </w:pPr>
    </w:p>
    <w:p w14:paraId="0C75578C">
      <w:pPr>
        <w:rPr>
          <w:rFonts w:hint="default" w:ascii="Times New Roman" w:hAnsi="Times New Roman" w:eastAsia="方正小标宋简体" w:cs="Times New Roman"/>
          <w:b w:val="0"/>
          <w:color w:val="auto"/>
          <w:highlight w:val="none"/>
          <w:lang w:eastAsia="zh-CN"/>
        </w:rPr>
      </w:pPr>
    </w:p>
    <w:p w14:paraId="181CB84A">
      <w:pPr>
        <w:rPr>
          <w:rFonts w:hint="default" w:ascii="Times New Roman" w:hAnsi="Times New Roman" w:eastAsia="方正小标宋简体" w:cs="Times New Roman"/>
          <w:b w:val="0"/>
          <w:color w:val="auto"/>
          <w:highlight w:val="none"/>
          <w:lang w:eastAsia="zh-CN"/>
        </w:rPr>
      </w:pPr>
    </w:p>
    <w:p w14:paraId="113E0E97">
      <w:pPr>
        <w:rPr>
          <w:rFonts w:hint="default" w:ascii="Times New Roman" w:hAnsi="Times New Roman" w:eastAsia="方正小标宋简体" w:cs="Times New Roman"/>
          <w:b w:val="0"/>
          <w:color w:val="auto"/>
          <w:highlight w:val="none"/>
          <w:lang w:eastAsia="zh-CN"/>
        </w:rPr>
      </w:pPr>
    </w:p>
    <w:p w14:paraId="188388DB">
      <w:pPr>
        <w:rPr>
          <w:rFonts w:hint="default" w:ascii="Times New Roman" w:hAnsi="Times New Roman" w:eastAsia="方正小标宋简体" w:cs="Times New Roman"/>
          <w:b w:val="0"/>
          <w:color w:val="auto"/>
          <w:highlight w:val="none"/>
          <w:lang w:eastAsia="zh-CN"/>
        </w:rPr>
      </w:pPr>
    </w:p>
    <w:p w14:paraId="1DCF0029">
      <w:pPr>
        <w:pStyle w:val="2"/>
        <w:pageBreakBefore w:val="0"/>
        <w:kinsoku/>
        <w:overflowPunct/>
        <w:topLinePunct w:val="0"/>
        <w:bidi w:val="0"/>
        <w:spacing w:before="0" w:after="0" w:line="560" w:lineRule="atLeast"/>
        <w:jc w:val="center"/>
        <w:textAlignment w:val="auto"/>
        <w:rPr>
          <w:rFonts w:hint="default" w:ascii="Times New Roman" w:hAnsi="Times New Roman" w:eastAsia="方正小标宋简体" w:cs="Times New Roman"/>
          <w:b w:val="0"/>
          <w:color w:val="auto"/>
          <w:highlight w:val="none"/>
        </w:rPr>
      </w:pPr>
    </w:p>
    <w:p w14:paraId="587A611C">
      <w:pPr>
        <w:rPr>
          <w:rFonts w:hint="default" w:ascii="Times New Roman" w:hAnsi="Times New Roman" w:eastAsia="方正小标宋简体" w:cs="Times New Roman"/>
          <w:b w:val="0"/>
          <w:color w:val="auto"/>
          <w:highlight w:val="none"/>
        </w:rPr>
      </w:pPr>
    </w:p>
    <w:p w14:paraId="49342017">
      <w:pPr>
        <w:rPr>
          <w:rFonts w:hint="default" w:ascii="Times New Roman" w:hAnsi="Times New Roman" w:eastAsia="方正小标宋简体" w:cs="Times New Roman"/>
          <w:b w:val="0"/>
          <w:color w:val="auto"/>
          <w:highlight w:val="none"/>
        </w:rPr>
      </w:pPr>
    </w:p>
    <w:p w14:paraId="57124CB8">
      <w:pPr>
        <w:rPr>
          <w:rFonts w:hint="default" w:ascii="Times New Roman" w:hAnsi="Times New Roman" w:eastAsia="方正小标宋简体" w:cs="Times New Roman"/>
          <w:b w:val="0"/>
          <w:color w:val="auto"/>
          <w:highlight w:val="none"/>
        </w:rPr>
      </w:pPr>
    </w:p>
    <w:p w14:paraId="37A77BF2">
      <w:pPr>
        <w:rPr>
          <w:rFonts w:hint="default" w:ascii="Times New Roman" w:hAnsi="Times New Roman" w:eastAsia="方正小标宋简体" w:cs="Times New Roman"/>
          <w:b w:val="0"/>
          <w:color w:val="auto"/>
          <w:highlight w:val="none"/>
        </w:rPr>
      </w:pPr>
    </w:p>
    <w:p w14:paraId="37798784">
      <w:pPr>
        <w:pStyle w:val="2"/>
        <w:pageBreakBefore w:val="0"/>
        <w:kinsoku/>
        <w:overflowPunct/>
        <w:topLinePunct w:val="0"/>
        <w:bidi w:val="0"/>
        <w:spacing w:before="0" w:after="0" w:line="560" w:lineRule="atLeast"/>
        <w:jc w:val="center"/>
        <w:textAlignment w:val="auto"/>
        <w:rPr>
          <w:rFonts w:hint="default" w:ascii="Times New Roman" w:hAnsi="Times New Roman" w:cs="Times New Roman"/>
          <w:color w:val="auto"/>
          <w:highlight w:val="none"/>
        </w:rPr>
      </w:pPr>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14"/>
      <w:bookmarkEnd w:id="15"/>
      <w:bookmarkEnd w:id="16"/>
    </w:p>
    <w:p w14:paraId="3AAED5E6">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7" w:name="_Toc15396603"/>
      <w:bookmarkStart w:id="18" w:name="_Toc15377205"/>
      <w:bookmarkStart w:id="19" w:name="_Toc6141"/>
    </w:p>
    <w:p w14:paraId="020DDC5C">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1"/>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1"/>
          <w:rFonts w:hint="default" w:ascii="Times New Roman" w:hAnsi="Times New Roman" w:eastAsia="黑体" w:cs="Times New Roman"/>
          <w:b w:val="0"/>
          <w:color w:val="auto"/>
          <w:highlight w:val="none"/>
        </w:rPr>
        <w:t>入支出决算总体情况说明</w:t>
      </w:r>
      <w:bookmarkEnd w:id="17"/>
      <w:bookmarkEnd w:id="18"/>
      <w:bookmarkEnd w:id="19"/>
    </w:p>
    <w:p w14:paraId="3FB9A50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37.23</w:t>
      </w:r>
      <w:r>
        <w:rPr>
          <w:rFonts w:hint="default" w:ascii="Times New Roman" w:hAnsi="Times New Roman" w:eastAsia="仿宋_GB2312" w:cs="Times New Roman"/>
          <w:color w:val="auto"/>
          <w:sz w:val="32"/>
          <w:szCs w:val="32"/>
          <w:highlight w:val="none"/>
        </w:rPr>
        <w:t>万元，下降</w:t>
      </w:r>
      <w:r>
        <w:rPr>
          <w:rFonts w:hint="default" w:ascii="Times New Roman" w:hAnsi="Times New Roman" w:eastAsia="仿宋_GB2312" w:cs="Times New Roman"/>
          <w:color w:val="auto"/>
          <w:sz w:val="32"/>
          <w:szCs w:val="32"/>
          <w:highlight w:val="none"/>
          <w:lang w:val="en-US" w:eastAsia="zh-CN"/>
        </w:rPr>
        <w:t>7.5</w:t>
      </w:r>
      <w:r>
        <w:rPr>
          <w:rFonts w:hint="default" w:ascii="Times New Roman" w:hAnsi="Times New Roman" w:eastAsia="仿宋_GB2312" w:cs="Times New Roman"/>
          <w:color w:val="auto"/>
          <w:sz w:val="32"/>
          <w:szCs w:val="32"/>
          <w:highlight w:val="none"/>
        </w:rPr>
        <w:t>%。主要变动原因是</w:t>
      </w:r>
      <w:r>
        <w:rPr>
          <w:rFonts w:hint="default" w:ascii="Times New Roman" w:hAnsi="Times New Roman" w:eastAsia="仿宋_GB2312" w:cs="Times New Roman"/>
          <w:sz w:val="32"/>
          <w:szCs w:val="32"/>
          <w:lang w:eastAsia="zh-Hans"/>
        </w:rPr>
        <w:t>本年人员减少及部分项目</w:t>
      </w:r>
      <w:r>
        <w:rPr>
          <w:rFonts w:hint="default" w:ascii="Times New Roman" w:hAnsi="Times New Roman" w:eastAsia="仿宋_GB2312" w:cs="Times New Roman"/>
          <w:sz w:val="32"/>
          <w:szCs w:val="32"/>
          <w:lang w:val="en-US" w:eastAsia="zh-CN"/>
        </w:rPr>
        <w:t>经费</w:t>
      </w:r>
      <w:r>
        <w:rPr>
          <w:rFonts w:hint="default" w:ascii="Times New Roman" w:hAnsi="Times New Roman" w:eastAsia="仿宋_GB2312" w:cs="Times New Roman"/>
          <w:sz w:val="32"/>
          <w:szCs w:val="32"/>
          <w:lang w:eastAsia="zh-Hans"/>
        </w:rPr>
        <w:t>减少</w:t>
      </w:r>
      <w:r>
        <w:rPr>
          <w:rFonts w:hint="default" w:ascii="Times New Roman" w:hAnsi="Times New Roman" w:eastAsia="仿宋_GB2312" w:cs="Times New Roman"/>
          <w:sz w:val="32"/>
          <w:szCs w:val="32"/>
          <w:lang w:eastAsia="zh-CN"/>
        </w:rPr>
        <w:t>。</w:t>
      </w:r>
    </w:p>
    <w:p w14:paraId="1F510664">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42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233045</wp:posOffset>
            </wp:positionH>
            <wp:positionV relativeFrom="paragraph">
              <wp:posOffset>27305</wp:posOffset>
            </wp:positionV>
            <wp:extent cx="4826000" cy="2743835"/>
            <wp:effectExtent l="4445" t="4445" r="15875" b="10160"/>
            <wp:wrapNone/>
            <wp:docPr id="5530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EAD2CBA">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p>
    <w:p w14:paraId="716A4B5B">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p>
    <w:p w14:paraId="58F5B6E6">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textAlignment w:val="auto"/>
        <w:outlineLvl w:val="9"/>
        <w:rPr>
          <w:rFonts w:hint="default" w:ascii="Times New Roman" w:hAnsi="Times New Roman" w:eastAsia="仿宋_GB2312" w:cs="Times New Roman"/>
          <w:sz w:val="32"/>
          <w:szCs w:val="32"/>
          <w:lang w:eastAsia="zh-CN"/>
        </w:rPr>
      </w:pPr>
    </w:p>
    <w:p w14:paraId="46005324">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p>
    <w:p w14:paraId="2BF64417">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p>
    <w:p w14:paraId="3EB877D9">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sz w:val="32"/>
          <w:szCs w:val="32"/>
          <w:lang w:eastAsia="zh-CN"/>
        </w:rPr>
      </w:pPr>
    </w:p>
    <w:p w14:paraId="67E9D36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（图1：</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决算总计变动情况图）（柱状图）</w:t>
      </w:r>
    </w:p>
    <w:p w14:paraId="6CE48CFC">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0" w:name="_Toc15396604"/>
      <w:bookmarkStart w:id="21" w:name="_Toc28612"/>
      <w:bookmarkStart w:id="22" w:name="_Toc15377206"/>
      <w:r>
        <w:rPr>
          <w:rFonts w:hint="default" w:ascii="Times New Roman" w:hAnsi="Times New Roman" w:eastAsia="黑体" w:cs="Times New Roman"/>
          <w:color w:val="auto"/>
          <w:sz w:val="32"/>
          <w:szCs w:val="32"/>
          <w:highlight w:val="none"/>
          <w:lang w:eastAsia="zh-CN"/>
        </w:rPr>
        <w:t>二、收入决算情况说明</w:t>
      </w:r>
      <w:bookmarkEnd w:id="20"/>
      <w:bookmarkEnd w:id="21"/>
      <w:bookmarkEnd w:id="22"/>
    </w:p>
    <w:p w14:paraId="5BA98644">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lang w:eastAsia="zh-CN"/>
        </w:rPr>
        <w:t>本年收入合计</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sz w:val="32"/>
          <w:szCs w:val="32"/>
          <w:highlight w:val="none"/>
          <w:lang w:eastAsia="zh-CN"/>
        </w:rPr>
        <w:t>%；</w:t>
      </w:r>
    </w:p>
    <w:p w14:paraId="603A291B">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758AF249">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004C721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0578C25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58D465C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4BFB5E60">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4366513D">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57DF7D3F">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7941F2C9">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42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anchor distT="0" distB="0" distL="114300" distR="114300" simplePos="0" relativeHeight="251660288" behindDoc="1" locked="0" layoutInCell="1" allowOverlap="1">
            <wp:simplePos x="0" y="0"/>
            <wp:positionH relativeFrom="column">
              <wp:posOffset>271145</wp:posOffset>
            </wp:positionH>
            <wp:positionV relativeFrom="paragraph">
              <wp:posOffset>-2449195</wp:posOffset>
            </wp:positionV>
            <wp:extent cx="4826000" cy="2743200"/>
            <wp:effectExtent l="4445" t="4445" r="15875" b="10795"/>
            <wp:wrapNone/>
            <wp:docPr id="3995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0FC1E05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（图2：收入决算结构图）（饼状图）</w:t>
      </w:r>
    </w:p>
    <w:p w14:paraId="181171D2">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Style w:val="31"/>
          <w:rFonts w:hint="default" w:ascii="Times New Roman" w:hAnsi="Times New Roman" w:eastAsia="黑体" w:cs="Times New Roman"/>
          <w:b w:val="0"/>
          <w:color w:val="auto"/>
          <w:highlight w:val="none"/>
        </w:rPr>
      </w:pPr>
      <w:bookmarkStart w:id="23" w:name="_Toc15396605"/>
      <w:bookmarkStart w:id="24" w:name="_Toc31552"/>
      <w:bookmarkStart w:id="25"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1"/>
          <w:rFonts w:hint="default" w:ascii="Times New Roman" w:hAnsi="Times New Roman" w:eastAsia="黑体" w:cs="Times New Roman"/>
          <w:b w:val="0"/>
          <w:color w:val="auto"/>
          <w:highlight w:val="none"/>
        </w:rPr>
        <w:t>出决算情况说明</w:t>
      </w:r>
      <w:bookmarkEnd w:id="23"/>
      <w:bookmarkEnd w:id="24"/>
      <w:bookmarkEnd w:id="25"/>
    </w:p>
    <w:p w14:paraId="7A19D029">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lang w:eastAsia="zh-CN"/>
        </w:rPr>
        <w:t>本年支出合计</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320.35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70.4</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134.46</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29.</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color w:val="auto"/>
          <w:sz w:val="32"/>
          <w:szCs w:val="32"/>
          <w:highlight w:val="none"/>
          <w:lang w:eastAsia="zh-CN"/>
        </w:rPr>
        <w:t>%；</w:t>
      </w:r>
    </w:p>
    <w:p w14:paraId="39981BDE">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42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rPr>
        <w:drawing>
          <wp:anchor distT="0" distB="0" distL="114300" distR="114300" simplePos="0" relativeHeight="251661312" behindDoc="1" locked="0" layoutInCell="1" allowOverlap="1">
            <wp:simplePos x="0" y="0"/>
            <wp:positionH relativeFrom="column">
              <wp:posOffset>118745</wp:posOffset>
            </wp:positionH>
            <wp:positionV relativeFrom="paragraph">
              <wp:posOffset>59690</wp:posOffset>
            </wp:positionV>
            <wp:extent cx="4825365" cy="2743200"/>
            <wp:effectExtent l="4445" t="4445" r="16510" b="10795"/>
            <wp:wrapNone/>
            <wp:docPr id="6348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1FBF91DD">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2D28D1AA">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5EC391A7">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38B2BB0A">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4342B055">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p>
    <w:p w14:paraId="7F21EBE8">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textAlignment w:val="auto"/>
        <w:outlineLvl w:val="9"/>
        <w:rPr>
          <w:rFonts w:hint="default" w:ascii="Times New Roman" w:hAnsi="Times New Roman" w:eastAsia="仿宋_GB2312" w:cs="Times New Roman"/>
          <w:color w:val="auto"/>
          <w:sz w:val="32"/>
          <w:szCs w:val="32"/>
          <w:highlight w:val="none"/>
          <w:lang w:eastAsia="zh-CN"/>
        </w:rPr>
      </w:pPr>
    </w:p>
    <w:p w14:paraId="24031A93">
      <w:pPr>
        <w:pStyle w:val="29"/>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（图3：支出决算结构图）（饼状图）</w:t>
      </w:r>
    </w:p>
    <w:p w14:paraId="43C4649B">
      <w:pPr>
        <w:pageBreakBefore w:val="0"/>
        <w:kinsoku/>
        <w:overflowPunct/>
        <w:topLinePunct w:val="0"/>
        <w:bidi w:val="0"/>
        <w:spacing w:line="560" w:lineRule="atLeast"/>
        <w:ind w:firstLine="640" w:firstLineChars="200"/>
        <w:textAlignment w:val="auto"/>
        <w:outlineLvl w:val="1"/>
        <w:rPr>
          <w:rStyle w:val="31"/>
          <w:rFonts w:hint="default" w:ascii="Times New Roman" w:hAnsi="Times New Roman" w:eastAsia="黑体" w:cs="Times New Roman"/>
          <w:b w:val="0"/>
          <w:color w:val="auto"/>
          <w:highlight w:val="none"/>
        </w:rPr>
      </w:pPr>
      <w:bookmarkStart w:id="26" w:name="_Toc32711"/>
      <w:bookmarkStart w:id="27" w:name="_Toc15396606"/>
      <w:bookmarkStart w:id="28" w:name="_Toc15377208"/>
      <w:r>
        <w:rPr>
          <w:rFonts w:hint="default" w:ascii="Times New Roman" w:hAnsi="Times New Roman" w:eastAsia="黑体" w:cs="Times New Roman"/>
          <w:color w:val="auto"/>
          <w:sz w:val="32"/>
          <w:szCs w:val="32"/>
          <w:highlight w:val="none"/>
        </w:rPr>
        <w:t>四、财</w:t>
      </w:r>
      <w:r>
        <w:rPr>
          <w:rStyle w:val="31"/>
          <w:rFonts w:hint="default" w:ascii="Times New Roman" w:hAnsi="Times New Roman" w:eastAsia="黑体" w:cs="Times New Roman"/>
          <w:b w:val="0"/>
          <w:color w:val="auto"/>
          <w:highlight w:val="none"/>
        </w:rPr>
        <w:t>政拨款收入支出决算总体情况说明</w:t>
      </w:r>
      <w:bookmarkEnd w:id="26"/>
      <w:bookmarkEnd w:id="27"/>
      <w:bookmarkEnd w:id="28"/>
    </w:p>
    <w:p w14:paraId="536E6F06">
      <w:pPr>
        <w:pageBreakBefore w:val="0"/>
        <w:kinsoku/>
        <w:overflowPunct/>
        <w:topLinePunct w:val="0"/>
        <w:bidi w:val="0"/>
        <w:spacing w:line="560" w:lineRule="atLeast"/>
        <w:ind w:firstLine="64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财政拨款收入、支出总计均为</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kern w:val="2"/>
          <w:sz w:val="32"/>
          <w:szCs w:val="32"/>
          <w:highlight w:val="none"/>
          <w:lang w:val="en-US" w:eastAsia="zh-CN" w:bidi="ar-SA"/>
        </w:rPr>
        <w:t>万元。与</w:t>
      </w:r>
      <w:r>
        <w:rPr>
          <w:rFonts w:hint="default"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年度相比，财政拨款收入、支出总计各减少</w:t>
      </w:r>
      <w:r>
        <w:rPr>
          <w:rFonts w:hint="default" w:ascii="Times New Roman" w:hAnsi="Times New Roman" w:eastAsia="仿宋_GB2312" w:cs="Times New Roman"/>
          <w:color w:val="auto"/>
          <w:kern w:val="2"/>
          <w:sz w:val="32"/>
          <w:szCs w:val="32"/>
          <w:highlight w:val="none"/>
          <w:lang w:val="en-US" w:eastAsia="zh-CN" w:bidi="ar-SA"/>
        </w:rPr>
        <w:t>35.22</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各</w:t>
      </w:r>
      <w:r>
        <w:rPr>
          <w:rFonts w:hint="default" w:ascii="Times New Roman" w:hAnsi="Times New Roman" w:eastAsia="仿宋_GB2312" w:cs="Times New Roman"/>
          <w:color w:val="auto"/>
          <w:kern w:val="2"/>
          <w:sz w:val="32"/>
          <w:szCs w:val="32"/>
          <w:highlight w:val="none"/>
          <w:lang w:val="en-US" w:eastAsia="zh-CN" w:bidi="ar-SA"/>
        </w:rPr>
        <w:t>下降</w:t>
      </w:r>
      <w:r>
        <w:rPr>
          <w:rFonts w:hint="default" w:ascii="Times New Roman" w:hAnsi="Times New Roman" w:eastAsia="仿宋_GB2312" w:cs="Times New Roman"/>
          <w:color w:val="auto"/>
          <w:kern w:val="2"/>
          <w:sz w:val="32"/>
          <w:szCs w:val="32"/>
          <w:highlight w:val="none"/>
          <w:lang w:val="en-US" w:eastAsia="zh-CN" w:bidi="ar-SA"/>
        </w:rPr>
        <w:t>7.2</w:t>
      </w:r>
      <w:r>
        <w:rPr>
          <w:rFonts w:hint="default" w:ascii="Times New Roman" w:hAnsi="Times New Roman" w:eastAsia="仿宋_GB2312" w:cs="Times New Roman"/>
          <w:color w:val="auto"/>
          <w:kern w:val="2"/>
          <w:sz w:val="32"/>
          <w:szCs w:val="32"/>
          <w:highlight w:val="none"/>
          <w:lang w:val="en-US" w:eastAsia="zh-CN" w:bidi="ar-SA"/>
        </w:rPr>
        <w:t>%。主要变动原因是</w:t>
      </w:r>
      <w:r>
        <w:rPr>
          <w:rFonts w:hint="default" w:ascii="Times New Roman" w:hAnsi="Times New Roman" w:eastAsia="仿宋_GB2312" w:cs="Times New Roman"/>
          <w:sz w:val="32"/>
          <w:szCs w:val="32"/>
          <w:lang w:eastAsia="zh-Hans"/>
        </w:rPr>
        <w:t>本年</w:t>
      </w:r>
      <w:r>
        <w:rPr>
          <w:rFonts w:hint="default" w:ascii="Times New Roman" w:hAnsi="Times New Roman" w:eastAsia="仿宋_GB2312" w:cs="Times New Roman"/>
          <w:sz w:val="32"/>
          <w:szCs w:val="32"/>
          <w:lang w:val="en-US" w:eastAsia="zh-CN"/>
        </w:rPr>
        <w:t>度</w:t>
      </w:r>
      <w:r>
        <w:rPr>
          <w:rFonts w:hint="default" w:ascii="Times New Roman" w:hAnsi="Times New Roman" w:eastAsia="仿宋_GB2312" w:cs="Times New Roman"/>
          <w:sz w:val="32"/>
          <w:szCs w:val="32"/>
          <w:lang w:eastAsia="zh-Hans"/>
        </w:rPr>
        <w:t>人员减少及部分项目减少</w:t>
      </w:r>
      <w:r>
        <w:rPr>
          <w:rFonts w:hint="default" w:ascii="Times New Roman" w:hAnsi="Times New Roman" w:eastAsia="仿宋_GB2312" w:cs="Times New Roman"/>
          <w:sz w:val="32"/>
          <w:szCs w:val="32"/>
          <w:lang w:eastAsia="zh-CN"/>
        </w:rPr>
        <w:t>。</w:t>
      </w:r>
    </w:p>
    <w:p w14:paraId="2FDE8C13">
      <w:pPr>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p>
    <w:p w14:paraId="6B8206C5">
      <w:pPr>
        <w:pStyle w:val="5"/>
        <w:pageBreakBefore w:val="0"/>
        <w:kinsoku/>
        <w:overflowPunct/>
        <w:topLinePunct w:val="0"/>
        <w:bidi w:val="0"/>
        <w:spacing w:beforeLines="0" w:line="560" w:lineRule="atLeast"/>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818380" cy="2743835"/>
            <wp:effectExtent l="4445" t="4445" r="8255" b="10160"/>
            <wp:docPr id="6246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679DCF">
      <w:pPr>
        <w:pageBreakBefore w:val="0"/>
        <w:kinsoku/>
        <w:overflowPunct/>
        <w:topLinePunct w:val="0"/>
        <w:bidi w:val="0"/>
        <w:spacing w:line="560" w:lineRule="atLeas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（图4：财政拨款收、支决算总计变动情况）（柱状图）</w:t>
      </w:r>
    </w:p>
    <w:p w14:paraId="781C516C">
      <w:pPr>
        <w:pageBreakBefore w:val="0"/>
        <w:kinsoku/>
        <w:overflowPunct/>
        <w:topLinePunct w:val="0"/>
        <w:bidi w:val="0"/>
        <w:spacing w:line="560" w:lineRule="atLeast"/>
        <w:ind w:firstLine="640" w:firstLineChars="200"/>
        <w:textAlignment w:val="auto"/>
        <w:outlineLvl w:val="1"/>
        <w:rPr>
          <w:rStyle w:val="31"/>
          <w:rFonts w:hint="default" w:ascii="Times New Roman" w:hAnsi="Times New Roman" w:eastAsia="黑体" w:cs="Times New Roman"/>
          <w:b w:val="0"/>
          <w:color w:val="auto"/>
          <w:highlight w:val="none"/>
        </w:rPr>
      </w:pPr>
      <w:bookmarkStart w:id="29" w:name="_Toc15396607"/>
      <w:bookmarkStart w:id="30" w:name="_Toc7915"/>
      <w:bookmarkStart w:id="31"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般公共预算财政拨款支出决算情况说明</w:t>
      </w:r>
      <w:bookmarkEnd w:id="29"/>
      <w:bookmarkEnd w:id="30"/>
      <w:bookmarkEnd w:id="31"/>
    </w:p>
    <w:p w14:paraId="6C929044">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2" w:name="_Toc15377210"/>
      <w:bookmarkStart w:id="33" w:name="_Toc5699"/>
      <w:r>
        <w:rPr>
          <w:rFonts w:hint="default" w:ascii="Times New Roman" w:hAnsi="Times New Roman" w:eastAsia="楷体_GB2312" w:cs="Times New Roman"/>
          <w:b/>
          <w:color w:val="auto"/>
          <w:sz w:val="32"/>
          <w:szCs w:val="32"/>
          <w:highlight w:val="none"/>
        </w:rPr>
        <w:t>（一）一般公共预算财政拨款支出决算总体情况</w:t>
      </w:r>
      <w:bookmarkEnd w:id="32"/>
      <w:bookmarkEnd w:id="33"/>
    </w:p>
    <w:p w14:paraId="1B73BEB5">
      <w:pPr>
        <w:pageBreakBefore w:val="0"/>
        <w:kinsoku/>
        <w:overflowPunct/>
        <w:topLinePunct w:val="0"/>
        <w:bidi w:val="0"/>
        <w:spacing w:line="560" w:lineRule="atLeast"/>
        <w:ind w:firstLine="64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一般公共预算财政拨款支出</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%。与</w:t>
      </w:r>
      <w:r>
        <w:rPr>
          <w:rFonts w:hint="default"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年度相比，一般公共预算财政拨款支出减少</w:t>
      </w:r>
      <w:r>
        <w:rPr>
          <w:rFonts w:hint="default" w:ascii="Times New Roman" w:hAnsi="Times New Roman" w:eastAsia="仿宋_GB2312" w:cs="Times New Roman"/>
          <w:color w:val="auto"/>
          <w:kern w:val="2"/>
          <w:sz w:val="32"/>
          <w:szCs w:val="32"/>
          <w:highlight w:val="none"/>
          <w:lang w:val="en-US" w:eastAsia="zh-CN" w:bidi="ar-SA"/>
        </w:rPr>
        <w:t>35.22</w:t>
      </w:r>
      <w:r>
        <w:rPr>
          <w:rFonts w:hint="default" w:ascii="Times New Roman" w:hAnsi="Times New Roman" w:eastAsia="仿宋_GB2312" w:cs="Times New Roman"/>
          <w:color w:val="auto"/>
          <w:kern w:val="2"/>
          <w:sz w:val="32"/>
          <w:szCs w:val="32"/>
          <w:highlight w:val="none"/>
          <w:lang w:val="en-US" w:eastAsia="zh-CN" w:bidi="ar-SA"/>
        </w:rPr>
        <w:t>万元，下降</w:t>
      </w:r>
      <w:r>
        <w:rPr>
          <w:rFonts w:hint="default" w:ascii="Times New Roman" w:hAnsi="Times New Roman" w:eastAsia="仿宋_GB2312" w:cs="Times New Roman"/>
          <w:color w:val="auto"/>
          <w:kern w:val="2"/>
          <w:sz w:val="32"/>
          <w:szCs w:val="32"/>
          <w:highlight w:val="none"/>
          <w:lang w:val="en-US" w:eastAsia="zh-CN" w:bidi="ar-SA"/>
        </w:rPr>
        <w:t>7.2</w:t>
      </w:r>
      <w:r>
        <w:rPr>
          <w:rFonts w:hint="default" w:ascii="Times New Roman" w:hAnsi="Times New Roman" w:eastAsia="仿宋_GB2312" w:cs="Times New Roman"/>
          <w:color w:val="auto"/>
          <w:kern w:val="2"/>
          <w:sz w:val="32"/>
          <w:szCs w:val="32"/>
          <w:highlight w:val="none"/>
          <w:lang w:val="en-US" w:eastAsia="zh-CN" w:bidi="ar-SA"/>
        </w:rPr>
        <w:t>%。主要变动原因是</w:t>
      </w:r>
      <w:r>
        <w:rPr>
          <w:rFonts w:hint="default" w:ascii="Times New Roman" w:hAnsi="Times New Roman" w:eastAsia="仿宋_GB2312" w:cs="Times New Roman"/>
          <w:sz w:val="32"/>
          <w:szCs w:val="32"/>
          <w:lang w:eastAsia="zh-Hans"/>
        </w:rPr>
        <w:t>本年人员减少及部分项目减少</w:t>
      </w:r>
      <w:r>
        <w:rPr>
          <w:rFonts w:hint="default" w:ascii="Times New Roman" w:hAnsi="Times New Roman" w:eastAsia="仿宋_GB2312" w:cs="Times New Roman"/>
          <w:sz w:val="32"/>
          <w:szCs w:val="32"/>
          <w:lang w:eastAsia="zh-CN"/>
        </w:rPr>
        <w:t>。</w:t>
      </w:r>
    </w:p>
    <w:p w14:paraId="5CC3F7AB">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130B945D">
      <w:pPr>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anchor distT="0" distB="0" distL="114300" distR="114300" simplePos="0" relativeHeight="251662336" behindDoc="1" locked="0" layoutInCell="1" allowOverlap="1">
            <wp:simplePos x="0" y="0"/>
            <wp:positionH relativeFrom="column">
              <wp:posOffset>124460</wp:posOffset>
            </wp:positionH>
            <wp:positionV relativeFrom="paragraph">
              <wp:posOffset>-160020</wp:posOffset>
            </wp:positionV>
            <wp:extent cx="5270500" cy="3130550"/>
            <wp:effectExtent l="4445" t="4445" r="13335" b="19685"/>
            <wp:wrapTight wrapText="bothSides">
              <wp:wrapPolygon>
                <wp:start x="-18" y="-31"/>
                <wp:lineTo x="-18" y="21526"/>
                <wp:lineTo x="21530" y="21526"/>
                <wp:lineTo x="21530" y="-31"/>
                <wp:lineTo x="-18" y="-31"/>
              </wp:wrapPolygon>
            </wp:wrapTight>
            <wp:docPr id="6451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（图5：一般公共预算财政拨款支出决算变动情况）（柱状图）</w:t>
      </w:r>
    </w:p>
    <w:p w14:paraId="5E8F7D8E">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4" w:name="_Toc15377211"/>
      <w:bookmarkStart w:id="35" w:name="_Toc24868"/>
      <w:r>
        <w:rPr>
          <w:rFonts w:hint="default" w:ascii="Times New Roman" w:hAnsi="Times New Roman" w:eastAsia="楷体_GB2312" w:cs="Times New Roman"/>
          <w:b/>
          <w:color w:val="auto"/>
          <w:sz w:val="32"/>
          <w:szCs w:val="32"/>
          <w:highlight w:val="none"/>
        </w:rPr>
        <w:t>（二）一般公共预算财政拨款支出决算结构情况</w:t>
      </w:r>
      <w:bookmarkEnd w:id="34"/>
      <w:bookmarkEnd w:id="35"/>
    </w:p>
    <w:p w14:paraId="206F96F6">
      <w:pPr>
        <w:pageBreakBefore w:val="0"/>
        <w:kinsoku/>
        <w:overflowPunct/>
        <w:topLinePunct w:val="0"/>
        <w:bidi w:val="0"/>
        <w:spacing w:line="560" w:lineRule="atLeast"/>
        <w:ind w:firstLine="640"/>
        <w:textAlignment w:val="auto"/>
        <w:rPr>
          <w:rFonts w:hint="default" w:ascii="Times New Roman" w:hAnsi="Times New Roman" w:eastAsia="仿宋" w:cs="Times New Roman"/>
          <w:sz w:val="32"/>
          <w:szCs w:val="32"/>
          <w:lang w:eastAsia="zh-CN"/>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一般公共预算财政拨款支出</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kern w:val="2"/>
          <w:sz w:val="32"/>
          <w:szCs w:val="32"/>
          <w:highlight w:val="none"/>
          <w:lang w:val="en-US" w:eastAsia="zh-CN" w:bidi="ar-SA"/>
        </w:rPr>
        <w:t>万元，主要用于以下方面</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 w:cs="Times New Roman"/>
          <w:b/>
          <w:sz w:val="32"/>
          <w:szCs w:val="32"/>
        </w:rPr>
        <w:t>社会保障和就业</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lang w:val="en-US" w:eastAsia="zh-CN"/>
        </w:rPr>
        <w:t>421.41</w:t>
      </w:r>
      <w:r>
        <w:rPr>
          <w:rFonts w:hint="default" w:ascii="Times New Roman" w:hAnsi="Times New Roman" w:eastAsia="仿宋" w:cs="Times New Roman"/>
          <w:sz w:val="32"/>
          <w:szCs w:val="32"/>
        </w:rPr>
        <w:t>万元，占</w:t>
      </w:r>
      <w:r>
        <w:rPr>
          <w:rFonts w:hint="default" w:ascii="Times New Roman" w:hAnsi="Times New Roman" w:eastAsia="仿宋_GB2312" w:cs="Times New Roman"/>
          <w:color w:val="auto"/>
          <w:kern w:val="2"/>
          <w:sz w:val="32"/>
          <w:szCs w:val="32"/>
          <w:highlight w:val="none"/>
          <w:lang w:val="en-US" w:eastAsia="zh-CN" w:bidi="ar-SA"/>
        </w:rPr>
        <w:t>92.6%</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卫生健康支出</w:t>
      </w:r>
      <w:r>
        <w:rPr>
          <w:rFonts w:hint="default" w:ascii="Times New Roman" w:hAnsi="Times New Roman" w:eastAsia="仿宋" w:cs="Times New Roman"/>
          <w:sz w:val="32"/>
          <w:szCs w:val="32"/>
          <w:lang w:val="en-US" w:eastAsia="zh-CN"/>
        </w:rPr>
        <w:t>13.02</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2.9%</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住房保障支出</w:t>
      </w:r>
      <w:r>
        <w:rPr>
          <w:rFonts w:hint="default" w:ascii="Times New Roman" w:hAnsi="Times New Roman" w:eastAsia="仿宋" w:cs="Times New Roman"/>
          <w:sz w:val="32"/>
          <w:szCs w:val="32"/>
          <w:lang w:val="en-US" w:eastAsia="zh-CN"/>
        </w:rPr>
        <w:t>20.38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4.5</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w:t>
      </w:r>
    </w:p>
    <w:p w14:paraId="1AD10181">
      <w:pPr>
        <w:pStyle w:val="14"/>
        <w:pageBreakBefore w:val="0"/>
        <w:kinsoku/>
        <w:overflowPunct/>
        <w:topLinePunct w:val="0"/>
        <w:bidi w:val="0"/>
        <w:spacing w:line="560" w:lineRule="atLeast"/>
        <w:textAlignment w:val="auto"/>
        <w:rPr>
          <w:rFonts w:hint="default" w:ascii="Times New Roman" w:hAnsi="Times New Roman" w:eastAsia="仿宋" w:cs="Times New Roman"/>
          <w:sz w:val="32"/>
          <w:szCs w:val="32"/>
          <w:lang w:eastAsia="zh-CN"/>
        </w:rPr>
      </w:pPr>
    </w:p>
    <w:p w14:paraId="29AB6F05">
      <w:pPr>
        <w:pageBreakBefore w:val="0"/>
        <w:kinsoku/>
        <w:overflowPunct/>
        <w:topLinePunct w:val="0"/>
        <w:bidi w:val="0"/>
        <w:spacing w:line="560" w:lineRule="atLeas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p>
    <w:p w14:paraId="3B6D7378">
      <w:pPr>
        <w:pStyle w:val="6"/>
        <w:pageBreakBefore w:val="0"/>
        <w:kinsoku/>
        <w:overflowPunct/>
        <w:topLinePunct w:val="0"/>
        <w:bidi w:val="0"/>
        <w:spacing w:line="560" w:lineRule="atLeast"/>
        <w:ind w:left="0" w:leftChars="0" w:firstLine="0" w:firstLineChars="0"/>
        <w:textAlignment w:val="auto"/>
        <w:rPr>
          <w:rFonts w:hint="default" w:ascii="Times New Roman" w:hAnsi="Times New Roman" w:cs="Times New Roman"/>
        </w:rPr>
      </w:pPr>
    </w:p>
    <w:p w14:paraId="3ACC816C">
      <w:pPr>
        <w:pageBreakBefore w:val="0"/>
        <w:kinsoku/>
        <w:overflowPunct/>
        <w:topLinePunct w:val="0"/>
        <w:bidi w:val="0"/>
        <w:spacing w:line="560" w:lineRule="atLeast"/>
        <w:textAlignment w:val="auto"/>
        <w:rPr>
          <w:rFonts w:hint="default" w:ascii="Times New Roman" w:hAnsi="Times New Roman" w:cs="Times New Roman"/>
        </w:rPr>
      </w:pPr>
    </w:p>
    <w:p w14:paraId="468DDAC6">
      <w:pPr>
        <w:pStyle w:val="5"/>
        <w:pageBreakBefore w:val="0"/>
        <w:kinsoku/>
        <w:overflowPunct/>
        <w:topLinePunct w:val="0"/>
        <w:bidi w:val="0"/>
        <w:spacing w:beforeLines="0" w:line="560" w:lineRule="atLeast"/>
        <w:textAlignment w:val="auto"/>
        <w:rPr>
          <w:rFonts w:hint="default" w:ascii="Times New Roman" w:hAnsi="Times New Roman" w:cs="Times New Roman"/>
          <w:lang w:val="en-US" w:eastAsia="zh-CN"/>
        </w:rPr>
      </w:pPr>
    </w:p>
    <w:p w14:paraId="7B1705B4">
      <w:pPr>
        <w:pStyle w:val="6"/>
        <w:pageBreakBefore w:val="0"/>
        <w:kinsoku/>
        <w:overflowPunct/>
        <w:topLinePunct w:val="0"/>
        <w:bidi w:val="0"/>
        <w:spacing w:line="560" w:lineRule="atLeast"/>
        <w:ind w:left="0" w:leftChars="0" w:firstLine="0" w:firstLineChars="0"/>
        <w:textAlignment w:val="auto"/>
        <w:rPr>
          <w:rFonts w:hint="default" w:ascii="Times New Roman" w:hAnsi="Times New Roman" w:cs="Times New Roman"/>
          <w:lang w:val="en-US" w:eastAsia="zh-CN"/>
        </w:rPr>
      </w:pPr>
    </w:p>
    <w:p w14:paraId="7D69080C">
      <w:pPr>
        <w:pageBreakBefore w:val="0"/>
        <w:kinsoku/>
        <w:overflowPunct/>
        <w:topLinePunct w:val="0"/>
        <w:bidi w:val="0"/>
        <w:spacing w:line="560" w:lineRule="atLeast"/>
        <w:textAlignment w:val="auto"/>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268595" cy="3010535"/>
            <wp:effectExtent l="4445" t="4445" r="15240" b="17780"/>
            <wp:docPr id="6553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8924057">
      <w:pPr>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（图6：一般公共预算财政拨款支出决算结构）（饼状图）</w:t>
      </w:r>
    </w:p>
    <w:p w14:paraId="50B11FAF">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36" w:name="_Toc15377212"/>
      <w:bookmarkStart w:id="37" w:name="_Toc8242"/>
      <w:r>
        <w:rPr>
          <w:rFonts w:hint="default" w:ascii="Times New Roman" w:hAnsi="Times New Roman" w:eastAsia="楷体_GB2312" w:cs="Times New Roman"/>
          <w:b/>
          <w:color w:val="auto"/>
          <w:sz w:val="32"/>
          <w:szCs w:val="32"/>
          <w:highlight w:val="none"/>
        </w:rPr>
        <w:t>（三）一般公共预算财政拨款支出决算具体情况</w:t>
      </w:r>
      <w:bookmarkEnd w:id="36"/>
      <w:bookmarkEnd w:id="37"/>
    </w:p>
    <w:p w14:paraId="2FE79DFE">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bookmarkStart w:id="38" w:name="_Toc15378460"/>
      <w:bookmarkStart w:id="39" w:name="_Toc15377444"/>
      <w:bookmarkStart w:id="40" w:name="_Toc15377213"/>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一般公共预算支出决算数为</w:t>
      </w:r>
      <w:r>
        <w:rPr>
          <w:rFonts w:hint="default" w:ascii="Times New Roman" w:hAnsi="Times New Roman" w:eastAsia="仿宋_GB2312" w:cs="Times New Roman"/>
          <w:sz w:val="32"/>
          <w:szCs w:val="32"/>
        </w:rPr>
        <w:t>454.81</w:t>
      </w:r>
      <w:r>
        <w:rPr>
          <w:rFonts w:hint="default" w:ascii="Times New Roman" w:hAnsi="Times New Roman" w:eastAsia="仿宋_GB2312" w:cs="Times New Roman"/>
          <w:color w:val="auto"/>
          <w:kern w:val="2"/>
          <w:sz w:val="32"/>
          <w:szCs w:val="32"/>
          <w:highlight w:val="none"/>
          <w:lang w:val="en-US" w:eastAsia="zh-CN" w:bidi="ar-SA"/>
        </w:rPr>
        <w:t>，完成预算</w:t>
      </w:r>
      <w:r>
        <w:rPr>
          <w:rFonts w:hint="default"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%。其中：</w:t>
      </w:r>
      <w:bookmarkEnd w:id="38"/>
      <w:bookmarkEnd w:id="39"/>
      <w:bookmarkEnd w:id="40"/>
    </w:p>
    <w:p w14:paraId="61E7B6B4">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宋体" w:cs="Times New Roman"/>
          <w:b/>
          <w:bCs/>
          <w:color w:val="000000"/>
          <w:kern w:val="0"/>
          <w:sz w:val="24"/>
          <w:szCs w:val="24"/>
          <w:shd w:val="clear" w:fill="FFFFFF"/>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社会保障和就业支出（208）行政事业单位离退休（05）机关事业单位基本养老保险缴费支出（05）2025年度支出决算数为23.13万元，完成预算的100%。</w:t>
      </w:r>
    </w:p>
    <w:p w14:paraId="46D7ED89">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社会保障和就业支出（208）行政事业单位离退休（05）机关事业单位职业年金缴费支出（06）2025年度支出决算数为10.98万元,完成预算的100%。</w:t>
      </w:r>
    </w:p>
    <w:p w14:paraId="4F93257E">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社会保障和就业支出（208）临时救助（20）流浪乞讨人员救助支出（02）2025年度支出决算数为387.30万元，完成预算的100%。</w:t>
      </w:r>
    </w:p>
    <w:p w14:paraId="4F0E7A8B">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卫生健康支出（210） 行政事业单位医疗（11）事业单位医疗（02） 2025年度支出决算数为13.02万元。完成预算的100%。</w:t>
      </w:r>
    </w:p>
    <w:p w14:paraId="64D21760">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住房保障支出（221）住房改革支出（02）住房公积金（01）: 2025年度支出决算数19.18万元，完成预100%。</w:t>
      </w:r>
    </w:p>
    <w:p w14:paraId="634D2800">
      <w:pPr>
        <w:pStyle w:val="5"/>
        <w:pageBreakBefore w:val="0"/>
        <w:kinsoku/>
        <w:overflowPunct/>
        <w:topLinePunct w:val="0"/>
        <w:bidi w:val="0"/>
        <w:spacing w:beforeLines="0" w:line="560" w:lineRule="atLeast"/>
        <w:ind w:firstLine="640" w:firstLineChars="200"/>
        <w:textAlignment w:val="auto"/>
        <w:rPr>
          <w:rFonts w:hint="default" w:ascii="Times New Roman" w:hAnsi="Times New Roman" w:cs="Times New Roman"/>
          <w:lang w:val="en-US" w:eastAsia="zh-CN"/>
        </w:rPr>
      </w:pPr>
      <w:r>
        <w:rPr>
          <w:rFonts w:hint="default" w:ascii="Times New Roman" w:hAnsi="Times New Roman"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住房保障支出（221）住房改革支出（02）</w:t>
      </w:r>
      <w:r>
        <w:rPr>
          <w:rFonts w:hint="default" w:ascii="Times New Roman" w:hAnsi="Times New Roman" w:cs="Times New Roman"/>
          <w:color w:val="auto"/>
          <w:kern w:val="2"/>
          <w:sz w:val="32"/>
          <w:szCs w:val="32"/>
          <w:highlight w:val="none"/>
          <w:lang w:val="en-US" w:eastAsia="zh-CN" w:bidi="ar-SA"/>
        </w:rPr>
        <w:t>购房补贴</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 2025年度支出决算数</w:t>
      </w:r>
      <w:r>
        <w:rPr>
          <w:rFonts w:hint="default" w:ascii="Times New Roman" w:hAnsi="Times New Roman"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万元，完成预100%</w:t>
      </w:r>
    </w:p>
    <w:p w14:paraId="65DDAF0D">
      <w:pPr>
        <w:pageBreakBefore w:val="0"/>
        <w:tabs>
          <w:tab w:val="right" w:pos="8306"/>
        </w:tabs>
        <w:kinsoku/>
        <w:overflowPunct/>
        <w:topLinePunct w:val="0"/>
        <w:bidi w:val="0"/>
        <w:spacing w:line="560" w:lineRule="atLeast"/>
        <w:ind w:firstLine="640"/>
        <w:textAlignment w:val="auto"/>
        <w:outlineLvl w:val="1"/>
        <w:rPr>
          <w:rStyle w:val="31"/>
          <w:rFonts w:hint="default" w:ascii="Times New Roman" w:hAnsi="Times New Roman" w:cs="Times New Roman"/>
          <w:color w:val="auto"/>
          <w:highlight w:val="none"/>
        </w:rPr>
      </w:pPr>
      <w:bookmarkStart w:id="41" w:name="_Toc11426"/>
      <w:bookmarkStart w:id="42" w:name="_Toc15396608"/>
      <w:bookmarkStart w:id="43"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1"/>
          <w:rFonts w:hint="default" w:ascii="Times New Roman" w:hAnsi="Times New Roman" w:eastAsia="黑体" w:cs="Times New Roman"/>
          <w:b w:val="0"/>
          <w:color w:val="auto"/>
          <w:highlight w:val="none"/>
        </w:rPr>
        <w:t>般公共预算财政拨款基本支出决算情况说明</w:t>
      </w:r>
      <w:bookmarkEnd w:id="41"/>
      <w:bookmarkEnd w:id="42"/>
      <w:bookmarkEnd w:id="43"/>
      <w:r>
        <w:rPr>
          <w:rStyle w:val="31"/>
          <w:rFonts w:hint="default" w:ascii="Times New Roman" w:hAnsi="Times New Roman" w:eastAsia="黑体" w:cs="Times New Roman"/>
          <w:b w:val="0"/>
          <w:color w:val="auto"/>
          <w:highlight w:val="none"/>
        </w:rPr>
        <w:tab/>
      </w:r>
    </w:p>
    <w:p w14:paraId="58AF2571">
      <w:pPr>
        <w:pageBreakBefore w:val="0"/>
        <w:kinsoku/>
        <w:overflowPunct/>
        <w:topLinePunct w:val="0"/>
        <w:bidi w:val="0"/>
        <w:spacing w:line="560" w:lineRule="atLeast"/>
        <w:ind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一般公共预算财政拨款基本支出</w:t>
      </w:r>
      <w:r>
        <w:rPr>
          <w:rFonts w:hint="default" w:ascii="Times New Roman" w:hAnsi="Times New Roman" w:eastAsia="仿宋_GB2312" w:cs="Times New Roman"/>
          <w:sz w:val="32"/>
          <w:szCs w:val="32"/>
        </w:rPr>
        <w:t>320.35</w:t>
      </w:r>
      <w:r>
        <w:rPr>
          <w:rFonts w:hint="default" w:ascii="Times New Roman" w:hAnsi="Times New Roman" w:eastAsia="仿宋_GB2312" w:cs="Times New Roman"/>
          <w:color w:val="auto"/>
          <w:kern w:val="2"/>
          <w:sz w:val="32"/>
          <w:szCs w:val="32"/>
          <w:highlight w:val="none"/>
          <w:lang w:val="en-US" w:eastAsia="zh-CN" w:bidi="ar-SA"/>
        </w:rPr>
        <w:t>万元，其中：人员经费</w:t>
      </w:r>
      <w:r>
        <w:rPr>
          <w:rFonts w:hint="default" w:ascii="Times New Roman" w:hAnsi="Times New Roman" w:eastAsia="仿宋_GB2312" w:cs="Times New Roman"/>
          <w:sz w:val="32"/>
          <w:szCs w:val="32"/>
        </w:rPr>
        <w:t>271.66</w:t>
      </w:r>
      <w:r>
        <w:rPr>
          <w:rFonts w:hint="default" w:ascii="Times New Roman" w:hAnsi="Times New Roman" w:eastAsia="仿宋_GB2312" w:cs="Times New Roman"/>
          <w:color w:val="auto"/>
          <w:kern w:val="2"/>
          <w:sz w:val="32"/>
          <w:szCs w:val="32"/>
          <w:highlight w:val="none"/>
          <w:lang w:val="en-US" w:eastAsia="zh-CN" w:bidi="ar-SA"/>
        </w:rPr>
        <w:t>万元，主要包括：基本工资56.84万元、津贴补贴21.89万元、奖金50.78万元、绩效工资39.44万元、机关事业单位基本养老保险缴费23.13万元、职业年金缴费10.98万元、职工基本医疗保险缴费13.02万元、其他社会保障缴费3.04万元、住房公积金19.18万元、其他工资福利支出31.64万元、其他对个人和家庭的补助支出1.72万元。。</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rPr>
        <w:t>48.7</w:t>
      </w:r>
      <w:r>
        <w:rPr>
          <w:rFonts w:hint="default" w:ascii="Times New Roman" w:hAnsi="Times New Roman" w:eastAsia="仿宋_GB2312" w:cs="Times New Roman"/>
          <w:color w:val="auto"/>
          <w:kern w:val="2"/>
          <w:sz w:val="32"/>
          <w:szCs w:val="32"/>
          <w:highlight w:val="none"/>
          <w:lang w:val="en-US" w:eastAsia="zh-CN" w:bidi="ar-SA"/>
        </w:rPr>
        <w:t>万元，主要包括：办公费3.14万元、电费1</w:t>
      </w:r>
      <w:r>
        <w:rPr>
          <w:rFonts w:hint="default" w:ascii="Times New Roman" w:hAnsi="Times New Roman" w:eastAsia="仿宋_GB2312" w:cs="Times New Roman"/>
          <w:color w:val="auto"/>
          <w:kern w:val="2"/>
          <w:sz w:val="32"/>
          <w:szCs w:val="32"/>
          <w:highlight w:val="none"/>
          <w:lang w:val="en-US" w:eastAsia="zh-CN" w:bidi="ar-SA"/>
        </w:rPr>
        <w:t>.00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邮电费4.45万元、</w:t>
      </w:r>
      <w:r>
        <w:rPr>
          <w:rFonts w:hint="default" w:ascii="Times New Roman" w:hAnsi="Times New Roman" w:eastAsia="仿宋_GB2312" w:cs="Times New Roman"/>
          <w:color w:val="auto"/>
          <w:kern w:val="2"/>
          <w:sz w:val="32"/>
          <w:szCs w:val="32"/>
          <w:highlight w:val="none"/>
          <w:lang w:val="en-US" w:eastAsia="zh-CN" w:bidi="ar-SA"/>
        </w:rPr>
        <w:t>差旅费14.73万元、维修（护）费</w:t>
      </w:r>
      <w:r>
        <w:rPr>
          <w:rFonts w:hint="default" w:ascii="Times New Roman" w:hAnsi="Times New Roman" w:eastAsia="仿宋_GB2312" w:cs="Times New Roman"/>
          <w:color w:val="auto"/>
          <w:kern w:val="2"/>
          <w:sz w:val="32"/>
          <w:szCs w:val="32"/>
          <w:highlight w:val="none"/>
          <w:lang w:val="en-US" w:eastAsia="zh-CN" w:bidi="ar-SA"/>
        </w:rPr>
        <w:t>8.27万元、</w:t>
      </w:r>
      <w:r>
        <w:rPr>
          <w:rFonts w:hint="default" w:ascii="Times New Roman" w:hAnsi="Times New Roman" w:eastAsia="仿宋_GB2312" w:cs="Times New Roman"/>
          <w:color w:val="auto"/>
          <w:kern w:val="2"/>
          <w:sz w:val="32"/>
          <w:szCs w:val="32"/>
          <w:highlight w:val="none"/>
          <w:lang w:val="en-US" w:eastAsia="zh-CN" w:bidi="ar-SA"/>
        </w:rPr>
        <w:t>培训费</w:t>
      </w:r>
      <w:r>
        <w:rPr>
          <w:rFonts w:hint="default" w:ascii="Times New Roman" w:hAnsi="Times New Roman" w:eastAsia="仿宋_GB2312" w:cs="Times New Roman"/>
          <w:color w:val="auto"/>
          <w:kern w:val="2"/>
          <w:sz w:val="32"/>
          <w:szCs w:val="32"/>
          <w:highlight w:val="none"/>
          <w:lang w:val="en-US" w:eastAsia="zh-CN" w:bidi="ar-SA"/>
        </w:rPr>
        <w:t>1.13</w:t>
      </w:r>
      <w:r>
        <w:rPr>
          <w:rFonts w:hint="default" w:ascii="Times New Roman" w:hAnsi="Times New Roman" w:eastAsia="仿宋_GB2312" w:cs="Times New Roman"/>
          <w:color w:val="auto"/>
          <w:kern w:val="2"/>
          <w:sz w:val="32"/>
          <w:szCs w:val="32"/>
          <w:highlight w:val="none"/>
          <w:lang w:val="en-US" w:eastAsia="zh-CN" w:bidi="ar-SA"/>
        </w:rPr>
        <w:t>万元、委托业务费</w:t>
      </w:r>
      <w:r>
        <w:rPr>
          <w:rFonts w:hint="default" w:ascii="Times New Roman" w:hAnsi="Times New Roman" w:eastAsia="仿宋_GB2312" w:cs="Times New Roman"/>
          <w:color w:val="auto"/>
          <w:kern w:val="2"/>
          <w:sz w:val="32"/>
          <w:szCs w:val="32"/>
          <w:highlight w:val="none"/>
          <w:lang w:val="en-US" w:eastAsia="zh-CN" w:bidi="ar-SA"/>
        </w:rPr>
        <w:t>1.79</w:t>
      </w:r>
      <w:r>
        <w:rPr>
          <w:rFonts w:hint="default" w:ascii="Times New Roman" w:hAnsi="Times New Roman" w:eastAsia="仿宋_GB2312" w:cs="Times New Roman"/>
          <w:color w:val="auto"/>
          <w:kern w:val="2"/>
          <w:sz w:val="32"/>
          <w:szCs w:val="32"/>
          <w:highlight w:val="none"/>
          <w:lang w:val="en-US" w:eastAsia="zh-CN" w:bidi="ar-SA"/>
        </w:rPr>
        <w:t>万元、福利费1.</w:t>
      </w:r>
      <w:r>
        <w:rPr>
          <w:rFonts w:hint="default" w:ascii="Times New Roman" w:hAnsi="Times New Roman" w:eastAsia="仿宋_GB2312" w:cs="Times New Roman"/>
          <w:color w:val="auto"/>
          <w:kern w:val="2"/>
          <w:sz w:val="32"/>
          <w:szCs w:val="32"/>
          <w:highlight w:val="none"/>
          <w:lang w:val="en-US" w:eastAsia="zh-CN" w:bidi="ar-SA"/>
        </w:rPr>
        <w:t>69</w:t>
      </w:r>
      <w:r>
        <w:rPr>
          <w:rFonts w:hint="default" w:ascii="Times New Roman" w:hAnsi="Times New Roman" w:eastAsia="仿宋_GB2312" w:cs="Times New Roman"/>
          <w:color w:val="auto"/>
          <w:kern w:val="2"/>
          <w:sz w:val="32"/>
          <w:szCs w:val="32"/>
          <w:highlight w:val="none"/>
          <w:lang w:val="en-US" w:eastAsia="zh-CN" w:bidi="ar-SA"/>
        </w:rPr>
        <w:t>万元、公务用车运行维护费</w:t>
      </w:r>
      <w:r>
        <w:rPr>
          <w:rFonts w:hint="default" w:ascii="Times New Roman" w:hAnsi="Times New Roman" w:eastAsia="仿宋_GB2312" w:cs="Times New Roman"/>
          <w:color w:val="auto"/>
          <w:kern w:val="2"/>
          <w:sz w:val="32"/>
          <w:szCs w:val="32"/>
          <w:highlight w:val="none"/>
          <w:lang w:val="en-US" w:eastAsia="zh-CN" w:bidi="ar-SA"/>
        </w:rPr>
        <w:t>11.52万元、其他交通费用0.98万元</w:t>
      </w:r>
      <w:r>
        <w:rPr>
          <w:rFonts w:hint="default" w:ascii="Times New Roman" w:hAnsi="Times New Roman" w:eastAsia="仿宋_GB2312" w:cs="Times New Roman"/>
          <w:color w:val="auto"/>
          <w:kern w:val="2"/>
          <w:sz w:val="32"/>
          <w:szCs w:val="32"/>
          <w:highlight w:val="none"/>
          <w:lang w:val="en-US" w:eastAsia="zh-CN" w:bidi="ar-SA"/>
        </w:rPr>
        <w:t>。</w:t>
      </w:r>
    </w:p>
    <w:p w14:paraId="2287A679">
      <w:pPr>
        <w:pageBreakBefore w:val="0"/>
        <w:kinsoku/>
        <w:overflowPunct/>
        <w:topLinePunct w:val="0"/>
        <w:bidi w:val="0"/>
        <w:spacing w:line="560" w:lineRule="atLeast"/>
        <w:ind w:firstLine="640" w:firstLineChars="200"/>
        <w:textAlignment w:val="auto"/>
        <w:outlineLvl w:val="1"/>
        <w:rPr>
          <w:rStyle w:val="31"/>
          <w:rFonts w:hint="default" w:ascii="Times New Roman" w:hAnsi="Times New Roman" w:eastAsia="黑体" w:cs="Times New Roman"/>
          <w:b w:val="0"/>
          <w:color w:val="auto"/>
          <w:highlight w:val="none"/>
        </w:rPr>
      </w:pPr>
      <w:bookmarkStart w:id="44" w:name="_Toc15396609"/>
      <w:bookmarkStart w:id="45" w:name="_Toc15377215"/>
      <w:bookmarkStart w:id="46" w:name="_Toc28793"/>
      <w:r>
        <w:rPr>
          <w:rFonts w:hint="default" w:ascii="Times New Roman" w:hAnsi="Times New Roman" w:eastAsia="黑体" w:cs="Times New Roman"/>
          <w:color w:val="auto"/>
          <w:sz w:val="32"/>
          <w:szCs w:val="32"/>
          <w:highlight w:val="none"/>
        </w:rPr>
        <w:t>七、</w:t>
      </w:r>
      <w:r>
        <w:rPr>
          <w:rStyle w:val="31"/>
          <w:rFonts w:hint="default" w:ascii="Times New Roman" w:hAnsi="Times New Roman" w:eastAsia="黑体" w:cs="Times New Roman"/>
          <w:b w:val="0"/>
          <w:color w:val="auto"/>
          <w:highlight w:val="none"/>
        </w:rPr>
        <w:t>财政拨款</w:t>
      </w:r>
      <w:r>
        <w:rPr>
          <w:rStyle w:val="31"/>
          <w:rFonts w:hint="default" w:ascii="Times New Roman" w:hAnsi="Times New Roman" w:eastAsia="黑体" w:cs="Times New Roman"/>
          <w:color w:val="auto"/>
          <w:highlight w:val="none"/>
        </w:rPr>
        <w:t>“</w:t>
      </w:r>
      <w:r>
        <w:rPr>
          <w:rStyle w:val="31"/>
          <w:rFonts w:hint="default" w:ascii="Times New Roman" w:hAnsi="Times New Roman" w:eastAsia="黑体" w:cs="Times New Roman"/>
          <w:b w:val="0"/>
          <w:color w:val="auto"/>
          <w:highlight w:val="none"/>
        </w:rPr>
        <w:t>三公”经费支出决算情况说明</w:t>
      </w:r>
      <w:bookmarkEnd w:id="44"/>
      <w:bookmarkEnd w:id="45"/>
      <w:bookmarkEnd w:id="46"/>
    </w:p>
    <w:p w14:paraId="54E19156">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7" w:name="_Toc22450"/>
      <w:bookmarkStart w:id="48"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47"/>
      <w:bookmarkEnd w:id="48"/>
    </w:p>
    <w:p w14:paraId="6CC9067B">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财政拨款“三公”经费支出决算为</w:t>
      </w:r>
      <w:r>
        <w:rPr>
          <w:rFonts w:hint="default" w:ascii="Times New Roman" w:hAnsi="Times New Roman" w:eastAsia="仿宋_GB2312" w:cs="Times New Roman"/>
          <w:sz w:val="32"/>
          <w:szCs w:val="32"/>
        </w:rPr>
        <w:t>11.52</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%，较上年度增加/减少</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万元，增长/下降</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%。与预算数持平</w:t>
      </w:r>
      <w:r>
        <w:rPr>
          <w:rFonts w:hint="default" w:ascii="Times New Roman" w:hAnsi="Times New Roman" w:eastAsia="仿宋_GB2312" w:cs="Times New Roman"/>
          <w:color w:val="auto"/>
          <w:kern w:val="2"/>
          <w:sz w:val="32"/>
          <w:szCs w:val="32"/>
          <w:highlight w:val="none"/>
          <w:lang w:val="en-US" w:eastAsia="zh-CN" w:bidi="ar-SA"/>
        </w:rPr>
        <w:t>。</w:t>
      </w:r>
    </w:p>
    <w:p w14:paraId="09FA6A1D">
      <w:pPr>
        <w:pageBreakBefore w:val="0"/>
        <w:kinsoku/>
        <w:overflowPunct/>
        <w:topLinePunct w:val="0"/>
        <w:bidi w:val="0"/>
        <w:spacing w:line="560" w:lineRule="atLeast"/>
        <w:ind w:firstLine="64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2AC5FBD">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49" w:name="_Toc15377217"/>
      <w:bookmarkStart w:id="50" w:name="_Toc32570"/>
      <w:r>
        <w:rPr>
          <w:rFonts w:hint="default" w:ascii="Times New Roman" w:hAnsi="Times New Roman" w:eastAsia="楷体_GB2312" w:cs="Times New Roman"/>
          <w:b/>
          <w:color w:val="auto"/>
          <w:sz w:val="32"/>
          <w:szCs w:val="32"/>
          <w:highlight w:val="none"/>
        </w:rPr>
        <w:t>（二）财政拨款“三公”经费支出决算具体情况说明</w:t>
      </w:r>
      <w:bookmarkEnd w:id="49"/>
      <w:bookmarkEnd w:id="50"/>
    </w:p>
    <w:p w14:paraId="5E0957FB">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万元，公务用车购置及运行维护费支出决算</w:t>
      </w:r>
      <w:r>
        <w:rPr>
          <w:rFonts w:hint="default" w:ascii="Times New Roman" w:hAnsi="Times New Roman" w:eastAsia="仿宋_GB2312" w:cs="Times New Roman"/>
          <w:sz w:val="32"/>
          <w:szCs w:val="32"/>
        </w:rPr>
        <w:t>11.52</w:t>
      </w:r>
      <w:r>
        <w:rPr>
          <w:rFonts w:hint="default" w:ascii="Times New Roman" w:hAnsi="Times New Roman" w:eastAsia="仿宋_GB2312" w:cs="Times New Roman"/>
          <w:color w:val="auto"/>
          <w:kern w:val="2"/>
          <w:sz w:val="32"/>
          <w:szCs w:val="32"/>
          <w:highlight w:val="none"/>
          <w:lang w:val="en-US" w:eastAsia="zh-CN" w:bidi="ar-SA"/>
        </w:rPr>
        <w:t>万元，占</w:t>
      </w:r>
      <w:r>
        <w:rPr>
          <w:rFonts w:hint="default" w:ascii="Times New Roman" w:hAnsi="Times New Roman" w:eastAsia="仿宋_GB2312" w:cs="Times New Roman"/>
          <w:color w:val="auto"/>
          <w:kern w:val="2"/>
          <w:sz w:val="32"/>
          <w:szCs w:val="32"/>
          <w:highlight w:val="none"/>
          <w:lang w:val="en-US" w:eastAsia="zh-CN" w:bidi="ar-SA"/>
        </w:rPr>
        <w:t>100</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万元。具体情况如下：</w:t>
      </w:r>
    </w:p>
    <w:p w14:paraId="3DA0ECF9">
      <w:pPr>
        <w:pStyle w:val="5"/>
        <w:pageBreakBefore w:val="0"/>
        <w:kinsoku/>
        <w:overflowPunct/>
        <w:topLinePunct w:val="0"/>
        <w:bidi w:val="0"/>
        <w:spacing w:beforeLines="0"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p>
    <w:p w14:paraId="1E83E6B5">
      <w:pPr>
        <w:pStyle w:val="6"/>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p>
    <w:p w14:paraId="67BD2858">
      <w:pPr>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p>
    <w:p w14:paraId="4479B154">
      <w:pPr>
        <w:pageBreakBefore w:val="0"/>
        <w:kinsoku/>
        <w:overflowPunct/>
        <w:topLinePunct w:val="0"/>
        <w:bidi w:val="0"/>
        <w:spacing w:line="560" w:lineRule="atLeast"/>
        <w:textAlignment w:val="auto"/>
        <w:rPr>
          <w:rFonts w:hint="default" w:ascii="Times New Roman" w:hAnsi="Times New Roman" w:eastAsia="仿宋_GB2312" w:cs="Times New Roman"/>
          <w:color w:val="auto"/>
          <w:kern w:val="2"/>
          <w:sz w:val="32"/>
          <w:szCs w:val="32"/>
          <w:highlight w:val="none"/>
          <w:lang w:val="en-US" w:eastAsia="zh-CN" w:bidi="ar-SA"/>
        </w:rPr>
      </w:pPr>
    </w:p>
    <w:p w14:paraId="143B96E3">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51E81E54">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379B44A4">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6C319A48">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cs="Times New Roman"/>
        </w:rPr>
        <w:drawing>
          <wp:anchor distT="0" distB="0" distL="114300" distR="114300" simplePos="0" relativeHeight="251663360" behindDoc="1" locked="0" layoutInCell="1" allowOverlap="1">
            <wp:simplePos x="0" y="0"/>
            <wp:positionH relativeFrom="column">
              <wp:posOffset>410845</wp:posOffset>
            </wp:positionH>
            <wp:positionV relativeFrom="paragraph">
              <wp:posOffset>-2449195</wp:posOffset>
            </wp:positionV>
            <wp:extent cx="4826000" cy="2743200"/>
            <wp:effectExtent l="4445" t="4445" r="15875" b="10795"/>
            <wp:wrapNone/>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7B2B8866">
      <w:pPr>
        <w:pageBreakBefore w:val="0"/>
        <w:kinsoku/>
        <w:overflowPunct/>
        <w:topLinePunct w:val="0"/>
        <w:bidi w:val="0"/>
        <w:spacing w:line="560" w:lineRule="atLeas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（图7：财政拨款“三公”经费支出结构）（饼状图）</w:t>
      </w:r>
    </w:p>
    <w:p w14:paraId="5AA2F377">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b/>
          <w:bCs/>
          <w:color w:val="auto"/>
          <w:kern w:val="2"/>
          <w:sz w:val="32"/>
          <w:szCs w:val="32"/>
          <w:highlight w:val="none"/>
          <w:lang w:val="en-US" w:eastAsia="zh-CN" w:bidi="ar-SA"/>
        </w:rPr>
        <w:t>万元</w:t>
      </w:r>
      <w:r>
        <w:rPr>
          <w:rFonts w:hint="default" w:ascii="Times New Roman" w:hAnsi="Times New Roman" w:eastAsia="仿宋_GB2312" w:cs="Times New Roman"/>
          <w:b/>
          <w:bCs/>
          <w:color w:val="auto"/>
          <w:kern w:val="2"/>
          <w:sz w:val="32"/>
          <w:szCs w:val="32"/>
          <w:highlight w:val="none"/>
          <w:lang w:val="en-US" w:eastAsia="zh-CN" w:bidi="ar-SA"/>
        </w:rPr>
        <w:t>。</w:t>
      </w:r>
    </w:p>
    <w:p w14:paraId="189ABB5D">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w:t>
      </w:r>
      <w:r>
        <w:rPr>
          <w:rFonts w:hint="default" w:ascii="Times New Roman" w:hAnsi="Times New Roman" w:eastAsia="仿宋_GB2312" w:cs="Times New Roman"/>
          <w:b/>
          <w:bCs/>
          <w:color w:val="auto"/>
          <w:kern w:val="2"/>
          <w:sz w:val="32"/>
          <w:szCs w:val="32"/>
          <w:highlight w:val="none"/>
          <w:lang w:val="en-US" w:eastAsia="zh-CN" w:bidi="ar-SA"/>
        </w:rPr>
        <w:t>11.52</w:t>
      </w:r>
      <w:r>
        <w:rPr>
          <w:rFonts w:hint="default" w:ascii="Times New Roman" w:hAnsi="Times New Roman" w:eastAsia="仿宋_GB2312" w:cs="Times New Roman"/>
          <w:b/>
          <w:bCs/>
          <w:color w:val="auto"/>
          <w:kern w:val="2"/>
          <w:sz w:val="32"/>
          <w:szCs w:val="32"/>
          <w:highlight w:val="none"/>
          <w:lang w:val="en-US" w:eastAsia="zh-CN" w:bidi="ar-SA"/>
        </w:rPr>
        <w:t>万元</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b/>
          <w:bCs/>
          <w:color w:val="auto"/>
          <w:kern w:val="2"/>
          <w:sz w:val="32"/>
          <w:szCs w:val="32"/>
          <w:highlight w:val="none"/>
          <w:lang w:val="en-US" w:eastAsia="zh-CN" w:bidi="ar-SA"/>
        </w:rPr>
        <w:t>完成预算</w:t>
      </w:r>
      <w:r>
        <w:rPr>
          <w:rFonts w:hint="default" w:ascii="Times New Roman" w:hAnsi="Times New Roman" w:eastAsia="仿宋_GB2312" w:cs="Times New Roman"/>
          <w:b/>
          <w:bCs/>
          <w:color w:val="auto"/>
          <w:kern w:val="2"/>
          <w:sz w:val="32"/>
          <w:szCs w:val="32"/>
          <w:highlight w:val="none"/>
          <w:lang w:val="en-US" w:eastAsia="zh-CN" w:bidi="ar-SA"/>
        </w:rPr>
        <w:t>100</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w:t>
      </w:r>
      <w:r>
        <w:rPr>
          <w:rFonts w:hint="default" w:ascii="Times New Roman" w:hAnsi="Times New Roman" w:eastAsia="仿宋_GB2312" w:cs="Times New Roman"/>
          <w:color w:val="auto"/>
          <w:kern w:val="2"/>
          <w:sz w:val="32"/>
          <w:szCs w:val="32"/>
          <w:highlight w:val="none"/>
          <w:lang w:val="en-US" w:eastAsia="zh-CN" w:bidi="ar-SA"/>
        </w:rPr>
        <w:t>上年度</w:t>
      </w:r>
      <w:r>
        <w:rPr>
          <w:rFonts w:hint="default" w:ascii="Times New Roman" w:hAnsi="Times New Roman" w:eastAsia="仿宋_GB2312" w:cs="Times New Roman"/>
          <w:color w:val="auto"/>
          <w:kern w:val="2"/>
          <w:sz w:val="32"/>
          <w:szCs w:val="32"/>
          <w:highlight w:val="none"/>
          <w:lang w:val="en-US" w:eastAsia="zh-CN" w:bidi="ar-SA"/>
        </w:rPr>
        <w:t>增加/减少</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万元，增长/下降</w:t>
      </w:r>
      <w:r>
        <w:rPr>
          <w:rFonts w:hint="default"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w:t>
      </w:r>
    </w:p>
    <w:p w14:paraId="7A1E5327">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605F6066">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w:t>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年12月31日，单位共有公务用车</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辆，其中：越野车</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辆。</w:t>
      </w:r>
    </w:p>
    <w:p w14:paraId="5F8F24A0">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rPr>
        <w:t>11.52</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color w:val="auto"/>
          <w:kern w:val="2"/>
          <w:sz w:val="32"/>
          <w:szCs w:val="32"/>
          <w:highlight w:val="none"/>
          <w:lang w:val="en-US" w:eastAsia="zh-CN" w:bidi="ar-SA"/>
        </w:rPr>
        <w:t>公务出行、护送流浪乞讨人员返乡、城市间街面巡逻流浪人员、流动救助业务等工作</w:t>
      </w:r>
      <w:r>
        <w:rPr>
          <w:rFonts w:hint="default" w:ascii="Times New Roman" w:hAnsi="Times New Roman" w:eastAsia="仿宋_GB2312" w:cs="Times New Roman"/>
          <w:color w:val="auto"/>
          <w:kern w:val="2"/>
          <w:sz w:val="32"/>
          <w:szCs w:val="32"/>
          <w:highlight w:val="none"/>
          <w:lang w:val="en-US" w:eastAsia="zh-CN" w:bidi="ar-SA"/>
        </w:rPr>
        <w:t>所需的公务用车燃料费、维</w:t>
      </w:r>
      <w:r>
        <w:rPr>
          <w:rFonts w:hint="default" w:ascii="Times New Roman" w:hAnsi="Times New Roman" w:eastAsia="仿宋_GB2312" w:cs="Times New Roman"/>
          <w:color w:val="auto"/>
          <w:kern w:val="2"/>
          <w:sz w:val="32"/>
          <w:szCs w:val="32"/>
          <w:highlight w:val="none"/>
          <w:lang w:val="en-US" w:eastAsia="zh-CN" w:bidi="ar-SA"/>
        </w:rPr>
        <w:t>保</w:t>
      </w:r>
      <w:r>
        <w:rPr>
          <w:rFonts w:hint="default" w:ascii="Times New Roman" w:hAnsi="Times New Roman" w:eastAsia="仿宋_GB2312" w:cs="Times New Roman"/>
          <w:color w:val="auto"/>
          <w:kern w:val="2"/>
          <w:sz w:val="32"/>
          <w:szCs w:val="32"/>
          <w:highlight w:val="none"/>
          <w:lang w:val="en-US" w:eastAsia="zh-CN" w:bidi="ar-SA"/>
        </w:rPr>
        <w:t>费、路桥费、保险费等支出。</w:t>
      </w:r>
    </w:p>
    <w:p w14:paraId="2702C258">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w:t>
      </w:r>
      <w:r>
        <w:rPr>
          <w:rFonts w:hint="default" w:ascii="Times New Roman" w:hAnsi="Times New Roman" w:eastAsia="仿宋_GB2312" w:cs="Times New Roman"/>
          <w:b/>
          <w:bCs/>
          <w:color w:val="auto"/>
          <w:kern w:val="2"/>
          <w:sz w:val="32"/>
          <w:szCs w:val="32"/>
          <w:highlight w:val="none"/>
          <w:lang w:val="en-US" w:eastAsia="zh-CN" w:bidi="ar-SA"/>
        </w:rPr>
        <w:t>0</w:t>
      </w:r>
      <w:r>
        <w:rPr>
          <w:rFonts w:hint="default" w:ascii="Times New Roman" w:hAnsi="Times New Roman" w:eastAsia="仿宋_GB2312" w:cs="Times New Roman"/>
          <w:b/>
          <w:bCs/>
          <w:color w:val="auto"/>
          <w:kern w:val="2"/>
          <w:sz w:val="32"/>
          <w:szCs w:val="32"/>
          <w:highlight w:val="none"/>
          <w:lang w:val="en-US" w:eastAsia="zh-CN" w:bidi="ar-SA"/>
        </w:rPr>
        <w:t>万元。</w:t>
      </w:r>
      <w:bookmarkStart w:id="51" w:name="_Toc15377218"/>
      <w:bookmarkStart w:id="52" w:name="_Toc15396610"/>
    </w:p>
    <w:p w14:paraId="17B34CDE">
      <w:pPr>
        <w:pageBreakBefore w:val="0"/>
        <w:kinsoku/>
        <w:overflowPunct/>
        <w:topLinePunct w:val="0"/>
        <w:bidi w:val="0"/>
        <w:spacing w:line="560" w:lineRule="atLeast"/>
        <w:ind w:firstLine="640"/>
        <w:textAlignment w:val="auto"/>
        <w:outlineLvl w:val="1"/>
        <w:rPr>
          <w:rStyle w:val="31"/>
          <w:rFonts w:hint="default" w:ascii="Times New Roman" w:hAnsi="Times New Roman" w:eastAsia="黑体" w:cs="Times New Roman"/>
          <w:color w:val="auto"/>
          <w:highlight w:val="none"/>
        </w:rPr>
      </w:pPr>
      <w:bookmarkStart w:id="53" w:name="_Toc20663"/>
      <w:r>
        <w:rPr>
          <w:rFonts w:hint="default" w:ascii="Times New Roman" w:hAnsi="Times New Roman" w:eastAsia="黑体" w:cs="Times New Roman"/>
          <w:color w:val="auto"/>
          <w:sz w:val="32"/>
          <w:szCs w:val="32"/>
          <w:highlight w:val="none"/>
        </w:rPr>
        <w:t>八、</w:t>
      </w:r>
      <w:r>
        <w:rPr>
          <w:rStyle w:val="31"/>
          <w:rFonts w:hint="default" w:ascii="Times New Roman" w:hAnsi="Times New Roman" w:eastAsia="黑体" w:cs="Times New Roman"/>
          <w:b w:val="0"/>
          <w:color w:val="auto"/>
          <w:highlight w:val="none"/>
        </w:rPr>
        <w:t>政府性基金预算支出决算情况说明</w:t>
      </w:r>
      <w:bookmarkEnd w:id="51"/>
      <w:bookmarkEnd w:id="52"/>
      <w:bookmarkEnd w:id="53"/>
    </w:p>
    <w:p w14:paraId="1A9F4B65">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政府性基金预算财政拨款支出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t>。</w:t>
      </w:r>
    </w:p>
    <w:p w14:paraId="6764FB2E">
      <w:pPr>
        <w:pageBreakBefore w:val="0"/>
        <w:numPr>
          <w:ilvl w:val="0"/>
          <w:numId w:val="0"/>
        </w:numPr>
        <w:kinsoku/>
        <w:overflowPunct/>
        <w:topLinePunct w:val="0"/>
        <w:bidi w:val="0"/>
        <w:spacing w:line="560" w:lineRule="atLeast"/>
        <w:ind w:left="630" w:leftChars="0"/>
        <w:textAlignment w:val="auto"/>
        <w:outlineLvl w:val="1"/>
        <w:rPr>
          <w:rStyle w:val="31"/>
          <w:rFonts w:hint="default" w:ascii="Times New Roman" w:hAnsi="Times New Roman" w:eastAsia="黑体" w:cs="Times New Roman"/>
          <w:b w:val="0"/>
          <w:color w:val="auto"/>
          <w:highlight w:val="none"/>
        </w:rPr>
      </w:pPr>
      <w:bookmarkStart w:id="54" w:name="_Toc15396611"/>
      <w:bookmarkStart w:id="55" w:name="_Toc9462"/>
      <w:bookmarkStart w:id="56" w:name="_Toc15377219"/>
      <w:r>
        <w:rPr>
          <w:rStyle w:val="31"/>
          <w:rFonts w:hint="default" w:ascii="Times New Roman" w:hAnsi="Times New Roman" w:eastAsia="黑体" w:cs="Times New Roman"/>
          <w:b w:val="0"/>
          <w:color w:val="auto"/>
          <w:highlight w:val="none"/>
          <w:lang w:eastAsia="zh-CN"/>
        </w:rPr>
        <w:t>九、</w:t>
      </w:r>
      <w:r>
        <w:rPr>
          <w:rStyle w:val="31"/>
          <w:rFonts w:hint="default" w:ascii="Times New Roman" w:hAnsi="Times New Roman" w:eastAsia="黑体" w:cs="Times New Roman"/>
          <w:b w:val="0"/>
          <w:color w:val="auto"/>
          <w:highlight w:val="none"/>
        </w:rPr>
        <w:t>国有资本经营预算支出决算情况说明</w:t>
      </w:r>
      <w:bookmarkEnd w:id="54"/>
      <w:bookmarkEnd w:id="55"/>
      <w:bookmarkEnd w:id="56"/>
    </w:p>
    <w:p w14:paraId="74A8157F">
      <w:pPr>
        <w:pageBreakBefore w:val="0"/>
        <w:numPr>
          <w:ilvl w:val="0"/>
          <w:numId w:val="0"/>
        </w:numPr>
        <w:kinsoku/>
        <w:overflowPunct/>
        <w:topLinePunct w:val="0"/>
        <w:bidi w:val="0"/>
        <w:spacing w:line="560" w:lineRule="atLeast"/>
        <w:ind w:left="630" w:leftChars="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国有资本经营预算财政拨款支出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w:t>
      </w:r>
      <w:bookmarkStart w:id="57" w:name="_Toc15396612"/>
      <w:bookmarkStart w:id="58" w:name="_Toc15377221"/>
      <w:r>
        <w:rPr>
          <w:rFonts w:hint="default" w:ascii="Times New Roman" w:hAnsi="Times New Roman" w:eastAsia="仿宋_GB2312" w:cs="Times New Roman"/>
          <w:color w:val="auto"/>
          <w:kern w:val="2"/>
          <w:sz w:val="32"/>
          <w:szCs w:val="32"/>
          <w:highlight w:val="none"/>
          <w:lang w:val="en-US" w:eastAsia="zh-CN" w:bidi="ar-SA"/>
        </w:rPr>
        <w:t>。</w:t>
      </w:r>
    </w:p>
    <w:p w14:paraId="071643B5">
      <w:pPr>
        <w:pageBreakBefore w:val="0"/>
        <w:numPr>
          <w:ilvl w:val="0"/>
          <w:numId w:val="0"/>
        </w:numPr>
        <w:kinsoku/>
        <w:overflowPunct/>
        <w:topLinePunct w:val="0"/>
        <w:bidi w:val="0"/>
        <w:spacing w:line="560" w:lineRule="atLeast"/>
        <w:ind w:left="630" w:leftChars="0"/>
        <w:textAlignment w:val="auto"/>
        <w:outlineLvl w:val="1"/>
        <w:rPr>
          <w:rStyle w:val="31"/>
          <w:rFonts w:hint="default" w:ascii="Times New Roman" w:hAnsi="Times New Roman" w:eastAsia="黑体" w:cs="Times New Roman"/>
          <w:b w:val="0"/>
          <w:color w:val="auto"/>
          <w:highlight w:val="none"/>
        </w:rPr>
      </w:pPr>
      <w:bookmarkStart w:id="59" w:name="_Toc11079"/>
      <w:r>
        <w:rPr>
          <w:rStyle w:val="31"/>
          <w:rFonts w:hint="default" w:ascii="Times New Roman" w:hAnsi="Times New Roman" w:eastAsia="黑体" w:cs="Times New Roman"/>
          <w:b w:val="0"/>
          <w:color w:val="auto"/>
          <w:highlight w:val="none"/>
          <w:lang w:eastAsia="zh-CN"/>
        </w:rPr>
        <w:t>十、</w:t>
      </w:r>
      <w:r>
        <w:rPr>
          <w:rStyle w:val="31"/>
          <w:rFonts w:hint="default" w:ascii="Times New Roman" w:hAnsi="Times New Roman" w:eastAsia="黑体" w:cs="Times New Roman"/>
          <w:b w:val="0"/>
          <w:color w:val="auto"/>
          <w:highlight w:val="none"/>
        </w:rPr>
        <w:t>其他重要事项的情况说明</w:t>
      </w:r>
      <w:bookmarkEnd w:id="57"/>
      <w:bookmarkEnd w:id="58"/>
      <w:bookmarkEnd w:id="59"/>
    </w:p>
    <w:p w14:paraId="41A1DC7C">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0" w:name="_Toc14230"/>
      <w:bookmarkStart w:id="61" w:name="_Toc15377222"/>
      <w:r>
        <w:rPr>
          <w:rFonts w:hint="default" w:ascii="Times New Roman" w:hAnsi="Times New Roman" w:eastAsia="楷体_GB2312" w:cs="Times New Roman"/>
          <w:b/>
          <w:color w:val="auto"/>
          <w:sz w:val="32"/>
          <w:szCs w:val="32"/>
          <w:highlight w:val="none"/>
        </w:rPr>
        <w:t>（一）机关运行经费支出情况</w:t>
      </w:r>
      <w:bookmarkEnd w:id="60"/>
      <w:bookmarkEnd w:id="61"/>
    </w:p>
    <w:p w14:paraId="595C370E">
      <w:pPr>
        <w:pageBreakBefore w:val="0"/>
        <w:kinsoku/>
        <w:overflowPunct/>
        <w:topLinePunct w:val="0"/>
        <w:bidi w:val="0"/>
        <w:spacing w:line="560" w:lineRule="atLeast"/>
        <w:ind w:firstLine="640" w:firstLineChars="200"/>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rPr>
        <w:t>阿坝藏族羌族自治州救助站</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lang w:val="en-US" w:eastAsia="zh-CN"/>
        </w:rPr>
        <w:t>48.7</w:t>
      </w:r>
      <w:r>
        <w:rPr>
          <w:rFonts w:hint="default" w:ascii="Times New Roman" w:hAnsi="Times New Roman" w:eastAsia="仿宋_GB2312" w:cs="Times New Roman"/>
          <w:color w:val="auto"/>
          <w:kern w:val="2"/>
          <w:sz w:val="32"/>
          <w:szCs w:val="32"/>
          <w:highlight w:val="none"/>
          <w:lang w:val="en-US" w:eastAsia="zh-CN" w:bidi="ar-SA"/>
        </w:rPr>
        <w:t>万元，比</w:t>
      </w:r>
      <w:r>
        <w:rPr>
          <w:rFonts w:hint="default" w:ascii="Times New Roman" w:hAnsi="Times New Roman" w:eastAsia="仿宋_GB2312" w:cs="Times New Roman"/>
          <w:color w:val="auto"/>
          <w:kern w:val="2"/>
          <w:sz w:val="32"/>
          <w:szCs w:val="32"/>
          <w:highlight w:val="none"/>
          <w:lang w:val="en-US" w:eastAsia="zh-CN" w:bidi="ar-SA"/>
        </w:rPr>
        <w:t>上</w:t>
      </w:r>
      <w:r>
        <w:rPr>
          <w:rFonts w:hint="default" w:ascii="Times New Roman" w:hAnsi="Times New Roman" w:eastAsia="仿宋_GB2312" w:cs="Times New Roman"/>
          <w:color w:val="auto"/>
          <w:kern w:val="2"/>
          <w:sz w:val="32"/>
          <w:szCs w:val="32"/>
          <w:highlight w:val="none"/>
          <w:lang w:val="en-US" w:eastAsia="zh-CN" w:bidi="ar-SA"/>
        </w:rPr>
        <w:t>年度减少</w:t>
      </w:r>
      <w:r>
        <w:rPr>
          <w:rFonts w:hint="default" w:ascii="Times New Roman" w:hAnsi="Times New Roman" w:eastAsia="仿宋_GB2312" w:cs="Times New Roman"/>
          <w:color w:val="auto"/>
          <w:kern w:val="2"/>
          <w:sz w:val="32"/>
          <w:szCs w:val="32"/>
          <w:highlight w:val="none"/>
          <w:lang w:val="en-US" w:eastAsia="zh-CN" w:bidi="ar-SA"/>
        </w:rPr>
        <w:t>0.61</w:t>
      </w:r>
      <w:r>
        <w:rPr>
          <w:rFonts w:hint="default" w:ascii="Times New Roman" w:hAnsi="Times New Roman" w:eastAsia="仿宋_GB2312" w:cs="Times New Roman"/>
          <w:color w:val="auto"/>
          <w:kern w:val="2"/>
          <w:sz w:val="32"/>
          <w:szCs w:val="32"/>
          <w:highlight w:val="none"/>
          <w:lang w:val="en-US" w:eastAsia="zh-CN" w:bidi="ar-SA"/>
        </w:rPr>
        <w:t>万元，下降</w:t>
      </w:r>
      <w:r>
        <w:rPr>
          <w:rFonts w:hint="default" w:ascii="Times New Roman" w:hAnsi="Times New Roman" w:eastAsia="仿宋_GB2312" w:cs="Times New Roman"/>
          <w:color w:val="auto"/>
          <w:kern w:val="2"/>
          <w:sz w:val="32"/>
          <w:szCs w:val="32"/>
          <w:highlight w:val="none"/>
          <w:lang w:val="en-US" w:eastAsia="zh-CN" w:bidi="ar-SA"/>
        </w:rPr>
        <w:t>1.2</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主要原因是</w:t>
      </w:r>
      <w:bookmarkStart w:id="62" w:name="_Toc15377223"/>
      <w:r>
        <w:rPr>
          <w:rFonts w:hint="default" w:ascii="Times New Roman" w:hAnsi="Times New Roman" w:eastAsia="仿宋_GB2312" w:cs="Times New Roman"/>
          <w:color w:val="auto"/>
          <w:kern w:val="2"/>
          <w:sz w:val="32"/>
          <w:szCs w:val="32"/>
          <w:highlight w:val="none"/>
          <w:lang w:val="en-US" w:eastAsia="zh-CN" w:bidi="ar-SA"/>
        </w:rPr>
        <w:t>强化内控管理，厉行节约。</w:t>
      </w:r>
    </w:p>
    <w:p w14:paraId="32DFF30A">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EEECE1" w:themeColor="background2"/>
          <w:sz w:val="32"/>
          <w:szCs w:val="32"/>
          <w:highlight w:val="none"/>
          <w14:textFill>
            <w14:solidFill>
              <w14:schemeClr w14:val="bg2"/>
            </w14:solidFill>
          </w14:textFill>
        </w:rPr>
      </w:pPr>
      <w:bookmarkStart w:id="63" w:name="_Toc31637"/>
      <w:r>
        <w:rPr>
          <w:rFonts w:hint="default" w:ascii="Times New Roman" w:hAnsi="Times New Roman" w:eastAsia="楷体_GB2312" w:cs="Times New Roman"/>
          <w:b/>
          <w:color w:val="auto"/>
          <w:sz w:val="32"/>
          <w:szCs w:val="32"/>
          <w:highlight w:val="none"/>
        </w:rPr>
        <w:t>（二）政府采购支出情况</w:t>
      </w:r>
      <w:bookmarkEnd w:id="62"/>
      <w:bookmarkEnd w:id="63"/>
    </w:p>
    <w:p w14:paraId="7E6C333A">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sz w:val="32"/>
          <w:szCs w:val="32"/>
        </w:rPr>
        <w:t>阿坝藏族羌族自治州救助站</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sz w:val="32"/>
          <w:szCs w:val="32"/>
        </w:rPr>
        <w:t>81.2</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lang w:val="en-US" w:eastAsia="zh-CN"/>
        </w:rPr>
        <w:t>主要用</w:t>
      </w:r>
      <w:r>
        <w:rPr>
          <w:rFonts w:hint="default" w:ascii="Times New Roman" w:hAnsi="Times New Roman" w:eastAsia="仿宋_GB2312" w:cs="Times New Roman"/>
          <w:sz w:val="32"/>
          <w:szCs w:val="32"/>
          <w:lang w:eastAsia="zh-CN"/>
        </w:rPr>
        <w:t>于寒冬送温暖</w:t>
      </w:r>
      <w:r>
        <w:rPr>
          <w:rFonts w:hint="default" w:ascii="Times New Roman" w:hAnsi="Times New Roman" w:eastAsia="仿宋_GB2312" w:cs="Times New Roman"/>
          <w:sz w:val="32"/>
          <w:szCs w:val="32"/>
          <w:lang w:val="en-US" w:eastAsia="zh-CN"/>
        </w:rPr>
        <w:t>专项救助行动。授予中小企业合同金额</w:t>
      </w:r>
      <w:r>
        <w:rPr>
          <w:rFonts w:hint="default" w:ascii="Times New Roman" w:hAnsi="Times New Roman" w:eastAsia="仿宋_GB2312" w:cs="Times New Roman"/>
          <w:sz w:val="32"/>
          <w:szCs w:val="32"/>
        </w:rPr>
        <w:t>81.2</w:t>
      </w:r>
      <w:r>
        <w:rPr>
          <w:rFonts w:hint="default" w:ascii="Times New Roman" w:hAnsi="Times New Roman" w:eastAsia="仿宋_GB2312" w:cs="Times New Roman"/>
          <w:sz w:val="32"/>
          <w:szCs w:val="32"/>
          <w:lang w:val="en-US" w:eastAsia="zh-CN"/>
        </w:rPr>
        <w:t>万</w:t>
      </w:r>
      <w:r>
        <w:rPr>
          <w:rFonts w:hint="default" w:ascii="Times New Roman" w:hAnsi="Times New Roman" w:eastAsia="仿宋_GB2312" w:cs="Times New Roman"/>
          <w:color w:val="auto"/>
          <w:kern w:val="2"/>
          <w:sz w:val="32"/>
          <w:szCs w:val="32"/>
          <w:highlight w:val="none"/>
          <w:lang w:val="en-US" w:eastAsia="zh-CN" w:bidi="ar-SA"/>
        </w:rPr>
        <w:t>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w:t>
      </w:r>
    </w:p>
    <w:p w14:paraId="540AE815">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4" w:name="_Toc15377224"/>
      <w:bookmarkStart w:id="65" w:name="_Toc24777"/>
      <w:r>
        <w:rPr>
          <w:rFonts w:hint="default" w:ascii="Times New Roman" w:hAnsi="Times New Roman" w:eastAsia="楷体_GB2312" w:cs="Times New Roman"/>
          <w:b/>
          <w:color w:val="auto"/>
          <w:sz w:val="32"/>
          <w:szCs w:val="32"/>
          <w:highlight w:val="none"/>
        </w:rPr>
        <w:t>（三）国有资产占有使用情况</w:t>
      </w:r>
      <w:bookmarkEnd w:id="64"/>
      <w:bookmarkEnd w:id="65"/>
    </w:p>
    <w:p w14:paraId="39206BF2">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w:t>
      </w:r>
      <w:r>
        <w:rPr>
          <w:rFonts w:hint="default"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年12月31日，</w:t>
      </w:r>
      <w:r>
        <w:rPr>
          <w:rFonts w:hint="default" w:ascii="Times New Roman" w:hAnsi="Times New Roman" w:eastAsia="仿宋_GB2312" w:cs="Times New Roman"/>
          <w:sz w:val="32"/>
          <w:szCs w:val="32"/>
        </w:rPr>
        <w:t>阿坝藏族羌族自治州救助站</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辆，其中：特种专业技术用车</w:t>
      </w:r>
      <w:r>
        <w:rPr>
          <w:rFonts w:hint="default"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辆</w:t>
      </w:r>
      <w:r>
        <w:rPr>
          <w:rFonts w:hint="default"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其他用车</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辆，</w:t>
      </w:r>
      <w:r>
        <w:rPr>
          <w:rFonts w:hint="default" w:ascii="Times New Roman" w:hAnsi="Times New Roman" w:eastAsia="仿宋_GB2312" w:cs="Times New Roman"/>
          <w:color w:val="auto"/>
          <w:kern w:val="2"/>
          <w:sz w:val="32"/>
          <w:szCs w:val="32"/>
          <w:highlight w:val="none"/>
          <w:lang w:val="en-US" w:eastAsia="zh-CN" w:bidi="ar-SA"/>
        </w:rPr>
        <w:t>车辆</w:t>
      </w:r>
      <w:r>
        <w:rPr>
          <w:rFonts w:hint="default" w:ascii="Times New Roman" w:hAnsi="Times New Roman" w:eastAsia="仿宋_GB2312" w:cs="Times New Roman"/>
          <w:color w:val="auto"/>
          <w:kern w:val="2"/>
          <w:sz w:val="32"/>
          <w:szCs w:val="32"/>
          <w:highlight w:val="none"/>
          <w:lang w:val="en-US" w:eastAsia="zh-CN" w:bidi="ar-SA"/>
        </w:rPr>
        <w:t>主要用于</w:t>
      </w:r>
      <w:r>
        <w:rPr>
          <w:rFonts w:hint="default" w:ascii="Times New Roman" w:hAnsi="Times New Roman" w:eastAsia="仿宋_GB2312" w:cs="Times New Roman"/>
          <w:color w:val="auto"/>
          <w:kern w:val="2"/>
          <w:sz w:val="32"/>
          <w:szCs w:val="32"/>
          <w:highlight w:val="none"/>
          <w:lang w:val="en-US" w:eastAsia="zh-CN" w:bidi="ar-SA"/>
        </w:rPr>
        <w:t>公务出行、护送流浪乞讨人员、城市间巡逻流浪人员、流动救助业务等工作</w:t>
      </w:r>
      <w:r>
        <w:rPr>
          <w:rFonts w:hint="default" w:ascii="Times New Roman" w:hAnsi="Times New Roman" w:eastAsia="仿宋_GB2312" w:cs="Times New Roman"/>
          <w:color w:val="auto"/>
          <w:kern w:val="2"/>
          <w:sz w:val="32"/>
          <w:szCs w:val="32"/>
          <w:highlight w:val="none"/>
          <w:lang w:val="en-US" w:eastAsia="zh-CN" w:bidi="ar-SA"/>
        </w:rPr>
        <w:t>所需</w:t>
      </w:r>
      <w:r>
        <w:rPr>
          <w:rFonts w:hint="default" w:ascii="Times New Roman" w:hAnsi="Times New Roman" w:eastAsia="仿宋_GB2312" w:cs="Times New Roman"/>
          <w:color w:val="auto"/>
          <w:kern w:val="2"/>
          <w:sz w:val="32"/>
          <w:szCs w:val="32"/>
          <w:highlight w:val="none"/>
          <w:lang w:val="en-US" w:eastAsia="zh-CN" w:bidi="ar-SA"/>
        </w:rPr>
        <w:t>。</w:t>
      </w:r>
    </w:p>
    <w:p w14:paraId="1C2B93C8">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单价100万元</w:t>
      </w:r>
      <w:r>
        <w:rPr>
          <w:rFonts w:hint="default" w:ascii="Times New Roman" w:hAnsi="Times New Roman" w:eastAsia="仿宋_GB2312" w:cs="Times New Roman"/>
          <w:color w:val="auto"/>
          <w:kern w:val="2"/>
          <w:sz w:val="32"/>
          <w:szCs w:val="32"/>
          <w:highlight w:val="none"/>
          <w:lang w:val="en-US" w:eastAsia="zh-CN" w:bidi="ar-SA"/>
        </w:rPr>
        <w:t>（含）</w:t>
      </w:r>
      <w:r>
        <w:rPr>
          <w:rFonts w:hint="default" w:ascii="Times New Roman" w:hAnsi="Times New Roman" w:eastAsia="仿宋_GB2312" w:cs="Times New Roman"/>
          <w:color w:val="auto"/>
          <w:kern w:val="2"/>
          <w:sz w:val="32"/>
          <w:szCs w:val="32"/>
          <w:highlight w:val="none"/>
          <w:lang w:val="en-US" w:eastAsia="zh-CN" w:bidi="ar-SA"/>
        </w:rPr>
        <w:t>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7C9021AE">
      <w:pPr>
        <w:pageBreakBefore w:val="0"/>
        <w:kinsoku/>
        <w:overflowPunct/>
        <w:topLinePunct w:val="0"/>
        <w:bidi w:val="0"/>
        <w:spacing w:line="560" w:lineRule="atLeas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66" w:name="_Toc6601"/>
      <w:r>
        <w:rPr>
          <w:rFonts w:hint="default" w:ascii="Times New Roman" w:hAnsi="Times New Roman" w:eastAsia="楷体_GB2312" w:cs="Times New Roman"/>
          <w:b/>
          <w:color w:val="auto"/>
          <w:sz w:val="32"/>
          <w:szCs w:val="32"/>
          <w:highlight w:val="none"/>
        </w:rPr>
        <w:t>（四）预算绩效管理情况</w:t>
      </w:r>
      <w:bookmarkEnd w:id="66"/>
    </w:p>
    <w:p w14:paraId="0B90014D">
      <w:pPr>
        <w:pageBreakBefore w:val="0"/>
        <w:kinsoku/>
        <w:overflowPunct/>
        <w:topLinePunct w:val="0"/>
        <w:bidi w:val="0"/>
        <w:spacing w:line="560" w:lineRule="atLeas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根据预算绩效管理要求，本单位在202</w:t>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t>年度预算编制阶段，</w:t>
      </w:r>
      <w:r>
        <w:rPr>
          <w:rFonts w:hint="default" w:ascii="Times New Roman" w:hAnsi="Times New Roman" w:eastAsia="仿宋" w:cs="Times New Roman"/>
          <w:spacing w:val="7"/>
          <w:sz w:val="31"/>
          <w:szCs w:val="31"/>
        </w:rPr>
        <w:t>组织对</w:t>
      </w:r>
      <w:r>
        <w:rPr>
          <w:rFonts w:hint="default" w:ascii="Times New Roman" w:hAnsi="Times New Roman" w:eastAsia="仿宋" w:cs="Times New Roman"/>
          <w:spacing w:val="-40"/>
          <w:sz w:val="31"/>
          <w:szCs w:val="31"/>
        </w:rPr>
        <w:t xml:space="preserve"> </w:t>
      </w:r>
      <w:r>
        <w:rPr>
          <w:rFonts w:hint="default" w:ascii="Times New Roman" w:hAnsi="Times New Roman" w:eastAsia="仿宋" w:cs="Times New Roman"/>
          <w:spacing w:val="-40"/>
          <w:sz w:val="31"/>
          <w:szCs w:val="31"/>
        </w:rPr>
        <w:t>4个</w:t>
      </w:r>
      <w:r>
        <w:rPr>
          <w:rFonts w:hint="default" w:ascii="Times New Roman" w:hAnsi="Times New Roman" w:eastAsia="仿宋" w:cs="Times New Roman"/>
          <w:spacing w:val="7"/>
          <w:sz w:val="31"/>
          <w:szCs w:val="31"/>
        </w:rPr>
        <w:t>项目</w:t>
      </w:r>
      <w:r>
        <w:rPr>
          <w:rFonts w:hint="default" w:ascii="Times New Roman" w:hAnsi="Times New Roman" w:eastAsia="仿宋" w:cs="Times New Roman"/>
          <w:spacing w:val="7"/>
          <w:sz w:val="31"/>
          <w:szCs w:val="31"/>
          <w:lang w:eastAsia="zh-CN"/>
        </w:rPr>
        <w:t>（</w:t>
      </w:r>
      <w:r>
        <w:rPr>
          <w:rFonts w:hint="default" w:ascii="Times New Roman" w:hAnsi="Times New Roman" w:eastAsia="仿宋" w:cs="Times New Roman"/>
          <w:spacing w:val="7"/>
          <w:sz w:val="31"/>
          <w:szCs w:val="31"/>
          <w:lang w:val="en-US" w:eastAsia="zh-CN"/>
        </w:rPr>
        <w:t>即</w:t>
      </w:r>
      <w:r>
        <w:rPr>
          <w:rFonts w:hint="default" w:ascii="Times New Roman" w:hAnsi="Times New Roman" w:eastAsia="仿宋" w:cs="Times New Roman"/>
          <w:spacing w:val="7"/>
          <w:sz w:val="31"/>
          <w:szCs w:val="31"/>
        </w:rPr>
        <w:t>未成年保护经费</w:t>
      </w:r>
      <w:r>
        <w:rPr>
          <w:rFonts w:hint="default" w:ascii="Times New Roman" w:hAnsi="Times New Roman" w:eastAsia="仿宋" w:cs="Times New Roman"/>
          <w:spacing w:val="7"/>
          <w:sz w:val="31"/>
          <w:szCs w:val="31"/>
        </w:rPr>
        <w:t>、</w:t>
      </w:r>
      <w:r>
        <w:rPr>
          <w:rFonts w:hint="default" w:ascii="Times New Roman" w:hAnsi="Times New Roman" w:eastAsia="仿宋" w:cs="Times New Roman"/>
          <w:spacing w:val="9"/>
          <w:sz w:val="31"/>
          <w:szCs w:val="31"/>
        </w:rPr>
        <w:t>救助人员生活保障经费</w:t>
      </w:r>
      <w:r>
        <w:rPr>
          <w:rFonts w:hint="default" w:ascii="Times New Roman" w:hAnsi="Times New Roman" w:eastAsia="仿宋" w:cs="Times New Roman"/>
          <w:spacing w:val="9"/>
          <w:sz w:val="31"/>
          <w:szCs w:val="31"/>
        </w:rPr>
        <w:t>、物业维修维护费，</w:t>
      </w:r>
      <w:r>
        <w:rPr>
          <w:rFonts w:hint="default" w:ascii="Times New Roman" w:hAnsi="Times New Roman" w:eastAsia="仿宋" w:cs="Times New Roman"/>
          <w:spacing w:val="10"/>
          <w:sz w:val="31"/>
          <w:szCs w:val="31"/>
        </w:rPr>
        <w:t>困难群众救助</w:t>
      </w:r>
      <w:r>
        <w:rPr>
          <w:rFonts w:hint="default" w:ascii="Times New Roman" w:hAnsi="Times New Roman" w:eastAsia="仿宋" w:cs="Times New Roman"/>
          <w:spacing w:val="10"/>
          <w:sz w:val="31"/>
          <w:szCs w:val="31"/>
          <w:lang w:val="en-US" w:eastAsia="zh-CN"/>
        </w:rPr>
        <w:t>补助</w:t>
      </w:r>
      <w:r>
        <w:rPr>
          <w:rFonts w:hint="default" w:ascii="Times New Roman" w:hAnsi="Times New Roman" w:eastAsia="仿宋" w:cs="Times New Roman"/>
          <w:spacing w:val="10"/>
          <w:sz w:val="31"/>
          <w:szCs w:val="31"/>
        </w:rPr>
        <w:t>资金</w:t>
      </w:r>
      <w:r>
        <w:rPr>
          <w:rFonts w:hint="default" w:ascii="Times New Roman" w:hAnsi="Times New Roman" w:eastAsia="仿宋" w:cs="Times New Roman"/>
          <w:spacing w:val="10"/>
          <w:sz w:val="31"/>
          <w:szCs w:val="31"/>
          <w:lang w:eastAsia="zh-CN"/>
        </w:rPr>
        <w:t>）</w:t>
      </w:r>
      <w:r>
        <w:rPr>
          <w:rFonts w:hint="default" w:ascii="Times New Roman" w:hAnsi="Times New Roman" w:eastAsia="仿宋" w:cs="Times New Roman"/>
          <w:spacing w:val="10"/>
          <w:sz w:val="31"/>
          <w:szCs w:val="31"/>
        </w:rPr>
        <w:t>开展了</w:t>
      </w:r>
      <w:r>
        <w:rPr>
          <w:rFonts w:hint="default" w:ascii="Times New Roman" w:hAnsi="Times New Roman" w:eastAsia="仿宋" w:cs="Times New Roman"/>
          <w:spacing w:val="9"/>
          <w:sz w:val="31"/>
          <w:szCs w:val="31"/>
        </w:rPr>
        <w:t>预算事前绩效</w:t>
      </w:r>
      <w:r>
        <w:rPr>
          <w:rFonts w:hint="default" w:ascii="Times New Roman" w:hAnsi="Times New Roman" w:eastAsia="仿宋" w:cs="Times New Roman"/>
          <w:spacing w:val="7"/>
          <w:sz w:val="31"/>
          <w:szCs w:val="31"/>
        </w:rPr>
        <w:t>评估，对</w:t>
      </w:r>
      <w:r>
        <w:rPr>
          <w:rFonts w:hint="default" w:ascii="Times New Roman" w:hAnsi="Times New Roman" w:eastAsia="仿宋" w:cs="Times New Roman"/>
          <w:spacing w:val="-39"/>
          <w:sz w:val="31"/>
          <w:szCs w:val="31"/>
        </w:rPr>
        <w:t xml:space="preserve"> </w:t>
      </w:r>
      <w:r>
        <w:rPr>
          <w:rFonts w:hint="default" w:ascii="Times New Roman" w:hAnsi="Times New Roman" w:eastAsia="仿宋" w:cs="Times New Roman"/>
          <w:spacing w:val="-39"/>
          <w:sz w:val="31"/>
          <w:szCs w:val="31"/>
        </w:rPr>
        <w:t>4</w:t>
      </w:r>
      <w:r>
        <w:rPr>
          <w:rFonts w:hint="default" w:ascii="Times New Roman" w:hAnsi="Times New Roman" w:eastAsia="仿宋" w:cs="Times New Roman"/>
          <w:spacing w:val="-60"/>
          <w:sz w:val="31"/>
          <w:szCs w:val="31"/>
        </w:rPr>
        <w:t xml:space="preserve"> </w:t>
      </w:r>
      <w:r>
        <w:rPr>
          <w:rFonts w:hint="default" w:ascii="Times New Roman" w:hAnsi="Times New Roman" w:eastAsia="仿宋" w:cs="Times New Roman"/>
          <w:spacing w:val="7"/>
          <w:sz w:val="31"/>
          <w:szCs w:val="31"/>
        </w:rPr>
        <w:t>个项目编制了绩效目标，预算执行过程中，选取</w:t>
      </w:r>
      <w:r>
        <w:rPr>
          <w:rFonts w:hint="default" w:ascii="Times New Roman" w:hAnsi="Times New Roman" w:eastAsia="仿宋" w:cs="Times New Roman"/>
          <w:spacing w:val="7"/>
          <w:sz w:val="31"/>
          <w:szCs w:val="31"/>
        </w:rPr>
        <w:t>4</w:t>
      </w:r>
      <w:r>
        <w:rPr>
          <w:rFonts w:hint="default" w:ascii="Times New Roman" w:hAnsi="Times New Roman" w:eastAsia="仿宋" w:cs="Times New Roman"/>
          <w:spacing w:val="8"/>
          <w:sz w:val="31"/>
          <w:szCs w:val="31"/>
        </w:rPr>
        <w:t>个项目开展绩效监控，组织对</w:t>
      </w:r>
      <w:r>
        <w:rPr>
          <w:rFonts w:hint="default" w:ascii="Times New Roman" w:hAnsi="Times New Roman" w:eastAsia="仿宋" w:cs="Times New Roman"/>
          <w:spacing w:val="8"/>
          <w:sz w:val="31"/>
          <w:szCs w:val="31"/>
        </w:rPr>
        <w:t>4</w:t>
      </w:r>
      <w:r>
        <w:rPr>
          <w:rFonts w:hint="default" w:ascii="Times New Roman" w:hAnsi="Times New Roman" w:eastAsia="仿宋" w:cs="Times New Roman"/>
          <w:spacing w:val="8"/>
          <w:sz w:val="31"/>
          <w:szCs w:val="31"/>
        </w:rPr>
        <w:t>个项目开展绩效自评，绩</w:t>
      </w:r>
      <w:r>
        <w:rPr>
          <w:rFonts w:hint="default" w:ascii="Times New Roman" w:hAnsi="Times New Roman" w:eastAsia="仿宋" w:cs="Times New Roman"/>
          <w:spacing w:val="7"/>
          <w:sz w:val="31"/>
          <w:szCs w:val="31"/>
        </w:rPr>
        <w:t>效自评表详见第四部分附件。</w:t>
      </w:r>
    </w:p>
    <w:p w14:paraId="1B6DCEC6">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yellow"/>
          <w:lang w:val="en-US" w:eastAsia="zh-CN" w:bidi="ar-SA"/>
        </w:rPr>
      </w:pPr>
    </w:p>
    <w:p w14:paraId="61B44BB9">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043114DC">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2ACD90F1">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500C623B">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3653A255">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7CDF1299">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4714374E">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2433500A">
      <w:pPr>
        <w:pageBreakBefore w:val="0"/>
        <w:numPr>
          <w:ilvl w:val="0"/>
          <w:numId w:val="0"/>
        </w:numPr>
        <w:kinsoku/>
        <w:overflowPunct/>
        <w:topLinePunct w:val="0"/>
        <w:bidi w:val="0"/>
        <w:spacing w:line="560" w:lineRule="atLeast"/>
        <w:jc w:val="center"/>
        <w:textAlignment w:val="auto"/>
        <w:outlineLvl w:val="0"/>
        <w:rPr>
          <w:rFonts w:hint="default" w:ascii="Times New Roman" w:hAnsi="Times New Roman" w:eastAsia="方正小标宋简体" w:cs="Times New Roman"/>
          <w:color w:val="auto"/>
          <w:sz w:val="44"/>
          <w:szCs w:val="44"/>
          <w:highlight w:val="none"/>
        </w:rPr>
      </w:pPr>
      <w:bookmarkStart w:id="67" w:name="_Toc15396613"/>
      <w:bookmarkStart w:id="68" w:name="_Toc99"/>
      <w:bookmarkStart w:id="69" w:name="_Toc15377225"/>
      <w:r>
        <w:rPr>
          <w:rFonts w:hint="default" w:ascii="Times New Roman" w:hAnsi="Times New Roman" w:eastAsia="方正小标宋简体" w:cs="Times New Roman"/>
          <w:color w:val="auto"/>
          <w:sz w:val="44"/>
          <w:szCs w:val="44"/>
          <w:highlight w:val="none"/>
        </w:rPr>
        <w:t>第</w:t>
      </w:r>
      <w:r>
        <w:rPr>
          <w:rFonts w:hint="default" w:ascii="Times New Roman" w:hAnsi="Times New Roman" w:eastAsia="方正小标宋简体" w:cs="Times New Roman"/>
          <w:color w:val="auto"/>
          <w:sz w:val="44"/>
          <w:szCs w:val="44"/>
          <w:highlight w:val="none"/>
          <w:lang w:eastAsia="zh-CN"/>
        </w:rPr>
        <w:t>三</w:t>
      </w:r>
      <w:r>
        <w:rPr>
          <w:rFonts w:hint="default" w:ascii="Times New Roman" w:hAnsi="Times New Roman" w:eastAsia="方正小标宋简体" w:cs="Times New Roman"/>
          <w:color w:val="auto"/>
          <w:sz w:val="44"/>
          <w:szCs w:val="44"/>
          <w:highlight w:val="none"/>
        </w:rPr>
        <w:t>部分</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rPr>
        <w:t>名词解释</w:t>
      </w:r>
      <w:bookmarkEnd w:id="67"/>
      <w:bookmarkEnd w:id="68"/>
      <w:bookmarkEnd w:id="69"/>
    </w:p>
    <w:p w14:paraId="6BF88DDD">
      <w:pPr>
        <w:pageBreakBefore w:val="0"/>
        <w:kinsoku/>
        <w:overflowPunct/>
        <w:topLinePunct w:val="0"/>
        <w:bidi w:val="0"/>
        <w:spacing w:line="560" w:lineRule="atLeast"/>
        <w:jc w:val="left"/>
        <w:textAlignment w:val="auto"/>
        <w:rPr>
          <w:rFonts w:hint="default" w:ascii="Times New Roman" w:hAnsi="Times New Roman" w:cs="Times New Roman"/>
          <w:b/>
          <w:color w:val="auto"/>
          <w:sz w:val="44"/>
          <w:szCs w:val="44"/>
          <w:highlight w:val="none"/>
        </w:rPr>
      </w:pPr>
    </w:p>
    <w:p w14:paraId="32DC4603">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1.财政拨款收入：</w:t>
      </w:r>
      <w:r>
        <w:rPr>
          <w:rFonts w:hint="default" w:ascii="Times New Roman" w:hAnsi="Times New Roman" w:eastAsia="仿宋_GB2312" w:cs="Times New Roman"/>
          <w:color w:val="auto"/>
          <w:kern w:val="2"/>
          <w:sz w:val="32"/>
          <w:szCs w:val="32"/>
          <w:highlight w:val="none"/>
          <w:lang w:val="en-US" w:eastAsia="zh-CN" w:bidi="ar-SA"/>
        </w:rPr>
        <w:t>指单位从同级财政部门取得的财政预算资金。</w:t>
      </w:r>
    </w:p>
    <w:p w14:paraId="6918E454">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2.事业收入：</w:t>
      </w:r>
      <w:r>
        <w:rPr>
          <w:rFonts w:hint="default" w:ascii="Times New Roman" w:hAnsi="Times New Roman" w:eastAsia="仿宋_GB2312" w:cs="Times New Roman"/>
          <w:color w:val="auto"/>
          <w:kern w:val="2"/>
          <w:sz w:val="32"/>
          <w:szCs w:val="32"/>
          <w:highlight w:val="none"/>
          <w:lang w:val="en-US" w:eastAsia="zh-CN" w:bidi="ar-SA"/>
        </w:rPr>
        <w:t>指事业单位开展专业业务活动及辅助活动取得的收入。如……（二级预算单位事业收入情况）等。</w:t>
      </w:r>
    </w:p>
    <w:p w14:paraId="566A4B44">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3.经营收入：</w:t>
      </w:r>
      <w:r>
        <w:rPr>
          <w:rFonts w:hint="default" w:ascii="Times New Roman" w:hAnsi="Times New Roman" w:eastAsia="仿宋_GB2312" w:cs="Times New Roman"/>
          <w:color w:val="auto"/>
          <w:kern w:val="2"/>
          <w:sz w:val="32"/>
          <w:szCs w:val="32"/>
          <w:highlight w:val="none"/>
          <w:lang w:val="en-US" w:eastAsia="zh-CN" w:bidi="ar-SA"/>
        </w:rPr>
        <w:t>指事业单位在专业业务活动及其辅助活动之外开展非独立核算经营活动取得的收入。如……（二级预算单位经营收入情况）等。</w:t>
      </w:r>
    </w:p>
    <w:p w14:paraId="5D73CE43">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4.其他收入：</w:t>
      </w:r>
      <w:r>
        <w:rPr>
          <w:rFonts w:hint="default" w:ascii="Times New Roman" w:hAnsi="Times New Roman" w:eastAsia="仿宋_GB2312" w:cs="Times New Roman"/>
          <w:color w:val="auto"/>
          <w:kern w:val="2"/>
          <w:sz w:val="32"/>
          <w:szCs w:val="32"/>
          <w:highlight w:val="none"/>
          <w:lang w:val="en-US" w:eastAsia="zh-CN" w:bidi="ar-SA"/>
        </w:rPr>
        <w:t xml:space="preserve">指单位取得的除上述收入以外的各项收入。 </w:t>
      </w:r>
    </w:p>
    <w:p w14:paraId="794747BE">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5.使用非财政拨款结余（含专用结余）：</w:t>
      </w:r>
      <w:r>
        <w:rPr>
          <w:rFonts w:hint="default" w:ascii="Times New Roman" w:hAnsi="Times New Roman" w:eastAsia="仿宋_GB2312" w:cs="Times New Roman"/>
          <w:color w:val="auto"/>
          <w:kern w:val="2"/>
          <w:sz w:val="32"/>
          <w:szCs w:val="32"/>
          <w:highlight w:val="none"/>
          <w:lang w:val="en-US" w:eastAsia="zh-CN" w:bidi="ar-SA"/>
        </w:rPr>
        <w:t xml:space="preserve">指事业单位使用以前年度积累的非财政拨款结余弥补当年收支差额的金额。 </w:t>
      </w:r>
    </w:p>
    <w:p w14:paraId="2791981C">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6.年初结转和结余：</w:t>
      </w:r>
      <w:r>
        <w:rPr>
          <w:rFonts w:hint="default" w:ascii="Times New Roman" w:hAnsi="Times New Roman" w:eastAsia="仿宋_GB2312" w:cs="Times New Roman"/>
          <w:color w:val="auto"/>
          <w:kern w:val="2"/>
          <w:sz w:val="32"/>
          <w:szCs w:val="32"/>
          <w:highlight w:val="none"/>
          <w:lang w:val="en-US" w:eastAsia="zh-CN" w:bidi="ar-SA"/>
        </w:rPr>
        <w:t xml:space="preserve">指以前年度尚未完成、结转到本年按有关规定继续使用的资金。 </w:t>
      </w:r>
    </w:p>
    <w:p w14:paraId="7CA8768D">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7.结余分配：</w:t>
      </w:r>
      <w:r>
        <w:rPr>
          <w:rFonts w:hint="default" w:ascii="Times New Roman" w:hAnsi="Times New Roman" w:eastAsia="仿宋_GB2312" w:cs="Times New Roman"/>
          <w:color w:val="auto"/>
          <w:kern w:val="2"/>
          <w:sz w:val="32"/>
          <w:szCs w:val="32"/>
          <w:highlight w:val="none"/>
          <w:lang w:val="en-US" w:eastAsia="zh-CN" w:bidi="ar-SA"/>
        </w:rPr>
        <w:t>指事业单位按照会计制度规定缴纳的所得税、提取的专用结余以及转入非财政拨款结余的金额等。</w:t>
      </w:r>
    </w:p>
    <w:p w14:paraId="72ECD20E">
      <w:pPr>
        <w:pageBreakBefore w:val="0"/>
        <w:kinsoku/>
        <w:overflowPunct/>
        <w:topLinePunct w:val="0"/>
        <w:bidi w:val="0"/>
        <w:spacing w:line="560" w:lineRule="atLeas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8.年末结转和结余：</w:t>
      </w:r>
      <w:r>
        <w:rPr>
          <w:rFonts w:hint="default" w:ascii="Times New Roman" w:hAnsi="Times New Roman" w:eastAsia="仿宋_GB2312" w:cs="Times New Roman"/>
          <w:color w:val="auto"/>
          <w:kern w:val="2"/>
          <w:sz w:val="32"/>
          <w:szCs w:val="32"/>
          <w:highlight w:val="none"/>
          <w:lang w:val="en-US" w:eastAsia="zh-CN" w:bidi="ar-SA"/>
        </w:rPr>
        <w:t>指单位按有关规定结转到下年或以后年度继续使用的资金。</w:t>
      </w:r>
    </w:p>
    <w:p w14:paraId="629258FA">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9.</w:t>
      </w:r>
      <w:r>
        <w:rPr>
          <w:rFonts w:hint="default" w:ascii="Times New Roman" w:hAnsi="Times New Roman" w:eastAsia="仿宋_GB2312" w:cs="Times New Roman"/>
          <w:color w:val="auto"/>
          <w:kern w:val="0"/>
          <w:sz w:val="32"/>
          <w:szCs w:val="32"/>
          <w:lang w:val="en-US" w:eastAsia="zh-CN" w:bidi="ar-SA"/>
        </w:rPr>
        <w:t>社会保障和就业208（类）05（款）05（项）机关事业单位基本养老保险缴费支出：指反映机关事业单位实施养老保险制度由单位缴纳的基本养老保险费支出。</w:t>
      </w:r>
    </w:p>
    <w:p w14:paraId="5AB3B512">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10.</w:t>
      </w:r>
      <w:r>
        <w:rPr>
          <w:rFonts w:hint="default" w:ascii="Times New Roman" w:hAnsi="Times New Roman" w:eastAsia="仿宋_GB2312" w:cs="Times New Roman"/>
          <w:color w:val="auto"/>
          <w:kern w:val="0"/>
          <w:sz w:val="32"/>
          <w:szCs w:val="32"/>
          <w:lang w:val="en-US" w:eastAsia="zh-CN" w:bidi="ar-SA"/>
        </w:rPr>
        <w:t>社会保障和就业208（类）05（款）06（项）机关事业单位职业年金缴费支出：指反映机关事业单位实施养老保险制度由单位缴纳的职业年金支出。</w:t>
      </w:r>
    </w:p>
    <w:p w14:paraId="6421B6B8">
      <w:pPr>
        <w:pStyle w:val="28"/>
        <w:pageBreakBefore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11.</w:t>
      </w:r>
      <w:r>
        <w:rPr>
          <w:rFonts w:hint="default" w:ascii="Times New Roman" w:hAnsi="Times New Roman" w:eastAsia="仿宋_GB2312" w:cs="Times New Roman"/>
          <w:color w:val="auto"/>
          <w:kern w:val="0"/>
          <w:sz w:val="32"/>
          <w:szCs w:val="32"/>
          <w:lang w:val="en-US" w:eastAsia="zh-CN" w:bidi="ar-SA"/>
        </w:rPr>
        <w:t>卫生健康支出210（类）行政事业单位医疗11（款）行政单位医疗02（项）:指财政部门集中安排的事业人员基本医疗保险缴费经费，未参加医疗保险的行政单位的公费医疗经费，按国家规定享受离休人员、红军老战士待遇人员的医疗经费。</w:t>
      </w:r>
    </w:p>
    <w:p w14:paraId="2C9E7CAB">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12.</w:t>
      </w:r>
      <w:r>
        <w:rPr>
          <w:rFonts w:hint="default" w:ascii="Times New Roman" w:hAnsi="Times New Roman" w:eastAsia="仿宋_GB2312" w:cs="Times New Roman"/>
          <w:color w:val="auto"/>
          <w:kern w:val="0"/>
          <w:sz w:val="32"/>
          <w:szCs w:val="32"/>
          <w:lang w:val="en-US" w:eastAsia="zh-CN" w:bidi="ar-SA"/>
        </w:rPr>
        <w:t>卫生健康支出210（类）行政事业单位医疗11（款）其他行政事业单位医疗支出99（项）：其他用于行政事业单位医疗方面的支出。</w:t>
      </w:r>
    </w:p>
    <w:p w14:paraId="0D8508F4">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13.</w:t>
      </w:r>
      <w:r>
        <w:rPr>
          <w:rFonts w:hint="default" w:ascii="Times New Roman" w:hAnsi="Times New Roman" w:eastAsia="仿宋_GB2312" w:cs="Times New Roman"/>
          <w:color w:val="auto"/>
          <w:kern w:val="0"/>
          <w:sz w:val="32"/>
          <w:szCs w:val="32"/>
          <w:lang w:val="en-US" w:eastAsia="zh-CN" w:bidi="ar-SA"/>
        </w:rPr>
        <w:t>住房保障（类）221（款）02（项）01：指反映行政事业单位按人力资源和社会保障部、财政部规定的基本工资和津贴补贴以及规定比例为职工缴纳的住房公积金。</w:t>
      </w:r>
    </w:p>
    <w:p w14:paraId="1238277E">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14.基本支出：</w:t>
      </w:r>
      <w:r>
        <w:rPr>
          <w:rFonts w:hint="default" w:ascii="Times New Roman" w:hAnsi="Times New Roman" w:eastAsia="仿宋_GB2312" w:cs="Times New Roman"/>
          <w:color w:val="auto"/>
          <w:kern w:val="0"/>
          <w:sz w:val="32"/>
          <w:szCs w:val="32"/>
          <w:lang w:val="en-US" w:eastAsia="zh-CN" w:bidi="ar-SA"/>
        </w:rPr>
        <w:t>指为保障机构正常运转、完成日常工作任务而发生的人员支出和公用支出。</w:t>
      </w:r>
    </w:p>
    <w:p w14:paraId="4167985A">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15.项目支出：</w:t>
      </w:r>
      <w:r>
        <w:rPr>
          <w:rFonts w:hint="default" w:ascii="Times New Roman" w:hAnsi="Times New Roman" w:eastAsia="仿宋_GB2312" w:cs="Times New Roman"/>
          <w:color w:val="auto"/>
          <w:kern w:val="0"/>
          <w:sz w:val="32"/>
          <w:szCs w:val="32"/>
          <w:lang w:val="en-US" w:eastAsia="zh-CN" w:bidi="ar-SA"/>
        </w:rPr>
        <w:t xml:space="preserve">指在基本支出之外为完成特定行政任务和事业发展目标所发生的支出。 </w:t>
      </w:r>
    </w:p>
    <w:p w14:paraId="15A335B1">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16.“三公”经费：</w:t>
      </w:r>
      <w:r>
        <w:rPr>
          <w:rFonts w:hint="default" w:ascii="Times New Roman" w:hAnsi="Times New Roman" w:eastAsia="仿宋_GB2312" w:cs="Times New Roman"/>
          <w:color w:val="auto"/>
          <w:kern w:val="0"/>
          <w:sz w:val="32"/>
          <w:szCs w:val="32"/>
          <w:lang w:val="en-US"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E51416E">
      <w:pPr>
        <w:keepNext w:val="0"/>
        <w:keepLines w:val="0"/>
        <w:pageBreakBefore w:val="0"/>
        <w:widowControl/>
        <w:suppressLineNumbers w:val="0"/>
        <w:kinsoku/>
        <w:overflowPunct/>
        <w:topLinePunct w:val="0"/>
        <w:bidi w:val="0"/>
        <w:spacing w:line="560" w:lineRule="atLeast"/>
        <w:ind w:firstLine="643"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b/>
          <w:bCs/>
          <w:color w:val="auto"/>
          <w:kern w:val="0"/>
          <w:sz w:val="32"/>
          <w:szCs w:val="32"/>
          <w:lang w:val="en-US" w:eastAsia="zh-CN" w:bidi="ar-SA"/>
        </w:rPr>
        <w:t>17.机关运行经费：</w:t>
      </w:r>
      <w:r>
        <w:rPr>
          <w:rFonts w:hint="default" w:ascii="Times New Roman" w:hAnsi="Times New Roman" w:eastAsia="仿宋_GB2312" w:cs="Times New Roman"/>
          <w:color w:val="auto"/>
          <w:kern w:val="0"/>
          <w:sz w:val="32"/>
          <w:szCs w:val="32"/>
          <w:lang w:val="en-US"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A3D27C">
      <w:pPr>
        <w:pageBreakBefore w:val="0"/>
        <w:kinsoku/>
        <w:overflowPunct/>
        <w:topLinePunct w:val="0"/>
        <w:bidi w:val="0"/>
        <w:spacing w:line="560" w:lineRule="atLeast"/>
        <w:jc w:val="center"/>
        <w:textAlignment w:val="auto"/>
        <w:outlineLvl w:val="0"/>
        <w:rPr>
          <w:rFonts w:hint="default" w:ascii="Times New Roman" w:hAnsi="Times New Roman" w:cs="Times New Roman"/>
        </w:rPr>
      </w:pPr>
      <w:bookmarkStart w:id="70" w:name="_Toc15377226"/>
      <w:r>
        <w:rPr>
          <w:rFonts w:hint="default" w:ascii="Times New Roman" w:hAnsi="Times New Roman" w:eastAsia="仿宋_GB2312" w:cs="Times New Roman"/>
          <w:color w:val="auto"/>
          <w:kern w:val="2"/>
          <w:sz w:val="32"/>
          <w:szCs w:val="32"/>
          <w:highlight w:val="none"/>
          <w:lang w:val="en-US" w:eastAsia="zh-CN" w:bidi="ar-SA"/>
        </w:rPr>
        <w:br w:type="page"/>
      </w:r>
      <w:bookmarkStart w:id="71" w:name="_Toc15396614"/>
      <w:bookmarkStart w:id="72" w:name="_Toc30066"/>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71"/>
      <w:bookmarkEnd w:id="72"/>
    </w:p>
    <w:p w14:paraId="5B461369">
      <w:pPr>
        <w:pageBreakBefore w:val="0"/>
        <w:kinsoku/>
        <w:overflowPunct/>
        <w:topLinePunct w:val="0"/>
        <w:bidi w:val="0"/>
        <w:snapToGrid w:val="0"/>
        <w:spacing w:line="560" w:lineRule="atLeast"/>
        <w:jc w:val="center"/>
        <w:textAlignment w:val="auto"/>
        <w:rPr>
          <w:rFonts w:hint="default" w:ascii="Times New Roman" w:hAnsi="Times New Roman" w:eastAsia="方正小标宋简体" w:cs="Times New Roman"/>
          <w:spacing w:val="-6"/>
          <w:sz w:val="44"/>
          <w:szCs w:val="44"/>
          <w:lang w:bidi="ar-SA"/>
        </w:rPr>
      </w:pPr>
      <w:r>
        <w:rPr>
          <w:rFonts w:hint="default" w:ascii="Times New Roman" w:hAnsi="Times New Roman" w:eastAsia="方正小标宋简体" w:cs="Times New Roman"/>
          <w:spacing w:val="-6"/>
          <w:sz w:val="44"/>
          <w:szCs w:val="44"/>
          <w:lang w:val="en-US" w:eastAsia="zh-CN" w:bidi="ar-SA"/>
        </w:rPr>
        <w:t>2025年</w:t>
      </w:r>
      <w:r>
        <w:rPr>
          <w:rFonts w:hint="default" w:ascii="Times New Roman" w:hAnsi="Times New Roman" w:eastAsia="方正小标宋简体" w:cs="Times New Roman"/>
          <w:spacing w:val="-6"/>
          <w:sz w:val="44"/>
          <w:szCs w:val="44"/>
          <w:lang w:bidi="ar-SA"/>
        </w:rPr>
        <w:t>阿坝州救助站部门</w:t>
      </w:r>
      <w:r>
        <w:rPr>
          <w:rFonts w:hint="default" w:ascii="Times New Roman" w:hAnsi="Times New Roman" w:eastAsia="方正小标宋简体" w:cs="Times New Roman"/>
          <w:spacing w:val="-6"/>
          <w:sz w:val="44"/>
          <w:szCs w:val="44"/>
          <w:lang w:eastAsia="zh-CN" w:bidi="ar-SA"/>
        </w:rPr>
        <w:t>预算绩效自评报告</w:t>
      </w:r>
    </w:p>
    <w:p w14:paraId="404C07E4">
      <w:pPr>
        <w:keepNext w:val="0"/>
        <w:keepLines w:val="0"/>
        <w:pageBreakBefore w:val="0"/>
        <w:widowControl/>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bidi="ar-SA"/>
        </w:rPr>
      </w:pPr>
    </w:p>
    <w:p w14:paraId="24A4D0B5">
      <w:pPr>
        <w:keepNext w:val="0"/>
        <w:keepLines w:val="0"/>
        <w:pageBreakBefore w:val="0"/>
        <w:widowControl/>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default" w:ascii="Times New Roman" w:hAnsi="Times New Roman" w:eastAsia="黑体" w:cs="Times New Roman"/>
          <w:sz w:val="32"/>
          <w:szCs w:val="32"/>
          <w:lang w:bidi="ar-SA"/>
        </w:rPr>
      </w:pPr>
      <w:r>
        <w:rPr>
          <w:rFonts w:hint="default" w:ascii="Times New Roman" w:hAnsi="Times New Roman" w:eastAsia="黑体" w:cs="Times New Roman"/>
          <w:color w:val="000000"/>
          <w:kern w:val="0"/>
          <w:sz w:val="32"/>
          <w:szCs w:val="32"/>
          <w:highlight w:val="none"/>
          <w:shd w:val="clear" w:color="auto" w:fill="FFFFFF"/>
          <w:lang w:val="zh-CN" w:eastAsia="zh-CN" w:bidi="ar-SA"/>
        </w:rPr>
        <w:t>一、部门（单位）基本情况</w:t>
      </w:r>
    </w:p>
    <w:p w14:paraId="251A6FE6">
      <w:pPr>
        <w:keepNext w:val="0"/>
        <w:keepLines w:val="0"/>
        <w:pageBreakBefore w:val="0"/>
        <w:widowControl w:val="0"/>
        <w:kinsoku/>
        <w:wordWrap/>
        <w:overflowPunct/>
        <w:topLinePunct w:val="0"/>
        <w:autoSpaceDN/>
        <w:bidi w:val="0"/>
        <w:spacing w:line="560" w:lineRule="atLeast"/>
        <w:ind w:firstLine="643" w:firstLineChars="200"/>
        <w:jc w:val="both"/>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（一）机构组成</w:t>
      </w:r>
    </w:p>
    <w:p w14:paraId="7C7F8968">
      <w:pPr>
        <w:keepNext w:val="0"/>
        <w:keepLines w:val="0"/>
        <w:pageBreakBefore w:val="0"/>
        <w:widowControl w:val="0"/>
        <w:kinsoku/>
        <w:wordWrap/>
        <w:overflowPunct/>
        <w:topLinePunct w:val="0"/>
        <w:autoSpaceDN/>
        <w:bidi w:val="0"/>
        <w:spacing w:line="560" w:lineRule="atLeast"/>
        <w:ind w:firstLine="640" w:firstLineChars="200"/>
        <w:jc w:val="both"/>
        <w:textAlignment w:val="auto"/>
        <w:rPr>
          <w:rFonts w:hint="default" w:ascii="Times New Roman" w:hAnsi="Times New Roman" w:eastAsia="仿宋_GB2312" w:cs="Times New Roman"/>
          <w:kern w:val="0"/>
          <w:sz w:val="32"/>
          <w:szCs w:val="32"/>
          <w:lang w:bidi="ar-SA"/>
        </w:rPr>
      </w:pPr>
      <w:r>
        <w:rPr>
          <w:rFonts w:hint="default" w:ascii="Times New Roman" w:hAnsi="Times New Roman" w:eastAsia="仿宋_GB2312" w:cs="Times New Roman"/>
          <w:sz w:val="32"/>
          <w:szCs w:val="32"/>
          <w:lang w:eastAsia="zh-CN" w:bidi="ar-SA"/>
        </w:rPr>
        <w:t>阿坝州救助站为阿坝州</w:t>
      </w:r>
      <w:r>
        <w:rPr>
          <w:rFonts w:hint="default" w:ascii="Times New Roman" w:hAnsi="Times New Roman" w:eastAsia="仿宋_GB2312" w:cs="Times New Roman"/>
          <w:sz w:val="32"/>
          <w:szCs w:val="32"/>
          <w:lang w:val="en-US" w:eastAsia="zh-CN" w:bidi="ar-SA"/>
        </w:rPr>
        <w:t>民政局所属公益一类事业单位，不具备行政职能，</w:t>
      </w:r>
      <w:r>
        <w:rPr>
          <w:rFonts w:hint="default" w:ascii="Times New Roman" w:hAnsi="Times New Roman" w:eastAsia="仿宋_GB2312" w:cs="Times New Roman"/>
          <w:kern w:val="0"/>
          <w:sz w:val="32"/>
          <w:szCs w:val="32"/>
          <w:lang w:bidi="ar-SA"/>
        </w:rPr>
        <w:t>其中内设机构4个分别是：办公室、财务室、业务室、后勤室。</w:t>
      </w:r>
    </w:p>
    <w:p w14:paraId="3B1143DF">
      <w:pPr>
        <w:keepNext w:val="0"/>
        <w:keepLines w:val="0"/>
        <w:pageBreakBefore w:val="0"/>
        <w:widowControl w:val="0"/>
        <w:kinsoku/>
        <w:wordWrap/>
        <w:overflowPunct/>
        <w:topLinePunct w:val="0"/>
        <w:autoSpaceDN/>
        <w:bidi w:val="0"/>
        <w:spacing w:line="560" w:lineRule="atLeas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（二）机构职能</w:t>
      </w:r>
    </w:p>
    <w:p w14:paraId="03079592">
      <w:pPr>
        <w:pageBreakBefore w:val="0"/>
        <w:kinsoku/>
        <w:overflowPunct/>
        <w:topLinePunct w:val="0"/>
        <w:bidi w:val="0"/>
        <w:spacing w:line="560" w:lineRule="atLeast"/>
        <w:ind w:firstLine="640" w:firstLineChars="200"/>
        <w:textAlignment w:val="auto"/>
        <w:rPr>
          <w:rFonts w:hint="default" w:ascii="Times New Roman" w:hAnsi="Times New Roman" w:eastAsia="仿宋_GB2312" w:cs="Times New Roman"/>
          <w:b/>
          <w:bCs/>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auto"/>
          <w:kern w:val="2"/>
          <w:sz w:val="32"/>
          <w:szCs w:val="32"/>
          <w:highlight w:val="none"/>
          <w:lang w:val="en-US" w:eastAsia="zh-CN" w:bidi="ar-SA"/>
        </w:rPr>
        <w:t>根据《关于同意阿坝州收容遗送站更名的批复》阿编发[2003]51 号文件和《关于对救助站等三个单位重新核定机构编制和领导职数的通知》阿编发[2005]94 号文件规定，阿坝州救助站是负责对在城市生活无着的</w:t>
      </w:r>
      <w:r>
        <w:rPr>
          <w:rFonts w:hint="default" w:ascii="Times New Roman" w:hAnsi="Times New Roman" w:eastAsia="仿宋_GB2312" w:cs="Times New Roman"/>
          <w:color w:val="auto"/>
          <w:kern w:val="2"/>
          <w:sz w:val="32"/>
          <w:szCs w:val="32"/>
          <w:highlight w:val="none"/>
          <w:lang w:eastAsia="zh-CN" w:bidi="ar-SA"/>
        </w:rPr>
        <w:t>流浪乞讨人员</w:t>
      </w:r>
      <w:r>
        <w:rPr>
          <w:rFonts w:hint="default" w:ascii="Times New Roman" w:hAnsi="Times New Roman" w:eastAsia="仿宋_GB2312" w:cs="Times New Roman"/>
          <w:color w:val="auto"/>
          <w:kern w:val="2"/>
          <w:sz w:val="32"/>
          <w:szCs w:val="32"/>
          <w:highlight w:val="none"/>
          <w:lang w:val="en-US" w:eastAsia="zh-CN" w:bidi="ar-SA"/>
        </w:rPr>
        <w:t>实行救助，保障其基本生活权益，完善社会救助制度的机构。主要职责是：对属于救助对象的求助人员，应当及时提供救助：提供符合食品卫生要求的食物；提供符合基本条件的住处；对在站内突发急病的，及时送医院救治；帮助与其亲属或者所在单位联系；对没有交通费返回其住所地或者所在单位的，提供乘车凭证。上级民政部门交办的其它事项。</w:t>
      </w:r>
    </w:p>
    <w:p w14:paraId="012B151B">
      <w:pPr>
        <w:keepNext w:val="0"/>
        <w:keepLines w:val="0"/>
        <w:pageBreakBefore w:val="0"/>
        <w:widowControl w:val="0"/>
        <w:kinsoku/>
        <w:wordWrap/>
        <w:overflowPunct/>
        <w:topLinePunct w:val="0"/>
        <w:autoSpaceDN/>
        <w:bidi w:val="0"/>
        <w:spacing w:line="560" w:lineRule="atLeast"/>
        <w:ind w:firstLine="643" w:firstLineChars="200"/>
        <w:jc w:val="both"/>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（三）人员概况</w:t>
      </w:r>
    </w:p>
    <w:p w14:paraId="19C22D02">
      <w:pPr>
        <w:keepNext w:val="0"/>
        <w:keepLines w:val="0"/>
        <w:pageBreakBefore w:val="0"/>
        <w:widowControl w:val="0"/>
        <w:kinsoku/>
        <w:wordWrap/>
        <w:overflowPunct/>
        <w:topLinePunct w:val="0"/>
        <w:autoSpaceDN/>
        <w:bidi w:val="0"/>
        <w:spacing w:line="560" w:lineRule="atLeast"/>
        <w:ind w:left="0" w:firstLine="480" w:firstLineChars="150"/>
        <w:jc w:val="both"/>
        <w:textAlignment w:val="auto"/>
        <w:rPr>
          <w:rFonts w:hint="default" w:ascii="Times New Roman" w:hAnsi="Times New Roman" w:eastAsia="仿宋_GB2312" w:cs="Times New Roman"/>
          <w:sz w:val="32"/>
          <w:szCs w:val="32"/>
          <w:lang w:eastAsia="zh-CN" w:bidi="ar-SA"/>
        </w:rPr>
      </w:pPr>
      <w:r>
        <w:rPr>
          <w:rFonts w:hint="default" w:ascii="Times New Roman" w:hAnsi="Times New Roman" w:eastAsia="仿宋_GB2312" w:cs="Times New Roman"/>
          <w:sz w:val="32"/>
          <w:szCs w:val="32"/>
          <w:lang w:eastAsia="zh-CN" w:bidi="ar-SA"/>
        </w:rPr>
        <w:t>阿坝州救助站</w:t>
      </w:r>
      <w:r>
        <w:rPr>
          <w:rFonts w:hint="default" w:ascii="Times New Roman" w:hAnsi="Times New Roman" w:eastAsia="仿宋_GB2312" w:cs="Times New Roman"/>
          <w:sz w:val="32"/>
          <w:szCs w:val="32"/>
          <w:lang w:val="en-US" w:eastAsia="zh-CN" w:bidi="ar-SA"/>
        </w:rPr>
        <w:t>事业编制数10名，其中正科级领导职数2（其中主任科员1名）名，副科级领导职数2名（其中副主任科员1名），管理岗工作人员2名，工勤技能岗</w:t>
      </w:r>
      <w:r>
        <w:rPr>
          <w:rFonts w:hint="default" w:ascii="Times New Roman" w:hAnsi="Times New Roman" w:eastAsia="仿宋_GB2312" w:cs="Times New Roman"/>
          <w:sz w:val="32"/>
          <w:szCs w:val="32"/>
          <w:lang w:eastAsia="zh-CN" w:bidi="ar-SA"/>
        </w:rPr>
        <w:t>2</w:t>
      </w:r>
      <w:r>
        <w:rPr>
          <w:rFonts w:hint="default" w:ascii="Times New Roman" w:hAnsi="Times New Roman" w:eastAsia="仿宋_GB2312" w:cs="Times New Roman"/>
          <w:sz w:val="32"/>
          <w:szCs w:val="32"/>
          <w:lang w:val="en-US" w:eastAsia="zh-CN" w:bidi="ar-SA"/>
        </w:rPr>
        <w:t>名。</w:t>
      </w:r>
      <w:r>
        <w:rPr>
          <w:rFonts w:hint="default" w:ascii="Times New Roman" w:hAnsi="Times New Roman" w:eastAsia="仿宋_GB2312" w:cs="Times New Roman"/>
          <w:sz w:val="32"/>
          <w:szCs w:val="32"/>
          <w:lang w:eastAsia="zh-CN" w:bidi="ar-SA"/>
        </w:rPr>
        <w:t>退休人员2名，年末实有人数为8人。</w:t>
      </w:r>
    </w:p>
    <w:p w14:paraId="313934AE">
      <w:pPr>
        <w:keepNext w:val="0"/>
        <w:keepLines w:val="0"/>
        <w:pageBreakBefore w:val="0"/>
        <w:widowControl/>
        <w:numPr>
          <w:ilvl w:val="0"/>
          <w:numId w:val="1"/>
        </w:numPr>
        <w:kinsoku/>
        <w:wordWrap/>
        <w:overflowPunct/>
        <w:topLinePunct w:val="0"/>
        <w:autoSpaceDE/>
        <w:autoSpaceDN/>
        <w:bidi w:val="0"/>
        <w:adjustRightInd w:val="0"/>
        <w:snapToGrid w:val="0"/>
        <w:spacing w:line="560" w:lineRule="atLeast"/>
        <w:ind w:left="0" w:firstLine="640" w:firstLineChars="200"/>
        <w:contextualSpacing/>
        <w:textAlignment w:val="auto"/>
        <w:rPr>
          <w:rFonts w:hint="default" w:ascii="Times New Roman" w:hAnsi="Times New Roman" w:eastAsia="黑体" w:cs="Times New Roman"/>
          <w:color w:val="000000"/>
          <w:kern w:val="0"/>
          <w:sz w:val="32"/>
          <w:szCs w:val="32"/>
          <w:shd w:val="clear" w:color="auto" w:fill="FFFFFF"/>
          <w:lang w:bidi="ar-SA"/>
        </w:rPr>
      </w:pPr>
      <w:r>
        <w:rPr>
          <w:rFonts w:hint="default" w:ascii="Times New Roman" w:hAnsi="Times New Roman" w:eastAsia="黑体" w:cs="Times New Roman"/>
          <w:color w:val="000000"/>
          <w:kern w:val="0"/>
          <w:sz w:val="32"/>
          <w:szCs w:val="32"/>
          <w:highlight w:val="none"/>
          <w:shd w:val="clear" w:color="auto" w:fill="FFFFFF"/>
          <w:lang w:eastAsia="zh-CN" w:bidi="ar-SA"/>
        </w:rPr>
        <w:t>部门</w:t>
      </w:r>
      <w:r>
        <w:rPr>
          <w:rFonts w:hint="default" w:ascii="Times New Roman" w:hAnsi="Times New Roman" w:eastAsia="黑体" w:cs="Times New Roman"/>
          <w:color w:val="000000"/>
          <w:kern w:val="0"/>
          <w:sz w:val="32"/>
          <w:szCs w:val="32"/>
          <w:highlight w:val="none"/>
          <w:shd w:val="clear" w:color="auto" w:fill="FFFFFF"/>
          <w:lang w:bidi="ar-SA"/>
        </w:rPr>
        <w:t>资金收支情况</w:t>
      </w:r>
    </w:p>
    <w:p w14:paraId="6F489790">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textAlignment w:val="auto"/>
        <w:rPr>
          <w:rFonts w:hint="default" w:ascii="Times New Roman" w:hAnsi="Times New Roman" w:eastAsia="黑体" w:cs="Times New Roman"/>
          <w:color w:val="000000"/>
          <w:kern w:val="0"/>
          <w:sz w:val="32"/>
          <w:szCs w:val="32"/>
          <w:shd w:val="clear" w:color="auto" w:fill="FFFFFF"/>
          <w:lang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（一）收入情况</w:t>
      </w:r>
    </w:p>
    <w:p w14:paraId="64256CBF">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kern w:val="0"/>
          <w:sz w:val="32"/>
          <w:szCs w:val="32"/>
          <w:lang w:bidi="ar-SA"/>
        </w:rPr>
      </w:pPr>
      <w:r>
        <w:rPr>
          <w:rFonts w:hint="default" w:ascii="Times New Roman" w:hAnsi="Times New Roman" w:eastAsia="仿宋_GB2312" w:cs="Times New Roman"/>
          <w:kern w:val="0"/>
          <w:sz w:val="32"/>
          <w:szCs w:val="32"/>
          <w:highlight w:val="none"/>
          <w:lang w:val="en-US" w:eastAsia="zh-CN" w:bidi="ar-SA"/>
        </w:rPr>
        <w:t>依据决算报表</w:t>
      </w:r>
      <w:r>
        <w:rPr>
          <w:rFonts w:hint="default" w:ascii="Times New Roman" w:hAnsi="Times New Roman" w:eastAsia="仿宋_GB2312" w:cs="Times New Roman"/>
          <w:kern w:val="0"/>
          <w:sz w:val="32"/>
          <w:szCs w:val="32"/>
          <w:highlight w:val="none"/>
          <w:lang w:bidi="ar-SA"/>
        </w:rPr>
        <w:t>2025</w:t>
      </w:r>
      <w:r>
        <w:rPr>
          <w:rFonts w:hint="default" w:ascii="Times New Roman" w:hAnsi="Times New Roman" w:eastAsia="仿宋_GB2312" w:cs="Times New Roman"/>
          <w:sz w:val="32"/>
          <w:szCs w:val="32"/>
          <w:highlight w:val="none"/>
          <w:lang w:bidi="ar-SA"/>
        </w:rPr>
        <w:t>年总收入和</w:t>
      </w:r>
      <w:r>
        <w:rPr>
          <w:rFonts w:hint="default" w:ascii="Times New Roman" w:hAnsi="Times New Roman" w:eastAsia="仿宋_GB2312" w:cs="Times New Roman"/>
          <w:sz w:val="32"/>
          <w:szCs w:val="32"/>
          <w:lang w:eastAsia="zh-Hans" w:bidi="ar-SA"/>
        </w:rPr>
        <w:t>年初预算数</w:t>
      </w:r>
      <w:r>
        <w:rPr>
          <w:rFonts w:hint="default" w:ascii="Times New Roman" w:hAnsi="Times New Roman" w:eastAsia="仿宋_GB2312" w:cs="Times New Roman"/>
          <w:sz w:val="32"/>
          <w:szCs w:val="32"/>
          <w:highlight w:val="none"/>
          <w:lang w:bidi="ar-SA"/>
        </w:rPr>
        <w:t>总收入</w:t>
      </w:r>
      <w:r>
        <w:rPr>
          <w:rFonts w:hint="default" w:ascii="Times New Roman" w:hAnsi="Times New Roman" w:eastAsia="仿宋_GB2312" w:cs="Times New Roman"/>
          <w:sz w:val="32"/>
          <w:szCs w:val="32"/>
          <w:lang w:eastAsia="zh-Hans" w:bidi="ar-SA"/>
        </w:rPr>
        <w:t>为</w:t>
      </w:r>
      <w:r>
        <w:rPr>
          <w:rFonts w:hint="default" w:ascii="Times New Roman" w:hAnsi="Times New Roman" w:cs="Times New Roman"/>
        </w:rPr>
        <w:t xml:space="preserve"> </w:t>
      </w:r>
      <w:r>
        <w:rPr>
          <w:rFonts w:hint="default" w:ascii="Times New Roman" w:hAnsi="Times New Roman" w:eastAsia="仿宋_GB2312" w:cs="Times New Roman"/>
          <w:kern w:val="0"/>
          <w:sz w:val="32"/>
          <w:szCs w:val="32"/>
          <w:highlight w:val="none"/>
          <w:lang w:eastAsia="zh-CN" w:bidi="ar-SA"/>
        </w:rPr>
        <w:t>454.81</w:t>
      </w:r>
      <w:r>
        <w:rPr>
          <w:rFonts w:hint="default" w:ascii="Times New Roman" w:hAnsi="Times New Roman" w:eastAsia="仿宋_GB2312" w:cs="Times New Roman"/>
          <w:sz w:val="32"/>
          <w:szCs w:val="32"/>
          <w:lang w:eastAsia="zh-Hans" w:bidi="ar-SA"/>
        </w:rPr>
        <w:t>万元。</w:t>
      </w:r>
    </w:p>
    <w:p w14:paraId="27A663AB">
      <w:pPr>
        <w:keepNext w:val="0"/>
        <w:keepLines w:val="0"/>
        <w:pageBreakBefore w:val="0"/>
        <w:widowControl w:val="0"/>
        <w:kinsoku/>
        <w:wordWrap/>
        <w:overflowPunct/>
        <w:topLinePunct w:val="0"/>
        <w:autoSpaceDN/>
        <w:bidi w:val="0"/>
        <w:adjustRightInd/>
        <w:snapToGrid w:val="0"/>
        <w:spacing w:line="560" w:lineRule="atLeast"/>
        <w:ind w:left="0" w:firstLine="643" w:firstLineChars="200"/>
        <w:jc w:val="both"/>
        <w:textAlignment w:val="auto"/>
        <w:rPr>
          <w:rFonts w:hint="default" w:ascii="Times New Roman" w:hAnsi="Times New Roman" w:eastAsia="楷体" w:cs="Times New Roman"/>
          <w:b/>
          <w:bCs/>
          <w:color w:val="000000"/>
          <w:kern w:val="0"/>
          <w:sz w:val="32"/>
          <w:szCs w:val="32"/>
          <w:highlight w:val="none"/>
          <w:shd w:val="clear" w:color="auto" w:fill="FFFFFF"/>
          <w:lang w:val="zh-CN" w:eastAsia="zh-CN"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（二）支出情况</w:t>
      </w:r>
    </w:p>
    <w:p w14:paraId="39A2B417">
      <w:pPr>
        <w:pStyle w:val="37"/>
        <w:pageBreakBefore w:val="0"/>
        <w:kinsoku/>
        <w:overflowPunct/>
        <w:topLinePunct w:val="0"/>
        <w:bidi w:val="0"/>
        <w:spacing w:line="560" w:lineRule="atLeast"/>
        <w:jc w:val="both"/>
        <w:textAlignment w:val="auto"/>
        <w:rPr>
          <w:rFonts w:hint="default" w:ascii="Times New Roman" w:hAnsi="Times New Roman" w:eastAsia="仿宋_GB2312" w:cs="Times New Roman"/>
          <w:sz w:val="30"/>
          <w:szCs w:val="30"/>
          <w:lang w:bidi="ar-SA"/>
        </w:rPr>
      </w:pPr>
      <w:r>
        <w:rPr>
          <w:rFonts w:hint="default" w:ascii="Times New Roman" w:hAnsi="Times New Roman" w:eastAsia="仿宋_GB2312" w:cs="Times New Roman"/>
          <w:sz w:val="32"/>
          <w:szCs w:val="32"/>
          <w:lang w:eastAsia="zh-Hans" w:bidi="ar-SA"/>
        </w:rPr>
        <w:t>本单位本年度财政拨款收入为454.81万元，财政拨款支出为454.81万元。其中：</w:t>
      </w:r>
      <w:r>
        <w:rPr>
          <w:rFonts w:hint="default" w:ascii="Times New Roman" w:hAnsi="Times New Roman" w:eastAsia="仿宋_GB2312" w:cs="Times New Roman"/>
          <w:szCs w:val="32"/>
          <w:lang w:eastAsia="zh-Hans" w:bidi="ar-SA"/>
        </w:rPr>
        <w:t>人员经费支出271.66万元，公用经费支出48.70万元，项目支出134.46万元。</w:t>
      </w:r>
    </w:p>
    <w:p w14:paraId="13B0ABFF">
      <w:pPr>
        <w:keepNext w:val="0"/>
        <w:keepLines w:val="0"/>
        <w:pageBreakBefore w:val="0"/>
        <w:widowControl/>
        <w:kinsoku/>
        <w:wordWrap/>
        <w:overflowPunct/>
        <w:topLinePunct w:val="0"/>
        <w:autoSpaceDE/>
        <w:autoSpaceDN/>
        <w:bidi w:val="0"/>
        <w:adjustRightInd w:val="0"/>
        <w:snapToGrid w:val="0"/>
        <w:spacing w:line="560" w:lineRule="atLeas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bidi="ar-SA"/>
        </w:rPr>
      </w:pPr>
      <w:r>
        <w:rPr>
          <w:rFonts w:hint="default" w:ascii="Times New Roman" w:hAnsi="Times New Roman" w:eastAsia="黑体" w:cs="Times New Roman"/>
          <w:color w:val="000000"/>
          <w:kern w:val="0"/>
          <w:sz w:val="32"/>
          <w:szCs w:val="32"/>
          <w:highlight w:val="none"/>
          <w:shd w:val="clear" w:color="auto" w:fill="FFFFFF"/>
          <w:lang w:bidi="ar-SA"/>
        </w:rPr>
        <w:t>三、</w:t>
      </w:r>
      <w:r>
        <w:rPr>
          <w:rFonts w:hint="default" w:ascii="Times New Roman" w:hAnsi="Times New Roman" w:eastAsia="黑体" w:cs="Times New Roman"/>
          <w:color w:val="000000"/>
          <w:kern w:val="0"/>
          <w:sz w:val="32"/>
          <w:szCs w:val="32"/>
          <w:highlight w:val="none"/>
          <w:u w:val="none"/>
          <w:shd w:val="clear" w:color="auto" w:fill="FFFFFF"/>
          <w:lang w:bidi="ar-SA"/>
        </w:rPr>
        <w:t>部门</w:t>
      </w:r>
      <w:r>
        <w:rPr>
          <w:rFonts w:hint="default" w:ascii="Times New Roman" w:hAnsi="Times New Roman" w:eastAsia="黑体" w:cs="Times New Roman"/>
          <w:color w:val="000000"/>
          <w:kern w:val="0"/>
          <w:sz w:val="32"/>
          <w:szCs w:val="32"/>
          <w:highlight w:val="none"/>
          <w:u w:val="none"/>
          <w:shd w:val="clear" w:color="auto" w:fill="FFFFFF"/>
          <w:lang w:eastAsia="zh-CN" w:bidi="ar-SA"/>
        </w:rPr>
        <w:t>预算</w:t>
      </w:r>
      <w:r>
        <w:rPr>
          <w:rFonts w:hint="default" w:ascii="Times New Roman" w:hAnsi="Times New Roman" w:eastAsia="黑体" w:cs="Times New Roman"/>
          <w:color w:val="000000"/>
          <w:kern w:val="0"/>
          <w:sz w:val="32"/>
          <w:szCs w:val="32"/>
          <w:highlight w:val="none"/>
          <w:u w:val="none"/>
          <w:shd w:val="clear" w:color="auto" w:fill="FFFFFF"/>
          <w:lang w:bidi="ar-SA"/>
        </w:rPr>
        <w:t>绩效</w:t>
      </w:r>
      <w:r>
        <w:rPr>
          <w:rFonts w:hint="default" w:ascii="Times New Roman" w:hAnsi="Times New Roman" w:eastAsia="黑体" w:cs="Times New Roman"/>
          <w:color w:val="000000"/>
          <w:kern w:val="0"/>
          <w:sz w:val="32"/>
          <w:szCs w:val="32"/>
          <w:highlight w:val="none"/>
          <w:u w:val="none"/>
          <w:shd w:val="clear" w:color="auto" w:fill="FFFFFF"/>
          <w:lang w:eastAsia="zh-CN" w:bidi="ar-SA"/>
        </w:rPr>
        <w:t>分析</w:t>
      </w:r>
    </w:p>
    <w:p w14:paraId="30FDAAE8">
      <w:pPr>
        <w:keepNext w:val="0"/>
        <w:keepLines w:val="0"/>
        <w:pageBreakBefore w:val="0"/>
        <w:widowControl w:val="0"/>
        <w:kinsoku/>
        <w:wordWrap/>
        <w:overflowPunct/>
        <w:topLinePunct w:val="0"/>
        <w:autoSpaceDE/>
        <w:autoSpaceDN/>
        <w:bidi w:val="0"/>
        <w:adjustRightInd w:val="0"/>
        <w:snapToGrid w:val="0"/>
        <w:spacing w:line="560" w:lineRule="atLeast"/>
        <w:ind w:left="0" w:firstLine="643" w:firstLineChars="200"/>
        <w:contextualSpacing/>
        <w:jc w:val="both"/>
        <w:textAlignment w:val="auto"/>
        <w:outlineLvl w:val="9"/>
        <w:rPr>
          <w:rFonts w:hint="default" w:ascii="Times New Roman" w:hAnsi="Times New Roman" w:eastAsia="楷体_GB2312" w:cs="Times New Roman"/>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（一）部门预算总体绩效分析</w:t>
      </w:r>
    </w:p>
    <w:p w14:paraId="47BA4B3F">
      <w:pPr>
        <w:keepNext w:val="0"/>
        <w:keepLines w:val="0"/>
        <w:pageBreakBefore w:val="0"/>
        <w:widowControl/>
        <w:kinsoku/>
        <w:wordWrap/>
        <w:overflowPunct/>
        <w:topLinePunct w:val="0"/>
        <w:autoSpaceDN/>
        <w:bidi w:val="0"/>
        <w:adjustRightInd w:val="0"/>
        <w:snapToGrid w:val="0"/>
        <w:spacing w:line="560" w:lineRule="atLeast"/>
        <w:ind w:firstLine="643" w:firstLineChars="200"/>
        <w:contextualSpacing/>
        <w:jc w:val="both"/>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履职效能。</w:t>
      </w:r>
      <w:r>
        <w:rPr>
          <w:rFonts w:hint="default" w:ascii="Times New Roman" w:hAnsi="Times New Roman" w:eastAsia="仿宋_GB2312" w:cs="Times New Roman"/>
          <w:kern w:val="0"/>
          <w:sz w:val="32"/>
          <w:szCs w:val="32"/>
          <w:lang w:val="en-US" w:eastAsia="zh-CN" w:bidi="ar-SA"/>
        </w:rPr>
        <w:t>202</w:t>
      </w:r>
      <w:r>
        <w:rPr>
          <w:rFonts w:hint="default" w:ascii="Times New Roman" w:hAnsi="Times New Roman" w:eastAsia="仿宋_GB2312" w:cs="Times New Roman"/>
          <w:kern w:val="0"/>
          <w:sz w:val="32"/>
          <w:szCs w:val="32"/>
          <w:lang w:eastAsia="zh-CN" w:bidi="ar-SA"/>
        </w:rPr>
        <w:t>5</w:t>
      </w:r>
      <w:r>
        <w:rPr>
          <w:rFonts w:hint="default" w:ascii="Times New Roman" w:hAnsi="Times New Roman" w:eastAsia="仿宋_GB2312" w:cs="Times New Roman"/>
          <w:kern w:val="0"/>
          <w:sz w:val="32"/>
          <w:szCs w:val="32"/>
          <w:lang w:val="en-US" w:eastAsia="zh-CN" w:bidi="ar-SA"/>
        </w:rPr>
        <w:t>年我</w:t>
      </w:r>
      <w:r>
        <w:rPr>
          <w:rFonts w:hint="default" w:ascii="Times New Roman" w:hAnsi="Times New Roman" w:eastAsia="仿宋_GB2312" w:cs="Times New Roman"/>
          <w:kern w:val="0"/>
          <w:sz w:val="32"/>
          <w:szCs w:val="32"/>
          <w:lang w:eastAsia="zh-CN" w:bidi="ar-SA"/>
        </w:rPr>
        <w:t>站</w:t>
      </w:r>
      <w:r>
        <w:rPr>
          <w:rFonts w:hint="default" w:ascii="Times New Roman" w:hAnsi="Times New Roman" w:eastAsia="仿宋_GB2312" w:cs="Times New Roman"/>
          <w:kern w:val="0"/>
          <w:sz w:val="32"/>
          <w:szCs w:val="32"/>
          <w:lang w:val="en-US" w:eastAsia="zh-CN" w:bidi="ar-SA"/>
        </w:rPr>
        <w:t>预算资金</w:t>
      </w:r>
      <w:r>
        <w:rPr>
          <w:rFonts w:hint="default" w:ascii="Times New Roman" w:hAnsi="Times New Roman" w:eastAsia="仿宋_GB2312" w:cs="Times New Roman"/>
          <w:kern w:val="0"/>
          <w:sz w:val="32"/>
          <w:szCs w:val="32"/>
          <w:lang w:eastAsia="zh-CN" w:bidi="ar-SA"/>
        </w:rPr>
        <w:t>454.81万元</w:t>
      </w:r>
      <w:r>
        <w:rPr>
          <w:rFonts w:hint="default" w:ascii="Times New Roman" w:hAnsi="Times New Roman" w:eastAsia="仿宋_GB2312" w:cs="Times New Roman"/>
          <w:kern w:val="0"/>
          <w:sz w:val="32"/>
          <w:szCs w:val="32"/>
          <w:lang w:val="en-US" w:eastAsia="zh-CN" w:bidi="ar-SA"/>
        </w:rPr>
        <w:t>，实际支出</w:t>
      </w:r>
      <w:r>
        <w:rPr>
          <w:rFonts w:hint="default" w:ascii="Times New Roman" w:hAnsi="Times New Roman" w:eastAsia="仿宋_GB2312" w:cs="Times New Roman"/>
          <w:kern w:val="0"/>
          <w:sz w:val="32"/>
          <w:szCs w:val="32"/>
          <w:highlight w:val="none"/>
          <w:lang w:eastAsia="zh-CN" w:bidi="ar-SA"/>
        </w:rPr>
        <w:t>454.81万</w:t>
      </w:r>
      <w:r>
        <w:rPr>
          <w:rFonts w:hint="default" w:ascii="Times New Roman" w:hAnsi="Times New Roman" w:eastAsia="仿宋_GB2312" w:cs="Times New Roman"/>
          <w:kern w:val="0"/>
          <w:sz w:val="32"/>
          <w:szCs w:val="32"/>
          <w:lang w:val="en-US" w:eastAsia="zh-CN" w:bidi="ar-SA"/>
        </w:rPr>
        <w:t>元</w:t>
      </w:r>
      <w:r>
        <w:rPr>
          <w:rFonts w:hint="default" w:ascii="Times New Roman" w:hAnsi="Times New Roman" w:eastAsia="仿宋_GB2312" w:cs="Times New Roman"/>
          <w:spacing w:val="0"/>
          <w:kern w:val="2"/>
          <w:sz w:val="32"/>
          <w:szCs w:val="32"/>
          <w:u w:val="none"/>
          <w:lang w:val="en-US" w:eastAsia="zh-CN" w:bidi="ar-SA"/>
        </w:rPr>
        <w:t>。截止2025年12月31日，我站为54名各类临时遇困人员提供饮食、住宿、医疗、寻亲、户籍恢复、资助衣物、资票返乡及护送返乡等救助服务。制定专项方案，在全州13个县（市）开展</w:t>
      </w:r>
      <w:r>
        <w:rPr>
          <w:rFonts w:hint="default" w:ascii="Times New Roman" w:hAnsi="Times New Roman" w:eastAsia="仿宋_GB2312" w:cs="Times New Roman"/>
          <w:kern w:val="0"/>
          <w:sz w:val="32"/>
          <w:szCs w:val="32"/>
          <w:lang w:val="en-US" w:eastAsia="zh-CN" w:bidi="ar-SA"/>
        </w:rPr>
        <w:t>“增量提质”业务指导工作，全州救助量同比增长562.4%，保障了临时遇困人员的合法权益和生命安全。通过“夏季送清凉”、“寒冬送温暖”专项救助行动，加强与公安、城市管理执法、卫生健康等部门协作，建立应急联动预案，明确信息共享、联合处置流程，提升跨部门协同作战能力，为2800余名困难群体提供救助服务。始终坚持“人民至上、生命至上”的理念，持续压实安全责任、深化隐患整治、强化能力建设，以更高标准、更严要求筑牢救助安全防线，切实保障受助人员生命财产安全，推动救助管理领域安全生产形势持续稳定向好。</w:t>
      </w:r>
    </w:p>
    <w:p w14:paraId="23BBE29E">
      <w:pPr>
        <w:keepNext w:val="0"/>
        <w:keepLines w:val="0"/>
        <w:pageBreakBefore w:val="0"/>
        <w:widowControl/>
        <w:kinsoku/>
        <w:wordWrap/>
        <w:overflowPunct/>
        <w:topLinePunct w:val="0"/>
        <w:autoSpaceDN/>
        <w:bidi w:val="0"/>
        <w:adjustRightInd w:val="0"/>
        <w:snapToGrid w:val="0"/>
        <w:spacing w:line="560" w:lineRule="atLeast"/>
        <w:ind w:firstLine="643"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预算管理。</w:t>
      </w:r>
      <w:r>
        <w:rPr>
          <w:rFonts w:hint="default" w:ascii="Times New Roman" w:hAnsi="Times New Roman" w:eastAsia="仿宋_GB2312" w:cs="Times New Roman"/>
          <w:kern w:val="0"/>
          <w:sz w:val="32"/>
          <w:szCs w:val="32"/>
          <w:lang w:val="zh-CN" w:eastAsia="zh-CN" w:bidi="ar-SA"/>
        </w:rPr>
        <w:t>我</w:t>
      </w:r>
      <w:r>
        <w:rPr>
          <w:rFonts w:hint="default" w:ascii="Times New Roman" w:hAnsi="Times New Roman" w:eastAsia="仿宋_GB2312" w:cs="Times New Roman"/>
          <w:kern w:val="0"/>
          <w:sz w:val="32"/>
          <w:szCs w:val="32"/>
          <w:lang w:bidi="ar-SA"/>
        </w:rPr>
        <w:t>站按照要求严格预算执行管理，按照“厉行节约、反对浪费”的规定，严格控制“三公”经费支出，加强了水、电、公务用车管理，努力降低水、电及车辆燃修费用。</w:t>
      </w:r>
      <w:r>
        <w:rPr>
          <w:rFonts w:hint="default" w:ascii="Times New Roman" w:hAnsi="Times New Roman" w:eastAsia="仿宋_GB2312" w:cs="Times New Roman"/>
          <w:color w:val="000000"/>
          <w:kern w:val="0"/>
          <w:sz w:val="32"/>
          <w:szCs w:val="32"/>
          <w:shd w:val="clear" w:color="auto" w:fill="FFFFFF"/>
          <w:lang w:eastAsia="zh-CN" w:bidi="ar-SA"/>
        </w:rPr>
        <w:t>2025</w:t>
      </w:r>
      <w:r>
        <w:rPr>
          <w:rFonts w:hint="default" w:ascii="Times New Roman" w:hAnsi="Times New Roman" w:eastAsia="仿宋_GB2312" w:cs="Times New Roman"/>
          <w:color w:val="000000"/>
          <w:kern w:val="0"/>
          <w:sz w:val="32"/>
          <w:szCs w:val="32"/>
          <w:shd w:val="clear" w:color="auto" w:fill="FFFFFF"/>
          <w:lang w:val="en-US" w:eastAsia="zh-CN" w:bidi="ar-SA"/>
        </w:rPr>
        <w:t>年我站明确了绩效目标并按照相关措施步骤基本实现了目标任务，较为准确的编制了部门预算，并在预算执行过程中按照相关政策法规严格把控预算支出的基础上达到了执行进度较好的完成预算执行</w:t>
      </w:r>
      <w:r>
        <w:rPr>
          <w:rFonts w:hint="default" w:ascii="Times New Roman" w:hAnsi="Times New Roman" w:eastAsia="仿宋_GB2312" w:cs="Times New Roman"/>
          <w:color w:val="000000"/>
          <w:kern w:val="0"/>
          <w:sz w:val="32"/>
          <w:szCs w:val="32"/>
          <w:shd w:val="clear" w:color="auto" w:fill="FFFFFF"/>
          <w:lang w:eastAsia="zh-CN" w:bidi="ar-SA"/>
        </w:rPr>
        <w:t>。</w:t>
      </w:r>
    </w:p>
    <w:p w14:paraId="1ECAE7F5">
      <w:pPr>
        <w:keepNext w:val="0"/>
        <w:keepLines w:val="0"/>
        <w:pageBreakBefore w:val="0"/>
        <w:widowControl w:val="0"/>
        <w:kinsoku/>
        <w:wordWrap/>
        <w:overflowPunct/>
        <w:topLinePunct w:val="0"/>
        <w:autoSpaceDN/>
        <w:bidi w:val="0"/>
        <w:spacing w:line="560" w:lineRule="atLeast"/>
        <w:ind w:firstLine="643" w:firstLineChars="200"/>
        <w:jc w:val="both"/>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财务管理。</w:t>
      </w:r>
      <w:r>
        <w:rPr>
          <w:rFonts w:hint="default" w:ascii="Times New Roman" w:hAnsi="Times New Roman" w:eastAsia="仿宋_GB2312" w:cs="Times New Roman"/>
          <w:kern w:val="0"/>
          <w:sz w:val="32"/>
          <w:szCs w:val="32"/>
          <w:lang w:val="zh-CN" w:eastAsia="zh-CN" w:bidi="ar-SA"/>
        </w:rPr>
        <w:t>财务管理制度方面：我</w:t>
      </w:r>
      <w:r>
        <w:rPr>
          <w:rFonts w:hint="default" w:ascii="Times New Roman" w:hAnsi="Times New Roman" w:eastAsia="仿宋_GB2312" w:cs="Times New Roman"/>
          <w:kern w:val="0"/>
          <w:sz w:val="32"/>
          <w:szCs w:val="32"/>
          <w:lang w:bidi="ar-SA"/>
        </w:rPr>
        <w:t>站</w:t>
      </w:r>
      <w:r>
        <w:rPr>
          <w:rFonts w:hint="default" w:ascii="Times New Roman" w:hAnsi="Times New Roman" w:eastAsia="仿宋_GB2312" w:cs="Times New Roman"/>
          <w:kern w:val="0"/>
          <w:sz w:val="32"/>
          <w:szCs w:val="32"/>
          <w:lang w:val="zh-CN" w:eastAsia="zh-CN" w:bidi="ar-SA"/>
        </w:rPr>
        <w:t>按照《行政事业单位内部控制规范（试行）》《财政部关于全面推进行政事业单位内部控制建设的指导意见》建立了单位内部控制体系，成立由</w:t>
      </w:r>
      <w:r>
        <w:rPr>
          <w:rFonts w:hint="default" w:ascii="Times New Roman" w:hAnsi="Times New Roman" w:eastAsia="仿宋_GB2312" w:cs="Times New Roman"/>
          <w:kern w:val="0"/>
          <w:sz w:val="32"/>
          <w:szCs w:val="32"/>
          <w:lang w:bidi="ar-SA"/>
        </w:rPr>
        <w:t>站长任</w:t>
      </w:r>
      <w:r>
        <w:rPr>
          <w:rFonts w:hint="default" w:ascii="Times New Roman" w:hAnsi="Times New Roman" w:eastAsia="仿宋_GB2312" w:cs="Times New Roman"/>
          <w:kern w:val="0"/>
          <w:sz w:val="32"/>
          <w:szCs w:val="32"/>
          <w:lang w:val="zh-CN" w:eastAsia="zh-CN" w:bidi="ar-SA"/>
        </w:rPr>
        <w:t>组长，</w:t>
      </w:r>
      <w:r>
        <w:rPr>
          <w:rFonts w:hint="default" w:ascii="Times New Roman" w:hAnsi="Times New Roman" w:eastAsia="仿宋_GB2312" w:cs="Times New Roman"/>
          <w:kern w:val="0"/>
          <w:sz w:val="32"/>
          <w:szCs w:val="32"/>
          <w:lang w:bidi="ar-SA"/>
        </w:rPr>
        <w:t>副站长</w:t>
      </w:r>
      <w:r>
        <w:rPr>
          <w:rFonts w:hint="default" w:ascii="Times New Roman" w:hAnsi="Times New Roman" w:eastAsia="仿宋_GB2312" w:cs="Times New Roman"/>
          <w:kern w:val="0"/>
          <w:sz w:val="32"/>
          <w:szCs w:val="32"/>
          <w:lang w:val="zh-CN" w:eastAsia="zh-CN" w:bidi="ar-SA"/>
        </w:rPr>
        <w:t>任副组长，</w:t>
      </w:r>
      <w:r>
        <w:rPr>
          <w:rFonts w:hint="default" w:ascii="Times New Roman" w:hAnsi="Times New Roman" w:eastAsia="仿宋_GB2312" w:cs="Times New Roman"/>
          <w:kern w:val="0"/>
          <w:sz w:val="32"/>
          <w:szCs w:val="32"/>
          <w:lang w:bidi="ar-SA"/>
        </w:rPr>
        <w:t>各科室</w:t>
      </w:r>
      <w:r>
        <w:rPr>
          <w:rFonts w:hint="default" w:ascii="Times New Roman" w:hAnsi="Times New Roman" w:eastAsia="仿宋_GB2312" w:cs="Times New Roman"/>
          <w:kern w:val="0"/>
          <w:sz w:val="32"/>
          <w:szCs w:val="32"/>
          <w:lang w:val="zh-CN" w:eastAsia="zh-CN" w:bidi="ar-SA"/>
        </w:rPr>
        <w:t>负责人为成员的内控领导小组及工作小组，制定了单位层面的内控制度和业务层面的内控制度，提高了控制的科学性、有效性、及时性。进一步修改完善</w:t>
      </w:r>
      <w:r>
        <w:rPr>
          <w:rFonts w:hint="default" w:ascii="Times New Roman" w:hAnsi="Times New Roman" w:eastAsia="仿宋_GB2312" w:cs="Times New Roman"/>
          <w:kern w:val="0"/>
          <w:sz w:val="32"/>
          <w:szCs w:val="32"/>
          <w:lang w:bidi="ar-SA"/>
        </w:rPr>
        <w:t>阿坝州救助站</w:t>
      </w:r>
      <w:r>
        <w:rPr>
          <w:rFonts w:hint="default" w:ascii="Times New Roman" w:hAnsi="Times New Roman" w:eastAsia="仿宋_GB2312" w:cs="Times New Roman"/>
          <w:kern w:val="0"/>
          <w:sz w:val="32"/>
          <w:szCs w:val="32"/>
          <w:lang w:val="zh-CN" w:eastAsia="zh-CN" w:bidi="ar-SA"/>
        </w:rPr>
        <w:t>财务管理办法、合同管理办法、公务接待管理办法。</w:t>
      </w:r>
    </w:p>
    <w:p w14:paraId="7B1445C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atLeast"/>
        <w:ind w:right="0" w:firstLine="643" w:firstLineChars="200"/>
        <w:jc w:val="both"/>
        <w:textAlignment w:val="auto"/>
        <w:rPr>
          <w:rFonts w:hint="default" w:ascii="Times New Roman" w:hAnsi="Times New Roman" w:eastAsia="仿宋_GB2312" w:cs="Times New Roman"/>
          <w:color w:val="auto"/>
          <w:spacing w:val="6"/>
          <w:kern w:val="2"/>
          <w:sz w:val="32"/>
          <w:szCs w:val="32"/>
          <w:lang w:val="en-US"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4.</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资产管理。</w:t>
      </w:r>
      <w:r>
        <w:rPr>
          <w:rFonts w:hint="default" w:ascii="Times New Roman" w:hAnsi="Times New Roman" w:eastAsia="仿宋_GB2312" w:cs="Times New Roman"/>
          <w:color w:val="auto"/>
          <w:spacing w:val="6"/>
          <w:kern w:val="2"/>
          <w:sz w:val="32"/>
          <w:szCs w:val="32"/>
          <w:lang w:val="en-US" w:eastAsia="zh-CN" w:bidi="ar-SA"/>
        </w:rPr>
        <w:t>为进一步规范国有固定资产管理，摸清“家底”，堵塞资产管理漏洞，按照年度工作安排，2025年我</w:t>
      </w:r>
      <w:r>
        <w:rPr>
          <w:rFonts w:hint="default" w:ascii="Times New Roman" w:hAnsi="Times New Roman" w:eastAsia="仿宋_GB2312" w:cs="Times New Roman"/>
          <w:color w:val="auto"/>
          <w:spacing w:val="6"/>
          <w:kern w:val="2"/>
          <w:sz w:val="32"/>
          <w:szCs w:val="32"/>
          <w:lang w:eastAsia="zh-CN" w:bidi="ar-SA"/>
        </w:rPr>
        <w:t>站邀请第三方机构对我站</w:t>
      </w:r>
      <w:r>
        <w:rPr>
          <w:rFonts w:hint="default" w:ascii="Times New Roman" w:hAnsi="Times New Roman" w:eastAsia="仿宋_GB2312" w:cs="Times New Roman"/>
          <w:color w:val="auto"/>
          <w:spacing w:val="6"/>
          <w:kern w:val="2"/>
          <w:sz w:val="32"/>
          <w:szCs w:val="32"/>
          <w:lang w:val="en-US" w:eastAsia="zh-CN" w:bidi="ar-SA"/>
        </w:rPr>
        <w:t>固定资产情况进行了清查、盘点和报废工作。</w:t>
      </w:r>
      <w:r>
        <w:rPr>
          <w:rFonts w:hint="default" w:ascii="Times New Roman" w:hAnsi="Times New Roman" w:eastAsia="仿宋_GB2312" w:cs="Times New Roman"/>
          <w:color w:val="auto"/>
          <w:spacing w:val="6"/>
          <w:kern w:val="2"/>
          <w:sz w:val="32"/>
          <w:szCs w:val="32"/>
          <w:lang w:eastAsia="zh-CN" w:bidi="ar-SA"/>
        </w:rPr>
        <w:t>一是</w:t>
      </w:r>
      <w:r>
        <w:rPr>
          <w:rFonts w:hint="default" w:ascii="Times New Roman" w:hAnsi="Times New Roman" w:eastAsia="仿宋_GB2312" w:cs="Times New Roman"/>
          <w:color w:val="auto"/>
          <w:spacing w:val="6"/>
          <w:kern w:val="2"/>
          <w:sz w:val="32"/>
          <w:szCs w:val="32"/>
          <w:lang w:val="en-US" w:eastAsia="zh-CN" w:bidi="ar-SA"/>
        </w:rPr>
        <w:t>精心规划部署，由办公室和</w:t>
      </w:r>
      <w:r>
        <w:rPr>
          <w:rFonts w:hint="default" w:ascii="Times New Roman" w:hAnsi="Times New Roman" w:eastAsia="仿宋_GB2312" w:cs="Times New Roman"/>
          <w:color w:val="auto"/>
          <w:spacing w:val="6"/>
          <w:kern w:val="2"/>
          <w:sz w:val="32"/>
          <w:szCs w:val="32"/>
          <w:lang w:eastAsia="zh-CN" w:bidi="ar-SA"/>
        </w:rPr>
        <w:t>规财务室</w:t>
      </w:r>
      <w:r>
        <w:rPr>
          <w:rFonts w:hint="default" w:ascii="Times New Roman" w:hAnsi="Times New Roman" w:eastAsia="仿宋_GB2312" w:cs="Times New Roman"/>
          <w:color w:val="auto"/>
          <w:spacing w:val="6"/>
          <w:kern w:val="2"/>
          <w:sz w:val="32"/>
          <w:szCs w:val="32"/>
          <w:lang w:val="en-US" w:eastAsia="zh-CN" w:bidi="ar-SA"/>
        </w:rPr>
        <w:t>牵头，各</w:t>
      </w:r>
      <w:r>
        <w:rPr>
          <w:rFonts w:hint="default" w:ascii="Times New Roman" w:hAnsi="Times New Roman" w:eastAsia="仿宋_GB2312" w:cs="Times New Roman"/>
          <w:color w:val="auto"/>
          <w:spacing w:val="6"/>
          <w:kern w:val="2"/>
          <w:sz w:val="32"/>
          <w:szCs w:val="32"/>
          <w:lang w:eastAsia="zh-CN" w:bidi="ar-SA"/>
        </w:rPr>
        <w:t>股</w:t>
      </w:r>
      <w:r>
        <w:rPr>
          <w:rFonts w:hint="default" w:ascii="Times New Roman" w:hAnsi="Times New Roman" w:eastAsia="仿宋_GB2312" w:cs="Times New Roman"/>
          <w:color w:val="auto"/>
          <w:spacing w:val="6"/>
          <w:kern w:val="2"/>
          <w:sz w:val="32"/>
          <w:szCs w:val="32"/>
          <w:lang w:val="en-US" w:eastAsia="zh-CN" w:bidi="ar-SA"/>
        </w:rPr>
        <w:t>室配合机构开展相关工作，为清查、报废工作高效有序开展奠定了坚实基础。</w:t>
      </w:r>
      <w:r>
        <w:rPr>
          <w:rFonts w:hint="default" w:ascii="Times New Roman" w:hAnsi="Times New Roman" w:eastAsia="仿宋_GB2312" w:cs="Times New Roman"/>
          <w:color w:val="auto"/>
          <w:spacing w:val="6"/>
          <w:kern w:val="2"/>
          <w:sz w:val="32"/>
          <w:szCs w:val="32"/>
          <w:lang w:eastAsia="zh-CN" w:bidi="ar-SA"/>
        </w:rPr>
        <w:t>二是</w:t>
      </w:r>
      <w:r>
        <w:rPr>
          <w:rFonts w:hint="default" w:ascii="Times New Roman" w:hAnsi="Times New Roman" w:eastAsia="仿宋_GB2312" w:cs="Times New Roman"/>
          <w:color w:val="auto"/>
          <w:spacing w:val="6"/>
          <w:kern w:val="2"/>
          <w:sz w:val="32"/>
          <w:szCs w:val="32"/>
          <w:lang w:val="en-US" w:eastAsia="zh-CN" w:bidi="ar-SA"/>
        </w:rPr>
        <w:t>全面开展清查。严格按照有关规定对固定资产全面清查盘点，通过查数量、查标签、查状态、查使用人、查地点等方式，依据资产账目逐台核对，做到台台有标签，件件有身份，对有变动情况及时修改资产管理平台数据，及时更新资产台账，确保“账、卡、实”三相符，清查发现需报废资产及时报送主管部门及州机关事务管理局，且已获得报废批复。通过本次清查盘点工作，有力保证了固定资产的安全性和完整性，切实提升了资产管理水平。</w:t>
      </w:r>
    </w:p>
    <w:p w14:paraId="6304F00D">
      <w:pPr>
        <w:keepNext w:val="0"/>
        <w:keepLines w:val="0"/>
        <w:pageBreakBefore w:val="0"/>
        <w:widowControl w:val="0"/>
        <w:kinsoku/>
        <w:wordWrap/>
        <w:overflowPunct/>
        <w:topLinePunct w:val="0"/>
        <w:autoSpaceDN/>
        <w:bidi w:val="0"/>
        <w:spacing w:line="560" w:lineRule="atLeast"/>
        <w:ind w:firstLine="643" w:firstLineChars="200"/>
        <w:jc w:val="both"/>
        <w:textAlignment w:val="auto"/>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5.</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采购管理。</w:t>
      </w:r>
      <w:r>
        <w:rPr>
          <w:rFonts w:hint="default" w:ascii="Times New Roman" w:hAnsi="Times New Roman" w:eastAsia="仿宋_GB2312" w:cs="Times New Roman"/>
          <w:kern w:val="0"/>
          <w:sz w:val="32"/>
          <w:szCs w:val="32"/>
          <w:lang w:val="en-US" w:eastAsia="zh-CN" w:bidi="ar-SA"/>
        </w:rPr>
        <w:t>政府采购预算编制做到应编尽编，不存在无预算采购、超预算采购情况。</w:t>
      </w:r>
    </w:p>
    <w:p w14:paraId="73F965B2">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jc w:val="both"/>
        <w:textAlignment w:val="auto"/>
        <w:outlineLvl w:val="9"/>
        <w:rPr>
          <w:rFonts w:hint="default" w:ascii="Times New Roman" w:hAnsi="Times New Roman" w:eastAsia="楷体" w:cs="Times New Roman"/>
          <w:b/>
          <w:bCs/>
          <w:color w:val="000000"/>
          <w:kern w:val="0"/>
          <w:sz w:val="32"/>
          <w:szCs w:val="32"/>
          <w:highlight w:val="none"/>
          <w:shd w:val="clear" w:color="auto" w:fill="FFFFFF"/>
          <w:lang w:val="zh-CN" w:eastAsia="zh-CN"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（二）部门预算项目绩效分析</w:t>
      </w:r>
    </w:p>
    <w:p w14:paraId="4C37D8C1">
      <w:pPr>
        <w:keepNext w:val="0"/>
        <w:keepLines w:val="0"/>
        <w:pageBreakBefore w:val="0"/>
        <w:widowControl/>
        <w:kinsoku/>
        <w:wordWrap/>
        <w:overflowPunct/>
        <w:topLinePunct w:val="0"/>
        <w:autoSpaceDE/>
        <w:autoSpaceDN/>
        <w:bidi w:val="0"/>
        <w:adjustRightInd w:val="0"/>
        <w:snapToGrid w:val="0"/>
        <w:spacing w:line="560" w:lineRule="atLeas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zh-CN" w:eastAsia="zh-CN" w:bidi="ar-SA"/>
        </w:rPr>
        <w:t>填报以下数据，并根据部门预算绩效评价指标体系“项目绩效”涉及二、三级指标进行逐项绩效分析并评分，依次包括项目</w:t>
      </w:r>
      <w:r>
        <w:rPr>
          <w:rFonts w:hint="default" w:ascii="Times New Roman" w:hAnsi="Times New Roman" w:eastAsia="仿宋_GB2312" w:cs="Times New Roman"/>
          <w:color w:val="000000"/>
          <w:kern w:val="0"/>
          <w:sz w:val="32"/>
          <w:szCs w:val="32"/>
          <w:highlight w:val="none"/>
          <w:shd w:val="clear" w:color="auto" w:fill="FFFFFF"/>
          <w:lang w:val="en-US" w:eastAsia="zh-CN" w:bidi="ar-SA"/>
        </w:rPr>
        <w:t>决策、项目执行、目标实现等情况。</w:t>
      </w:r>
    </w:p>
    <w:p w14:paraId="7FF5098C">
      <w:pPr>
        <w:keepNext w:val="0"/>
        <w:keepLines w:val="0"/>
        <w:pageBreakBefore w:val="0"/>
        <w:widowControl w:val="0"/>
        <w:kinsoku/>
        <w:wordWrap/>
        <w:overflowPunct/>
        <w:topLinePunct w:val="0"/>
        <w:autoSpaceDE/>
        <w:autoSpaceDN/>
        <w:bidi w:val="0"/>
        <w:adjustRightInd w:val="0"/>
        <w:snapToGrid w:val="0"/>
        <w:spacing w:line="560" w:lineRule="atLeast"/>
        <w:ind w:left="0" w:firstLine="640" w:firstLineChars="200"/>
        <w:contextualSpacing/>
        <w:jc w:val="both"/>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bidi="ar-SA"/>
        </w:rPr>
        <w:t>该类项目总数</w:t>
      </w:r>
      <w:r>
        <w:rPr>
          <w:rFonts w:hint="default" w:ascii="Times New Roman" w:hAnsi="Times New Roman" w:eastAsia="仿宋_GB2312" w:cs="Times New Roman"/>
          <w:color w:val="000000"/>
          <w:kern w:val="0"/>
          <w:sz w:val="32"/>
          <w:szCs w:val="32"/>
          <w:highlight w:val="none"/>
          <w:shd w:val="clear" w:color="auto" w:fill="FFFFFF"/>
          <w:lang w:val="en-US" w:eastAsia="zh-CN" w:bidi="ar-SA"/>
        </w:rPr>
        <w:t xml:space="preserve"> </w:t>
      </w:r>
      <w:r>
        <w:rPr>
          <w:rFonts w:hint="default" w:ascii="Times New Roman" w:hAnsi="Times New Roman" w:eastAsia="仿宋_GB2312" w:cs="Times New Roman"/>
          <w:color w:val="000000"/>
          <w:kern w:val="0"/>
          <w:sz w:val="32"/>
          <w:szCs w:val="32"/>
          <w:highlight w:val="none"/>
          <w:shd w:val="clear" w:color="auto" w:fill="FFFFFF"/>
          <w:lang w:eastAsia="zh-CN" w:bidi="ar-SA"/>
        </w:rPr>
        <w:t>4</w:t>
      </w:r>
      <w:r>
        <w:rPr>
          <w:rFonts w:hint="default" w:ascii="Times New Roman" w:hAnsi="Times New Roman" w:eastAsia="仿宋_GB2312" w:cs="Times New Roman"/>
          <w:color w:val="000000"/>
          <w:kern w:val="0"/>
          <w:sz w:val="32"/>
          <w:szCs w:val="32"/>
          <w:highlight w:val="none"/>
          <w:shd w:val="clear" w:color="auto" w:fill="FFFFFF"/>
          <w:lang w:val="en-US" w:eastAsia="zh-CN" w:bidi="ar-SA"/>
        </w:rPr>
        <w:t xml:space="preserve"> </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个。</w:t>
      </w:r>
      <w:r>
        <w:rPr>
          <w:rFonts w:hint="default" w:ascii="Times New Roman" w:hAnsi="Times New Roman" w:eastAsia="仿宋_GB2312" w:cs="Times New Roman"/>
          <w:color w:val="000000"/>
          <w:kern w:val="0"/>
          <w:sz w:val="32"/>
          <w:szCs w:val="32"/>
          <w:highlight w:val="none"/>
          <w:shd w:val="clear" w:color="auto" w:fill="FFFFFF"/>
          <w:lang w:eastAsia="zh-CN" w:bidi="ar-SA"/>
        </w:rPr>
        <w:t>1、困难群众救助补助资金2、未成年保护经费3、救助人员保障经费，4、物业维修维护</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涉及预算总金额</w:t>
      </w:r>
      <w:r>
        <w:rPr>
          <w:rFonts w:hint="default" w:ascii="Times New Roman" w:hAnsi="Times New Roman" w:eastAsia="仿宋_GB2312" w:cs="Times New Roman"/>
          <w:color w:val="000000"/>
          <w:kern w:val="0"/>
          <w:sz w:val="32"/>
          <w:szCs w:val="32"/>
          <w:highlight w:val="none"/>
          <w:shd w:val="clear" w:color="auto" w:fill="FFFFFF"/>
          <w:lang w:eastAsia="zh-CN" w:bidi="ar-SA"/>
        </w:rPr>
        <w:t>140.80</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万元，1—1</w:t>
      </w:r>
      <w:r>
        <w:rPr>
          <w:rFonts w:hint="default" w:ascii="Times New Roman" w:hAnsi="Times New Roman" w:eastAsia="仿宋_GB2312" w:cs="Times New Roman"/>
          <w:color w:val="000000"/>
          <w:kern w:val="0"/>
          <w:sz w:val="32"/>
          <w:szCs w:val="32"/>
          <w:highlight w:val="none"/>
          <w:shd w:val="clear" w:color="auto" w:fill="FFFFFF"/>
          <w:lang w:val="en-US" w:eastAsia="zh-CN" w:bidi="ar-SA"/>
        </w:rPr>
        <w:t>2</w:t>
      </w:r>
      <w:r>
        <w:rPr>
          <w:rFonts w:hint="default" w:ascii="Times New Roman" w:hAnsi="Times New Roman" w:eastAsia="仿宋_GB2312" w:cs="Times New Roman"/>
          <w:color w:val="000000"/>
          <w:kern w:val="0"/>
          <w:sz w:val="32"/>
          <w:szCs w:val="32"/>
          <w:highlight w:val="none"/>
          <w:shd w:val="clear" w:color="auto" w:fill="FFFFFF"/>
          <w:lang w:val="zh-CN" w:eastAsia="zh-CN" w:bidi="ar-SA"/>
        </w:rPr>
        <w:t>月预算执行总体进度为</w:t>
      </w:r>
      <w:r>
        <w:rPr>
          <w:rFonts w:hint="default" w:ascii="Times New Roman" w:hAnsi="Times New Roman" w:eastAsia="仿宋_GB2312" w:cs="Times New Roman"/>
          <w:color w:val="000000"/>
          <w:kern w:val="0"/>
          <w:sz w:val="32"/>
          <w:szCs w:val="32"/>
          <w:highlight w:val="none"/>
          <w:shd w:val="clear" w:color="auto" w:fill="FFFFFF"/>
          <w:lang w:eastAsia="zh-CN" w:bidi="ar-SA"/>
        </w:rPr>
        <w:t>9</w:t>
      </w:r>
      <w:r>
        <w:rPr>
          <w:rFonts w:hint="default" w:ascii="Times New Roman" w:hAnsi="Times New Roman" w:eastAsia="仿宋_GB2312" w:cs="Times New Roman"/>
          <w:color w:val="000000"/>
          <w:kern w:val="0"/>
          <w:sz w:val="32"/>
          <w:szCs w:val="32"/>
          <w:highlight w:val="none"/>
          <w:shd w:val="clear" w:color="auto" w:fill="FFFFFF"/>
          <w:lang w:val="en-US" w:eastAsia="zh-CN" w:bidi="ar-SA"/>
        </w:rPr>
        <w:t>6</w:t>
      </w:r>
      <w:r>
        <w:rPr>
          <w:rFonts w:hint="default" w:ascii="Times New Roman" w:hAnsi="Times New Roman" w:eastAsia="仿宋_GB2312" w:cs="Times New Roman"/>
          <w:color w:val="000000"/>
          <w:kern w:val="0"/>
          <w:sz w:val="32"/>
          <w:szCs w:val="32"/>
          <w:highlight w:val="none"/>
          <w:shd w:val="clear" w:color="auto" w:fill="FFFFFF"/>
          <w:lang w:val="zh-CN" w:eastAsia="zh-CN" w:bidi="ar-SA"/>
        </w:rPr>
        <w:t>%，其中：预算结余率大于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bidi="ar-SA"/>
        </w:rPr>
        <w:t>10%</w:t>
      </w:r>
      <w:r>
        <w:rPr>
          <w:rFonts w:hint="default" w:ascii="Times New Roman" w:hAnsi="Times New Roman" w:eastAsia="仿宋_GB2312" w:cs="Times New Roman"/>
          <w:color w:val="000000"/>
          <w:kern w:val="0"/>
          <w:sz w:val="32"/>
          <w:szCs w:val="32"/>
          <w:highlight w:val="none"/>
          <w:shd w:val="clear" w:color="auto" w:fill="FFFFFF"/>
          <w:lang w:val="zh-CN" w:eastAsia="zh-CN" w:bidi="ar-SA"/>
        </w:rPr>
        <w:t>的项目共计</w:t>
      </w:r>
      <w:r>
        <w:rPr>
          <w:rFonts w:hint="default" w:ascii="Times New Roman" w:hAnsi="Times New Roman" w:eastAsia="仿宋_GB2312" w:cs="Times New Roman"/>
          <w:color w:val="000000"/>
          <w:kern w:val="0"/>
          <w:sz w:val="32"/>
          <w:szCs w:val="32"/>
          <w:highlight w:val="none"/>
          <w:shd w:val="clear" w:color="auto" w:fill="FFFFFF"/>
          <w:lang w:eastAsia="zh-CN" w:bidi="ar-SA"/>
        </w:rPr>
        <w:t>0</w:t>
      </w:r>
      <w:r>
        <w:rPr>
          <w:rFonts w:hint="default" w:ascii="Times New Roman" w:hAnsi="Times New Roman" w:eastAsia="仿宋_GB2312" w:cs="Times New Roman"/>
          <w:color w:val="000000"/>
          <w:kern w:val="0"/>
          <w:sz w:val="32"/>
          <w:szCs w:val="32"/>
          <w:highlight w:val="none"/>
          <w:shd w:val="clear" w:color="auto" w:fill="FFFFFF"/>
          <w:lang w:val="zh-CN" w:eastAsia="zh-CN" w:bidi="ar-SA"/>
        </w:rPr>
        <w:t>个。</w:t>
      </w:r>
    </w:p>
    <w:p w14:paraId="272C03CD">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spacing w:before="0" w:beforeAutospacing="0" w:after="0" w:afterAutospacing="0" w:line="560" w:lineRule="atLeast"/>
        <w:ind w:left="0" w:right="0" w:firstLine="643" w:firstLineChars="200"/>
        <w:jc w:val="both"/>
        <w:textAlignment w:val="auto"/>
        <w:rPr>
          <w:rFonts w:hint="default" w:ascii="Times New Roman" w:hAnsi="Times New Roman" w:eastAsia="仿宋_GB2312" w:cs="Times New Roman"/>
          <w:kern w:val="0"/>
          <w:sz w:val="32"/>
          <w:szCs w:val="32"/>
          <w:lang w:val="zh-CN"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1.</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项目决策。</w:t>
      </w:r>
      <w:r>
        <w:rPr>
          <w:rFonts w:hint="default" w:ascii="Times New Roman" w:hAnsi="Times New Roman" w:eastAsia="仿宋_GB2312" w:cs="Times New Roman"/>
          <w:kern w:val="0"/>
          <w:sz w:val="32"/>
          <w:szCs w:val="32"/>
          <w:lang w:val="zh-CN" w:eastAsia="zh-CN" w:bidi="ar-SA"/>
        </w:rPr>
        <w:t>我</w:t>
      </w:r>
      <w:r>
        <w:rPr>
          <w:rFonts w:hint="default" w:ascii="Times New Roman" w:hAnsi="Times New Roman" w:eastAsia="仿宋_GB2312" w:cs="Times New Roman"/>
          <w:kern w:val="0"/>
          <w:sz w:val="32"/>
          <w:szCs w:val="32"/>
          <w:lang w:eastAsia="zh-CN" w:bidi="ar-SA"/>
        </w:rPr>
        <w:t>站</w:t>
      </w:r>
      <w:r>
        <w:rPr>
          <w:rFonts w:hint="default" w:ascii="Times New Roman" w:hAnsi="Times New Roman" w:eastAsia="仿宋_GB2312" w:cs="Times New Roman"/>
          <w:kern w:val="0"/>
          <w:sz w:val="32"/>
          <w:szCs w:val="32"/>
          <w:lang w:val="en-US" w:eastAsia="zh-CN" w:bidi="ar-SA"/>
        </w:rPr>
        <w:t>202</w:t>
      </w:r>
      <w:r>
        <w:rPr>
          <w:rFonts w:hint="default" w:ascii="Times New Roman" w:hAnsi="Times New Roman" w:eastAsia="仿宋_GB2312" w:cs="Times New Roman"/>
          <w:kern w:val="0"/>
          <w:sz w:val="32"/>
          <w:szCs w:val="32"/>
          <w:lang w:eastAsia="zh-CN" w:bidi="ar-SA"/>
        </w:rPr>
        <w:t>5</w:t>
      </w:r>
      <w:r>
        <w:rPr>
          <w:rFonts w:hint="default" w:ascii="Times New Roman" w:hAnsi="Times New Roman" w:eastAsia="仿宋_GB2312" w:cs="Times New Roman"/>
          <w:kern w:val="0"/>
          <w:sz w:val="32"/>
          <w:szCs w:val="32"/>
          <w:lang w:val="en-US" w:eastAsia="zh-CN" w:bidi="ar-SA"/>
        </w:rPr>
        <w:t>年年初部门整体绩效目标设定情况，符合国家法律法规、部门工作职责。年初绩效目标的的绩效指标为长期目标，年度指标值清晰、明细化，绩效目标与部门年度的任务数和计划数相对应。</w:t>
      </w:r>
    </w:p>
    <w:p w14:paraId="4F71BE2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spacing w:before="0" w:beforeAutospacing="0" w:after="0" w:afterAutospacing="0" w:line="560" w:lineRule="atLeast"/>
        <w:ind w:right="0" w:firstLine="643" w:firstLineChars="200"/>
        <w:jc w:val="both"/>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b/>
          <w:bCs/>
          <w:color w:val="000000"/>
          <w:kern w:val="0"/>
          <w:sz w:val="32"/>
          <w:szCs w:val="32"/>
          <w:highlight w:val="none"/>
          <w:shd w:val="clear" w:color="auto" w:fill="FFFFFF"/>
          <w:lang w:val="en-US" w:eastAsia="zh-CN" w:bidi="ar-SA"/>
        </w:rPr>
        <w:t>2.项目执行</w:t>
      </w:r>
      <w:r>
        <w:rPr>
          <w:rFonts w:hint="default" w:ascii="Times New Roman" w:hAnsi="Times New Roman" w:eastAsia="仿宋_GB2312" w:cs="Times New Roman"/>
          <w:b/>
          <w:bCs/>
          <w:color w:val="000000"/>
          <w:kern w:val="0"/>
          <w:sz w:val="32"/>
          <w:szCs w:val="32"/>
          <w:highlight w:val="none"/>
          <w:shd w:val="clear" w:color="auto" w:fill="FFFFFF"/>
          <w:lang w:val="zh-CN" w:eastAsia="zh-CN" w:bidi="ar-SA"/>
        </w:rPr>
        <w:t>。</w:t>
      </w:r>
      <w:r>
        <w:rPr>
          <w:rFonts w:hint="default" w:ascii="Times New Roman" w:hAnsi="Times New Roman" w:eastAsia="仿宋_GB2312" w:cs="Times New Roman"/>
          <w:kern w:val="0"/>
          <w:sz w:val="32"/>
          <w:szCs w:val="32"/>
          <w:lang w:val="zh-CN" w:eastAsia="zh-CN" w:bidi="ar-SA"/>
        </w:rPr>
        <w:t>一是</w:t>
      </w:r>
      <w:r>
        <w:rPr>
          <w:rFonts w:hint="default" w:ascii="Times New Roman" w:hAnsi="Times New Roman" w:eastAsia="仿宋_GB2312" w:cs="Times New Roman"/>
          <w:kern w:val="0"/>
          <w:sz w:val="32"/>
          <w:szCs w:val="32"/>
          <w:lang w:val="en-US" w:eastAsia="zh-CN" w:bidi="ar-SA"/>
        </w:rPr>
        <w:t>本年度年初预算为</w:t>
      </w:r>
      <w:r>
        <w:rPr>
          <w:rFonts w:hint="default" w:ascii="Times New Roman" w:hAnsi="Times New Roman" w:eastAsia="仿宋_GB2312" w:cs="Times New Roman"/>
          <w:kern w:val="0"/>
          <w:sz w:val="32"/>
          <w:szCs w:val="32"/>
          <w:lang w:eastAsia="zh-CN" w:bidi="ar-SA"/>
        </w:rPr>
        <w:t>140.80万</w:t>
      </w:r>
      <w:r>
        <w:rPr>
          <w:rFonts w:hint="default" w:ascii="Times New Roman" w:hAnsi="Times New Roman" w:eastAsia="仿宋_GB2312" w:cs="Times New Roman"/>
          <w:kern w:val="0"/>
          <w:sz w:val="32"/>
          <w:szCs w:val="32"/>
          <w:lang w:val="en-US" w:eastAsia="zh-CN" w:bidi="ar-SA"/>
        </w:rPr>
        <w:t>元，</w:t>
      </w:r>
      <w:r>
        <w:rPr>
          <w:rFonts w:hint="default" w:ascii="Times New Roman" w:hAnsi="Times New Roman" w:eastAsia="仿宋_GB2312" w:cs="Times New Roman"/>
          <w:kern w:val="0"/>
          <w:sz w:val="32"/>
          <w:szCs w:val="32"/>
          <w:lang w:eastAsia="zh-CN" w:bidi="ar-SA"/>
        </w:rPr>
        <w:t>项目支出为134.45万元，</w:t>
      </w:r>
      <w:r>
        <w:rPr>
          <w:rFonts w:hint="default" w:ascii="Times New Roman" w:hAnsi="Times New Roman" w:eastAsia="仿宋_GB2312" w:cs="Times New Roman"/>
          <w:kern w:val="0"/>
          <w:sz w:val="32"/>
          <w:szCs w:val="32"/>
          <w:lang w:val="en-US" w:eastAsia="zh-CN" w:bidi="ar-SA"/>
        </w:rPr>
        <w:t>本年预算完成率为</w:t>
      </w:r>
      <w:r>
        <w:rPr>
          <w:rFonts w:hint="default" w:ascii="Times New Roman" w:hAnsi="Times New Roman" w:eastAsia="仿宋_GB2312" w:cs="Times New Roman"/>
          <w:kern w:val="0"/>
          <w:sz w:val="32"/>
          <w:szCs w:val="32"/>
          <w:lang w:eastAsia="zh-CN" w:bidi="ar-SA"/>
        </w:rPr>
        <w:t>96</w:t>
      </w:r>
      <w:r>
        <w:rPr>
          <w:rFonts w:hint="default" w:ascii="Times New Roman" w:hAnsi="Times New Roman" w:eastAsia="仿宋_GB2312" w:cs="Times New Roman"/>
          <w:kern w:val="0"/>
          <w:sz w:val="32"/>
          <w:szCs w:val="32"/>
          <w:lang w:val="en-US" w:eastAsia="zh-CN" w:bidi="ar-SA"/>
        </w:rPr>
        <w:t>%。</w:t>
      </w:r>
    </w:p>
    <w:p w14:paraId="532AAD8C">
      <w:pPr>
        <w:pageBreakBefore w:val="0"/>
        <w:kinsoku/>
        <w:overflowPunct/>
        <w:topLinePunct w:val="0"/>
        <w:bidi w:val="0"/>
        <w:spacing w:line="560" w:lineRule="atLeast"/>
        <w:ind w:firstLine="643" w:firstLineChars="200"/>
        <w:jc w:val="both"/>
        <w:textAlignment w:val="auto"/>
        <w:outlineLvl w:val="9"/>
        <w:rPr>
          <w:rFonts w:hint="default" w:ascii="Times New Roman" w:hAnsi="Times New Roman" w:eastAsia="仿宋_GB2312" w:cs="Times New Roman"/>
          <w:b/>
          <w:bCs w:val="0"/>
          <w:color w:val="000000"/>
          <w:kern w:val="0"/>
          <w:sz w:val="32"/>
          <w:szCs w:val="32"/>
          <w:highlight w:val="none"/>
          <w:shd w:val="clear" w:color="auto" w:fill="FFFFFF"/>
          <w:lang w:val="zh-CN" w:eastAsia="zh-CN" w:bidi="ar-SA"/>
        </w:rPr>
      </w:pPr>
      <w:r>
        <w:rPr>
          <w:rFonts w:hint="default" w:ascii="Times New Roman" w:hAnsi="Times New Roman" w:eastAsia="仿宋_GB2312" w:cs="Times New Roman"/>
          <w:b/>
          <w:bCs w:val="0"/>
          <w:color w:val="000000"/>
          <w:kern w:val="0"/>
          <w:sz w:val="32"/>
          <w:szCs w:val="32"/>
          <w:highlight w:val="none"/>
          <w:shd w:val="clear" w:color="auto" w:fill="FFFFFF"/>
          <w:lang w:val="en-US" w:eastAsia="zh-CN" w:bidi="ar-SA"/>
        </w:rPr>
        <w:t>3.</w:t>
      </w:r>
      <w:r>
        <w:rPr>
          <w:rFonts w:hint="default" w:ascii="Times New Roman" w:hAnsi="Times New Roman" w:eastAsia="仿宋_GB2312" w:cs="Times New Roman"/>
          <w:b/>
          <w:bCs w:val="0"/>
          <w:color w:val="000000"/>
          <w:kern w:val="0"/>
          <w:sz w:val="32"/>
          <w:szCs w:val="32"/>
          <w:highlight w:val="none"/>
          <w:shd w:val="clear" w:color="auto" w:fill="FFFFFF"/>
          <w:lang w:val="zh-CN" w:eastAsia="zh-CN" w:bidi="ar-SA"/>
        </w:rPr>
        <w:t>目标实现。</w:t>
      </w:r>
    </w:p>
    <w:p w14:paraId="6C289C8B">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t>）强化党建引领，筑牢救助工作思想根基</w:t>
      </w:r>
    </w:p>
    <w:p w14:paraId="034F10DC">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始终把政治建设摆在首位，深入开展学习贯彻习近平新时代中国特色社会主义思想</w:t>
      </w:r>
      <w:r>
        <w:rPr>
          <w:rFonts w:hint="default" w:ascii="Times New Roman" w:hAnsi="Times New Roman" w:eastAsia="仿宋_GB2312" w:cs="Times New Roman"/>
          <w:sz w:val="32"/>
          <w:szCs w:val="32"/>
          <w:lang w:val="en-US" w:eastAsia="zh-CN"/>
        </w:rPr>
        <w:t>及对民政工作的重要指示批示精神</w:t>
      </w:r>
      <w:r>
        <w:rPr>
          <w:rFonts w:hint="default" w:ascii="Times New Roman" w:hAnsi="Times New Roman" w:eastAsia="仿宋_GB2312" w:cs="Times New Roman"/>
          <w:sz w:val="32"/>
          <w:szCs w:val="32"/>
        </w:rPr>
        <w:t>，严格落实“三会一课”、主题党日等制度，</w:t>
      </w:r>
      <w:r>
        <w:rPr>
          <w:rFonts w:hint="default" w:ascii="Times New Roman" w:hAnsi="Times New Roman" w:eastAsia="仿宋_GB2312" w:cs="Times New Roman"/>
          <w:sz w:val="32"/>
          <w:szCs w:val="32"/>
          <w:lang w:eastAsia="zh-CN"/>
        </w:rPr>
        <w:t>组织</w:t>
      </w:r>
      <w:r>
        <w:rPr>
          <w:rFonts w:hint="default" w:ascii="Times New Roman" w:hAnsi="Times New Roman" w:eastAsia="仿宋_GB2312" w:cs="Times New Roman"/>
          <w:sz w:val="32"/>
          <w:szCs w:val="32"/>
        </w:rPr>
        <w:t>党员干部职工集中学习2</w:t>
      </w:r>
      <w:r>
        <w:rPr>
          <w:rFonts w:hint="default" w:ascii="Times New Roman" w:hAnsi="Times New Roman" w:eastAsia="仿宋_GB2312" w:cs="Times New Roman"/>
          <w:sz w:val="32"/>
          <w:szCs w:val="32"/>
          <w:lang w:val="en-US" w:eastAsia="zh-CN"/>
        </w:rPr>
        <w:t>0余</w:t>
      </w:r>
      <w:r>
        <w:rPr>
          <w:rFonts w:hint="default" w:ascii="Times New Roman" w:hAnsi="Times New Roman" w:eastAsia="仿宋_GB2312" w:cs="Times New Roman"/>
          <w:sz w:val="32"/>
          <w:szCs w:val="32"/>
        </w:rPr>
        <w:t>次，专题研讨</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次，引导全体</w:t>
      </w:r>
      <w:r>
        <w:rPr>
          <w:rFonts w:hint="default" w:ascii="Times New Roman" w:hAnsi="Times New Roman" w:eastAsia="仿宋_GB2312" w:cs="Times New Roman"/>
          <w:sz w:val="32"/>
          <w:szCs w:val="32"/>
          <w:lang w:val="en-US" w:eastAsia="zh-CN"/>
        </w:rPr>
        <w:t>职工</w:t>
      </w:r>
      <w:r>
        <w:rPr>
          <w:rFonts w:hint="default" w:ascii="Times New Roman" w:hAnsi="Times New Roman" w:eastAsia="仿宋_GB2312" w:cs="Times New Roman"/>
          <w:sz w:val="32"/>
          <w:szCs w:val="32"/>
        </w:rPr>
        <w:t>坚定理想信念，增强“四个意识”、坚定“四个自信”、做到“两个维护”。以党建促业务，将救助工作与“我为群众办实事”实践活动深度融合，党员干部带头参与一线救助、值班值守，全年党员累计参与街头巡查救助</w:t>
      </w:r>
      <w:r>
        <w:rPr>
          <w:rFonts w:hint="default" w:ascii="Times New Roman" w:hAnsi="Times New Roman" w:eastAsia="仿宋_GB2312" w:cs="Times New Roman"/>
          <w:sz w:val="32"/>
          <w:szCs w:val="32"/>
          <w:lang w:val="en-US" w:eastAsia="zh-CN"/>
        </w:rPr>
        <w:t>36</w:t>
      </w:r>
      <w:r>
        <w:rPr>
          <w:rFonts w:hint="default" w:ascii="Times New Roman" w:hAnsi="Times New Roman" w:eastAsia="仿宋_GB2312" w:cs="Times New Roman"/>
          <w:sz w:val="32"/>
          <w:szCs w:val="32"/>
        </w:rPr>
        <w:t>人次，解决群众急难问题</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件，充分发挥了党组织战斗堡垒作用和党员先锋模范作用。</w:t>
      </w:r>
    </w:p>
    <w:p w14:paraId="50AC57DF">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rPr>
        <w:t>）完善救助服务体系，提升精细化管理水平</w:t>
      </w:r>
    </w:p>
    <w:p w14:paraId="2BDD72A6">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严格执行救助物资采购、</w:t>
      </w:r>
      <w:r>
        <w:rPr>
          <w:rFonts w:hint="default" w:ascii="Times New Roman" w:hAnsi="Times New Roman" w:eastAsia="仿宋_GB2312" w:cs="Times New Roman"/>
          <w:sz w:val="32"/>
          <w:szCs w:val="32"/>
          <w:lang w:eastAsia="zh-CN"/>
        </w:rPr>
        <w:t>登记</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入库、管理、</w:t>
      </w:r>
      <w:r>
        <w:rPr>
          <w:rFonts w:hint="default" w:ascii="Times New Roman" w:hAnsi="Times New Roman" w:eastAsia="仿宋_GB2312" w:cs="Times New Roman"/>
          <w:sz w:val="32"/>
          <w:szCs w:val="32"/>
        </w:rPr>
        <w:t>发放流程，确保受助人员“吃得饱、穿得暖、住得安”。针对老年人、未成年人、患病人员等特殊群体，提供个性化饮食（如病号餐、儿童餐）和护理服务，全年特殊饮食服务累计</w:t>
      </w:r>
      <w:r>
        <w:rPr>
          <w:rFonts w:hint="default"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人次，医疗护理服务</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人次。与州人民医院、</w:t>
      </w:r>
      <w:r>
        <w:rPr>
          <w:rFonts w:hint="default" w:ascii="Times New Roman" w:hAnsi="Times New Roman" w:eastAsia="仿宋_GB2312" w:cs="Times New Roman"/>
          <w:sz w:val="32"/>
          <w:szCs w:val="32"/>
          <w:lang w:val="en-US" w:eastAsia="zh-CN"/>
        </w:rPr>
        <w:t>阿坝州</w:t>
      </w:r>
      <w:r>
        <w:rPr>
          <w:rFonts w:hint="default" w:ascii="Times New Roman" w:hAnsi="Times New Roman" w:eastAsia="仿宋_GB2312" w:cs="Times New Roman"/>
          <w:sz w:val="32"/>
          <w:szCs w:val="32"/>
        </w:rPr>
        <w:t>精神</w:t>
      </w:r>
      <w:r>
        <w:rPr>
          <w:rFonts w:hint="default" w:ascii="Times New Roman" w:hAnsi="Times New Roman" w:eastAsia="仿宋_GB2312" w:cs="Times New Roman"/>
          <w:sz w:val="32"/>
          <w:szCs w:val="32"/>
          <w:lang w:val="en-US" w:eastAsia="zh-CN"/>
        </w:rPr>
        <w:t>卫生中心</w:t>
      </w:r>
      <w:r>
        <w:rPr>
          <w:rFonts w:hint="default" w:ascii="Times New Roman" w:hAnsi="Times New Roman" w:eastAsia="仿宋_GB2312" w:cs="Times New Roman"/>
          <w:sz w:val="32"/>
          <w:szCs w:val="32"/>
        </w:rPr>
        <w:t>建立“绿色通道”，对患病受助人员实行“先救治、后结算”，全年累计送医救治2人次，危重疾病救治2人次，有效保障了受助人员生命健康安全。</w:t>
      </w:r>
      <w:r>
        <w:rPr>
          <w:rFonts w:hint="default" w:ascii="Times New Roman" w:hAnsi="Times New Roman" w:eastAsia="仿宋_GB2312" w:cs="Times New Roman"/>
          <w:sz w:val="32"/>
          <w:szCs w:val="32"/>
          <w:lang w:val="en-US" w:eastAsia="zh-CN"/>
        </w:rPr>
        <w:t>及时修订安全管理制度和各类应急预案，建立平战一体的安全管理责任体系，</w:t>
      </w:r>
      <w:r>
        <w:rPr>
          <w:rFonts w:hint="default" w:ascii="Times New Roman" w:hAnsi="Times New Roman" w:eastAsia="仿宋_GB2312" w:cs="Times New Roman"/>
          <w:sz w:val="32"/>
          <w:szCs w:val="32"/>
        </w:rPr>
        <w:t>严格落实消防安全、食品安全、</w:t>
      </w:r>
      <w:r>
        <w:rPr>
          <w:rFonts w:hint="default" w:ascii="Times New Roman" w:hAnsi="Times New Roman" w:eastAsia="仿宋_GB2312" w:cs="Times New Roman"/>
          <w:sz w:val="32"/>
          <w:szCs w:val="32"/>
          <w:lang w:val="en-US" w:eastAsia="zh-CN"/>
        </w:rPr>
        <w:t>传染病</w:t>
      </w:r>
      <w:r>
        <w:rPr>
          <w:rFonts w:hint="default" w:ascii="Times New Roman" w:hAnsi="Times New Roman" w:eastAsia="仿宋_GB2312" w:cs="Times New Roman"/>
          <w:sz w:val="32"/>
          <w:szCs w:val="32"/>
        </w:rPr>
        <w:t>防控等制度，每月开展安全隐患排查，</w:t>
      </w:r>
      <w:r>
        <w:rPr>
          <w:rFonts w:hint="default" w:ascii="Times New Roman" w:hAnsi="Times New Roman" w:eastAsia="仿宋_GB2312" w:cs="Times New Roman"/>
          <w:sz w:val="32"/>
          <w:szCs w:val="32"/>
          <w:lang w:val="en-US" w:eastAsia="zh-CN"/>
        </w:rPr>
        <w:t>整改安全隐患3处</w:t>
      </w:r>
      <w:r>
        <w:rPr>
          <w:rFonts w:hint="default" w:ascii="Times New Roman" w:hAnsi="Times New Roman" w:eastAsia="仿宋_GB2312" w:cs="Times New Roman"/>
          <w:sz w:val="32"/>
          <w:szCs w:val="32"/>
        </w:rPr>
        <w:t>，组织应急演练</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次，全年未发生安全责任事故。</w:t>
      </w:r>
    </w:p>
    <w:p w14:paraId="19342D22">
      <w:pPr>
        <w:pageBreakBefore w:val="0"/>
        <w:kinsoku/>
        <w:overflowPunct/>
        <w:topLinePunct w:val="0"/>
        <w:bidi w:val="0"/>
        <w:spacing w:line="560" w:lineRule="atLeas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eastAsia="zh-CN"/>
        </w:rPr>
        <w:t>部门协同联动，</w:t>
      </w:r>
      <w:r>
        <w:rPr>
          <w:rFonts w:hint="default" w:ascii="Times New Roman" w:hAnsi="Times New Roman" w:eastAsia="仿宋_GB2312" w:cs="Times New Roman"/>
          <w:sz w:val="32"/>
          <w:szCs w:val="32"/>
        </w:rPr>
        <w:t>深化街面主动救助</w:t>
      </w:r>
    </w:p>
    <w:p w14:paraId="5070F86F">
      <w:pPr>
        <w:pageBreakBefore w:val="0"/>
        <w:kinsoku/>
        <w:overflowPunct/>
        <w:topLinePunct w:val="0"/>
        <w:bidi w:val="0"/>
        <w:spacing w:line="560" w:lineRule="atLeas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组建救助巡查</w:t>
      </w:r>
      <w:r>
        <w:rPr>
          <w:rFonts w:hint="default" w:ascii="Times New Roman" w:hAnsi="Times New Roman" w:eastAsia="仿宋_GB2312" w:cs="Times New Roman"/>
          <w:sz w:val="32"/>
          <w:szCs w:val="32"/>
          <w:lang w:val="en-US" w:eastAsia="zh-CN"/>
        </w:rPr>
        <w:t>专班</w:t>
      </w:r>
      <w:r>
        <w:rPr>
          <w:rFonts w:hint="default" w:ascii="Times New Roman" w:hAnsi="Times New Roman" w:eastAsia="仿宋_GB2312" w:cs="Times New Roman"/>
          <w:sz w:val="32"/>
          <w:szCs w:val="32"/>
        </w:rPr>
        <w:t>队伍，实行“日常巡查+重点时段巡查+恶劣天气巡查”模式，重点对车站、广场、桥梁涵洞、城乡结合部等区域开展巡查。全年累计街面巡查</w:t>
      </w:r>
      <w:r>
        <w:rPr>
          <w:rFonts w:hint="default" w:ascii="Times New Roman" w:hAnsi="Times New Roman" w:eastAsia="仿宋_GB2312" w:cs="Times New Roman"/>
          <w:sz w:val="32"/>
          <w:szCs w:val="32"/>
          <w:lang w:val="en-US" w:eastAsia="zh-CN"/>
        </w:rPr>
        <w:t>128</w:t>
      </w:r>
      <w:r>
        <w:rPr>
          <w:rFonts w:hint="default" w:ascii="Times New Roman" w:hAnsi="Times New Roman" w:eastAsia="仿宋_GB2312" w:cs="Times New Roman"/>
          <w:sz w:val="32"/>
          <w:szCs w:val="32"/>
        </w:rPr>
        <w:t>车次，劝导救助流浪乞讨人员</w:t>
      </w:r>
      <w:r>
        <w:rPr>
          <w:rFonts w:hint="default" w:ascii="Times New Roman" w:hAnsi="Times New Roman" w:eastAsia="仿宋_GB2312" w:cs="Times New Roman"/>
          <w:sz w:val="32"/>
          <w:szCs w:val="32"/>
          <w:lang w:val="en-US" w:eastAsia="zh-CN"/>
        </w:rPr>
        <w:t>89</w:t>
      </w:r>
      <w:r>
        <w:rPr>
          <w:rFonts w:hint="default" w:ascii="Times New Roman" w:hAnsi="Times New Roman" w:eastAsia="仿宋_GB2312" w:cs="Times New Roman"/>
          <w:sz w:val="32"/>
          <w:szCs w:val="32"/>
        </w:rPr>
        <w:t>人次，其中主动救助行动不便人员</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人次，护送返乡</w:t>
      </w: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人次，有效减少了街面流浪乞讨现象。针对冬季低温、夏季暴雨等极端天气，启动“寒冬送温暖”“夏季送清凉”专项行动，发放御寒衣物、防暑药品等物资，救助临时遇困人员</w:t>
      </w:r>
      <w:r>
        <w:rPr>
          <w:rFonts w:hint="default" w:ascii="Times New Roman" w:hAnsi="Times New Roman" w:eastAsia="仿宋_GB2312" w:cs="Times New Roman"/>
          <w:sz w:val="32"/>
          <w:szCs w:val="32"/>
          <w:lang w:val="en-US" w:eastAsia="zh-CN"/>
        </w:rPr>
        <w:t>81</w:t>
      </w:r>
      <w:r>
        <w:rPr>
          <w:rFonts w:hint="default" w:ascii="Times New Roman" w:hAnsi="Times New Roman" w:eastAsia="仿宋_GB2312" w:cs="Times New Roman"/>
          <w:sz w:val="32"/>
          <w:szCs w:val="32"/>
        </w:rPr>
        <w:t>人次。</w:t>
      </w:r>
    </w:p>
    <w:p w14:paraId="0F54885E">
      <w:pPr>
        <w:pageBreakBefore w:val="0"/>
        <w:kinsoku/>
        <w:overflowPunct/>
        <w:topLinePunct w:val="0"/>
        <w:bidi w:val="0"/>
        <w:spacing w:line="560" w:lineRule="atLeast"/>
        <w:ind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）未成年人救助保护</w:t>
      </w:r>
    </w:p>
    <w:p w14:paraId="479C3695">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严格落实《未成年人保护法》，设立独立的未成年人救助专区，配备专</w:t>
      </w:r>
      <w:r>
        <w:rPr>
          <w:rFonts w:hint="default" w:ascii="Times New Roman" w:hAnsi="Times New Roman" w:eastAsia="仿宋_GB2312" w:cs="Times New Roman"/>
          <w:sz w:val="32"/>
          <w:szCs w:val="32"/>
          <w:lang w:eastAsia="zh-CN"/>
        </w:rPr>
        <w:t>（兼）职</w:t>
      </w:r>
      <w:r>
        <w:rPr>
          <w:rFonts w:hint="default" w:ascii="Times New Roman" w:hAnsi="Times New Roman" w:eastAsia="仿宋_GB2312" w:cs="Times New Roman"/>
          <w:sz w:val="32"/>
          <w:szCs w:val="32"/>
        </w:rPr>
        <w:t>社工和心理辅导员，全年救助未成年人</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人次。对困境未成年人</w:t>
      </w:r>
      <w:r>
        <w:rPr>
          <w:rFonts w:hint="default" w:ascii="Times New Roman" w:hAnsi="Times New Roman" w:eastAsia="仿宋_GB2312" w:cs="Times New Roman"/>
          <w:sz w:val="32"/>
          <w:szCs w:val="32"/>
          <w:lang w:val="en-US" w:eastAsia="zh-CN"/>
        </w:rPr>
        <w:t>救助</w:t>
      </w:r>
      <w:r>
        <w:rPr>
          <w:rFonts w:hint="default" w:ascii="Times New Roman" w:hAnsi="Times New Roman" w:eastAsia="仿宋_GB2312" w:cs="Times New Roman"/>
          <w:sz w:val="32"/>
          <w:szCs w:val="32"/>
        </w:rPr>
        <w:t>实行“一人一</w:t>
      </w:r>
      <w:r>
        <w:rPr>
          <w:rFonts w:hint="default" w:ascii="Times New Roman" w:hAnsi="Times New Roman" w:eastAsia="仿宋_GB2312" w:cs="Times New Roman"/>
          <w:sz w:val="32"/>
          <w:szCs w:val="32"/>
          <w:lang w:val="en-US" w:eastAsia="zh-CN"/>
        </w:rPr>
        <w:t>策、会商解困</w:t>
      </w:r>
      <w:r>
        <w:rPr>
          <w:rFonts w:hint="default" w:ascii="Times New Roman" w:hAnsi="Times New Roman" w:eastAsia="仿宋_GB2312" w:cs="Times New Roman"/>
          <w:sz w:val="32"/>
          <w:szCs w:val="32"/>
        </w:rPr>
        <w:t>”，开展心理疏导</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次，成功护送返乡</w:t>
      </w:r>
      <w:r>
        <w:rPr>
          <w:rFonts w:hint="default"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32"/>
        </w:rPr>
        <w:t>联系学校帮助</w:t>
      </w:r>
      <w:r>
        <w:rPr>
          <w:rFonts w:hint="default" w:ascii="Times New Roman" w:hAnsi="Times New Roman" w:eastAsia="仿宋_GB2312" w:cs="Times New Roman"/>
          <w:sz w:val="32"/>
          <w:szCs w:val="32"/>
          <w:lang w:val="en-US" w:eastAsia="zh-CN"/>
        </w:rPr>
        <w:t>其</w:t>
      </w:r>
      <w:r>
        <w:rPr>
          <w:rFonts w:hint="default" w:ascii="Times New Roman" w:hAnsi="Times New Roman" w:eastAsia="仿宋_GB2312" w:cs="Times New Roman"/>
          <w:sz w:val="32"/>
          <w:szCs w:val="32"/>
        </w:rPr>
        <w:t>重返校园，确保未成年人权益得到</w:t>
      </w:r>
      <w:r>
        <w:rPr>
          <w:rFonts w:hint="default" w:ascii="Times New Roman" w:hAnsi="Times New Roman" w:eastAsia="仿宋_GB2312" w:cs="Times New Roman"/>
          <w:sz w:val="32"/>
          <w:szCs w:val="32"/>
          <w:lang w:val="en-US" w:eastAsia="zh-CN"/>
        </w:rPr>
        <w:t>根本</w:t>
      </w:r>
      <w:r>
        <w:rPr>
          <w:rFonts w:hint="default" w:ascii="Times New Roman" w:hAnsi="Times New Roman" w:eastAsia="仿宋_GB2312" w:cs="Times New Roman"/>
          <w:sz w:val="32"/>
          <w:szCs w:val="32"/>
        </w:rPr>
        <w:t>保障。</w:t>
      </w:r>
    </w:p>
    <w:p w14:paraId="7489D224">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）特殊群体帮扶安置</w:t>
      </w:r>
    </w:p>
    <w:p w14:paraId="76C70266">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针对</w:t>
      </w:r>
      <w:r>
        <w:rPr>
          <w:rFonts w:hint="default" w:ascii="Times New Roman" w:hAnsi="Times New Roman" w:eastAsia="仿宋_GB2312" w:cs="Times New Roman"/>
          <w:sz w:val="32"/>
          <w:szCs w:val="32"/>
          <w:lang w:val="en-US" w:eastAsia="zh-CN"/>
        </w:rPr>
        <w:t>疑似</w:t>
      </w:r>
      <w:r>
        <w:rPr>
          <w:rFonts w:hint="default" w:ascii="Times New Roman" w:hAnsi="Times New Roman" w:eastAsia="仿宋_GB2312" w:cs="Times New Roman"/>
          <w:sz w:val="32"/>
          <w:szCs w:val="32"/>
        </w:rPr>
        <w:t>精神障碍患者、残疾人等长期滞留人员，积极协调民政、卫健、残联等部门，落实集中供养、医疗康复、就业帮扶等措施。为</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名无家可归、无劳动能力的受助人员办理特困供养手续，实现“安置一人、稳定一户”的帮扶效果。</w:t>
      </w:r>
    </w:p>
    <w:p w14:paraId="2E653314">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）跨省协作寻亲返乡</w:t>
      </w:r>
      <w:r>
        <w:rPr>
          <w:rFonts w:hint="default" w:ascii="Times New Roman" w:hAnsi="Times New Roman" w:eastAsia="仿宋_GB2312" w:cs="Times New Roman"/>
          <w:sz w:val="32"/>
          <w:szCs w:val="32"/>
          <w:lang w:eastAsia="zh-CN"/>
        </w:rPr>
        <w:t>。</w:t>
      </w:r>
    </w:p>
    <w:p w14:paraId="74A71740">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依托全国救助管理信息系统和“互联网+寻亲”平台，加强与</w:t>
      </w:r>
      <w:r>
        <w:rPr>
          <w:rFonts w:hint="default" w:ascii="Times New Roman" w:hAnsi="Times New Roman" w:eastAsia="仿宋_GB2312" w:cs="Times New Roman"/>
          <w:sz w:val="32"/>
          <w:szCs w:val="32"/>
          <w:lang w:val="en-US" w:eastAsia="zh-CN"/>
        </w:rPr>
        <w:t>内蒙</w:t>
      </w:r>
      <w:r>
        <w:rPr>
          <w:rFonts w:hint="default" w:ascii="Times New Roman" w:hAnsi="Times New Roman" w:eastAsia="仿宋_GB2312" w:cs="Times New Roman"/>
          <w:sz w:val="32"/>
          <w:szCs w:val="32"/>
        </w:rPr>
        <w:t>、青海、甘肃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河南</w:t>
      </w:r>
      <w:r>
        <w:rPr>
          <w:rFonts w:hint="default" w:ascii="Times New Roman" w:hAnsi="Times New Roman" w:eastAsia="仿宋_GB2312" w:cs="Times New Roman"/>
          <w:sz w:val="32"/>
          <w:szCs w:val="32"/>
        </w:rPr>
        <w:t>等省份救助站的协作，通过人脸识别、DNA比对、媒体寻亲等方式，帮助</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名受助人员找到亲属</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成功帮助</w:t>
      </w:r>
      <w:r>
        <w:rPr>
          <w:rFonts w:hint="default" w:ascii="Times New Roman" w:hAnsi="Times New Roman" w:eastAsia="仿宋_GB2312" w:cs="Times New Roman"/>
          <w:sz w:val="32"/>
          <w:szCs w:val="32"/>
          <w:lang w:val="en-US" w:eastAsia="zh-CN"/>
        </w:rPr>
        <w:t>内江、内蒙古失能人员</w:t>
      </w:r>
      <w:r>
        <w:rPr>
          <w:rFonts w:hint="default" w:ascii="Times New Roman" w:hAnsi="Times New Roman" w:eastAsia="仿宋_GB2312" w:cs="Times New Roman"/>
          <w:sz w:val="32"/>
          <w:szCs w:val="32"/>
        </w:rPr>
        <w:t>与家人团聚。</w:t>
      </w:r>
    </w:p>
    <w:p w14:paraId="681C463D">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（7）赋能增智，提升救助量质。</w:t>
      </w:r>
    </w:p>
    <w:p w14:paraId="0164750C">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及时研判救助管理工作的新政策，新问题和新任务，对全州13个县市的救助管理业务人员进行政策业务和系统操作培训，全年救助量从2024年的93人增长至537人，救助服务覆盖各类临时遇困人员，有效解决了临时遇困人员的急难愁盼问题。2025年，我站未发生信访投诉问题，受助人员满意度测评100</w:t>
      </w:r>
      <w:r>
        <w:rPr>
          <w:rFonts w:hint="default" w:ascii="Times New Roman" w:hAnsi="Times New Roman" w:eastAsia="仿宋_GB2312" w:cs="Times New Roman"/>
          <w:sz w:val="32"/>
          <w:szCs w:val="32"/>
          <w:lang w:val="en-US" w:eastAsia="zh-CN" w:bidi="ar-SA"/>
        </w:rPr>
        <w:t>%。</w:t>
      </w:r>
    </w:p>
    <w:p w14:paraId="1E24E043">
      <w:pPr>
        <w:pageBreakBefore w:val="0"/>
        <w:kinsoku/>
        <w:overflowPunct/>
        <w:topLinePunct w:val="0"/>
        <w:bidi w:val="0"/>
        <w:spacing w:line="560" w:lineRule="atLeast"/>
        <w:ind w:firstLine="640" w:firstLineChars="200"/>
        <w:jc w:val="both"/>
        <w:textAlignment w:val="auto"/>
        <w:outlineLvl w:val="9"/>
        <w:rPr>
          <w:rFonts w:hint="default" w:ascii="Times New Roman" w:hAnsi="Times New Roman" w:eastAsia="楷体_GB2312" w:cs="Times New Roman"/>
        </w:rPr>
      </w:pPr>
      <w:r>
        <w:rPr>
          <w:rFonts w:hint="default" w:ascii="Times New Roman" w:hAnsi="Times New Roman" w:eastAsia="仿宋_GB2312" w:cs="Times New Roman"/>
          <w:sz w:val="32"/>
          <w:szCs w:val="32"/>
          <w:lang w:val="en-US" w:eastAsia="zh-CN"/>
        </w:rPr>
        <w:t>（8）救助关口前移，提升救助时效。</w:t>
      </w:r>
    </w:p>
    <w:p w14:paraId="5B313894">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健全救助网络和发现救助响应机制，利用福彩销售点设置救助引导点7处，及时有序的劝导遇困人员接受救助。有效利用</w:t>
      </w:r>
      <w:r>
        <w:rPr>
          <w:rFonts w:hint="default" w:ascii="Times New Roman" w:hAnsi="Times New Roman" w:eastAsia="仿宋_GB2312" w:cs="Times New Roman"/>
          <w:sz w:val="32"/>
          <w:szCs w:val="32"/>
        </w:rPr>
        <w:t>救助管理信息系统，实现救助申请、身份核验、物资发放、寻亲匹配等全流程线上办理，提高工作效率。提供在线求助、政策咨询、寻亲登记等服务，拓展了救助服务渠道。</w:t>
      </w:r>
    </w:p>
    <w:p w14:paraId="5C8323B2">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）加强宣传引导与社会参与</w:t>
      </w:r>
    </w:p>
    <w:p w14:paraId="6ED080B1">
      <w:pPr>
        <w:pageBreakBefore w:val="0"/>
        <w:kinsoku/>
        <w:overflowPunct/>
        <w:topLinePunct w:val="0"/>
        <w:bidi w:val="0"/>
        <w:spacing w:line="560" w:lineRule="atLeas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通过“阿坝民政”公众号、</w:t>
      </w:r>
      <w:r>
        <w:rPr>
          <w:rFonts w:hint="default" w:ascii="Times New Roman" w:hAnsi="Times New Roman" w:eastAsia="仿宋_GB2312" w:cs="Times New Roman"/>
          <w:sz w:val="32"/>
          <w:szCs w:val="32"/>
          <w:lang w:val="en-US" w:eastAsia="zh-CN"/>
        </w:rPr>
        <w:t>宣传册页、</w:t>
      </w:r>
      <w:r>
        <w:rPr>
          <w:rFonts w:hint="default" w:ascii="Times New Roman" w:hAnsi="Times New Roman" w:eastAsia="仿宋_GB2312" w:cs="Times New Roman"/>
          <w:sz w:val="32"/>
          <w:szCs w:val="32"/>
        </w:rPr>
        <w:t>短视频平台等宣传救助政策和工作成效，开展“开放日”活动</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次，邀请人大代表、政协委员、</w:t>
      </w:r>
      <w:r>
        <w:rPr>
          <w:rFonts w:hint="default" w:ascii="Times New Roman" w:hAnsi="Times New Roman" w:eastAsia="仿宋_GB2312" w:cs="Times New Roman"/>
          <w:sz w:val="32"/>
          <w:szCs w:val="32"/>
          <w:lang w:val="en-US" w:eastAsia="zh-CN"/>
        </w:rPr>
        <w:t>社区工作者、网格员、</w:t>
      </w:r>
      <w:r>
        <w:rPr>
          <w:rFonts w:hint="default" w:ascii="Times New Roman" w:hAnsi="Times New Roman" w:eastAsia="仿宋_GB2312" w:cs="Times New Roman"/>
          <w:sz w:val="32"/>
          <w:szCs w:val="32"/>
        </w:rPr>
        <w:t>志愿者等参观体验救助工作，</w:t>
      </w:r>
      <w:r>
        <w:rPr>
          <w:rFonts w:hint="default" w:ascii="Times New Roman" w:hAnsi="Times New Roman" w:eastAsia="仿宋_GB2312" w:cs="Times New Roman"/>
          <w:sz w:val="32"/>
          <w:szCs w:val="32"/>
          <w:lang w:val="en-US" w:eastAsia="zh-CN"/>
        </w:rPr>
        <w:t>逐步</w:t>
      </w:r>
      <w:r>
        <w:rPr>
          <w:rFonts w:hint="default" w:ascii="Times New Roman" w:hAnsi="Times New Roman" w:eastAsia="仿宋_GB2312" w:cs="Times New Roman"/>
          <w:sz w:val="32"/>
          <w:szCs w:val="32"/>
        </w:rPr>
        <w:t>形成“政府主导、社会参与、多元共治”的救助格局。</w:t>
      </w:r>
    </w:p>
    <w:p w14:paraId="1F1757D1">
      <w:pPr>
        <w:keepNext w:val="0"/>
        <w:keepLines w:val="0"/>
        <w:pageBreakBefore w:val="0"/>
        <w:widowControl w:val="0"/>
        <w:kinsoku/>
        <w:wordWrap/>
        <w:overflowPunct/>
        <w:topLinePunct w:val="0"/>
        <w:autoSpaceDE/>
        <w:autoSpaceDN/>
        <w:bidi w:val="0"/>
        <w:snapToGrid w:val="0"/>
        <w:spacing w:line="560" w:lineRule="atLeast"/>
        <w:ind w:firstLine="643" w:firstLineChars="200"/>
        <w:jc w:val="both"/>
        <w:textAlignment w:val="auto"/>
        <w:outlineLvl w:val="9"/>
        <w:rPr>
          <w:rFonts w:hint="default" w:ascii="Times New Roman" w:hAnsi="Times New Roman" w:eastAsia="楷体" w:cs="Times New Roman"/>
          <w:b/>
          <w:bCs/>
          <w:sz w:val="32"/>
          <w:szCs w:val="32"/>
          <w:lang w:val="zh-CN" w:eastAsia="zh-CN"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w:t>
      </w:r>
      <w:r>
        <w:rPr>
          <w:rFonts w:hint="default" w:ascii="Times New Roman" w:hAnsi="Times New Roman" w:eastAsia="楷体" w:cs="Times New Roman"/>
          <w:b/>
          <w:bCs/>
          <w:color w:val="000000"/>
          <w:kern w:val="0"/>
          <w:sz w:val="32"/>
          <w:szCs w:val="32"/>
          <w:highlight w:val="none"/>
          <w:shd w:val="clear" w:color="auto" w:fill="FFFFFF"/>
          <w:lang w:bidi="ar-SA"/>
        </w:rPr>
        <w:t>三</w:t>
      </w:r>
      <w:r>
        <w:rPr>
          <w:rFonts w:hint="default" w:ascii="Times New Roman" w:hAnsi="Times New Roman" w:eastAsia="楷体" w:cs="Times New Roman"/>
          <w:b/>
          <w:bCs/>
          <w:color w:val="000000"/>
          <w:kern w:val="0"/>
          <w:sz w:val="32"/>
          <w:szCs w:val="32"/>
          <w:highlight w:val="none"/>
          <w:shd w:val="clear" w:color="auto" w:fill="FFFFFF"/>
          <w:lang w:val="zh-CN" w:eastAsia="zh-CN" w:bidi="ar-SA"/>
        </w:rPr>
        <w:t>）</w:t>
      </w:r>
      <w:r>
        <w:rPr>
          <w:rFonts w:hint="default" w:ascii="Times New Roman" w:hAnsi="Times New Roman" w:eastAsia="楷体" w:cs="Times New Roman"/>
          <w:b/>
          <w:bCs/>
          <w:sz w:val="32"/>
          <w:szCs w:val="32"/>
          <w:lang w:val="zh-CN" w:eastAsia="zh-CN" w:bidi="ar-SA"/>
        </w:rPr>
        <w:t>绩效结果应用情况。</w:t>
      </w:r>
    </w:p>
    <w:p w14:paraId="723D81A8">
      <w:pPr>
        <w:keepNext w:val="0"/>
        <w:keepLines w:val="0"/>
        <w:pageBreakBefore w:val="0"/>
        <w:widowControl w:val="0"/>
        <w:kinsoku/>
        <w:wordWrap/>
        <w:overflowPunct/>
        <w:topLinePunct w:val="0"/>
        <w:autoSpaceDE/>
        <w:autoSpaceDN/>
        <w:bidi w:val="0"/>
        <w:snapToGrid w:val="0"/>
        <w:spacing w:line="560" w:lineRule="atLeast"/>
        <w:ind w:left="0" w:firstLine="640" w:firstLineChars="200"/>
        <w:jc w:val="both"/>
        <w:textAlignment w:val="auto"/>
        <w:rPr>
          <w:rFonts w:hint="default" w:ascii="Times New Roman" w:hAnsi="Times New Roman" w:eastAsia="仿宋_GB2312" w:cs="Times New Roman"/>
          <w:b/>
          <w:sz w:val="32"/>
          <w:szCs w:val="32"/>
          <w:lang w:bidi="ar-SA"/>
        </w:rPr>
      </w:pPr>
      <w:r>
        <w:rPr>
          <w:rFonts w:hint="default" w:ascii="Times New Roman" w:hAnsi="Times New Roman" w:eastAsia="仿宋_GB2312" w:cs="Times New Roman"/>
          <w:spacing w:val="0"/>
          <w:sz w:val="32"/>
          <w:szCs w:val="32"/>
          <w:lang w:val="en-US" w:eastAsia="zh-CN" w:bidi="ar-SA"/>
        </w:rPr>
        <w:t>通过整体支出绩效自查，考评，根据绩效考评结果，我</w:t>
      </w:r>
      <w:r>
        <w:rPr>
          <w:rFonts w:hint="default" w:ascii="Times New Roman" w:hAnsi="Times New Roman" w:eastAsia="仿宋_GB2312" w:cs="Times New Roman"/>
          <w:spacing w:val="0"/>
          <w:sz w:val="32"/>
          <w:szCs w:val="32"/>
          <w:lang w:eastAsia="zh-CN" w:bidi="ar-SA"/>
        </w:rPr>
        <w:t>站</w:t>
      </w:r>
      <w:r>
        <w:rPr>
          <w:rFonts w:hint="default" w:ascii="Times New Roman" w:hAnsi="Times New Roman" w:eastAsia="仿宋_GB2312" w:cs="Times New Roman"/>
          <w:spacing w:val="0"/>
          <w:sz w:val="32"/>
          <w:szCs w:val="32"/>
          <w:lang w:val="en-US" w:eastAsia="zh-CN" w:bidi="ar-SA"/>
        </w:rPr>
        <w:t>进一步细化科学合理的绩效评价指标、评价标准和评价方法，对项目资金的经济性、效率性和效益性进行客观、公正的评价，</w:t>
      </w:r>
      <w:r>
        <w:rPr>
          <w:rFonts w:hint="default" w:ascii="Times New Roman" w:hAnsi="Times New Roman" w:eastAsia="仿宋_GB2312" w:cs="Times New Roman"/>
          <w:kern w:val="0"/>
          <w:sz w:val="32"/>
          <w:szCs w:val="32"/>
          <w:lang w:bidi="ar-SA"/>
        </w:rPr>
        <w:t>严格按照国家的法律法规加强预算管理</w:t>
      </w:r>
      <w:r>
        <w:rPr>
          <w:rFonts w:hint="default" w:ascii="Times New Roman" w:hAnsi="Times New Roman" w:eastAsia="仿宋_GB2312" w:cs="Times New Roman"/>
          <w:kern w:val="0"/>
          <w:sz w:val="32"/>
          <w:szCs w:val="32"/>
          <w:lang w:eastAsia="zh-CN" w:bidi="ar-SA"/>
        </w:rPr>
        <w:t>，</w:t>
      </w:r>
      <w:r>
        <w:rPr>
          <w:rFonts w:hint="default" w:ascii="Times New Roman" w:hAnsi="Times New Roman" w:eastAsia="仿宋_GB2312" w:cs="Times New Roman"/>
          <w:kern w:val="0"/>
          <w:sz w:val="32"/>
          <w:szCs w:val="32"/>
          <w:lang w:bidi="ar-SA"/>
        </w:rPr>
        <w:t>大力提倡勤俭节约，坚持财政预算管理制度，做好预算支出及执行情况调度，财政供养人员控制在预算编制以内，“三公”经费预算支出在控制数内；严格财经纪律，严格财务制度，坚持先有预算、后有支出</w:t>
      </w:r>
      <w:r>
        <w:rPr>
          <w:rFonts w:hint="default" w:ascii="Times New Roman" w:hAnsi="Times New Roman" w:eastAsia="仿宋_GB2312" w:cs="Times New Roman"/>
          <w:kern w:val="0"/>
          <w:sz w:val="32"/>
          <w:szCs w:val="32"/>
          <w:lang w:eastAsia="zh-CN" w:bidi="ar-SA"/>
        </w:rPr>
        <w:t>，</w:t>
      </w:r>
      <w:r>
        <w:rPr>
          <w:rFonts w:hint="default" w:ascii="Times New Roman" w:hAnsi="Times New Roman" w:eastAsia="仿宋_GB2312" w:cs="Times New Roman"/>
          <w:spacing w:val="0"/>
          <w:sz w:val="32"/>
          <w:szCs w:val="32"/>
          <w:lang w:val="en-US" w:eastAsia="zh-CN" w:bidi="ar-SA"/>
        </w:rPr>
        <w:t>争取项目绩效评价覆盖率达到100%</w:t>
      </w:r>
    </w:p>
    <w:p w14:paraId="68D878C3">
      <w:pPr>
        <w:keepNext w:val="0"/>
        <w:keepLines w:val="0"/>
        <w:pageBreakBefore w:val="0"/>
        <w:widowControl/>
        <w:kinsoku/>
        <w:wordWrap/>
        <w:overflowPunct/>
        <w:topLinePunct w:val="0"/>
        <w:autoSpaceDE/>
        <w:autoSpaceDN/>
        <w:bidi w:val="0"/>
        <w:adjustRightInd w:val="0"/>
        <w:snapToGrid w:val="0"/>
        <w:spacing w:line="560" w:lineRule="atLeast"/>
        <w:ind w:firstLine="640" w:firstLineChars="200"/>
        <w:contextualSpacing/>
        <w:jc w:val="both"/>
        <w:textAlignment w:val="auto"/>
        <w:outlineLvl w:val="9"/>
        <w:rPr>
          <w:rFonts w:hint="default" w:ascii="Times New Roman" w:hAnsi="Times New Roman" w:eastAsia="黑体" w:cs="Times New Roman"/>
          <w:color w:val="000000"/>
          <w:kern w:val="0"/>
          <w:sz w:val="32"/>
          <w:szCs w:val="32"/>
          <w:highlight w:val="none"/>
          <w:shd w:val="clear" w:color="auto" w:fill="FFFFFF"/>
          <w:lang w:bidi="ar-SA"/>
        </w:rPr>
      </w:pPr>
      <w:r>
        <w:rPr>
          <w:rFonts w:hint="default" w:ascii="Times New Roman" w:hAnsi="Times New Roman" w:eastAsia="黑体" w:cs="Times New Roman"/>
          <w:color w:val="000000"/>
          <w:kern w:val="0"/>
          <w:sz w:val="32"/>
          <w:szCs w:val="32"/>
          <w:highlight w:val="none"/>
          <w:shd w:val="clear" w:color="auto" w:fill="FFFFFF"/>
          <w:lang w:eastAsia="zh-CN" w:bidi="ar-SA"/>
        </w:rPr>
        <w:t>四、</w:t>
      </w:r>
      <w:r>
        <w:rPr>
          <w:rFonts w:hint="default" w:ascii="Times New Roman" w:hAnsi="Times New Roman" w:eastAsia="黑体" w:cs="Times New Roman"/>
          <w:color w:val="000000"/>
          <w:kern w:val="0"/>
          <w:sz w:val="32"/>
          <w:szCs w:val="32"/>
          <w:highlight w:val="none"/>
          <w:shd w:val="clear" w:color="auto" w:fill="FFFFFF"/>
          <w:lang w:bidi="ar-SA"/>
        </w:rPr>
        <w:t>评价结论及建议</w:t>
      </w:r>
    </w:p>
    <w:p w14:paraId="24DCDDEB">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N/>
        <w:bidi w:val="0"/>
        <w:spacing w:before="0" w:beforeAutospacing="0" w:after="0" w:afterAutospacing="0" w:line="560" w:lineRule="atLeast"/>
        <w:ind w:left="0" w:right="0" w:firstLine="630"/>
        <w:jc w:val="both"/>
        <w:textAlignment w:val="auto"/>
        <w:rPr>
          <w:rFonts w:hint="default" w:ascii="Times New Roman" w:hAnsi="Times New Roman" w:eastAsia="仿宋_GB2312" w:cs="Times New Roman"/>
          <w:sz w:val="32"/>
          <w:szCs w:val="32"/>
          <w:lang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（一）评价结论。</w:t>
      </w:r>
      <w:r>
        <w:rPr>
          <w:rFonts w:hint="default" w:ascii="Times New Roman" w:hAnsi="Times New Roman" w:eastAsia="仿宋_GB2312" w:cs="Times New Roman"/>
          <w:sz w:val="32"/>
          <w:szCs w:val="32"/>
          <w:lang w:bidi="ar-SA"/>
        </w:rPr>
        <w:t>我站在上级主管部门和州财政局的指导监督下，积极履职，勇于担当，</w:t>
      </w:r>
      <w:r>
        <w:rPr>
          <w:rFonts w:hint="default" w:ascii="Times New Roman" w:hAnsi="Times New Roman" w:eastAsia="仿宋_GB2312" w:cs="Times New Roman"/>
          <w:kern w:val="0"/>
          <w:sz w:val="32"/>
          <w:szCs w:val="32"/>
          <w:lang w:bidi="ar-SA"/>
        </w:rPr>
        <w:t>按照</w:t>
      </w:r>
      <w:r>
        <w:rPr>
          <w:rFonts w:hint="default" w:ascii="Times New Roman" w:hAnsi="Times New Roman" w:eastAsia="仿宋_GB2312" w:cs="Times New Roman"/>
          <w:kern w:val="0"/>
          <w:sz w:val="32"/>
          <w:szCs w:val="32"/>
          <w:lang w:eastAsia="zh-CN" w:bidi="ar-SA"/>
        </w:rPr>
        <w:t>社会救助</w:t>
      </w:r>
      <w:r>
        <w:rPr>
          <w:rFonts w:hint="default" w:ascii="Times New Roman" w:hAnsi="Times New Roman" w:eastAsia="仿宋_GB2312" w:cs="Times New Roman"/>
          <w:kern w:val="0"/>
          <w:sz w:val="32"/>
          <w:szCs w:val="32"/>
          <w:lang w:bidi="ar-SA"/>
        </w:rPr>
        <w:t>政策法规</w:t>
      </w:r>
      <w:r>
        <w:rPr>
          <w:rFonts w:hint="default" w:ascii="Times New Roman" w:hAnsi="Times New Roman" w:eastAsia="仿宋_GB2312" w:cs="Times New Roman"/>
          <w:kern w:val="0"/>
          <w:sz w:val="32"/>
          <w:szCs w:val="32"/>
          <w:lang w:eastAsia="zh-CN" w:bidi="ar-SA"/>
        </w:rPr>
        <w:t>和财经纪律</w:t>
      </w:r>
      <w:r>
        <w:rPr>
          <w:rFonts w:hint="default" w:ascii="Times New Roman" w:hAnsi="Times New Roman" w:eastAsia="仿宋_GB2312" w:cs="Times New Roman"/>
          <w:kern w:val="0"/>
          <w:sz w:val="32"/>
          <w:szCs w:val="32"/>
          <w:lang w:bidi="ar-SA"/>
        </w:rPr>
        <w:t>，</w:t>
      </w:r>
      <w:r>
        <w:rPr>
          <w:rFonts w:hint="default" w:ascii="Times New Roman" w:hAnsi="Times New Roman" w:eastAsia="仿宋_GB2312" w:cs="Times New Roman"/>
          <w:kern w:val="0"/>
          <w:sz w:val="32"/>
          <w:szCs w:val="32"/>
          <w:lang w:eastAsia="zh-CN" w:bidi="ar-SA"/>
        </w:rPr>
        <w:t>我站从实际出发</w:t>
      </w:r>
      <w:r>
        <w:rPr>
          <w:rFonts w:hint="default" w:ascii="Times New Roman" w:hAnsi="Times New Roman" w:eastAsia="仿宋_GB2312" w:cs="Times New Roman"/>
          <w:kern w:val="0"/>
          <w:sz w:val="32"/>
          <w:szCs w:val="32"/>
          <w:lang w:bidi="ar-SA"/>
        </w:rPr>
        <w:t>，</w:t>
      </w:r>
      <w:r>
        <w:rPr>
          <w:rFonts w:hint="default" w:ascii="Times New Roman" w:hAnsi="Times New Roman" w:eastAsia="仿宋_GB2312" w:cs="Times New Roman"/>
          <w:kern w:val="0"/>
          <w:sz w:val="32"/>
          <w:szCs w:val="32"/>
          <w:lang w:eastAsia="zh-CN" w:bidi="ar-SA"/>
        </w:rPr>
        <w:t>不断</w:t>
      </w:r>
      <w:r>
        <w:rPr>
          <w:rFonts w:hint="default" w:ascii="Times New Roman" w:hAnsi="Times New Roman" w:eastAsia="仿宋_GB2312" w:cs="Times New Roman"/>
          <w:kern w:val="0"/>
          <w:sz w:val="32"/>
          <w:szCs w:val="32"/>
          <w:lang w:bidi="ar-SA"/>
        </w:rPr>
        <w:t>建立健全财务管理制度和约束机制，依法</w:t>
      </w:r>
      <w:r>
        <w:rPr>
          <w:rFonts w:hint="default" w:ascii="Times New Roman" w:hAnsi="Times New Roman" w:eastAsia="仿宋_GB2312" w:cs="Times New Roman"/>
          <w:kern w:val="0"/>
          <w:sz w:val="32"/>
          <w:szCs w:val="32"/>
          <w:lang w:eastAsia="zh-CN" w:bidi="ar-SA"/>
        </w:rPr>
        <w:t>依规</w:t>
      </w:r>
      <w:r>
        <w:rPr>
          <w:rFonts w:hint="default" w:ascii="Times New Roman" w:hAnsi="Times New Roman" w:eastAsia="仿宋_GB2312" w:cs="Times New Roman"/>
          <w:kern w:val="0"/>
          <w:sz w:val="32"/>
          <w:szCs w:val="32"/>
          <w:lang w:bidi="ar-SA"/>
        </w:rPr>
        <w:t>使用财政资金，提高财政资金使用效率，合理分配</w:t>
      </w:r>
      <w:r>
        <w:rPr>
          <w:rFonts w:hint="default" w:ascii="Times New Roman" w:hAnsi="Times New Roman" w:eastAsia="仿宋_GB2312" w:cs="Times New Roman"/>
          <w:kern w:val="0"/>
          <w:sz w:val="32"/>
          <w:szCs w:val="32"/>
          <w:lang w:eastAsia="zh-CN" w:bidi="ar-SA"/>
        </w:rPr>
        <w:t>资源</w:t>
      </w:r>
      <w:r>
        <w:rPr>
          <w:rFonts w:hint="default" w:ascii="Times New Roman" w:hAnsi="Times New Roman" w:eastAsia="仿宋_GB2312" w:cs="Times New Roman"/>
          <w:kern w:val="0"/>
          <w:sz w:val="32"/>
          <w:szCs w:val="32"/>
          <w:lang w:bidi="ar-SA"/>
        </w:rPr>
        <w:t>，</w:t>
      </w:r>
      <w:r>
        <w:rPr>
          <w:rFonts w:hint="default" w:ascii="Times New Roman" w:hAnsi="Times New Roman" w:eastAsia="仿宋_GB2312" w:cs="Times New Roman"/>
          <w:kern w:val="0"/>
          <w:sz w:val="32"/>
          <w:szCs w:val="32"/>
          <w:lang w:eastAsia="zh-CN" w:bidi="ar-SA"/>
        </w:rPr>
        <w:t>提高</w:t>
      </w:r>
      <w:r>
        <w:rPr>
          <w:rFonts w:hint="default" w:ascii="Times New Roman" w:hAnsi="Times New Roman" w:eastAsia="仿宋_GB2312" w:cs="Times New Roman"/>
          <w:kern w:val="0"/>
          <w:sz w:val="32"/>
          <w:szCs w:val="32"/>
          <w:lang w:bidi="ar-SA"/>
        </w:rPr>
        <w:t>工作效率和支出绩效</w:t>
      </w:r>
      <w:r>
        <w:rPr>
          <w:rFonts w:hint="default" w:ascii="Times New Roman" w:hAnsi="Times New Roman" w:eastAsia="仿宋_GB2312" w:cs="Times New Roman"/>
          <w:kern w:val="0"/>
          <w:sz w:val="32"/>
          <w:szCs w:val="32"/>
          <w:lang w:eastAsia="zh-CN" w:bidi="ar-SA"/>
        </w:rPr>
        <w:t>，较好的</w:t>
      </w:r>
      <w:r>
        <w:rPr>
          <w:rFonts w:hint="default" w:ascii="Times New Roman" w:hAnsi="Times New Roman" w:eastAsia="仿宋_GB2312" w:cs="Times New Roman"/>
          <w:kern w:val="0"/>
          <w:sz w:val="32"/>
          <w:szCs w:val="32"/>
          <w:lang w:bidi="ar-SA"/>
        </w:rPr>
        <w:t>完成了部门职能目标</w:t>
      </w:r>
      <w:r>
        <w:rPr>
          <w:rFonts w:hint="default" w:ascii="Times New Roman" w:hAnsi="Times New Roman" w:eastAsia="仿宋_GB2312" w:cs="Times New Roman"/>
          <w:kern w:val="0"/>
          <w:sz w:val="32"/>
          <w:szCs w:val="32"/>
          <w:lang w:eastAsia="zh-CN" w:bidi="ar-SA"/>
        </w:rPr>
        <w:t>。</w:t>
      </w:r>
      <w:r>
        <w:rPr>
          <w:rFonts w:hint="default" w:ascii="Times New Roman" w:hAnsi="Times New Roman" w:eastAsia="仿宋_GB2312" w:cs="Times New Roman"/>
          <w:sz w:val="32"/>
          <w:szCs w:val="32"/>
          <w:lang w:bidi="ar-SA"/>
        </w:rPr>
        <w:t>一是提高了专款专用能力，加强了项目资金使用范围的控制；二是财务管理规范</w:t>
      </w:r>
      <w:r>
        <w:rPr>
          <w:rFonts w:hint="default" w:ascii="Times New Roman" w:hAnsi="Times New Roman" w:eastAsia="仿宋_GB2312" w:cs="Times New Roman"/>
          <w:sz w:val="32"/>
          <w:szCs w:val="32"/>
          <w:lang w:val="en-US" w:eastAsia="zh-CN" w:bidi="ar-SA"/>
        </w:rPr>
        <w:t>有效</w:t>
      </w:r>
      <w:r>
        <w:rPr>
          <w:rFonts w:hint="default" w:ascii="Times New Roman" w:hAnsi="Times New Roman" w:eastAsia="仿宋_GB2312" w:cs="Times New Roman"/>
          <w:sz w:val="32"/>
          <w:szCs w:val="32"/>
          <w:lang w:bidi="ar-SA"/>
        </w:rPr>
        <w:t>；三是工作效率</w:t>
      </w:r>
      <w:r>
        <w:rPr>
          <w:rFonts w:hint="default" w:ascii="Times New Roman" w:hAnsi="Times New Roman" w:eastAsia="仿宋_GB2312" w:cs="Times New Roman"/>
          <w:sz w:val="32"/>
          <w:szCs w:val="32"/>
          <w:lang w:val="en-US" w:eastAsia="zh-CN" w:bidi="ar-SA"/>
        </w:rPr>
        <w:t>高</w:t>
      </w:r>
      <w:r>
        <w:rPr>
          <w:rFonts w:hint="default" w:ascii="Times New Roman" w:hAnsi="Times New Roman" w:eastAsia="仿宋_GB2312" w:cs="Times New Roman"/>
          <w:sz w:val="32"/>
          <w:szCs w:val="32"/>
          <w:lang w:bidi="ar-SA"/>
        </w:rPr>
        <w:t>；工作流程规范，财务账目清楚，</w:t>
      </w:r>
      <w:r>
        <w:rPr>
          <w:rFonts w:hint="default" w:ascii="Times New Roman" w:hAnsi="Times New Roman" w:eastAsia="仿宋_GB2312" w:cs="Times New Roman"/>
          <w:sz w:val="32"/>
          <w:szCs w:val="32"/>
          <w:lang w:val="en-US" w:eastAsia="zh-CN" w:bidi="ar-SA"/>
        </w:rPr>
        <w:t>确保</w:t>
      </w:r>
      <w:r>
        <w:rPr>
          <w:rFonts w:hint="default" w:ascii="Times New Roman" w:hAnsi="Times New Roman" w:eastAsia="仿宋_GB2312" w:cs="Times New Roman"/>
          <w:sz w:val="32"/>
          <w:szCs w:val="32"/>
          <w:lang w:bidi="ar-SA"/>
        </w:rPr>
        <w:t>数据的准确性；四是规范了会计核算，统一了核算口径，会计信息</w:t>
      </w:r>
      <w:r>
        <w:rPr>
          <w:rFonts w:hint="default" w:ascii="Times New Roman" w:hAnsi="Times New Roman" w:eastAsia="仿宋_GB2312" w:cs="Times New Roman"/>
          <w:sz w:val="32"/>
          <w:szCs w:val="32"/>
          <w:lang w:val="en-US" w:eastAsia="zh-CN" w:bidi="ar-SA"/>
        </w:rPr>
        <w:t>确保</w:t>
      </w:r>
      <w:r>
        <w:rPr>
          <w:rFonts w:hint="default" w:ascii="Times New Roman" w:hAnsi="Times New Roman" w:eastAsia="仿宋_GB2312" w:cs="Times New Roman"/>
          <w:sz w:val="32"/>
          <w:szCs w:val="32"/>
          <w:lang w:bidi="ar-SA"/>
        </w:rPr>
        <w:t>质量，对会计档案规范</w:t>
      </w:r>
      <w:r>
        <w:rPr>
          <w:rFonts w:hint="default" w:ascii="Times New Roman" w:hAnsi="Times New Roman" w:eastAsia="仿宋_GB2312" w:cs="Times New Roman"/>
          <w:sz w:val="32"/>
          <w:szCs w:val="32"/>
          <w:lang w:val="en-US" w:eastAsia="zh-CN" w:bidi="ar-SA"/>
        </w:rPr>
        <w:t>管理</w:t>
      </w:r>
      <w:r>
        <w:rPr>
          <w:rFonts w:hint="default" w:ascii="Times New Roman" w:hAnsi="Times New Roman" w:eastAsia="仿宋_GB2312" w:cs="Times New Roman"/>
          <w:sz w:val="32"/>
          <w:szCs w:val="32"/>
          <w:lang w:bidi="ar-SA"/>
        </w:rPr>
        <w:t>；五是严格控制非必要支出，集中财力办大事。</w:t>
      </w:r>
      <w:r>
        <w:rPr>
          <w:rFonts w:hint="default" w:ascii="Times New Roman" w:hAnsi="Times New Roman" w:eastAsia="仿宋_GB2312" w:cs="Times New Roman"/>
          <w:sz w:val="32"/>
          <w:szCs w:val="32"/>
          <w:lang w:eastAsia="zh-CN" w:bidi="ar-SA"/>
        </w:rPr>
        <w:t>六是</w:t>
      </w:r>
      <w:r>
        <w:rPr>
          <w:rFonts w:hint="default" w:ascii="Times New Roman" w:hAnsi="Times New Roman" w:eastAsia="仿宋_GB2312" w:cs="Times New Roman"/>
          <w:sz w:val="32"/>
          <w:szCs w:val="32"/>
          <w:lang w:bidi="ar-SA"/>
        </w:rPr>
        <w:t>坚持以宣传工作为先导，深入开展救助和未成</w:t>
      </w:r>
      <w:r>
        <w:rPr>
          <w:rFonts w:hint="default" w:ascii="Times New Roman" w:hAnsi="Times New Roman" w:eastAsia="仿宋_GB2312" w:cs="Times New Roman"/>
          <w:sz w:val="32"/>
          <w:szCs w:val="32"/>
          <w:lang w:eastAsia="zh-CN" w:bidi="ar-SA"/>
        </w:rPr>
        <w:t>年人救助</w:t>
      </w:r>
      <w:r>
        <w:rPr>
          <w:rFonts w:hint="default" w:ascii="Times New Roman" w:hAnsi="Times New Roman" w:eastAsia="仿宋_GB2312" w:cs="Times New Roman"/>
          <w:sz w:val="32"/>
          <w:szCs w:val="32"/>
          <w:lang w:bidi="ar-SA"/>
        </w:rPr>
        <w:t>保护工作，社会影响力不断扩大，</w:t>
      </w:r>
      <w:r>
        <w:rPr>
          <w:rFonts w:hint="default" w:ascii="Times New Roman" w:hAnsi="Times New Roman" w:eastAsia="仿宋_GB2312" w:cs="Times New Roman"/>
          <w:sz w:val="32"/>
          <w:szCs w:val="32"/>
          <w:lang w:eastAsia="zh-CN" w:bidi="ar-SA"/>
        </w:rPr>
        <w:t>救助</w:t>
      </w:r>
      <w:r>
        <w:rPr>
          <w:rFonts w:hint="default" w:ascii="Times New Roman" w:hAnsi="Times New Roman" w:eastAsia="仿宋_GB2312" w:cs="Times New Roman"/>
          <w:sz w:val="32"/>
          <w:szCs w:val="32"/>
          <w:lang w:bidi="ar-SA"/>
        </w:rPr>
        <w:t>作用发挥更加明显。</w:t>
      </w:r>
      <w:r>
        <w:rPr>
          <w:rFonts w:hint="default" w:ascii="Times New Roman" w:hAnsi="Times New Roman" w:eastAsia="仿宋_GB2312" w:cs="Times New Roman"/>
          <w:color w:val="auto"/>
          <w:sz w:val="32"/>
          <w:szCs w:val="32"/>
          <w:highlight w:val="none"/>
          <w:u w:val="none"/>
          <w:lang w:val="zh-CN" w:eastAsia="zh-CN" w:bidi="ar-SA"/>
        </w:rPr>
        <w:t>202</w:t>
      </w:r>
      <w:r>
        <w:rPr>
          <w:rFonts w:hint="default" w:ascii="Times New Roman" w:hAnsi="Times New Roman" w:eastAsia="仿宋_GB2312" w:cs="Times New Roman"/>
          <w:color w:val="auto"/>
          <w:sz w:val="32"/>
          <w:szCs w:val="32"/>
          <w:highlight w:val="none"/>
          <w:u w:val="none"/>
          <w:lang w:eastAsia="zh-CN" w:bidi="ar-SA"/>
        </w:rPr>
        <w:t>5</w:t>
      </w:r>
      <w:r>
        <w:rPr>
          <w:rFonts w:hint="default" w:ascii="Times New Roman" w:hAnsi="Times New Roman" w:eastAsia="仿宋_GB2312" w:cs="Times New Roman"/>
          <w:color w:val="auto"/>
          <w:sz w:val="32"/>
          <w:szCs w:val="32"/>
          <w:highlight w:val="none"/>
          <w:u w:val="none"/>
          <w:lang w:val="zh-CN" w:eastAsia="zh-CN" w:bidi="ar-SA"/>
        </w:rPr>
        <w:t>年度自评得分</w:t>
      </w:r>
      <w:r>
        <w:rPr>
          <w:rFonts w:hint="default" w:ascii="Times New Roman" w:hAnsi="Times New Roman" w:eastAsia="仿宋_GB2312" w:cs="Times New Roman"/>
          <w:color w:val="auto"/>
          <w:sz w:val="32"/>
          <w:szCs w:val="32"/>
          <w:highlight w:val="none"/>
          <w:u w:val="none"/>
          <w:lang w:eastAsia="zh-CN" w:bidi="ar-SA"/>
        </w:rPr>
        <w:t>8</w:t>
      </w:r>
      <w:r>
        <w:rPr>
          <w:rFonts w:hint="default" w:ascii="Times New Roman" w:hAnsi="Times New Roman" w:eastAsia="仿宋_GB2312" w:cs="Times New Roman"/>
          <w:color w:val="auto"/>
          <w:sz w:val="32"/>
          <w:szCs w:val="32"/>
          <w:highlight w:val="none"/>
          <w:u w:val="none"/>
          <w:lang w:val="en-US" w:eastAsia="zh-CN" w:bidi="ar-SA"/>
        </w:rPr>
        <w:t>6</w:t>
      </w:r>
      <w:r>
        <w:rPr>
          <w:rFonts w:hint="default" w:ascii="Times New Roman" w:hAnsi="Times New Roman" w:eastAsia="仿宋_GB2312" w:cs="Times New Roman"/>
          <w:color w:val="auto"/>
          <w:sz w:val="32"/>
          <w:szCs w:val="32"/>
          <w:highlight w:val="none"/>
          <w:u w:val="none"/>
          <w:lang w:val="zh-CN" w:eastAsia="zh-CN" w:bidi="ar-SA"/>
        </w:rPr>
        <w:t>分</w:t>
      </w:r>
      <w:r>
        <w:rPr>
          <w:rFonts w:hint="default" w:ascii="Times New Roman" w:hAnsi="Times New Roman" w:eastAsia="仿宋_GB2312" w:cs="Times New Roman"/>
          <w:color w:val="auto"/>
          <w:sz w:val="32"/>
          <w:szCs w:val="32"/>
          <w:highlight w:val="none"/>
          <w:u w:val="none"/>
          <w:lang w:eastAsia="zh-CN" w:bidi="ar-SA"/>
        </w:rPr>
        <w:t>。</w:t>
      </w:r>
    </w:p>
    <w:p w14:paraId="28AB95DF">
      <w:pPr>
        <w:keepNext w:val="0"/>
        <w:keepLines w:val="0"/>
        <w:pageBreakBefore w:val="0"/>
        <w:widowControl/>
        <w:kinsoku/>
        <w:wordWrap/>
        <w:overflowPunct/>
        <w:topLinePunct w:val="0"/>
        <w:autoSpaceDE/>
        <w:autoSpaceDN/>
        <w:bidi w:val="0"/>
        <w:adjustRightInd w:val="0"/>
        <w:snapToGrid w:val="0"/>
        <w:spacing w:line="560" w:lineRule="atLeast"/>
        <w:ind w:firstLine="643" w:firstLineChars="200"/>
        <w:contextualSpacing/>
        <w:jc w:val="both"/>
        <w:textAlignment w:val="auto"/>
        <w:outlineLvl w:val="9"/>
        <w:rPr>
          <w:rFonts w:hint="default" w:ascii="Times New Roman" w:hAnsi="Times New Roman" w:eastAsia="仿宋_GB2312" w:cs="Times New Roman"/>
          <w:sz w:val="32"/>
          <w:szCs w:val="32"/>
          <w:lang w:eastAsia="zh-CN"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（二）存在问题。</w:t>
      </w:r>
      <w:r>
        <w:rPr>
          <w:rFonts w:hint="default" w:ascii="Times New Roman" w:hAnsi="Times New Roman" w:eastAsia="仿宋_GB2312" w:cs="Times New Roman"/>
          <w:color w:val="000000"/>
          <w:kern w:val="0"/>
          <w:sz w:val="32"/>
          <w:szCs w:val="32"/>
          <w:highlight w:val="none"/>
          <w:shd w:val="clear" w:color="auto" w:fill="FFFFFF"/>
          <w:lang w:bidi="ar-SA"/>
        </w:rPr>
        <w:t>无</w:t>
      </w:r>
      <w:r>
        <w:rPr>
          <w:rFonts w:hint="default" w:ascii="Times New Roman" w:hAnsi="Times New Roman" w:eastAsia="仿宋_GB2312" w:cs="Times New Roman"/>
          <w:color w:val="000000"/>
          <w:kern w:val="0"/>
          <w:sz w:val="32"/>
          <w:szCs w:val="32"/>
          <w:highlight w:val="none"/>
          <w:shd w:val="clear" w:color="auto" w:fill="FFFFFF"/>
          <w:lang w:eastAsia="zh-CN" w:bidi="ar-SA"/>
        </w:rPr>
        <w:t>。</w:t>
      </w:r>
    </w:p>
    <w:p w14:paraId="35471081">
      <w:pPr>
        <w:keepNext w:val="0"/>
        <w:keepLines w:val="0"/>
        <w:pageBreakBefore w:val="0"/>
        <w:widowControl/>
        <w:suppressLineNumbers w:val="0"/>
        <w:kinsoku/>
        <w:wordWrap/>
        <w:overflowPunct/>
        <w:topLinePunct w:val="0"/>
        <w:autoSpaceDN/>
        <w:bidi w:val="0"/>
        <w:spacing w:line="560" w:lineRule="atLeast"/>
        <w:ind w:firstLine="643" w:firstLineChars="200"/>
        <w:jc w:val="both"/>
        <w:textAlignment w:val="auto"/>
        <w:rPr>
          <w:rFonts w:hint="default" w:ascii="Times New Roman" w:hAnsi="Times New Roman" w:eastAsia="仿宋_GB2312" w:cs="Times New Roman"/>
          <w:kern w:val="0"/>
          <w:sz w:val="32"/>
          <w:szCs w:val="32"/>
          <w:lang w:bidi="ar-SA"/>
        </w:rPr>
      </w:pPr>
      <w:r>
        <w:rPr>
          <w:rFonts w:hint="default" w:ascii="Times New Roman" w:hAnsi="Times New Roman" w:eastAsia="楷体" w:cs="Times New Roman"/>
          <w:b/>
          <w:bCs/>
          <w:color w:val="000000"/>
          <w:kern w:val="0"/>
          <w:sz w:val="32"/>
          <w:szCs w:val="32"/>
          <w:highlight w:val="none"/>
          <w:shd w:val="clear" w:color="auto" w:fill="FFFFFF"/>
          <w:lang w:val="zh-CN" w:eastAsia="zh-CN" w:bidi="ar-SA"/>
        </w:rPr>
        <w:t>（三）改进建议。</w:t>
      </w:r>
      <w:r>
        <w:rPr>
          <w:rFonts w:hint="default" w:ascii="Times New Roman" w:hAnsi="Times New Roman" w:eastAsia="仿宋_GB2312" w:cs="Times New Roman"/>
          <w:kern w:val="0"/>
          <w:sz w:val="32"/>
          <w:szCs w:val="32"/>
          <w:lang w:bidi="ar-SA"/>
        </w:rPr>
        <w:t>我们将进一步重视预算的编制工作，提高预算编制的</w:t>
      </w:r>
      <w:r>
        <w:rPr>
          <w:rFonts w:hint="default" w:ascii="Times New Roman" w:hAnsi="Times New Roman" w:eastAsia="仿宋_GB2312" w:cs="Times New Roman"/>
          <w:kern w:val="0"/>
          <w:sz w:val="32"/>
          <w:szCs w:val="32"/>
          <w:lang w:val="en-US" w:eastAsia="zh-CN" w:bidi="ar-SA"/>
        </w:rPr>
        <w:t>科学性和</w:t>
      </w:r>
      <w:r>
        <w:rPr>
          <w:rFonts w:hint="default" w:ascii="Times New Roman" w:hAnsi="Times New Roman" w:eastAsia="仿宋_GB2312" w:cs="Times New Roman"/>
          <w:kern w:val="0"/>
          <w:sz w:val="32"/>
          <w:szCs w:val="32"/>
          <w:lang w:bidi="ar-SA"/>
        </w:rPr>
        <w:t>精确度，</w:t>
      </w:r>
      <w:r>
        <w:rPr>
          <w:rFonts w:hint="default" w:ascii="Times New Roman" w:hAnsi="Times New Roman" w:eastAsia="仿宋_GB2312" w:cs="Times New Roman"/>
          <w:kern w:val="0"/>
          <w:sz w:val="32"/>
          <w:szCs w:val="32"/>
          <w:lang w:val="en-US" w:eastAsia="zh-CN" w:bidi="ar-SA"/>
        </w:rPr>
        <w:t>完善绩效评价体系，加强对绩效管理工作，做到绩效管理有依据、按程序、有奖惩，实现绩效管理的规范化、常态化，</w:t>
      </w:r>
      <w:r>
        <w:rPr>
          <w:rFonts w:hint="default" w:ascii="Times New Roman" w:hAnsi="Times New Roman" w:eastAsia="仿宋_GB2312" w:cs="Times New Roman"/>
          <w:kern w:val="0"/>
          <w:sz w:val="32"/>
          <w:szCs w:val="32"/>
          <w:lang w:bidi="ar-SA"/>
        </w:rPr>
        <w:t>加快财政资金执行进度，提高财政资金使用效率。 </w:t>
      </w:r>
    </w:p>
    <w:p w14:paraId="4BBE794F">
      <w:pPr>
        <w:keepNext w:val="0"/>
        <w:keepLines w:val="0"/>
        <w:pageBreakBefore w:val="0"/>
        <w:widowControl w:val="0"/>
        <w:kinsoku/>
        <w:wordWrap/>
        <w:overflowPunct/>
        <w:topLinePunct w:val="0"/>
        <w:autoSpaceDE/>
        <w:autoSpaceDN/>
        <w:bidi w:val="0"/>
        <w:spacing w:line="560" w:lineRule="atLeast"/>
        <w:contextualSpacing/>
        <w:jc w:val="both"/>
        <w:textAlignment w:val="auto"/>
        <w:outlineLvl w:val="9"/>
        <w:rPr>
          <w:rFonts w:hint="default" w:ascii="Times New Roman" w:hAnsi="Times New Roman" w:eastAsia="仿宋_GB2312" w:cs="Times New Roman"/>
          <w:sz w:val="32"/>
          <w:szCs w:val="32"/>
          <w:highlight w:val="none"/>
          <w:lang w:val="en-US" w:eastAsia="zh-CN" w:bidi="ar-SA"/>
        </w:rPr>
      </w:pPr>
    </w:p>
    <w:p w14:paraId="5A0BE62F">
      <w:pPr>
        <w:keepNext w:val="0"/>
        <w:keepLines w:val="0"/>
        <w:pageBreakBefore w:val="0"/>
        <w:widowControl w:val="0"/>
        <w:kinsoku/>
        <w:wordWrap/>
        <w:overflowPunct/>
        <w:topLinePunct w:val="0"/>
        <w:autoSpaceDE/>
        <w:autoSpaceDN/>
        <w:bidi w:val="0"/>
        <w:spacing w:line="560" w:lineRule="atLeast"/>
        <w:ind w:firstLine="640" w:firstLineChars="200"/>
        <w:jc w:val="both"/>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附表：1.</w:t>
      </w:r>
      <w:r>
        <w:rPr>
          <w:rFonts w:hint="default" w:ascii="Times New Roman" w:hAnsi="Times New Roman" w:eastAsia="仿宋_GB2312" w:cs="Times New Roman"/>
          <w:sz w:val="32"/>
          <w:szCs w:val="32"/>
          <w:u w:val="none"/>
          <w:lang w:val="en-US" w:eastAsia="zh-CN" w:bidi="ar"/>
        </w:rPr>
        <w:t>部门预算绩效自评打分表</w:t>
      </w:r>
    </w:p>
    <w:p w14:paraId="73DBFB5A">
      <w:pPr>
        <w:keepNext w:val="0"/>
        <w:keepLines w:val="0"/>
        <w:pageBreakBefore w:val="0"/>
        <w:widowControl w:val="0"/>
        <w:kinsoku/>
        <w:wordWrap/>
        <w:overflowPunct/>
        <w:topLinePunct w:val="0"/>
        <w:autoSpaceDE/>
        <w:autoSpaceDN/>
        <w:bidi w:val="0"/>
        <w:spacing w:line="560" w:lineRule="atLeast"/>
        <w:ind w:left="0" w:firstLine="1600" w:firstLineChars="500"/>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bidi="ar-SA"/>
        </w:rPr>
      </w:pPr>
      <w:r>
        <w:rPr>
          <w:rFonts w:hint="default" w:ascii="Times New Roman" w:hAnsi="Times New Roman" w:eastAsia="仿宋_GB2312" w:cs="Times New Roman"/>
          <w:color w:val="000000"/>
          <w:kern w:val="0"/>
          <w:sz w:val="32"/>
          <w:szCs w:val="32"/>
          <w:highlight w:val="none"/>
          <w:shd w:val="clear" w:color="auto" w:fill="FFFFFF"/>
          <w:lang w:val="en-US" w:eastAsia="zh-CN" w:bidi="ar-SA"/>
        </w:rPr>
        <w:t>2.部门整体绩效目标完成情况自评表</w:t>
      </w:r>
    </w:p>
    <w:p w14:paraId="412F8CC3">
      <w:pPr>
        <w:pStyle w:val="5"/>
        <w:pageBreakBefore w:val="0"/>
        <w:kinsoku/>
        <w:overflowPunct/>
        <w:topLinePunct w:val="0"/>
        <w:bidi w:val="0"/>
        <w:spacing w:beforeLines="0" w:line="560" w:lineRule="atLeast"/>
        <w:jc w:val="both"/>
        <w:textAlignment w:val="auto"/>
        <w:rPr>
          <w:rFonts w:hint="default" w:ascii="Times New Roman" w:hAnsi="Times New Roman" w:eastAsia="仿宋_GB2312" w:cs="Times New Roman"/>
          <w:color w:val="000000"/>
          <w:kern w:val="0"/>
          <w:sz w:val="32"/>
          <w:szCs w:val="32"/>
          <w:highlight w:val="none"/>
          <w:shd w:val="clear" w:color="auto" w:fill="FFFFFF"/>
          <w:lang w:val="en-US" w:eastAsia="zh-CN" w:bidi="ar-SA"/>
        </w:rPr>
        <w:sectPr>
          <w:footerReference r:id="rId6" w:type="first"/>
          <w:headerReference r:id="rId4" w:type="default"/>
          <w:footerReference r:id="rId5" w:type="default"/>
          <w:pgSz w:w="11906" w:h="16838"/>
          <w:pgMar w:top="1440" w:right="1800" w:bottom="1440" w:left="1800" w:header="851" w:footer="992" w:gutter="0"/>
          <w:pgNumType w:fmt="numberInDash"/>
          <w:cols w:space="425" w:num="1"/>
          <w:docGrid w:type="lines" w:linePitch="312" w:charSpace="0"/>
        </w:sectPr>
      </w:pPr>
      <w:r>
        <w:rPr>
          <w:rFonts w:hint="default" w:ascii="Times New Roman" w:hAnsi="Times New Roman" w:eastAsia="仿宋_GB2312" w:cs="Times New Roman"/>
          <w:lang w:eastAsia="zh-CN" w:bidi="ar-SA"/>
        </w:rPr>
        <w:t xml:space="preserve">          </w:t>
      </w:r>
      <w:r>
        <w:rPr>
          <w:rFonts w:hint="default" w:ascii="Times New Roman" w:hAnsi="Times New Roman" w:eastAsia="仿宋_GB2312" w:cs="Times New Roman"/>
          <w:sz w:val="32"/>
          <w:szCs w:val="32"/>
          <w:lang w:eastAsia="zh-CN" w:bidi="ar-SA"/>
        </w:rPr>
        <w:t>3.部门预算项目支出绩效评价表（2025年度</w:t>
      </w:r>
      <w:r>
        <w:rPr>
          <w:rFonts w:hint="default" w:ascii="Times New Roman" w:hAnsi="Times New Roman" w:cs="Times New Roman"/>
          <w:sz w:val="32"/>
          <w:szCs w:val="32"/>
          <w:lang w:eastAsia="zh-CN" w:bidi="ar-SA"/>
        </w:rPr>
        <w:t>）</w:t>
      </w:r>
    </w:p>
    <w:p w14:paraId="1D0FC2BB">
      <w:pPr>
        <w:keepNext w:val="0"/>
        <w:keepLines w:val="0"/>
        <w:pageBreakBefore w:val="0"/>
        <w:widowControl w:val="0"/>
        <w:kinsoku/>
        <w:wordWrap/>
        <w:overflowPunct/>
        <w:topLinePunct w:val="0"/>
        <w:autoSpaceDE/>
        <w:autoSpaceDN/>
        <w:bidi w:val="0"/>
        <w:spacing w:line="560" w:lineRule="exact"/>
        <w:jc w:val="left"/>
        <w:textAlignment w:val="auto"/>
        <w:rPr>
          <w:rFonts w:hint="default"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default" w:ascii="Times New Roman" w:hAnsi="Times New Roman" w:eastAsia="黑体" w:cs="Times New Roman"/>
          <w:kern w:val="2"/>
          <w:sz w:val="32"/>
          <w:szCs w:val="24"/>
          <w:highlight w:val="none"/>
          <w:lang w:val="en-US" w:eastAsia="zh-CN" w:bidi="ar-SA"/>
        </w:rPr>
        <w:t>1</w:t>
      </w:r>
    </w:p>
    <w:p w14:paraId="04861558">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方正小标宋简体" w:cs="Times New Roman"/>
          <w:color w:val="000000"/>
          <w:kern w:val="0"/>
          <w:sz w:val="44"/>
          <w:szCs w:val="44"/>
          <w:u w:val="none"/>
          <w:lang w:val="en-US" w:eastAsia="zh-CN" w:bidi="ar"/>
        </w:rPr>
      </w:pPr>
      <w:r>
        <w:rPr>
          <w:rFonts w:hint="default" w:ascii="Times New Roman" w:hAnsi="Times New Roman" w:eastAsia="方正小标宋简体" w:cs="Times New Roman"/>
          <w:color w:val="000000"/>
          <w:kern w:val="0"/>
          <w:sz w:val="44"/>
          <w:szCs w:val="44"/>
          <w:u w:val="none"/>
          <w:lang w:val="en-US" w:eastAsia="zh-CN" w:bidi="ar"/>
        </w:rPr>
        <w:t>部门预算绩效自评打分表</w:t>
      </w:r>
    </w:p>
    <w:tbl>
      <w:tblPr>
        <w:tblStyle w:val="17"/>
        <w:tblW w:w="11297" w:type="dxa"/>
        <w:jc w:val="center"/>
        <w:tblLayout w:type="fixed"/>
        <w:tblCellMar>
          <w:top w:w="0" w:type="dxa"/>
          <w:left w:w="108" w:type="dxa"/>
          <w:bottom w:w="0" w:type="dxa"/>
          <w:right w:w="108" w:type="dxa"/>
        </w:tblCellMar>
      </w:tblPr>
      <w:tblGrid>
        <w:gridCol w:w="1004"/>
        <w:gridCol w:w="1462"/>
        <w:gridCol w:w="1665"/>
        <w:gridCol w:w="720"/>
        <w:gridCol w:w="4734"/>
        <w:gridCol w:w="756"/>
        <w:gridCol w:w="478"/>
        <w:gridCol w:w="478"/>
      </w:tblGrid>
      <w:tr w14:paraId="192737AD">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noWrap w:val="0"/>
            <w:vAlign w:val="center"/>
          </w:tcPr>
          <w:p w14:paraId="1044D8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noWrap w:val="0"/>
            <w:vAlign w:val="center"/>
          </w:tcPr>
          <w:p w14:paraId="16DE83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noWrap w:val="0"/>
            <w:vAlign w:val="center"/>
          </w:tcPr>
          <w:p w14:paraId="52D04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00E1E9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r>
              <w:rPr>
                <w:rFonts w:hint="default" w:ascii="Times New Roman" w:hAnsi="Times New Roman" w:eastAsia="黑体" w:cs="Times New Roman"/>
                <w:color w:val="000000"/>
                <w:kern w:val="0"/>
                <w:sz w:val="24"/>
                <w:szCs w:val="24"/>
                <w:u w:val="none"/>
                <w:lang w:val="en-US" w:eastAsia="zh-CN" w:bidi="ar"/>
              </w:rPr>
              <w:t>备注</w:t>
            </w:r>
          </w:p>
        </w:tc>
        <w:tc>
          <w:tcPr>
            <w:tcW w:w="478" w:type="dxa"/>
            <w:tcBorders>
              <w:top w:val="single" w:color="000000" w:sz="4" w:space="0"/>
              <w:left w:val="single" w:color="000000" w:sz="4" w:space="0"/>
              <w:right w:val="single" w:color="000000" w:sz="4" w:space="0"/>
            </w:tcBorders>
            <w:noWrap w:val="0"/>
            <w:vAlign w:val="center"/>
          </w:tcPr>
          <w:p w14:paraId="473082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kern w:val="0"/>
                <w:sz w:val="24"/>
                <w:szCs w:val="24"/>
                <w:u w:val="none"/>
                <w:lang w:val="en-US" w:eastAsia="zh-CN" w:bidi="ar"/>
              </w:rPr>
            </w:pPr>
          </w:p>
        </w:tc>
      </w:tr>
      <w:tr w14:paraId="3FA31C3B">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noWrap w:val="0"/>
            <w:vAlign w:val="center"/>
          </w:tcPr>
          <w:p w14:paraId="611F19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一级指标</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3CF94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二级指标</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F1B7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1E1E2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u w:val="none"/>
                <w:lang w:bidi="ar-SA"/>
              </w:rPr>
            </w:pPr>
            <w:r>
              <w:rPr>
                <w:rFonts w:hint="default" w:ascii="Times New Roman" w:hAnsi="Times New Roman" w:eastAsia="黑体" w:cs="Times New Roman"/>
                <w:color w:val="000000"/>
                <w:kern w:val="0"/>
                <w:sz w:val="24"/>
                <w:szCs w:val="24"/>
                <w:u w:val="none"/>
                <w:lang w:val="en-US" w:eastAsia="zh-CN" w:bidi="ar"/>
              </w:rPr>
              <w:t>指标</w:t>
            </w:r>
            <w:r>
              <w:rPr>
                <w:rFonts w:hint="default" w:ascii="Times New Roman" w:hAnsi="Times New Roman" w:eastAsia="黑体" w:cs="Times New Roman"/>
                <w:color w:val="000000"/>
                <w:kern w:val="0"/>
                <w:sz w:val="24"/>
                <w:szCs w:val="24"/>
                <w:u w:val="none"/>
                <w:lang w:val="en-US" w:eastAsia="zh-CN" w:bidi="ar"/>
              </w:rPr>
              <w:br w:type="textWrapping"/>
            </w:r>
            <w:r>
              <w:rPr>
                <w:rFonts w:hint="default" w:ascii="Times New Roman" w:hAnsi="Times New Roman" w:eastAsia="黑体" w:cs="Times New Roman"/>
                <w:color w:val="000000"/>
                <w:kern w:val="0"/>
                <w:sz w:val="24"/>
                <w:szCs w:val="24"/>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CBBB10">
            <w:pPr>
              <w:rPr>
                <w:rFonts w:hint="default" w:ascii="Times New Roman" w:hAnsi="Times New Roman" w:cs="Times New Roman"/>
              </w:rPr>
            </w:pPr>
          </w:p>
        </w:tc>
        <w:tc>
          <w:tcPr>
            <w:tcW w:w="756" w:type="dxa"/>
            <w:vMerge w:val="continue"/>
            <w:tcBorders>
              <w:left w:val="single" w:color="000000" w:sz="4" w:space="0"/>
              <w:bottom w:val="single" w:color="000000" w:sz="4" w:space="0"/>
              <w:right w:val="single" w:color="000000" w:sz="4" w:space="0"/>
            </w:tcBorders>
            <w:noWrap w:val="0"/>
            <w:vAlign w:val="center"/>
          </w:tcPr>
          <w:p w14:paraId="1978107B">
            <w:pPr>
              <w:rPr>
                <w:rFonts w:hint="default" w:ascii="Times New Roman" w:hAnsi="Times New Roman" w:cs="Times New Roman"/>
              </w:rPr>
            </w:pPr>
          </w:p>
        </w:tc>
        <w:tc>
          <w:tcPr>
            <w:tcW w:w="478" w:type="dxa"/>
            <w:vMerge w:val="continue"/>
            <w:tcBorders>
              <w:left w:val="single" w:color="000000" w:sz="4" w:space="0"/>
              <w:bottom w:val="single" w:color="000000" w:sz="4" w:space="0"/>
              <w:right w:val="single" w:color="000000" w:sz="4" w:space="0"/>
            </w:tcBorders>
            <w:noWrap w:val="0"/>
            <w:vAlign w:val="center"/>
          </w:tcPr>
          <w:p w14:paraId="1EC8C5F0">
            <w:pPr>
              <w:rPr>
                <w:rFonts w:hint="default" w:ascii="Times New Roman" w:hAnsi="Times New Roman" w:cs="Times New Roman"/>
              </w:rPr>
            </w:pPr>
          </w:p>
        </w:tc>
        <w:tc>
          <w:tcPr>
            <w:tcW w:w="478" w:type="dxa"/>
            <w:tcBorders>
              <w:left w:val="single" w:color="000000" w:sz="4" w:space="0"/>
              <w:bottom w:val="single" w:color="000000" w:sz="4" w:space="0"/>
              <w:right w:val="single" w:color="000000" w:sz="4" w:space="0"/>
            </w:tcBorders>
            <w:noWrap w:val="0"/>
            <w:vAlign w:val="center"/>
          </w:tcPr>
          <w:p w14:paraId="361A223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黑体" w:cs="Times New Roman"/>
                <w:color w:val="000000"/>
                <w:sz w:val="24"/>
                <w:szCs w:val="24"/>
                <w:u w:val="none"/>
                <w:lang w:eastAsia="zh-CN" w:bidi="ar-SA"/>
              </w:rPr>
            </w:pPr>
          </w:p>
        </w:tc>
      </w:tr>
      <w:tr w14:paraId="174440BB">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7D0B20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总体绩效</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CF42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履职效能</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61930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履职效果</w:t>
            </w:r>
          </w:p>
        </w:tc>
        <w:tc>
          <w:tcPr>
            <w:tcW w:w="720" w:type="dxa"/>
            <w:tcBorders>
              <w:top w:val="nil"/>
              <w:left w:val="single" w:color="000000" w:sz="4" w:space="0"/>
              <w:bottom w:val="single" w:color="000000" w:sz="4" w:space="0"/>
              <w:right w:val="single" w:color="000000" w:sz="4" w:space="0"/>
            </w:tcBorders>
            <w:noWrap w:val="0"/>
            <w:vAlign w:val="center"/>
          </w:tcPr>
          <w:p w14:paraId="1061C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15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F2C90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760D9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eastAsia="zh-CN" w:bidi="ar"/>
              </w:rPr>
            </w:pPr>
            <w:r>
              <w:rPr>
                <w:rFonts w:hint="default" w:ascii="Times New Roman" w:hAnsi="Times New Roman" w:eastAsia="宋体" w:cs="Times New Roman"/>
                <w:color w:val="000000"/>
                <w:kern w:val="0"/>
                <w:sz w:val="24"/>
                <w:szCs w:val="24"/>
                <w:u w:val="none"/>
                <w:lang w:val="en-US" w:eastAsia="zh-CN" w:bidi="ar"/>
              </w:rPr>
              <w:t>1</w:t>
            </w:r>
            <w:r>
              <w:rPr>
                <w:rFonts w:hint="default" w:ascii="Times New Roman" w:hAnsi="Times New Roman" w:cs="Times New Roman"/>
                <w:color w:val="000000"/>
                <w:kern w:val="0"/>
                <w:sz w:val="24"/>
                <w:szCs w:val="24"/>
                <w:u w:val="none"/>
                <w:lang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BE97E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3DACC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647E38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5FCD32">
            <w:pPr>
              <w:rPr>
                <w:rFonts w:hint="default" w:ascii="Times New Roman" w:hAnsi="Times New Roman" w:cs="Times New Roman"/>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8EDD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预算管理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（25分）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E9C5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B6BA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C7512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60002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7</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72AF5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865DC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8B0373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1507C">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2FFDC4">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6806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CDBA5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C41B8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84E5A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eastAsia="zh-CN" w:bidi="ar"/>
              </w:rPr>
            </w:pPr>
            <w:r>
              <w:rPr>
                <w:rFonts w:hint="default" w:ascii="Times New Roman" w:hAnsi="Times New Roman" w:cs="Times New Roman"/>
                <w:color w:val="000000"/>
                <w:kern w:val="0"/>
                <w:sz w:val="24"/>
                <w:szCs w:val="24"/>
                <w:u w:val="none"/>
                <w:lang w:eastAsia="zh-CN" w:bidi="ar"/>
              </w:rPr>
              <w:t>0</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E2B58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5B5AE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2F6484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C846E8">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9B180E">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09A5F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4FA88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933B2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E7DA1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6</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29511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DA43C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AC4566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202DF">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39AB4B">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6161F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2162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A70CF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E46CA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21253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E47B3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0D47BD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83AF6">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3887C">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BBBB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DCAB1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7A086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9CECF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3B6E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9D6BE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475B78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C5FF6">
            <w:pPr>
              <w:rPr>
                <w:rFonts w:hint="default" w:ascii="Times New Roman" w:hAnsi="Times New Roman" w:cs="Times New Roman"/>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4B73B3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财务管理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（10分）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4A186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546A4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FE6B0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BB329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E632B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78B6E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A0EA606">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5BBA7A">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FE6368">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14502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8375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80C19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71E97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E461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74B6C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D89B79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32AB6B">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45FF83">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A644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AE7F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F2019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38637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E2C53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1151E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F54D85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88C5ED">
            <w:pPr>
              <w:rPr>
                <w:rFonts w:hint="default" w:ascii="Times New Roman" w:hAnsi="Times New Roman" w:cs="Times New Roman"/>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1A70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资产管理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41810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F30A1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EF4DE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DDA5B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392D5B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092E3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298627E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309203">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22C58">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2A03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974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DD224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66946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6570B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6F222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94C253F">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2804F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总体绩效</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（65分）</w:t>
            </w:r>
          </w:p>
        </w:tc>
        <w:tc>
          <w:tcPr>
            <w:tcW w:w="1462" w:type="dxa"/>
            <w:tcBorders>
              <w:top w:val="single" w:color="000000" w:sz="4" w:space="0"/>
              <w:left w:val="single" w:color="000000" w:sz="4" w:space="0"/>
              <w:bottom w:val="single" w:color="000000" w:sz="4" w:space="0"/>
              <w:right w:val="single" w:color="000000" w:sz="4" w:space="0"/>
            </w:tcBorders>
            <w:noWrap w:val="0"/>
            <w:vAlign w:val="center"/>
          </w:tcPr>
          <w:p w14:paraId="2D9216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资产管理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52AA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AB6F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375C0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0068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50F60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A8678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655742F">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C88A8B">
            <w:pPr>
              <w:rPr>
                <w:rFonts w:hint="default" w:ascii="Times New Roman" w:hAnsi="Times New Roman" w:cs="Times New Roman"/>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5E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采购管理</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（6分）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5AAAE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04162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79D0A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1C295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B1A0C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6C44E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64E3A423">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DCC98">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0A4D25">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1AD71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945EF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F495F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92E8C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16168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5D4FE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0CA899E9">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752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项目绩效</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（35分）</w:t>
            </w:r>
          </w:p>
        </w:tc>
        <w:tc>
          <w:tcPr>
            <w:tcW w:w="1462" w:type="dxa"/>
            <w:vMerge w:val="restart"/>
            <w:tcBorders>
              <w:top w:val="single" w:color="000000" w:sz="4" w:space="0"/>
              <w:left w:val="single" w:color="000000" w:sz="4" w:space="0"/>
              <w:bottom w:val="nil"/>
              <w:right w:val="single" w:color="000000" w:sz="4" w:space="0"/>
            </w:tcBorders>
            <w:noWrap w:val="0"/>
            <w:vAlign w:val="center"/>
          </w:tcPr>
          <w:p w14:paraId="5CE52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项目决策</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C0A8B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16881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04699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8CBCA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DE42D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AA7DF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19C1176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FBF50A">
            <w:pPr>
              <w:rPr>
                <w:rFonts w:hint="default" w:ascii="Times New Roman" w:hAnsi="Times New Roman" w:cs="Times New Roman"/>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431DD775">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68E01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E1817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532C6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0912D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A6DDA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A9F7F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F74ED12">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66050">
            <w:pPr>
              <w:rPr>
                <w:rFonts w:hint="default" w:ascii="Times New Roman" w:hAnsi="Times New Roman" w:cs="Times New Roman"/>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77C02EC0">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03AD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CA73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DEF4E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FD72D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FAB3F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43E15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DF70F5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33F376">
            <w:pPr>
              <w:rPr>
                <w:rFonts w:hint="default" w:ascii="Times New Roman" w:hAnsi="Times New Roman" w:cs="Times New Roman"/>
              </w:rPr>
            </w:pPr>
          </w:p>
        </w:tc>
        <w:tc>
          <w:tcPr>
            <w:tcW w:w="1462" w:type="dxa"/>
            <w:vMerge w:val="restart"/>
            <w:tcBorders>
              <w:top w:val="single" w:color="000000" w:sz="4" w:space="0"/>
              <w:left w:val="single" w:color="000000" w:sz="4" w:space="0"/>
              <w:bottom w:val="nil"/>
              <w:right w:val="single" w:color="000000" w:sz="4" w:space="0"/>
            </w:tcBorders>
            <w:noWrap w:val="0"/>
            <w:vAlign w:val="center"/>
          </w:tcPr>
          <w:p w14:paraId="5C0F3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项目执行</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CE196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A6B3F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9FB01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24E2E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6B0AB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B56502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34AE9197">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5A78C">
            <w:pPr>
              <w:rPr>
                <w:rFonts w:hint="default" w:ascii="Times New Roman" w:hAnsi="Times New Roman" w:cs="Times New Roman"/>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33A32C39">
            <w:pPr>
              <w:rPr>
                <w:rFonts w:hint="default" w:ascii="Times New Roman" w:hAnsi="Times New Roman" w:cs="Times New Roman"/>
              </w:rPr>
            </w:pPr>
          </w:p>
        </w:tc>
        <w:tc>
          <w:tcPr>
            <w:tcW w:w="1665" w:type="dxa"/>
            <w:tcBorders>
              <w:top w:val="single" w:color="000000" w:sz="4" w:space="0"/>
              <w:left w:val="single" w:color="000000" w:sz="4" w:space="0"/>
              <w:bottom w:val="nil"/>
              <w:right w:val="single" w:color="000000" w:sz="4" w:space="0"/>
            </w:tcBorders>
            <w:noWrap w:val="0"/>
            <w:vAlign w:val="center"/>
          </w:tcPr>
          <w:p w14:paraId="22893B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77B2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0ECE4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976F6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eastAsia="zh-CN" w:bidi="ar"/>
              </w:rPr>
            </w:pPr>
            <w:r>
              <w:rPr>
                <w:rFonts w:hint="default" w:ascii="Times New Roman" w:hAnsi="Times New Roman" w:eastAsia="宋体" w:cs="Times New Roman"/>
                <w:color w:val="000000"/>
                <w:kern w:val="0"/>
                <w:sz w:val="24"/>
                <w:szCs w:val="24"/>
                <w:u w:val="none"/>
                <w:lang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CDF2F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6FA09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6D3782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CC4E2">
            <w:pPr>
              <w:rPr>
                <w:rFonts w:hint="default" w:ascii="Times New Roman" w:hAnsi="Times New Roman" w:cs="Times New Roman"/>
              </w:rPr>
            </w:pPr>
          </w:p>
        </w:tc>
        <w:tc>
          <w:tcPr>
            <w:tcW w:w="1462" w:type="dxa"/>
            <w:vMerge w:val="continue"/>
            <w:tcBorders>
              <w:top w:val="single" w:color="000000" w:sz="4" w:space="0"/>
              <w:left w:val="single" w:color="000000" w:sz="4" w:space="0"/>
              <w:bottom w:val="nil"/>
              <w:right w:val="single" w:color="000000" w:sz="4" w:space="0"/>
            </w:tcBorders>
            <w:noWrap w:val="0"/>
            <w:vAlign w:val="center"/>
          </w:tcPr>
          <w:p w14:paraId="28968713">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61A0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DF891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B6533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3E5F3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eastAsia="zh-CN" w:bidi="ar"/>
              </w:rPr>
            </w:pPr>
            <w:r>
              <w:rPr>
                <w:rFonts w:hint="default" w:ascii="Times New Roman" w:hAnsi="Times New Roman" w:eastAsia="宋体" w:cs="Times New Roman"/>
                <w:color w:val="000000"/>
                <w:kern w:val="0"/>
                <w:sz w:val="24"/>
                <w:szCs w:val="24"/>
                <w:u w:val="none"/>
                <w:lang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92B2C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532E2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4E96CCF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9B229">
            <w:pPr>
              <w:rPr>
                <w:rFonts w:hint="default" w:ascii="Times New Roman" w:hAnsi="Times New Roman" w:cs="Times New Roman"/>
              </w:rPr>
            </w:pPr>
          </w:p>
        </w:tc>
        <w:tc>
          <w:tcPr>
            <w:tcW w:w="14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918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目标实现</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（11分）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0AAE8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63CB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D5CBF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32BC3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36BCB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3C169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5E8D777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5F00B">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7CB70C">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3BCA7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25A2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A2BF2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0901A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E2315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6149D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441ED1D">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9CF23">
            <w:pPr>
              <w:rPr>
                <w:rFonts w:hint="default" w:ascii="Times New Roman" w:hAnsi="Times New Roman" w:cs="Times New Roman"/>
              </w:rPr>
            </w:pPr>
          </w:p>
        </w:tc>
        <w:tc>
          <w:tcPr>
            <w:tcW w:w="14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90AE8F">
            <w:pPr>
              <w:rPr>
                <w:rFonts w:hint="default" w:ascii="Times New Roman" w:hAnsi="Times New Roman" w:cs="Times New Roman"/>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2AA9A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5B402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9AD50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5B5458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1BFAB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AE591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r w14:paraId="7D1454A9">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1C6ED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color w:val="000000"/>
                <w:sz w:val="24"/>
                <w:szCs w:val="24"/>
                <w:u w:val="none"/>
                <w:lang w:bidi="ar-SA"/>
              </w:rPr>
            </w:pPr>
            <w:r>
              <w:rPr>
                <w:rFonts w:hint="default" w:ascii="Times New Roman" w:hAnsi="Times New Roman" w:eastAsia="宋体" w:cs="Times New Roman"/>
                <w:b/>
                <w:color w:val="000000"/>
                <w:kern w:val="0"/>
                <w:sz w:val="24"/>
                <w:szCs w:val="24"/>
                <w:u w:val="none"/>
                <w:lang w:val="en-US" w:eastAsia="zh-CN" w:bidi="ar"/>
              </w:rPr>
              <w:t>扣分项</w:t>
            </w:r>
            <w:r>
              <w:rPr>
                <w:rFonts w:hint="default" w:ascii="Times New Roman" w:hAnsi="Times New Roman" w:eastAsia="宋体" w:cs="Times New Roman"/>
                <w:b/>
                <w:color w:val="000000"/>
                <w:kern w:val="0"/>
                <w:sz w:val="24"/>
                <w:szCs w:val="24"/>
                <w:u w:val="none"/>
                <w:lang w:val="en-US" w:eastAsia="zh-CN" w:bidi="ar"/>
              </w:rPr>
              <w:br w:type="textWrapping"/>
            </w:r>
            <w:r>
              <w:rPr>
                <w:rFonts w:hint="default" w:ascii="Times New Roman" w:hAnsi="Times New Roman" w:eastAsia="宋体" w:cs="Times New Roman"/>
                <w:b/>
                <w:color w:val="000000"/>
                <w:kern w:val="0"/>
                <w:sz w:val="24"/>
                <w:szCs w:val="24"/>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63CDF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0B3B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0C733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188B3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EADAD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9A5E4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color w:val="000000"/>
                <w:kern w:val="0"/>
                <w:sz w:val="24"/>
                <w:szCs w:val="24"/>
                <w:u w:val="none"/>
                <w:lang w:val="en-US" w:eastAsia="zh-CN" w:bidi="ar"/>
              </w:rPr>
            </w:pPr>
          </w:p>
        </w:tc>
      </w:tr>
    </w:tbl>
    <w:p w14:paraId="10339F3B">
      <w:pPr>
        <w:pStyle w:val="21"/>
        <w:keepNext/>
        <w:keepLines/>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cs="Times New Roman"/>
          <w:lang w:val="en-US" w:eastAsia="zh-CN"/>
        </w:rPr>
      </w:pPr>
    </w:p>
    <w:p w14:paraId="314C2C7C">
      <w:pPr>
        <w:rPr>
          <w:rFonts w:hint="default" w:ascii="Times New Roman" w:hAnsi="Times New Roman" w:eastAsia="黑体" w:cs="Times New Roman"/>
          <w:kern w:val="2"/>
          <w:sz w:val="32"/>
          <w:szCs w:val="24"/>
          <w:highlight w:val="none"/>
          <w:lang w:val="en-US" w:eastAsia="zh-CN" w:bidi="ar-SA"/>
        </w:rPr>
      </w:pPr>
    </w:p>
    <w:p w14:paraId="0698B621">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kern w:val="2"/>
          <w:sz w:val="32"/>
          <w:szCs w:val="24"/>
          <w:highlight w:val="none"/>
          <w:lang w:val="en-US" w:eastAsia="zh-CN" w:bidi="ar-SA"/>
        </w:rPr>
      </w:pPr>
    </w:p>
    <w:p w14:paraId="2C95702F">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kern w:val="2"/>
          <w:sz w:val="32"/>
          <w:szCs w:val="24"/>
          <w:highlight w:val="none"/>
          <w:lang w:val="en-US" w:eastAsia="zh-CN" w:bidi="ar-SA"/>
        </w:rPr>
      </w:pPr>
    </w:p>
    <w:p w14:paraId="3738077C">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kern w:val="2"/>
          <w:sz w:val="32"/>
          <w:szCs w:val="24"/>
          <w:highlight w:val="none"/>
          <w:lang w:val="en-US" w:eastAsia="zh-CN" w:bidi="ar-SA"/>
        </w:rPr>
      </w:pPr>
    </w:p>
    <w:p w14:paraId="5A647BDB">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kern w:val="2"/>
          <w:sz w:val="32"/>
          <w:szCs w:val="24"/>
          <w:highlight w:val="none"/>
          <w:lang w:val="en-US" w:eastAsia="zh-CN" w:bidi="ar-SA"/>
        </w:rPr>
      </w:pPr>
    </w:p>
    <w:p w14:paraId="706E50EB">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附表2</w:t>
      </w:r>
    </w:p>
    <w:tbl>
      <w:tblPr>
        <w:tblStyle w:val="17"/>
        <w:tblW w:w="11180" w:type="dxa"/>
        <w:jc w:val="center"/>
        <w:tblLayout w:type="fixed"/>
        <w:tblCellMar>
          <w:top w:w="15" w:type="dxa"/>
          <w:left w:w="15" w:type="dxa"/>
          <w:bottom w:w="15" w:type="dxa"/>
          <w:right w:w="15" w:type="dxa"/>
        </w:tblCellMar>
      </w:tblPr>
      <w:tblGrid>
        <w:gridCol w:w="1542"/>
        <w:gridCol w:w="1403"/>
        <w:gridCol w:w="1327"/>
        <w:gridCol w:w="1145"/>
        <w:gridCol w:w="1192"/>
        <w:gridCol w:w="1343"/>
        <w:gridCol w:w="1102"/>
        <w:gridCol w:w="964"/>
        <w:gridCol w:w="1162"/>
      </w:tblGrid>
      <w:tr w14:paraId="0041A754">
        <w:tblPrEx>
          <w:tblCellMar>
            <w:top w:w="15" w:type="dxa"/>
            <w:left w:w="15" w:type="dxa"/>
            <w:bottom w:w="15" w:type="dxa"/>
            <w:right w:w="15" w:type="dxa"/>
          </w:tblCellMar>
        </w:tblPrEx>
        <w:trPr>
          <w:trHeight w:val="919" w:hRule="exact"/>
          <w:jc w:val="center"/>
        </w:trPr>
        <w:tc>
          <w:tcPr>
            <w:tcW w:w="11180" w:type="dxa"/>
            <w:gridSpan w:val="9"/>
            <w:noWrap w:val="0"/>
            <w:vAlign w:val="center"/>
          </w:tcPr>
          <w:p w14:paraId="2D7A3300">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default" w:ascii="Times New Roman" w:hAnsi="Times New Roman" w:eastAsia="黑体" w:cs="Times New Roman"/>
                <w:color w:val="000000"/>
                <w:sz w:val="28"/>
                <w:szCs w:val="28"/>
                <w:u w:val="none"/>
                <w:lang w:bidi="ar-SA"/>
              </w:rPr>
            </w:pPr>
            <w:r>
              <w:rPr>
                <w:rFonts w:hint="default" w:ascii="Times New Roman" w:hAnsi="Times New Roman" w:eastAsia="方正小标宋简体" w:cs="Times New Roman"/>
                <w:color w:val="000000"/>
                <w:kern w:val="0"/>
                <w:sz w:val="44"/>
                <w:szCs w:val="44"/>
                <w:u w:val="none"/>
                <w:lang w:val="en-US" w:eastAsia="zh-CN" w:bidi="ar"/>
              </w:rPr>
              <w:t>部门整体支出绩效目标完成情况自评表</w:t>
            </w:r>
          </w:p>
        </w:tc>
      </w:tr>
      <w:tr w14:paraId="5F4C6E39">
        <w:tblPrEx>
          <w:tblCellMar>
            <w:top w:w="15" w:type="dxa"/>
            <w:left w:w="15" w:type="dxa"/>
            <w:bottom w:w="15" w:type="dxa"/>
            <w:right w:w="15" w:type="dxa"/>
          </w:tblCellMar>
        </w:tblPrEx>
        <w:trPr>
          <w:trHeight w:val="390" w:hRule="atLeast"/>
          <w:jc w:val="center"/>
        </w:trPr>
        <w:tc>
          <w:tcPr>
            <w:tcW w:w="11180" w:type="dxa"/>
            <w:gridSpan w:val="9"/>
            <w:noWrap w:val="0"/>
            <w:vAlign w:val="center"/>
          </w:tcPr>
          <w:p w14:paraId="59916D9D">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hint="default" w:ascii="Times New Roman" w:hAnsi="Times New Roman" w:eastAsia="宋体" w:cs="Times New Roman"/>
                <w:color w:val="000000"/>
                <w:sz w:val="28"/>
                <w:szCs w:val="28"/>
                <w:u w:val="none"/>
                <w:lang w:bidi="ar-SA"/>
              </w:rPr>
            </w:pPr>
            <w:r>
              <w:rPr>
                <w:rFonts w:hint="default" w:ascii="Times New Roman" w:hAnsi="Times New Roman" w:eastAsia="宋体" w:cs="Times New Roman"/>
                <w:color w:val="000000"/>
                <w:kern w:val="0"/>
                <w:sz w:val="28"/>
                <w:szCs w:val="28"/>
                <w:u w:val="none"/>
                <w:lang w:val="en-US" w:eastAsia="zh-CN" w:bidi="ar"/>
              </w:rPr>
              <w:t>（202</w:t>
            </w:r>
            <w:r>
              <w:rPr>
                <w:rFonts w:hint="default" w:ascii="Times New Roman" w:hAnsi="Times New Roman" w:cs="Times New Roman"/>
                <w:color w:val="000000"/>
                <w:kern w:val="0"/>
                <w:sz w:val="28"/>
                <w:szCs w:val="28"/>
                <w:u w:val="none"/>
                <w:lang w:eastAsia="zh-CN" w:bidi="ar"/>
              </w:rPr>
              <w:t>5</w:t>
            </w:r>
            <w:r>
              <w:rPr>
                <w:rFonts w:hint="default" w:ascii="Times New Roman" w:hAnsi="Times New Roman" w:eastAsia="宋体" w:cs="Times New Roman"/>
                <w:color w:val="000000"/>
                <w:kern w:val="0"/>
                <w:sz w:val="28"/>
                <w:szCs w:val="28"/>
                <w:u w:val="none"/>
                <w:lang w:val="en-US" w:eastAsia="zh-CN" w:bidi="ar"/>
              </w:rPr>
              <w:t>年度）</w:t>
            </w:r>
            <w:r>
              <w:rPr>
                <w:rFonts w:hint="default" w:ascii="Times New Roman" w:hAnsi="Times New Roman" w:cs="Times New Roman"/>
                <w:color w:val="000000"/>
                <w:kern w:val="0"/>
                <w:sz w:val="28"/>
                <w:szCs w:val="28"/>
                <w:u w:val="none"/>
                <w:lang w:val="en-US" w:eastAsia="zh-CN" w:bidi="ar"/>
              </w:rPr>
              <w:t xml:space="preserve">                          </w:t>
            </w:r>
            <w:r>
              <w:rPr>
                <w:rFonts w:hint="default" w:ascii="Times New Roman" w:hAnsi="Times New Roman" w:eastAsia="宋体" w:cs="Times New Roman"/>
                <w:color w:val="000000"/>
                <w:kern w:val="0"/>
                <w:sz w:val="21"/>
                <w:szCs w:val="21"/>
                <w:u w:val="none"/>
                <w:lang w:val="en-US" w:eastAsia="zh-CN" w:bidi="ar"/>
              </w:rPr>
              <w:t>单位：万元</w:t>
            </w:r>
          </w:p>
        </w:tc>
      </w:tr>
      <w:tr w14:paraId="549AD8DF">
        <w:tblPrEx>
          <w:tblCellMar>
            <w:top w:w="15" w:type="dxa"/>
            <w:left w:w="15" w:type="dxa"/>
            <w:bottom w:w="15" w:type="dxa"/>
            <w:right w:w="15" w:type="dxa"/>
          </w:tblCellMar>
        </w:tblPrEx>
        <w:trPr>
          <w:trHeight w:val="125" w:hRule="atLeast"/>
          <w:jc w:val="center"/>
        </w:trPr>
        <w:tc>
          <w:tcPr>
            <w:tcW w:w="11180" w:type="dxa"/>
            <w:gridSpan w:val="9"/>
            <w:tcBorders>
              <w:bottom w:val="single" w:color="000000" w:sz="4" w:space="0"/>
            </w:tcBorders>
            <w:noWrap w:val="0"/>
            <w:vAlign w:val="center"/>
          </w:tcPr>
          <w:p w14:paraId="7C39D409">
            <w:pPr>
              <w:keepNext w:val="0"/>
              <w:keepLines w:val="0"/>
              <w:pageBreakBefore w:val="0"/>
              <w:widowControl/>
              <w:suppressLineNumbers w:val="0"/>
              <w:tabs>
                <w:tab w:val="left" w:pos="9079"/>
                <w:tab w:val="right" w:pos="11270"/>
              </w:tabs>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1"/>
                <w:szCs w:val="21"/>
                <w:u w:val="none"/>
                <w:lang w:bidi="ar-SA"/>
              </w:rPr>
            </w:pPr>
          </w:p>
        </w:tc>
      </w:tr>
      <w:tr w14:paraId="7452AEBE">
        <w:tblPrEx>
          <w:tblCellMar>
            <w:top w:w="15" w:type="dxa"/>
            <w:left w:w="15" w:type="dxa"/>
            <w:bottom w:w="15" w:type="dxa"/>
            <w:right w:w="15" w:type="dxa"/>
          </w:tblCellMar>
        </w:tblPrEx>
        <w:trPr>
          <w:trHeight w:val="402" w:hRule="atLeast"/>
          <w:jc w:val="center"/>
        </w:trPr>
        <w:tc>
          <w:tcPr>
            <w:tcW w:w="4272" w:type="dxa"/>
            <w:gridSpan w:val="3"/>
            <w:tcBorders>
              <w:top w:val="single" w:color="000000" w:sz="4" w:space="0"/>
              <w:left w:val="single" w:color="000000" w:sz="4" w:space="0"/>
              <w:bottom w:val="single" w:color="000000" w:sz="4" w:space="0"/>
              <w:right w:val="single" w:color="000000" w:sz="4" w:space="0"/>
            </w:tcBorders>
            <w:noWrap w:val="0"/>
            <w:vAlign w:val="center"/>
          </w:tcPr>
          <w:p w14:paraId="604B037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部门名称</w:t>
            </w:r>
          </w:p>
        </w:tc>
        <w:tc>
          <w:tcPr>
            <w:tcW w:w="6908" w:type="dxa"/>
            <w:gridSpan w:val="6"/>
            <w:tcBorders>
              <w:top w:val="single" w:color="000000" w:sz="4" w:space="0"/>
              <w:left w:val="single" w:color="000000" w:sz="4" w:space="0"/>
              <w:bottom w:val="single" w:color="000000" w:sz="4" w:space="0"/>
              <w:right w:val="single" w:color="000000" w:sz="4" w:space="0"/>
            </w:tcBorders>
            <w:noWrap w:val="0"/>
            <w:vAlign w:val="center"/>
          </w:tcPr>
          <w:p w14:paraId="7697892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四川省阿坝州</w:t>
            </w:r>
            <w:r>
              <w:rPr>
                <w:rFonts w:hint="default" w:ascii="Times New Roman" w:hAnsi="Times New Roman" w:eastAsia="宋体" w:cs="Times New Roman"/>
                <w:color w:val="000000"/>
                <w:kern w:val="0"/>
                <w:sz w:val="24"/>
                <w:szCs w:val="24"/>
                <w:u w:val="none"/>
                <w:lang w:eastAsia="zh-CN" w:bidi="ar"/>
              </w:rPr>
              <w:t>救助站</w:t>
            </w:r>
          </w:p>
        </w:tc>
      </w:tr>
      <w:tr w14:paraId="4D7E359B">
        <w:tblPrEx>
          <w:tblCellMar>
            <w:top w:w="15" w:type="dxa"/>
            <w:left w:w="15" w:type="dxa"/>
            <w:bottom w:w="15" w:type="dxa"/>
            <w:right w:w="15" w:type="dxa"/>
          </w:tblCellMar>
        </w:tblPrEx>
        <w:trPr>
          <w:trHeight w:val="402" w:hRule="atLeast"/>
          <w:jc w:val="center"/>
        </w:trPr>
        <w:tc>
          <w:tcPr>
            <w:tcW w:w="1542"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021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年度部门整体支出预算</w:t>
            </w: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65318F4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资金总额</w:t>
            </w:r>
          </w:p>
        </w:tc>
        <w:tc>
          <w:tcPr>
            <w:tcW w:w="2337" w:type="dxa"/>
            <w:gridSpan w:val="2"/>
            <w:tcBorders>
              <w:top w:val="single" w:color="000000" w:sz="4" w:space="0"/>
              <w:left w:val="single" w:color="000000" w:sz="4" w:space="0"/>
              <w:bottom w:val="single" w:color="000000" w:sz="4" w:space="0"/>
              <w:right w:val="single" w:color="000000" w:sz="4" w:space="0"/>
            </w:tcBorders>
            <w:noWrap w:val="0"/>
            <w:vAlign w:val="center"/>
          </w:tcPr>
          <w:p w14:paraId="41D0362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财政拨款</w:t>
            </w:r>
          </w:p>
        </w:tc>
        <w:tc>
          <w:tcPr>
            <w:tcW w:w="4571" w:type="dxa"/>
            <w:gridSpan w:val="4"/>
            <w:tcBorders>
              <w:top w:val="single" w:color="000000" w:sz="4" w:space="0"/>
              <w:left w:val="single" w:color="000000" w:sz="4" w:space="0"/>
              <w:bottom w:val="single" w:color="000000" w:sz="4" w:space="0"/>
              <w:right w:val="single" w:color="000000" w:sz="4" w:space="0"/>
            </w:tcBorders>
            <w:noWrap w:val="0"/>
            <w:vAlign w:val="center"/>
          </w:tcPr>
          <w:p w14:paraId="19D14E4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其他资金</w:t>
            </w:r>
          </w:p>
        </w:tc>
      </w:tr>
      <w:tr w14:paraId="63628F46">
        <w:tblPrEx>
          <w:tblCellMar>
            <w:top w:w="15" w:type="dxa"/>
            <w:left w:w="15" w:type="dxa"/>
            <w:bottom w:w="15" w:type="dxa"/>
            <w:right w:w="15" w:type="dxa"/>
          </w:tblCellMar>
        </w:tblPrEx>
        <w:trPr>
          <w:trHeight w:val="402"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E0054E">
            <w:pPr>
              <w:rPr>
                <w:rFonts w:hint="default" w:ascii="Times New Roman" w:hAnsi="Times New Roman" w:cs="Times New Roman"/>
              </w:rPr>
            </w:pP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74FEB4C5">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cs="Times New Roman"/>
                <w:color w:val="000000"/>
                <w:sz w:val="24"/>
                <w:szCs w:val="24"/>
                <w:u w:val="none"/>
                <w:lang w:bidi="ar-SA"/>
              </w:rPr>
              <w:t>454.81</w:t>
            </w:r>
          </w:p>
        </w:tc>
        <w:tc>
          <w:tcPr>
            <w:tcW w:w="2337" w:type="dxa"/>
            <w:gridSpan w:val="2"/>
            <w:tcBorders>
              <w:top w:val="single" w:color="000000" w:sz="4" w:space="0"/>
              <w:left w:val="single" w:color="000000" w:sz="4" w:space="0"/>
              <w:bottom w:val="single" w:color="000000" w:sz="4" w:space="0"/>
              <w:right w:val="single" w:color="000000" w:sz="4" w:space="0"/>
            </w:tcBorders>
            <w:noWrap w:val="0"/>
            <w:vAlign w:val="center"/>
          </w:tcPr>
          <w:p w14:paraId="358604F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cs="Times New Roman"/>
                <w:color w:val="000000"/>
                <w:kern w:val="0"/>
                <w:sz w:val="24"/>
                <w:szCs w:val="24"/>
                <w:u w:val="none"/>
                <w:lang w:eastAsia="zh-CN" w:bidi="ar"/>
              </w:rPr>
              <w:t>454.81</w:t>
            </w:r>
          </w:p>
        </w:tc>
        <w:tc>
          <w:tcPr>
            <w:tcW w:w="4571" w:type="dxa"/>
            <w:gridSpan w:val="4"/>
            <w:tcBorders>
              <w:top w:val="single" w:color="000000" w:sz="4" w:space="0"/>
              <w:left w:val="single" w:color="000000" w:sz="4" w:space="0"/>
              <w:bottom w:val="single" w:color="000000" w:sz="4" w:space="0"/>
              <w:right w:val="single" w:color="000000" w:sz="4" w:space="0"/>
            </w:tcBorders>
            <w:noWrap w:val="0"/>
            <w:vAlign w:val="center"/>
          </w:tcPr>
          <w:p w14:paraId="5E48891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w:t>
            </w:r>
          </w:p>
        </w:tc>
      </w:tr>
      <w:tr w14:paraId="26B79BD5">
        <w:tblPrEx>
          <w:tblCellMar>
            <w:top w:w="15" w:type="dxa"/>
            <w:left w:w="15" w:type="dxa"/>
            <w:bottom w:w="15" w:type="dxa"/>
            <w:right w:w="15" w:type="dxa"/>
          </w:tblCellMar>
        </w:tblPrEx>
        <w:trPr>
          <w:trHeight w:val="2520" w:hRule="atLeast"/>
          <w:jc w:val="center"/>
        </w:trPr>
        <w:tc>
          <w:tcPr>
            <w:tcW w:w="1542" w:type="dxa"/>
            <w:tcBorders>
              <w:top w:val="single" w:color="000000" w:sz="4" w:space="0"/>
              <w:left w:val="single" w:color="000000" w:sz="4" w:space="0"/>
              <w:bottom w:val="single" w:color="000000" w:sz="4" w:space="0"/>
              <w:right w:val="single" w:color="000000" w:sz="4" w:space="0"/>
            </w:tcBorders>
            <w:noWrap w:val="0"/>
            <w:vAlign w:val="center"/>
          </w:tcPr>
          <w:p w14:paraId="1C7D21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年度总体</w:t>
            </w:r>
          </w:p>
          <w:p w14:paraId="3EFD54B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目标</w:t>
            </w:r>
          </w:p>
        </w:tc>
        <w:tc>
          <w:tcPr>
            <w:tcW w:w="9638" w:type="dxa"/>
            <w:gridSpan w:val="8"/>
            <w:tcBorders>
              <w:top w:val="single" w:color="000000" w:sz="4" w:space="0"/>
              <w:left w:val="single" w:color="000000" w:sz="4" w:space="0"/>
              <w:bottom w:val="single" w:color="000000" w:sz="4" w:space="0"/>
              <w:right w:val="single" w:color="000000" w:sz="4" w:space="0"/>
            </w:tcBorders>
            <w:noWrap w:val="0"/>
            <w:vAlign w:val="center"/>
          </w:tcPr>
          <w:p w14:paraId="435D18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kern w:val="0"/>
                <w:sz w:val="32"/>
                <w:szCs w:val="32"/>
                <w:shd w:val="clear" w:color="auto" w:fill="FFFFFF"/>
                <w:lang w:eastAsia="zh-CN" w:bidi="ar-SA"/>
              </w:rPr>
              <w:t>未成年保护及</w:t>
            </w:r>
            <w:r>
              <w:rPr>
                <w:rFonts w:hint="default" w:ascii="Times New Roman" w:hAnsi="Times New Roman" w:eastAsia="仿宋_GB2312" w:cs="Times New Roman"/>
                <w:color w:val="000000"/>
                <w:kern w:val="0"/>
                <w:sz w:val="32"/>
                <w:szCs w:val="32"/>
                <w:shd w:val="clear" w:color="auto" w:fill="FFFFFF"/>
                <w:lang w:val="zh-CN" w:eastAsia="zh-CN" w:bidi="ar-SA"/>
              </w:rPr>
              <w:t>城市生活无着的流浪乞讨人员实行救助，保障其基本生活权益，完善社会救助制度的机构。主要职责是：对属于救助对象的求助人员，应当及时提供救助：提供符合食品卫生要求的食物；提供符合基本条件的住处；对在站内突发急病的，及时送医院救治；帮助与其亲属或者所在单位联系；对没有交通费返回其住所地或者所在单位的，提供乘车凭证。上级民政部门交办的其它事项</w:t>
            </w:r>
          </w:p>
        </w:tc>
      </w:tr>
      <w:tr w14:paraId="6CFD91A5">
        <w:tblPrEx>
          <w:tblCellMar>
            <w:top w:w="15" w:type="dxa"/>
            <w:left w:w="15" w:type="dxa"/>
            <w:bottom w:w="15" w:type="dxa"/>
            <w:right w:w="15" w:type="dxa"/>
          </w:tblCellMar>
        </w:tblPrEx>
        <w:trPr>
          <w:trHeight w:val="402" w:hRule="atLeast"/>
          <w:jc w:val="center"/>
        </w:trPr>
        <w:tc>
          <w:tcPr>
            <w:tcW w:w="1542" w:type="dxa"/>
            <w:vMerge w:val="restart"/>
            <w:tcBorders>
              <w:top w:val="single" w:color="000000" w:sz="4" w:space="0"/>
              <w:left w:val="single" w:color="000000" w:sz="4" w:space="0"/>
              <w:right w:val="single" w:color="000000" w:sz="4" w:space="0"/>
            </w:tcBorders>
            <w:noWrap w:val="0"/>
            <w:vAlign w:val="center"/>
          </w:tcPr>
          <w:p w14:paraId="5A11EB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年度主要</w:t>
            </w:r>
          </w:p>
          <w:p w14:paraId="415848B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任务</w:t>
            </w: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3725A0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kern w:val="0"/>
                <w:sz w:val="32"/>
                <w:szCs w:val="32"/>
                <w:u w:val="none"/>
                <w:lang w:val="en-US" w:eastAsia="zh-CN" w:bidi="ar"/>
              </w:rPr>
              <w:t>任务名称</w:t>
            </w:r>
          </w:p>
        </w:tc>
        <w:tc>
          <w:tcPr>
            <w:tcW w:w="6908" w:type="dxa"/>
            <w:gridSpan w:val="6"/>
            <w:tcBorders>
              <w:top w:val="single" w:color="000000" w:sz="4" w:space="0"/>
              <w:left w:val="single" w:color="000000" w:sz="4" w:space="0"/>
              <w:bottom w:val="single" w:color="000000" w:sz="4" w:space="0"/>
              <w:right w:val="single" w:color="000000" w:sz="4" w:space="0"/>
            </w:tcBorders>
            <w:noWrap w:val="0"/>
            <w:vAlign w:val="center"/>
          </w:tcPr>
          <w:p w14:paraId="60F4DE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kern w:val="0"/>
                <w:sz w:val="32"/>
                <w:szCs w:val="32"/>
                <w:u w:val="none"/>
                <w:lang w:val="en-US" w:eastAsia="zh-CN" w:bidi="ar"/>
              </w:rPr>
              <w:t>主要内容</w:t>
            </w:r>
          </w:p>
        </w:tc>
      </w:tr>
      <w:tr w14:paraId="418FBA3E">
        <w:tblPrEx>
          <w:tblCellMar>
            <w:top w:w="15" w:type="dxa"/>
            <w:left w:w="15" w:type="dxa"/>
            <w:bottom w:w="15" w:type="dxa"/>
            <w:right w:w="15" w:type="dxa"/>
          </w:tblCellMar>
        </w:tblPrEx>
        <w:trPr>
          <w:trHeight w:val="757" w:hRule="atLeast"/>
          <w:jc w:val="center"/>
        </w:trPr>
        <w:tc>
          <w:tcPr>
            <w:tcW w:w="1542" w:type="dxa"/>
            <w:vMerge w:val="continue"/>
            <w:tcBorders>
              <w:left w:val="single" w:color="000000" w:sz="4" w:space="0"/>
              <w:right w:val="single" w:color="000000" w:sz="4" w:space="0"/>
            </w:tcBorders>
            <w:noWrap w:val="0"/>
            <w:vAlign w:val="center"/>
          </w:tcPr>
          <w:p w14:paraId="51FD78D0">
            <w:pPr>
              <w:rPr>
                <w:rFonts w:hint="default" w:ascii="Times New Roman" w:hAnsi="Times New Roman" w:cs="Times New Roman"/>
              </w:rPr>
            </w:pP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1269142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sz w:val="32"/>
                <w:szCs w:val="32"/>
                <w:u w:val="none"/>
                <w:lang w:bidi="ar-SA"/>
              </w:rPr>
              <w:t>做好救助人员工作</w:t>
            </w:r>
          </w:p>
        </w:tc>
        <w:tc>
          <w:tcPr>
            <w:tcW w:w="6908" w:type="dxa"/>
            <w:gridSpan w:val="6"/>
            <w:tcBorders>
              <w:top w:val="single" w:color="000000" w:sz="4" w:space="0"/>
              <w:left w:val="single" w:color="000000" w:sz="4" w:space="0"/>
              <w:bottom w:val="single" w:color="000000" w:sz="4" w:space="0"/>
              <w:right w:val="single" w:color="000000" w:sz="4" w:space="0"/>
            </w:tcBorders>
            <w:noWrap w:val="0"/>
            <w:vAlign w:val="center"/>
          </w:tcPr>
          <w:p w14:paraId="39230BF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sz w:val="32"/>
                <w:szCs w:val="32"/>
                <w:u w:val="none"/>
                <w:lang w:bidi="ar-SA"/>
              </w:rPr>
              <w:t>做好救助人员工作,依法救助,是每一位受助人员能感受到家的温暖.</w:t>
            </w:r>
          </w:p>
        </w:tc>
      </w:tr>
      <w:tr w14:paraId="4D0618F0">
        <w:tblPrEx>
          <w:tblCellMar>
            <w:top w:w="15" w:type="dxa"/>
            <w:left w:w="15" w:type="dxa"/>
            <w:bottom w:w="15" w:type="dxa"/>
            <w:right w:w="15" w:type="dxa"/>
          </w:tblCellMar>
        </w:tblPrEx>
        <w:trPr>
          <w:trHeight w:val="1112" w:hRule="atLeast"/>
          <w:jc w:val="center"/>
        </w:trPr>
        <w:tc>
          <w:tcPr>
            <w:tcW w:w="1542" w:type="dxa"/>
            <w:vMerge w:val="continue"/>
            <w:tcBorders>
              <w:left w:val="single" w:color="000000" w:sz="4" w:space="0"/>
              <w:right w:val="single" w:color="000000" w:sz="4" w:space="0"/>
            </w:tcBorders>
            <w:noWrap w:val="0"/>
            <w:vAlign w:val="center"/>
          </w:tcPr>
          <w:p w14:paraId="5DCD5691">
            <w:pPr>
              <w:rPr>
                <w:rFonts w:hint="default" w:ascii="Times New Roman" w:hAnsi="Times New Roman" w:cs="Times New Roman"/>
              </w:rPr>
            </w:pP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35D2DA1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sz w:val="32"/>
                <w:szCs w:val="32"/>
                <w:u w:val="none"/>
                <w:lang w:bidi="ar-SA"/>
              </w:rPr>
              <w:t>做好未成年保护工作</w:t>
            </w:r>
          </w:p>
        </w:tc>
        <w:tc>
          <w:tcPr>
            <w:tcW w:w="6908" w:type="dxa"/>
            <w:gridSpan w:val="6"/>
            <w:tcBorders>
              <w:top w:val="single" w:color="000000" w:sz="4" w:space="0"/>
              <w:left w:val="single" w:color="000000" w:sz="4" w:space="0"/>
              <w:bottom w:val="single" w:color="000000" w:sz="4" w:space="0"/>
              <w:right w:val="single" w:color="000000" w:sz="4" w:space="0"/>
            </w:tcBorders>
            <w:noWrap w:val="0"/>
            <w:vAlign w:val="center"/>
          </w:tcPr>
          <w:p w14:paraId="3B680E7F">
            <w:pPr>
              <w:keepNext w:val="0"/>
              <w:keepLines w:val="0"/>
              <w:pageBreakBefore w:val="0"/>
              <w:widowControl/>
              <w:kinsoku/>
              <w:wordWrap/>
              <w:overflowPunct/>
              <w:topLinePunct w:val="0"/>
              <w:autoSpaceDE/>
              <w:autoSpaceDN/>
              <w:bidi w:val="0"/>
              <w:adjustRightInd/>
              <w:snapToGrid/>
              <w:spacing w:line="300" w:lineRule="exact"/>
              <w:jc w:val="left"/>
              <w:outlineLvl w:val="9"/>
              <w:rPr>
                <w:rStyle w:val="18"/>
                <w:rFonts w:hint="default" w:ascii="Times New Roman" w:hAnsi="Times New Roman" w:eastAsia="仿宋_GB2312" w:cs="Times New Roman"/>
                <w:sz w:val="32"/>
                <w:szCs w:val="32"/>
                <w:lang w:bidi="ar-SA"/>
              </w:rPr>
            </w:pPr>
            <w:r>
              <w:rPr>
                <w:rStyle w:val="18"/>
                <w:rFonts w:hint="default" w:ascii="Times New Roman" w:hAnsi="Times New Roman" w:eastAsia="仿宋_GB2312" w:cs="Times New Roman"/>
                <w:sz w:val="32"/>
                <w:szCs w:val="32"/>
                <w:lang w:bidi="ar-SA"/>
              </w:rPr>
              <w:t>完成未成年人救助保护工作保障服务儿童覆盖率98%，提升未成年保护工作水平10%.进一步提升全州该项工作整体能力。</w:t>
            </w:r>
          </w:p>
        </w:tc>
      </w:tr>
      <w:tr w14:paraId="05051360">
        <w:tblPrEx>
          <w:tblCellMar>
            <w:top w:w="15" w:type="dxa"/>
            <w:left w:w="15" w:type="dxa"/>
            <w:bottom w:w="15" w:type="dxa"/>
            <w:right w:w="15" w:type="dxa"/>
          </w:tblCellMar>
        </w:tblPrEx>
        <w:trPr>
          <w:trHeight w:val="1462" w:hRule="atLeast"/>
          <w:jc w:val="center"/>
        </w:trPr>
        <w:tc>
          <w:tcPr>
            <w:tcW w:w="1542" w:type="dxa"/>
            <w:vMerge w:val="continue"/>
            <w:tcBorders>
              <w:left w:val="single" w:color="000000" w:sz="4" w:space="0"/>
              <w:bottom w:val="single" w:color="000000" w:sz="4" w:space="0"/>
              <w:right w:val="single" w:color="000000" w:sz="4" w:space="0"/>
            </w:tcBorders>
            <w:noWrap w:val="0"/>
            <w:vAlign w:val="center"/>
          </w:tcPr>
          <w:p w14:paraId="30861B97">
            <w:pPr>
              <w:rPr>
                <w:rFonts w:hint="default" w:ascii="Times New Roman" w:hAnsi="Times New Roman" w:cs="Times New Roman"/>
              </w:rPr>
            </w:pPr>
          </w:p>
        </w:tc>
        <w:tc>
          <w:tcPr>
            <w:tcW w:w="2730" w:type="dxa"/>
            <w:gridSpan w:val="2"/>
            <w:tcBorders>
              <w:top w:val="single" w:color="000000" w:sz="4" w:space="0"/>
              <w:left w:val="single" w:color="000000" w:sz="4" w:space="0"/>
              <w:bottom w:val="single" w:color="000000" w:sz="4" w:space="0"/>
              <w:right w:val="single" w:color="000000" w:sz="4" w:space="0"/>
            </w:tcBorders>
            <w:noWrap w:val="0"/>
            <w:vAlign w:val="center"/>
          </w:tcPr>
          <w:p w14:paraId="071F550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sz w:val="32"/>
                <w:szCs w:val="32"/>
                <w:u w:val="none"/>
                <w:lang w:bidi="ar-SA"/>
              </w:rPr>
              <w:t>做好困难群众救助工作</w:t>
            </w:r>
          </w:p>
        </w:tc>
        <w:tc>
          <w:tcPr>
            <w:tcW w:w="6908" w:type="dxa"/>
            <w:gridSpan w:val="6"/>
            <w:tcBorders>
              <w:top w:val="single" w:color="000000" w:sz="4" w:space="0"/>
              <w:left w:val="single" w:color="000000" w:sz="4" w:space="0"/>
              <w:bottom w:val="single" w:color="000000" w:sz="4" w:space="0"/>
              <w:right w:val="single" w:color="000000" w:sz="4" w:space="0"/>
            </w:tcBorders>
            <w:noWrap w:val="0"/>
            <w:vAlign w:val="center"/>
          </w:tcPr>
          <w:p w14:paraId="43EC8168">
            <w:pPr>
              <w:keepNext w:val="0"/>
              <w:keepLines w:val="0"/>
              <w:pageBreakBefore w:val="0"/>
              <w:widowControl/>
              <w:kinsoku/>
              <w:wordWrap/>
              <w:overflowPunct/>
              <w:topLinePunct w:val="0"/>
              <w:autoSpaceDE/>
              <w:autoSpaceDN/>
              <w:bidi w:val="0"/>
              <w:adjustRightInd/>
              <w:snapToGrid/>
              <w:spacing w:line="300" w:lineRule="exact"/>
              <w:ind w:firstLine="384"/>
              <w:jc w:val="left"/>
              <w:outlineLvl w:val="9"/>
              <w:rPr>
                <w:rFonts w:hint="default" w:ascii="Times New Roman" w:hAnsi="Times New Roman" w:eastAsia="仿宋_GB2312" w:cs="Times New Roman"/>
                <w:color w:val="000000"/>
                <w:sz w:val="32"/>
                <w:szCs w:val="32"/>
                <w:u w:val="none"/>
                <w:lang w:bidi="ar-SA"/>
              </w:rPr>
            </w:pPr>
            <w:r>
              <w:rPr>
                <w:rFonts w:hint="default" w:ascii="Times New Roman" w:hAnsi="Times New Roman" w:eastAsia="仿宋_GB2312" w:cs="Times New Roman"/>
                <w:color w:val="000000"/>
                <w:sz w:val="32"/>
                <w:szCs w:val="32"/>
                <w:u w:val="none"/>
                <w:lang w:bidi="ar-SA"/>
              </w:rPr>
              <w:t>寒冬送温暖暨“石榴籽”帮困助弱关爱困难群众，项目为2705户重点贫困家庭购买御寒物资。结合群众冬季生产生活的实际需要，统一购置压力锅2725个，切实保障困难群众温暖过冬，安全过冬。</w:t>
            </w:r>
          </w:p>
        </w:tc>
      </w:tr>
      <w:tr w14:paraId="65D51E6D">
        <w:tblPrEx>
          <w:tblCellMar>
            <w:top w:w="15" w:type="dxa"/>
            <w:left w:w="15" w:type="dxa"/>
            <w:bottom w:w="15" w:type="dxa"/>
            <w:right w:w="15" w:type="dxa"/>
          </w:tblCellMar>
        </w:tblPrEx>
        <w:trPr>
          <w:trHeight w:val="757" w:hRule="atLeast"/>
          <w:jc w:val="center"/>
        </w:trPr>
        <w:tc>
          <w:tcPr>
            <w:tcW w:w="1542" w:type="dxa"/>
            <w:vMerge w:val="restart"/>
            <w:tcBorders>
              <w:top w:val="single" w:color="000000" w:sz="4" w:space="0"/>
              <w:left w:val="single" w:color="000000" w:sz="4" w:space="0"/>
              <w:bottom w:val="single" w:color="000000" w:sz="4" w:space="0"/>
              <w:right w:val="single" w:color="000000" w:sz="4" w:space="0"/>
            </w:tcBorders>
            <w:noWrap w:val="0"/>
            <w:vAlign w:val="center"/>
          </w:tcPr>
          <w:p w14:paraId="5E4822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年度绩效</w:t>
            </w:r>
          </w:p>
          <w:p w14:paraId="3EABB37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w:t>
            </w:r>
          </w:p>
        </w:tc>
        <w:tc>
          <w:tcPr>
            <w:tcW w:w="1403" w:type="dxa"/>
            <w:tcBorders>
              <w:top w:val="single" w:color="000000" w:sz="4" w:space="0"/>
              <w:left w:val="single" w:color="000000" w:sz="4" w:space="0"/>
              <w:bottom w:val="single" w:color="000000" w:sz="4" w:space="0"/>
              <w:right w:val="single" w:color="000000" w:sz="4" w:space="0"/>
            </w:tcBorders>
            <w:noWrap w:val="0"/>
            <w:vAlign w:val="center"/>
          </w:tcPr>
          <w:p w14:paraId="2D2EB94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一级指标</w:t>
            </w: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26A1B5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二级指标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6A046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三级指标</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0D091D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绩效指标</w:t>
            </w:r>
          </w:p>
          <w:p w14:paraId="27553BF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性质</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5FC75D6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绩效指标值</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034A5C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绩效度量单位</w:t>
            </w:r>
          </w:p>
        </w:tc>
        <w:tc>
          <w:tcPr>
            <w:tcW w:w="964" w:type="dxa"/>
            <w:tcBorders>
              <w:top w:val="single" w:color="000000" w:sz="4" w:space="0"/>
              <w:left w:val="single" w:color="000000" w:sz="4" w:space="0"/>
              <w:bottom w:val="single" w:color="000000" w:sz="4" w:space="0"/>
            </w:tcBorders>
            <w:noWrap w:val="0"/>
            <w:vAlign w:val="center"/>
          </w:tcPr>
          <w:p w14:paraId="250180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权重</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6FAC86B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实际完成</w:t>
            </w:r>
          </w:p>
          <w:p w14:paraId="4EA305E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指标值</w:t>
            </w:r>
          </w:p>
        </w:tc>
      </w:tr>
      <w:tr w14:paraId="1D0F4101">
        <w:tblPrEx>
          <w:tblCellMar>
            <w:top w:w="15" w:type="dxa"/>
            <w:left w:w="15" w:type="dxa"/>
            <w:bottom w:w="15" w:type="dxa"/>
            <w:right w:w="15" w:type="dxa"/>
          </w:tblCellMar>
        </w:tblPrEx>
        <w:trPr>
          <w:trHeight w:val="932"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E2534C">
            <w:pPr>
              <w:rPr>
                <w:rFonts w:hint="default" w:ascii="Times New Roman" w:hAnsi="Times New Roman" w:cs="Times New Roman"/>
              </w:rPr>
            </w:pPr>
          </w:p>
        </w:tc>
        <w:tc>
          <w:tcPr>
            <w:tcW w:w="1403" w:type="dxa"/>
            <w:vMerge w:val="restart"/>
            <w:tcBorders>
              <w:top w:val="single" w:color="000000" w:sz="4" w:space="0"/>
              <w:left w:val="single" w:color="000000" w:sz="4" w:space="0"/>
              <w:bottom w:val="single" w:color="000000" w:sz="4" w:space="0"/>
              <w:right w:val="single" w:color="000000" w:sz="4" w:space="0"/>
            </w:tcBorders>
            <w:noWrap w:val="0"/>
            <w:vAlign w:val="center"/>
          </w:tcPr>
          <w:p w14:paraId="3EDE7C4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产出指标</w:t>
            </w:r>
          </w:p>
        </w:tc>
        <w:tc>
          <w:tcPr>
            <w:tcW w:w="1327" w:type="dxa"/>
            <w:vMerge w:val="restart"/>
            <w:tcBorders>
              <w:top w:val="single" w:color="000000" w:sz="4" w:space="0"/>
              <w:left w:val="single" w:color="000000" w:sz="4" w:space="0"/>
              <w:bottom w:val="single" w:color="000000" w:sz="4" w:space="0"/>
              <w:right w:val="single" w:color="000000" w:sz="4" w:space="0"/>
            </w:tcBorders>
            <w:noWrap w:val="0"/>
            <w:vAlign w:val="center"/>
          </w:tcPr>
          <w:p w14:paraId="391B7F8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数量指标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6ABEB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cs="Times New Roman"/>
                <w:color w:val="000000"/>
                <w:sz w:val="24"/>
                <w:szCs w:val="24"/>
                <w:u w:val="none"/>
                <w:lang w:bidi="ar-SA"/>
              </w:rPr>
              <w:t>困难群众工作完成率</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77FE95C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7E9630F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val="en-US" w:eastAsia="en-US" w:bidi="ar-SA"/>
              </w:rPr>
            </w:pPr>
            <w:r>
              <w:rPr>
                <w:rFonts w:hint="default" w:ascii="Times New Roman" w:hAnsi="Times New Roman" w:eastAsia="宋体" w:cs="Times New Roman"/>
                <w:color w:val="000000"/>
                <w:kern w:val="0"/>
                <w:sz w:val="24"/>
                <w:szCs w:val="24"/>
                <w:u w:val="none"/>
                <w:lang w:val="en-US" w:eastAsia="zh-CN" w:bidi="ar"/>
              </w:rPr>
              <w:t>100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4619FEB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CD4A19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9</w:t>
            </w:r>
            <w:r>
              <w:rPr>
                <w:rFonts w:hint="default" w:ascii="Times New Roman" w:hAnsi="Times New Roman" w:eastAsia="宋体" w:cs="Times New Roman"/>
                <w:color w:val="000000"/>
                <w:kern w:val="0"/>
                <w:sz w:val="24"/>
                <w:szCs w:val="24"/>
                <w:u w:val="none"/>
                <w:lang w:val="en-US" w:eastAsia="zh-CN" w:bidi="ar"/>
              </w:rPr>
              <w:t>%</w:t>
            </w:r>
          </w:p>
        </w:tc>
        <w:tc>
          <w:tcPr>
            <w:tcW w:w="1162" w:type="dxa"/>
            <w:tcBorders>
              <w:left w:val="single" w:color="000000" w:sz="4" w:space="0"/>
              <w:bottom w:val="single" w:color="000000" w:sz="4" w:space="0"/>
              <w:right w:val="single" w:color="000000" w:sz="4" w:space="0"/>
            </w:tcBorders>
            <w:noWrap w:val="0"/>
            <w:vAlign w:val="center"/>
          </w:tcPr>
          <w:p w14:paraId="460A4B1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sz w:val="24"/>
                <w:szCs w:val="24"/>
                <w:u w:val="none"/>
                <w:lang w:val="en-US" w:eastAsia="en-US" w:bidi="ar-SA"/>
              </w:rPr>
            </w:pPr>
            <w:r>
              <w:rPr>
                <w:rFonts w:hint="default" w:ascii="Times New Roman" w:hAnsi="Times New Roman" w:eastAsia="宋体" w:cs="Times New Roman"/>
                <w:color w:val="000000"/>
                <w:kern w:val="0"/>
                <w:sz w:val="24"/>
                <w:szCs w:val="24"/>
                <w:u w:val="none"/>
                <w:lang w:val="en-US" w:eastAsia="zh-CN" w:bidi="ar"/>
              </w:rPr>
              <w:t>100%</w:t>
            </w:r>
          </w:p>
        </w:tc>
      </w:tr>
      <w:tr w14:paraId="6617A8F2">
        <w:tblPrEx>
          <w:tblCellMar>
            <w:top w:w="15" w:type="dxa"/>
            <w:left w:w="15" w:type="dxa"/>
            <w:bottom w:w="15" w:type="dxa"/>
            <w:right w:w="15" w:type="dxa"/>
          </w:tblCellMar>
        </w:tblPrEx>
        <w:trPr>
          <w:trHeight w:val="90"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9A0980">
            <w:pPr>
              <w:rPr>
                <w:rFonts w:hint="default" w:ascii="Times New Roman" w:hAnsi="Times New Roman" w:cs="Times New Roman"/>
              </w:rPr>
            </w:pPr>
          </w:p>
        </w:tc>
        <w:tc>
          <w:tcPr>
            <w:tcW w:w="1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3D0E2A">
            <w:pPr>
              <w:rPr>
                <w:rFonts w:hint="default" w:ascii="Times New Roman" w:hAnsi="Times New Roman" w:cs="Times New Roman"/>
              </w:rPr>
            </w:pPr>
          </w:p>
        </w:tc>
        <w:tc>
          <w:tcPr>
            <w:tcW w:w="13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8E1162">
            <w:pPr>
              <w:rPr>
                <w:rFonts w:hint="default" w:ascii="Times New Roman" w:hAnsi="Times New Roman" w:cs="Times New Roman"/>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240797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设备维护工作达标率</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79606A6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kern w:val="0"/>
                <w:sz w:val="24"/>
                <w:szCs w:val="24"/>
                <w:u w:val="none"/>
                <w:lang w:val="en-US" w:eastAsia="zh-CN" w:bidi="ar"/>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44C956F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kern w:val="0"/>
                <w:sz w:val="24"/>
                <w:szCs w:val="24"/>
                <w:u w:val="none"/>
                <w:lang w:val="en-US" w:eastAsia="zh-CN" w:bidi="ar"/>
              </w:rPr>
              <w:t>100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0257CD6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kern w:val="0"/>
                <w:sz w:val="24"/>
                <w:szCs w:val="24"/>
                <w:u w:val="none"/>
                <w:lang w:val="en-US" w:eastAsia="zh-CN" w:bidi="ar"/>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4C59D02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9%</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7315DEA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100%</w:t>
            </w:r>
          </w:p>
        </w:tc>
      </w:tr>
      <w:tr w14:paraId="78335F11">
        <w:tblPrEx>
          <w:tblCellMar>
            <w:top w:w="15" w:type="dxa"/>
            <w:left w:w="15" w:type="dxa"/>
            <w:bottom w:w="15" w:type="dxa"/>
            <w:right w:w="15" w:type="dxa"/>
          </w:tblCellMar>
        </w:tblPrEx>
        <w:trPr>
          <w:trHeight w:val="757"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186F4E">
            <w:pPr>
              <w:rPr>
                <w:rFonts w:hint="default" w:ascii="Times New Roman" w:hAnsi="Times New Roman" w:cs="Times New Roman"/>
              </w:rPr>
            </w:pPr>
          </w:p>
        </w:tc>
        <w:tc>
          <w:tcPr>
            <w:tcW w:w="1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7E1496">
            <w:pPr>
              <w:rPr>
                <w:rFonts w:hint="default" w:ascii="Times New Roman" w:hAnsi="Times New Roman" w:cs="Times New Roman"/>
              </w:rPr>
            </w:pPr>
          </w:p>
        </w:tc>
        <w:tc>
          <w:tcPr>
            <w:tcW w:w="1327" w:type="dxa"/>
            <w:vMerge w:val="restart"/>
            <w:tcBorders>
              <w:top w:val="single" w:color="000000" w:sz="4" w:space="0"/>
              <w:left w:val="single" w:color="000000" w:sz="4" w:space="0"/>
              <w:right w:val="single" w:color="000000" w:sz="4" w:space="0"/>
            </w:tcBorders>
            <w:noWrap w:val="0"/>
            <w:vAlign w:val="center"/>
          </w:tcPr>
          <w:p w14:paraId="4B31E69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质量指标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E300AC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满足受助人员生活</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039C6E6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定性</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5B3D5B9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满足</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612AA9C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341DE9F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8%</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47C58B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满足</w:t>
            </w:r>
          </w:p>
        </w:tc>
      </w:tr>
      <w:tr w14:paraId="38742B5D">
        <w:tblPrEx>
          <w:tblCellMar>
            <w:top w:w="15" w:type="dxa"/>
            <w:left w:w="15" w:type="dxa"/>
            <w:bottom w:w="15" w:type="dxa"/>
            <w:right w:w="15" w:type="dxa"/>
          </w:tblCellMar>
        </w:tblPrEx>
        <w:trPr>
          <w:trHeight w:val="757"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3DA0F">
            <w:pPr>
              <w:rPr>
                <w:rFonts w:hint="default" w:ascii="Times New Roman" w:hAnsi="Times New Roman" w:cs="Times New Roman"/>
              </w:rPr>
            </w:pPr>
          </w:p>
        </w:tc>
        <w:tc>
          <w:tcPr>
            <w:tcW w:w="140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F140EB">
            <w:pPr>
              <w:rPr>
                <w:rFonts w:hint="default" w:ascii="Times New Roman" w:hAnsi="Times New Roman" w:cs="Times New Roman"/>
              </w:rPr>
            </w:pPr>
          </w:p>
        </w:tc>
        <w:tc>
          <w:tcPr>
            <w:tcW w:w="1327" w:type="dxa"/>
            <w:vMerge w:val="continue"/>
            <w:tcBorders>
              <w:left w:val="single" w:color="000000" w:sz="4" w:space="0"/>
              <w:bottom w:val="single" w:color="000000" w:sz="4" w:space="0"/>
              <w:right w:val="single" w:color="000000" w:sz="4" w:space="0"/>
            </w:tcBorders>
            <w:noWrap w:val="0"/>
            <w:vAlign w:val="center"/>
          </w:tcPr>
          <w:p w14:paraId="42011570">
            <w:pPr>
              <w:rPr>
                <w:rFonts w:hint="default" w:ascii="Times New Roman" w:hAnsi="Times New Roman" w:cs="Times New Roman"/>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D99E8F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受助人员和未成年</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3D765E5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20F91E6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100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7E7585A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9729D1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10</w:t>
            </w:r>
            <w:r>
              <w:rPr>
                <w:rFonts w:hint="default" w:ascii="Times New Roman" w:hAnsi="Times New Roman" w:eastAsia="宋体" w:cs="Times New Roman"/>
                <w:color w:val="00000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0039F63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100</w:t>
            </w:r>
            <w:r>
              <w:rPr>
                <w:rFonts w:hint="default" w:ascii="Times New Roman" w:hAnsi="Times New Roman" w:eastAsia="宋体" w:cs="Times New Roman"/>
                <w:color w:val="000000"/>
                <w:sz w:val="24"/>
                <w:szCs w:val="24"/>
                <w:u w:val="none"/>
                <w:lang w:val="en-US" w:eastAsia="zh-CN" w:bidi="ar-SA"/>
              </w:rPr>
              <w:t>%</w:t>
            </w:r>
          </w:p>
        </w:tc>
      </w:tr>
      <w:tr w14:paraId="68C9BEC1">
        <w:tblPrEx>
          <w:tblCellMar>
            <w:top w:w="15" w:type="dxa"/>
            <w:left w:w="15" w:type="dxa"/>
            <w:bottom w:w="15" w:type="dxa"/>
            <w:right w:w="15" w:type="dxa"/>
          </w:tblCellMar>
        </w:tblPrEx>
        <w:trPr>
          <w:trHeight w:val="757"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62C26B">
            <w:pPr>
              <w:rPr>
                <w:rFonts w:hint="default" w:ascii="Times New Roman" w:hAnsi="Times New Roman" w:cs="Times New Roman"/>
              </w:rPr>
            </w:pPr>
          </w:p>
        </w:tc>
        <w:tc>
          <w:tcPr>
            <w:tcW w:w="1403" w:type="dxa"/>
            <w:vMerge w:val="continue"/>
            <w:tcBorders>
              <w:top w:val="single" w:color="000000" w:sz="4" w:space="0"/>
              <w:left w:val="single" w:color="000000" w:sz="4" w:space="0"/>
              <w:bottom w:val="single" w:color="auto" w:sz="4" w:space="0"/>
              <w:right w:val="single" w:color="000000" w:sz="4" w:space="0"/>
            </w:tcBorders>
            <w:noWrap w:val="0"/>
            <w:vAlign w:val="center"/>
          </w:tcPr>
          <w:p w14:paraId="37712D57">
            <w:pPr>
              <w:rPr>
                <w:rFonts w:hint="default" w:ascii="Times New Roman" w:hAnsi="Times New Roman" w:cs="Times New Roman"/>
              </w:rPr>
            </w:pPr>
          </w:p>
        </w:tc>
        <w:tc>
          <w:tcPr>
            <w:tcW w:w="1327" w:type="dxa"/>
            <w:tcBorders>
              <w:top w:val="single" w:color="000000" w:sz="4" w:space="0"/>
              <w:left w:val="single" w:color="000000" w:sz="4" w:space="0"/>
              <w:bottom w:val="single" w:color="auto" w:sz="4" w:space="0"/>
              <w:right w:val="single" w:color="000000" w:sz="4" w:space="0"/>
            </w:tcBorders>
            <w:noWrap w:val="0"/>
            <w:vAlign w:val="center"/>
          </w:tcPr>
          <w:p w14:paraId="550555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时效指标</w:t>
            </w:r>
          </w:p>
        </w:tc>
        <w:tc>
          <w:tcPr>
            <w:tcW w:w="1145" w:type="dxa"/>
            <w:tcBorders>
              <w:top w:val="single" w:color="000000" w:sz="4" w:space="0"/>
              <w:left w:val="single" w:color="000000" w:sz="4" w:space="0"/>
              <w:bottom w:val="single" w:color="auto" w:sz="4" w:space="0"/>
              <w:right w:val="single" w:color="000000" w:sz="4" w:space="0"/>
            </w:tcBorders>
            <w:noWrap w:val="0"/>
            <w:vAlign w:val="center"/>
          </w:tcPr>
          <w:p w14:paraId="552F8B8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项目完成的及时率</w:t>
            </w:r>
          </w:p>
        </w:tc>
        <w:tc>
          <w:tcPr>
            <w:tcW w:w="1192" w:type="dxa"/>
            <w:tcBorders>
              <w:top w:val="single" w:color="000000" w:sz="4" w:space="0"/>
              <w:left w:val="single" w:color="000000" w:sz="4" w:space="0"/>
              <w:bottom w:val="single" w:color="auto" w:sz="4" w:space="0"/>
              <w:right w:val="single" w:color="000000" w:sz="4" w:space="0"/>
            </w:tcBorders>
            <w:noWrap w:val="0"/>
            <w:vAlign w:val="center"/>
          </w:tcPr>
          <w:p w14:paraId="7CFEF23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auto" w:sz="4" w:space="0"/>
              <w:right w:val="single" w:color="000000" w:sz="4" w:space="0"/>
            </w:tcBorders>
            <w:noWrap w:val="0"/>
            <w:vAlign w:val="center"/>
          </w:tcPr>
          <w:p w14:paraId="50D6492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100</w:t>
            </w:r>
          </w:p>
        </w:tc>
        <w:tc>
          <w:tcPr>
            <w:tcW w:w="1102" w:type="dxa"/>
            <w:tcBorders>
              <w:top w:val="single" w:color="000000" w:sz="4" w:space="0"/>
              <w:left w:val="single" w:color="000000" w:sz="4" w:space="0"/>
              <w:bottom w:val="single" w:color="auto" w:sz="4" w:space="0"/>
              <w:right w:val="single" w:color="000000" w:sz="4" w:space="0"/>
            </w:tcBorders>
            <w:noWrap w:val="0"/>
            <w:vAlign w:val="center"/>
          </w:tcPr>
          <w:p w14:paraId="687ECFE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964" w:type="dxa"/>
            <w:tcBorders>
              <w:top w:val="single" w:color="000000" w:sz="4" w:space="0"/>
              <w:left w:val="single" w:color="000000" w:sz="4" w:space="0"/>
              <w:bottom w:val="single" w:color="auto" w:sz="4" w:space="0"/>
              <w:right w:val="single" w:color="000000" w:sz="4" w:space="0"/>
            </w:tcBorders>
            <w:noWrap w:val="0"/>
            <w:vAlign w:val="center"/>
          </w:tcPr>
          <w:p w14:paraId="2AA1FAF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8%</w:t>
            </w:r>
          </w:p>
        </w:tc>
        <w:tc>
          <w:tcPr>
            <w:tcW w:w="1162" w:type="dxa"/>
            <w:tcBorders>
              <w:top w:val="single" w:color="000000" w:sz="4" w:space="0"/>
              <w:left w:val="single" w:color="000000" w:sz="4" w:space="0"/>
              <w:bottom w:val="single" w:color="auto" w:sz="4" w:space="0"/>
              <w:right w:val="single" w:color="000000" w:sz="4" w:space="0"/>
            </w:tcBorders>
            <w:noWrap w:val="0"/>
            <w:vAlign w:val="center"/>
          </w:tcPr>
          <w:p w14:paraId="53D8ED0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100%</w:t>
            </w:r>
          </w:p>
        </w:tc>
      </w:tr>
      <w:tr w14:paraId="798675FA">
        <w:tblPrEx>
          <w:tblCellMar>
            <w:top w:w="15" w:type="dxa"/>
            <w:left w:w="15" w:type="dxa"/>
            <w:bottom w:w="15" w:type="dxa"/>
            <w:right w:w="15" w:type="dxa"/>
          </w:tblCellMar>
        </w:tblPrEx>
        <w:trPr>
          <w:trHeight w:val="1112" w:hRule="atLeast"/>
          <w:jc w:val="center"/>
        </w:trPr>
        <w:tc>
          <w:tcPr>
            <w:tcW w:w="1542" w:type="dxa"/>
            <w:vMerge w:val="continue"/>
            <w:tcBorders>
              <w:top w:val="single" w:color="000000" w:sz="4" w:space="0"/>
              <w:left w:val="single" w:color="000000" w:sz="4" w:space="0"/>
              <w:bottom w:val="single" w:color="000000" w:sz="4" w:space="0"/>
              <w:right w:val="single" w:color="auto" w:sz="4" w:space="0"/>
            </w:tcBorders>
            <w:noWrap w:val="0"/>
            <w:vAlign w:val="center"/>
          </w:tcPr>
          <w:p w14:paraId="73A8469B">
            <w:pPr>
              <w:rPr>
                <w:rFonts w:hint="default" w:ascii="Times New Roman" w:hAnsi="Times New Roman" w:cs="Times New Roman"/>
              </w:rPr>
            </w:pPr>
          </w:p>
        </w:tc>
        <w:tc>
          <w:tcPr>
            <w:tcW w:w="1403" w:type="dxa"/>
            <w:vMerge w:val="restart"/>
            <w:tcBorders>
              <w:top w:val="single" w:color="auto" w:sz="4" w:space="0"/>
              <w:left w:val="single" w:color="auto" w:sz="4" w:space="0"/>
              <w:bottom w:val="single" w:color="auto" w:sz="4" w:space="0"/>
              <w:right w:val="single" w:color="auto" w:sz="4" w:space="0"/>
            </w:tcBorders>
            <w:noWrap w:val="0"/>
            <w:vAlign w:val="center"/>
          </w:tcPr>
          <w:p w14:paraId="489A15A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效益指标</w:t>
            </w:r>
          </w:p>
        </w:tc>
        <w:tc>
          <w:tcPr>
            <w:tcW w:w="1327" w:type="dxa"/>
            <w:vMerge w:val="restart"/>
            <w:tcBorders>
              <w:top w:val="single" w:color="auto" w:sz="4" w:space="0"/>
              <w:left w:val="single" w:color="auto" w:sz="4" w:space="0"/>
              <w:bottom w:val="single" w:color="auto" w:sz="4" w:space="0"/>
              <w:right w:val="single" w:color="auto" w:sz="4" w:space="0"/>
            </w:tcBorders>
            <w:noWrap w:val="0"/>
            <w:vAlign w:val="center"/>
          </w:tcPr>
          <w:p w14:paraId="4E743B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社会效益</w:t>
            </w:r>
          </w:p>
          <w:p w14:paraId="64B826C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指标</w:t>
            </w:r>
          </w:p>
        </w:tc>
        <w:tc>
          <w:tcPr>
            <w:tcW w:w="1145" w:type="dxa"/>
            <w:tcBorders>
              <w:top w:val="single" w:color="auto" w:sz="4" w:space="0"/>
              <w:left w:val="single" w:color="auto" w:sz="4" w:space="0"/>
              <w:bottom w:val="single" w:color="auto" w:sz="4" w:space="0"/>
              <w:right w:val="single" w:color="auto" w:sz="4" w:space="0"/>
            </w:tcBorders>
            <w:noWrap w:val="0"/>
            <w:vAlign w:val="center"/>
          </w:tcPr>
          <w:p w14:paraId="2CAA112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受助人员和未报中心儿童</w:t>
            </w:r>
          </w:p>
        </w:tc>
        <w:tc>
          <w:tcPr>
            <w:tcW w:w="1192" w:type="dxa"/>
            <w:tcBorders>
              <w:top w:val="single" w:color="auto" w:sz="4" w:space="0"/>
              <w:left w:val="single" w:color="auto" w:sz="4" w:space="0"/>
              <w:bottom w:val="single" w:color="auto" w:sz="4" w:space="0"/>
              <w:right w:val="single" w:color="auto" w:sz="4" w:space="0"/>
            </w:tcBorders>
            <w:noWrap w:val="0"/>
            <w:vAlign w:val="center"/>
          </w:tcPr>
          <w:p w14:paraId="0088842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定性</w:t>
            </w:r>
          </w:p>
        </w:tc>
        <w:tc>
          <w:tcPr>
            <w:tcW w:w="1343" w:type="dxa"/>
            <w:tcBorders>
              <w:top w:val="single" w:color="auto" w:sz="4" w:space="0"/>
              <w:left w:val="single" w:color="auto" w:sz="4" w:space="0"/>
              <w:bottom w:val="single" w:color="auto" w:sz="4" w:space="0"/>
              <w:right w:val="single" w:color="auto" w:sz="4" w:space="0"/>
            </w:tcBorders>
            <w:noWrap w:val="0"/>
            <w:vAlign w:val="center"/>
          </w:tcPr>
          <w:p w14:paraId="2CBD46D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基本保障</w:t>
            </w:r>
          </w:p>
        </w:tc>
        <w:tc>
          <w:tcPr>
            <w:tcW w:w="1102" w:type="dxa"/>
            <w:tcBorders>
              <w:top w:val="single" w:color="auto" w:sz="4" w:space="0"/>
              <w:left w:val="single" w:color="auto" w:sz="4" w:space="0"/>
              <w:bottom w:val="single" w:color="auto" w:sz="4" w:space="0"/>
              <w:right w:val="single" w:color="auto" w:sz="4" w:space="0"/>
            </w:tcBorders>
            <w:noWrap w:val="0"/>
            <w:vAlign w:val="center"/>
          </w:tcPr>
          <w:p w14:paraId="34BB0AB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w:t>
            </w:r>
          </w:p>
        </w:tc>
        <w:tc>
          <w:tcPr>
            <w:tcW w:w="964" w:type="dxa"/>
            <w:tcBorders>
              <w:top w:val="single" w:color="auto" w:sz="4" w:space="0"/>
              <w:left w:val="single" w:color="auto" w:sz="4" w:space="0"/>
              <w:bottom w:val="single" w:color="auto" w:sz="4" w:space="0"/>
              <w:right w:val="single" w:color="auto" w:sz="4" w:space="0"/>
            </w:tcBorders>
            <w:noWrap w:val="0"/>
            <w:vAlign w:val="center"/>
          </w:tcPr>
          <w:p w14:paraId="48E335E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5%</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4C8B2F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基本保障</w:t>
            </w:r>
          </w:p>
        </w:tc>
      </w:tr>
      <w:tr w14:paraId="34DBBE41">
        <w:tblPrEx>
          <w:tblCellMar>
            <w:top w:w="15" w:type="dxa"/>
            <w:left w:w="15" w:type="dxa"/>
            <w:bottom w:w="15" w:type="dxa"/>
            <w:right w:w="15" w:type="dxa"/>
          </w:tblCellMar>
        </w:tblPrEx>
        <w:trPr>
          <w:trHeight w:val="1242" w:hRule="atLeast"/>
          <w:jc w:val="center"/>
        </w:trPr>
        <w:tc>
          <w:tcPr>
            <w:tcW w:w="1542" w:type="dxa"/>
            <w:vMerge w:val="continue"/>
            <w:tcBorders>
              <w:top w:val="single" w:color="000000" w:sz="4" w:space="0"/>
              <w:left w:val="single" w:color="000000" w:sz="4" w:space="0"/>
              <w:bottom w:val="single" w:color="000000" w:sz="4" w:space="0"/>
              <w:right w:val="single" w:color="auto" w:sz="4" w:space="0"/>
            </w:tcBorders>
            <w:noWrap w:val="0"/>
            <w:vAlign w:val="center"/>
          </w:tcPr>
          <w:p w14:paraId="45FA436A">
            <w:pPr>
              <w:rPr>
                <w:rFonts w:hint="default" w:ascii="Times New Roman" w:hAnsi="Times New Roman" w:cs="Times New Roman"/>
              </w:rPr>
            </w:pPr>
          </w:p>
        </w:tc>
        <w:tc>
          <w:tcPr>
            <w:tcW w:w="1403" w:type="dxa"/>
            <w:vMerge w:val="continue"/>
            <w:tcBorders>
              <w:top w:val="single" w:color="auto" w:sz="4" w:space="0"/>
              <w:left w:val="single" w:color="auto" w:sz="4" w:space="0"/>
              <w:bottom w:val="single" w:color="000000" w:sz="4" w:space="0"/>
              <w:right w:val="single" w:color="000000" w:sz="4" w:space="0"/>
            </w:tcBorders>
            <w:noWrap w:val="0"/>
            <w:vAlign w:val="center"/>
          </w:tcPr>
          <w:p w14:paraId="0337AAAB">
            <w:pPr>
              <w:rPr>
                <w:rFonts w:hint="default" w:ascii="Times New Roman" w:hAnsi="Times New Roman" w:cs="Times New Roman"/>
              </w:rPr>
            </w:pPr>
          </w:p>
        </w:tc>
        <w:tc>
          <w:tcPr>
            <w:tcW w:w="1327" w:type="dxa"/>
            <w:vMerge w:val="continue"/>
            <w:tcBorders>
              <w:top w:val="single" w:color="auto" w:sz="4" w:space="0"/>
              <w:left w:val="single" w:color="000000" w:sz="4" w:space="0"/>
              <w:right w:val="single" w:color="000000" w:sz="4" w:space="0"/>
            </w:tcBorders>
            <w:noWrap w:val="0"/>
            <w:vAlign w:val="center"/>
          </w:tcPr>
          <w:p w14:paraId="5CCC844C">
            <w:pPr>
              <w:rPr>
                <w:rFonts w:hint="default" w:ascii="Times New Roman" w:hAnsi="Times New Roman" w:cs="Times New Roman"/>
              </w:rPr>
            </w:pPr>
          </w:p>
        </w:tc>
        <w:tc>
          <w:tcPr>
            <w:tcW w:w="1145" w:type="dxa"/>
            <w:tcBorders>
              <w:top w:val="single" w:color="auto" w:sz="4" w:space="0"/>
              <w:left w:val="single" w:color="000000" w:sz="4" w:space="0"/>
              <w:bottom w:val="single" w:color="000000" w:sz="4" w:space="0"/>
              <w:right w:val="single" w:color="000000" w:sz="4" w:space="0"/>
            </w:tcBorders>
            <w:noWrap w:val="0"/>
            <w:vAlign w:val="center"/>
          </w:tcPr>
          <w:p w14:paraId="755D23A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bidi="ar-SA"/>
              </w:rPr>
              <w:t>提升受助人员和未成年幸福感</w:t>
            </w:r>
          </w:p>
        </w:tc>
        <w:tc>
          <w:tcPr>
            <w:tcW w:w="1192" w:type="dxa"/>
            <w:tcBorders>
              <w:top w:val="single" w:color="auto" w:sz="4" w:space="0"/>
              <w:left w:val="single" w:color="000000" w:sz="4" w:space="0"/>
              <w:bottom w:val="single" w:color="000000" w:sz="4" w:space="0"/>
              <w:right w:val="single" w:color="000000" w:sz="4" w:space="0"/>
            </w:tcBorders>
            <w:noWrap w:val="0"/>
            <w:vAlign w:val="center"/>
          </w:tcPr>
          <w:p w14:paraId="2780C5E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sz w:val="24"/>
                <w:szCs w:val="24"/>
                <w:u w:val="none"/>
                <w:lang w:val="en-US" w:eastAsia="zh-CN" w:bidi="ar-SA"/>
              </w:rPr>
              <w:t>定性</w:t>
            </w:r>
          </w:p>
        </w:tc>
        <w:tc>
          <w:tcPr>
            <w:tcW w:w="1343" w:type="dxa"/>
            <w:tcBorders>
              <w:top w:val="single" w:color="auto" w:sz="4" w:space="0"/>
              <w:left w:val="single" w:color="000000" w:sz="4" w:space="0"/>
              <w:bottom w:val="single" w:color="000000" w:sz="4" w:space="0"/>
              <w:right w:val="single" w:color="000000" w:sz="4" w:space="0"/>
            </w:tcBorders>
            <w:noWrap w:val="0"/>
            <w:vAlign w:val="center"/>
          </w:tcPr>
          <w:p w14:paraId="0AA8128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有效提升</w:t>
            </w:r>
          </w:p>
        </w:tc>
        <w:tc>
          <w:tcPr>
            <w:tcW w:w="1102" w:type="dxa"/>
            <w:tcBorders>
              <w:top w:val="single" w:color="auto" w:sz="4" w:space="0"/>
              <w:left w:val="single" w:color="000000" w:sz="4" w:space="0"/>
              <w:bottom w:val="single" w:color="000000" w:sz="4" w:space="0"/>
              <w:right w:val="single" w:color="000000" w:sz="4" w:space="0"/>
            </w:tcBorders>
            <w:noWrap w:val="0"/>
            <w:vAlign w:val="center"/>
          </w:tcPr>
          <w:p w14:paraId="1EA6720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w:t>
            </w:r>
          </w:p>
        </w:tc>
        <w:tc>
          <w:tcPr>
            <w:tcW w:w="964" w:type="dxa"/>
            <w:tcBorders>
              <w:top w:val="single" w:color="auto" w:sz="4" w:space="0"/>
              <w:left w:val="single" w:color="000000" w:sz="4" w:space="0"/>
              <w:bottom w:val="single" w:color="000000" w:sz="4" w:space="0"/>
              <w:right w:val="single" w:color="000000" w:sz="4" w:space="0"/>
            </w:tcBorders>
            <w:noWrap w:val="0"/>
            <w:vAlign w:val="center"/>
          </w:tcPr>
          <w:p w14:paraId="71C4E48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5%</w:t>
            </w:r>
          </w:p>
        </w:tc>
        <w:tc>
          <w:tcPr>
            <w:tcW w:w="1162" w:type="dxa"/>
            <w:tcBorders>
              <w:top w:val="single" w:color="auto" w:sz="4" w:space="0"/>
              <w:left w:val="single" w:color="000000" w:sz="4" w:space="0"/>
              <w:bottom w:val="single" w:color="000000" w:sz="4" w:space="0"/>
              <w:right w:val="single" w:color="000000" w:sz="4" w:space="0"/>
            </w:tcBorders>
            <w:noWrap w:val="0"/>
            <w:vAlign w:val="center"/>
          </w:tcPr>
          <w:p w14:paraId="6215A5F6">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有效提升</w:t>
            </w:r>
          </w:p>
        </w:tc>
      </w:tr>
      <w:tr w14:paraId="43738DD3">
        <w:tblPrEx>
          <w:tblCellMar>
            <w:top w:w="15" w:type="dxa"/>
            <w:left w:w="15" w:type="dxa"/>
            <w:bottom w:w="15" w:type="dxa"/>
            <w:right w:w="15" w:type="dxa"/>
          </w:tblCellMar>
        </w:tblPrEx>
        <w:trPr>
          <w:trHeight w:val="1112" w:hRule="atLeast"/>
          <w:jc w:val="center"/>
        </w:trPr>
        <w:tc>
          <w:tcPr>
            <w:tcW w:w="1542" w:type="dxa"/>
            <w:vMerge w:val="continue"/>
            <w:tcBorders>
              <w:top w:val="single" w:color="000000" w:sz="4" w:space="0"/>
              <w:left w:val="single" w:color="000000" w:sz="4" w:space="0"/>
              <w:bottom w:val="single" w:color="000000" w:sz="4" w:space="0"/>
              <w:right w:val="single" w:color="auto" w:sz="4" w:space="0"/>
            </w:tcBorders>
            <w:noWrap w:val="0"/>
            <w:vAlign w:val="center"/>
          </w:tcPr>
          <w:p w14:paraId="2CB52A96">
            <w:pPr>
              <w:rPr>
                <w:rFonts w:hint="default" w:ascii="Times New Roman" w:hAnsi="Times New Roman" w:cs="Times New Roman"/>
              </w:rPr>
            </w:pPr>
          </w:p>
        </w:tc>
        <w:tc>
          <w:tcPr>
            <w:tcW w:w="1403" w:type="dxa"/>
            <w:vMerge w:val="continue"/>
            <w:tcBorders>
              <w:top w:val="single" w:color="000000" w:sz="4" w:space="0"/>
              <w:left w:val="single" w:color="auto" w:sz="4" w:space="0"/>
              <w:bottom w:val="single" w:color="000000" w:sz="4" w:space="0"/>
              <w:right w:val="single" w:color="000000" w:sz="4" w:space="0"/>
            </w:tcBorders>
            <w:noWrap w:val="0"/>
            <w:vAlign w:val="center"/>
          </w:tcPr>
          <w:p w14:paraId="59F4F071">
            <w:pPr>
              <w:rPr>
                <w:rFonts w:hint="default" w:ascii="Times New Roman" w:hAnsi="Times New Roman" w:cs="Times New Roman"/>
              </w:rPr>
            </w:pPr>
          </w:p>
        </w:tc>
        <w:tc>
          <w:tcPr>
            <w:tcW w:w="1327" w:type="dxa"/>
            <w:tcBorders>
              <w:top w:val="single" w:color="000000" w:sz="4" w:space="0"/>
              <w:left w:val="single" w:color="000000" w:sz="4" w:space="0"/>
              <w:bottom w:val="single" w:color="000000" w:sz="4" w:space="0"/>
              <w:right w:val="single" w:color="000000" w:sz="4" w:space="0"/>
            </w:tcBorders>
            <w:noWrap w:val="0"/>
            <w:vAlign w:val="center"/>
          </w:tcPr>
          <w:p w14:paraId="02058A9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kern w:val="0"/>
                <w:sz w:val="24"/>
                <w:szCs w:val="24"/>
                <w:u w:val="none"/>
                <w:lang w:val="en-US" w:eastAsia="zh-CN" w:bidi="ar"/>
              </w:rPr>
              <w:t>可持续影响指标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3D029D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促进儿童</w:t>
            </w:r>
            <w:r>
              <w:rPr>
                <w:rFonts w:hint="default" w:ascii="Times New Roman" w:hAnsi="Times New Roman" w:eastAsia="宋体" w:cs="Times New Roman"/>
                <w:color w:val="000000"/>
                <w:sz w:val="24"/>
                <w:szCs w:val="24"/>
                <w:u w:val="none"/>
                <w:lang w:eastAsia="zh-CN" w:bidi="ar-SA"/>
              </w:rPr>
              <w:t>健康发展</w:t>
            </w:r>
            <w:r>
              <w:rPr>
                <w:rFonts w:hint="default" w:ascii="Times New Roman" w:hAnsi="Times New Roman" w:eastAsia="宋体" w:cs="Times New Roman"/>
                <w:color w:val="000000"/>
                <w:sz w:val="24"/>
                <w:szCs w:val="24"/>
                <w:u w:val="none"/>
                <w:lang w:val="en-US" w:eastAsia="zh-CN" w:bidi="ar-SA"/>
              </w:rPr>
              <w:t>发展</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012A82C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定性</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54E26B1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有效促进</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1A1E9DF0">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B5910D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5%</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599AD2FB">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有效促进</w:t>
            </w:r>
          </w:p>
        </w:tc>
      </w:tr>
      <w:tr w14:paraId="1A6D1846">
        <w:tblPrEx>
          <w:tblCellMar>
            <w:top w:w="15" w:type="dxa"/>
            <w:left w:w="15" w:type="dxa"/>
            <w:bottom w:w="15" w:type="dxa"/>
            <w:right w:w="15" w:type="dxa"/>
          </w:tblCellMar>
        </w:tblPrEx>
        <w:trPr>
          <w:trHeight w:val="757" w:hRule="atLeast"/>
          <w:jc w:val="center"/>
        </w:trPr>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9D4F9C">
            <w:pPr>
              <w:rPr>
                <w:rFonts w:hint="default" w:ascii="Times New Roman" w:hAnsi="Times New Roman" w:cs="Times New Roman"/>
              </w:rPr>
            </w:pPr>
          </w:p>
        </w:tc>
        <w:tc>
          <w:tcPr>
            <w:tcW w:w="1403" w:type="dxa"/>
            <w:vMerge w:val="restart"/>
            <w:tcBorders>
              <w:top w:val="single" w:color="000000" w:sz="4" w:space="0"/>
              <w:left w:val="single" w:color="000000" w:sz="4" w:space="0"/>
              <w:right w:val="single" w:color="000000" w:sz="4" w:space="0"/>
            </w:tcBorders>
            <w:noWrap w:val="0"/>
            <w:vAlign w:val="center"/>
          </w:tcPr>
          <w:p w14:paraId="23F046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满意度指标</w:t>
            </w:r>
          </w:p>
        </w:tc>
        <w:tc>
          <w:tcPr>
            <w:tcW w:w="1327" w:type="dxa"/>
            <w:vMerge w:val="restart"/>
            <w:tcBorders>
              <w:top w:val="single" w:color="000000" w:sz="4" w:space="0"/>
              <w:left w:val="single" w:color="000000" w:sz="4" w:space="0"/>
              <w:right w:val="single" w:color="000000" w:sz="4" w:space="0"/>
            </w:tcBorders>
            <w:noWrap w:val="0"/>
            <w:vAlign w:val="center"/>
          </w:tcPr>
          <w:p w14:paraId="55D6548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sz w:val="24"/>
                <w:szCs w:val="24"/>
                <w:u w:val="none"/>
                <w:lang w:bidi="ar-SA"/>
              </w:rPr>
            </w:pPr>
            <w:r>
              <w:rPr>
                <w:rFonts w:hint="default" w:ascii="Times New Roman" w:hAnsi="Times New Roman" w:eastAsia="宋体" w:cs="Times New Roman"/>
                <w:color w:val="000000"/>
                <w:kern w:val="0"/>
                <w:sz w:val="24"/>
                <w:szCs w:val="24"/>
                <w:u w:val="none"/>
                <w:lang w:val="en-US" w:eastAsia="zh-CN" w:bidi="ar"/>
              </w:rPr>
              <w:t>满意度指标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235949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受助人员</w:t>
            </w:r>
            <w:r>
              <w:rPr>
                <w:rFonts w:hint="default" w:ascii="Times New Roman" w:hAnsi="Times New Roman" w:eastAsia="宋体" w:cs="Times New Roman"/>
                <w:color w:val="000000"/>
                <w:sz w:val="24"/>
                <w:szCs w:val="24"/>
                <w:u w:val="none"/>
                <w:lang w:val="en-US" w:eastAsia="zh-CN" w:bidi="ar-SA"/>
              </w:rPr>
              <w:t>满意度</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68E1FE0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23AE9A7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100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18F485F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4762496D">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10</w:t>
            </w:r>
            <w:r>
              <w:rPr>
                <w:rFonts w:hint="default" w:ascii="Times New Roman" w:hAnsi="Times New Roman" w:eastAsia="宋体" w:cs="Times New Roman"/>
                <w:color w:val="00000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26CC85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100</w:t>
            </w:r>
            <w:r>
              <w:rPr>
                <w:rFonts w:hint="default" w:ascii="Times New Roman" w:hAnsi="Times New Roman" w:eastAsia="宋体" w:cs="Times New Roman"/>
                <w:color w:val="000000"/>
                <w:sz w:val="24"/>
                <w:szCs w:val="24"/>
                <w:u w:val="none"/>
                <w:lang w:val="en-US" w:eastAsia="zh-CN" w:bidi="ar-SA"/>
              </w:rPr>
              <w:t>%</w:t>
            </w:r>
          </w:p>
        </w:tc>
      </w:tr>
      <w:tr w14:paraId="1044C4D7">
        <w:tblPrEx>
          <w:tblCellMar>
            <w:top w:w="15" w:type="dxa"/>
            <w:left w:w="15" w:type="dxa"/>
            <w:bottom w:w="15" w:type="dxa"/>
            <w:right w:w="15" w:type="dxa"/>
          </w:tblCellMar>
        </w:tblPrEx>
        <w:trPr>
          <w:trHeight w:val="757" w:hRule="atLeast"/>
          <w:jc w:val="center"/>
        </w:trPr>
        <w:tc>
          <w:tcPr>
            <w:tcW w:w="1542" w:type="dxa"/>
            <w:tcBorders>
              <w:top w:val="single" w:color="000000" w:sz="4" w:space="0"/>
              <w:left w:val="single" w:color="000000" w:sz="4" w:space="0"/>
              <w:bottom w:val="single" w:color="000000" w:sz="4" w:space="0"/>
              <w:right w:val="single" w:color="000000" w:sz="4" w:space="0"/>
            </w:tcBorders>
            <w:noWrap w:val="0"/>
            <w:vAlign w:val="center"/>
          </w:tcPr>
          <w:p w14:paraId="545C9B5F">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sz w:val="24"/>
                <w:szCs w:val="24"/>
                <w:u w:val="none"/>
                <w:lang w:bidi="ar-SA"/>
              </w:rPr>
            </w:pPr>
          </w:p>
        </w:tc>
        <w:tc>
          <w:tcPr>
            <w:tcW w:w="1403" w:type="dxa"/>
            <w:vMerge w:val="continue"/>
            <w:tcBorders>
              <w:left w:val="single" w:color="000000" w:sz="4" w:space="0"/>
              <w:bottom w:val="single" w:color="000000" w:sz="4" w:space="0"/>
              <w:right w:val="single" w:color="000000" w:sz="4" w:space="0"/>
            </w:tcBorders>
            <w:noWrap w:val="0"/>
            <w:vAlign w:val="center"/>
          </w:tcPr>
          <w:p w14:paraId="5D01A437">
            <w:pPr>
              <w:rPr>
                <w:rFonts w:hint="default" w:ascii="Times New Roman" w:hAnsi="Times New Roman" w:cs="Times New Roman"/>
              </w:rPr>
            </w:pPr>
          </w:p>
        </w:tc>
        <w:tc>
          <w:tcPr>
            <w:tcW w:w="1327" w:type="dxa"/>
            <w:vMerge w:val="continue"/>
            <w:tcBorders>
              <w:left w:val="single" w:color="000000" w:sz="4" w:space="0"/>
              <w:bottom w:val="single" w:color="000000" w:sz="4" w:space="0"/>
              <w:right w:val="single" w:color="000000" w:sz="4" w:space="0"/>
            </w:tcBorders>
            <w:noWrap w:val="0"/>
            <w:vAlign w:val="center"/>
          </w:tcPr>
          <w:p w14:paraId="083286AF">
            <w:pPr>
              <w:rPr>
                <w:rFonts w:hint="default" w:ascii="Times New Roman" w:hAnsi="Times New Roman" w:cs="Times New Roman"/>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B1BB9B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cs="Times New Roman"/>
                <w:color w:val="000000"/>
                <w:sz w:val="24"/>
                <w:szCs w:val="24"/>
                <w:u w:val="none"/>
                <w:lang w:eastAsia="zh-CN" w:bidi="ar-SA"/>
              </w:rPr>
              <w:t>困难群众满意度</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0E4655E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22357669">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eastAsia="zh-CN" w:bidi="ar-SA"/>
              </w:rPr>
            </w:pPr>
            <w:r>
              <w:rPr>
                <w:rFonts w:hint="default" w:ascii="Times New Roman" w:hAnsi="Times New Roman" w:eastAsia="宋体" w:cs="Times New Roman"/>
                <w:color w:val="000000"/>
                <w:sz w:val="24"/>
                <w:szCs w:val="24"/>
                <w:u w:val="none"/>
                <w:lang w:eastAsia="zh-CN" w:bidi="ar-SA"/>
              </w:rPr>
              <w:t>100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307415E5">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56C03AB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eastAsia="zh-CN" w:bidi="ar-SA"/>
              </w:rPr>
            </w:pPr>
            <w:r>
              <w:rPr>
                <w:rFonts w:hint="default" w:ascii="Times New Roman" w:hAnsi="Times New Roman" w:eastAsia="宋体" w:cs="Times New Roman"/>
                <w:color w:val="000000"/>
                <w:kern w:val="2"/>
                <w:sz w:val="24"/>
                <w:szCs w:val="24"/>
                <w:u w:val="none"/>
                <w:lang w:eastAsia="zh-CN" w:bidi="ar-SA"/>
              </w:rPr>
              <w:t>10</w:t>
            </w:r>
            <w:r>
              <w:rPr>
                <w:rFonts w:hint="default" w:ascii="Times New Roman" w:hAnsi="Times New Roman" w:eastAsia="宋体" w:cs="Times New Roman"/>
                <w:color w:val="000000"/>
                <w:sz w:val="24"/>
                <w:szCs w:val="24"/>
                <w:u w:val="none"/>
                <w:lang w:val="en-US" w:eastAsia="zh-CN" w:bidi="ar-SA"/>
              </w:rPr>
              <w:t>%</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3947CB3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eastAsia="zh-CN" w:bidi="ar-SA"/>
              </w:rPr>
            </w:pPr>
            <w:r>
              <w:rPr>
                <w:rFonts w:hint="default" w:ascii="Times New Roman" w:hAnsi="Times New Roman" w:eastAsia="宋体" w:cs="Times New Roman"/>
                <w:color w:val="000000"/>
                <w:kern w:val="2"/>
                <w:sz w:val="24"/>
                <w:szCs w:val="24"/>
                <w:u w:val="none"/>
                <w:lang w:eastAsia="zh-CN" w:bidi="ar-SA"/>
              </w:rPr>
              <w:t>100%</w:t>
            </w:r>
          </w:p>
        </w:tc>
      </w:tr>
      <w:tr w14:paraId="7856ECDF">
        <w:tblPrEx>
          <w:tblCellMar>
            <w:top w:w="15" w:type="dxa"/>
            <w:left w:w="15" w:type="dxa"/>
            <w:bottom w:w="15" w:type="dxa"/>
            <w:right w:w="15" w:type="dxa"/>
          </w:tblCellMar>
        </w:tblPrEx>
        <w:trPr>
          <w:trHeight w:val="402" w:hRule="atLeast"/>
          <w:jc w:val="center"/>
        </w:trPr>
        <w:tc>
          <w:tcPr>
            <w:tcW w:w="1542" w:type="dxa"/>
            <w:tcBorders>
              <w:top w:val="single" w:color="000000" w:sz="4" w:space="0"/>
              <w:left w:val="single" w:color="000000" w:sz="4" w:space="0"/>
              <w:bottom w:val="single" w:color="000000" w:sz="4" w:space="0"/>
              <w:right w:val="single" w:color="000000" w:sz="4" w:space="0"/>
            </w:tcBorders>
            <w:noWrap w:val="0"/>
            <w:vAlign w:val="center"/>
          </w:tcPr>
          <w:p w14:paraId="11A8D0E5">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sz w:val="24"/>
                <w:szCs w:val="24"/>
                <w:u w:val="none"/>
                <w:lang w:bidi="ar-SA"/>
              </w:rPr>
            </w:pPr>
          </w:p>
        </w:tc>
        <w:tc>
          <w:tcPr>
            <w:tcW w:w="1403" w:type="dxa"/>
            <w:vMerge w:val="restart"/>
            <w:tcBorders>
              <w:top w:val="single" w:color="000000" w:sz="4" w:space="0"/>
              <w:left w:val="single" w:color="000000" w:sz="4" w:space="0"/>
              <w:right w:val="single" w:color="000000" w:sz="4" w:space="0"/>
            </w:tcBorders>
            <w:noWrap w:val="0"/>
            <w:vAlign w:val="center"/>
          </w:tcPr>
          <w:p w14:paraId="022600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成本指标</w:t>
            </w:r>
          </w:p>
        </w:tc>
        <w:tc>
          <w:tcPr>
            <w:tcW w:w="1327" w:type="dxa"/>
            <w:vMerge w:val="restart"/>
            <w:tcBorders>
              <w:top w:val="single" w:color="000000" w:sz="4" w:space="0"/>
              <w:left w:val="single" w:color="000000" w:sz="4" w:space="0"/>
              <w:right w:val="single" w:color="000000" w:sz="4" w:space="0"/>
            </w:tcBorders>
            <w:noWrap w:val="0"/>
            <w:vAlign w:val="center"/>
          </w:tcPr>
          <w:p w14:paraId="77471F7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4"/>
                <w:szCs w:val="24"/>
                <w:u w:val="none"/>
                <w:lang w:val="en-US" w:eastAsia="zh-CN" w:bidi="ar"/>
              </w:rPr>
            </w:pPr>
            <w:r>
              <w:rPr>
                <w:rFonts w:hint="default" w:ascii="Times New Roman" w:hAnsi="Times New Roman" w:eastAsia="宋体" w:cs="Times New Roman"/>
                <w:color w:val="000000"/>
                <w:kern w:val="0"/>
                <w:sz w:val="24"/>
                <w:szCs w:val="24"/>
                <w:u w:val="none"/>
                <w:lang w:val="en-US" w:eastAsia="zh-CN" w:bidi="ar"/>
              </w:rPr>
              <w:t>经济成本指标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B2336B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eastAsia="宋体" w:cs="Times New Roman"/>
                <w:color w:val="000000"/>
                <w:sz w:val="24"/>
                <w:szCs w:val="24"/>
                <w:u w:val="none"/>
                <w:lang w:eastAsia="zh-CN" w:bidi="ar-SA"/>
              </w:rPr>
              <w:t>维修费用</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3ABB8CF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6047D2B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cs="Times New Roman"/>
                <w:color w:val="000000"/>
                <w:sz w:val="24"/>
                <w:szCs w:val="24"/>
                <w:u w:val="none"/>
                <w:lang w:eastAsia="zh-CN" w:bidi="ar-SA"/>
              </w:rPr>
              <w:t>5.8</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08B84D3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万元</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3DEAB1B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9%</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1681E95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5</w:t>
            </w:r>
            <w:r>
              <w:rPr>
                <w:rFonts w:hint="default" w:ascii="Times New Roman" w:hAnsi="Times New Roman" w:eastAsia="宋体" w:cs="Times New Roman"/>
                <w:color w:val="000000"/>
                <w:sz w:val="24"/>
                <w:szCs w:val="24"/>
                <w:u w:val="none"/>
                <w:lang w:eastAsia="zh-CN" w:bidi="ar-SA"/>
              </w:rPr>
              <w:t>.8</w:t>
            </w:r>
            <w:r>
              <w:rPr>
                <w:rFonts w:hint="default" w:ascii="Times New Roman" w:hAnsi="Times New Roman" w:eastAsia="宋体" w:cs="Times New Roman"/>
                <w:color w:val="000000"/>
                <w:sz w:val="24"/>
                <w:szCs w:val="24"/>
                <w:u w:val="none"/>
                <w:lang w:val="en-US" w:eastAsia="zh-CN" w:bidi="ar-SA"/>
              </w:rPr>
              <w:t>万元</w:t>
            </w:r>
          </w:p>
        </w:tc>
      </w:tr>
      <w:tr w14:paraId="0ECD498F">
        <w:tblPrEx>
          <w:tblCellMar>
            <w:top w:w="15" w:type="dxa"/>
            <w:left w:w="15" w:type="dxa"/>
            <w:bottom w:w="15" w:type="dxa"/>
            <w:right w:w="15" w:type="dxa"/>
          </w:tblCellMar>
        </w:tblPrEx>
        <w:trPr>
          <w:trHeight w:val="757" w:hRule="atLeast"/>
          <w:jc w:val="center"/>
        </w:trPr>
        <w:tc>
          <w:tcPr>
            <w:tcW w:w="1542" w:type="dxa"/>
            <w:tcBorders>
              <w:top w:val="single" w:color="000000" w:sz="4" w:space="0"/>
              <w:left w:val="single" w:color="000000" w:sz="4" w:space="0"/>
              <w:bottom w:val="single" w:color="000000" w:sz="4" w:space="0"/>
              <w:right w:val="single" w:color="000000" w:sz="4" w:space="0"/>
            </w:tcBorders>
            <w:noWrap w:val="0"/>
            <w:vAlign w:val="center"/>
          </w:tcPr>
          <w:p w14:paraId="43B2EB29">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sz w:val="24"/>
                <w:szCs w:val="24"/>
                <w:u w:val="none"/>
                <w:lang w:bidi="ar-SA"/>
              </w:rPr>
            </w:pPr>
          </w:p>
        </w:tc>
        <w:tc>
          <w:tcPr>
            <w:tcW w:w="1403" w:type="dxa"/>
            <w:vMerge w:val="continue"/>
            <w:tcBorders>
              <w:left w:val="single" w:color="000000" w:sz="4" w:space="0"/>
              <w:right w:val="single" w:color="000000" w:sz="4" w:space="0"/>
            </w:tcBorders>
            <w:noWrap w:val="0"/>
            <w:vAlign w:val="center"/>
          </w:tcPr>
          <w:p w14:paraId="7CF53B9F">
            <w:pPr>
              <w:rPr>
                <w:rFonts w:hint="default" w:ascii="Times New Roman" w:hAnsi="Times New Roman" w:cs="Times New Roman"/>
              </w:rPr>
            </w:pPr>
          </w:p>
        </w:tc>
        <w:tc>
          <w:tcPr>
            <w:tcW w:w="1327" w:type="dxa"/>
            <w:vMerge w:val="continue"/>
            <w:tcBorders>
              <w:left w:val="single" w:color="000000" w:sz="4" w:space="0"/>
              <w:right w:val="single" w:color="000000" w:sz="4" w:space="0"/>
            </w:tcBorders>
            <w:noWrap w:val="0"/>
            <w:vAlign w:val="center"/>
          </w:tcPr>
          <w:p w14:paraId="6D26DD69">
            <w:pPr>
              <w:rPr>
                <w:rFonts w:hint="default" w:ascii="Times New Roman" w:hAnsi="Times New Roman" w:cs="Times New Roman"/>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21F70CA">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cs="Times New Roman"/>
                <w:color w:val="000000"/>
                <w:sz w:val="24"/>
                <w:szCs w:val="24"/>
                <w:u w:val="none"/>
                <w:lang w:eastAsia="zh-CN" w:bidi="ar-SA"/>
              </w:rPr>
              <w:t>困难群众救助</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2CB06A37">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7A78DEAF">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eastAsia="zh-CN" w:bidi="ar-SA"/>
              </w:rPr>
            </w:pPr>
            <w:r>
              <w:rPr>
                <w:rFonts w:hint="default" w:ascii="Times New Roman" w:hAnsi="Times New Roman" w:cs="Times New Roman"/>
                <w:color w:val="000000"/>
                <w:sz w:val="24"/>
                <w:szCs w:val="24"/>
                <w:u w:val="none"/>
                <w:lang w:eastAsia="zh-CN" w:bidi="ar-SA"/>
              </w:rPr>
              <w:t>90</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7BC110D1">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万元</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4208A2D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9%</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7A55E81C">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cs="Times New Roman"/>
                <w:color w:val="000000"/>
                <w:sz w:val="24"/>
                <w:szCs w:val="24"/>
                <w:u w:val="none"/>
                <w:lang w:eastAsia="zh-CN" w:bidi="ar-SA"/>
              </w:rPr>
              <w:t>90</w:t>
            </w:r>
            <w:r>
              <w:rPr>
                <w:rFonts w:hint="default" w:ascii="Times New Roman" w:hAnsi="Times New Roman" w:eastAsia="宋体" w:cs="Times New Roman"/>
                <w:color w:val="000000"/>
                <w:sz w:val="24"/>
                <w:szCs w:val="24"/>
                <w:u w:val="none"/>
                <w:lang w:val="en-US" w:eastAsia="zh-CN" w:bidi="ar-SA"/>
              </w:rPr>
              <w:t>万元</w:t>
            </w:r>
          </w:p>
        </w:tc>
      </w:tr>
      <w:tr w14:paraId="7A71D754">
        <w:tblPrEx>
          <w:tblCellMar>
            <w:top w:w="15" w:type="dxa"/>
            <w:left w:w="15" w:type="dxa"/>
            <w:bottom w:w="15" w:type="dxa"/>
            <w:right w:w="15" w:type="dxa"/>
          </w:tblCellMar>
        </w:tblPrEx>
        <w:trPr>
          <w:trHeight w:val="769" w:hRule="atLeast"/>
          <w:jc w:val="center"/>
        </w:trPr>
        <w:tc>
          <w:tcPr>
            <w:tcW w:w="1542" w:type="dxa"/>
            <w:tcBorders>
              <w:top w:val="single" w:color="000000" w:sz="4" w:space="0"/>
              <w:left w:val="single" w:color="000000" w:sz="4" w:space="0"/>
              <w:bottom w:val="single" w:color="000000" w:sz="4" w:space="0"/>
              <w:right w:val="single" w:color="000000" w:sz="4" w:space="0"/>
            </w:tcBorders>
            <w:noWrap w:val="0"/>
            <w:vAlign w:val="center"/>
          </w:tcPr>
          <w:p w14:paraId="03B5E66A">
            <w:pPr>
              <w:keepNext w:val="0"/>
              <w:keepLines w:val="0"/>
              <w:pageBreakBefore w:val="0"/>
              <w:widowControl/>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sz w:val="24"/>
                <w:szCs w:val="24"/>
                <w:u w:val="none"/>
                <w:lang w:bidi="ar-SA"/>
              </w:rPr>
            </w:pPr>
          </w:p>
        </w:tc>
        <w:tc>
          <w:tcPr>
            <w:tcW w:w="1403" w:type="dxa"/>
            <w:vMerge w:val="continue"/>
            <w:tcBorders>
              <w:left w:val="single" w:color="000000" w:sz="4" w:space="0"/>
              <w:bottom w:val="single" w:color="000000" w:sz="4" w:space="0"/>
              <w:right w:val="single" w:color="000000" w:sz="4" w:space="0"/>
            </w:tcBorders>
            <w:noWrap w:val="0"/>
            <w:vAlign w:val="center"/>
          </w:tcPr>
          <w:p w14:paraId="7E929BF5">
            <w:pPr>
              <w:rPr>
                <w:rFonts w:hint="default" w:ascii="Times New Roman" w:hAnsi="Times New Roman" w:cs="Times New Roman"/>
              </w:rPr>
            </w:pPr>
          </w:p>
        </w:tc>
        <w:tc>
          <w:tcPr>
            <w:tcW w:w="1327" w:type="dxa"/>
            <w:vMerge w:val="continue"/>
            <w:tcBorders>
              <w:left w:val="single" w:color="000000" w:sz="4" w:space="0"/>
              <w:bottom w:val="single" w:color="000000" w:sz="4" w:space="0"/>
              <w:right w:val="single" w:color="000000" w:sz="4" w:space="0"/>
            </w:tcBorders>
            <w:noWrap w:val="0"/>
            <w:vAlign w:val="center"/>
          </w:tcPr>
          <w:p w14:paraId="167C71C4">
            <w:pPr>
              <w:rPr>
                <w:rFonts w:hint="default" w:ascii="Times New Roman" w:hAnsi="Times New Roman" w:cs="Times New Roman"/>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37079C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eastAsia="zh-CN" w:bidi="ar-SA"/>
              </w:rPr>
              <w:t>救助相关支出</w:t>
            </w:r>
          </w:p>
        </w:tc>
        <w:tc>
          <w:tcPr>
            <w:tcW w:w="1192" w:type="dxa"/>
            <w:tcBorders>
              <w:top w:val="single" w:color="000000" w:sz="4" w:space="0"/>
              <w:left w:val="single" w:color="000000" w:sz="4" w:space="0"/>
              <w:bottom w:val="single" w:color="000000" w:sz="4" w:space="0"/>
              <w:right w:val="single" w:color="000000" w:sz="4" w:space="0"/>
            </w:tcBorders>
            <w:noWrap w:val="0"/>
            <w:vAlign w:val="center"/>
          </w:tcPr>
          <w:p w14:paraId="2056A192">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w:t>
            </w:r>
          </w:p>
        </w:tc>
        <w:tc>
          <w:tcPr>
            <w:tcW w:w="1343" w:type="dxa"/>
            <w:tcBorders>
              <w:top w:val="single" w:color="000000" w:sz="4" w:space="0"/>
              <w:left w:val="single" w:color="000000" w:sz="4" w:space="0"/>
              <w:bottom w:val="single" w:color="000000" w:sz="4" w:space="0"/>
              <w:right w:val="single" w:color="000000" w:sz="4" w:space="0"/>
            </w:tcBorders>
            <w:noWrap w:val="0"/>
            <w:vAlign w:val="center"/>
          </w:tcPr>
          <w:p w14:paraId="60E802B4">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eastAsia="zh-CN" w:bidi="ar-SA"/>
              </w:rPr>
            </w:pPr>
            <w:r>
              <w:rPr>
                <w:rFonts w:hint="default" w:ascii="Times New Roman" w:hAnsi="Times New Roman" w:cs="Times New Roman"/>
                <w:color w:val="000000"/>
                <w:kern w:val="2"/>
                <w:sz w:val="24"/>
                <w:szCs w:val="24"/>
                <w:u w:val="none"/>
                <w:lang w:eastAsia="zh-CN" w:bidi="ar-SA"/>
              </w:rPr>
              <w:t>35.07</w:t>
            </w:r>
          </w:p>
        </w:tc>
        <w:tc>
          <w:tcPr>
            <w:tcW w:w="1102" w:type="dxa"/>
            <w:tcBorders>
              <w:top w:val="single" w:color="000000" w:sz="4" w:space="0"/>
              <w:left w:val="single" w:color="000000" w:sz="4" w:space="0"/>
              <w:bottom w:val="single" w:color="000000" w:sz="4" w:space="0"/>
              <w:right w:val="single" w:color="000000" w:sz="4" w:space="0"/>
            </w:tcBorders>
            <w:noWrap w:val="0"/>
            <w:vAlign w:val="center"/>
          </w:tcPr>
          <w:p w14:paraId="78D9CC5E">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kern w:val="2"/>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万元</w:t>
            </w:r>
          </w:p>
        </w:tc>
        <w:tc>
          <w:tcPr>
            <w:tcW w:w="964" w:type="dxa"/>
            <w:tcBorders>
              <w:top w:val="single" w:color="000000" w:sz="4" w:space="0"/>
              <w:left w:val="single" w:color="000000" w:sz="4" w:space="0"/>
              <w:bottom w:val="single" w:color="000000" w:sz="4" w:space="0"/>
              <w:right w:val="single" w:color="000000" w:sz="4" w:space="0"/>
            </w:tcBorders>
            <w:noWrap w:val="0"/>
            <w:vAlign w:val="center"/>
          </w:tcPr>
          <w:p w14:paraId="01B483C3">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eastAsia="宋体" w:cs="Times New Roman"/>
                <w:color w:val="000000"/>
                <w:sz w:val="24"/>
                <w:szCs w:val="24"/>
                <w:u w:val="none"/>
                <w:lang w:val="en-US" w:eastAsia="zh-CN" w:bidi="ar-SA"/>
              </w:rPr>
              <w:t>9%</w:t>
            </w:r>
          </w:p>
        </w:tc>
        <w:tc>
          <w:tcPr>
            <w:tcW w:w="1162" w:type="dxa"/>
            <w:tcBorders>
              <w:top w:val="single" w:color="000000" w:sz="4" w:space="0"/>
              <w:left w:val="single" w:color="000000" w:sz="4" w:space="0"/>
              <w:bottom w:val="single" w:color="000000" w:sz="4" w:space="0"/>
              <w:right w:val="single" w:color="000000" w:sz="4" w:space="0"/>
            </w:tcBorders>
            <w:noWrap w:val="0"/>
            <w:vAlign w:val="center"/>
          </w:tcPr>
          <w:p w14:paraId="25F82A18">
            <w:pPr>
              <w:keepNext w:val="0"/>
              <w:keepLines w:val="0"/>
              <w:pageBreakBefore w:val="0"/>
              <w:widowControl/>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color w:val="000000"/>
                <w:sz w:val="24"/>
                <w:szCs w:val="24"/>
                <w:u w:val="none"/>
                <w:lang w:val="en-US" w:eastAsia="zh-CN" w:bidi="ar-SA"/>
              </w:rPr>
            </w:pPr>
            <w:r>
              <w:rPr>
                <w:rFonts w:hint="default" w:ascii="Times New Roman" w:hAnsi="Times New Roman" w:cs="Times New Roman"/>
                <w:color w:val="000000"/>
                <w:sz w:val="24"/>
                <w:szCs w:val="24"/>
                <w:u w:val="none"/>
                <w:lang w:eastAsia="zh-CN" w:bidi="ar-SA"/>
              </w:rPr>
              <w:t>35.07</w:t>
            </w:r>
            <w:r>
              <w:rPr>
                <w:rFonts w:hint="default" w:ascii="Times New Roman" w:hAnsi="Times New Roman" w:eastAsia="宋体" w:cs="Times New Roman"/>
                <w:color w:val="000000"/>
                <w:sz w:val="24"/>
                <w:szCs w:val="24"/>
                <w:u w:val="none"/>
                <w:lang w:val="en-US" w:eastAsia="zh-CN" w:bidi="ar-SA"/>
              </w:rPr>
              <w:t>万元</w:t>
            </w:r>
          </w:p>
        </w:tc>
      </w:tr>
    </w:tbl>
    <w:p w14:paraId="3F33FC0F">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黑体" w:cs="Times New Roman"/>
          <w:kern w:val="2"/>
          <w:sz w:val="32"/>
          <w:szCs w:val="24"/>
          <w:highlight w:val="none"/>
          <w:lang w:val="en-US" w:eastAsia="zh-CN" w:bidi="ar-SA"/>
        </w:rPr>
      </w:pPr>
    </w:p>
    <w:p w14:paraId="407B7C55">
      <w:pPr>
        <w:keepNext w:val="0"/>
        <w:keepLines w:val="0"/>
        <w:pageBreakBefore w:val="0"/>
        <w:widowControl/>
        <w:tabs>
          <w:tab w:val="left" w:pos="316"/>
        </w:tabs>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附表3</w:t>
      </w:r>
    </w:p>
    <w:tbl>
      <w:tblPr>
        <w:tblStyle w:val="17"/>
        <w:tblpPr w:leftFromText="180" w:rightFromText="180" w:vertAnchor="text" w:horzAnchor="page" w:tblpXSpec="center" w:tblpY="697"/>
        <w:tblOverlap w:val="never"/>
        <w:tblW w:w="928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7"/>
        <w:gridCol w:w="1058"/>
        <w:gridCol w:w="1470"/>
        <w:gridCol w:w="1860"/>
        <w:gridCol w:w="463"/>
        <w:gridCol w:w="932"/>
        <w:gridCol w:w="396"/>
        <w:gridCol w:w="861"/>
        <w:gridCol w:w="486"/>
        <w:gridCol w:w="486"/>
        <w:gridCol w:w="460"/>
      </w:tblGrid>
      <w:tr w14:paraId="599A1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jc w:val="center"/>
        </w:trPr>
        <w:tc>
          <w:tcPr>
            <w:tcW w:w="928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59B07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BBC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EF5B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9389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51320024T000010932064-综合楼维修改造经费</w:t>
            </w:r>
          </w:p>
        </w:tc>
      </w:tr>
      <w:tr w14:paraId="21733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35D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0D34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州民政局部门</w:t>
            </w:r>
          </w:p>
        </w:tc>
        <w:tc>
          <w:tcPr>
            <w:tcW w:w="861" w:type="dxa"/>
            <w:tcBorders>
              <w:top w:val="nil"/>
              <w:left w:val="nil"/>
              <w:bottom w:val="nil"/>
              <w:right w:val="nil"/>
            </w:tcBorders>
            <w:shd w:val="clear" w:color="auto" w:fill="auto"/>
            <w:vAlign w:val="center"/>
          </w:tcPr>
          <w:p w14:paraId="5ABE475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4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E89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州救济站</w:t>
            </w:r>
          </w:p>
        </w:tc>
      </w:tr>
      <w:tr w14:paraId="1CC3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B45C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4AB3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9568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E3B8A3">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9D51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A7FEA">
            <w:pP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FEFBB">
            <w:pPr>
              <w:rPr>
                <w:rFonts w:hint="default" w:ascii="Times New Roman" w:hAnsi="Times New Roman" w:eastAsia="宋体" w:cs="Times New Roman"/>
                <w:i w:val="0"/>
                <w:iCs w:val="0"/>
                <w:color w:val="000000"/>
                <w:sz w:val="18"/>
                <w:szCs w:val="18"/>
                <w:u w:val="none"/>
              </w:rPr>
            </w:pP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3158E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救助站年久失修需要维修改造，给救助人与提供一个安全舒适的环境</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67389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该项目为2024年项目，1.6万元质保金已经完成退换，资金流程合法，合规，闭环。</w:t>
            </w:r>
          </w:p>
        </w:tc>
      </w:tr>
      <w:tr w14:paraId="58D22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7B192">
            <w:pP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DC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66527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该项目为2024年项目，1.6万元质保金已经完成退换，资金流程合法，合规，闭环。</w:t>
            </w:r>
          </w:p>
        </w:tc>
      </w:tr>
      <w:tr w14:paraId="11203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A27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BF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77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30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58D5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19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1A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A97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45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83EC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26169">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BA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2DA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91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E45C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77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98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39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64593">
            <w:pPr>
              <w:rPr>
                <w:rFonts w:hint="default" w:ascii="Times New Roman" w:hAnsi="Times New Roman" w:eastAsia="黑体" w:cs="Times New Roman"/>
                <w:i/>
                <w:iCs/>
                <w:color w:val="000000"/>
                <w:sz w:val="18"/>
                <w:szCs w:val="18"/>
                <w:u w:val="none"/>
              </w:rPr>
            </w:pPr>
          </w:p>
        </w:tc>
      </w:tr>
      <w:tr w14:paraId="1334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2D0A">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0D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4C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38F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776B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EC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6F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BC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6DE5">
            <w:pPr>
              <w:rPr>
                <w:rFonts w:hint="default" w:ascii="Times New Roman" w:hAnsi="Times New Roman" w:eastAsia="黑体" w:cs="Times New Roman"/>
                <w:i/>
                <w:iCs/>
                <w:color w:val="000000"/>
                <w:sz w:val="18"/>
                <w:szCs w:val="18"/>
                <w:u w:val="none"/>
              </w:rPr>
            </w:pPr>
          </w:p>
        </w:tc>
      </w:tr>
      <w:tr w14:paraId="03953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F57AD">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F7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E2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E0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197B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33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C4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64F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063C8">
            <w:pPr>
              <w:rPr>
                <w:rFonts w:hint="default" w:ascii="Times New Roman" w:hAnsi="Times New Roman" w:eastAsia="黑体" w:cs="Times New Roman"/>
                <w:i/>
                <w:iCs/>
                <w:color w:val="000000"/>
                <w:sz w:val="18"/>
                <w:szCs w:val="18"/>
                <w:u w:val="none"/>
              </w:rPr>
            </w:pPr>
          </w:p>
        </w:tc>
      </w:tr>
      <w:tr w14:paraId="36B44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A0867">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13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8D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0E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DDC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4E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F9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57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2A542">
            <w:pPr>
              <w:rPr>
                <w:rFonts w:hint="default" w:ascii="Times New Roman" w:hAnsi="Times New Roman" w:eastAsia="黑体" w:cs="Times New Roman"/>
                <w:i/>
                <w:iCs/>
                <w:color w:val="000000"/>
                <w:sz w:val="18"/>
                <w:szCs w:val="18"/>
                <w:u w:val="none"/>
              </w:rPr>
            </w:pPr>
          </w:p>
        </w:tc>
      </w:tr>
      <w:tr w14:paraId="306E7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CE530">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C2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2830">
            <w:pPr>
              <w:jc w:val="center"/>
              <w:rPr>
                <w:rFonts w:hint="default" w:ascii="Times New Roman" w:hAnsi="Times New Roman" w:eastAsia="微软雅黑" w:cs="Times New Roman"/>
                <w:i/>
                <w:iCs/>
                <w:color w:val="000000"/>
                <w:sz w:val="16"/>
                <w:szCs w:val="16"/>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8D6F">
            <w:pPr>
              <w:jc w:val="center"/>
              <w:rPr>
                <w:rFonts w:hint="default" w:ascii="Times New Roman" w:hAnsi="Times New Roman" w:eastAsia="微软雅黑" w:cs="Times New Roman"/>
                <w:i/>
                <w:iCs/>
                <w:color w:val="000000"/>
                <w:sz w:val="16"/>
                <w:szCs w:val="16"/>
                <w:u w:val="none"/>
              </w:rPr>
            </w:pP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A6A04">
            <w:pPr>
              <w:jc w:val="center"/>
              <w:rPr>
                <w:rFonts w:hint="default" w:ascii="Times New Roman" w:hAnsi="Times New Roman" w:eastAsia="微软雅黑" w:cs="Times New Roman"/>
                <w:i/>
                <w:iCs/>
                <w:color w:val="000000"/>
                <w:sz w:val="16"/>
                <w:szCs w:val="16"/>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5C96C">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4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9F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DD960">
            <w:pPr>
              <w:rPr>
                <w:rFonts w:hint="default" w:ascii="Times New Roman" w:hAnsi="Times New Roman" w:eastAsia="黑体" w:cs="Times New Roman"/>
                <w:i/>
                <w:iCs/>
                <w:color w:val="000000"/>
                <w:sz w:val="18"/>
                <w:szCs w:val="18"/>
                <w:u w:val="none"/>
              </w:rPr>
            </w:pPr>
          </w:p>
        </w:tc>
      </w:tr>
      <w:tr w14:paraId="45712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907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73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CB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57A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FC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C7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BA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D06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82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9B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2D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46BC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8A54">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AB2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38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15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提高救助服务人数</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BB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1F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05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CBC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B8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0C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F911B">
            <w:pPr>
              <w:jc w:val="center"/>
              <w:rPr>
                <w:rFonts w:hint="default" w:ascii="Times New Roman" w:hAnsi="Times New Roman" w:eastAsia="微软雅黑" w:cs="Times New Roman"/>
                <w:i/>
                <w:iCs/>
                <w:color w:val="000000"/>
                <w:sz w:val="16"/>
                <w:szCs w:val="16"/>
                <w:u w:val="none"/>
              </w:rPr>
            </w:pPr>
          </w:p>
        </w:tc>
      </w:tr>
      <w:tr w14:paraId="665FC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58021">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B05FF">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3D3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D5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维修质量完成率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7A2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87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5F6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F506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AB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D1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F90A">
            <w:pPr>
              <w:jc w:val="center"/>
              <w:rPr>
                <w:rFonts w:hint="default" w:ascii="Times New Roman" w:hAnsi="Times New Roman" w:eastAsia="微软雅黑" w:cs="Times New Roman"/>
                <w:i/>
                <w:iCs/>
                <w:color w:val="000000"/>
                <w:sz w:val="16"/>
                <w:szCs w:val="16"/>
                <w:u w:val="none"/>
              </w:rPr>
            </w:pPr>
          </w:p>
        </w:tc>
      </w:tr>
      <w:tr w14:paraId="4A5F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C9C10">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C6F3F">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9C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EF4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提升进展速度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10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7A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39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D84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FE7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5E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AACA">
            <w:pPr>
              <w:jc w:val="center"/>
              <w:rPr>
                <w:rFonts w:hint="default" w:ascii="Times New Roman" w:hAnsi="Times New Roman" w:eastAsia="微软雅黑" w:cs="Times New Roman"/>
                <w:i/>
                <w:iCs/>
                <w:color w:val="000000"/>
                <w:sz w:val="16"/>
                <w:szCs w:val="16"/>
                <w:u w:val="none"/>
              </w:rPr>
            </w:pPr>
          </w:p>
        </w:tc>
      </w:tr>
      <w:tr w14:paraId="425F4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52B15">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DFC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E8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91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提升落实国家救助政策率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32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37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01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9962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AF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01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4E27">
            <w:pPr>
              <w:jc w:val="center"/>
              <w:rPr>
                <w:rFonts w:hint="default" w:ascii="Times New Roman" w:hAnsi="Times New Roman" w:eastAsia="微软雅黑" w:cs="Times New Roman"/>
                <w:i/>
                <w:iCs/>
                <w:color w:val="000000"/>
                <w:sz w:val="16"/>
                <w:szCs w:val="16"/>
                <w:u w:val="none"/>
              </w:rPr>
            </w:pPr>
          </w:p>
        </w:tc>
      </w:tr>
      <w:tr w14:paraId="4555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88DF7">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84D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F5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8D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受助人员的满意度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C1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B2F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70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717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57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F2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9C0A">
            <w:pPr>
              <w:jc w:val="center"/>
              <w:rPr>
                <w:rFonts w:hint="default" w:ascii="Times New Roman" w:hAnsi="Times New Roman" w:eastAsia="微软雅黑" w:cs="Times New Roman"/>
                <w:i/>
                <w:iCs/>
                <w:color w:val="000000"/>
                <w:sz w:val="16"/>
                <w:szCs w:val="16"/>
                <w:u w:val="none"/>
              </w:rPr>
            </w:pPr>
          </w:p>
        </w:tc>
      </w:tr>
      <w:tr w14:paraId="65E8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2F07F">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841CE">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56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FC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工作人员满意度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B4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2F8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3E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57EF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F4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B53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5477">
            <w:pPr>
              <w:jc w:val="center"/>
              <w:rPr>
                <w:rFonts w:hint="default" w:ascii="Times New Roman" w:hAnsi="Times New Roman" w:eastAsia="微软雅黑" w:cs="Times New Roman"/>
                <w:i/>
                <w:iCs/>
                <w:color w:val="000000"/>
                <w:sz w:val="16"/>
                <w:szCs w:val="16"/>
                <w:u w:val="none"/>
              </w:rPr>
            </w:pPr>
          </w:p>
        </w:tc>
      </w:tr>
      <w:tr w14:paraId="2EE9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29E58">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A7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6A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社会成本指标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F8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环境成本提升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60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EA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060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3E3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345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F3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EF28">
            <w:pPr>
              <w:jc w:val="center"/>
              <w:rPr>
                <w:rFonts w:hint="default" w:ascii="Times New Roman" w:hAnsi="Times New Roman" w:eastAsia="微软雅黑" w:cs="Times New Roman"/>
                <w:i/>
                <w:iCs/>
                <w:color w:val="000000"/>
                <w:sz w:val="16"/>
                <w:szCs w:val="16"/>
                <w:u w:val="none"/>
              </w:rPr>
            </w:pPr>
          </w:p>
        </w:tc>
      </w:tr>
      <w:tr w14:paraId="00B5E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8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63BD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6AF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DBA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1B58">
            <w:pPr>
              <w:rPr>
                <w:rFonts w:hint="default" w:ascii="Times New Roman" w:hAnsi="Times New Roman" w:eastAsia="宋体" w:cs="Times New Roman"/>
                <w:i w:val="0"/>
                <w:iCs w:val="0"/>
                <w:color w:val="000000"/>
                <w:sz w:val="18"/>
                <w:szCs w:val="18"/>
                <w:u w:val="none"/>
              </w:rPr>
            </w:pPr>
          </w:p>
        </w:tc>
      </w:tr>
      <w:tr w14:paraId="1A832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46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FBCE43">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61F3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CC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CB0456">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F52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3B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77AD4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1CB8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0A755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项目负责人：李猛</w:t>
            </w:r>
          </w:p>
        </w:tc>
        <w:tc>
          <w:tcPr>
            <w:tcW w:w="36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E9E8E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财务负责人：八尔姆</w:t>
            </w:r>
          </w:p>
        </w:tc>
      </w:tr>
      <w:tr w14:paraId="307B3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tcBorders>
              <w:top w:val="nil"/>
              <w:left w:val="nil"/>
              <w:bottom w:val="nil"/>
              <w:right w:val="nil"/>
            </w:tcBorders>
            <w:shd w:val="clear" w:color="auto" w:fill="auto"/>
            <w:vAlign w:val="center"/>
          </w:tcPr>
          <w:p w14:paraId="23C5CEFD">
            <w:pPr>
              <w:rPr>
                <w:rFonts w:hint="default" w:ascii="Times New Roman" w:hAnsi="Times New Roman" w:eastAsia="宋体" w:cs="Times New Roman"/>
                <w:i w:val="0"/>
                <w:iCs w:val="0"/>
                <w:color w:val="000000"/>
                <w:sz w:val="18"/>
                <w:szCs w:val="18"/>
                <w:u w:val="none"/>
              </w:rPr>
            </w:pPr>
          </w:p>
        </w:tc>
        <w:tc>
          <w:tcPr>
            <w:tcW w:w="1058" w:type="dxa"/>
            <w:tcBorders>
              <w:top w:val="nil"/>
              <w:left w:val="nil"/>
              <w:bottom w:val="nil"/>
              <w:right w:val="nil"/>
            </w:tcBorders>
            <w:shd w:val="clear" w:color="auto" w:fill="auto"/>
            <w:vAlign w:val="center"/>
          </w:tcPr>
          <w:p w14:paraId="2C0C2E1A">
            <w:pPr>
              <w:rPr>
                <w:rFonts w:hint="default" w:ascii="Times New Roman" w:hAnsi="Times New Roman" w:eastAsia="宋体" w:cs="Times New Roman"/>
                <w:i w:val="0"/>
                <w:iCs w:val="0"/>
                <w:color w:val="000000"/>
                <w:sz w:val="18"/>
                <w:szCs w:val="18"/>
                <w:u w:val="none"/>
              </w:rPr>
            </w:pPr>
          </w:p>
        </w:tc>
        <w:tc>
          <w:tcPr>
            <w:tcW w:w="1470" w:type="dxa"/>
            <w:tcBorders>
              <w:top w:val="nil"/>
              <w:left w:val="nil"/>
              <w:bottom w:val="nil"/>
              <w:right w:val="nil"/>
            </w:tcBorders>
            <w:shd w:val="clear" w:color="auto" w:fill="auto"/>
            <w:vAlign w:val="center"/>
          </w:tcPr>
          <w:p w14:paraId="54847A57">
            <w:pPr>
              <w:rPr>
                <w:rFonts w:hint="default" w:ascii="Times New Roman" w:hAnsi="Times New Roman" w:eastAsia="宋体" w:cs="Times New Roman"/>
                <w:i w:val="0"/>
                <w:iCs w:val="0"/>
                <w:color w:val="000000"/>
                <w:sz w:val="18"/>
                <w:szCs w:val="18"/>
                <w:u w:val="none"/>
              </w:rPr>
            </w:pPr>
          </w:p>
          <w:p w14:paraId="375D140C">
            <w:pPr>
              <w:rPr>
                <w:rFonts w:hint="default" w:ascii="Times New Roman" w:hAnsi="Times New Roman" w:eastAsia="宋体" w:cs="Times New Roman"/>
                <w:i w:val="0"/>
                <w:iCs w:val="0"/>
                <w:color w:val="000000"/>
                <w:sz w:val="18"/>
                <w:szCs w:val="18"/>
                <w:u w:val="none"/>
              </w:rPr>
            </w:pPr>
          </w:p>
          <w:p w14:paraId="19D7F3C8">
            <w:pPr>
              <w:rPr>
                <w:rFonts w:hint="default" w:ascii="Times New Roman" w:hAnsi="Times New Roman" w:eastAsia="宋体" w:cs="Times New Roman"/>
                <w:i w:val="0"/>
                <w:iCs w:val="0"/>
                <w:color w:val="000000"/>
                <w:sz w:val="18"/>
                <w:szCs w:val="18"/>
                <w:u w:val="none"/>
              </w:rPr>
            </w:pPr>
          </w:p>
          <w:p w14:paraId="325E68C3">
            <w:pPr>
              <w:rPr>
                <w:rFonts w:hint="default" w:ascii="Times New Roman" w:hAnsi="Times New Roman" w:eastAsia="宋体" w:cs="Times New Roman"/>
                <w:i w:val="0"/>
                <w:iCs w:val="0"/>
                <w:color w:val="000000"/>
                <w:sz w:val="18"/>
                <w:szCs w:val="18"/>
                <w:u w:val="none"/>
              </w:rPr>
            </w:pPr>
          </w:p>
          <w:p w14:paraId="206755B2">
            <w:pPr>
              <w:rPr>
                <w:rFonts w:hint="default" w:ascii="Times New Roman" w:hAnsi="Times New Roman" w:eastAsia="宋体" w:cs="Times New Roman"/>
                <w:i w:val="0"/>
                <w:iCs w:val="0"/>
                <w:color w:val="000000"/>
                <w:sz w:val="18"/>
                <w:szCs w:val="18"/>
                <w:u w:val="none"/>
              </w:rPr>
            </w:pPr>
          </w:p>
          <w:p w14:paraId="1BB660B3">
            <w:pPr>
              <w:rPr>
                <w:rFonts w:hint="default" w:ascii="Times New Roman" w:hAnsi="Times New Roman" w:eastAsia="宋体" w:cs="Times New Roman"/>
                <w:i w:val="0"/>
                <w:iCs w:val="0"/>
                <w:color w:val="000000"/>
                <w:sz w:val="18"/>
                <w:szCs w:val="18"/>
                <w:u w:val="none"/>
              </w:rPr>
            </w:pPr>
          </w:p>
          <w:p w14:paraId="2BDA157E">
            <w:pPr>
              <w:rPr>
                <w:rFonts w:hint="default" w:ascii="Times New Roman" w:hAnsi="Times New Roman" w:eastAsia="宋体" w:cs="Times New Roman"/>
                <w:i w:val="0"/>
                <w:iCs w:val="0"/>
                <w:color w:val="000000"/>
                <w:sz w:val="18"/>
                <w:szCs w:val="18"/>
                <w:u w:val="none"/>
              </w:rPr>
            </w:pPr>
          </w:p>
          <w:p w14:paraId="71E90832">
            <w:pPr>
              <w:rPr>
                <w:rFonts w:hint="default" w:ascii="Times New Roman" w:hAnsi="Times New Roman" w:eastAsia="宋体" w:cs="Times New Roman"/>
                <w:i w:val="0"/>
                <w:iCs w:val="0"/>
                <w:color w:val="000000"/>
                <w:sz w:val="18"/>
                <w:szCs w:val="18"/>
                <w:u w:val="none"/>
              </w:rPr>
            </w:pPr>
          </w:p>
          <w:p w14:paraId="1F00A641">
            <w:pPr>
              <w:rPr>
                <w:rFonts w:hint="default" w:ascii="Times New Roman" w:hAnsi="Times New Roman" w:eastAsia="宋体" w:cs="Times New Roman"/>
                <w:i w:val="0"/>
                <w:iCs w:val="0"/>
                <w:color w:val="000000"/>
                <w:sz w:val="18"/>
                <w:szCs w:val="18"/>
                <w:u w:val="none"/>
              </w:rPr>
            </w:pPr>
          </w:p>
          <w:p w14:paraId="2DB026B6">
            <w:pPr>
              <w:rPr>
                <w:rFonts w:hint="default" w:ascii="Times New Roman" w:hAnsi="Times New Roman" w:eastAsia="宋体" w:cs="Times New Roman"/>
                <w:i w:val="0"/>
                <w:iCs w:val="0"/>
                <w:color w:val="000000"/>
                <w:sz w:val="18"/>
                <w:szCs w:val="18"/>
                <w:u w:val="none"/>
              </w:rPr>
            </w:pPr>
          </w:p>
          <w:p w14:paraId="526889D2">
            <w:pPr>
              <w:rPr>
                <w:rFonts w:hint="default" w:ascii="Times New Roman" w:hAnsi="Times New Roman" w:eastAsia="宋体" w:cs="Times New Roman"/>
                <w:i w:val="0"/>
                <w:iCs w:val="0"/>
                <w:color w:val="000000"/>
                <w:sz w:val="18"/>
                <w:szCs w:val="18"/>
                <w:u w:val="none"/>
              </w:rPr>
            </w:pPr>
          </w:p>
          <w:p w14:paraId="6814C160">
            <w:pPr>
              <w:rPr>
                <w:rFonts w:hint="default" w:ascii="Times New Roman" w:hAnsi="Times New Roman" w:eastAsia="宋体" w:cs="Times New Roman"/>
                <w:i w:val="0"/>
                <w:iCs w:val="0"/>
                <w:color w:val="000000"/>
                <w:sz w:val="18"/>
                <w:szCs w:val="18"/>
                <w:u w:val="none"/>
              </w:rPr>
            </w:pPr>
          </w:p>
          <w:p w14:paraId="5CA50757">
            <w:pPr>
              <w:rPr>
                <w:rFonts w:hint="default" w:ascii="Times New Roman" w:hAnsi="Times New Roman" w:eastAsia="宋体" w:cs="Times New Roman"/>
                <w:i w:val="0"/>
                <w:iCs w:val="0"/>
                <w:color w:val="000000"/>
                <w:sz w:val="18"/>
                <w:szCs w:val="18"/>
                <w:u w:val="none"/>
              </w:rPr>
            </w:pPr>
          </w:p>
          <w:p w14:paraId="778A3F8B">
            <w:pPr>
              <w:rPr>
                <w:rFonts w:hint="default" w:ascii="Times New Roman" w:hAnsi="Times New Roman" w:eastAsia="宋体" w:cs="Times New Roman"/>
                <w:i w:val="0"/>
                <w:iCs w:val="0"/>
                <w:color w:val="000000"/>
                <w:sz w:val="18"/>
                <w:szCs w:val="18"/>
                <w:u w:val="none"/>
              </w:rPr>
            </w:pPr>
          </w:p>
          <w:p w14:paraId="04310106">
            <w:pPr>
              <w:rPr>
                <w:rFonts w:hint="default" w:ascii="Times New Roman" w:hAnsi="Times New Roman" w:eastAsia="宋体" w:cs="Times New Roman"/>
                <w:i w:val="0"/>
                <w:iCs w:val="0"/>
                <w:color w:val="000000"/>
                <w:sz w:val="18"/>
                <w:szCs w:val="18"/>
                <w:u w:val="none"/>
              </w:rPr>
            </w:pPr>
          </w:p>
          <w:p w14:paraId="3FA66C83">
            <w:pPr>
              <w:rPr>
                <w:rFonts w:hint="default" w:ascii="Times New Roman" w:hAnsi="Times New Roman" w:eastAsia="宋体" w:cs="Times New Roman"/>
                <w:i w:val="0"/>
                <w:iCs w:val="0"/>
                <w:color w:val="000000"/>
                <w:sz w:val="18"/>
                <w:szCs w:val="18"/>
                <w:u w:val="none"/>
              </w:rPr>
            </w:pPr>
          </w:p>
          <w:p w14:paraId="23A6C3E4">
            <w:pPr>
              <w:rPr>
                <w:rFonts w:hint="default" w:ascii="Times New Roman" w:hAnsi="Times New Roman" w:eastAsia="宋体" w:cs="Times New Roman"/>
                <w:i w:val="0"/>
                <w:iCs w:val="0"/>
                <w:color w:val="000000"/>
                <w:sz w:val="18"/>
                <w:szCs w:val="18"/>
                <w:u w:val="none"/>
              </w:rPr>
            </w:pPr>
          </w:p>
        </w:tc>
        <w:tc>
          <w:tcPr>
            <w:tcW w:w="1860" w:type="dxa"/>
            <w:tcBorders>
              <w:top w:val="nil"/>
              <w:left w:val="nil"/>
              <w:bottom w:val="nil"/>
              <w:right w:val="nil"/>
            </w:tcBorders>
            <w:shd w:val="clear" w:color="auto" w:fill="auto"/>
            <w:vAlign w:val="center"/>
          </w:tcPr>
          <w:p w14:paraId="0A906EA0">
            <w:pPr>
              <w:rPr>
                <w:rFonts w:hint="default" w:ascii="Times New Roman" w:hAnsi="Times New Roman" w:eastAsia="宋体" w:cs="Times New Roman"/>
                <w:i w:val="0"/>
                <w:iCs w:val="0"/>
                <w:color w:val="000000"/>
                <w:sz w:val="18"/>
                <w:szCs w:val="18"/>
                <w:u w:val="none"/>
              </w:rPr>
            </w:pPr>
          </w:p>
          <w:p w14:paraId="36D3D8ED">
            <w:pPr>
              <w:rPr>
                <w:rFonts w:hint="default" w:ascii="Times New Roman" w:hAnsi="Times New Roman" w:eastAsia="宋体" w:cs="Times New Roman"/>
                <w:i w:val="0"/>
                <w:iCs w:val="0"/>
                <w:color w:val="000000"/>
                <w:sz w:val="18"/>
                <w:szCs w:val="18"/>
                <w:u w:val="none"/>
              </w:rPr>
            </w:pPr>
          </w:p>
          <w:p w14:paraId="62BF34FB">
            <w:pPr>
              <w:rPr>
                <w:rFonts w:hint="default" w:ascii="Times New Roman" w:hAnsi="Times New Roman" w:eastAsia="宋体" w:cs="Times New Roman"/>
                <w:i w:val="0"/>
                <w:iCs w:val="0"/>
                <w:color w:val="000000"/>
                <w:sz w:val="18"/>
                <w:szCs w:val="18"/>
                <w:u w:val="none"/>
              </w:rPr>
            </w:pPr>
          </w:p>
          <w:p w14:paraId="495B092E">
            <w:pPr>
              <w:rPr>
                <w:rFonts w:hint="default" w:ascii="Times New Roman" w:hAnsi="Times New Roman" w:eastAsia="宋体" w:cs="Times New Roman"/>
                <w:i w:val="0"/>
                <w:iCs w:val="0"/>
                <w:color w:val="000000"/>
                <w:sz w:val="18"/>
                <w:szCs w:val="18"/>
                <w:u w:val="none"/>
              </w:rPr>
            </w:pPr>
          </w:p>
          <w:p w14:paraId="0F020C9B">
            <w:pPr>
              <w:rPr>
                <w:rFonts w:hint="default" w:ascii="Times New Roman" w:hAnsi="Times New Roman" w:eastAsia="宋体" w:cs="Times New Roman"/>
                <w:i w:val="0"/>
                <w:iCs w:val="0"/>
                <w:color w:val="000000"/>
                <w:sz w:val="18"/>
                <w:szCs w:val="18"/>
                <w:u w:val="none"/>
              </w:rPr>
            </w:pPr>
          </w:p>
          <w:p w14:paraId="6E9E7E7D">
            <w:pPr>
              <w:rPr>
                <w:rFonts w:hint="default" w:ascii="Times New Roman" w:hAnsi="Times New Roman" w:eastAsia="宋体" w:cs="Times New Roman"/>
                <w:i w:val="0"/>
                <w:iCs w:val="0"/>
                <w:color w:val="000000"/>
                <w:sz w:val="18"/>
                <w:szCs w:val="18"/>
                <w:u w:val="none"/>
              </w:rPr>
            </w:pPr>
          </w:p>
          <w:p w14:paraId="1A79EC81">
            <w:pPr>
              <w:rPr>
                <w:rFonts w:hint="default" w:ascii="Times New Roman" w:hAnsi="Times New Roman" w:eastAsia="宋体" w:cs="Times New Roman"/>
                <w:i w:val="0"/>
                <w:iCs w:val="0"/>
                <w:color w:val="000000"/>
                <w:sz w:val="18"/>
                <w:szCs w:val="18"/>
                <w:u w:val="none"/>
              </w:rPr>
            </w:pPr>
          </w:p>
          <w:p w14:paraId="19661712">
            <w:pPr>
              <w:rPr>
                <w:rFonts w:hint="default" w:ascii="Times New Roman" w:hAnsi="Times New Roman" w:eastAsia="宋体" w:cs="Times New Roman"/>
                <w:i w:val="0"/>
                <w:iCs w:val="0"/>
                <w:color w:val="000000"/>
                <w:sz w:val="18"/>
                <w:szCs w:val="18"/>
                <w:u w:val="none"/>
              </w:rPr>
            </w:pPr>
          </w:p>
          <w:p w14:paraId="72045F63">
            <w:pPr>
              <w:rPr>
                <w:rFonts w:hint="default" w:ascii="Times New Roman" w:hAnsi="Times New Roman" w:eastAsia="宋体" w:cs="Times New Roman"/>
                <w:i w:val="0"/>
                <w:iCs w:val="0"/>
                <w:color w:val="000000"/>
                <w:sz w:val="18"/>
                <w:szCs w:val="18"/>
                <w:u w:val="none"/>
              </w:rPr>
            </w:pPr>
          </w:p>
          <w:p w14:paraId="710B4C08">
            <w:pPr>
              <w:rPr>
                <w:rFonts w:hint="default" w:ascii="Times New Roman" w:hAnsi="Times New Roman" w:eastAsia="宋体" w:cs="Times New Roman"/>
                <w:i w:val="0"/>
                <w:iCs w:val="0"/>
                <w:color w:val="000000"/>
                <w:sz w:val="18"/>
                <w:szCs w:val="18"/>
                <w:u w:val="none"/>
              </w:rPr>
            </w:pPr>
          </w:p>
          <w:p w14:paraId="4B291ABE">
            <w:pPr>
              <w:rPr>
                <w:rFonts w:hint="default" w:ascii="Times New Roman" w:hAnsi="Times New Roman" w:eastAsia="宋体" w:cs="Times New Roman"/>
                <w:i w:val="0"/>
                <w:iCs w:val="0"/>
                <w:color w:val="000000"/>
                <w:sz w:val="18"/>
                <w:szCs w:val="18"/>
                <w:u w:val="none"/>
              </w:rPr>
            </w:pPr>
          </w:p>
          <w:p w14:paraId="401B487B">
            <w:pPr>
              <w:rPr>
                <w:rFonts w:hint="default" w:ascii="Times New Roman" w:hAnsi="Times New Roman" w:eastAsia="宋体" w:cs="Times New Roman"/>
                <w:i w:val="0"/>
                <w:iCs w:val="0"/>
                <w:color w:val="000000"/>
                <w:sz w:val="18"/>
                <w:szCs w:val="18"/>
                <w:u w:val="none"/>
              </w:rPr>
            </w:pPr>
          </w:p>
        </w:tc>
        <w:tc>
          <w:tcPr>
            <w:tcW w:w="463" w:type="dxa"/>
            <w:tcBorders>
              <w:top w:val="nil"/>
              <w:left w:val="nil"/>
              <w:bottom w:val="nil"/>
              <w:right w:val="nil"/>
            </w:tcBorders>
            <w:shd w:val="clear" w:color="auto" w:fill="auto"/>
            <w:vAlign w:val="center"/>
          </w:tcPr>
          <w:p w14:paraId="29047E4B">
            <w:pPr>
              <w:rPr>
                <w:rFonts w:hint="default" w:ascii="Times New Roman" w:hAnsi="Times New Roman" w:eastAsia="宋体" w:cs="Times New Roman"/>
                <w:i w:val="0"/>
                <w:iCs w:val="0"/>
                <w:color w:val="000000"/>
                <w:sz w:val="18"/>
                <w:szCs w:val="18"/>
                <w:u w:val="none"/>
              </w:rPr>
            </w:pPr>
          </w:p>
        </w:tc>
        <w:tc>
          <w:tcPr>
            <w:tcW w:w="932" w:type="dxa"/>
            <w:tcBorders>
              <w:top w:val="nil"/>
              <w:left w:val="nil"/>
              <w:bottom w:val="nil"/>
              <w:right w:val="nil"/>
            </w:tcBorders>
            <w:shd w:val="clear" w:color="auto" w:fill="auto"/>
            <w:vAlign w:val="center"/>
          </w:tcPr>
          <w:p w14:paraId="257896D6">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shd w:val="clear" w:color="auto" w:fill="auto"/>
            <w:vAlign w:val="center"/>
          </w:tcPr>
          <w:p w14:paraId="6083DFAA">
            <w:pPr>
              <w:rPr>
                <w:rFonts w:hint="default" w:ascii="Times New Roman" w:hAnsi="Times New Roman" w:eastAsia="宋体" w:cs="Times New Roman"/>
                <w:i w:val="0"/>
                <w:iCs w:val="0"/>
                <w:color w:val="000000"/>
                <w:sz w:val="18"/>
                <w:szCs w:val="18"/>
                <w:u w:val="none"/>
              </w:rPr>
            </w:pPr>
          </w:p>
        </w:tc>
        <w:tc>
          <w:tcPr>
            <w:tcW w:w="861" w:type="dxa"/>
            <w:tcBorders>
              <w:top w:val="nil"/>
              <w:left w:val="nil"/>
              <w:bottom w:val="nil"/>
              <w:right w:val="nil"/>
            </w:tcBorders>
            <w:shd w:val="clear" w:color="auto" w:fill="auto"/>
            <w:vAlign w:val="center"/>
          </w:tcPr>
          <w:p w14:paraId="04732676">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274F4DEE">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5E0EFD74">
            <w:pPr>
              <w:rPr>
                <w:rFonts w:hint="default" w:ascii="Times New Roman" w:hAnsi="Times New Roman" w:eastAsia="宋体" w:cs="Times New Roman"/>
                <w:i w:val="0"/>
                <w:iCs w:val="0"/>
                <w:color w:val="000000"/>
                <w:sz w:val="18"/>
                <w:szCs w:val="18"/>
                <w:u w:val="none"/>
              </w:rPr>
            </w:pPr>
          </w:p>
        </w:tc>
        <w:tc>
          <w:tcPr>
            <w:tcW w:w="460" w:type="dxa"/>
            <w:tcBorders>
              <w:top w:val="nil"/>
              <w:left w:val="nil"/>
              <w:bottom w:val="nil"/>
              <w:right w:val="nil"/>
            </w:tcBorders>
            <w:shd w:val="clear" w:color="auto" w:fill="auto"/>
            <w:vAlign w:val="center"/>
          </w:tcPr>
          <w:p w14:paraId="3E725332">
            <w:pPr>
              <w:rPr>
                <w:rFonts w:hint="default" w:ascii="Times New Roman" w:hAnsi="Times New Roman" w:eastAsia="宋体" w:cs="Times New Roman"/>
                <w:i w:val="0"/>
                <w:iCs w:val="0"/>
                <w:color w:val="000000"/>
                <w:sz w:val="18"/>
                <w:szCs w:val="18"/>
                <w:u w:val="none"/>
              </w:rPr>
            </w:pPr>
          </w:p>
        </w:tc>
      </w:tr>
      <w:tr w14:paraId="2AF6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928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7E48F4">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4DCC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6BCE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3E84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51320024T000011501018-困难群众救助资金</w:t>
            </w:r>
          </w:p>
        </w:tc>
      </w:tr>
      <w:tr w14:paraId="40E73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740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ED3AC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州民政局部门</w:t>
            </w:r>
          </w:p>
        </w:tc>
        <w:tc>
          <w:tcPr>
            <w:tcW w:w="861" w:type="dxa"/>
            <w:tcBorders>
              <w:top w:val="nil"/>
              <w:left w:val="nil"/>
              <w:bottom w:val="nil"/>
              <w:right w:val="nil"/>
            </w:tcBorders>
            <w:shd w:val="clear" w:color="auto" w:fill="auto"/>
            <w:vAlign w:val="center"/>
          </w:tcPr>
          <w:p w14:paraId="28C2324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4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F30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州救济站</w:t>
            </w:r>
          </w:p>
        </w:tc>
      </w:tr>
      <w:tr w14:paraId="65852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49FA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88D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8EE1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9C4E0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9F4E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9B0D3">
            <w:pP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60E23">
            <w:pPr>
              <w:rPr>
                <w:rFonts w:hint="default" w:ascii="Times New Roman" w:hAnsi="Times New Roman" w:eastAsia="宋体" w:cs="Times New Roman"/>
                <w:i w:val="0"/>
                <w:iCs w:val="0"/>
                <w:color w:val="000000"/>
                <w:sz w:val="18"/>
                <w:szCs w:val="18"/>
                <w:u w:val="none"/>
              </w:rPr>
            </w:pP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9A3E7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寒冬送温暖暨“石榴籽”帮困助弱关爱困难群众，项目为2705户重点贫困家庭购买御寒物资。</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A13F5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寒冬送温暖暨“石榴籽”帮困助弱关爱困难群众，项目为2705户重点贫困家庭购买御寒物资。结合群众冬季生产生活的实际需要，统一购置压力锅2725个，切实保障困难群众温暖过冬，安全过冬。</w:t>
            </w:r>
          </w:p>
        </w:tc>
      </w:tr>
      <w:tr w14:paraId="07A38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4F185">
            <w:pP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76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ECA7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寒冬送温暖暨“石榴籽”帮困助弱关爱困难群众，项目为2705户重点贫困家庭购买御寒物资。结合群众冬季生产生活的实际需要，统一购置压力锅2725个，切实保障困难群众温暖过冬，安全过冬。</w:t>
            </w:r>
          </w:p>
        </w:tc>
      </w:tr>
      <w:tr w14:paraId="19264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91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44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1D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4C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394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2C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03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22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A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2462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F1EA3">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5E5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4A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66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89.72</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4996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85.29</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AC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95.06%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A7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CB2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B05E0">
            <w:pPr>
              <w:rPr>
                <w:rFonts w:hint="default" w:ascii="Times New Roman" w:hAnsi="Times New Roman" w:eastAsia="黑体" w:cs="Times New Roman"/>
                <w:i/>
                <w:iCs/>
                <w:color w:val="000000"/>
                <w:sz w:val="18"/>
                <w:szCs w:val="18"/>
                <w:u w:val="none"/>
              </w:rPr>
            </w:pPr>
          </w:p>
        </w:tc>
      </w:tr>
      <w:tr w14:paraId="0D095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88277">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4A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27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7C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89.72</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DBE7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85.29</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CA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95.06%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C35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12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C95C">
            <w:pPr>
              <w:rPr>
                <w:rFonts w:hint="default" w:ascii="Times New Roman" w:hAnsi="Times New Roman" w:eastAsia="黑体" w:cs="Times New Roman"/>
                <w:i/>
                <w:iCs/>
                <w:color w:val="000000"/>
                <w:sz w:val="18"/>
                <w:szCs w:val="18"/>
                <w:u w:val="none"/>
              </w:rPr>
            </w:pPr>
          </w:p>
        </w:tc>
      </w:tr>
      <w:tr w14:paraId="6110A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99DE4">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41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7B1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6B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21CD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18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14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8A9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681C4">
            <w:pPr>
              <w:rPr>
                <w:rFonts w:hint="default" w:ascii="Times New Roman" w:hAnsi="Times New Roman" w:eastAsia="黑体" w:cs="Times New Roman"/>
                <w:i/>
                <w:iCs/>
                <w:color w:val="000000"/>
                <w:sz w:val="18"/>
                <w:szCs w:val="18"/>
                <w:u w:val="none"/>
              </w:rPr>
            </w:pPr>
          </w:p>
        </w:tc>
      </w:tr>
      <w:tr w14:paraId="7A57E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ED386">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EF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85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D0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2ED0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D9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9A2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F7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50CD7">
            <w:pPr>
              <w:rPr>
                <w:rFonts w:hint="default" w:ascii="Times New Roman" w:hAnsi="Times New Roman" w:eastAsia="黑体" w:cs="Times New Roman"/>
                <w:i/>
                <w:iCs/>
                <w:color w:val="000000"/>
                <w:sz w:val="18"/>
                <w:szCs w:val="18"/>
                <w:u w:val="none"/>
              </w:rPr>
            </w:pPr>
          </w:p>
        </w:tc>
      </w:tr>
      <w:tr w14:paraId="123C7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A47A6">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1C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3DA90">
            <w:pPr>
              <w:jc w:val="center"/>
              <w:rPr>
                <w:rFonts w:hint="default" w:ascii="Times New Roman" w:hAnsi="Times New Roman" w:eastAsia="微软雅黑" w:cs="Times New Roman"/>
                <w:i/>
                <w:iCs/>
                <w:color w:val="000000"/>
                <w:sz w:val="16"/>
                <w:szCs w:val="16"/>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EE76">
            <w:pPr>
              <w:jc w:val="center"/>
              <w:rPr>
                <w:rFonts w:hint="default" w:ascii="Times New Roman" w:hAnsi="Times New Roman" w:eastAsia="微软雅黑" w:cs="Times New Roman"/>
                <w:i/>
                <w:iCs/>
                <w:color w:val="000000"/>
                <w:sz w:val="16"/>
                <w:szCs w:val="16"/>
                <w:u w:val="none"/>
              </w:rPr>
            </w:pP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EE3BB">
            <w:pPr>
              <w:jc w:val="center"/>
              <w:rPr>
                <w:rFonts w:hint="default" w:ascii="Times New Roman" w:hAnsi="Times New Roman" w:eastAsia="微软雅黑" w:cs="Times New Roman"/>
                <w:i/>
                <w:iCs/>
                <w:color w:val="000000"/>
                <w:sz w:val="16"/>
                <w:szCs w:val="16"/>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20BD">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B3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21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51872">
            <w:pPr>
              <w:rPr>
                <w:rFonts w:hint="default" w:ascii="Times New Roman" w:hAnsi="Times New Roman" w:eastAsia="黑体" w:cs="Times New Roman"/>
                <w:i/>
                <w:iCs/>
                <w:color w:val="000000"/>
                <w:sz w:val="18"/>
                <w:szCs w:val="18"/>
                <w:u w:val="none"/>
              </w:rPr>
            </w:pPr>
          </w:p>
        </w:tc>
      </w:tr>
      <w:tr w14:paraId="032D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003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0B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59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47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0C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10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93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193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82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44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0B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76A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FB06A">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455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F4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89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完成为2705户重点贫困购买御寒物资</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42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77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BF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817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2725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298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9A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B8E5">
            <w:pPr>
              <w:jc w:val="center"/>
              <w:rPr>
                <w:rFonts w:hint="default" w:ascii="Times New Roman" w:hAnsi="Times New Roman" w:eastAsia="微软雅黑" w:cs="Times New Roman"/>
                <w:i/>
                <w:iCs/>
                <w:color w:val="000000"/>
                <w:sz w:val="16"/>
                <w:szCs w:val="16"/>
                <w:u w:val="none"/>
              </w:rPr>
            </w:pPr>
          </w:p>
        </w:tc>
      </w:tr>
      <w:tr w14:paraId="35CC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68B3B">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07878">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D7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0A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验收质量达标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F2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D5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745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0DD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定性</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DF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34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7491">
            <w:pPr>
              <w:jc w:val="center"/>
              <w:rPr>
                <w:rFonts w:hint="default" w:ascii="Times New Roman" w:hAnsi="Times New Roman" w:eastAsia="微软雅黑" w:cs="Times New Roman"/>
                <w:i/>
                <w:iCs/>
                <w:color w:val="000000"/>
                <w:sz w:val="16"/>
                <w:szCs w:val="16"/>
                <w:u w:val="none"/>
              </w:rPr>
            </w:pPr>
          </w:p>
        </w:tc>
      </w:tr>
      <w:tr w14:paraId="15D1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EF2AE">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73E39">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FA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4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2025年12月31日完成</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C4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65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C0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AB8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定性</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CF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DF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E8DD">
            <w:pPr>
              <w:jc w:val="center"/>
              <w:rPr>
                <w:rFonts w:hint="default" w:ascii="Times New Roman" w:hAnsi="Times New Roman" w:eastAsia="微软雅黑" w:cs="Times New Roman"/>
                <w:i/>
                <w:iCs/>
                <w:color w:val="000000"/>
                <w:sz w:val="16"/>
                <w:szCs w:val="16"/>
                <w:u w:val="none"/>
              </w:rPr>
            </w:pPr>
          </w:p>
        </w:tc>
      </w:tr>
      <w:tr w14:paraId="62A74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27241">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40D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97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DD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提高贫困人员生活质量</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62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3E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A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C5C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AB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72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B300">
            <w:pPr>
              <w:jc w:val="center"/>
              <w:rPr>
                <w:rFonts w:hint="default" w:ascii="Times New Roman" w:hAnsi="Times New Roman" w:eastAsia="微软雅黑" w:cs="Times New Roman"/>
                <w:i/>
                <w:iCs/>
                <w:color w:val="000000"/>
                <w:sz w:val="16"/>
                <w:szCs w:val="16"/>
                <w:u w:val="none"/>
              </w:rPr>
            </w:pPr>
          </w:p>
        </w:tc>
      </w:tr>
      <w:tr w14:paraId="17EA4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0B9F7">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326E0">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33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38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提升社会价值</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F4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7BB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27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713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C9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E8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0523">
            <w:pPr>
              <w:jc w:val="center"/>
              <w:rPr>
                <w:rFonts w:hint="default" w:ascii="Times New Roman" w:hAnsi="Times New Roman" w:eastAsia="微软雅黑" w:cs="Times New Roman"/>
                <w:i/>
                <w:iCs/>
                <w:color w:val="000000"/>
                <w:sz w:val="16"/>
                <w:szCs w:val="16"/>
                <w:u w:val="none"/>
              </w:rPr>
            </w:pPr>
          </w:p>
        </w:tc>
      </w:tr>
      <w:tr w14:paraId="63B47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54820">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0C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4B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D4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贫困人员满意度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50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55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CF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02DE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19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89A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F562">
            <w:pPr>
              <w:jc w:val="center"/>
              <w:rPr>
                <w:rFonts w:hint="default" w:ascii="Times New Roman" w:hAnsi="Times New Roman" w:eastAsia="微软雅黑" w:cs="Times New Roman"/>
                <w:i/>
                <w:iCs/>
                <w:color w:val="000000"/>
                <w:sz w:val="16"/>
                <w:szCs w:val="16"/>
                <w:u w:val="none"/>
              </w:rPr>
            </w:pPr>
          </w:p>
        </w:tc>
      </w:tr>
      <w:tr w14:paraId="7D1F0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CE59F">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61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B8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社会成本指标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0E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减少日常生活的负面影响</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81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32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14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户</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14E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8D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E21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4ACD">
            <w:pPr>
              <w:jc w:val="center"/>
              <w:rPr>
                <w:rFonts w:hint="default" w:ascii="Times New Roman" w:hAnsi="Times New Roman" w:eastAsia="微软雅黑" w:cs="Times New Roman"/>
                <w:i/>
                <w:iCs/>
                <w:color w:val="000000"/>
                <w:sz w:val="16"/>
                <w:szCs w:val="16"/>
                <w:u w:val="none"/>
              </w:rPr>
            </w:pPr>
          </w:p>
        </w:tc>
      </w:tr>
      <w:tr w14:paraId="3878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8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391F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51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53A8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9E52">
            <w:pPr>
              <w:rPr>
                <w:rFonts w:hint="default" w:ascii="Times New Roman" w:hAnsi="Times New Roman" w:eastAsia="宋体" w:cs="Times New Roman"/>
                <w:i w:val="0"/>
                <w:iCs w:val="0"/>
                <w:color w:val="000000"/>
                <w:sz w:val="18"/>
                <w:szCs w:val="18"/>
                <w:u w:val="none"/>
              </w:rPr>
            </w:pPr>
          </w:p>
        </w:tc>
      </w:tr>
      <w:tr w14:paraId="07817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B9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766A2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E7A0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60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9D033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2812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BD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903EB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CA53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5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79995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项目负责人：杨力</w:t>
            </w:r>
          </w:p>
        </w:tc>
        <w:tc>
          <w:tcPr>
            <w:tcW w:w="36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6BFC3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财务负责人：八尔姆</w:t>
            </w:r>
          </w:p>
        </w:tc>
      </w:tr>
      <w:tr w14:paraId="1B4C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tcBorders>
              <w:top w:val="nil"/>
              <w:left w:val="nil"/>
              <w:bottom w:val="nil"/>
              <w:right w:val="nil"/>
            </w:tcBorders>
            <w:shd w:val="clear" w:color="auto" w:fill="auto"/>
            <w:vAlign w:val="center"/>
          </w:tcPr>
          <w:p w14:paraId="2180F6C1">
            <w:pPr>
              <w:rPr>
                <w:rFonts w:hint="default" w:ascii="Times New Roman" w:hAnsi="Times New Roman" w:eastAsia="宋体" w:cs="Times New Roman"/>
                <w:i w:val="0"/>
                <w:iCs w:val="0"/>
                <w:color w:val="000000"/>
                <w:sz w:val="18"/>
                <w:szCs w:val="18"/>
                <w:u w:val="none"/>
              </w:rPr>
            </w:pPr>
          </w:p>
        </w:tc>
        <w:tc>
          <w:tcPr>
            <w:tcW w:w="1058" w:type="dxa"/>
            <w:tcBorders>
              <w:top w:val="nil"/>
              <w:left w:val="nil"/>
              <w:bottom w:val="nil"/>
              <w:right w:val="nil"/>
            </w:tcBorders>
            <w:shd w:val="clear" w:color="auto" w:fill="auto"/>
            <w:vAlign w:val="center"/>
          </w:tcPr>
          <w:p w14:paraId="2E28E40A">
            <w:pPr>
              <w:rPr>
                <w:rFonts w:hint="default" w:ascii="Times New Roman" w:hAnsi="Times New Roman" w:eastAsia="宋体" w:cs="Times New Roman"/>
                <w:i w:val="0"/>
                <w:iCs w:val="0"/>
                <w:color w:val="000000"/>
                <w:sz w:val="18"/>
                <w:szCs w:val="18"/>
                <w:u w:val="none"/>
              </w:rPr>
            </w:pPr>
          </w:p>
          <w:p w14:paraId="433CCF07">
            <w:pPr>
              <w:rPr>
                <w:rFonts w:hint="default" w:ascii="Times New Roman" w:hAnsi="Times New Roman" w:eastAsia="宋体" w:cs="Times New Roman"/>
                <w:i w:val="0"/>
                <w:iCs w:val="0"/>
                <w:color w:val="000000"/>
                <w:sz w:val="18"/>
                <w:szCs w:val="18"/>
                <w:u w:val="none"/>
              </w:rPr>
            </w:pPr>
          </w:p>
          <w:p w14:paraId="3373DCEB">
            <w:pPr>
              <w:rPr>
                <w:rFonts w:hint="default" w:ascii="Times New Roman" w:hAnsi="Times New Roman" w:eastAsia="宋体" w:cs="Times New Roman"/>
                <w:i w:val="0"/>
                <w:iCs w:val="0"/>
                <w:color w:val="000000"/>
                <w:sz w:val="18"/>
                <w:szCs w:val="18"/>
                <w:u w:val="none"/>
              </w:rPr>
            </w:pPr>
          </w:p>
          <w:p w14:paraId="79B96839">
            <w:pPr>
              <w:rPr>
                <w:rFonts w:hint="default" w:ascii="Times New Roman" w:hAnsi="Times New Roman" w:eastAsia="宋体" w:cs="Times New Roman"/>
                <w:i w:val="0"/>
                <w:iCs w:val="0"/>
                <w:color w:val="000000"/>
                <w:sz w:val="18"/>
                <w:szCs w:val="18"/>
                <w:u w:val="none"/>
              </w:rPr>
            </w:pPr>
          </w:p>
        </w:tc>
        <w:tc>
          <w:tcPr>
            <w:tcW w:w="1470" w:type="dxa"/>
            <w:tcBorders>
              <w:top w:val="nil"/>
              <w:left w:val="nil"/>
              <w:bottom w:val="nil"/>
              <w:right w:val="nil"/>
            </w:tcBorders>
            <w:shd w:val="clear" w:color="auto" w:fill="auto"/>
            <w:vAlign w:val="center"/>
          </w:tcPr>
          <w:p w14:paraId="6AEC5C7B">
            <w:pPr>
              <w:rPr>
                <w:rFonts w:hint="default" w:ascii="Times New Roman" w:hAnsi="Times New Roman" w:eastAsia="宋体" w:cs="Times New Roman"/>
                <w:i w:val="0"/>
                <w:iCs w:val="0"/>
                <w:color w:val="000000"/>
                <w:sz w:val="18"/>
                <w:szCs w:val="18"/>
                <w:u w:val="none"/>
              </w:rPr>
            </w:pPr>
          </w:p>
          <w:p w14:paraId="28501B7E">
            <w:pPr>
              <w:rPr>
                <w:rFonts w:hint="default" w:ascii="Times New Roman" w:hAnsi="Times New Roman" w:eastAsia="宋体" w:cs="Times New Roman"/>
                <w:i w:val="0"/>
                <w:iCs w:val="0"/>
                <w:color w:val="000000"/>
                <w:sz w:val="18"/>
                <w:szCs w:val="18"/>
                <w:u w:val="none"/>
              </w:rPr>
            </w:pPr>
          </w:p>
          <w:p w14:paraId="7781D0B4">
            <w:pPr>
              <w:rPr>
                <w:rFonts w:hint="default" w:ascii="Times New Roman" w:hAnsi="Times New Roman" w:eastAsia="宋体" w:cs="Times New Roman"/>
                <w:i w:val="0"/>
                <w:iCs w:val="0"/>
                <w:color w:val="000000"/>
                <w:sz w:val="18"/>
                <w:szCs w:val="18"/>
                <w:u w:val="none"/>
              </w:rPr>
            </w:pPr>
          </w:p>
          <w:p w14:paraId="6B492C12">
            <w:pPr>
              <w:rPr>
                <w:rFonts w:hint="default" w:ascii="Times New Roman" w:hAnsi="Times New Roman" w:eastAsia="宋体" w:cs="Times New Roman"/>
                <w:i w:val="0"/>
                <w:iCs w:val="0"/>
                <w:color w:val="000000"/>
                <w:sz w:val="18"/>
                <w:szCs w:val="18"/>
                <w:u w:val="none"/>
              </w:rPr>
            </w:pPr>
          </w:p>
          <w:p w14:paraId="34E8CCBB">
            <w:pPr>
              <w:rPr>
                <w:rFonts w:hint="default" w:ascii="Times New Roman" w:hAnsi="Times New Roman" w:eastAsia="宋体" w:cs="Times New Roman"/>
                <w:i w:val="0"/>
                <w:iCs w:val="0"/>
                <w:color w:val="000000"/>
                <w:sz w:val="18"/>
                <w:szCs w:val="18"/>
                <w:u w:val="none"/>
              </w:rPr>
            </w:pPr>
          </w:p>
          <w:p w14:paraId="4AFFD488">
            <w:pPr>
              <w:rPr>
                <w:rFonts w:hint="default" w:ascii="Times New Roman" w:hAnsi="Times New Roman" w:eastAsia="宋体" w:cs="Times New Roman"/>
                <w:i w:val="0"/>
                <w:iCs w:val="0"/>
                <w:color w:val="000000"/>
                <w:sz w:val="18"/>
                <w:szCs w:val="18"/>
                <w:u w:val="none"/>
              </w:rPr>
            </w:pPr>
          </w:p>
          <w:p w14:paraId="581347EC">
            <w:pPr>
              <w:rPr>
                <w:rFonts w:hint="default" w:ascii="Times New Roman" w:hAnsi="Times New Roman" w:eastAsia="宋体" w:cs="Times New Roman"/>
                <w:i w:val="0"/>
                <w:iCs w:val="0"/>
                <w:color w:val="000000"/>
                <w:sz w:val="18"/>
                <w:szCs w:val="18"/>
                <w:u w:val="none"/>
              </w:rPr>
            </w:pPr>
          </w:p>
          <w:p w14:paraId="71086D5A">
            <w:pPr>
              <w:rPr>
                <w:rFonts w:hint="default" w:ascii="Times New Roman" w:hAnsi="Times New Roman" w:eastAsia="宋体" w:cs="Times New Roman"/>
                <w:i w:val="0"/>
                <w:iCs w:val="0"/>
                <w:color w:val="000000"/>
                <w:sz w:val="18"/>
                <w:szCs w:val="18"/>
                <w:u w:val="none"/>
              </w:rPr>
            </w:pPr>
          </w:p>
          <w:p w14:paraId="6D5724A8">
            <w:pPr>
              <w:rPr>
                <w:rFonts w:hint="default" w:ascii="Times New Roman" w:hAnsi="Times New Roman" w:eastAsia="宋体" w:cs="Times New Roman"/>
                <w:i w:val="0"/>
                <w:iCs w:val="0"/>
                <w:color w:val="000000"/>
                <w:sz w:val="18"/>
                <w:szCs w:val="18"/>
                <w:u w:val="none"/>
              </w:rPr>
            </w:pPr>
          </w:p>
          <w:p w14:paraId="15F05A4E">
            <w:pPr>
              <w:rPr>
                <w:rFonts w:hint="default" w:ascii="Times New Roman" w:hAnsi="Times New Roman" w:eastAsia="宋体" w:cs="Times New Roman"/>
                <w:i w:val="0"/>
                <w:iCs w:val="0"/>
                <w:color w:val="000000"/>
                <w:sz w:val="18"/>
                <w:szCs w:val="18"/>
                <w:u w:val="none"/>
              </w:rPr>
            </w:pPr>
          </w:p>
          <w:p w14:paraId="4A6FEFC8">
            <w:pPr>
              <w:rPr>
                <w:rFonts w:hint="default" w:ascii="Times New Roman" w:hAnsi="Times New Roman" w:eastAsia="宋体" w:cs="Times New Roman"/>
                <w:i w:val="0"/>
                <w:iCs w:val="0"/>
                <w:color w:val="000000"/>
                <w:sz w:val="18"/>
                <w:szCs w:val="18"/>
                <w:u w:val="none"/>
              </w:rPr>
            </w:pPr>
          </w:p>
          <w:p w14:paraId="35DF8237">
            <w:pPr>
              <w:rPr>
                <w:rFonts w:hint="default" w:ascii="Times New Roman" w:hAnsi="Times New Roman" w:eastAsia="宋体" w:cs="Times New Roman"/>
                <w:i w:val="0"/>
                <w:iCs w:val="0"/>
                <w:color w:val="000000"/>
                <w:sz w:val="18"/>
                <w:szCs w:val="18"/>
                <w:u w:val="none"/>
              </w:rPr>
            </w:pPr>
          </w:p>
          <w:p w14:paraId="23B45F59">
            <w:pPr>
              <w:rPr>
                <w:rFonts w:hint="default" w:ascii="Times New Roman" w:hAnsi="Times New Roman" w:eastAsia="宋体" w:cs="Times New Roman"/>
                <w:i w:val="0"/>
                <w:iCs w:val="0"/>
                <w:color w:val="000000"/>
                <w:sz w:val="18"/>
                <w:szCs w:val="18"/>
                <w:u w:val="none"/>
              </w:rPr>
            </w:pPr>
          </w:p>
        </w:tc>
        <w:tc>
          <w:tcPr>
            <w:tcW w:w="1860" w:type="dxa"/>
            <w:tcBorders>
              <w:top w:val="nil"/>
              <w:left w:val="nil"/>
              <w:bottom w:val="nil"/>
              <w:right w:val="nil"/>
            </w:tcBorders>
            <w:shd w:val="clear" w:color="auto" w:fill="auto"/>
            <w:vAlign w:val="center"/>
          </w:tcPr>
          <w:p w14:paraId="2E02FFE4">
            <w:pPr>
              <w:rPr>
                <w:rFonts w:hint="default" w:ascii="Times New Roman" w:hAnsi="Times New Roman" w:eastAsia="宋体" w:cs="Times New Roman"/>
                <w:i w:val="0"/>
                <w:iCs w:val="0"/>
                <w:color w:val="000000"/>
                <w:sz w:val="18"/>
                <w:szCs w:val="18"/>
                <w:u w:val="none"/>
              </w:rPr>
            </w:pPr>
          </w:p>
        </w:tc>
        <w:tc>
          <w:tcPr>
            <w:tcW w:w="463" w:type="dxa"/>
            <w:tcBorders>
              <w:top w:val="nil"/>
              <w:left w:val="nil"/>
              <w:bottom w:val="nil"/>
              <w:right w:val="nil"/>
            </w:tcBorders>
            <w:shd w:val="clear" w:color="auto" w:fill="auto"/>
            <w:vAlign w:val="center"/>
          </w:tcPr>
          <w:p w14:paraId="22205035">
            <w:pPr>
              <w:rPr>
                <w:rFonts w:hint="default" w:ascii="Times New Roman" w:hAnsi="Times New Roman" w:eastAsia="宋体" w:cs="Times New Roman"/>
                <w:i w:val="0"/>
                <w:iCs w:val="0"/>
                <w:color w:val="000000"/>
                <w:sz w:val="18"/>
                <w:szCs w:val="18"/>
                <w:u w:val="none"/>
              </w:rPr>
            </w:pPr>
          </w:p>
        </w:tc>
        <w:tc>
          <w:tcPr>
            <w:tcW w:w="932" w:type="dxa"/>
            <w:tcBorders>
              <w:top w:val="nil"/>
              <w:left w:val="nil"/>
              <w:bottom w:val="nil"/>
              <w:right w:val="nil"/>
            </w:tcBorders>
            <w:shd w:val="clear" w:color="auto" w:fill="auto"/>
            <w:vAlign w:val="center"/>
          </w:tcPr>
          <w:p w14:paraId="6D58E093">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shd w:val="clear" w:color="auto" w:fill="auto"/>
            <w:vAlign w:val="center"/>
          </w:tcPr>
          <w:p w14:paraId="42227464">
            <w:pPr>
              <w:rPr>
                <w:rFonts w:hint="default" w:ascii="Times New Roman" w:hAnsi="Times New Roman" w:eastAsia="宋体" w:cs="Times New Roman"/>
                <w:i w:val="0"/>
                <w:iCs w:val="0"/>
                <w:color w:val="000000"/>
                <w:sz w:val="18"/>
                <w:szCs w:val="18"/>
                <w:u w:val="none"/>
              </w:rPr>
            </w:pPr>
          </w:p>
        </w:tc>
        <w:tc>
          <w:tcPr>
            <w:tcW w:w="861" w:type="dxa"/>
            <w:tcBorders>
              <w:top w:val="nil"/>
              <w:left w:val="nil"/>
              <w:bottom w:val="nil"/>
              <w:right w:val="nil"/>
            </w:tcBorders>
            <w:shd w:val="clear" w:color="auto" w:fill="auto"/>
            <w:vAlign w:val="center"/>
          </w:tcPr>
          <w:p w14:paraId="3C0E2A85">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724567A1">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1FDB1887">
            <w:pPr>
              <w:rPr>
                <w:rFonts w:hint="default" w:ascii="Times New Roman" w:hAnsi="Times New Roman" w:eastAsia="宋体" w:cs="Times New Roman"/>
                <w:i w:val="0"/>
                <w:iCs w:val="0"/>
                <w:color w:val="000000"/>
                <w:sz w:val="18"/>
                <w:szCs w:val="18"/>
                <w:u w:val="none"/>
              </w:rPr>
            </w:pPr>
          </w:p>
        </w:tc>
        <w:tc>
          <w:tcPr>
            <w:tcW w:w="460" w:type="dxa"/>
            <w:tcBorders>
              <w:top w:val="nil"/>
              <w:left w:val="nil"/>
              <w:bottom w:val="nil"/>
              <w:right w:val="nil"/>
            </w:tcBorders>
            <w:shd w:val="clear" w:color="auto" w:fill="auto"/>
            <w:vAlign w:val="center"/>
          </w:tcPr>
          <w:p w14:paraId="07612476">
            <w:pPr>
              <w:rPr>
                <w:rFonts w:hint="default" w:ascii="Times New Roman" w:hAnsi="Times New Roman" w:eastAsia="宋体" w:cs="Times New Roman"/>
                <w:i w:val="0"/>
                <w:iCs w:val="0"/>
                <w:color w:val="000000"/>
                <w:sz w:val="18"/>
                <w:szCs w:val="18"/>
                <w:u w:val="none"/>
              </w:rPr>
            </w:pPr>
          </w:p>
        </w:tc>
      </w:tr>
      <w:tr w14:paraId="366C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928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E5DEF">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3DE0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FCA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382F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51320025T000012674254-救助人员保障经费</w:t>
            </w:r>
          </w:p>
        </w:tc>
      </w:tr>
      <w:tr w14:paraId="231D6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6B34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7A5E4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州民政局部门</w:t>
            </w:r>
          </w:p>
        </w:tc>
        <w:tc>
          <w:tcPr>
            <w:tcW w:w="861" w:type="dxa"/>
            <w:tcBorders>
              <w:top w:val="nil"/>
              <w:left w:val="nil"/>
              <w:bottom w:val="nil"/>
              <w:right w:val="nil"/>
            </w:tcBorders>
            <w:shd w:val="clear" w:color="auto" w:fill="auto"/>
            <w:vAlign w:val="center"/>
          </w:tcPr>
          <w:p w14:paraId="6ADAF52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4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F24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州救济站</w:t>
            </w:r>
          </w:p>
        </w:tc>
      </w:tr>
      <w:tr w14:paraId="7EAAB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071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B9BA8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D169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BF73EE8">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4A3B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E77C8">
            <w:pP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60523">
            <w:pPr>
              <w:rPr>
                <w:rFonts w:hint="default" w:ascii="Times New Roman" w:hAnsi="Times New Roman" w:eastAsia="宋体" w:cs="Times New Roman"/>
                <w:i w:val="0"/>
                <w:iCs w:val="0"/>
                <w:color w:val="000000"/>
                <w:sz w:val="18"/>
                <w:szCs w:val="18"/>
                <w:u w:val="none"/>
              </w:rPr>
            </w:pP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58C7C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确保来站受助人员的基本生活保障，提高救助服务质量，促进救助政策有效落实。</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257E5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确保了每一位受助人员在救助站的所有救助相关费用，救助人员救助后产生的救助伙食费，救助电费等救助相关支出，使每一位受助人员感受到了家的温暖。</w:t>
            </w:r>
          </w:p>
        </w:tc>
      </w:tr>
      <w:tr w14:paraId="09655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553E">
            <w:pP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0E3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2815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2025年我站按照救助政策认真接待了每一位受助人员。确保了每一位受助人员在救助站的所有救助相关费用，救助人员救助后产生的救助伙食费，救助电费等救助相关支出，使每一位受助人员感受到了家的温暖。</w:t>
            </w:r>
          </w:p>
        </w:tc>
      </w:tr>
      <w:tr w14:paraId="4BDDA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D26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143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CC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E9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D504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31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25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9D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E2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0368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ADDB9">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2C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66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6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28.37</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D859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28.37</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B2D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4BC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F8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19055">
            <w:pPr>
              <w:rPr>
                <w:rFonts w:hint="default" w:ascii="Times New Roman" w:hAnsi="Times New Roman" w:eastAsia="黑体" w:cs="Times New Roman"/>
                <w:i/>
                <w:iCs/>
                <w:color w:val="000000"/>
                <w:sz w:val="18"/>
                <w:szCs w:val="18"/>
                <w:u w:val="none"/>
              </w:rPr>
            </w:pPr>
          </w:p>
        </w:tc>
      </w:tr>
      <w:tr w14:paraId="49041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6BDA7">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9F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7B1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47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28.37</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1F9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28.37</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FD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2D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2EB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9CD5">
            <w:pPr>
              <w:rPr>
                <w:rFonts w:hint="default" w:ascii="Times New Roman" w:hAnsi="Times New Roman" w:eastAsia="黑体" w:cs="Times New Roman"/>
                <w:i/>
                <w:iCs/>
                <w:color w:val="000000"/>
                <w:sz w:val="18"/>
                <w:szCs w:val="18"/>
                <w:u w:val="none"/>
              </w:rPr>
            </w:pPr>
          </w:p>
        </w:tc>
      </w:tr>
      <w:tr w14:paraId="71CC4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FA137">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F0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CF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39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C25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AF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F6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E6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C05B">
            <w:pPr>
              <w:rPr>
                <w:rFonts w:hint="default" w:ascii="Times New Roman" w:hAnsi="Times New Roman" w:eastAsia="黑体" w:cs="Times New Roman"/>
                <w:i/>
                <w:iCs/>
                <w:color w:val="000000"/>
                <w:sz w:val="18"/>
                <w:szCs w:val="18"/>
                <w:u w:val="none"/>
              </w:rPr>
            </w:pPr>
          </w:p>
        </w:tc>
      </w:tr>
      <w:tr w14:paraId="5E876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804CD">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E1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85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9E7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A02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3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7B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CA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CD6FF">
            <w:pPr>
              <w:rPr>
                <w:rFonts w:hint="default" w:ascii="Times New Roman" w:hAnsi="Times New Roman" w:eastAsia="黑体" w:cs="Times New Roman"/>
                <w:i/>
                <w:iCs/>
                <w:color w:val="000000"/>
                <w:sz w:val="18"/>
                <w:szCs w:val="18"/>
                <w:u w:val="none"/>
              </w:rPr>
            </w:pPr>
          </w:p>
        </w:tc>
      </w:tr>
      <w:tr w14:paraId="3CCF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642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A1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6A87">
            <w:pPr>
              <w:jc w:val="center"/>
              <w:rPr>
                <w:rFonts w:hint="default" w:ascii="Times New Roman" w:hAnsi="Times New Roman" w:eastAsia="微软雅黑" w:cs="Times New Roman"/>
                <w:i/>
                <w:iCs/>
                <w:color w:val="000000"/>
                <w:sz w:val="16"/>
                <w:szCs w:val="16"/>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91618">
            <w:pPr>
              <w:jc w:val="center"/>
              <w:rPr>
                <w:rFonts w:hint="default" w:ascii="Times New Roman" w:hAnsi="Times New Roman" w:eastAsia="微软雅黑" w:cs="Times New Roman"/>
                <w:i/>
                <w:iCs/>
                <w:color w:val="000000"/>
                <w:sz w:val="16"/>
                <w:szCs w:val="16"/>
                <w:u w:val="none"/>
              </w:rPr>
            </w:pP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4478E0">
            <w:pPr>
              <w:jc w:val="center"/>
              <w:rPr>
                <w:rFonts w:hint="default" w:ascii="Times New Roman" w:hAnsi="Times New Roman" w:eastAsia="微软雅黑" w:cs="Times New Roman"/>
                <w:i/>
                <w:iCs/>
                <w:color w:val="000000"/>
                <w:sz w:val="16"/>
                <w:szCs w:val="16"/>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2732">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2B5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CB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DBFD5">
            <w:pPr>
              <w:rPr>
                <w:rFonts w:hint="default" w:ascii="Times New Roman" w:hAnsi="Times New Roman" w:eastAsia="黑体" w:cs="Times New Roman"/>
                <w:i/>
                <w:iCs/>
                <w:color w:val="000000"/>
                <w:sz w:val="18"/>
                <w:szCs w:val="18"/>
                <w:u w:val="none"/>
              </w:rPr>
            </w:pPr>
          </w:p>
        </w:tc>
      </w:tr>
      <w:tr w14:paraId="17D6C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A0D4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7F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8B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D1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EA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3A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0A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5A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536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EF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71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E04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3CFEC">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AF0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4E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12E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年度救助人数</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5B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32D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7B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4AC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31F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E6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5028">
            <w:pPr>
              <w:jc w:val="center"/>
              <w:rPr>
                <w:rFonts w:hint="default" w:ascii="Times New Roman" w:hAnsi="Times New Roman" w:eastAsia="微软雅黑" w:cs="Times New Roman"/>
                <w:i/>
                <w:iCs/>
                <w:color w:val="000000"/>
                <w:sz w:val="16"/>
                <w:szCs w:val="16"/>
                <w:u w:val="none"/>
              </w:rPr>
            </w:pPr>
          </w:p>
        </w:tc>
      </w:tr>
      <w:tr w14:paraId="3D1EE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A7A3">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3A25F">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84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99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对受助人员服务质量完成率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67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EC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70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997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F5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82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8FDC">
            <w:pPr>
              <w:jc w:val="center"/>
              <w:rPr>
                <w:rFonts w:hint="default" w:ascii="Times New Roman" w:hAnsi="Times New Roman" w:eastAsia="微软雅黑" w:cs="Times New Roman"/>
                <w:i/>
                <w:iCs/>
                <w:color w:val="000000"/>
                <w:sz w:val="16"/>
                <w:szCs w:val="16"/>
                <w:u w:val="none"/>
              </w:rPr>
            </w:pPr>
          </w:p>
        </w:tc>
      </w:tr>
      <w:tr w14:paraId="3F137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F94CD">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35A6E">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22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D2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提升进展速度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C6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F2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40A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F9E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74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BC2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5617E">
            <w:pPr>
              <w:jc w:val="center"/>
              <w:rPr>
                <w:rFonts w:hint="default" w:ascii="Times New Roman" w:hAnsi="Times New Roman" w:eastAsia="微软雅黑" w:cs="Times New Roman"/>
                <w:i/>
                <w:iCs/>
                <w:color w:val="000000"/>
                <w:sz w:val="16"/>
                <w:szCs w:val="16"/>
                <w:u w:val="none"/>
              </w:rPr>
            </w:pPr>
          </w:p>
        </w:tc>
      </w:tr>
      <w:tr w14:paraId="1851A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0797">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5494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6F6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1B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救助政策知晓率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EF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BA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4F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359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4E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71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5261F">
            <w:pPr>
              <w:jc w:val="center"/>
              <w:rPr>
                <w:rFonts w:hint="default" w:ascii="Times New Roman" w:hAnsi="Times New Roman" w:eastAsia="微软雅黑" w:cs="Times New Roman"/>
                <w:i/>
                <w:iCs/>
                <w:color w:val="000000"/>
                <w:sz w:val="16"/>
                <w:szCs w:val="16"/>
                <w:u w:val="none"/>
              </w:rPr>
            </w:pPr>
          </w:p>
        </w:tc>
      </w:tr>
      <w:tr w14:paraId="5BA92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644C">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B9266">
            <w:pPr>
              <w:jc w:val="center"/>
              <w:rPr>
                <w:rFonts w:hint="default" w:ascii="Times New Roman" w:hAnsi="Times New Roman" w:eastAsia="宋体" w:cs="Times New Roman"/>
                <w:i w:val="0"/>
                <w:iCs w:val="0"/>
                <w:color w:val="000000"/>
                <w:sz w:val="18"/>
                <w:szCs w:val="18"/>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25B88">
            <w:pPr>
              <w:jc w:val="center"/>
              <w:rPr>
                <w:rFonts w:hint="default" w:ascii="Times New Roman" w:hAnsi="Times New Roman" w:eastAsia="宋体" w:cs="Times New Roman"/>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C41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持续发展</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2E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C1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7A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F06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6A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324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EB791">
            <w:pPr>
              <w:jc w:val="center"/>
              <w:rPr>
                <w:rFonts w:hint="default" w:ascii="Times New Roman" w:hAnsi="Times New Roman" w:eastAsia="微软雅黑" w:cs="Times New Roman"/>
                <w:i/>
                <w:iCs/>
                <w:color w:val="000000"/>
                <w:sz w:val="16"/>
                <w:szCs w:val="16"/>
                <w:u w:val="none"/>
              </w:rPr>
            </w:pPr>
          </w:p>
        </w:tc>
      </w:tr>
      <w:tr w14:paraId="7DAAD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9A228">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6E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79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26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对受助人员服务质量满意度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489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5E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07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877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E9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6AA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83B7">
            <w:pPr>
              <w:jc w:val="center"/>
              <w:rPr>
                <w:rFonts w:hint="default" w:ascii="Times New Roman" w:hAnsi="Times New Roman" w:eastAsia="微软雅黑" w:cs="Times New Roman"/>
                <w:i/>
                <w:iCs/>
                <w:color w:val="000000"/>
                <w:sz w:val="16"/>
                <w:szCs w:val="16"/>
                <w:u w:val="none"/>
              </w:rPr>
            </w:pPr>
          </w:p>
        </w:tc>
      </w:tr>
      <w:tr w14:paraId="141C9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1D16D">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C3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F4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E8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控制成本率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82C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52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8B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8F2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073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09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4698">
            <w:pPr>
              <w:jc w:val="center"/>
              <w:rPr>
                <w:rFonts w:hint="default" w:ascii="Times New Roman" w:hAnsi="Times New Roman" w:eastAsia="微软雅黑" w:cs="Times New Roman"/>
                <w:i/>
                <w:iCs/>
                <w:color w:val="000000"/>
                <w:sz w:val="16"/>
                <w:szCs w:val="16"/>
                <w:u w:val="none"/>
              </w:rPr>
            </w:pPr>
          </w:p>
        </w:tc>
      </w:tr>
      <w:tr w14:paraId="64E58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8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C3D5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63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6161">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E42C">
            <w:pPr>
              <w:rPr>
                <w:rFonts w:hint="default" w:ascii="Times New Roman" w:hAnsi="Times New Roman" w:eastAsia="宋体" w:cs="Times New Roman"/>
                <w:i w:val="0"/>
                <w:iCs w:val="0"/>
                <w:color w:val="000000"/>
                <w:sz w:val="18"/>
                <w:szCs w:val="18"/>
                <w:u w:val="none"/>
              </w:rPr>
            </w:pPr>
          </w:p>
        </w:tc>
      </w:tr>
      <w:tr w14:paraId="6162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28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10A8A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104E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41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43D6F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514E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1E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EF077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CB28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B0A05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项目负责人：高恩建</w:t>
            </w:r>
          </w:p>
        </w:tc>
        <w:tc>
          <w:tcPr>
            <w:tcW w:w="36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679E54">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财务负责人：八尔姆</w:t>
            </w:r>
          </w:p>
        </w:tc>
      </w:tr>
      <w:tr w14:paraId="4CDC6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tcBorders>
              <w:top w:val="nil"/>
              <w:left w:val="nil"/>
              <w:bottom w:val="nil"/>
              <w:right w:val="nil"/>
            </w:tcBorders>
            <w:shd w:val="clear" w:color="auto" w:fill="auto"/>
            <w:vAlign w:val="center"/>
          </w:tcPr>
          <w:p w14:paraId="599AE1D1">
            <w:pPr>
              <w:rPr>
                <w:rFonts w:hint="default" w:ascii="Times New Roman" w:hAnsi="Times New Roman" w:eastAsia="宋体" w:cs="Times New Roman"/>
                <w:i w:val="0"/>
                <w:iCs w:val="0"/>
                <w:color w:val="000000"/>
                <w:sz w:val="18"/>
                <w:szCs w:val="18"/>
                <w:u w:val="none"/>
              </w:rPr>
            </w:pPr>
          </w:p>
        </w:tc>
        <w:tc>
          <w:tcPr>
            <w:tcW w:w="1058" w:type="dxa"/>
            <w:tcBorders>
              <w:top w:val="nil"/>
              <w:left w:val="nil"/>
              <w:bottom w:val="nil"/>
              <w:right w:val="nil"/>
            </w:tcBorders>
            <w:shd w:val="clear" w:color="auto" w:fill="auto"/>
            <w:vAlign w:val="center"/>
          </w:tcPr>
          <w:p w14:paraId="6D68EAB3">
            <w:pPr>
              <w:rPr>
                <w:rFonts w:hint="default" w:ascii="Times New Roman" w:hAnsi="Times New Roman" w:eastAsia="宋体" w:cs="Times New Roman"/>
                <w:i w:val="0"/>
                <w:iCs w:val="0"/>
                <w:color w:val="000000"/>
                <w:sz w:val="18"/>
                <w:szCs w:val="18"/>
                <w:u w:val="none"/>
              </w:rPr>
            </w:pPr>
          </w:p>
        </w:tc>
        <w:tc>
          <w:tcPr>
            <w:tcW w:w="1470" w:type="dxa"/>
            <w:tcBorders>
              <w:top w:val="nil"/>
              <w:left w:val="nil"/>
              <w:bottom w:val="nil"/>
              <w:right w:val="nil"/>
            </w:tcBorders>
            <w:shd w:val="clear" w:color="auto" w:fill="auto"/>
            <w:vAlign w:val="center"/>
          </w:tcPr>
          <w:p w14:paraId="53E36785">
            <w:pPr>
              <w:rPr>
                <w:rFonts w:hint="default" w:ascii="Times New Roman" w:hAnsi="Times New Roman" w:eastAsia="宋体" w:cs="Times New Roman"/>
                <w:i w:val="0"/>
                <w:iCs w:val="0"/>
                <w:color w:val="000000"/>
                <w:sz w:val="18"/>
                <w:szCs w:val="18"/>
                <w:u w:val="none"/>
              </w:rPr>
            </w:pPr>
          </w:p>
          <w:p w14:paraId="3FD06F70">
            <w:pPr>
              <w:rPr>
                <w:rFonts w:hint="default" w:ascii="Times New Roman" w:hAnsi="Times New Roman" w:eastAsia="宋体" w:cs="Times New Roman"/>
                <w:i w:val="0"/>
                <w:iCs w:val="0"/>
                <w:color w:val="000000"/>
                <w:sz w:val="18"/>
                <w:szCs w:val="18"/>
                <w:u w:val="none"/>
              </w:rPr>
            </w:pPr>
          </w:p>
          <w:p w14:paraId="22EE99AC">
            <w:pPr>
              <w:rPr>
                <w:rFonts w:hint="default" w:ascii="Times New Roman" w:hAnsi="Times New Roman" w:eastAsia="宋体" w:cs="Times New Roman"/>
                <w:i w:val="0"/>
                <w:iCs w:val="0"/>
                <w:color w:val="000000"/>
                <w:sz w:val="18"/>
                <w:szCs w:val="18"/>
                <w:u w:val="none"/>
              </w:rPr>
            </w:pPr>
          </w:p>
          <w:p w14:paraId="0F2780F6">
            <w:pPr>
              <w:rPr>
                <w:rFonts w:hint="default" w:ascii="Times New Roman" w:hAnsi="Times New Roman" w:eastAsia="宋体" w:cs="Times New Roman"/>
                <w:i w:val="0"/>
                <w:iCs w:val="0"/>
                <w:color w:val="000000"/>
                <w:sz w:val="18"/>
                <w:szCs w:val="18"/>
                <w:u w:val="none"/>
              </w:rPr>
            </w:pPr>
          </w:p>
          <w:p w14:paraId="25D7E7A9">
            <w:pPr>
              <w:rPr>
                <w:rFonts w:hint="default" w:ascii="Times New Roman" w:hAnsi="Times New Roman" w:eastAsia="宋体" w:cs="Times New Roman"/>
                <w:i w:val="0"/>
                <w:iCs w:val="0"/>
                <w:color w:val="000000"/>
                <w:sz w:val="18"/>
                <w:szCs w:val="18"/>
                <w:u w:val="none"/>
              </w:rPr>
            </w:pPr>
          </w:p>
          <w:p w14:paraId="31761D6C">
            <w:pPr>
              <w:rPr>
                <w:rFonts w:hint="default" w:ascii="Times New Roman" w:hAnsi="Times New Roman" w:eastAsia="宋体" w:cs="Times New Roman"/>
                <w:i w:val="0"/>
                <w:iCs w:val="0"/>
                <w:color w:val="000000"/>
                <w:sz w:val="18"/>
                <w:szCs w:val="18"/>
                <w:u w:val="none"/>
              </w:rPr>
            </w:pPr>
          </w:p>
          <w:p w14:paraId="0962904C">
            <w:pPr>
              <w:rPr>
                <w:rFonts w:hint="default" w:ascii="Times New Roman" w:hAnsi="Times New Roman" w:eastAsia="宋体" w:cs="Times New Roman"/>
                <w:i w:val="0"/>
                <w:iCs w:val="0"/>
                <w:color w:val="000000"/>
                <w:sz w:val="18"/>
                <w:szCs w:val="18"/>
                <w:u w:val="none"/>
              </w:rPr>
            </w:pPr>
          </w:p>
          <w:p w14:paraId="590F2AF5">
            <w:pPr>
              <w:rPr>
                <w:rFonts w:hint="default" w:ascii="Times New Roman" w:hAnsi="Times New Roman" w:eastAsia="宋体" w:cs="Times New Roman"/>
                <w:i w:val="0"/>
                <w:iCs w:val="0"/>
                <w:color w:val="000000"/>
                <w:sz w:val="18"/>
                <w:szCs w:val="18"/>
                <w:u w:val="none"/>
              </w:rPr>
            </w:pPr>
          </w:p>
          <w:p w14:paraId="7C8656BF">
            <w:pPr>
              <w:rPr>
                <w:rFonts w:hint="default" w:ascii="Times New Roman" w:hAnsi="Times New Roman" w:eastAsia="宋体" w:cs="Times New Roman"/>
                <w:i w:val="0"/>
                <w:iCs w:val="0"/>
                <w:color w:val="000000"/>
                <w:sz w:val="18"/>
                <w:szCs w:val="18"/>
                <w:u w:val="none"/>
              </w:rPr>
            </w:pPr>
          </w:p>
          <w:p w14:paraId="496968DB">
            <w:pPr>
              <w:rPr>
                <w:rFonts w:hint="default" w:ascii="Times New Roman" w:hAnsi="Times New Roman" w:eastAsia="宋体" w:cs="Times New Roman"/>
                <w:i w:val="0"/>
                <w:iCs w:val="0"/>
                <w:color w:val="000000"/>
                <w:sz w:val="18"/>
                <w:szCs w:val="18"/>
                <w:u w:val="none"/>
              </w:rPr>
            </w:pPr>
          </w:p>
          <w:p w14:paraId="36F18739">
            <w:pPr>
              <w:rPr>
                <w:rFonts w:hint="default" w:ascii="Times New Roman" w:hAnsi="Times New Roman" w:eastAsia="宋体" w:cs="Times New Roman"/>
                <w:i w:val="0"/>
                <w:iCs w:val="0"/>
                <w:color w:val="000000"/>
                <w:sz w:val="18"/>
                <w:szCs w:val="18"/>
                <w:u w:val="none"/>
              </w:rPr>
            </w:pPr>
          </w:p>
          <w:p w14:paraId="6A496E2D">
            <w:pPr>
              <w:rPr>
                <w:rFonts w:hint="default" w:ascii="Times New Roman" w:hAnsi="Times New Roman" w:eastAsia="宋体" w:cs="Times New Roman"/>
                <w:i w:val="0"/>
                <w:iCs w:val="0"/>
                <w:color w:val="000000"/>
                <w:sz w:val="18"/>
                <w:szCs w:val="18"/>
                <w:u w:val="none"/>
              </w:rPr>
            </w:pPr>
          </w:p>
          <w:p w14:paraId="3146A9AA">
            <w:pPr>
              <w:rPr>
                <w:rFonts w:hint="default" w:ascii="Times New Roman" w:hAnsi="Times New Roman" w:eastAsia="宋体" w:cs="Times New Roman"/>
                <w:i w:val="0"/>
                <w:iCs w:val="0"/>
                <w:color w:val="000000"/>
                <w:sz w:val="18"/>
                <w:szCs w:val="18"/>
                <w:u w:val="none"/>
              </w:rPr>
            </w:pPr>
          </w:p>
          <w:p w14:paraId="057AB789">
            <w:pPr>
              <w:rPr>
                <w:rFonts w:hint="default" w:ascii="Times New Roman" w:hAnsi="Times New Roman" w:eastAsia="宋体" w:cs="Times New Roman"/>
                <w:i w:val="0"/>
                <w:iCs w:val="0"/>
                <w:color w:val="000000"/>
                <w:sz w:val="18"/>
                <w:szCs w:val="18"/>
                <w:u w:val="none"/>
              </w:rPr>
            </w:pPr>
          </w:p>
          <w:p w14:paraId="0958748D">
            <w:pPr>
              <w:rPr>
                <w:rFonts w:hint="default" w:ascii="Times New Roman" w:hAnsi="Times New Roman" w:eastAsia="宋体" w:cs="Times New Roman"/>
                <w:i w:val="0"/>
                <w:iCs w:val="0"/>
                <w:color w:val="000000"/>
                <w:sz w:val="18"/>
                <w:szCs w:val="18"/>
                <w:u w:val="none"/>
              </w:rPr>
            </w:pPr>
          </w:p>
          <w:p w14:paraId="6C15E74C">
            <w:pPr>
              <w:rPr>
                <w:rFonts w:hint="default" w:ascii="Times New Roman" w:hAnsi="Times New Roman" w:eastAsia="宋体" w:cs="Times New Roman"/>
                <w:i w:val="0"/>
                <w:iCs w:val="0"/>
                <w:color w:val="000000"/>
                <w:sz w:val="18"/>
                <w:szCs w:val="18"/>
                <w:u w:val="none"/>
              </w:rPr>
            </w:pPr>
          </w:p>
          <w:p w14:paraId="4B752238">
            <w:pPr>
              <w:rPr>
                <w:rFonts w:hint="default" w:ascii="Times New Roman" w:hAnsi="Times New Roman" w:eastAsia="宋体" w:cs="Times New Roman"/>
                <w:i w:val="0"/>
                <w:iCs w:val="0"/>
                <w:color w:val="000000"/>
                <w:sz w:val="18"/>
                <w:szCs w:val="18"/>
                <w:u w:val="none"/>
              </w:rPr>
            </w:pPr>
          </w:p>
          <w:p w14:paraId="0F544D7F">
            <w:pPr>
              <w:rPr>
                <w:rFonts w:hint="default" w:ascii="Times New Roman" w:hAnsi="Times New Roman" w:eastAsia="宋体" w:cs="Times New Roman"/>
                <w:i w:val="0"/>
                <w:iCs w:val="0"/>
                <w:color w:val="000000"/>
                <w:sz w:val="18"/>
                <w:szCs w:val="18"/>
                <w:u w:val="none"/>
              </w:rPr>
            </w:pPr>
          </w:p>
        </w:tc>
        <w:tc>
          <w:tcPr>
            <w:tcW w:w="1860" w:type="dxa"/>
            <w:tcBorders>
              <w:top w:val="nil"/>
              <w:left w:val="nil"/>
              <w:bottom w:val="nil"/>
              <w:right w:val="nil"/>
            </w:tcBorders>
            <w:shd w:val="clear" w:color="auto" w:fill="auto"/>
            <w:vAlign w:val="center"/>
          </w:tcPr>
          <w:p w14:paraId="513B192F">
            <w:pPr>
              <w:rPr>
                <w:rFonts w:hint="default" w:ascii="Times New Roman" w:hAnsi="Times New Roman" w:eastAsia="宋体" w:cs="Times New Roman"/>
                <w:i w:val="0"/>
                <w:iCs w:val="0"/>
                <w:color w:val="000000"/>
                <w:sz w:val="18"/>
                <w:szCs w:val="18"/>
                <w:u w:val="none"/>
              </w:rPr>
            </w:pPr>
          </w:p>
        </w:tc>
        <w:tc>
          <w:tcPr>
            <w:tcW w:w="463" w:type="dxa"/>
            <w:tcBorders>
              <w:top w:val="nil"/>
              <w:left w:val="nil"/>
              <w:bottom w:val="nil"/>
              <w:right w:val="nil"/>
            </w:tcBorders>
            <w:shd w:val="clear" w:color="auto" w:fill="auto"/>
            <w:vAlign w:val="center"/>
          </w:tcPr>
          <w:p w14:paraId="7816DCCA">
            <w:pPr>
              <w:rPr>
                <w:rFonts w:hint="default" w:ascii="Times New Roman" w:hAnsi="Times New Roman" w:eastAsia="宋体" w:cs="Times New Roman"/>
                <w:i w:val="0"/>
                <w:iCs w:val="0"/>
                <w:color w:val="000000"/>
                <w:sz w:val="18"/>
                <w:szCs w:val="18"/>
                <w:u w:val="none"/>
              </w:rPr>
            </w:pPr>
          </w:p>
        </w:tc>
        <w:tc>
          <w:tcPr>
            <w:tcW w:w="932" w:type="dxa"/>
            <w:tcBorders>
              <w:top w:val="nil"/>
              <w:left w:val="nil"/>
              <w:bottom w:val="nil"/>
              <w:right w:val="nil"/>
            </w:tcBorders>
            <w:shd w:val="clear" w:color="auto" w:fill="auto"/>
            <w:vAlign w:val="center"/>
          </w:tcPr>
          <w:p w14:paraId="1E3E3454">
            <w:pPr>
              <w:rPr>
                <w:rFonts w:hint="default" w:ascii="Times New Roman" w:hAnsi="Times New Roman" w:eastAsia="宋体" w:cs="Times New Roman"/>
                <w:i w:val="0"/>
                <w:iCs w:val="0"/>
                <w:color w:val="000000"/>
                <w:sz w:val="18"/>
                <w:szCs w:val="18"/>
                <w:u w:val="none"/>
              </w:rPr>
            </w:pPr>
          </w:p>
          <w:p w14:paraId="7F8693C6">
            <w:pPr>
              <w:rPr>
                <w:rFonts w:hint="default" w:ascii="Times New Roman" w:hAnsi="Times New Roman" w:eastAsia="宋体" w:cs="Times New Roman"/>
                <w:i w:val="0"/>
                <w:iCs w:val="0"/>
                <w:color w:val="000000"/>
                <w:sz w:val="18"/>
                <w:szCs w:val="18"/>
                <w:u w:val="none"/>
              </w:rPr>
            </w:pPr>
          </w:p>
          <w:p w14:paraId="7C7461B7">
            <w:pPr>
              <w:rPr>
                <w:rFonts w:hint="default" w:ascii="Times New Roman" w:hAnsi="Times New Roman" w:eastAsia="宋体" w:cs="Times New Roman"/>
                <w:i w:val="0"/>
                <w:iCs w:val="0"/>
                <w:color w:val="000000"/>
                <w:sz w:val="18"/>
                <w:szCs w:val="18"/>
                <w:u w:val="none"/>
              </w:rPr>
            </w:pPr>
          </w:p>
          <w:p w14:paraId="2301A43B">
            <w:pPr>
              <w:rPr>
                <w:rFonts w:hint="default" w:ascii="Times New Roman" w:hAnsi="Times New Roman" w:eastAsia="宋体" w:cs="Times New Roman"/>
                <w:i w:val="0"/>
                <w:iCs w:val="0"/>
                <w:color w:val="000000"/>
                <w:sz w:val="18"/>
                <w:szCs w:val="18"/>
                <w:u w:val="none"/>
              </w:rPr>
            </w:pPr>
          </w:p>
          <w:p w14:paraId="1739D749">
            <w:pPr>
              <w:rPr>
                <w:rFonts w:hint="default" w:ascii="Times New Roman" w:hAnsi="Times New Roman" w:eastAsia="宋体" w:cs="Times New Roman"/>
                <w:i w:val="0"/>
                <w:iCs w:val="0"/>
                <w:color w:val="000000"/>
                <w:sz w:val="18"/>
                <w:szCs w:val="18"/>
                <w:u w:val="none"/>
              </w:rPr>
            </w:pPr>
          </w:p>
          <w:p w14:paraId="6DE221B5">
            <w:pPr>
              <w:rPr>
                <w:rFonts w:hint="default" w:ascii="Times New Roman" w:hAnsi="Times New Roman" w:eastAsia="宋体" w:cs="Times New Roman"/>
                <w:i w:val="0"/>
                <w:iCs w:val="0"/>
                <w:color w:val="000000"/>
                <w:sz w:val="18"/>
                <w:szCs w:val="18"/>
                <w:u w:val="none"/>
              </w:rPr>
            </w:pPr>
          </w:p>
          <w:p w14:paraId="27E4BA4F">
            <w:pPr>
              <w:rPr>
                <w:rFonts w:hint="default" w:ascii="Times New Roman" w:hAnsi="Times New Roman" w:eastAsia="宋体" w:cs="Times New Roman"/>
                <w:i w:val="0"/>
                <w:iCs w:val="0"/>
                <w:color w:val="000000"/>
                <w:sz w:val="18"/>
                <w:szCs w:val="18"/>
                <w:u w:val="none"/>
              </w:rPr>
            </w:pPr>
          </w:p>
          <w:p w14:paraId="42F36E99">
            <w:pPr>
              <w:rPr>
                <w:rFonts w:hint="default" w:ascii="Times New Roman" w:hAnsi="Times New Roman" w:eastAsia="宋体" w:cs="Times New Roman"/>
                <w:i w:val="0"/>
                <w:iCs w:val="0"/>
                <w:color w:val="000000"/>
                <w:sz w:val="18"/>
                <w:szCs w:val="18"/>
                <w:u w:val="none"/>
              </w:rPr>
            </w:pPr>
          </w:p>
          <w:p w14:paraId="0C949DED">
            <w:pPr>
              <w:rPr>
                <w:rFonts w:hint="default" w:ascii="Times New Roman" w:hAnsi="Times New Roman" w:eastAsia="宋体" w:cs="Times New Roman"/>
                <w:i w:val="0"/>
                <w:iCs w:val="0"/>
                <w:color w:val="000000"/>
                <w:sz w:val="18"/>
                <w:szCs w:val="18"/>
                <w:u w:val="none"/>
              </w:rPr>
            </w:pPr>
          </w:p>
          <w:p w14:paraId="61DF7C7B">
            <w:pPr>
              <w:rPr>
                <w:rFonts w:hint="default" w:ascii="Times New Roman" w:hAnsi="Times New Roman" w:eastAsia="宋体" w:cs="Times New Roman"/>
                <w:i w:val="0"/>
                <w:iCs w:val="0"/>
                <w:color w:val="000000"/>
                <w:sz w:val="18"/>
                <w:szCs w:val="18"/>
                <w:u w:val="none"/>
              </w:rPr>
            </w:pPr>
          </w:p>
          <w:p w14:paraId="452EB548">
            <w:pPr>
              <w:rPr>
                <w:rFonts w:hint="default" w:ascii="Times New Roman" w:hAnsi="Times New Roman" w:eastAsia="宋体" w:cs="Times New Roman"/>
                <w:i w:val="0"/>
                <w:iCs w:val="0"/>
                <w:color w:val="000000"/>
                <w:sz w:val="18"/>
                <w:szCs w:val="18"/>
                <w:u w:val="none"/>
              </w:rPr>
            </w:pPr>
          </w:p>
          <w:p w14:paraId="1AA8E319">
            <w:pPr>
              <w:rPr>
                <w:rFonts w:hint="default" w:ascii="Times New Roman" w:hAnsi="Times New Roman" w:eastAsia="宋体" w:cs="Times New Roman"/>
                <w:i w:val="0"/>
                <w:iCs w:val="0"/>
                <w:color w:val="000000"/>
                <w:sz w:val="18"/>
                <w:szCs w:val="18"/>
                <w:u w:val="none"/>
              </w:rPr>
            </w:pPr>
          </w:p>
          <w:p w14:paraId="3902C0C5">
            <w:pPr>
              <w:rPr>
                <w:rFonts w:hint="default" w:ascii="Times New Roman" w:hAnsi="Times New Roman" w:eastAsia="宋体" w:cs="Times New Roman"/>
                <w:i w:val="0"/>
                <w:iCs w:val="0"/>
                <w:color w:val="000000"/>
                <w:sz w:val="18"/>
                <w:szCs w:val="18"/>
                <w:u w:val="none"/>
              </w:rPr>
            </w:pPr>
          </w:p>
          <w:p w14:paraId="7D050956">
            <w:pPr>
              <w:rPr>
                <w:rFonts w:hint="default" w:ascii="Times New Roman" w:hAnsi="Times New Roman" w:eastAsia="宋体" w:cs="Times New Roman"/>
                <w:i w:val="0"/>
                <w:iCs w:val="0"/>
                <w:color w:val="000000"/>
                <w:sz w:val="18"/>
                <w:szCs w:val="18"/>
                <w:u w:val="none"/>
              </w:rPr>
            </w:pPr>
          </w:p>
          <w:p w14:paraId="7FE0987D">
            <w:pPr>
              <w:rPr>
                <w:rFonts w:hint="default" w:ascii="Times New Roman" w:hAnsi="Times New Roman" w:eastAsia="宋体" w:cs="Times New Roman"/>
                <w:i w:val="0"/>
                <w:iCs w:val="0"/>
                <w:color w:val="000000"/>
                <w:sz w:val="18"/>
                <w:szCs w:val="18"/>
                <w:u w:val="none"/>
              </w:rPr>
            </w:pPr>
          </w:p>
          <w:p w14:paraId="7DE199AD">
            <w:pPr>
              <w:rPr>
                <w:rFonts w:hint="default" w:ascii="Times New Roman" w:hAnsi="Times New Roman" w:eastAsia="宋体" w:cs="Times New Roman"/>
                <w:i w:val="0"/>
                <w:iCs w:val="0"/>
                <w:color w:val="000000"/>
                <w:sz w:val="18"/>
                <w:szCs w:val="18"/>
                <w:u w:val="none"/>
              </w:rPr>
            </w:pPr>
          </w:p>
          <w:p w14:paraId="737E2AAA">
            <w:pPr>
              <w:rPr>
                <w:rFonts w:hint="default" w:ascii="Times New Roman" w:hAnsi="Times New Roman" w:eastAsia="宋体" w:cs="Times New Roman"/>
                <w:i w:val="0"/>
                <w:iCs w:val="0"/>
                <w:color w:val="000000"/>
                <w:sz w:val="18"/>
                <w:szCs w:val="18"/>
                <w:u w:val="none"/>
              </w:rPr>
            </w:pPr>
          </w:p>
          <w:p w14:paraId="2502428E">
            <w:pPr>
              <w:rPr>
                <w:rFonts w:hint="default" w:ascii="Times New Roman" w:hAnsi="Times New Roman" w:eastAsia="宋体" w:cs="Times New Roman"/>
                <w:i w:val="0"/>
                <w:iCs w:val="0"/>
                <w:color w:val="000000"/>
                <w:sz w:val="18"/>
                <w:szCs w:val="18"/>
                <w:u w:val="none"/>
              </w:rPr>
            </w:pPr>
          </w:p>
          <w:p w14:paraId="3CD8398D">
            <w:pPr>
              <w:rPr>
                <w:rFonts w:hint="default" w:ascii="Times New Roman" w:hAnsi="Times New Roman" w:eastAsia="宋体" w:cs="Times New Roman"/>
                <w:i w:val="0"/>
                <w:iCs w:val="0"/>
                <w:color w:val="000000"/>
                <w:sz w:val="18"/>
                <w:szCs w:val="18"/>
                <w:u w:val="none"/>
              </w:rPr>
            </w:pPr>
            <w:bookmarkStart w:id="73" w:name="_GoBack"/>
            <w:bookmarkEnd w:id="73"/>
          </w:p>
        </w:tc>
        <w:tc>
          <w:tcPr>
            <w:tcW w:w="396" w:type="dxa"/>
            <w:tcBorders>
              <w:top w:val="nil"/>
              <w:left w:val="nil"/>
              <w:bottom w:val="nil"/>
              <w:right w:val="nil"/>
            </w:tcBorders>
            <w:shd w:val="clear" w:color="auto" w:fill="auto"/>
            <w:vAlign w:val="center"/>
          </w:tcPr>
          <w:p w14:paraId="03AABF78">
            <w:pPr>
              <w:rPr>
                <w:rFonts w:hint="default" w:ascii="Times New Roman" w:hAnsi="Times New Roman" w:eastAsia="宋体" w:cs="Times New Roman"/>
                <w:i w:val="0"/>
                <w:iCs w:val="0"/>
                <w:color w:val="000000"/>
                <w:sz w:val="18"/>
                <w:szCs w:val="18"/>
                <w:u w:val="none"/>
              </w:rPr>
            </w:pPr>
          </w:p>
        </w:tc>
        <w:tc>
          <w:tcPr>
            <w:tcW w:w="861" w:type="dxa"/>
            <w:tcBorders>
              <w:top w:val="nil"/>
              <w:left w:val="nil"/>
              <w:bottom w:val="nil"/>
              <w:right w:val="nil"/>
            </w:tcBorders>
            <w:shd w:val="clear" w:color="auto" w:fill="auto"/>
            <w:vAlign w:val="center"/>
          </w:tcPr>
          <w:p w14:paraId="35B733AF">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5012BDA5">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3E17618F">
            <w:pPr>
              <w:rPr>
                <w:rFonts w:hint="default" w:ascii="Times New Roman" w:hAnsi="Times New Roman" w:eastAsia="宋体" w:cs="Times New Roman"/>
                <w:i w:val="0"/>
                <w:iCs w:val="0"/>
                <w:color w:val="000000"/>
                <w:sz w:val="18"/>
                <w:szCs w:val="18"/>
                <w:u w:val="none"/>
              </w:rPr>
            </w:pPr>
          </w:p>
        </w:tc>
        <w:tc>
          <w:tcPr>
            <w:tcW w:w="460" w:type="dxa"/>
            <w:tcBorders>
              <w:top w:val="nil"/>
              <w:left w:val="nil"/>
              <w:bottom w:val="nil"/>
              <w:right w:val="nil"/>
            </w:tcBorders>
            <w:shd w:val="clear" w:color="auto" w:fill="auto"/>
            <w:vAlign w:val="center"/>
          </w:tcPr>
          <w:p w14:paraId="1E2E05DE">
            <w:pPr>
              <w:rPr>
                <w:rFonts w:hint="default" w:ascii="Times New Roman" w:hAnsi="Times New Roman" w:eastAsia="宋体" w:cs="Times New Roman"/>
                <w:i w:val="0"/>
                <w:iCs w:val="0"/>
                <w:color w:val="000000"/>
                <w:sz w:val="18"/>
                <w:szCs w:val="18"/>
                <w:u w:val="none"/>
              </w:rPr>
            </w:pPr>
          </w:p>
        </w:tc>
      </w:tr>
      <w:tr w14:paraId="30ECB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928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9BF76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8C3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EA6F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8EB92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51320025T000012814151-未成年保护专项</w:t>
            </w:r>
          </w:p>
        </w:tc>
      </w:tr>
      <w:tr w14:paraId="2E52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36B2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9BEE3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州民政局部门</w:t>
            </w:r>
          </w:p>
        </w:tc>
        <w:tc>
          <w:tcPr>
            <w:tcW w:w="861" w:type="dxa"/>
            <w:tcBorders>
              <w:top w:val="nil"/>
              <w:left w:val="nil"/>
              <w:bottom w:val="nil"/>
              <w:right w:val="nil"/>
            </w:tcBorders>
            <w:shd w:val="clear" w:color="auto" w:fill="auto"/>
            <w:vAlign w:val="center"/>
          </w:tcPr>
          <w:p w14:paraId="0E1B59A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4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449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州救济站</w:t>
            </w:r>
          </w:p>
        </w:tc>
      </w:tr>
      <w:tr w14:paraId="06067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ED7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B00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E923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597A34">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07C7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1F519">
            <w:pP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8F9FA">
            <w:pPr>
              <w:rPr>
                <w:rFonts w:hint="default" w:ascii="Times New Roman" w:hAnsi="Times New Roman" w:eastAsia="宋体" w:cs="Times New Roman"/>
                <w:i w:val="0"/>
                <w:iCs w:val="0"/>
                <w:color w:val="000000"/>
                <w:sz w:val="18"/>
                <w:szCs w:val="18"/>
                <w:u w:val="none"/>
              </w:rPr>
            </w:pP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4FEF8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完成未成年人救助保护工作保障服务儿童覆盖率98%，提升未成年保护工作水平10%.进一步提升全州该项工作整体能力。</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C18101">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已完成相关工作</w:t>
            </w:r>
          </w:p>
        </w:tc>
      </w:tr>
      <w:tr w14:paraId="208F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BFA49">
            <w:pP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146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1C518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2006年4月，在州救助站挂“阿坝州流浪儿童救助保护中心”牌子，实行“两块牌子，一套人马”的管理模式；2012年11月，州流浪儿童救助保护中心更名为州未成年人救助保护中心，负责对流浪未成年人的救助保护和帮扶工作。由于我州州级未单独成立未成年人保护中心机构，因此我中心还承担了未成年人保护工作。近年来，我中心在州局党组和未成年人保护工作领导小组办公室的领导下，以深入学习贯彻《中华人民共和国未成年人保护法》为着力点，紧紧围绕未成年人保护“661”工作重点，坚持最有利于未成年人的原则，全力实施“‘净’土护‘未’”未成年人保护工程，在全社会牢固树立“儿童优先”理念，持续推动形成“党政领导、民政牵头、部门协同、家庭尽责、社会参与”的未成年人保护工作格局，进一步构建未成年人关爱保护长效机制，切实保护未成年人身心健康，保障未成年人合法权益，为助力“一州两区三家园”新目标建设作出了积极贡献。</w:t>
            </w:r>
          </w:p>
        </w:tc>
      </w:tr>
      <w:tr w14:paraId="1C2F2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669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65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65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BB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DAD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58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2C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FC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38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7421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E8C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C1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12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38B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761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E1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6B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83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7315E">
            <w:pPr>
              <w:rPr>
                <w:rFonts w:hint="default" w:ascii="Times New Roman" w:hAnsi="Times New Roman" w:eastAsia="黑体" w:cs="Times New Roman"/>
                <w:i/>
                <w:iCs/>
                <w:color w:val="000000"/>
                <w:sz w:val="18"/>
                <w:szCs w:val="18"/>
                <w:u w:val="none"/>
              </w:rPr>
            </w:pPr>
          </w:p>
        </w:tc>
      </w:tr>
      <w:tr w14:paraId="0C385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37293">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4A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43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17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1B8A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28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9F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33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ED981">
            <w:pPr>
              <w:rPr>
                <w:rFonts w:hint="default" w:ascii="Times New Roman" w:hAnsi="Times New Roman" w:eastAsia="黑体" w:cs="Times New Roman"/>
                <w:i/>
                <w:iCs/>
                <w:color w:val="000000"/>
                <w:sz w:val="18"/>
                <w:szCs w:val="18"/>
                <w:u w:val="none"/>
              </w:rPr>
            </w:pPr>
          </w:p>
        </w:tc>
      </w:tr>
      <w:tr w14:paraId="6186C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FBA8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D7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3B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740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CA9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D0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1D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05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F72CC">
            <w:pPr>
              <w:rPr>
                <w:rFonts w:hint="default" w:ascii="Times New Roman" w:hAnsi="Times New Roman" w:eastAsia="黑体" w:cs="Times New Roman"/>
                <w:i/>
                <w:iCs/>
                <w:color w:val="000000"/>
                <w:sz w:val="18"/>
                <w:szCs w:val="18"/>
                <w:u w:val="none"/>
              </w:rPr>
            </w:pPr>
          </w:p>
        </w:tc>
      </w:tr>
      <w:tr w14:paraId="769D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90E7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C4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EDB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2EE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A76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B5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FE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A4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B4F99">
            <w:pPr>
              <w:rPr>
                <w:rFonts w:hint="default" w:ascii="Times New Roman" w:hAnsi="Times New Roman" w:eastAsia="黑体" w:cs="Times New Roman"/>
                <w:i/>
                <w:iCs/>
                <w:color w:val="000000"/>
                <w:sz w:val="18"/>
                <w:szCs w:val="18"/>
                <w:u w:val="none"/>
              </w:rPr>
            </w:pPr>
          </w:p>
        </w:tc>
      </w:tr>
      <w:tr w14:paraId="3BDEC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D420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4C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8992">
            <w:pPr>
              <w:jc w:val="center"/>
              <w:rPr>
                <w:rFonts w:hint="default" w:ascii="Times New Roman" w:hAnsi="Times New Roman" w:eastAsia="微软雅黑" w:cs="Times New Roman"/>
                <w:i/>
                <w:iCs/>
                <w:color w:val="000000"/>
                <w:sz w:val="16"/>
                <w:szCs w:val="16"/>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E913">
            <w:pPr>
              <w:jc w:val="center"/>
              <w:rPr>
                <w:rFonts w:hint="default" w:ascii="Times New Roman" w:hAnsi="Times New Roman" w:eastAsia="微软雅黑" w:cs="Times New Roman"/>
                <w:i/>
                <w:iCs/>
                <w:color w:val="000000"/>
                <w:sz w:val="16"/>
                <w:szCs w:val="16"/>
                <w:u w:val="none"/>
              </w:rPr>
            </w:pP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7CE75">
            <w:pPr>
              <w:jc w:val="center"/>
              <w:rPr>
                <w:rFonts w:hint="default" w:ascii="Times New Roman" w:hAnsi="Times New Roman" w:eastAsia="微软雅黑" w:cs="Times New Roman"/>
                <w:i/>
                <w:iCs/>
                <w:color w:val="000000"/>
                <w:sz w:val="16"/>
                <w:szCs w:val="16"/>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136A">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9E4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CE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197D5">
            <w:pPr>
              <w:rPr>
                <w:rFonts w:hint="default" w:ascii="Times New Roman" w:hAnsi="Times New Roman" w:eastAsia="黑体" w:cs="Times New Roman"/>
                <w:i/>
                <w:iCs/>
                <w:color w:val="000000"/>
                <w:sz w:val="18"/>
                <w:szCs w:val="18"/>
                <w:u w:val="none"/>
              </w:rPr>
            </w:pPr>
          </w:p>
        </w:tc>
      </w:tr>
      <w:tr w14:paraId="5EAC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602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FC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78E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62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80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A1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3A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EF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E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89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77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E32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E50CB">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E899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1DE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95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未成年救助帮护完成率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E0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7D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36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6F4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682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6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2B3BE">
            <w:pPr>
              <w:jc w:val="center"/>
              <w:rPr>
                <w:rFonts w:hint="default" w:ascii="Times New Roman" w:hAnsi="Times New Roman" w:eastAsia="微软雅黑" w:cs="Times New Roman"/>
                <w:i/>
                <w:iCs/>
                <w:color w:val="000000"/>
                <w:sz w:val="16"/>
                <w:szCs w:val="16"/>
                <w:u w:val="none"/>
              </w:rPr>
            </w:pPr>
          </w:p>
        </w:tc>
      </w:tr>
      <w:tr w14:paraId="2F43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ED1D2">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4E7EF">
            <w:pPr>
              <w:jc w:val="center"/>
              <w:rPr>
                <w:rFonts w:hint="default" w:ascii="Times New Roman" w:hAnsi="Times New Roman" w:eastAsia="宋体" w:cs="Times New Roman"/>
                <w:i w:val="0"/>
                <w:iCs w:val="0"/>
                <w:color w:val="000000"/>
                <w:sz w:val="18"/>
                <w:szCs w:val="18"/>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B918F">
            <w:pPr>
              <w:jc w:val="center"/>
              <w:rPr>
                <w:rFonts w:hint="default" w:ascii="Times New Roman" w:hAnsi="Times New Roman" w:eastAsia="宋体" w:cs="Times New Roman"/>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03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保障服务儿童数量</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17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302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813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672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49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E1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5AAD">
            <w:pPr>
              <w:jc w:val="center"/>
              <w:rPr>
                <w:rFonts w:hint="default" w:ascii="Times New Roman" w:hAnsi="Times New Roman" w:eastAsia="微软雅黑" w:cs="Times New Roman"/>
                <w:i/>
                <w:iCs/>
                <w:color w:val="000000"/>
                <w:sz w:val="16"/>
                <w:szCs w:val="16"/>
                <w:u w:val="none"/>
              </w:rPr>
            </w:pPr>
          </w:p>
        </w:tc>
      </w:tr>
      <w:tr w14:paraId="4099B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AEFC">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353AC">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D7B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A9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救助保护工作规范达标率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07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17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62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A1A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CB6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E6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8094">
            <w:pPr>
              <w:jc w:val="center"/>
              <w:rPr>
                <w:rFonts w:hint="default" w:ascii="Times New Roman" w:hAnsi="Times New Roman" w:eastAsia="微软雅黑" w:cs="Times New Roman"/>
                <w:i/>
                <w:iCs/>
                <w:color w:val="000000"/>
                <w:sz w:val="16"/>
                <w:szCs w:val="16"/>
                <w:u w:val="none"/>
              </w:rPr>
            </w:pPr>
          </w:p>
        </w:tc>
      </w:tr>
      <w:tr w14:paraId="7B34C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745D0">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24AC0">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F36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C6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进展速度提升幅度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65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959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B4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018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88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E9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05AB">
            <w:pPr>
              <w:jc w:val="center"/>
              <w:rPr>
                <w:rFonts w:hint="default" w:ascii="Times New Roman" w:hAnsi="Times New Roman" w:eastAsia="微软雅黑" w:cs="Times New Roman"/>
                <w:i/>
                <w:iCs/>
                <w:color w:val="000000"/>
                <w:sz w:val="16"/>
                <w:szCs w:val="16"/>
                <w:u w:val="none"/>
              </w:rPr>
            </w:pPr>
          </w:p>
        </w:tc>
      </w:tr>
      <w:tr w14:paraId="4ED6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6CA6A">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326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0A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4F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未成年保护提升率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64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31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96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BCA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BA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F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C037C">
            <w:pPr>
              <w:jc w:val="center"/>
              <w:rPr>
                <w:rFonts w:hint="default" w:ascii="Times New Roman" w:hAnsi="Times New Roman" w:eastAsia="微软雅黑" w:cs="Times New Roman"/>
                <w:i/>
                <w:iCs/>
                <w:color w:val="000000"/>
                <w:sz w:val="16"/>
                <w:szCs w:val="16"/>
                <w:u w:val="none"/>
              </w:rPr>
            </w:pPr>
          </w:p>
        </w:tc>
      </w:tr>
      <w:tr w14:paraId="70CA5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E6F5">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F4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77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E26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服务对象家长满意度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7C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BE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0F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06D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E0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6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F1FE">
            <w:pPr>
              <w:jc w:val="center"/>
              <w:rPr>
                <w:rFonts w:hint="default" w:ascii="Times New Roman" w:hAnsi="Times New Roman" w:eastAsia="微软雅黑" w:cs="Times New Roman"/>
                <w:i/>
                <w:iCs/>
                <w:color w:val="000000"/>
                <w:sz w:val="16"/>
                <w:szCs w:val="16"/>
                <w:u w:val="none"/>
              </w:rPr>
            </w:pPr>
          </w:p>
        </w:tc>
      </w:tr>
      <w:tr w14:paraId="1D1A2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3736B">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663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7A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66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项目预算执行率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429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75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2C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763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3B2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2F8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513B">
            <w:pPr>
              <w:jc w:val="center"/>
              <w:rPr>
                <w:rFonts w:hint="default" w:ascii="Times New Roman" w:hAnsi="Times New Roman" w:eastAsia="微软雅黑" w:cs="Times New Roman"/>
                <w:i/>
                <w:iCs/>
                <w:color w:val="000000"/>
                <w:sz w:val="16"/>
                <w:szCs w:val="16"/>
                <w:u w:val="none"/>
              </w:rPr>
            </w:pPr>
          </w:p>
        </w:tc>
      </w:tr>
      <w:tr w14:paraId="247E4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8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27D6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9A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0F0F">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CAE1">
            <w:pPr>
              <w:rPr>
                <w:rFonts w:hint="default" w:ascii="Times New Roman" w:hAnsi="Times New Roman" w:eastAsia="宋体" w:cs="Times New Roman"/>
                <w:i w:val="0"/>
                <w:iCs w:val="0"/>
                <w:color w:val="000000"/>
                <w:sz w:val="18"/>
                <w:szCs w:val="18"/>
                <w:u w:val="none"/>
              </w:rPr>
            </w:pPr>
          </w:p>
        </w:tc>
      </w:tr>
      <w:tr w14:paraId="53CDE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9B5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1BF950">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A44B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B4F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6F0525">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B200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EC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9752B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DEDF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8CC5D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项目负责人：杨力</w:t>
            </w:r>
          </w:p>
        </w:tc>
        <w:tc>
          <w:tcPr>
            <w:tcW w:w="36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E778B4">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财务负责人：八尔姆</w:t>
            </w:r>
          </w:p>
        </w:tc>
      </w:tr>
      <w:tr w14:paraId="6A2F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tcBorders>
              <w:top w:val="nil"/>
              <w:left w:val="nil"/>
              <w:bottom w:val="nil"/>
              <w:right w:val="nil"/>
            </w:tcBorders>
            <w:shd w:val="clear" w:color="auto" w:fill="auto"/>
            <w:vAlign w:val="center"/>
          </w:tcPr>
          <w:p w14:paraId="000291B9">
            <w:pPr>
              <w:rPr>
                <w:rFonts w:hint="default" w:ascii="Times New Roman" w:hAnsi="Times New Roman" w:eastAsia="宋体" w:cs="Times New Roman"/>
                <w:i w:val="0"/>
                <w:iCs w:val="0"/>
                <w:color w:val="000000"/>
                <w:sz w:val="18"/>
                <w:szCs w:val="18"/>
                <w:u w:val="none"/>
              </w:rPr>
            </w:pPr>
          </w:p>
        </w:tc>
        <w:tc>
          <w:tcPr>
            <w:tcW w:w="1058" w:type="dxa"/>
            <w:tcBorders>
              <w:top w:val="nil"/>
              <w:left w:val="nil"/>
              <w:bottom w:val="nil"/>
              <w:right w:val="nil"/>
            </w:tcBorders>
            <w:shd w:val="clear" w:color="auto" w:fill="auto"/>
            <w:vAlign w:val="center"/>
          </w:tcPr>
          <w:p w14:paraId="3AAC1F19">
            <w:pPr>
              <w:rPr>
                <w:rFonts w:hint="default" w:ascii="Times New Roman" w:hAnsi="Times New Roman" w:eastAsia="宋体" w:cs="Times New Roman"/>
                <w:i w:val="0"/>
                <w:iCs w:val="0"/>
                <w:color w:val="000000"/>
                <w:sz w:val="18"/>
                <w:szCs w:val="18"/>
                <w:u w:val="none"/>
              </w:rPr>
            </w:pPr>
          </w:p>
        </w:tc>
        <w:tc>
          <w:tcPr>
            <w:tcW w:w="1470" w:type="dxa"/>
            <w:tcBorders>
              <w:top w:val="nil"/>
              <w:left w:val="nil"/>
              <w:bottom w:val="nil"/>
              <w:right w:val="nil"/>
            </w:tcBorders>
            <w:shd w:val="clear" w:color="auto" w:fill="auto"/>
            <w:vAlign w:val="center"/>
          </w:tcPr>
          <w:p w14:paraId="33C2821D">
            <w:pPr>
              <w:rPr>
                <w:rFonts w:hint="default" w:ascii="Times New Roman" w:hAnsi="Times New Roman" w:eastAsia="宋体" w:cs="Times New Roman"/>
                <w:i w:val="0"/>
                <w:iCs w:val="0"/>
                <w:color w:val="000000"/>
                <w:sz w:val="18"/>
                <w:szCs w:val="18"/>
                <w:u w:val="none"/>
              </w:rPr>
            </w:pPr>
          </w:p>
          <w:p w14:paraId="3EB72401">
            <w:pPr>
              <w:rPr>
                <w:rFonts w:hint="default" w:ascii="Times New Roman" w:hAnsi="Times New Roman" w:eastAsia="宋体" w:cs="Times New Roman"/>
                <w:i w:val="0"/>
                <w:iCs w:val="0"/>
                <w:color w:val="000000"/>
                <w:sz w:val="18"/>
                <w:szCs w:val="18"/>
                <w:u w:val="none"/>
              </w:rPr>
            </w:pPr>
          </w:p>
          <w:p w14:paraId="7BDBD744">
            <w:pPr>
              <w:rPr>
                <w:rFonts w:hint="default" w:ascii="Times New Roman" w:hAnsi="Times New Roman" w:eastAsia="宋体" w:cs="Times New Roman"/>
                <w:i w:val="0"/>
                <w:iCs w:val="0"/>
                <w:color w:val="000000"/>
                <w:sz w:val="18"/>
                <w:szCs w:val="18"/>
                <w:u w:val="none"/>
              </w:rPr>
            </w:pPr>
          </w:p>
          <w:p w14:paraId="2F5388FE">
            <w:pPr>
              <w:rPr>
                <w:rFonts w:hint="default" w:ascii="Times New Roman" w:hAnsi="Times New Roman" w:eastAsia="宋体" w:cs="Times New Roman"/>
                <w:i w:val="0"/>
                <w:iCs w:val="0"/>
                <w:color w:val="000000"/>
                <w:sz w:val="18"/>
                <w:szCs w:val="18"/>
                <w:u w:val="none"/>
                <w:lang w:eastAsia="zh-CN"/>
              </w:rPr>
            </w:pPr>
          </w:p>
          <w:p w14:paraId="6A78D540">
            <w:pPr>
              <w:rPr>
                <w:rFonts w:hint="default" w:ascii="Times New Roman" w:hAnsi="Times New Roman" w:eastAsia="宋体" w:cs="Times New Roman"/>
                <w:i w:val="0"/>
                <w:iCs w:val="0"/>
                <w:color w:val="000000"/>
                <w:sz w:val="18"/>
                <w:szCs w:val="18"/>
                <w:u w:val="none"/>
                <w:lang w:eastAsia="zh-CN"/>
              </w:rPr>
            </w:pPr>
          </w:p>
          <w:p w14:paraId="3BA07DF1">
            <w:pPr>
              <w:rPr>
                <w:rFonts w:hint="default" w:ascii="Times New Roman" w:hAnsi="Times New Roman" w:eastAsia="宋体" w:cs="Times New Roman"/>
                <w:i w:val="0"/>
                <w:iCs w:val="0"/>
                <w:color w:val="000000"/>
                <w:sz w:val="18"/>
                <w:szCs w:val="18"/>
                <w:u w:val="none"/>
                <w:lang w:eastAsia="zh-CN"/>
              </w:rPr>
            </w:pPr>
          </w:p>
          <w:p w14:paraId="2A80BDED">
            <w:pPr>
              <w:rPr>
                <w:rFonts w:hint="default" w:ascii="Times New Roman" w:hAnsi="Times New Roman" w:eastAsia="宋体" w:cs="Times New Roman"/>
                <w:i w:val="0"/>
                <w:iCs w:val="0"/>
                <w:color w:val="000000"/>
                <w:sz w:val="18"/>
                <w:szCs w:val="18"/>
                <w:u w:val="none"/>
                <w:lang w:eastAsia="zh-CN"/>
              </w:rPr>
            </w:pPr>
          </w:p>
          <w:p w14:paraId="6855779C">
            <w:pPr>
              <w:rPr>
                <w:rFonts w:hint="default" w:ascii="Times New Roman" w:hAnsi="Times New Roman" w:eastAsia="宋体" w:cs="Times New Roman"/>
                <w:i w:val="0"/>
                <w:iCs w:val="0"/>
                <w:color w:val="000000"/>
                <w:sz w:val="18"/>
                <w:szCs w:val="18"/>
                <w:u w:val="none"/>
                <w:lang w:eastAsia="zh-CN"/>
              </w:rPr>
            </w:pPr>
          </w:p>
          <w:p w14:paraId="522DE5B4">
            <w:pPr>
              <w:rPr>
                <w:rFonts w:hint="default" w:ascii="Times New Roman" w:hAnsi="Times New Roman" w:eastAsia="宋体" w:cs="Times New Roman"/>
                <w:i w:val="0"/>
                <w:iCs w:val="0"/>
                <w:color w:val="000000"/>
                <w:sz w:val="18"/>
                <w:szCs w:val="18"/>
                <w:u w:val="none"/>
                <w:lang w:eastAsia="zh-CN"/>
              </w:rPr>
            </w:pPr>
          </w:p>
          <w:p w14:paraId="2ED1E792">
            <w:pPr>
              <w:rPr>
                <w:rFonts w:hint="default" w:ascii="Times New Roman" w:hAnsi="Times New Roman" w:eastAsia="宋体" w:cs="Times New Roman"/>
                <w:i w:val="0"/>
                <w:iCs w:val="0"/>
                <w:color w:val="000000"/>
                <w:sz w:val="18"/>
                <w:szCs w:val="18"/>
                <w:u w:val="none"/>
                <w:lang w:eastAsia="zh-CN"/>
              </w:rPr>
            </w:pPr>
          </w:p>
          <w:p w14:paraId="005F9452">
            <w:pPr>
              <w:rPr>
                <w:rFonts w:hint="default" w:ascii="Times New Roman" w:hAnsi="Times New Roman" w:eastAsia="宋体" w:cs="Times New Roman"/>
                <w:i w:val="0"/>
                <w:iCs w:val="0"/>
                <w:color w:val="000000"/>
                <w:sz w:val="18"/>
                <w:szCs w:val="18"/>
                <w:u w:val="none"/>
                <w:lang w:eastAsia="zh-CN"/>
              </w:rPr>
            </w:pPr>
          </w:p>
          <w:p w14:paraId="667D6B55">
            <w:pPr>
              <w:rPr>
                <w:rFonts w:hint="default" w:ascii="Times New Roman" w:hAnsi="Times New Roman" w:eastAsia="宋体" w:cs="Times New Roman"/>
                <w:i w:val="0"/>
                <w:iCs w:val="0"/>
                <w:color w:val="000000"/>
                <w:sz w:val="18"/>
                <w:szCs w:val="18"/>
                <w:u w:val="none"/>
                <w:lang w:eastAsia="zh-CN"/>
              </w:rPr>
            </w:pPr>
          </w:p>
          <w:p w14:paraId="7082804B">
            <w:pPr>
              <w:rPr>
                <w:rFonts w:hint="default" w:ascii="Times New Roman" w:hAnsi="Times New Roman" w:eastAsia="宋体" w:cs="Times New Roman"/>
                <w:i w:val="0"/>
                <w:iCs w:val="0"/>
                <w:color w:val="000000"/>
                <w:sz w:val="18"/>
                <w:szCs w:val="18"/>
                <w:u w:val="none"/>
                <w:lang w:eastAsia="zh-CN"/>
              </w:rPr>
            </w:pPr>
          </w:p>
          <w:p w14:paraId="54F0D964">
            <w:pPr>
              <w:rPr>
                <w:rFonts w:hint="default" w:ascii="Times New Roman" w:hAnsi="Times New Roman" w:eastAsia="宋体" w:cs="Times New Roman"/>
                <w:i w:val="0"/>
                <w:iCs w:val="0"/>
                <w:color w:val="000000"/>
                <w:sz w:val="18"/>
                <w:szCs w:val="18"/>
                <w:u w:val="none"/>
                <w:lang w:eastAsia="zh-CN"/>
              </w:rPr>
            </w:pPr>
          </w:p>
          <w:p w14:paraId="2A90BEE4">
            <w:pPr>
              <w:rPr>
                <w:rFonts w:hint="default" w:ascii="Times New Roman" w:hAnsi="Times New Roman" w:eastAsia="宋体" w:cs="Times New Roman"/>
                <w:i w:val="0"/>
                <w:iCs w:val="0"/>
                <w:color w:val="000000"/>
                <w:sz w:val="18"/>
                <w:szCs w:val="18"/>
                <w:u w:val="none"/>
                <w:lang w:eastAsia="zh-CN"/>
              </w:rPr>
            </w:pPr>
          </w:p>
          <w:p w14:paraId="758E94FD">
            <w:pPr>
              <w:rPr>
                <w:rFonts w:hint="default" w:ascii="Times New Roman" w:hAnsi="Times New Roman" w:eastAsia="宋体" w:cs="Times New Roman"/>
                <w:i w:val="0"/>
                <w:iCs w:val="0"/>
                <w:color w:val="000000"/>
                <w:sz w:val="18"/>
                <w:szCs w:val="18"/>
                <w:u w:val="none"/>
                <w:lang w:eastAsia="zh-CN"/>
              </w:rPr>
            </w:pPr>
          </w:p>
          <w:p w14:paraId="681C74AA">
            <w:pPr>
              <w:rPr>
                <w:rFonts w:hint="default" w:ascii="Times New Roman" w:hAnsi="Times New Roman" w:eastAsia="宋体" w:cs="Times New Roman"/>
                <w:i w:val="0"/>
                <w:iCs w:val="0"/>
                <w:color w:val="000000"/>
                <w:sz w:val="18"/>
                <w:szCs w:val="18"/>
                <w:u w:val="none"/>
                <w:lang w:eastAsia="zh-CN"/>
              </w:rPr>
            </w:pPr>
          </w:p>
          <w:p w14:paraId="03D23990">
            <w:pPr>
              <w:rPr>
                <w:rFonts w:hint="default" w:ascii="Times New Roman" w:hAnsi="Times New Roman" w:eastAsia="宋体" w:cs="Times New Roman"/>
                <w:i w:val="0"/>
                <w:iCs w:val="0"/>
                <w:color w:val="000000"/>
                <w:sz w:val="18"/>
                <w:szCs w:val="18"/>
                <w:u w:val="none"/>
                <w:lang w:eastAsia="zh-CN"/>
              </w:rPr>
            </w:pPr>
          </w:p>
        </w:tc>
        <w:tc>
          <w:tcPr>
            <w:tcW w:w="1860" w:type="dxa"/>
            <w:tcBorders>
              <w:top w:val="nil"/>
              <w:left w:val="nil"/>
              <w:bottom w:val="nil"/>
              <w:right w:val="nil"/>
            </w:tcBorders>
            <w:shd w:val="clear" w:color="auto" w:fill="auto"/>
            <w:vAlign w:val="center"/>
          </w:tcPr>
          <w:p w14:paraId="593DEE2D">
            <w:pPr>
              <w:rPr>
                <w:rFonts w:hint="default" w:ascii="Times New Roman" w:hAnsi="Times New Roman" w:eastAsia="宋体" w:cs="Times New Roman"/>
                <w:i w:val="0"/>
                <w:iCs w:val="0"/>
                <w:color w:val="000000"/>
                <w:sz w:val="18"/>
                <w:szCs w:val="18"/>
                <w:u w:val="none"/>
              </w:rPr>
            </w:pPr>
          </w:p>
        </w:tc>
        <w:tc>
          <w:tcPr>
            <w:tcW w:w="463" w:type="dxa"/>
            <w:tcBorders>
              <w:top w:val="nil"/>
              <w:left w:val="nil"/>
              <w:bottom w:val="nil"/>
              <w:right w:val="nil"/>
            </w:tcBorders>
            <w:shd w:val="clear" w:color="auto" w:fill="auto"/>
            <w:vAlign w:val="center"/>
          </w:tcPr>
          <w:p w14:paraId="1ED615E6">
            <w:pPr>
              <w:rPr>
                <w:rFonts w:hint="default" w:ascii="Times New Roman" w:hAnsi="Times New Roman" w:eastAsia="宋体" w:cs="Times New Roman"/>
                <w:i w:val="0"/>
                <w:iCs w:val="0"/>
                <w:color w:val="000000"/>
                <w:sz w:val="18"/>
                <w:szCs w:val="18"/>
                <w:u w:val="none"/>
              </w:rPr>
            </w:pPr>
          </w:p>
        </w:tc>
        <w:tc>
          <w:tcPr>
            <w:tcW w:w="932" w:type="dxa"/>
            <w:tcBorders>
              <w:top w:val="nil"/>
              <w:left w:val="nil"/>
              <w:bottom w:val="nil"/>
              <w:right w:val="nil"/>
            </w:tcBorders>
            <w:shd w:val="clear" w:color="auto" w:fill="auto"/>
            <w:vAlign w:val="center"/>
          </w:tcPr>
          <w:p w14:paraId="02C12680">
            <w:pPr>
              <w:rPr>
                <w:rFonts w:hint="default" w:ascii="Times New Roman" w:hAnsi="Times New Roman" w:eastAsia="宋体" w:cs="Times New Roman"/>
                <w:i w:val="0"/>
                <w:iCs w:val="0"/>
                <w:color w:val="000000"/>
                <w:sz w:val="18"/>
                <w:szCs w:val="18"/>
                <w:u w:val="none"/>
              </w:rPr>
            </w:pPr>
          </w:p>
        </w:tc>
        <w:tc>
          <w:tcPr>
            <w:tcW w:w="396" w:type="dxa"/>
            <w:tcBorders>
              <w:top w:val="nil"/>
              <w:left w:val="nil"/>
              <w:bottom w:val="nil"/>
              <w:right w:val="nil"/>
            </w:tcBorders>
            <w:shd w:val="clear" w:color="auto" w:fill="auto"/>
            <w:vAlign w:val="center"/>
          </w:tcPr>
          <w:p w14:paraId="2C748603">
            <w:pPr>
              <w:rPr>
                <w:rFonts w:hint="default" w:ascii="Times New Roman" w:hAnsi="Times New Roman" w:eastAsia="宋体" w:cs="Times New Roman"/>
                <w:i w:val="0"/>
                <w:iCs w:val="0"/>
                <w:color w:val="000000"/>
                <w:sz w:val="18"/>
                <w:szCs w:val="18"/>
                <w:u w:val="none"/>
              </w:rPr>
            </w:pPr>
          </w:p>
        </w:tc>
        <w:tc>
          <w:tcPr>
            <w:tcW w:w="861" w:type="dxa"/>
            <w:tcBorders>
              <w:top w:val="nil"/>
              <w:left w:val="nil"/>
              <w:bottom w:val="nil"/>
              <w:right w:val="nil"/>
            </w:tcBorders>
            <w:shd w:val="clear" w:color="auto" w:fill="auto"/>
            <w:vAlign w:val="center"/>
          </w:tcPr>
          <w:p w14:paraId="02A9F243">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057CCA78">
            <w:pPr>
              <w:rPr>
                <w:rFonts w:hint="default" w:ascii="Times New Roman" w:hAnsi="Times New Roman" w:eastAsia="宋体" w:cs="Times New Roman"/>
                <w:i w:val="0"/>
                <w:iCs w:val="0"/>
                <w:color w:val="000000"/>
                <w:sz w:val="18"/>
                <w:szCs w:val="18"/>
                <w:u w:val="none"/>
              </w:rPr>
            </w:pPr>
          </w:p>
        </w:tc>
        <w:tc>
          <w:tcPr>
            <w:tcW w:w="486" w:type="dxa"/>
            <w:tcBorders>
              <w:top w:val="nil"/>
              <w:left w:val="nil"/>
              <w:bottom w:val="nil"/>
              <w:right w:val="nil"/>
            </w:tcBorders>
            <w:shd w:val="clear" w:color="auto" w:fill="auto"/>
            <w:vAlign w:val="center"/>
          </w:tcPr>
          <w:p w14:paraId="322FF497">
            <w:pPr>
              <w:rPr>
                <w:rFonts w:hint="default" w:ascii="Times New Roman" w:hAnsi="Times New Roman" w:eastAsia="宋体" w:cs="Times New Roman"/>
                <w:i w:val="0"/>
                <w:iCs w:val="0"/>
                <w:color w:val="000000"/>
                <w:sz w:val="18"/>
                <w:szCs w:val="18"/>
                <w:u w:val="none"/>
              </w:rPr>
            </w:pPr>
          </w:p>
        </w:tc>
        <w:tc>
          <w:tcPr>
            <w:tcW w:w="460" w:type="dxa"/>
            <w:tcBorders>
              <w:top w:val="nil"/>
              <w:left w:val="nil"/>
              <w:bottom w:val="nil"/>
              <w:right w:val="nil"/>
            </w:tcBorders>
            <w:shd w:val="clear" w:color="auto" w:fill="auto"/>
            <w:vAlign w:val="center"/>
          </w:tcPr>
          <w:p w14:paraId="6CA50CC6">
            <w:pPr>
              <w:rPr>
                <w:rFonts w:hint="default" w:ascii="Times New Roman" w:hAnsi="Times New Roman" w:eastAsia="宋体" w:cs="Times New Roman"/>
                <w:i w:val="0"/>
                <w:iCs w:val="0"/>
                <w:color w:val="000000"/>
                <w:sz w:val="18"/>
                <w:szCs w:val="18"/>
                <w:u w:val="none"/>
              </w:rPr>
            </w:pPr>
          </w:p>
        </w:tc>
      </w:tr>
      <w:tr w14:paraId="67D71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jc w:val="center"/>
        </w:trPr>
        <w:tc>
          <w:tcPr>
            <w:tcW w:w="9289"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BE5CA4">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2E7A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723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91994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51320025T000012814169-物业维修维护</w:t>
            </w:r>
          </w:p>
        </w:tc>
      </w:tr>
      <w:tr w14:paraId="7BAE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FAFD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8A355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州民政局部门</w:t>
            </w:r>
          </w:p>
        </w:tc>
        <w:tc>
          <w:tcPr>
            <w:tcW w:w="861" w:type="dxa"/>
            <w:tcBorders>
              <w:top w:val="nil"/>
              <w:left w:val="nil"/>
              <w:bottom w:val="nil"/>
              <w:right w:val="nil"/>
            </w:tcBorders>
            <w:shd w:val="clear" w:color="auto" w:fill="auto"/>
            <w:vAlign w:val="center"/>
          </w:tcPr>
          <w:p w14:paraId="144393B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43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23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州救济站</w:t>
            </w:r>
          </w:p>
        </w:tc>
      </w:tr>
      <w:tr w14:paraId="236C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F9721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17D0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59C6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3DEA7B">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327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C733E">
            <w:pP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57A1A">
            <w:pPr>
              <w:rPr>
                <w:rFonts w:hint="default" w:ascii="Times New Roman" w:hAnsi="Times New Roman" w:eastAsia="宋体" w:cs="Times New Roman"/>
                <w:i w:val="0"/>
                <w:iCs w:val="0"/>
                <w:color w:val="000000"/>
                <w:sz w:val="18"/>
                <w:szCs w:val="18"/>
                <w:u w:val="none"/>
              </w:rPr>
            </w:pPr>
          </w:p>
        </w:tc>
        <w:tc>
          <w:tcPr>
            <w:tcW w:w="51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2A2C0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保障救助站综合楼正常运转，提高救助政策落实水平。</w:t>
            </w:r>
          </w:p>
        </w:tc>
        <w:tc>
          <w:tcPr>
            <w:tcW w:w="2293"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F7518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为确保救助站大楼正常运行，救助用房维修项目基本用于救助站电梯的维修和检验费用。</w:t>
            </w:r>
          </w:p>
        </w:tc>
      </w:tr>
      <w:tr w14:paraId="7ADC9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E28A2">
            <w:pP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194C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4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1739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为确保救助站大楼正常运行，救助用房维修项目基本用于救助站电梯的维修和检验费用。</w:t>
            </w:r>
          </w:p>
        </w:tc>
      </w:tr>
      <w:tr w14:paraId="4164F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8D7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3B9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5A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C7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D424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82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C8E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4C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5E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449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81011">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DC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A7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AC1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4ABE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4E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29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A5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3E0AB">
            <w:pPr>
              <w:rPr>
                <w:rFonts w:hint="default" w:ascii="Times New Roman" w:hAnsi="Times New Roman" w:eastAsia="黑体" w:cs="Times New Roman"/>
                <w:i/>
                <w:iCs/>
                <w:color w:val="000000"/>
                <w:sz w:val="18"/>
                <w:szCs w:val="18"/>
                <w:u w:val="none"/>
              </w:rPr>
            </w:pPr>
          </w:p>
        </w:tc>
      </w:tr>
      <w:tr w14:paraId="0D36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82C8">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2B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E93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10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F42C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F5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8B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E22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0A82D">
            <w:pPr>
              <w:rPr>
                <w:rFonts w:hint="default" w:ascii="Times New Roman" w:hAnsi="Times New Roman" w:eastAsia="黑体" w:cs="Times New Roman"/>
                <w:i/>
                <w:iCs/>
                <w:color w:val="000000"/>
                <w:sz w:val="18"/>
                <w:szCs w:val="18"/>
                <w:u w:val="none"/>
              </w:rPr>
            </w:pPr>
          </w:p>
        </w:tc>
      </w:tr>
      <w:tr w14:paraId="5FEC9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CFE52">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47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F8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C8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4F9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8E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FF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FA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4E434">
            <w:pPr>
              <w:rPr>
                <w:rFonts w:hint="default" w:ascii="Times New Roman" w:hAnsi="Times New Roman" w:eastAsia="黑体" w:cs="Times New Roman"/>
                <w:i/>
                <w:iCs/>
                <w:color w:val="000000"/>
                <w:sz w:val="18"/>
                <w:szCs w:val="18"/>
                <w:u w:val="none"/>
              </w:rPr>
            </w:pPr>
          </w:p>
        </w:tc>
      </w:tr>
      <w:tr w14:paraId="1C7E0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F8FAB">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06A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8F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392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2824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CC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2B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5B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049DA">
            <w:pPr>
              <w:rPr>
                <w:rFonts w:hint="default" w:ascii="Times New Roman" w:hAnsi="Times New Roman" w:eastAsia="黑体" w:cs="Times New Roman"/>
                <w:i/>
                <w:iCs/>
                <w:color w:val="000000"/>
                <w:sz w:val="18"/>
                <w:szCs w:val="18"/>
                <w:u w:val="none"/>
              </w:rPr>
            </w:pPr>
          </w:p>
        </w:tc>
      </w:tr>
      <w:tr w14:paraId="505B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3D2CD">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AC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400B">
            <w:pPr>
              <w:jc w:val="center"/>
              <w:rPr>
                <w:rFonts w:hint="default" w:ascii="Times New Roman" w:hAnsi="Times New Roman" w:eastAsia="微软雅黑" w:cs="Times New Roman"/>
                <w:i/>
                <w:iCs/>
                <w:color w:val="000000"/>
                <w:sz w:val="16"/>
                <w:szCs w:val="16"/>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4E44">
            <w:pPr>
              <w:jc w:val="center"/>
              <w:rPr>
                <w:rFonts w:hint="default" w:ascii="Times New Roman" w:hAnsi="Times New Roman" w:eastAsia="微软雅黑" w:cs="Times New Roman"/>
                <w:i/>
                <w:iCs/>
                <w:color w:val="000000"/>
                <w:sz w:val="16"/>
                <w:szCs w:val="16"/>
                <w:u w:val="none"/>
              </w:rPr>
            </w:pPr>
          </w:p>
        </w:tc>
        <w:tc>
          <w:tcPr>
            <w:tcW w:w="179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34EAA">
            <w:pPr>
              <w:jc w:val="center"/>
              <w:rPr>
                <w:rFonts w:hint="default" w:ascii="Times New Roman" w:hAnsi="Times New Roman" w:eastAsia="微软雅黑" w:cs="Times New Roman"/>
                <w:i/>
                <w:iCs/>
                <w:color w:val="000000"/>
                <w:sz w:val="16"/>
                <w:szCs w:val="16"/>
                <w:u w:val="none"/>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1E32">
            <w:pPr>
              <w:jc w:val="center"/>
              <w:rPr>
                <w:rFonts w:hint="default" w:ascii="Times New Roman" w:hAnsi="Times New Roman" w:eastAsia="微软雅黑" w:cs="Times New Roman"/>
                <w:i/>
                <w:iCs/>
                <w:color w:val="000000"/>
                <w:sz w:val="16"/>
                <w:szCs w:val="16"/>
                <w:u w:val="none"/>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B2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5A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28C28">
            <w:pPr>
              <w:rPr>
                <w:rFonts w:hint="default" w:ascii="Times New Roman" w:hAnsi="Times New Roman" w:eastAsia="黑体" w:cs="Times New Roman"/>
                <w:i/>
                <w:iCs/>
                <w:color w:val="000000"/>
                <w:sz w:val="18"/>
                <w:szCs w:val="18"/>
                <w:u w:val="none"/>
              </w:rPr>
            </w:pPr>
          </w:p>
        </w:tc>
      </w:tr>
      <w:tr w14:paraId="4B117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jc w:val="center"/>
        </w:trPr>
        <w:tc>
          <w:tcPr>
            <w:tcW w:w="8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1AC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D6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6C7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1F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DB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4D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1D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52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11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8A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37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07A5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BEDED">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62F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42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0D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保障救助服务人数</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3E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210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074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人数</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A4E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7D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23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3931">
            <w:pPr>
              <w:jc w:val="center"/>
              <w:rPr>
                <w:rFonts w:hint="default" w:ascii="Times New Roman" w:hAnsi="Times New Roman" w:eastAsia="微软雅黑" w:cs="Times New Roman"/>
                <w:i/>
                <w:iCs/>
                <w:color w:val="000000"/>
                <w:sz w:val="16"/>
                <w:szCs w:val="16"/>
                <w:u w:val="none"/>
              </w:rPr>
            </w:pPr>
          </w:p>
        </w:tc>
      </w:tr>
      <w:tr w14:paraId="1B620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09A2E">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80B2">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08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59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维修质量完成率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0A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E7F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D1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5C5C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DD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5F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D6AB">
            <w:pPr>
              <w:jc w:val="center"/>
              <w:rPr>
                <w:rFonts w:hint="default" w:ascii="Times New Roman" w:hAnsi="Times New Roman" w:eastAsia="微软雅黑" w:cs="Times New Roman"/>
                <w:i/>
                <w:iCs/>
                <w:color w:val="000000"/>
                <w:sz w:val="16"/>
                <w:szCs w:val="16"/>
                <w:u w:val="none"/>
              </w:rPr>
            </w:pPr>
          </w:p>
        </w:tc>
      </w:tr>
      <w:tr w14:paraId="02F9A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4B875">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736E2">
            <w:pPr>
              <w:jc w:val="center"/>
              <w:rPr>
                <w:rFonts w:hint="default" w:ascii="Times New Roman" w:hAnsi="Times New Roman" w:eastAsia="宋体" w:cs="Times New Roman"/>
                <w:i w:val="0"/>
                <w:iCs w:val="0"/>
                <w:color w:val="000000"/>
                <w:sz w:val="18"/>
                <w:szCs w:val="18"/>
                <w:u w:val="none"/>
              </w:rPr>
            </w:pP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F1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86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进展速度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11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47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EFD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189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72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29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A860">
            <w:pPr>
              <w:jc w:val="center"/>
              <w:rPr>
                <w:rFonts w:hint="default" w:ascii="Times New Roman" w:hAnsi="Times New Roman" w:eastAsia="微软雅黑" w:cs="Times New Roman"/>
                <w:i/>
                <w:iCs/>
                <w:color w:val="000000"/>
                <w:sz w:val="16"/>
                <w:szCs w:val="16"/>
                <w:u w:val="none"/>
              </w:rPr>
            </w:pPr>
          </w:p>
        </w:tc>
      </w:tr>
      <w:tr w14:paraId="790CB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CFBEE">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56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D3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23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落实救助政策率</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FB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9C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5A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4FD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6A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03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F7DE">
            <w:pPr>
              <w:jc w:val="center"/>
              <w:rPr>
                <w:rFonts w:hint="default" w:ascii="Times New Roman" w:hAnsi="Times New Roman" w:eastAsia="微软雅黑" w:cs="Times New Roman"/>
                <w:i/>
                <w:iCs/>
                <w:color w:val="000000"/>
                <w:sz w:val="16"/>
                <w:szCs w:val="16"/>
                <w:u w:val="none"/>
              </w:rPr>
            </w:pPr>
          </w:p>
        </w:tc>
      </w:tr>
      <w:tr w14:paraId="2AA7C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BA11C">
            <w:pPr>
              <w:jc w:val="center"/>
              <w:rPr>
                <w:rFonts w:hint="default" w:ascii="Times New Roman" w:hAnsi="Times New Roman" w:eastAsia="宋体" w:cs="Times New Roman"/>
                <w:i w:val="0"/>
                <w:iCs w:val="0"/>
                <w:color w:val="000000"/>
                <w:sz w:val="18"/>
                <w:szCs w:val="18"/>
                <w:u w:val="none"/>
              </w:rPr>
            </w:pPr>
          </w:p>
        </w:tc>
        <w:tc>
          <w:tcPr>
            <w:tcW w:w="10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2CC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AFC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17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受助人员满意度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23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817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0A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B9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12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573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2EE7">
            <w:pPr>
              <w:jc w:val="center"/>
              <w:rPr>
                <w:rFonts w:hint="default" w:ascii="Times New Roman" w:hAnsi="Times New Roman" w:eastAsia="微软雅黑" w:cs="Times New Roman"/>
                <w:i/>
                <w:iCs/>
                <w:color w:val="000000"/>
                <w:sz w:val="16"/>
                <w:szCs w:val="16"/>
                <w:u w:val="none"/>
              </w:rPr>
            </w:pPr>
          </w:p>
        </w:tc>
      </w:tr>
      <w:tr w14:paraId="26263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E5747">
            <w:pPr>
              <w:jc w:val="center"/>
              <w:rPr>
                <w:rFonts w:hint="default" w:ascii="Times New Roman" w:hAnsi="Times New Roman" w:eastAsia="宋体" w:cs="Times New Roman"/>
                <w:i w:val="0"/>
                <w:iCs w:val="0"/>
                <w:color w:val="000000"/>
                <w:sz w:val="18"/>
                <w:szCs w:val="18"/>
                <w:u w:val="none"/>
              </w:rPr>
            </w:pPr>
          </w:p>
        </w:tc>
        <w:tc>
          <w:tcPr>
            <w:tcW w:w="10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676FB">
            <w:pPr>
              <w:jc w:val="center"/>
              <w:rPr>
                <w:rFonts w:hint="default" w:ascii="Times New Roman" w:hAnsi="Times New Roman" w:eastAsia="宋体" w:cs="Times New Roman"/>
                <w:i w:val="0"/>
                <w:iCs w:val="0"/>
                <w:color w:val="000000"/>
                <w:sz w:val="18"/>
                <w:szCs w:val="18"/>
                <w:u w:val="none"/>
              </w:rPr>
            </w:pPr>
          </w:p>
        </w:tc>
        <w:tc>
          <w:tcPr>
            <w:tcW w:w="14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C0FAA">
            <w:pPr>
              <w:jc w:val="center"/>
              <w:rPr>
                <w:rFonts w:hint="default" w:ascii="Times New Roman" w:hAnsi="Times New Roman" w:eastAsia="宋体" w:cs="Times New Roman"/>
                <w:i w:val="0"/>
                <w:iCs w:val="0"/>
                <w:color w:val="000000"/>
                <w:sz w:val="18"/>
                <w:szCs w:val="18"/>
                <w:u w:val="none"/>
              </w:rPr>
            </w:pP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3B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工作人员满意度</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B6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E3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49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C62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008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6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5D83C">
            <w:pPr>
              <w:jc w:val="center"/>
              <w:rPr>
                <w:rFonts w:hint="default" w:ascii="Times New Roman" w:hAnsi="Times New Roman" w:eastAsia="微软雅黑" w:cs="Times New Roman"/>
                <w:i/>
                <w:iCs/>
                <w:color w:val="000000"/>
                <w:sz w:val="16"/>
                <w:szCs w:val="16"/>
                <w:u w:val="none"/>
              </w:rPr>
            </w:pPr>
          </w:p>
        </w:tc>
      </w:tr>
      <w:tr w14:paraId="1A43A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8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A960B">
            <w:pPr>
              <w:jc w:val="center"/>
              <w:rPr>
                <w:rFonts w:hint="default" w:ascii="Times New Roman" w:hAnsi="Times New Roman" w:eastAsia="宋体" w:cs="Times New Roman"/>
                <w:i w:val="0"/>
                <w:iCs w:val="0"/>
                <w:color w:val="000000"/>
                <w:sz w:val="18"/>
                <w:szCs w:val="18"/>
                <w:u w:val="none"/>
              </w:rPr>
            </w:pP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254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3B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D72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维护成本</w:t>
            </w:r>
          </w:p>
        </w:tc>
        <w:tc>
          <w:tcPr>
            <w:tcW w:w="4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0B4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9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257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D3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8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4F1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5.8</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B6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B2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7751">
            <w:pPr>
              <w:jc w:val="center"/>
              <w:rPr>
                <w:rFonts w:hint="default" w:ascii="Times New Roman" w:hAnsi="Times New Roman" w:eastAsia="微软雅黑" w:cs="Times New Roman"/>
                <w:i/>
                <w:iCs/>
                <w:color w:val="000000"/>
                <w:sz w:val="16"/>
                <w:szCs w:val="16"/>
                <w:u w:val="none"/>
              </w:rPr>
            </w:pPr>
          </w:p>
        </w:tc>
      </w:tr>
      <w:tr w14:paraId="30E84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785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E571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5C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56C8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A777">
            <w:pPr>
              <w:rPr>
                <w:rFonts w:hint="default" w:ascii="Times New Roman" w:hAnsi="Times New Roman" w:eastAsia="宋体" w:cs="Times New Roman"/>
                <w:i w:val="0"/>
                <w:iCs w:val="0"/>
                <w:color w:val="000000"/>
                <w:sz w:val="18"/>
                <w:szCs w:val="18"/>
                <w:u w:val="none"/>
              </w:rPr>
            </w:pPr>
          </w:p>
        </w:tc>
      </w:tr>
      <w:tr w14:paraId="3EB2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A4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C0D5B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AD94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11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6E5DA2">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5AEA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3"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59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47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DC862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EA4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566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AA3D1">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项目负责人：杨力</w:t>
            </w:r>
          </w:p>
        </w:tc>
        <w:tc>
          <w:tcPr>
            <w:tcW w:w="362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D82AA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财务负责人：八尔姆</w:t>
            </w:r>
          </w:p>
        </w:tc>
      </w:tr>
    </w:tbl>
    <w:p w14:paraId="3F7CB0C0">
      <w:pPr>
        <w:keepNext w:val="0"/>
        <w:keepLines w:val="0"/>
        <w:pageBreakBefore w:val="0"/>
        <w:widowControl/>
        <w:suppressLineNumbers w:val="0"/>
        <w:kinsoku/>
        <w:wordWrap/>
        <w:overflowPunct/>
        <w:topLinePunct w:val="0"/>
        <w:autoSpaceDE/>
        <w:autoSpaceDN/>
        <w:bidi w:val="0"/>
        <w:adjustRightInd/>
        <w:snapToGrid/>
        <w:spacing w:line="560" w:lineRule="exact"/>
        <w:textAlignment w:val="auto"/>
        <w:rPr>
          <w:rFonts w:hint="default" w:ascii="Times New Roman" w:hAnsi="Times New Roman" w:cs="Times New Roman"/>
          <w:u w:val="single"/>
          <w:lang w:val="en-US" w:eastAsia="zh-CN"/>
        </w:rPr>
      </w:pPr>
    </w:p>
    <w:p w14:paraId="42DFAB50">
      <w:pPr>
        <w:rPr>
          <w:rFonts w:hint="default" w:ascii="Times New Roman" w:hAnsi="Times New Roman" w:eastAsia="方正小标宋简体" w:cs="Times New Roman"/>
          <w:color w:val="auto"/>
          <w:kern w:val="2"/>
          <w:sz w:val="44"/>
          <w:szCs w:val="44"/>
          <w:highlight w:val="none"/>
          <w:lang w:val="en-US" w:eastAsia="zh-CN"/>
        </w:rPr>
        <w:sectPr>
          <w:pgSz w:w="16838" w:h="11906" w:orient="landscape"/>
          <w:pgMar w:top="2098" w:right="1531" w:bottom="1984" w:left="1531" w:header="851" w:footer="992" w:gutter="0"/>
          <w:pgNumType w:fmt="numberInDash"/>
          <w:cols w:space="425" w:num="1"/>
          <w:docGrid w:type="lines" w:linePitch="312" w:charSpace="0"/>
        </w:sectPr>
      </w:pPr>
    </w:p>
    <w:bookmarkEnd w:id="70"/>
    <w:p w14:paraId="0BDB69D0">
      <w:pPr>
        <w:rPr>
          <w:rFonts w:hint="default" w:ascii="Times New Roman" w:hAnsi="Times New Roman" w:eastAsia="黑体" w:cs="Times New Roman"/>
          <w:sz w:val="32"/>
          <w:szCs w:val="32"/>
          <w:lang w:eastAsia="zh-CN"/>
        </w:rPr>
      </w:pPr>
    </w:p>
    <w:p w14:paraId="5749F22A">
      <w:pPr>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第五部分 附表</w:t>
      </w:r>
    </w:p>
    <w:p w14:paraId="628B7828">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一、收入支出决算总表</w:t>
      </w:r>
    </w:p>
    <w:p w14:paraId="4FDD869B">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二、收入决算表</w:t>
      </w:r>
    </w:p>
    <w:p w14:paraId="7E47120C">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三、支出决算表</w:t>
      </w:r>
    </w:p>
    <w:p w14:paraId="02A3B98A">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四、财政拨款收入支出决算总表</w:t>
      </w:r>
    </w:p>
    <w:p w14:paraId="31099574">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五、财政拨款支出决算明细表</w:t>
      </w:r>
    </w:p>
    <w:p w14:paraId="1694EB7E">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六、一般公共预算财政拨款支出决算表</w:t>
      </w:r>
    </w:p>
    <w:p w14:paraId="4AF789CD">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七、一般公共预算财政拨款支出决算明细表</w:t>
      </w:r>
    </w:p>
    <w:p w14:paraId="7C939464">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八、一般公共预算财政拨款基本支出决算表</w:t>
      </w:r>
    </w:p>
    <w:p w14:paraId="1085D474">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九、一般公共预算财政拨款项目支出决算表</w:t>
      </w:r>
    </w:p>
    <w:p w14:paraId="3CAC7C58">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十、政府性基金预算财政拨款收入支出决算表</w:t>
      </w:r>
    </w:p>
    <w:p w14:paraId="3F841128">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十一、国有资本经营预算财政拨款收入支出决算表</w:t>
      </w:r>
    </w:p>
    <w:p w14:paraId="35DA1DA4">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十二、国有资本经营预算财政拨款支出决算表</w:t>
      </w:r>
    </w:p>
    <w:p w14:paraId="52B67C28">
      <w:pPr>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eastAsia="zh-CN"/>
        </w:rPr>
        <w:t>十三、财政拨款“三公”经费支出决算</w:t>
      </w:r>
    </w:p>
    <w:sectPr>
      <w:pgSz w:w="11906" w:h="16838"/>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公文小标宋">
    <w:panose1 w:val="02000500000000000000"/>
    <w:charset w:val="86"/>
    <w:family w:val="auto"/>
    <w:pitch w:val="default"/>
    <w:sig w:usb0="A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23D3C">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61A5B">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A61A5B">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FC58">
    <w:pPr>
      <w:pStyle w:val="11"/>
      <w:jc w:val="center"/>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F5B6F7">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36F5B6F7">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7579D">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3B7579D">
                    <w:pPr>
                      <w:pStyle w:val="11"/>
                    </w:pPr>
                  </w:p>
                </w:txbxContent>
              </v:textbox>
            </v:shape>
          </w:pict>
        </mc:Fallback>
      </mc:AlternateContent>
    </w:r>
  </w:p>
  <w:p w14:paraId="41EDBBB1">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51030">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6C79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716C792">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66C35">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0F6900"/>
    <w:multiLevelType w:val="singleLevel"/>
    <w:tmpl w:val="710F6900"/>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75A66"/>
    <w:rsid w:val="015975B8"/>
    <w:rsid w:val="01A23516"/>
    <w:rsid w:val="02201D8C"/>
    <w:rsid w:val="02317B1B"/>
    <w:rsid w:val="02FEBE30"/>
    <w:rsid w:val="061E35DE"/>
    <w:rsid w:val="066E0107"/>
    <w:rsid w:val="07996F6E"/>
    <w:rsid w:val="07DFD8BA"/>
    <w:rsid w:val="08DB07E4"/>
    <w:rsid w:val="09867E8F"/>
    <w:rsid w:val="0A2032A3"/>
    <w:rsid w:val="0C6C4794"/>
    <w:rsid w:val="0CA8290A"/>
    <w:rsid w:val="0D35B1ED"/>
    <w:rsid w:val="0D8E04F1"/>
    <w:rsid w:val="0DE07E2B"/>
    <w:rsid w:val="0EC74FCE"/>
    <w:rsid w:val="0F98263C"/>
    <w:rsid w:val="101860EC"/>
    <w:rsid w:val="10C055FF"/>
    <w:rsid w:val="11772AA4"/>
    <w:rsid w:val="118107EC"/>
    <w:rsid w:val="13957196"/>
    <w:rsid w:val="13D50BC4"/>
    <w:rsid w:val="14022904"/>
    <w:rsid w:val="1525577A"/>
    <w:rsid w:val="152F2A07"/>
    <w:rsid w:val="165E0673"/>
    <w:rsid w:val="16BB723D"/>
    <w:rsid w:val="16F13FCB"/>
    <w:rsid w:val="186504BB"/>
    <w:rsid w:val="1938089F"/>
    <w:rsid w:val="19A445FC"/>
    <w:rsid w:val="1B7D550C"/>
    <w:rsid w:val="1BE8440E"/>
    <w:rsid w:val="1D155CEE"/>
    <w:rsid w:val="1DE178F3"/>
    <w:rsid w:val="1E740ACF"/>
    <w:rsid w:val="1FF35744"/>
    <w:rsid w:val="1FF6BC77"/>
    <w:rsid w:val="1FFDF0BF"/>
    <w:rsid w:val="20E97AC1"/>
    <w:rsid w:val="21962A9E"/>
    <w:rsid w:val="21AE7C77"/>
    <w:rsid w:val="22BC3C41"/>
    <w:rsid w:val="23860B96"/>
    <w:rsid w:val="240371BF"/>
    <w:rsid w:val="260F557C"/>
    <w:rsid w:val="272E0923"/>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87752D"/>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7FA1A2"/>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4C16083"/>
    <w:rsid w:val="55943798"/>
    <w:rsid w:val="56E47B74"/>
    <w:rsid w:val="56FB3ACE"/>
    <w:rsid w:val="57BD3DD4"/>
    <w:rsid w:val="5AF92295"/>
    <w:rsid w:val="5BDD79E6"/>
    <w:rsid w:val="5BF561CA"/>
    <w:rsid w:val="5BFF5DFC"/>
    <w:rsid w:val="5CD1707F"/>
    <w:rsid w:val="5CD71FC4"/>
    <w:rsid w:val="5D1F11B5"/>
    <w:rsid w:val="5DAE1B18"/>
    <w:rsid w:val="5DE7D9E5"/>
    <w:rsid w:val="5ECEC941"/>
    <w:rsid w:val="5F493CB7"/>
    <w:rsid w:val="5FBF9FF3"/>
    <w:rsid w:val="5FCD4E2C"/>
    <w:rsid w:val="5FD15F49"/>
    <w:rsid w:val="5FEAF019"/>
    <w:rsid w:val="5FEF394A"/>
    <w:rsid w:val="5FF67715"/>
    <w:rsid w:val="61750921"/>
    <w:rsid w:val="62593D9F"/>
    <w:rsid w:val="62BF3928"/>
    <w:rsid w:val="647F5392"/>
    <w:rsid w:val="6518272D"/>
    <w:rsid w:val="664B1D71"/>
    <w:rsid w:val="67AA3209"/>
    <w:rsid w:val="681C4F0D"/>
    <w:rsid w:val="69046D0F"/>
    <w:rsid w:val="69750911"/>
    <w:rsid w:val="698D0931"/>
    <w:rsid w:val="6A993CED"/>
    <w:rsid w:val="6B053271"/>
    <w:rsid w:val="6BCE6674"/>
    <w:rsid w:val="6C4A05C8"/>
    <w:rsid w:val="6C8742B8"/>
    <w:rsid w:val="6C8A170F"/>
    <w:rsid w:val="6CB54609"/>
    <w:rsid w:val="6DBF5E93"/>
    <w:rsid w:val="6DFF077E"/>
    <w:rsid w:val="6E7E3605"/>
    <w:rsid w:val="6E7FDCC7"/>
    <w:rsid w:val="6ED6A62E"/>
    <w:rsid w:val="6EE00B15"/>
    <w:rsid w:val="6EF75DFB"/>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8BE7D98"/>
    <w:rsid w:val="79086DAD"/>
    <w:rsid w:val="79974F09"/>
    <w:rsid w:val="79D7FD79"/>
    <w:rsid w:val="79EE5BA4"/>
    <w:rsid w:val="7A894339"/>
    <w:rsid w:val="7AFF7572"/>
    <w:rsid w:val="7B1B0ACA"/>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55465"/>
    <w:rsid w:val="7FC96657"/>
    <w:rsid w:val="7FDA9588"/>
    <w:rsid w:val="7FDF220F"/>
    <w:rsid w:val="7FEDC5F7"/>
    <w:rsid w:val="7FEDD9DE"/>
    <w:rsid w:val="7FF5890D"/>
    <w:rsid w:val="7FF93490"/>
    <w:rsid w:val="99FF2014"/>
    <w:rsid w:val="A6DD0D7F"/>
    <w:rsid w:val="ADC6F725"/>
    <w:rsid w:val="B5F00B1A"/>
    <w:rsid w:val="B7CF06AB"/>
    <w:rsid w:val="B7CFA926"/>
    <w:rsid w:val="B7F8786B"/>
    <w:rsid w:val="BABB6AA1"/>
    <w:rsid w:val="BB2F4199"/>
    <w:rsid w:val="BD079C78"/>
    <w:rsid w:val="BD733540"/>
    <w:rsid w:val="BF3735D5"/>
    <w:rsid w:val="BF7F09AC"/>
    <w:rsid w:val="BFD475C3"/>
    <w:rsid w:val="BFDE5EA6"/>
    <w:rsid w:val="BFFE8D88"/>
    <w:rsid w:val="CF6FC6F3"/>
    <w:rsid w:val="CFD3D3D7"/>
    <w:rsid w:val="CFDF1009"/>
    <w:rsid w:val="D7D7B16A"/>
    <w:rsid w:val="D8D6DB89"/>
    <w:rsid w:val="DB6F4CAB"/>
    <w:rsid w:val="DB777682"/>
    <w:rsid w:val="DD1FB521"/>
    <w:rsid w:val="DEFBFEAE"/>
    <w:rsid w:val="DF1F3B80"/>
    <w:rsid w:val="DF6F9789"/>
    <w:rsid w:val="DFFFA9E8"/>
    <w:rsid w:val="E55BED68"/>
    <w:rsid w:val="E5F4E9DC"/>
    <w:rsid w:val="E70FE695"/>
    <w:rsid w:val="E7FE8E6B"/>
    <w:rsid w:val="ECFED1BC"/>
    <w:rsid w:val="ED1D69BB"/>
    <w:rsid w:val="ED7FD312"/>
    <w:rsid w:val="EEF70417"/>
    <w:rsid w:val="EF53993F"/>
    <w:rsid w:val="EF6FD633"/>
    <w:rsid w:val="EFBFB2F4"/>
    <w:rsid w:val="EFBFFA21"/>
    <w:rsid w:val="F2BEBCB8"/>
    <w:rsid w:val="F36FB518"/>
    <w:rsid w:val="F37F74A1"/>
    <w:rsid w:val="F3DE1A04"/>
    <w:rsid w:val="F3F722E5"/>
    <w:rsid w:val="F7FF4EF9"/>
    <w:rsid w:val="FA5F1E70"/>
    <w:rsid w:val="FA5FDB97"/>
    <w:rsid w:val="FB7F486A"/>
    <w:rsid w:val="FBFF5B2E"/>
    <w:rsid w:val="FCFFF398"/>
    <w:rsid w:val="FD7FFE2B"/>
    <w:rsid w:val="FDEE196B"/>
    <w:rsid w:val="FDFE6575"/>
    <w:rsid w:val="FEDFDDC2"/>
    <w:rsid w:val="FEED32F6"/>
    <w:rsid w:val="FEF781DD"/>
    <w:rsid w:val="FF3F7E3F"/>
    <w:rsid w:val="FF5D9F11"/>
    <w:rsid w:val="FFBA12D7"/>
    <w:rsid w:val="FFBFEA3C"/>
    <w:rsid w:val="FFD3D9CC"/>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link w:val="27"/>
    <w:qFormat/>
    <w:uiPriority w:val="99"/>
    <w:pPr>
      <w:spacing w:beforeLines="30"/>
    </w:pPr>
    <w:rPr>
      <w:rFonts w:ascii="仿宋_GB2312" w:eastAsia="仿宋_GB2312"/>
      <w:kern w:val="0"/>
      <w:sz w:val="30"/>
    </w:rPr>
  </w:style>
  <w:style w:type="paragraph" w:styleId="6">
    <w:name w:val="toc 6"/>
    <w:next w:val="1"/>
    <w:qFormat/>
    <w:uiPriority w:val="0"/>
    <w:pPr>
      <w:wordWrap w:val="0"/>
      <w:ind w:left="1700"/>
      <w:jc w:val="both"/>
    </w:pPr>
    <w:rPr>
      <w:rFonts w:ascii="Calibri" w:hAnsi="Calibri" w:eastAsia="宋体" w:cs="Calibri"/>
      <w:sz w:val="21"/>
      <w:szCs w:val="22"/>
      <w:lang w:val="en-US" w:eastAsia="zh-CN" w:bidi="ar-SA"/>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Char"/>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Char"/>
    <w:basedOn w:val="18"/>
    <w:link w:val="2"/>
    <w:qFormat/>
    <w:uiPriority w:val="9"/>
    <w:rPr>
      <w:rFonts w:ascii="Times New Roman" w:hAnsi="Times New Roman"/>
      <w:b/>
      <w:bCs/>
      <w:kern w:val="44"/>
      <w:sz w:val="44"/>
      <w:szCs w:val="44"/>
    </w:rPr>
  </w:style>
  <w:style w:type="character" w:customStyle="1" w:styleId="31">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8"/>
    <w:link w:val="10"/>
    <w:semiHidden/>
    <w:qFormat/>
    <w:uiPriority w:val="99"/>
    <w:rPr>
      <w:rFonts w:ascii="Times New Roman" w:hAnsi="Times New Roman"/>
      <w:kern w:val="2"/>
      <w:sz w:val="18"/>
      <w:szCs w:val="18"/>
    </w:rPr>
  </w:style>
  <w:style w:type="character" w:customStyle="1" w:styleId="34">
    <w:name w:val="标题 3 Char"/>
    <w:basedOn w:val="18"/>
    <w:link w:val="4"/>
    <w:qFormat/>
    <w:uiPriority w:val="9"/>
    <w:rPr>
      <w:rFonts w:ascii="Times New Roman" w:hAnsi="Times New Roman"/>
      <w:b/>
      <w:bCs/>
      <w:kern w:val="2"/>
      <w:sz w:val="32"/>
      <w:szCs w:val="32"/>
    </w:rPr>
  </w:style>
  <w:style w:type="paragraph" w:customStyle="1" w:styleId="35">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7">
    <w:name w:val="常用样式（方正仿宋简）"/>
    <w:basedOn w:val="1"/>
    <w:next w:val="1"/>
    <w:qFormat/>
    <w:uiPriority w:val="0"/>
    <w:pPr>
      <w:spacing w:line="560" w:lineRule="exact"/>
      <w:ind w:firstLine="200" w:firstLineChars="200"/>
    </w:pPr>
    <w:rPr>
      <w:rFonts w:eastAsia="方正公文小标宋"/>
      <w:sz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38738;&#23569;&#24180;\&#38738;&#23569;&#24180;&#65288;2015-2026&#65289;\&#20915;&#31639;&#32472;&#22270;&#34920;.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38738;&#23569;&#24180;\&#38738;&#23569;&#24180;&#65288;2015-2026&#65289;\&#20915;&#31639;&#32472;&#22270;&#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rPr>
              <a:t>收入、支出决算总计变动情况图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282631578947368"/>
          <c:y val="0.036110468255805"/>
        </c:manualLayout>
      </c:layout>
      <c:overlay val="0"/>
      <c:spPr>
        <a:noFill/>
        <a:ln>
          <a:noFill/>
        </a:ln>
        <a:effectLst/>
      </c:spPr>
    </c:title>
    <c:autoTitleDeleted val="0"/>
    <c:plotArea>
      <c:layout>
        <c:manualLayout>
          <c:layoutTarget val="inner"/>
          <c:xMode val="edge"/>
          <c:yMode val="edge"/>
          <c:x val="0.0740263157894737"/>
          <c:y val="0.172182365193243"/>
          <c:w val="0.900184210526316"/>
          <c:h val="0.606433695903726"/>
        </c:manualLayout>
      </c:layout>
      <c:barChart>
        <c:barDir val="col"/>
        <c:grouping val="clustered"/>
        <c:varyColors val="0"/>
        <c:ser>
          <c:idx val="0"/>
          <c:order val="0"/>
          <c:tx>
            <c:strRef>
              <c:f>[决算绘图表.xls]收入支出对比图!$A$2</c:f>
              <c:strCache>
                <c:ptCount val="1"/>
                <c:pt idx="0">
                  <c:v>2024年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[决算绘图表.xls]收入支出对比图!$B$1:$C$1</c:f>
              <c:strCache>
                <c:ptCount val="2"/>
                <c:pt idx="0" c:formatCode="@">
                  <c:v>   收入</c:v>
                </c:pt>
                <c:pt idx="1" c:formatCode="@">
                  <c:v>支出</c:v>
                </c:pt>
              </c:strCache>
            </c:strRef>
          </c:cat>
          <c:val>
            <c:numRef>
              <c:f>[决算绘图表.xls]收入支出对比图!$B$2:$C$2</c:f>
              <c:numCache>
                <c:formatCode>General</c:formatCode>
                <c:ptCount val="2"/>
                <c:pt idx="0">
                  <c:v>492.04</c:v>
                </c:pt>
                <c:pt idx="1">
                  <c:v>492.04</c:v>
                </c:pt>
              </c:numCache>
            </c:numRef>
          </c:val>
        </c:ser>
        <c:ser>
          <c:idx val="1"/>
          <c:order val="1"/>
          <c:tx>
            <c:strRef>
              <c:f>[决算绘图表.xls]收入支出对比图!$A$3</c:f>
              <c:strCache>
                <c:ptCount val="1"/>
                <c:pt idx="0">
                  <c:v>2025年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[决算绘图表.xls]收入支出对比图!$B$1:$C$1</c:f>
              <c:strCache>
                <c:ptCount val="2"/>
                <c:pt idx="0" c:formatCode="@">
                  <c:v>   收入</c:v>
                </c:pt>
                <c:pt idx="1" c:formatCode="@">
                  <c:v>支出</c:v>
                </c:pt>
              </c:strCache>
            </c:strRef>
          </c:cat>
          <c:val>
            <c:numRef>
              <c:f>[决算绘图表.xls]收入支出对比图!$B$3:$C$3</c:f>
              <c:numCache>
                <c:formatCode>General</c:formatCode>
                <c:ptCount val="2"/>
                <c:pt idx="0">
                  <c:v>454.81</c:v>
                </c:pt>
                <c:pt idx="1">
                  <c:v>454.81</c:v>
                </c:pt>
              </c:numCache>
            </c:numRef>
          </c:val>
        </c:ser>
        <c:dLbls>
          <c:showLegendKey val="0"/>
          <c:showVal val="0"/>
          <c:showCatName val="0"/>
          <c:showSerName val="0"/>
          <c:showPercent val="0"/>
          <c:showBubbleSize val="0"/>
        </c:dLbls>
        <c:gapWidth val="246"/>
        <c:overlap val="-28"/>
        <c:axId val="842907292"/>
        <c:axId val="591288893"/>
      </c:barChart>
      <c:catAx>
        <c:axId val="842907292"/>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1288893"/>
        <c:crosses val="autoZero"/>
        <c:auto val="1"/>
        <c:lblAlgn val="ctr"/>
        <c:lblOffset val="100"/>
        <c:noMultiLvlLbl val="0"/>
      </c:catAx>
      <c:valAx>
        <c:axId val="591288893"/>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29072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52520a-208f-4fc3-a332-7bc8cff0a56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sz="1400" b="1" i="0" u="none" strike="noStrike" kern="1200" baseline="0">
                <a:solidFill>
                  <a:schemeClr val="tx1">
                    <a:lumMod val="75000"/>
                    <a:lumOff val="25000"/>
                  </a:schemeClr>
                </a:solidFill>
                <a:latin typeface="+mn-lt"/>
                <a:ea typeface="+mn-ea"/>
                <a:cs typeface="+mn-cs"/>
              </a:rPr>
              <a:t>收入决算构成图</a:t>
            </a:r>
            <a:endParaRPr lang="zh-CN" sz="1400" b="1" i="0" u="none" strike="noStrike" kern="1200" baseline="0">
              <a:solidFill>
                <a:schemeClr val="tx1">
                  <a:lumMod val="75000"/>
                  <a:lumOff val="25000"/>
                </a:schemeClr>
              </a:solidFill>
              <a:latin typeface="+mn-lt"/>
              <a:ea typeface="+mn-ea"/>
              <a:cs typeface="+mn-cs"/>
            </a:endParaRPr>
          </a:p>
          <a:p>
            <a:pPr defTabSz="914400">
              <a:defRPr lang="zh-CN" sz="1400" b="1" i="0" u="none" strike="noStrike" kern="1200" baseline="0">
                <a:solidFill>
                  <a:schemeClr val="tx1">
                    <a:lumMod val="75000"/>
                    <a:lumOff val="25000"/>
                  </a:schemeClr>
                </a:solidFill>
                <a:latin typeface="+mn-lt"/>
                <a:ea typeface="+mn-ea"/>
                <a:cs typeface="+mn-cs"/>
              </a:defRPr>
            </a:pPr>
            <a:endParaRPr lang="zh-CN" sz="1400" b="1" i="0" u="none" strike="noStrike" kern="1200" baseline="0">
              <a:solidFill>
                <a:schemeClr val="tx1">
                  <a:lumMod val="75000"/>
                  <a:lumOff val="2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Lbls>
            <c:dLbl>
              <c:idx val="1"/>
              <c:layout>
                <c:manualLayout>
                  <c:x val="0.00948566697241314"/>
                  <c:y val="-0.0085147591551874"/>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[决算绘图表.xls]GK收入构成图!$A$1:$A$2</c:f>
              <c:strCache>
                <c:ptCount val="2"/>
                <c:pt idx="0">
                  <c:v>一般公共预算财政拨款收入</c:v>
                </c:pt>
                <c:pt idx="1">
                  <c:v>其他收入</c:v>
                </c:pt>
              </c:strCache>
            </c:strRef>
          </c:cat>
          <c:val>
            <c:numRef>
              <c:f>[决算绘图表.xls]GK收入构成图!$B$1:$B$2</c:f>
              <c:numCache>
                <c:formatCode>General</c:formatCode>
                <c:ptCount val="2"/>
                <c:pt idx="0">
                  <c:v>454.81</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1248a7d-c9d0-4238-9846-debf42a2b787}"/>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54736842105263"/>
          <c:y val="0.318541666666667"/>
          <c:w val="0.829052631578947"/>
          <c:h val="0.587685185185185"/>
        </c:manualLayout>
      </c:layout>
      <c:pieChart>
        <c:varyColors val="1"/>
        <c:ser>
          <c:idx val="0"/>
          <c:order val="0"/>
          <c:spPr>
            <a:scene3d>
              <a:camera prst="orthographicFront"/>
              <a:lightRig rig="threePt" dir="t"/>
            </a:scene3d>
            <a:sp3d contourW="9525"/>
          </c:spPr>
          <c:explosion val="0"/>
          <c:dPt>
            <c:idx val="0"/>
            <c:bubble3D val="0"/>
            <c:explosion val="0"/>
            <c:spPr>
              <a:solidFill>
                <a:schemeClr val="accent1"/>
              </a:solidFill>
              <a:ln>
                <a:solidFill>
                  <a:schemeClr val="bg1"/>
                </a:solidFill>
              </a:ln>
              <a:effectLst/>
              <a:scene3d>
                <a:camera prst="orthographicFront"/>
                <a:lightRig rig="threePt" dir="t"/>
              </a:scene3d>
              <a:sp3d contourW="9525"/>
            </c:spPr>
          </c:dPt>
          <c:dPt>
            <c:idx val="1"/>
            <c:bubble3D val="0"/>
            <c:explosion val="0"/>
            <c:spPr>
              <a:solidFill>
                <a:schemeClr val="accent2"/>
              </a:solidFill>
              <a:ln>
                <a:solidFill>
                  <a:schemeClr val="bg1"/>
                </a:solidFill>
              </a:ln>
              <a:effectLst/>
              <a:scene3d>
                <a:camera prst="orthographicFront"/>
                <a:lightRig rig="threePt" dir="t"/>
              </a:scene3d>
              <a:sp3d contourW="9525"/>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[决算绘图表.xls]GK支出决算结构图!$A$1:$A$2</c:f>
              <c:strCache>
                <c:ptCount val="2"/>
                <c:pt idx="0">
                  <c:v>基本支出</c:v>
                </c:pt>
                <c:pt idx="1">
                  <c:v>项目支出</c:v>
                </c:pt>
              </c:strCache>
            </c:strRef>
          </c:cat>
          <c:val>
            <c:numRef>
              <c:f>[决算绘图表.xls]GK支出决算结构图!$B$1:$B$2</c:f>
              <c:numCache>
                <c:formatCode>General</c:formatCode>
                <c:ptCount val="2"/>
                <c:pt idx="0">
                  <c:v>320.35</c:v>
                </c:pt>
                <c:pt idx="1">
                  <c:v>134.46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fd03aaf-66cb-4b2e-b2a1-a82936e3fad8}"/>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19360347362872"/>
          <c:y val="0.170834619043946"/>
          <c:w val="0.900184210526316"/>
          <c:h val="0.606342592592593"/>
        </c:manualLayout>
      </c:layout>
      <c:barChart>
        <c:barDir val="col"/>
        <c:grouping val="clustered"/>
        <c:varyColors val="0"/>
        <c:ser>
          <c:idx val="0"/>
          <c:order val="0"/>
          <c:tx>
            <c:strRef>
              <c:f>[决算绘图表.xls]GK财政拨款收、支决算总计变动情况!$A$2</c:f>
              <c:strCache>
                <c:ptCount val="1"/>
                <c:pt idx="0">
                  <c:v>2024年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[决算绘图表.xls]GK财政拨款收、支决算总计变动情况!$B$1:$C$1</c:f>
              <c:strCache>
                <c:ptCount val="2"/>
                <c:pt idx="0" c:formatCode="@">
                  <c:v>  财政拨款收入</c:v>
                </c:pt>
                <c:pt idx="1" c:formatCode="@">
                  <c:v> 财政拨款收入支出</c:v>
                </c:pt>
              </c:strCache>
            </c:strRef>
          </c:cat>
          <c:val>
            <c:numRef>
              <c:f>[决算绘图表.xls]GK财政拨款收、支决算总计变动情况!$B$2:$C$2</c:f>
              <c:numCache>
                <c:formatCode>General</c:formatCode>
                <c:ptCount val="2"/>
                <c:pt idx="0">
                  <c:v>490.03</c:v>
                </c:pt>
                <c:pt idx="1">
                  <c:v>490.03</c:v>
                </c:pt>
              </c:numCache>
            </c:numRef>
          </c:val>
        </c:ser>
        <c:ser>
          <c:idx val="1"/>
          <c:order val="1"/>
          <c:tx>
            <c:strRef>
              <c:f>[决算绘图表.xls]GK财政拨款收、支决算总计变动情况!$A$3</c:f>
              <c:strCache>
                <c:ptCount val="1"/>
                <c:pt idx="0">
                  <c:v>2025年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[决算绘图表.xls]GK财政拨款收、支决算总计变动情况!$B$1:$C$1</c:f>
              <c:strCache>
                <c:ptCount val="2"/>
                <c:pt idx="0" c:formatCode="@">
                  <c:v>  财政拨款收入</c:v>
                </c:pt>
                <c:pt idx="1" c:formatCode="@">
                  <c:v> 财政拨款收入支出</c:v>
                </c:pt>
              </c:strCache>
            </c:strRef>
          </c:cat>
          <c:val>
            <c:numRef>
              <c:f>[决算绘图表.xls]GK财政拨款收、支决算总计变动情况!$B$3:$C$3</c:f>
              <c:numCache>
                <c:formatCode>0.00_ </c:formatCode>
                <c:ptCount val="2"/>
                <c:pt idx="0">
                  <c:v>454.81</c:v>
                </c:pt>
                <c:pt idx="1">
                  <c:v>454.81</c:v>
                </c:pt>
              </c:numCache>
            </c:numRef>
          </c:val>
        </c:ser>
        <c:dLbls>
          <c:showLegendKey val="0"/>
          <c:showVal val="0"/>
          <c:showCatName val="0"/>
          <c:showSerName val="0"/>
          <c:showPercent val="0"/>
          <c:showBubbleSize val="0"/>
        </c:dLbls>
        <c:gapWidth val="246"/>
        <c:overlap val="-28"/>
        <c:axId val="878807987"/>
        <c:axId val="627878053"/>
      </c:barChart>
      <c:catAx>
        <c:axId val="87880798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7878053"/>
        <c:crosses val="autoZero"/>
        <c:auto val="1"/>
        <c:lblAlgn val="ctr"/>
        <c:lblOffset val="100"/>
        <c:noMultiLvlLbl val="0"/>
      </c:catAx>
      <c:valAx>
        <c:axId val="627878053"/>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88079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71709f-795e-4daa-b88f-44de09950a99}"/>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一般公共预算财政拨款支出决算变动图</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696842105263158"/>
          <c:y val="0.178662346679009"/>
          <c:w val="0.900184210526316"/>
          <c:h val="0.606433695903726"/>
        </c:manualLayout>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[决算绘图表.xls]GK一般公共预算财政拨款支出决算变动!$A$1:$A$2</c:f>
              <c:strCache>
                <c:ptCount val="2"/>
                <c:pt idx="0">
                  <c:v>2024年</c:v>
                </c:pt>
                <c:pt idx="1">
                  <c:v>2025年</c:v>
                </c:pt>
              </c:strCache>
            </c:strRef>
          </c:cat>
          <c:val>
            <c:numRef>
              <c:f>[决算绘图表.xls]GK一般公共预算财政拨款支出决算变动!$B$1:$B$2</c:f>
              <c:numCache>
                <c:formatCode>General</c:formatCode>
                <c:ptCount val="2"/>
                <c:pt idx="0">
                  <c:v>490.03</c:v>
                </c:pt>
                <c:pt idx="1">
                  <c:v>454.81</c:v>
                </c:pt>
              </c:numCache>
            </c:numRef>
          </c:val>
        </c:ser>
        <c:dLbls>
          <c:showLegendKey val="0"/>
          <c:showVal val="0"/>
          <c:showCatName val="0"/>
          <c:showSerName val="0"/>
          <c:showPercent val="0"/>
          <c:showBubbleSize val="0"/>
        </c:dLbls>
        <c:gapWidth val="246"/>
        <c:overlap val="-28"/>
        <c:axId val="412859339"/>
        <c:axId val="908734896"/>
      </c:barChart>
      <c:catAx>
        <c:axId val="41285933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734896"/>
        <c:crosses val="autoZero"/>
        <c:auto val="1"/>
        <c:lblAlgn val="ctr"/>
        <c:lblOffset val="100"/>
        <c:noMultiLvlLbl val="0"/>
      </c:catAx>
      <c:valAx>
        <c:axId val="908734896"/>
        <c:scaling>
          <c:orientation val="minMax"/>
        </c:scaling>
        <c:delete val="0"/>
        <c:axPos val="l"/>
        <c:majorGridlines>
          <c:spPr>
            <a:ln w="9525" cap="flat" cmpd="sng" algn="ctr">
              <a:solidFill>
                <a:schemeClr val="lt1">
                  <a:lumMod val="90200"/>
                </a:schemeClr>
              </a:solidFill>
              <a:prstDash val="solid"/>
              <a:round/>
            </a:ln>
            <a:effectLst/>
          </c:spPr>
        </c:majorGridlines>
        <c:numFmt formatCode="General" sourceLinked="1"/>
        <c:majorTickMark val="none"/>
        <c:minorTickMark val="none"/>
        <c:tickLblPos val="nextTo"/>
        <c:spPr>
          <a:noFill/>
          <a:ln w="1270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128593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18e333-6811-443e-9e04-7c0ca70e393a}"/>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endParaRPr sz="1400" b="1" i="0" u="none" strike="noStrike" baseline="0">
              <a:solidFill>
                <a:srgbClr val="404040">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801624661528848"/>
          <c:y val="0.246837007348029"/>
          <c:w val="0.83967506769423"/>
          <c:h val="0.668817635270541"/>
        </c:manualLayout>
      </c:layout>
      <c:pieChart>
        <c:varyColors val="1"/>
        <c:ser>
          <c:idx val="0"/>
          <c:order val="0"/>
          <c:spPr>
            <a:scene3d>
              <a:camera prst="orthographicFront"/>
              <a:lightRig rig="threePt" dir="t"/>
            </a:scene3d>
            <a:sp3d contourW="9525"/>
          </c:spPr>
          <c:explosion val="0"/>
          <c:dPt>
            <c:idx val="0"/>
            <c:bubble3D val="0"/>
            <c:explosion val="0"/>
            <c:spPr>
              <a:solidFill>
                <a:schemeClr val="accent1"/>
              </a:solidFill>
              <a:ln>
                <a:solidFill>
                  <a:schemeClr val="bg1"/>
                </a:solidFill>
              </a:ln>
              <a:effectLst/>
              <a:scene3d>
                <a:camera prst="orthographicFront"/>
                <a:lightRig rig="threePt" dir="t"/>
              </a:scene3d>
              <a:sp3d contourW="9525"/>
            </c:spPr>
          </c:dPt>
          <c:dPt>
            <c:idx val="1"/>
            <c:bubble3D val="0"/>
            <c:explosion val="0"/>
            <c:spPr>
              <a:solidFill>
                <a:schemeClr val="accent2"/>
              </a:solidFill>
              <a:ln>
                <a:solidFill>
                  <a:schemeClr val="bg1"/>
                </a:solidFill>
              </a:ln>
              <a:effectLst/>
              <a:scene3d>
                <a:camera prst="orthographicFront"/>
                <a:lightRig rig="threePt" dir="t"/>
              </a:scene3d>
              <a:sp3d contourW="9525"/>
            </c:spPr>
          </c:dPt>
          <c:dPt>
            <c:idx val="2"/>
            <c:bubble3D val="0"/>
            <c:explosion val="0"/>
            <c:spPr>
              <a:solidFill>
                <a:schemeClr val="accent3"/>
              </a:solidFill>
              <a:ln>
                <a:solidFill>
                  <a:schemeClr val="bg1"/>
                </a:solidFill>
              </a:ln>
              <a:effectLst/>
              <a:scene3d>
                <a:camera prst="orthographicFront"/>
                <a:lightRig rig="threePt" dir="t"/>
              </a:scene3d>
              <a:sp3d contourW="9525"/>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[决算绘图表.xls]GK一般公共预算财政拨款支出决算结构!$A$1:$A$3</c:f>
              <c:strCache>
                <c:ptCount val="3"/>
                <c:pt idx="0">
                  <c:v>社会保障和就业支出</c:v>
                </c:pt>
                <c:pt idx="1">
                  <c:v>卫生健康支出</c:v>
                </c:pt>
                <c:pt idx="2">
                  <c:v> 住房保障支出</c:v>
                </c:pt>
              </c:strCache>
            </c:strRef>
          </c:cat>
          <c:val>
            <c:numRef>
              <c:f>[决算绘图表.xls]GK一般公共预算财政拨款支出决算结构!$B$1:$B$3</c:f>
              <c:numCache>
                <c:formatCode>#,##0.00</c:formatCode>
                <c:ptCount val="3"/>
                <c:pt idx="0">
                  <c:v>421.41</c:v>
                </c:pt>
                <c:pt idx="1">
                  <c:v>13.02</c:v>
                </c:pt>
                <c:pt idx="2">
                  <c:v>20.38</c:v>
                </c:pt>
              </c:numCache>
            </c:numRef>
          </c:val>
        </c:ser>
        <c:ser>
          <c:idx val="1"/>
          <c:order val="1"/>
          <c:explosion val="0"/>
          <c:dPt>
            <c:idx val="0"/>
            <c:bubble3D val="0"/>
            <c:explosion val="0"/>
            <c:spPr>
              <a:solidFill>
                <a:schemeClr val="accent1"/>
              </a:solidFill>
              <a:ln>
                <a:solidFill>
                  <a:schemeClr val="bg1"/>
                </a:solidFill>
              </a:ln>
              <a:effectLst/>
            </c:spPr>
          </c:dPt>
          <c:dPt>
            <c:idx val="1"/>
            <c:bubble3D val="0"/>
            <c:explosion val="0"/>
            <c:spPr>
              <a:solidFill>
                <a:schemeClr val="accent2"/>
              </a:solidFill>
              <a:ln>
                <a:solidFill>
                  <a:schemeClr val="bg1"/>
                </a:solidFill>
              </a:ln>
              <a:effectLst/>
            </c:spPr>
          </c:dPt>
          <c:dPt>
            <c:idx val="2"/>
            <c:bubble3D val="0"/>
            <c:explosion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[决算绘图表.xls]GK一般公共预算财政拨款支出决算结构!$A$1:$A$3</c:f>
              <c:strCache>
                <c:ptCount val="3"/>
                <c:pt idx="0">
                  <c:v>社会保障和就业支出</c:v>
                </c:pt>
                <c:pt idx="1">
                  <c:v>卫生健康支出</c:v>
                </c:pt>
                <c:pt idx="2">
                  <c:v> 住房保障支出</c:v>
                </c:pt>
              </c:strCache>
            </c:strRef>
          </c:cat>
          <c:val>
            <c:numRef>
              <c:f>[决算绘图表.xls]GK一般公共预算财政拨款支出决算结构!$C$1:$C$3</c:f>
              <c:numCache>
                <c:formatCode>0.0%</c:formatCode>
                <c:ptCount val="3"/>
                <c:pt idx="0">
                  <c:v>0.926562740485038</c:v>
                </c:pt>
                <c:pt idx="1">
                  <c:v>0.0286273388887667</c:v>
                </c:pt>
                <c:pt idx="2">
                  <c:v>0.0448099206261955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ca2a7ab-6f4d-4ff0-96bc-2e4affa6fa5e}"/>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[决算绘图表.xls]Sheet1!$A$1:$A$3</c:f>
              <c:strCache>
                <c:ptCount val="3"/>
                <c:pt idx="0">
                  <c:v>因公出国（境）费支出</c:v>
                </c:pt>
                <c:pt idx="1">
                  <c:v>公务用车购置及运行维护费支出</c:v>
                </c:pt>
                <c:pt idx="2">
                  <c:v>公务接待费支出</c:v>
                </c:pt>
              </c:strCache>
            </c:strRef>
          </c:cat>
          <c:val>
            <c:numRef>
              <c:f>[决算绘图表.xls]Sheet1!$B$1:$B$3</c:f>
              <c:numCache>
                <c:formatCode>General</c:formatCode>
                <c:ptCount val="3"/>
                <c:pt idx="0">
                  <c:v>0</c:v>
                </c:pt>
                <c:pt idx="1">
                  <c:v>11.52</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b7e8965-e52e-441f-9265-75eb9facaf5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45</Pages>
  <Words>10481</Words>
  <Characters>11300</Characters>
  <Lines>61</Lines>
  <Paragraphs>17</Paragraphs>
  <TotalTime>18</TotalTime>
  <ScaleCrop>false</ScaleCrop>
  <LinksUpToDate>false</LinksUpToDate>
  <CharactersWithSpaces>11387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Y  、</cp:lastModifiedBy>
  <cp:lastPrinted>2026-08-04T09:27:00Z</cp:lastPrinted>
  <dcterms:modified xsi:type="dcterms:W3CDTF">2026-09-17T09:01:06Z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F603D552261F40EEB24A2CE0185D86B4_13</vt:lpwstr>
  </property>
  <property fmtid="{D5CDD505-2E9C-101B-9397-08002B2CF9AE}" pid="4" name="KSOTemplateDocerSaveRecord">
    <vt:lpwstr>eyJoZGlkIjoiYTZkNTk0ZDM4MGMwYTAwNDcwMTAyMGM2NTkwODgwNDAiLCJ1c2VySWQiOiI0NDMzMTUxMTkifQ==</vt:lpwstr>
  </property>
</Properties>
</file>