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9"/>
        <w:spacing w:beforeLines="0" w:before="0" w:line="560" w:lineRule="exact"/>
        <w:rPr>
          <w:rFonts w:ascii="Times New Roman" w:eastAsia="方正小标宋简体" w:cs="Times New Roman" w:hAnsi="Times New Roman"/>
          <w:color w:val="auto"/>
          <w:kern w:val="2"/>
          <w:sz w:val="72"/>
          <w:szCs w:val="72"/>
          <w:lang w:val="en-US" w:eastAsia="zh-CN" w:bidi="ar-SA"/>
          <w:highlight w:val="auto"/>
        </w:rPr>
      </w:pPr>
      <w:bookmarkStart w:id="0" w:name="_Toc15396597"/>
      <w:bookmarkStart w:id="1" w:name="_Toc15378441"/>
      <w:bookmarkStart w:id="2" w:name="_Toc15396475"/>
      <w:bookmarkStart w:id="3" w:name="_Toc15377425"/>
      <w:bookmarkStart w:id="4" w:name="_Toc15377193"/>
      <w:bookmarkStart w:id="5" w:name="_Toc15306267"/>
    </w:p>
    <w:p>
      <w:pPr>
        <w:pStyle w:val="19"/>
        <w:spacing w:beforeLines="0" w:before="0" w:line="560" w:lineRule="exact"/>
        <w:rPr>
          <w:rFonts w:ascii="Times New Roman" w:eastAsia="方正小标宋简体" w:cs="Times New Roman" w:hAnsi="Times New Roman"/>
          <w:color w:val="auto"/>
          <w:kern w:val="2"/>
          <w:sz w:val="72"/>
          <w:szCs w:val="72"/>
          <w:lang w:val="en-US" w:eastAsia="zh-CN" w:bidi="ar-SA"/>
          <w:highlight w:val="auto"/>
        </w:rPr>
      </w:pPr>
    </w:p>
    <w:p>
      <w:pPr>
        <w:pStyle w:val="19"/>
        <w:spacing w:beforeLines="0" w:before="0" w:line="560" w:lineRule="exact"/>
        <w:rPr>
          <w:rFonts w:ascii="Times New Roman" w:eastAsia="方正小标宋简体" w:cs="Times New Roman" w:hAnsi="Times New Roman"/>
          <w:color w:val="auto"/>
          <w:kern w:val="2"/>
          <w:sz w:val="72"/>
          <w:szCs w:val="72"/>
          <w:lang w:val="en-US" w:eastAsia="zh-CN" w:bidi="ar-SA"/>
          <w:highlight w:val="auto"/>
        </w:rPr>
      </w:pPr>
    </w:p>
    <w:p>
      <w:pPr>
        <w:pStyle w:val="19"/>
        <w:spacing w:beforeLines="0" w:before="0" w:line="560" w:lineRule="exact"/>
        <w:rPr>
          <w:rFonts w:ascii="Times New Roman" w:eastAsia="方正小标宋简体" w:cs="Times New Roman" w:hAnsi="Times New Roman"/>
          <w:color w:val="auto"/>
          <w:kern w:val="2"/>
          <w:sz w:val="72"/>
          <w:szCs w:val="72"/>
          <w:lang w:val="en-US" w:eastAsia="zh-CN" w:bidi="ar-SA"/>
          <w:highlight w:val="auto"/>
        </w:rPr>
      </w:pPr>
    </w:p>
    <w:p>
      <w:pPr>
        <w:pStyle w:val="19"/>
        <w:spacing w:beforeLines="0" w:before="0" w:line="1000" w:lineRule="exact"/>
        <w:rPr>
          <w:rFonts w:ascii="Times New Roman" w:eastAsia="方正小标宋简体" w:cs="Times New Roman" w:hAnsi="Times New Roman" w:hint="eastAsia"/>
          <w:color w:val="auto"/>
          <w:kern w:val="2"/>
          <w:sz w:val="72"/>
          <w:szCs w:val="72"/>
          <w:lang w:val="en-US" w:eastAsia="zh-CN" w:bidi="ar-SA"/>
          <w:highlight w:val="auto"/>
        </w:rPr>
      </w:pPr>
    </w:p>
    <w:p>
      <w:pPr>
        <w:spacing w:line="1000" w:lineRule="exact"/>
        <w:jc w:val="center"/>
        <w:rPr>
          <w:rFonts w:ascii="方正大黑_GBK" w:eastAsia="方正大黑_GBK"/>
          <w:sz w:val="80"/>
          <w:szCs w:val="80"/>
        </w:rPr>
      </w:pPr>
      <w:r>
        <w:rPr>
          <w:rFonts w:ascii="方正大黑_GBK" w:eastAsia="方正大黑_GBK" w:hint="eastAsia"/>
          <w:sz w:val="80"/>
          <w:szCs w:val="80"/>
        </w:rPr>
        <w:t>2025年</w:t>
      </w:r>
    </w:p>
    <w:p>
      <w:pPr>
        <w:spacing w:line="1000" w:lineRule="exact"/>
        <w:jc w:val="center"/>
        <w:rPr>
          <w:rFonts w:ascii="方正大黑_GBK" w:eastAsia="方正大黑_GBK" w:hint="eastAsia"/>
          <w:sz w:val="80"/>
          <w:szCs w:val="80"/>
        </w:rPr>
      </w:pPr>
      <w:r>
        <w:rPr>
          <w:rFonts w:ascii="方正大黑_GBK" w:eastAsia="方正大黑_GBK" w:hint="eastAsia"/>
          <w:sz w:val="80"/>
          <w:szCs w:val="80"/>
        </w:rPr>
        <w:t>阿坝州</w:t>
      </w:r>
      <w:r>
        <w:rPr>
          <w:rFonts w:ascii="方正大黑_GBK" w:eastAsia="方正大黑_GBK"/>
          <w:sz w:val="80"/>
          <w:szCs w:val="80"/>
        </w:rPr>
        <w:t>民政局</w:t>
      </w:r>
      <w:r>
        <w:rPr>
          <w:rFonts w:ascii="方正大黑_GBK" w:eastAsia="方正大黑_GBK" w:hint="eastAsia"/>
          <w:sz w:val="80"/>
          <w:szCs w:val="80"/>
        </w:rPr>
        <w:t>决算公开</w:t>
      </w:r>
    </w:p>
    <w:p>
      <w:pPr>
        <w:spacing w:line="560" w:lineRule="exact"/>
        <w:jc w:val="center"/>
        <w:outlineLvl w:val="0"/>
        <w:rPr>
          <w:rFonts w:ascii="Times New Roman" w:eastAsia="方正小标宋简体" w:hAnsi="Times New Roman"/>
          <w:color w:val="auto"/>
          <w:sz w:val="72"/>
          <w:szCs w:val="72"/>
          <w:highlight w:val="auto"/>
        </w:rPr>
      </w:pPr>
    </w:p>
    <w:p>
      <w:pPr>
        <w:pStyle w:val="34"/>
        <w:spacing w:before="0" w:after="0" w:line="560" w:lineRule="exact"/>
        <w:rPr>
          <w:rFonts w:ascii="Times New Roman" w:hAnsi="Times New Roman"/>
        </w:rPr>
      </w:pPr>
    </w:p>
    <w:p/>
    <w:p>
      <w:pPr>
        <w:pStyle w:val="15"/>
      </w:pPr>
    </w:p>
    <w:p>
      <w:pPr>
        <w:pStyle w:val="17"/>
      </w:pPr>
    </w:p>
    <w:p/>
    <w:p>
      <w:pPr>
        <w:pStyle w:val="15"/>
      </w:pPr>
    </w:p>
    <w:p>
      <w:pPr>
        <w:pStyle w:val="17"/>
      </w:pPr>
    </w:p>
    <w:p/>
    <w:p>
      <w:pPr>
        <w:pStyle w:val="15"/>
      </w:pPr>
    </w:p>
    <w:p>
      <w:pPr>
        <w:pStyle w:val="17"/>
      </w:pPr>
    </w:p>
    <w:p/>
    <w:p>
      <w:pPr>
        <w:pStyle w:val="15"/>
        <w:jc w:val="left"/>
      </w:pPr>
    </w:p>
    <w:p>
      <w:pPr>
        <w:pStyle w:val="26"/>
        <w:tabs>
          <w:tab w:val="right" w:leader="dot" w:pos="8296"/>
        </w:tabs>
        <w:spacing w:before="0" w:line="560" w:lineRule="exact"/>
        <w:jc w:val="center"/>
        <w:rPr>
          <w:rFonts w:ascii="Times New Roman" w:eastAsia="仿宋_GB2312" w:cs="仿宋_GB2312" w:hAnsi="Times New Roman" w:hint="eastAsia"/>
          <w:color w:val="auto"/>
          <w:sz w:val="28"/>
          <w:szCs w:val="28"/>
          <w:highlight w:val="auto"/>
        </w:rPr>
      </w:pPr>
      <w:r>
        <w:rPr>
          <w:rFonts w:ascii="Times New Roman" w:eastAsia="仿宋_GB2312" w:cs="仿宋_GB2312" w:hAnsi="Times New Roman" w:hint="eastAsia"/>
          <w:color w:val="auto"/>
          <w:sz w:val="28"/>
          <w:szCs w:val="28"/>
          <w:highlight w:val="auto"/>
        </w:rPr>
        <w:t>公开时间：20</w:t>
      </w:r>
      <w:r>
        <w:rPr>
          <w:rFonts w:ascii="Times New Roman" w:eastAsia="仿宋_GB2312" w:cs="仿宋_GB2312" w:hAnsi="Times New Roman" w:hint="eastAsia"/>
          <w:color w:val="auto"/>
          <w:sz w:val="28"/>
          <w:szCs w:val="28"/>
          <w:lang w:val="en-US" w:eastAsia="zh-CN"/>
          <w:highlight w:val="auto"/>
        </w:rPr>
        <w:t>26</w:t>
      </w:r>
      <w:r>
        <w:rPr>
          <w:rFonts w:ascii="Times New Roman" w:eastAsia="仿宋_GB2312" w:cs="仿宋_GB2312" w:hAnsi="Times New Roman" w:hint="eastAsia"/>
          <w:color w:val="auto"/>
          <w:sz w:val="28"/>
          <w:szCs w:val="28"/>
          <w:highlight w:val="auto"/>
        </w:rPr>
        <w:t>年</w:t>
      </w:r>
      <w:r>
        <w:rPr>
          <w:rFonts w:ascii="Times New Roman" w:eastAsia="仿宋_GB2312" w:cs="仿宋_GB2312" w:hAnsi="Times New Roman" w:hint="eastAsia"/>
          <w:color w:val="auto"/>
          <w:sz w:val="28"/>
          <w:szCs w:val="28"/>
          <w:lang w:val="en-US" w:eastAsia="zh-CN"/>
          <w:highlight w:val="auto"/>
        </w:rPr>
        <w:t xml:space="preserve"> </w:t>
      </w:r>
      <w:r>
        <w:rPr>
          <w:rFonts w:ascii="Times New Roman" w:eastAsia="仿宋_GB2312" w:cs="仿宋_GB2312" w:hAnsi="Times New Roman"/>
          <w:color w:val="auto"/>
          <w:sz w:val="28"/>
          <w:szCs w:val="28"/>
          <w:lang w:val="en-US" w:eastAsia="zh-CN"/>
          <w:highlight w:val="auto"/>
        </w:rPr>
        <w:t>9</w:t>
      </w:r>
      <w:r>
        <w:rPr>
          <w:rFonts w:ascii="Times New Roman" w:eastAsia="仿宋_GB2312" w:cs="仿宋_GB2312" w:hAnsi="Times New Roman" w:hint="eastAsia"/>
          <w:color w:val="auto"/>
          <w:sz w:val="28"/>
          <w:szCs w:val="28"/>
          <w:highlight w:val="auto"/>
        </w:rPr>
        <w:t>月</w:t>
      </w:r>
      <w:r>
        <w:rPr>
          <w:rFonts w:ascii="Times New Roman" w:eastAsia="仿宋_GB2312" w:cs="仿宋_GB2312" w:hAnsi="Times New Roman" w:hint="eastAsia"/>
          <w:color w:val="auto"/>
          <w:sz w:val="28"/>
          <w:szCs w:val="28"/>
          <w:lang w:val="en-US" w:eastAsia="zh-CN"/>
          <w:highlight w:val="auto"/>
        </w:rPr>
        <w:t xml:space="preserve"> </w:t>
      </w:r>
      <w:r>
        <w:rPr>
          <w:rFonts w:ascii="Times New Roman" w:eastAsia="仿宋_GB2312" w:cs="仿宋_GB2312" w:hAnsi="Times New Roman"/>
          <w:color w:val="auto"/>
          <w:sz w:val="28"/>
          <w:szCs w:val="28"/>
          <w:lang w:val="en-US" w:eastAsia="zh-CN"/>
          <w:highlight w:val="auto"/>
        </w:rPr>
        <w:t>18</w:t>
      </w:r>
      <w:r>
        <w:rPr>
          <w:rFonts w:ascii="Times New Roman" w:eastAsia="仿宋_GB2312" w:cs="仿宋_GB2312" w:hAnsi="Times New Roman" w:hint="eastAsia"/>
          <w:color w:val="auto"/>
          <w:sz w:val="28"/>
          <w:szCs w:val="28"/>
          <w:highlight w:val="auto"/>
        </w:rPr>
        <w:t>日</w:t>
      </w:r>
    </w:p>
    <w:p>
      <w:pPr>
        <w:pStyle w:val="15"/>
        <w:sectPr>
          <w:headerReference w:type="default" r:id="rId2"/>
          <w:footerReference w:type="default" r:id="rId3"/>
          <w:pgSz w:w="11906" w:h="16838"/>
          <w:pgMar w:top="2098" w:right="1474" w:bottom="1985" w:left="1588" w:header="851" w:footer="992" w:gutter="0"/>
          <w:pgNumType w:start="1"/>
          <w:titlePg/>
          <w:docGrid w:type="lines" w:linePitch="312" w:charSpace="0"/>
        </w:sectPr>
      </w:pPr>
    </w:p>
    <w:p>
      <w:pPr>
        <w:spacing w:line="560" w:lineRule="exact"/>
        <w:rPr>
          <w:rFonts w:ascii="Times New Roman" w:hAnsi="Times New Roman"/>
        </w:rPr>
      </w:pPr>
    </w:p>
    <w:p>
      <w:pPr>
        <w:pStyle w:val="19"/>
        <w:spacing w:beforeLines="0" w:before="0" w:line="560" w:lineRule="exact"/>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9"/>
        <w:spacing w:beforeLines="0" w:before="0" w:line="560" w:lineRule="exact"/>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9"/>
        <w:spacing w:beforeLines="0" w:before="0" w:line="560" w:lineRule="exact"/>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9"/>
        <w:spacing w:beforeLines="0" w:before="0" w:line="560" w:lineRule="exact"/>
        <w:jc w:val="center"/>
        <w:rPr>
          <w:rFonts w:ascii="Times New Roman" w:eastAsia="方正小标宋简体" w:cs="Times New Roman" w:hAnsi="Times New Roman" w:hint="eastAsia"/>
          <w:color w:val="auto"/>
          <w:kern w:val="2"/>
          <w:sz w:val="44"/>
          <w:szCs w:val="44"/>
          <w:lang w:val="en-US" w:eastAsia="zh-CN" w:bidi="ar-SA"/>
          <w:highlight w:val="auto"/>
        </w:rPr>
      </w:pPr>
    </w:p>
    <w:p>
      <w:pPr>
        <w:widowControl/>
        <w:spacing w:line="560" w:lineRule="exact"/>
        <w:jc w:val="center"/>
        <w:rPr>
          <w:rFonts w:ascii="Times New Roman" w:eastAsia="黑体" w:hAnsi="Times New Roman" w:hint="eastAsia"/>
          <w:color w:val="auto"/>
          <w:sz w:val="48"/>
          <w:szCs w:val="48"/>
          <w:highlight w:val="auto"/>
        </w:rPr>
        <w:sectPr>
          <w:footerReference w:type="default" r:id="rId4"/>
          <w:footerReference w:type="first" r:id="rId5"/>
          <w:pgSz w:w="11906" w:h="16838"/>
          <w:pgMar w:top="2098" w:right="1474" w:bottom="1985" w:left="1588" w:header="851" w:footer="992" w:gutter="0"/>
          <w:pgNumType w:start="1"/>
          <w:titlePg/>
          <w:docGrid w:type="lines" w:linePitch="312" w:charSpace="0"/>
        </w:sectPr>
      </w:pPr>
      <w:bookmarkEnd w:id="0"/>
      <w:bookmarkEnd w:id="1"/>
      <w:bookmarkEnd w:id="2"/>
      <w:bookmarkEnd w:id="3"/>
      <w:bookmarkEnd w:id="4"/>
      <w:bookmarkEnd w:id="5"/>
    </w:p>
    <w:p>
      <w:pPr>
        <w:widowControl/>
        <w:spacing w:line="560" w:lineRule="exact"/>
        <w:jc w:val="center"/>
        <w:rPr>
          <w:rFonts w:ascii="Times New Roman" w:eastAsia="黑体" w:hAnsi="Times New Roman"/>
          <w:color w:val="auto"/>
          <w:sz w:val="48"/>
          <w:szCs w:val="48"/>
          <w:highlight w:val="auto"/>
        </w:rPr>
      </w:pPr>
      <w:r>
        <w:rPr>
          <w:rFonts w:ascii="Times New Roman" w:eastAsia="黑体" w:hAnsi="Times New Roman" w:hint="eastAsia"/>
          <w:color w:val="auto"/>
          <w:sz w:val="48"/>
          <w:szCs w:val="48"/>
          <w:highlight w:val="auto"/>
        </w:rPr>
        <w:t>目录</w:t>
      </w:r>
    </w:p>
    <w:p>
      <w:pPr>
        <w:pStyle w:val="15"/>
        <w:jc w:val="left"/>
      </w:pPr>
    </w:p>
    <w:p>
      <w:pPr>
        <w:pStyle w:val="17"/>
        <w:jc w:val="both"/>
      </w:pPr>
    </w:p>
    <w:p>
      <w:pPr>
        <w:pStyle w:val="15"/>
        <w:jc w:val="left"/>
      </w:pPr>
    </w:p>
    <w:p>
      <w:pPr>
        <w:pStyle w:val="26"/>
        <w:tabs>
          <w:tab w:val="right" w:leader="dot" w:pos="8843"/>
        </w:tabs>
        <w:spacing w:before="120" w:after="120" w:line="560" w:lineRule="exact"/>
        <w:jc w:val="left"/>
        <w:rPr>
          <w:sz w:val="22"/>
          <w:szCs w:val="22"/>
        </w:rPr>
      </w:pPr>
      <w:bookmarkStart w:id="6" w:name="_Toc15396599"/>
      <w:bookmarkStart w:id="7" w:name="_Toc15377196"/>
      <w:r>
        <w:rPr>
          <w:rFonts w:ascii="Times New Roman" w:hAnsi="Times New Roman"/>
          <w:color w:val="auto"/>
          <w:sz w:val="22"/>
          <w:szCs w:val="22"/>
          <w:highlight w:val="auto"/>
        </w:rPr>
        <w:fldChar w:fldCharType="begin"/>
      </w:r>
      <w:r>
        <w:rPr>
          <w:rFonts w:ascii="Times New Roman" w:hAnsi="Times New Roman"/>
          <w:color w:val="auto"/>
          <w:sz w:val="22"/>
          <w:szCs w:val="22"/>
          <w:highlight w:val="auto"/>
        </w:rPr>
        <w:instrText xml:space="preserve"> TOC \o "1-2" \h \u </w:instrText>
      </w:r>
      <w:r>
        <w:rPr>
          <w:rFonts w:ascii="Times New Roman" w:hAnsi="Times New Roman"/>
          <w:color w:val="auto"/>
          <w:sz w:val="22"/>
          <w:szCs w:val="22"/>
          <w:highlight w:val="auto"/>
        </w:rPr>
        <w:fldChar w:fldCharType="separate"/>
      </w:r>
      <w:r>
        <w:rPr>
          <w:sz w:val="22"/>
          <w:szCs w:val="22"/>
        </w:rPr>
        <w:fldChar w:fldCharType="begin"/>
      </w:r>
      <w:r>
        <w:rPr>
          <w:sz w:val="22"/>
          <w:szCs w:val="22"/>
        </w:rPr>
        <w:instrText>Hyperlink \l "_Toc11819410"</w:instrText>
      </w:r>
      <w:r>
        <w:rPr>
          <w:sz w:val="22"/>
          <w:szCs w:val="22"/>
        </w:rPr>
        <w:fldChar w:fldCharType="separate"/>
      </w:r>
      <w:r>
        <w:rPr>
          <w:rFonts w:ascii="Times New Roman" w:eastAsia="方正小标宋简体" w:cs="方正小标宋简体" w:hAnsi="Times New Roman" w:hint="eastAsia"/>
          <w:sz w:val="22"/>
          <w:szCs w:val="22"/>
          <w:highlight w:val="auto"/>
        </w:rPr>
        <w:t>第一部分</w:t>
      </w:r>
      <w:r>
        <w:rPr>
          <w:rFonts w:ascii="Times New Roman" w:eastAsia="方正小标宋简体" w:cs="方正小标宋简体" w:hAnsi="Times New Roman" w:hint="eastAsia"/>
          <w:sz w:val="22"/>
          <w:szCs w:val="22"/>
          <w:lang w:val="en-US" w:eastAsia="zh-CN"/>
          <w:highlight w:val="auto"/>
        </w:rPr>
        <w:t xml:space="preserve"> </w:t>
      </w:r>
      <w:r>
        <w:rPr>
          <w:rFonts w:ascii="Times New Roman" w:eastAsia="方正小标宋简体" w:cs="方正小标宋简体" w:hAnsi="Times New Roman" w:hint="eastAsia"/>
          <w:sz w:val="22"/>
          <w:szCs w:val="22"/>
          <w:highlight w:val="auto"/>
        </w:rPr>
        <w:t xml:space="preserve"> </w:t>
      </w:r>
      <w:r>
        <w:rPr>
          <w:rFonts w:ascii="Times New Roman" w:eastAsia="方正小标宋简体" w:cs="方正小标宋简体" w:hAnsi="Times New Roman" w:hint="eastAsia"/>
          <w:bCs w:val="0"/>
          <w:kern w:val="44"/>
          <w:sz w:val="22"/>
          <w:szCs w:val="22"/>
          <w:lang w:val="en-US" w:eastAsia="zh-CN" w:bidi="ar-SA"/>
        </w:rPr>
        <w:t>部门概况</w:t>
      </w:r>
      <w:r>
        <w:rPr>
          <w:sz w:val="22"/>
          <w:szCs w:val="22"/>
        </w:rPr>
        <w:tab/>
      </w:r>
      <w:r>
        <w:rPr>
          <w:sz w:val="22"/>
          <w:szCs w:val="22"/>
        </w:rPr>
        <w:fldChar w:fldCharType="begin"/>
      </w:r>
      <w:r>
        <w:rPr>
          <w:sz w:val="22"/>
          <w:szCs w:val="22"/>
        </w:rPr>
        <w:instrText>PageRef _Toc11819410 \h</w:instrText>
      </w:r>
      <w:r>
        <w:rPr>
          <w:sz w:val="22"/>
          <w:szCs w:val="22"/>
        </w:rPr>
        <w:fldChar w:fldCharType="separate"/>
      </w:r>
      <w:r>
        <w:rPr>
          <w:sz w:val="22"/>
          <w:szCs w:val="22"/>
        </w:rPr>
        <w:t>1</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"_Toc11819411"</w:instrText>
      </w:r>
      <w:r>
        <w:rPr>
          <w:sz w:val="22"/>
          <w:szCs w:val="22"/>
        </w:rPr>
        <w:fldChar w:fldCharType="separate"/>
      </w:r>
      <w:r>
        <w:rPr>
          <w:rFonts w:ascii="Times New Roman" w:eastAsia="黑体" w:hAnsi="Times New Roman" w:hint="eastAsia"/>
          <w:sz w:val="22"/>
          <w:szCs w:val="22"/>
          <w:highlight w:val="auto"/>
        </w:rPr>
        <w:t>一、</w:t>
      </w:r>
      <w:r>
        <w:rPr>
          <w:rFonts w:ascii="Times New Roman" w:eastAsia="黑体" w:hAnsi="Times New Roman" w:hint="eastAsia"/>
          <w:sz w:val="22"/>
          <w:szCs w:val="22"/>
          <w:lang w:eastAsia="zh-CN"/>
          <w:highlight w:val="auto"/>
        </w:rPr>
        <w:t>部门职责</w:t>
      </w:r>
      <w:r>
        <w:rPr>
          <w:sz w:val="22"/>
          <w:szCs w:val="22"/>
        </w:rPr>
        <w:tab/>
      </w:r>
      <w:r>
        <w:rPr>
          <w:sz w:val="22"/>
          <w:szCs w:val="22"/>
        </w:rPr>
        <w:fldChar w:fldCharType="begin"/>
      </w:r>
      <w:r>
        <w:rPr>
          <w:sz w:val="22"/>
          <w:szCs w:val="22"/>
        </w:rPr>
        <w:instrText>PageRef _Toc11819411 \h</w:instrText>
      </w:r>
      <w:r>
        <w:rPr>
          <w:sz w:val="22"/>
          <w:szCs w:val="22"/>
        </w:rPr>
        <w:fldChar w:fldCharType="separate"/>
      </w:r>
      <w:r>
        <w:rPr>
          <w:sz w:val="22"/>
          <w:szCs w:val="22"/>
        </w:rPr>
        <w:t>1</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"_Toc11819412"</w:instrText>
      </w:r>
      <w:r>
        <w:rPr>
          <w:sz w:val="22"/>
          <w:szCs w:val="22"/>
        </w:rPr>
        <w:fldChar w:fldCharType="separate"/>
      </w:r>
      <w:r>
        <w:rPr>
          <w:rFonts w:ascii="Times New Roman" w:eastAsia="黑体" w:hAnsi="Times New Roman" w:hint="eastAsia"/>
          <w:sz w:val="22"/>
          <w:szCs w:val="22"/>
        </w:rPr>
        <w:t>二、机</w:t>
      </w:r>
      <w:r>
        <w:rPr>
          <w:rFonts w:ascii="Times New Roman" w:eastAsia="黑体" w:cs="Times New Roman" w:hAnsi="Times New Roman" w:hint="eastAsia"/>
          <w:bCs w:val="0"/>
          <w:kern w:val="2"/>
          <w:sz w:val="22"/>
          <w:szCs w:val="22"/>
          <w:lang w:val="en-US" w:eastAsia="zh-CN" w:bidi="ar-SA"/>
        </w:rPr>
        <w:t>构设置</w:t>
      </w:r>
      <w:r>
        <w:rPr>
          <w:sz w:val="22"/>
          <w:szCs w:val="22"/>
        </w:rPr>
        <w:tab/>
      </w:r>
      <w:r>
        <w:rPr>
          <w:sz w:val="22"/>
          <w:szCs w:val="22"/>
        </w:rPr>
        <w:fldChar w:fldCharType="begin"/>
      </w:r>
      <w:r>
        <w:rPr>
          <w:sz w:val="22"/>
          <w:szCs w:val="22"/>
        </w:rPr>
        <w:instrText>PageRef _Toc11819412 \h</w:instrText>
      </w:r>
      <w:r>
        <w:rPr>
          <w:sz w:val="22"/>
          <w:szCs w:val="22"/>
        </w:rPr>
        <w:fldChar w:fldCharType="separate"/>
      </w:r>
      <w:r>
        <w:rPr>
          <w:sz w:val="22"/>
          <w:szCs w:val="22"/>
        </w:rPr>
        <w:t>3</w:t>
      </w:r>
      <w:r>
        <w:rPr>
          <w:sz w:val="22"/>
          <w:szCs w:val="22"/>
        </w:rPr>
        <w:fldChar w:fldCharType="end"/>
      </w:r>
      <w:r>
        <w:rPr>
          <w:sz w:val="22"/>
          <w:szCs w:val="22"/>
        </w:rPr>
        <w:fldChar w:fldCharType="end"/>
      </w:r>
    </w:p>
    <w:p>
      <w:pPr>
        <w:pStyle w:val="26"/>
        <w:tabs>
          <w:tab w:val="right" w:leader="dot" w:pos="8843"/>
        </w:tabs>
        <w:spacing w:before="120" w:after="120" w:line="560" w:lineRule="exact"/>
        <w:jc w:val="left"/>
        <w:rPr>
          <w:sz w:val="22"/>
          <w:szCs w:val="22"/>
        </w:rPr>
      </w:pPr>
      <w:r>
        <w:rPr>
          <w:sz w:val="22"/>
          <w:szCs w:val="22"/>
        </w:rPr>
        <w:fldChar w:fldCharType="begin"/>
      </w:r>
      <w:r>
        <w:rPr>
          <w:sz w:val="22"/>
          <w:szCs w:val="22"/>
        </w:rPr>
        <w:instrText>Hyperlink \l "_Toc11819413"</w:instrText>
      </w:r>
      <w:r>
        <w:rPr>
          <w:sz w:val="22"/>
          <w:szCs w:val="22"/>
        </w:rPr>
        <w:fldChar w:fldCharType="separate"/>
      </w:r>
      <w:r>
        <w:rPr>
          <w:rFonts w:ascii="Times New Roman" w:eastAsia="方正小标宋简体" w:cs="方正小标宋简体" w:hAnsi="Times New Roman" w:hint="eastAsia"/>
          <w:sz w:val="22"/>
          <w:szCs w:val="22"/>
        </w:rPr>
        <w:t>第二部分</w:t>
      </w:r>
      <w:r>
        <w:rPr>
          <w:rFonts w:ascii="Times New Roman" w:eastAsia="方正小标宋简体" w:cs="方正小标宋简体" w:hAnsi="Times New Roman" w:hint="eastAsia"/>
          <w:sz w:val="22"/>
          <w:szCs w:val="22"/>
          <w:lang w:val="en-US" w:eastAsia="zh-CN"/>
        </w:rPr>
        <w:t xml:space="preserve"> </w:t>
      </w:r>
      <w:r>
        <w:rPr>
          <w:rFonts w:ascii="Times New Roman" w:eastAsia="方正小标宋简体" w:cs="方正小标宋简体" w:hAnsi="Times New Roman" w:hint="eastAsia"/>
          <w:sz w:val="22"/>
          <w:szCs w:val="22"/>
        </w:rPr>
        <w:t xml:space="preserve"> </w:t>
      </w:r>
      <w:r>
        <w:rPr>
          <w:rFonts w:eastAsia="方正小标宋简体" w:cs="方正小标宋简体" w:hint="eastAsia"/>
          <w:sz w:val="22"/>
          <w:szCs w:val="22"/>
          <w:lang w:val="en-US" w:eastAsia="zh-CN"/>
        </w:rPr>
        <w:t>2025年度</w:t>
      </w:r>
      <w:r>
        <w:rPr>
          <w:rFonts w:ascii="Times New Roman" w:eastAsia="方正小标宋简体" w:cs="方正小标宋简体" w:hAnsi="Times New Roman" w:hint="eastAsia"/>
          <w:sz w:val="22"/>
          <w:szCs w:val="22"/>
        </w:rPr>
        <w:t>部门决算情况说明</w:t>
      </w:r>
      <w:r>
        <w:rPr>
          <w:sz w:val="22"/>
          <w:szCs w:val="22"/>
        </w:rPr>
        <w:tab/>
      </w:r>
      <w:r>
        <w:rPr>
          <w:sz w:val="22"/>
          <w:szCs w:val="22"/>
        </w:rPr>
        <w:fldChar w:fldCharType="begin"/>
      </w:r>
      <w:r>
        <w:rPr>
          <w:sz w:val="22"/>
          <w:szCs w:val="22"/>
        </w:rPr>
        <w:instrText>PageRef _Toc11819413 \h</w:instrText>
      </w:r>
      <w:r>
        <w:rPr>
          <w:sz w:val="22"/>
          <w:szCs w:val="22"/>
        </w:rPr>
        <w:fldChar w:fldCharType="separate"/>
      </w:r>
      <w:r>
        <w:rPr>
          <w:sz w:val="22"/>
          <w:szCs w:val="22"/>
        </w:rPr>
        <w:t>4</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"_Toc11819414"</w:instrText>
      </w:r>
      <w:r>
        <w:rPr>
          <w:sz w:val="22"/>
          <w:szCs w:val="22"/>
        </w:rPr>
        <w:fldChar w:fldCharType="separate"/>
      </w:r>
      <w:r>
        <w:rPr>
          <w:rFonts w:ascii="Times New Roman" w:eastAsia="黑体" w:hAnsi="Times New Roman" w:hint="eastAsia"/>
          <w:sz w:val="22"/>
          <w:szCs w:val="22"/>
          <w:lang w:eastAsia="zh-CN"/>
        </w:rPr>
        <w:t>一、</w:t>
      </w:r>
      <w:r>
        <w:rPr>
          <w:rFonts w:ascii="Times New Roman" w:eastAsia="黑体" w:hAnsi="Times New Roman" w:hint="eastAsia"/>
          <w:sz w:val="22"/>
          <w:szCs w:val="22"/>
        </w:rPr>
        <w:t>收</w:t>
      </w:r>
      <w:r>
        <w:rPr>
          <w:rFonts w:ascii="Times New Roman" w:eastAsia="黑体" w:cs="Times New Roman" w:hAnsi="Times New Roman" w:hint="eastAsia"/>
          <w:bCs/>
          <w:kern w:val="2"/>
          <w:sz w:val="22"/>
          <w:szCs w:val="22"/>
          <w:lang w:val="en-US" w:eastAsia="zh-CN" w:bidi="ar-SA"/>
        </w:rPr>
        <w:t>入支出决算总体情况说明</w:t>
      </w:r>
      <w:r>
        <w:rPr>
          <w:sz w:val="22"/>
          <w:szCs w:val="22"/>
        </w:rPr>
        <w:tab/>
      </w:r>
      <w:r>
        <w:rPr>
          <w:sz w:val="22"/>
          <w:szCs w:val="22"/>
        </w:rPr>
        <w:fldChar w:fldCharType="begin"/>
      </w:r>
      <w:r>
        <w:rPr>
          <w:sz w:val="22"/>
          <w:szCs w:val="22"/>
        </w:rPr>
        <w:instrText>PageRef _Toc11819414 \h</w:instrText>
      </w:r>
      <w:r>
        <w:rPr>
          <w:sz w:val="22"/>
          <w:szCs w:val="22"/>
        </w:rPr>
        <w:fldChar w:fldCharType="separate"/>
      </w:r>
      <w:r>
        <w:rPr>
          <w:sz w:val="22"/>
          <w:szCs w:val="22"/>
        </w:rPr>
        <w:t>4</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"_Toc11819415"</w:instrText>
      </w:r>
      <w:r>
        <w:rPr>
          <w:sz w:val="22"/>
          <w:szCs w:val="22"/>
        </w:rPr>
        <w:fldChar w:fldCharType="separate"/>
      </w:r>
      <w:r>
        <w:rPr>
          <w:rFonts w:ascii="Times New Roman" w:eastAsia="黑体" w:hAnsi="Times New Roman" w:hint="eastAsia"/>
          <w:sz w:val="22"/>
          <w:szCs w:val="22"/>
          <w:lang w:eastAsia="zh-CN"/>
        </w:rPr>
        <w:t>二、收入决算情况说明</w:t>
      </w:r>
      <w:r>
        <w:rPr>
          <w:sz w:val="22"/>
          <w:szCs w:val="22"/>
        </w:rPr>
        <w:tab/>
      </w:r>
      <w:r>
        <w:rPr>
          <w:sz w:val="22"/>
          <w:szCs w:val="22"/>
        </w:rPr>
        <w:fldChar w:fldCharType="begin"/>
      </w:r>
      <w:r>
        <w:rPr>
          <w:sz w:val="22"/>
          <w:szCs w:val="22"/>
        </w:rPr>
        <w:instrText>PageRef _Toc11819415 \h</w:instrText>
      </w:r>
      <w:r>
        <w:rPr>
          <w:sz w:val="22"/>
          <w:szCs w:val="22"/>
        </w:rPr>
        <w:fldChar w:fldCharType="separate"/>
      </w:r>
      <w:r>
        <w:rPr>
          <w:sz w:val="22"/>
          <w:szCs w:val="22"/>
        </w:rPr>
        <w:t>4</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"_Toc11819416"</w:instrText>
      </w:r>
      <w:r>
        <w:rPr>
          <w:sz w:val="22"/>
          <w:szCs w:val="22"/>
        </w:rPr>
        <w:fldChar w:fldCharType="separate"/>
      </w:r>
      <w:r>
        <w:rPr>
          <w:rFonts w:ascii="Times New Roman" w:eastAsia="黑体" w:hAnsi="Times New Roman" w:hint="eastAsia"/>
          <w:sz w:val="22"/>
          <w:szCs w:val="22"/>
          <w:lang w:eastAsia="zh-CN"/>
        </w:rPr>
        <w:t>三、</w:t>
      </w:r>
      <w:r>
        <w:rPr>
          <w:rFonts w:ascii="Times New Roman" w:eastAsia="黑体" w:hAnsi="Times New Roman" w:hint="eastAsia"/>
          <w:sz w:val="22"/>
          <w:szCs w:val="22"/>
        </w:rPr>
        <w:t>支</w:t>
      </w:r>
      <w:r>
        <w:rPr>
          <w:rFonts w:ascii="Times New Roman" w:eastAsia="黑体" w:cs="Times New Roman" w:hAnsi="Times New Roman" w:hint="eastAsia"/>
          <w:bCs/>
          <w:kern w:val="2"/>
          <w:sz w:val="22"/>
          <w:szCs w:val="22"/>
          <w:lang w:val="en-US" w:eastAsia="zh-CN" w:bidi="ar-SA"/>
        </w:rPr>
        <w:t>出决算情况说明</w:t>
      </w:r>
      <w:r>
        <w:rPr>
          <w:sz w:val="22"/>
          <w:szCs w:val="22"/>
        </w:rPr>
        <w:tab/>
      </w:r>
      <w:r>
        <w:rPr>
          <w:sz w:val="22"/>
          <w:szCs w:val="22"/>
        </w:rPr>
        <w:fldChar w:fldCharType="begin"/>
      </w:r>
      <w:r>
        <w:rPr>
          <w:sz w:val="22"/>
          <w:szCs w:val="22"/>
        </w:rPr>
        <w:instrText>PageRef _Toc11819416 \h</w:instrText>
      </w:r>
      <w:r>
        <w:rPr>
          <w:sz w:val="22"/>
          <w:szCs w:val="22"/>
        </w:rPr>
        <w:fldChar w:fldCharType="separate"/>
      </w:r>
      <w:r>
        <w:rPr>
          <w:sz w:val="22"/>
          <w:szCs w:val="22"/>
        </w:rPr>
        <w:t>5</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"_Toc11819417"</w:instrText>
      </w:r>
      <w:r>
        <w:rPr>
          <w:sz w:val="22"/>
          <w:szCs w:val="22"/>
        </w:rPr>
        <w:fldChar w:fldCharType="separate"/>
      </w:r>
      <w:r>
        <w:rPr>
          <w:rFonts w:ascii="Times New Roman" w:eastAsia="黑体" w:hAnsi="Times New Roman" w:hint="eastAsia"/>
          <w:sz w:val="22"/>
          <w:szCs w:val="22"/>
        </w:rPr>
        <w:t>四、财</w:t>
      </w:r>
      <w:r>
        <w:rPr>
          <w:rFonts w:ascii="Times New Roman" w:eastAsia="黑体" w:cs="Times New Roman" w:hAnsi="Times New Roman" w:hint="eastAsia"/>
          <w:bCs/>
          <w:kern w:val="2"/>
          <w:sz w:val="22"/>
          <w:szCs w:val="22"/>
          <w:lang w:val="en-US" w:eastAsia="zh-CN" w:bidi="ar-SA"/>
        </w:rPr>
        <w:t>政拨款收入支出决算总体情况说明</w:t>
      </w:r>
      <w:r>
        <w:rPr>
          <w:sz w:val="22"/>
          <w:szCs w:val="22"/>
        </w:rPr>
        <w:tab/>
      </w:r>
      <w:r>
        <w:rPr>
          <w:sz w:val="22"/>
          <w:szCs w:val="22"/>
        </w:rPr>
        <w:fldChar w:fldCharType="begin"/>
      </w:r>
      <w:r>
        <w:rPr>
          <w:sz w:val="22"/>
          <w:szCs w:val="22"/>
        </w:rPr>
        <w:instrText>PageRef _Toc11819417 \h</w:instrText>
      </w:r>
      <w:r>
        <w:rPr>
          <w:sz w:val="22"/>
          <w:szCs w:val="22"/>
        </w:rPr>
        <w:fldChar w:fldCharType="separate"/>
      </w:r>
      <w:r>
        <w:rPr>
          <w:sz w:val="22"/>
          <w:szCs w:val="22"/>
        </w:rPr>
        <w:t>5</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"_Toc11819418"</w:instrText>
      </w:r>
      <w:r>
        <w:rPr>
          <w:sz w:val="22"/>
          <w:szCs w:val="22"/>
        </w:rPr>
        <w:fldChar w:fldCharType="separate"/>
      </w:r>
      <w:r>
        <w:rPr>
          <w:rFonts w:ascii="Times New Roman" w:eastAsia="黑体" w:hAnsi="Times New Roman" w:hint="eastAsia"/>
          <w:sz w:val="22"/>
          <w:szCs w:val="22"/>
        </w:rPr>
        <w:t>五、一</w:t>
      </w:r>
      <w:r>
        <w:rPr>
          <w:rFonts w:ascii="Times New Roman" w:eastAsia="黑体" w:cs="Times New Roman" w:hAnsi="Times New Roman" w:hint="eastAsia"/>
          <w:bCs/>
          <w:kern w:val="2"/>
          <w:sz w:val="22"/>
          <w:szCs w:val="22"/>
          <w:lang w:val="en-US" w:eastAsia="zh-CN" w:bidi="ar-SA"/>
        </w:rPr>
        <w:t>般公共预算财政拨款支出决算情况说明</w:t>
      </w:r>
      <w:r>
        <w:rPr>
          <w:sz w:val="22"/>
          <w:szCs w:val="22"/>
        </w:rPr>
        <w:tab/>
      </w:r>
      <w:r>
        <w:rPr>
          <w:sz w:val="22"/>
          <w:szCs w:val="22"/>
        </w:rPr>
        <w:fldChar w:fldCharType="begin"/>
      </w:r>
      <w:r>
        <w:rPr>
          <w:sz w:val="22"/>
          <w:szCs w:val="22"/>
        </w:rPr>
        <w:instrText>PageRef _Toc11819418 \h</w:instrText>
      </w:r>
      <w:r>
        <w:rPr>
          <w:sz w:val="22"/>
          <w:szCs w:val="22"/>
        </w:rPr>
        <w:fldChar w:fldCharType="separate"/>
      </w:r>
      <w:r>
        <w:rPr>
          <w:sz w:val="22"/>
          <w:szCs w:val="22"/>
        </w:rPr>
        <w:t>6</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"_Toc11819419"</w:instrText>
      </w:r>
      <w:r>
        <w:rPr>
          <w:sz w:val="22"/>
          <w:szCs w:val="22"/>
        </w:rPr>
        <w:fldChar w:fldCharType="separate"/>
      </w:r>
      <w:r>
        <w:rPr>
          <w:rFonts w:ascii="Times New Roman" w:eastAsia="黑体" w:hAnsi="Times New Roman" w:hint="eastAsia"/>
          <w:sz w:val="22"/>
          <w:szCs w:val="22"/>
          <w:highlight w:val="auto"/>
        </w:rPr>
        <w:t>六、一</w:t>
      </w:r>
      <w:r>
        <w:rPr>
          <w:rFonts w:ascii="Times New Roman" w:eastAsia="黑体" w:cs="Times New Roman" w:hAnsi="Times New Roman" w:hint="eastAsia"/>
          <w:bCs/>
          <w:kern w:val="2"/>
          <w:sz w:val="22"/>
          <w:szCs w:val="22"/>
          <w:lang w:val="en-US" w:eastAsia="zh-CN" w:bidi="ar-SA"/>
        </w:rPr>
        <w:t>般公共预算财政拨款基本支出决算情况说明</w:t>
      </w:r>
      <w:r>
        <w:rPr>
          <w:sz w:val="22"/>
          <w:szCs w:val="22"/>
        </w:rPr>
        <w:tab/>
      </w:r>
      <w:r>
        <w:rPr>
          <w:sz w:val="22"/>
          <w:szCs w:val="22"/>
        </w:rPr>
        <w:fldChar w:fldCharType="begin"/>
      </w:r>
      <w:r>
        <w:rPr>
          <w:sz w:val="22"/>
          <w:szCs w:val="22"/>
        </w:rPr>
        <w:instrText>PageRef _Toc11819419 \h</w:instrText>
      </w:r>
      <w:r>
        <w:rPr>
          <w:sz w:val="22"/>
          <w:szCs w:val="22"/>
        </w:rPr>
        <w:fldChar w:fldCharType="separate"/>
      </w:r>
      <w:r>
        <w:rPr>
          <w:sz w:val="22"/>
          <w:szCs w:val="22"/>
        </w:rPr>
        <w:t>8</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"_Toc11819420"</w:instrText>
      </w:r>
      <w:r>
        <w:rPr>
          <w:sz w:val="22"/>
          <w:szCs w:val="22"/>
        </w:rPr>
        <w:fldChar w:fldCharType="separate"/>
      </w:r>
      <w:r>
        <w:rPr>
          <w:rFonts w:ascii="Times New Roman" w:eastAsia="黑体" w:hAnsi="Times New Roman" w:hint="eastAsia"/>
          <w:sz w:val="22"/>
          <w:szCs w:val="22"/>
          <w:highlight w:val="auto"/>
        </w:rPr>
        <w:t>七、</w:t>
      </w:r>
      <w:r>
        <w:rPr>
          <w:rFonts w:ascii="Times New Roman" w:eastAsia="黑体" w:cs="Times New Roman" w:hAnsi="Times New Roman" w:hint="eastAsia"/>
          <w:bCs/>
          <w:kern w:val="2"/>
          <w:sz w:val="22"/>
          <w:szCs w:val="22"/>
          <w:lang w:val="en-US" w:eastAsia="zh-CN" w:bidi="ar-SA"/>
        </w:rPr>
        <w:t>财政拨款“三公”经费支出决算情况说明</w:t>
      </w:r>
      <w:r>
        <w:rPr>
          <w:sz w:val="22"/>
          <w:szCs w:val="22"/>
        </w:rPr>
        <w:tab/>
      </w:r>
      <w:r>
        <w:rPr>
          <w:sz w:val="22"/>
          <w:szCs w:val="22"/>
        </w:rPr>
        <w:fldChar w:fldCharType="begin"/>
      </w:r>
      <w:r>
        <w:rPr>
          <w:sz w:val="22"/>
          <w:szCs w:val="22"/>
        </w:rPr>
        <w:instrText>PageRef _Toc11819420 \h</w:instrText>
      </w:r>
      <w:r>
        <w:rPr>
          <w:sz w:val="22"/>
          <w:szCs w:val="22"/>
        </w:rPr>
        <w:fldChar w:fldCharType="separate"/>
      </w:r>
      <w:r>
        <w:rPr>
          <w:sz w:val="22"/>
          <w:szCs w:val="22"/>
        </w:rPr>
        <w:t>8</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"_Toc11819421"</w:instrText>
      </w:r>
      <w:r>
        <w:rPr>
          <w:sz w:val="22"/>
          <w:szCs w:val="22"/>
        </w:rPr>
        <w:fldChar w:fldCharType="separate"/>
      </w:r>
      <w:r>
        <w:rPr>
          <w:rFonts w:ascii="Times New Roman" w:eastAsia="黑体" w:hAnsi="Times New Roman" w:hint="eastAsia"/>
          <w:sz w:val="22"/>
          <w:szCs w:val="22"/>
          <w:highlight w:val="auto"/>
        </w:rPr>
        <w:t>八、</w:t>
      </w:r>
      <w:r>
        <w:rPr>
          <w:rFonts w:ascii="Times New Roman" w:eastAsia="黑体" w:cs="Times New Roman" w:hAnsi="Times New Roman" w:hint="eastAsia"/>
          <w:bCs/>
          <w:kern w:val="2"/>
          <w:sz w:val="22"/>
          <w:szCs w:val="22"/>
          <w:lang w:val="en-US" w:eastAsia="zh-CN" w:bidi="ar-SA"/>
        </w:rPr>
        <w:t>政府性基金预算支出决算情况说明</w:t>
      </w:r>
      <w:r>
        <w:rPr>
          <w:sz w:val="22"/>
          <w:szCs w:val="22"/>
        </w:rPr>
        <w:tab/>
      </w:r>
      <w:r>
        <w:rPr>
          <w:sz w:val="22"/>
          <w:szCs w:val="22"/>
        </w:rPr>
        <w:fldChar w:fldCharType="begin"/>
      </w:r>
      <w:r>
        <w:rPr>
          <w:sz w:val="22"/>
          <w:szCs w:val="22"/>
        </w:rPr>
        <w:instrText>PageRef _Toc11819421 \h</w:instrText>
      </w:r>
      <w:r>
        <w:rPr>
          <w:sz w:val="22"/>
          <w:szCs w:val="22"/>
        </w:rPr>
        <w:fldChar w:fldCharType="separate"/>
      </w:r>
      <w:r>
        <w:rPr>
          <w:sz w:val="22"/>
          <w:szCs w:val="22"/>
        </w:rPr>
        <w:t>10</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"_Toc11819422"</w:instrText>
      </w:r>
      <w:r>
        <w:rPr>
          <w:sz w:val="22"/>
          <w:szCs w:val="22"/>
        </w:rPr>
        <w:fldChar w:fldCharType="separate"/>
      </w:r>
      <w:r>
        <w:rPr>
          <w:rFonts w:ascii="Times New Roman" w:eastAsia="黑体" w:cs="Times New Roman" w:hAnsi="Times New Roman" w:hint="eastAsia"/>
          <w:bCs/>
          <w:kern w:val="2"/>
          <w:sz w:val="22"/>
          <w:szCs w:val="22"/>
          <w:lang w:val="en-US" w:eastAsia="zh-CN" w:bidi="ar-SA"/>
        </w:rPr>
        <w:t>九、国有资本经营预算支出决算情况说明</w:t>
      </w:r>
      <w:r>
        <w:rPr>
          <w:sz w:val="22"/>
          <w:szCs w:val="22"/>
        </w:rPr>
        <w:tab/>
      </w:r>
      <w:r>
        <w:rPr>
          <w:sz w:val="22"/>
          <w:szCs w:val="22"/>
        </w:rPr>
        <w:fldChar w:fldCharType="begin"/>
      </w:r>
      <w:r>
        <w:rPr>
          <w:sz w:val="22"/>
          <w:szCs w:val="22"/>
        </w:rPr>
        <w:instrText>PageRef _Toc11819422 \h</w:instrText>
      </w:r>
      <w:r>
        <w:rPr>
          <w:sz w:val="22"/>
          <w:szCs w:val="22"/>
        </w:rPr>
        <w:fldChar w:fldCharType="separate"/>
      </w:r>
      <w:r>
        <w:rPr>
          <w:sz w:val="22"/>
          <w:szCs w:val="22"/>
        </w:rPr>
        <w:t>10</w:t>
      </w:r>
      <w:r>
        <w:rPr>
          <w:sz w:val="22"/>
          <w:szCs w:val="22"/>
        </w:rPr>
        <w:fldChar w:fldCharType="end"/>
      </w:r>
      <w:r>
        <w:rPr>
          <w:sz w:val="22"/>
          <w:szCs w:val="22"/>
        </w:rPr>
        <w:fldChar w:fldCharType="end"/>
      </w:r>
    </w:p>
    <w:p>
      <w:pPr>
        <w:pStyle w:val="29"/>
        <w:tabs>
          <w:tab w:val="right" w:leader="dot" w:pos="8843"/>
        </w:tabs>
        <w:spacing w:line="560" w:lineRule="exact"/>
        <w:jc w:val="left"/>
        <w:rPr>
          <w:sz w:val="22"/>
          <w:szCs w:val="22"/>
        </w:rPr>
      </w:pPr>
      <w:r>
        <w:rPr>
          <w:sz w:val="22"/>
          <w:szCs w:val="22"/>
        </w:rPr>
        <w:fldChar w:fldCharType="begin"/>
      </w:r>
      <w:r>
        <w:rPr>
          <w:sz w:val="22"/>
          <w:szCs w:val="22"/>
        </w:rPr>
        <w:instrText>Hyperlink \l "_Toc11819423"</w:instrText>
      </w:r>
      <w:r>
        <w:rPr>
          <w:sz w:val="22"/>
          <w:szCs w:val="22"/>
        </w:rPr>
        <w:fldChar w:fldCharType="separate"/>
      </w:r>
      <w:r>
        <w:rPr>
          <w:rFonts w:ascii="Times New Roman" w:eastAsia="黑体" w:cs="Times New Roman" w:hAnsi="Times New Roman" w:hint="eastAsia"/>
          <w:bCs/>
          <w:kern w:val="2"/>
          <w:sz w:val="22"/>
          <w:szCs w:val="22"/>
          <w:lang w:val="en-US" w:eastAsia="zh-CN" w:bidi="ar-SA"/>
        </w:rPr>
        <w:t>十、其他重要事项的情况说明</w:t>
      </w:r>
      <w:r>
        <w:rPr>
          <w:sz w:val="22"/>
          <w:szCs w:val="22"/>
        </w:rPr>
        <w:tab/>
      </w:r>
      <w:r>
        <w:rPr>
          <w:sz w:val="22"/>
          <w:szCs w:val="22"/>
        </w:rPr>
        <w:fldChar w:fldCharType="begin"/>
      </w:r>
      <w:r>
        <w:rPr>
          <w:sz w:val="22"/>
          <w:szCs w:val="22"/>
        </w:rPr>
        <w:instrText>PageRef _Toc11819423 \h</w:instrText>
      </w:r>
      <w:r>
        <w:rPr>
          <w:sz w:val="22"/>
          <w:szCs w:val="22"/>
        </w:rPr>
        <w:fldChar w:fldCharType="separate"/>
      </w:r>
      <w:r>
        <w:rPr>
          <w:sz w:val="22"/>
          <w:szCs w:val="22"/>
        </w:rPr>
        <w:t>10</w:t>
      </w:r>
      <w:r>
        <w:rPr>
          <w:sz w:val="22"/>
          <w:szCs w:val="22"/>
        </w:rPr>
        <w:fldChar w:fldCharType="end"/>
      </w:r>
      <w:r>
        <w:rPr>
          <w:sz w:val="22"/>
          <w:szCs w:val="22"/>
        </w:rPr>
        <w:fldChar w:fldCharType="end"/>
      </w:r>
    </w:p>
    <w:p>
      <w:pPr>
        <w:pStyle w:val="26"/>
        <w:tabs>
          <w:tab w:val="right" w:leader="dot" w:pos="8843"/>
        </w:tabs>
        <w:spacing w:before="120" w:after="120" w:line="560" w:lineRule="exact"/>
        <w:jc w:val="left"/>
        <w:rPr>
          <w:sz w:val="22"/>
          <w:szCs w:val="22"/>
        </w:rPr>
      </w:pPr>
      <w:r>
        <w:rPr>
          <w:sz w:val="22"/>
          <w:szCs w:val="22"/>
        </w:rPr>
        <w:fldChar w:fldCharType="begin"/>
      </w:r>
      <w:r>
        <w:rPr>
          <w:sz w:val="22"/>
          <w:szCs w:val="22"/>
        </w:rPr>
        <w:instrText>Hyperlink \l "_Toc11819424"</w:instrText>
      </w:r>
      <w:r>
        <w:rPr>
          <w:sz w:val="22"/>
          <w:szCs w:val="22"/>
        </w:rPr>
        <w:fldChar w:fldCharType="separate"/>
      </w:r>
      <w:r>
        <w:rPr>
          <w:rFonts w:ascii="Times New Roman" w:eastAsia="黑体" w:hAnsi="Times New Roman" w:hint="eastAsia"/>
          <w:sz w:val="22"/>
          <w:szCs w:val="22"/>
          <w:highlight w:val="auto"/>
        </w:rPr>
        <w:t>第</w:t>
      </w:r>
      <w:r>
        <w:rPr>
          <w:rFonts w:eastAsia="黑体" w:hint="eastAsia"/>
          <w:sz w:val="22"/>
          <w:szCs w:val="22"/>
          <w:lang w:eastAsia="zh-CN"/>
          <w:highlight w:val="auto"/>
        </w:rPr>
        <w:t>三</w:t>
      </w:r>
      <w:r>
        <w:rPr>
          <w:rFonts w:ascii="Times New Roman" w:eastAsia="黑体" w:hAnsi="Times New Roman" w:hint="eastAsia"/>
          <w:sz w:val="22"/>
          <w:szCs w:val="22"/>
          <w:highlight w:val="auto"/>
        </w:rPr>
        <w:t>部分</w:t>
      </w:r>
      <w:r>
        <w:rPr>
          <w:rFonts w:ascii="Times New Roman" w:eastAsia="黑体" w:hAnsi="Times New Roman" w:hint="eastAsia"/>
          <w:sz w:val="22"/>
          <w:szCs w:val="22"/>
          <w:lang w:val="en-US" w:eastAsia="zh-CN"/>
          <w:highlight w:val="auto"/>
        </w:rPr>
        <w:t xml:space="preserve"> </w:t>
      </w:r>
      <w:r>
        <w:rPr>
          <w:rFonts w:eastAsia="黑体" w:hint="eastAsia"/>
          <w:sz w:val="22"/>
          <w:szCs w:val="22"/>
          <w:lang w:val="en-US" w:eastAsia="zh-CN"/>
          <w:highlight w:val="auto"/>
        </w:rPr>
        <w:t xml:space="preserve"> </w:t>
      </w:r>
      <w:r>
        <w:rPr>
          <w:rFonts w:ascii="Times New Roman" w:eastAsia="黑体" w:hAnsi="Times New Roman" w:hint="eastAsia"/>
          <w:sz w:val="22"/>
          <w:szCs w:val="22"/>
          <w:highlight w:val="auto"/>
        </w:rPr>
        <w:t>名词解释</w:t>
      </w:r>
      <w:r>
        <w:rPr>
          <w:sz w:val="22"/>
          <w:szCs w:val="22"/>
        </w:rPr>
        <w:tab/>
      </w:r>
      <w:r>
        <w:rPr>
          <w:sz w:val="22"/>
          <w:szCs w:val="22"/>
        </w:rPr>
        <w:fldChar w:fldCharType="begin"/>
      </w:r>
      <w:r>
        <w:rPr>
          <w:sz w:val="22"/>
          <w:szCs w:val="22"/>
        </w:rPr>
        <w:instrText>PageRef _Toc11819424 \h</w:instrText>
      </w:r>
      <w:r>
        <w:rPr>
          <w:sz w:val="22"/>
          <w:szCs w:val="22"/>
        </w:rPr>
        <w:fldChar w:fldCharType="separate"/>
      </w:r>
      <w:r>
        <w:rPr>
          <w:sz w:val="22"/>
          <w:szCs w:val="22"/>
        </w:rPr>
        <w:t>12</w:t>
      </w:r>
      <w:r>
        <w:rPr>
          <w:sz w:val="22"/>
          <w:szCs w:val="22"/>
        </w:rPr>
        <w:fldChar w:fldCharType="end"/>
      </w:r>
      <w:r>
        <w:rPr>
          <w:sz w:val="22"/>
          <w:szCs w:val="22"/>
        </w:rPr>
        <w:fldChar w:fldCharType="end"/>
      </w:r>
    </w:p>
    <w:p>
      <w:pPr>
        <w:pStyle w:val="26"/>
        <w:tabs>
          <w:tab w:val="right" w:leader="dot" w:pos="8843"/>
        </w:tabs>
        <w:spacing w:before="120" w:after="120" w:line="560" w:lineRule="exact"/>
        <w:jc w:val="left"/>
        <w:rPr>
          <w:sz w:val="22"/>
          <w:szCs w:val="22"/>
        </w:rPr>
      </w:pPr>
      <w:r>
        <w:rPr>
          <w:sz w:val="22"/>
          <w:szCs w:val="22"/>
        </w:rPr>
        <w:fldChar w:fldCharType="begin"/>
      </w:r>
      <w:r>
        <w:rPr>
          <w:sz w:val="22"/>
          <w:szCs w:val="22"/>
        </w:rPr>
        <w:instrText>Hyperlink \l "_Toc11819425"</w:instrText>
      </w:r>
      <w:r>
        <w:rPr>
          <w:sz w:val="22"/>
          <w:szCs w:val="22"/>
        </w:rPr>
        <w:fldChar w:fldCharType="separate"/>
      </w:r>
      <w:r>
        <w:rPr>
          <w:rFonts w:ascii="Times New Roman" w:eastAsia="黑体" w:hAnsi="Times New Roman" w:hint="eastAsia"/>
          <w:sz w:val="22"/>
          <w:szCs w:val="22"/>
          <w:highlight w:val="auto"/>
        </w:rPr>
        <w:t>第</w:t>
      </w:r>
      <w:r>
        <w:rPr>
          <w:rFonts w:eastAsia="黑体"/>
          <w:sz w:val="22"/>
          <w:szCs w:val="22"/>
          <w:lang w:eastAsia="zh-CN"/>
          <w:highlight w:val="auto"/>
        </w:rPr>
        <w:t>四</w:t>
      </w:r>
      <w:r>
        <w:rPr>
          <w:rFonts w:ascii="Times New Roman" w:eastAsia="黑体" w:hAnsi="Times New Roman" w:hint="eastAsia"/>
          <w:sz w:val="22"/>
          <w:szCs w:val="22"/>
          <w:highlight w:val="auto"/>
        </w:rPr>
        <w:t>部分</w:t>
      </w:r>
      <w:r>
        <w:rPr>
          <w:rFonts w:ascii="Times New Roman" w:eastAsia="黑体" w:hAnsi="Times New Roman" w:hint="eastAsia"/>
          <w:sz w:val="22"/>
          <w:szCs w:val="22"/>
          <w:lang w:val="en-US" w:eastAsia="zh-CN"/>
          <w:highlight w:val="auto"/>
        </w:rPr>
        <w:t xml:space="preserve"> </w:t>
      </w:r>
      <w:r>
        <w:rPr>
          <w:rFonts w:ascii="Times New Roman" w:eastAsia="黑体" w:hAnsi="Times New Roman"/>
          <w:sz w:val="22"/>
          <w:szCs w:val="22"/>
          <w:lang w:val="en-US" w:eastAsia="zh-CN"/>
          <w:highlight w:val="auto"/>
        </w:rPr>
        <w:t xml:space="preserve"> </w:t>
      </w:r>
      <w:r>
        <w:rPr>
          <w:rFonts w:eastAsia="黑体"/>
          <w:sz w:val="22"/>
          <w:szCs w:val="22"/>
          <w:lang w:val="en-US" w:eastAsia="zh-CN"/>
          <w:highlight w:val="auto"/>
        </w:rPr>
        <w:t>附件</w:t>
      </w:r>
      <w:r>
        <w:rPr>
          <w:sz w:val="22"/>
          <w:szCs w:val="22"/>
        </w:rPr>
        <w:tab/>
      </w:r>
      <w:r>
        <w:rPr>
          <w:sz w:val="22"/>
          <w:szCs w:val="22"/>
        </w:rPr>
        <w:fldChar w:fldCharType="begin"/>
      </w:r>
      <w:r>
        <w:rPr>
          <w:sz w:val="22"/>
          <w:szCs w:val="22"/>
        </w:rPr>
        <w:instrText>PageRef _Toc11819425 \h</w:instrText>
      </w:r>
      <w:r>
        <w:rPr>
          <w:sz w:val="22"/>
          <w:szCs w:val="22"/>
        </w:rPr>
        <w:fldChar w:fldCharType="separate"/>
      </w:r>
      <w:r>
        <w:rPr>
          <w:sz w:val="22"/>
          <w:szCs w:val="22"/>
        </w:rPr>
        <w:t>14</w:t>
      </w:r>
      <w:r>
        <w:rPr>
          <w:sz w:val="22"/>
          <w:szCs w:val="22"/>
        </w:rPr>
        <w:fldChar w:fldCharType="end"/>
      </w:r>
      <w:r>
        <w:rPr>
          <w:sz w:val="22"/>
          <w:szCs w:val="22"/>
        </w:rPr>
        <w:fldChar w:fldCharType="end"/>
      </w:r>
    </w:p>
    <w:p>
      <w:pPr>
        <w:pStyle w:val="26"/>
        <w:tabs>
          <w:tab w:val="right" w:leader="dot" w:pos="8843"/>
        </w:tabs>
        <w:spacing w:before="120" w:after="120" w:line="560" w:lineRule="exact"/>
        <w:jc w:val="left"/>
        <w:rPr>
          <w:sz w:val="22"/>
          <w:szCs w:val="22"/>
        </w:rPr>
      </w:pPr>
      <w:r>
        <w:rPr>
          <w:sz w:val="22"/>
          <w:szCs w:val="22"/>
        </w:rPr>
        <w:fldChar w:fldCharType="begin"/>
      </w:r>
      <w:r>
        <w:rPr>
          <w:sz w:val="22"/>
          <w:szCs w:val="22"/>
        </w:rPr>
        <w:instrText>Hyperlink \l "_Toc11819426"</w:instrText>
      </w:r>
      <w:r>
        <w:rPr>
          <w:sz w:val="22"/>
          <w:szCs w:val="22"/>
        </w:rPr>
        <w:fldChar w:fldCharType="separate"/>
      </w:r>
      <w:r>
        <w:rPr>
          <w:rFonts w:ascii="Times New Roman" w:eastAsia="黑体" w:hAnsi="Times New Roman" w:hint="eastAsia"/>
          <w:sz w:val="22"/>
          <w:szCs w:val="22"/>
          <w:highlight w:val="auto"/>
        </w:rPr>
        <w:t>第</w:t>
      </w:r>
      <w:r>
        <w:rPr>
          <w:rFonts w:eastAsia="黑体"/>
          <w:sz w:val="22"/>
          <w:szCs w:val="22"/>
          <w:lang w:eastAsia="zh-CN"/>
          <w:highlight w:val="auto"/>
        </w:rPr>
        <w:t>五</w:t>
      </w:r>
      <w:r>
        <w:rPr>
          <w:rFonts w:ascii="Times New Roman" w:eastAsia="黑体" w:hAnsi="Times New Roman" w:hint="eastAsia"/>
          <w:sz w:val="22"/>
          <w:szCs w:val="22"/>
          <w:highlight w:val="auto"/>
        </w:rPr>
        <w:t>部分</w:t>
      </w:r>
      <w:r>
        <w:rPr>
          <w:rFonts w:ascii="Times New Roman" w:eastAsia="黑体" w:hAnsi="Times New Roman" w:hint="eastAsia"/>
          <w:sz w:val="22"/>
          <w:szCs w:val="22"/>
          <w:lang w:val="en-US" w:eastAsia="zh-CN"/>
          <w:highlight w:val="auto"/>
        </w:rPr>
        <w:t xml:space="preserve"> </w:t>
      </w:r>
      <w:r>
        <w:rPr>
          <w:rFonts w:ascii="Times New Roman" w:eastAsia="黑体" w:hAnsi="Times New Roman"/>
          <w:sz w:val="22"/>
          <w:szCs w:val="22"/>
          <w:highlight w:val="auto"/>
        </w:rPr>
        <w:t>附表</w:t>
      </w:r>
      <w:r>
        <w:rPr>
          <w:sz w:val="22"/>
          <w:szCs w:val="22"/>
        </w:rPr>
        <w:tab/>
      </w:r>
      <w:r>
        <w:rPr>
          <w:sz w:val="22"/>
          <w:szCs w:val="22"/>
        </w:rPr>
        <w:fldChar w:fldCharType="begin"/>
      </w:r>
      <w:r>
        <w:rPr>
          <w:sz w:val="22"/>
          <w:szCs w:val="22"/>
        </w:rPr>
        <w:instrText>PageRef _Toc11819426 \h</w:instrText>
      </w:r>
      <w:r>
        <w:rPr>
          <w:sz w:val="22"/>
          <w:szCs w:val="22"/>
        </w:rPr>
        <w:fldChar w:fldCharType="separate"/>
      </w:r>
      <w:r>
        <w:rPr>
          <w:sz w:val="22"/>
          <w:szCs w:val="22"/>
        </w:rPr>
        <w:t>126</w:t>
      </w:r>
      <w:r>
        <w:rPr>
          <w:sz w:val="22"/>
          <w:szCs w:val="22"/>
        </w:rPr>
        <w:fldChar w:fldCharType="end"/>
      </w:r>
      <w:r>
        <w:rPr>
          <w:sz w:val="22"/>
          <w:szCs w:val="22"/>
        </w:rPr>
        <w:fldChar w:fldCharType="end"/>
      </w:r>
      <w:r>
        <w:rPr>
          <w:rFonts w:ascii="Times New Roman" w:hAnsi="Times New Roman"/>
          <w:color w:val="auto"/>
          <w:sz w:val="22"/>
          <w:szCs w:val="22"/>
          <w:highlight w:val="auto"/>
        </w:rPr>
        <w:fldChar w:fldCharType="end"/>
      </w:r>
    </w:p>
    <w:p>
      <w:pPr>
        <w:pStyle w:val="1"/>
        <w:spacing w:before="0" w:after="0" w:line="560" w:lineRule="exact"/>
        <w:jc w:val="center"/>
        <w:rPr>
          <w:rFonts w:ascii="Times New Roman" w:eastAsia="方正小标宋简体" w:cs="方正小标宋简体" w:hAnsi="Times New Roman" w:hint="eastAsia"/>
          <w:b w:val="0"/>
          <w:color w:val="auto"/>
          <w:sz w:val="52"/>
          <w:szCs w:val="52"/>
          <w:highlight w:val="auto"/>
        </w:rPr>
        <w:sectPr>
          <w:footerReference w:type="default" r:id="rId6"/>
          <w:footerReference w:type="first" r:id="rId7"/>
          <w:pgSz w:w="11906" w:h="16838"/>
          <w:pgMar w:top="2098" w:right="1474" w:bottom="1985" w:left="1588" w:header="851" w:footer="992" w:gutter="0"/>
          <w:pgNumType w:start="1"/>
          <w:docGrid w:type="lines" w:linePitch="312" w:charSpace="0"/>
        </w:sectPr>
      </w:pPr>
    </w:p>
    <w:p>
      <w:pPr>
        <w:pStyle w:val="1"/>
        <w:spacing w:before="0" w:after="0" w:line="560" w:lineRule="exact"/>
        <w:jc w:val="center"/>
        <w:rPr>
          <w:rStyle w:val="1Char"/>
          <w:rFonts w:ascii="Times New Roman" w:eastAsia="方正小标宋简体" w:cs="方正小标宋简体" w:hAnsi="Times New Roman" w:hint="eastAsia"/>
          <w:b/>
          <w:bCs w:val="0"/>
          <w:color w:val="auto"/>
          <w:highlight w:val="auto"/>
        </w:rPr>
      </w:pPr>
      <w:bookmarkStart w:id="8" w:name="_Toc11819410"/>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6"/>
      <w:bookmarkEnd w:id="7"/>
      <w:bookmarkEnd w:id="8"/>
    </w:p>
    <w:p>
      <w:pPr>
        <w:widowControl/>
        <w:spacing w:line="560" w:lineRule="exact"/>
        <w:jc w:val="left"/>
        <w:rPr>
          <w:rFonts w:ascii="Times New Roman" w:eastAsia="黑体" w:hAnsi="Times New Roman"/>
          <w:color w:val="auto"/>
          <w:sz w:val="32"/>
          <w:szCs w:val="32"/>
          <w:highlight w:val="auto"/>
        </w:rPr>
      </w:pPr>
    </w:p>
    <w:p>
      <w:pPr>
        <w:pStyle w:val="2"/>
        <w:spacing w:before="0" w:after="0" w:line="560" w:lineRule="exact"/>
        <w:rPr>
          <w:rStyle w:val="2Char"/>
          <w:rFonts w:ascii="Times New Roman" w:eastAsia="黑体" w:hAnsi="Times New Roman" w:hint="eastAsia"/>
          <w:b w:val="0"/>
          <w:bCs w:val="0"/>
          <w:color w:val="auto"/>
          <w:lang w:eastAsia="zh-CN"/>
          <w:highlight w:val="auto"/>
        </w:rPr>
      </w:pPr>
      <w:bookmarkStart w:id="9" w:name="_Toc15396600"/>
      <w:bookmarkStart w:id="10" w:name="_Toc15377197"/>
      <w:bookmarkStart w:id="11" w:name="_Toc11819411"/>
      <w:r>
        <w:rPr>
          <w:rFonts w:ascii="Times New Roman" w:eastAsia="黑体" w:hAnsi="Times New Roman" w:hint="eastAsia"/>
          <w:b w:val="0"/>
          <w:color w:val="auto"/>
          <w:highlight w:val="auto"/>
        </w:rPr>
        <w:t>一、</w:t>
      </w:r>
      <w:bookmarkEnd w:id="9"/>
      <w:bookmarkEnd w:id="10"/>
      <w:r>
        <w:rPr>
          <w:rFonts w:ascii="Times New Roman" w:eastAsia="黑体" w:hAnsi="Times New Roman" w:hint="eastAsia"/>
          <w:b w:val="0"/>
          <w:color w:val="auto"/>
          <w:lang w:eastAsia="zh-CN"/>
          <w:highlight w:val="auto"/>
        </w:rPr>
        <w:t>部门职责</w:t>
      </w:r>
      <w:bookmarkEnd w:id="11"/>
    </w:p>
    <w:p>
      <w:pPr>
        <w:pStyle w:val="31"/>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spacing w:before="0" w:beforeAutospacing="0" w:after="0" w:afterAutospacing="0" w:line="560" w:lineRule="exact"/>
        <w:ind w:left="0" w:right="0" w:firstLine="643"/>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pPr>
      <w:bookmarkStart w:id="12" w:name="_Toc15377200"/>
      <w:bookmarkStart w:id="13" w:name="_Toc15396601"/>
      <w:r>
        <w:rPr>
          <w:rFonts w:ascii="仿宋_GB2312" w:eastAsia="仿宋_GB2312" w:cs="仿宋_GB2312"/>
          <w:i w:val="0"/>
          <w:iCs w:val="0"/>
          <w:caps w:val="0"/>
          <w:smallCaps w:val="0"/>
          <w:color w:val="000000"/>
          <w:spacing w:val="0"/>
          <w:sz w:val="32"/>
          <w:szCs w:val="32"/>
          <w:u w:val="none" w:color="auto"/>
          <w:shd w:val="clear" w:color="auto" w:fill="FFFFFF"/>
          <w:highlight w:val="auto"/>
        </w:rPr>
        <w:t>州民政局负责贯彻落实党中央关于民政工作的方针政策和省委、州委决策部署，把坚持和加强党中央对民政工作的集中统一领导落实到履行职责过程中。主要职责是：</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一是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起草民政工作地方性法规、政府规章草案，拟订全州民政事业发展规划、政策、标准并组织实施。</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二是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拟订社会团体、社会服务机构等社会组织登记和监督管理办法并组织实施，依法对社会组织进行登记管理和执法监督。</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三是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牵头拟订社会救助规划、政策、标准，统筹推进社会救助体系建设，负责城乡居民最低生活保障、特困人员救助供养、临时救助、生活无着流浪乞讨人员救助工作。</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四是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行政区划、行政区域界线管理和地名管理政策，组织拟订全州行政区划优化设置建议方案，按照管理权限牵头负责全州行政区划设立、命名、撤销、变更和政府驻地迁移等审核报批工作。按照管理权限确定、公布行政区划代码，组织并指导全州行政区域界线的勘定、管理工作，调处行政区域边界争议，负责全州地名工作的统一监督管理工作。</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五是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拟订婚姻管理政策并组织实施，推进婚俗改革。</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六是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拟订殡葬管理政策、服务规范并组织实施，负责殡葬管理工作，推进殡葬改革。</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七是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拟订社会福利事业发展规划、政策、标准，拟订社会福利机构管理办法并指导实施，拟订残疾人权益保护政策并监督实施。负责康复辅助器具行业管理，统筹推进残疾人福利制度建设和康复辅助器具产业发展。</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八</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承担州老龄工作委员会的具体工作。组织拟订并协调落实积极应对人口老龄化政策措施。指导协调老年人权益保障工作。组织拟订老年人社会参与政策并组织实施。</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九</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组织拟订并协调落实促进养老事业发展的政策措施。统筹推进、督促指导、监督管理养老服务工作，拟订养老服务体系建设规划、政策、标准并组织实施，承担老年人福利和特殊困难老年人救助工作，协调推进农村留守老年人关爱服务工作。</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十</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拟订儿童福利、孤弃儿童保障、儿童收养、儿童救助保护政策和标准并组织实施，健全农村留守儿童关爱服务体系和困境儿童保障制度。</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十一</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组织拟订促进慈善事业发展政策，指导社会捐助工作。负责职责范围内的福利彩票有关工作。</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十二</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依法依规负责康复辅助器具行业和社会福利、养老服务、殡葬服务、救助管理等机构安全生产监督管理工作。负责职责范围内的职业健康、生态环境保护、审批服务便民化等工作。</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十三</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完成州委、州政府交办的其他任务。</w:t>
      </w:r>
    </w:p>
    <w:p>
      <w:pPr>
        <w:pStyle w:val="31"/>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spacing w:before="0" w:beforeAutospacing="0" w:after="0" w:afterAutospacing="0" w:line="560" w:lineRule="exact"/>
        <w:ind w:left="0" w:right="0" w:firstLine="643"/>
        <w:rPr>
          <w:rFonts w:ascii="仿宋_GB2312" w:eastAsia="仿宋_GB2312" w:hint="eastAsia"/>
          <w:sz w:val="32"/>
          <w:szCs w:val="32"/>
          <w:u w:val="none" w:color="auto"/>
        </w:rPr>
      </w:pP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职能转变。州民政局要推动老龄工作向主动应对和统筹协调转变，健全工作体制机制，强化综合协调、督促指导、组织推进老龄事业发展职能，协调有关部门和地方不断完善老年人社会救助、社会福利、社会优待、宜居环境、社会参与等政策，增强政策制度的针对性、协调性、系统性。推动养老服务向全面提升老年人生活质量转变，加快建设居家社区机构相协调、医养康养相结合的养老服务体系，大力发展普惠型养老服务，促进资源均衡配置，推动实现全体老年人享有基本养老服务，走出一条老有所养、老有所医、老有所为、老有所学、老有所乐的阿坝特色积极应对人口老龄化道路。强化基本民生保障，健全分层分类、城乡统筹的社会救助体系，聚焦困难群众、孤老孤残孤儿等特殊群体，促进资源向薄弱地区、领域和环节倾斜，兜牢民生底线。</w:t>
      </w:r>
      <w:r>
        <w:rPr>
          <w:rFonts w:ascii="Times New Roman" w:cs="Times New Roman" w:hAnsi="Times New Roman"/>
          <w:i w:val="0"/>
          <w:iCs w:val="0"/>
          <w:caps w:val="0"/>
          <w:smallCaps w:val="0"/>
          <w:color w:val="000000"/>
          <w:spacing w:val="0"/>
          <w:sz w:val="32"/>
          <w:szCs w:val="32"/>
          <w:u w:val="none" w:color="auto"/>
          <w:shd w:val="clear" w:color="auto" w:fill="FFFFFF"/>
          <w:highlight w:val="auto"/>
        </w:rPr>
        <w:t> </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与其他部门的职责分工：</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一是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与州委社会工作部有关职责分工。州民政局有关基层治理、基层政权建设等职责划入州委社会工作部后，涉及村民委员会、居民委员会工作中需以政府名义出面的，州民政局协助做好工作。州民政局与州委社会工作部密切配合，形成基层治理合力。</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二</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与州卫生健康委有关职责分工。州民政局负责组织拟订并协调落实积极应对人口老龄化、促进养老事业发展的政策措施，拟订养老服务体系</w:t>
      </w:r>
      <w:r>
        <w:rPr>
          <w:rFonts w:ascii="仿宋_GB2312" w:eastAsia="仿宋_GB2312" w:cs="仿宋_GB2312" w:hint="eastAsia"/>
          <w:i w:val="0"/>
          <w:iCs w:val="0"/>
          <w:caps w:val="0"/>
          <w:smallCaps w:val="0"/>
          <w:color w:val="000000"/>
          <w:spacing w:val="0"/>
          <w:sz w:val="32"/>
          <w:szCs w:val="32"/>
          <w:u w:val="none" w:color="auto"/>
          <w:shd w:val="clear" w:color="auto" w:fill="FFFFFF"/>
        </w:rPr>
        <w:t>建设规划、地方性法规、政策、标准并组织实施，承担老年人福利和特殊困难老年人救助等工作。州卫生健康委负责组织拟订医养结合政策、标准和规范，建立和完善老年健康服务体系。</w:t>
      </w:r>
      <w:r>
        <w:rPr>
          <w:rFonts w:ascii="仿宋_GB2312" w:eastAsia="仿宋_GB2312" w:cs="仿宋_GB2312" w:hint="eastAsia"/>
          <w:b/>
          <w:bCs/>
          <w:i w:val="0"/>
          <w:iCs w:val="0"/>
          <w:caps w:val="0"/>
          <w:smallCaps w:val="0"/>
          <w:color w:val="000000"/>
          <w:spacing w:val="0"/>
          <w:sz w:val="32"/>
          <w:szCs w:val="32"/>
          <w:u w:val="none" w:color="auto"/>
          <w:shd w:val="clear" w:color="auto" w:fill="FFFFFF"/>
        </w:rPr>
        <w:t>三</w:t>
      </w:r>
      <w:r>
        <w:rPr>
          <w:rFonts w:ascii="仿宋_GB2312" w:eastAsia="仿宋_GB2312" w:cs="仿宋_GB2312"/>
          <w:b/>
          <w:bCs/>
          <w:i w:val="0"/>
          <w:iCs w:val="0"/>
          <w:caps w:val="0"/>
          <w:smallCaps w:val="0"/>
          <w:color w:val="000000"/>
          <w:spacing w:val="0"/>
          <w:sz w:val="32"/>
          <w:szCs w:val="32"/>
          <w:u w:val="none" w:color="auto"/>
          <w:shd w:val="clear" w:color="auto" w:fill="FFFFFF"/>
        </w:rPr>
        <w:t>是</w:t>
      </w:r>
      <w:r>
        <w:rPr>
          <w:rFonts w:ascii="仿宋_GB2312" w:eastAsia="仿宋_GB2312" w:cs="仿宋_GB2312" w:hint="eastAsia"/>
          <w:i w:val="0"/>
          <w:iCs w:val="0"/>
          <w:caps w:val="0"/>
          <w:smallCaps w:val="0"/>
          <w:color w:val="000000"/>
          <w:spacing w:val="0"/>
          <w:sz w:val="32"/>
          <w:szCs w:val="32"/>
          <w:u w:val="none" w:color="auto"/>
          <w:shd w:val="clear" w:color="auto" w:fill="FFFFFF"/>
        </w:rPr>
        <w:t>与州自然资源局有关职责分工。州民政局会同州自然资源局组织编制公布行政区划信息的阿坝藏族羌族自治州行政区划图。</w:t>
      </w:r>
    </w:p>
    <w:p>
      <w:pPr>
        <w:pStyle w:val="2"/>
        <w:spacing w:before="0" w:after="0" w:line="560" w:lineRule="exact"/>
        <w:rPr>
          <w:rStyle w:val="2Char"/>
          <w:rFonts w:ascii="Times New Roman" w:hAnsi="Times New Roman"/>
          <w:b w:val="0"/>
          <w:bCs w:val="0"/>
          <w:color w:val="auto"/>
        </w:rPr>
      </w:pPr>
      <w:bookmarkStart w:id="14" w:name="_Toc11819412"/>
      <w:r>
        <w:rPr>
          <w:rFonts w:ascii="Times New Roman" w:eastAsia="黑体" w:hAnsi="Times New Roman" w:hint="eastAsia"/>
          <w:b w:val="0"/>
          <w:color w:val="auto"/>
        </w:rPr>
        <w:t>二、机</w:t>
      </w:r>
      <w:r>
        <w:rPr>
          <w:rStyle w:val="2Char"/>
          <w:rFonts w:ascii="Times New Roman" w:eastAsia="黑体" w:hAnsi="Times New Roman" w:hint="eastAsia"/>
          <w:b w:val="0"/>
          <w:bCs w:val="0"/>
          <w:color w:val="auto"/>
        </w:rPr>
        <w:t>构设置</w:t>
      </w:r>
      <w:bookmarkEnd w:id="12"/>
      <w:bookmarkEnd w:id="13"/>
      <w:bookmarkEnd w:id="14"/>
    </w:p>
    <w:p>
      <w:pPr>
        <w:spacing w:line="560" w:lineRule="exact"/>
        <w:ind w:firstLineChars="250" w:firstLine="800"/>
        <w:rPr>
          <w:rFonts w:ascii="仿宋_GB2312" w:eastAsia="仿宋_GB2312" w:cs="仿宋_GB2312" w:hint="eastAsia"/>
          <w:sz w:val="32"/>
          <w:szCs w:val="32"/>
        </w:rPr>
      </w:pPr>
      <w:r>
        <w:rPr>
          <w:rFonts w:ascii="仿宋_GB2312" w:eastAsia="仿宋_GB2312" w:cs="仿宋_GB2312" w:hint="eastAsia"/>
          <w:sz w:val="32"/>
          <w:szCs w:val="32"/>
        </w:rPr>
        <w:t>阿坝藏族羌族自治州民政局（本级）下属二级</w:t>
      </w:r>
      <w:r>
        <w:rPr>
          <w:rFonts w:ascii="仿宋_GB2312" w:eastAsia="仿宋_GB2312" w:cs="仿宋_GB2312" w:hint="eastAsia"/>
          <w:sz w:val="32"/>
          <w:szCs w:val="32"/>
          <w:lang w:eastAsia="zh-CN"/>
        </w:rPr>
        <w:t>预算</w:t>
      </w:r>
      <w:r>
        <w:rPr>
          <w:rFonts w:ascii="仿宋_GB2312" w:eastAsia="仿宋_GB2312" w:cs="仿宋_GB2312" w:hint="eastAsia"/>
          <w:sz w:val="32"/>
          <w:szCs w:val="32"/>
        </w:rPr>
        <w:t>单位3个，其中：</w:t>
      </w:r>
      <w:r>
        <w:rPr>
          <w:rFonts w:ascii="仿宋_GB2312" w:eastAsia="仿宋_GB2312" w:cs="仿宋_GB2312" w:hint="eastAsia"/>
          <w:bCs/>
          <w:sz w:val="32"/>
          <w:szCs w:val="32"/>
          <w:lang w:bidi="ar-SA"/>
        </w:rPr>
        <w:t>独立核算</w:t>
      </w:r>
      <w:r>
        <w:rPr>
          <w:rFonts w:ascii="仿宋_GB2312" w:eastAsia="仿宋_GB2312" w:cs="仿宋_GB2312" w:hint="eastAsia"/>
          <w:sz w:val="32"/>
          <w:szCs w:val="32"/>
        </w:rPr>
        <w:t>二级</w:t>
      </w:r>
      <w:r>
        <w:rPr>
          <w:rFonts w:ascii="仿宋_GB2312" w:eastAsia="仿宋_GB2312" w:cs="仿宋_GB2312" w:hint="eastAsia"/>
          <w:sz w:val="32"/>
          <w:szCs w:val="32"/>
          <w:lang w:eastAsia="zh-CN"/>
        </w:rPr>
        <w:t>预算</w:t>
      </w:r>
      <w:r>
        <w:rPr>
          <w:rFonts w:ascii="仿宋_GB2312" w:eastAsia="仿宋_GB2312" w:cs="仿宋_GB2312" w:hint="eastAsia"/>
          <w:sz w:val="32"/>
          <w:szCs w:val="32"/>
        </w:rPr>
        <w:t>单位</w:t>
      </w:r>
      <w:r>
        <w:rPr>
          <w:rFonts w:ascii="仿宋_GB2312" w:eastAsia="仿宋_GB2312" w:cs="仿宋_GB2312" w:hint="eastAsia"/>
          <w:bCs/>
          <w:sz w:val="32"/>
          <w:szCs w:val="32"/>
          <w:lang w:bidi="ar-SA"/>
        </w:rPr>
        <w:t>2个，分别为阿坝州救助站和阿坝州儿童福利院；未独立核算</w:t>
      </w:r>
      <w:r>
        <w:rPr>
          <w:rFonts w:ascii="仿宋_GB2312" w:eastAsia="仿宋_GB2312" w:cs="仿宋_GB2312" w:hint="eastAsia"/>
          <w:sz w:val="32"/>
          <w:szCs w:val="32"/>
        </w:rPr>
        <w:t>二级</w:t>
      </w:r>
      <w:r>
        <w:rPr>
          <w:rFonts w:ascii="仿宋_GB2312" w:eastAsia="仿宋_GB2312" w:cs="仿宋_GB2312" w:hint="eastAsia"/>
          <w:sz w:val="32"/>
          <w:szCs w:val="32"/>
          <w:lang w:eastAsia="zh-CN"/>
        </w:rPr>
        <w:t>预算</w:t>
      </w:r>
      <w:r>
        <w:rPr>
          <w:rFonts w:ascii="仿宋_GB2312" w:eastAsia="仿宋_GB2312" w:cs="仿宋_GB2312" w:hint="eastAsia"/>
          <w:sz w:val="32"/>
          <w:szCs w:val="32"/>
        </w:rPr>
        <w:t>单位</w:t>
      </w:r>
      <w:r>
        <w:rPr>
          <w:rFonts w:ascii="仿宋_GB2312" w:eastAsia="仿宋_GB2312" w:cs="仿宋_GB2312" w:hint="eastAsia"/>
          <w:bCs/>
          <w:sz w:val="32"/>
          <w:szCs w:val="32"/>
          <w:lang w:bidi="ar-SA"/>
        </w:rPr>
        <w:t>1个为低收入家庭指导中心</w:t>
      </w:r>
      <w:r>
        <w:rPr>
          <w:rFonts w:ascii="仿宋_GB2312" w:eastAsia="仿宋_GB2312" w:cs="仿宋_GB2312" w:hint="eastAsia"/>
          <w:sz w:val="32"/>
          <w:szCs w:val="32"/>
        </w:rPr>
        <w:t>。</w:t>
      </w:r>
    </w:p>
    <w:p>
      <w:pPr>
        <w:widowControl/>
        <w:spacing w:line="560" w:lineRule="exact"/>
        <w:jc w:val="left"/>
        <w:rPr>
          <w:rFonts w:ascii="Times New Roman" w:eastAsia="仿宋" w:hAnsi="Times New Roman"/>
          <w:color w:val="auto"/>
          <w:kern w:val="0"/>
          <w:sz w:val="32"/>
          <w:szCs w:val="32"/>
        </w:rPr>
      </w:pPr>
      <w:r>
        <w:rPr>
          <w:rFonts w:ascii="Times New Roman" w:eastAsia="仿宋" w:hAnsi="Times New Roman"/>
          <w:color w:val="auto"/>
          <w:sz w:val="32"/>
          <w:szCs w:val="32"/>
        </w:rPr>
        <w:br w:type="page"/>
      </w:r>
    </w:p>
    <w:p>
      <w:pPr>
        <w:pStyle w:val="1"/>
        <w:spacing w:before="0" w:after="0" w:line="560" w:lineRule="exact"/>
        <w:jc w:val="center"/>
        <w:rPr>
          <w:rFonts w:ascii="Times New Roman" w:eastAsia="方正小标宋简体" w:cs="方正小标宋简体" w:hAnsi="Times New Roman" w:hint="eastAsia"/>
          <w:b w:val="0"/>
          <w:color w:val="auto"/>
        </w:rPr>
      </w:pPr>
      <w:bookmarkStart w:id="15" w:name="_Toc15377204"/>
      <w:bookmarkStart w:id="16" w:name="_Toc15396602"/>
      <w:bookmarkStart w:id="17" w:name="_Toc11819413"/>
      <w:r>
        <w:rPr>
          <w:rFonts w:ascii="Times New Roman" w:eastAsia="方正小标宋简体" w:cs="方正小标宋简体" w:hAnsi="Times New Roman" w:hint="eastAsia"/>
          <w:b w:val="0"/>
          <w:color w:val="auto"/>
        </w:rPr>
        <w:t>第二部分</w:t>
      </w:r>
      <w:r>
        <w:rPr>
          <w:rFonts w:ascii="Times New Roman" w:eastAsia="方正小标宋简体" w:cs="方正小标宋简体" w:hAnsi="Times New Roman" w:hint="eastAsia"/>
          <w:b w:val="0"/>
          <w:color w:val="auto"/>
          <w:lang w:val="en-US" w:eastAsia="zh-CN"/>
        </w:rPr>
        <w:t xml:space="preserve"> </w:t>
      </w:r>
      <w:r>
        <w:rPr>
          <w:rFonts w:ascii="Times New Roman" w:eastAsia="方正小标宋简体" w:cs="方正小标宋简体" w:hAnsi="Times New Roman" w:hint="eastAsia"/>
          <w:b w:val="0"/>
          <w:color w:val="auto"/>
        </w:rPr>
        <w:t xml:space="preserve"> </w:t>
      </w:r>
      <w:r>
        <w:rPr>
          <w:rFonts w:eastAsia="方正小标宋简体" w:cs="方正小标宋简体" w:hint="eastAsia"/>
          <w:b w:val="0"/>
          <w:color w:val="auto"/>
          <w:lang w:val="en-US" w:eastAsia="zh-CN"/>
        </w:rPr>
        <w:t>2025年度</w:t>
      </w:r>
      <w:r>
        <w:rPr>
          <w:rFonts w:ascii="Times New Roman" w:eastAsia="方正小标宋简体" w:cs="方正小标宋简体" w:hAnsi="Times New Roman" w:hint="eastAsia"/>
          <w:b w:val="0"/>
          <w:color w:val="auto"/>
        </w:rPr>
        <w:t>部门决算情况说明</w:t>
      </w:r>
      <w:bookmarkEnd w:id="15"/>
      <w:bookmarkEnd w:id="16"/>
      <w:bookmarkEnd w:id="17"/>
    </w:p>
    <w:p>
      <w:pPr>
        <w:spacing w:line="560" w:lineRule="exact"/>
        <w:rPr>
          <w:rFonts w:ascii="Times New Roman" w:hAnsi="Times New Roman"/>
          <w:color w:val="auto"/>
        </w:rPr>
      </w:pPr>
    </w:p>
    <w:p>
      <w:pPr>
        <w:pStyle w:val="39"/>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outlineLvl w:val="1"/>
        <w:rPr>
          <w:rStyle w:val="2Char"/>
          <w:rFonts w:ascii="Times New Roman" w:eastAsia="黑体" w:hAnsi="Times New Roman" w:hint="eastAsia"/>
          <w:b w:val="0"/>
          <w:color w:val="auto"/>
        </w:rPr>
      </w:pPr>
      <w:bookmarkStart w:id="18" w:name="_Toc15377205"/>
      <w:bookmarkStart w:id="19" w:name="_Toc15396603"/>
      <w:bookmarkStart w:id="20" w:name="_Toc11819414"/>
      <w:r>
        <w:rPr>
          <w:rFonts w:ascii="Times New Roman" w:eastAsia="黑体" w:hAnsi="Times New Roman" w:hint="eastAsia"/>
          <w:color w:val="auto"/>
          <w:sz w:val="32"/>
          <w:szCs w:val="32"/>
          <w:lang w:eastAsia="zh-CN"/>
        </w:rPr>
        <w:t>一、</w:t>
      </w:r>
      <w:r>
        <w:rPr>
          <w:rFonts w:ascii="Times New Roman" w:eastAsia="黑体" w:hAnsi="Times New Roman" w:hint="eastAsia"/>
          <w:color w:val="auto"/>
          <w:sz w:val="32"/>
          <w:szCs w:val="32"/>
        </w:rPr>
        <w:t>收</w:t>
      </w:r>
      <w:r>
        <w:rPr>
          <w:rStyle w:val="2Char"/>
          <w:rFonts w:ascii="Times New Roman" w:eastAsia="黑体" w:hAnsi="Times New Roman" w:hint="eastAsia"/>
          <w:b w:val="0"/>
          <w:color w:val="auto"/>
        </w:rPr>
        <w:t>入支出决算总体情况说明</w:t>
      </w:r>
      <w:bookmarkEnd w:id="18"/>
      <w:bookmarkEnd w:id="19"/>
      <w:bookmarkEnd w:id="20"/>
    </w:p>
    <w:p>
      <w:pPr>
        <w:ind w:firstLineChars="200" w:firstLine="640"/>
        <w:rPr>
          <w:rFonts w:eastAsia="仿宋_GB2312" w:cs="仿宋_GB2312" w:hint="eastAsia"/>
          <w:sz w:val="32"/>
          <w:szCs w:val="32"/>
        </w:rPr>
      </w:pPr>
      <w:bookmarkStart w:id="21" w:name="_Toc97111706"/>
      <w:r>
        <w:rPr>
          <w:rFonts w:eastAsia="仿宋_GB2312" w:cs="仿宋_GB2312" w:hint="eastAsia"/>
          <w:sz w:val="32"/>
          <w:szCs w:val="32"/>
        </w:rPr>
        <w:t>2025年度收入、支出总计均为1249.26万元。与上年度相比，收入、支出总计各减少139.22万元，下降10.03%。主要变动原因是政府性基金安排的项目资金相对2024年度下降。</w:t>
      </w:r>
      <w:bookmarkEnd w:id="21"/>
    </w:p>
    <w:p>
      <w:pPr>
        <w:pStyle w:val="39"/>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outlineLvl w:val="1"/>
        <w:rPr>
          <w:rFonts w:ascii="Times New Roman" w:eastAsia="黑体" w:hAnsi="Times New Roman" w:hint="eastAsia"/>
          <w:color w:val="auto"/>
          <w:sz w:val="32"/>
          <w:szCs w:val="32"/>
          <w:lang w:eastAsia="zh-CN"/>
        </w:rPr>
      </w:pPr>
      <w:bookmarkStart w:id="22" w:name="_Toc15377206"/>
      <w:bookmarkStart w:id="23" w:name="_Toc15396604"/>
      <w:bookmarkStart w:id="24" w:name="_Toc11819415"/>
      <w:r>
        <w:rPr>
          <w:rFonts w:ascii="Times New Roman" w:eastAsia="仿宋_GB2312" w:cs="仿宋_GB2312" w:hAnsi="Times New Roman"/>
          <w:color w:val="auto"/>
          <w:kern w:val="2"/>
          <w:sz w:val="32"/>
          <w:szCs w:val="32"/>
          <w:lang w:val="en-US" w:eastAsia="zh-CN" w:bidi="ar-SA"/>
        </w:rPr>
        <w:drawing>
          <wp:anchor distT="0" distB="0" distL="85088" distR="85088" simplePos="0" relativeHeight="20" behindDoc="0" locked="0" layoutInCell="1" hidden="0" allowOverlap="1">
            <wp:simplePos x="0" y="0"/>
            <wp:positionH relativeFrom="column">
              <wp:posOffset>368325</wp:posOffset>
            </wp:positionH>
            <wp:positionV relativeFrom="paragraph">
              <wp:posOffset>18382</wp:posOffset>
            </wp:positionV>
            <wp:extent cx="4571998" cy="2144395"/>
            <wp:effectExtent l="0" t="0" r="0" b="0"/>
            <wp:wrapTopAndBottom/>
            <wp:docPr id="7" name="图片"/>
            <wp:cNvGraphicFramePr>
              <a:graphicFrameLocks noChangeAspect="1"/>
            </wp:cNvGraphicFramePr>
            <a:graphic>
              <a:graphicData uri="http://schemas.openxmlformats.org/drawingml/2006/picture">
                <pic:pic>
                  <pic:nvPicPr>
                    <pic:cNvPr id="9" name="图片 9"/>
                    <pic:cNvPicPr/>
                  </pic:nvPicPr>
                  <pic:blipFill>
                    <a:blip r:embed="rId9"/>
                    <a:stretch>
                      <a:fillRect/>
                    </a:stretch>
                  </pic:blipFill>
                  <pic:spPr>
                    <a:xfrm rot="0">
                      <a:off x="0" y="0"/>
                      <a:ext cx="4571998" cy="2144395"/>
                    </a:xfrm>
                    <a:prstGeom prst="rect"/>
                    <a:noFill/>
                    <a:ln w="9525" cmpd="sng" cap="flat">
                      <a:noFill/>
                      <a:prstDash val="solid"/>
                      <a:miter/>
                    </a:ln>
                  </pic:spPr>
                </pic:pic>
              </a:graphicData>
            </a:graphic>
          </wp:anchor>
        </w:drawing>
      </w:r>
      <w:r>
        <w:rPr>
          <w:rFonts w:ascii="Times New Roman" w:eastAsia="黑体" w:hAnsi="Times New Roman" w:hint="eastAsia"/>
          <w:color w:val="auto"/>
          <w:sz w:val="32"/>
          <w:szCs w:val="32"/>
          <w:lang w:eastAsia="zh-CN"/>
        </w:rPr>
        <w:t>二、收入决算情况说明</w:t>
      </w:r>
      <w:bookmarkEnd w:id="22"/>
      <w:bookmarkEnd w:id="23"/>
      <w:bookmarkEnd w:id="24"/>
    </w:p>
    <w:p>
      <w:pPr>
        <w:ind w:firstLineChars="200" w:firstLine="640"/>
        <w:rPr>
          <w:rFonts w:eastAsia="仿宋_GB2312" w:cs="仿宋_GB2312" w:hint="eastAsia"/>
          <w:b/>
          <w:bCs/>
          <w:sz w:val="32"/>
          <w:szCs w:val="32"/>
        </w:rPr>
      </w:pPr>
      <w:bookmarkStart w:id="25" w:name="_Toc97111708"/>
      <w:r>
        <w:rPr>
          <w:rFonts w:eastAsia="仿宋_GB2312" w:cs="仿宋_GB2312"/>
          <w:color w:val="auto"/>
          <w:sz w:val="32"/>
          <w:szCs w:val="32"/>
          <w:lang w:eastAsia="zh-CN"/>
        </w:rPr>
        <w:drawing>
          <wp:anchor distT="0" distB="0" distL="85088" distR="85088" simplePos="0" relativeHeight="22" behindDoc="0" locked="0" layoutInCell="1" hidden="0" allowOverlap="1">
            <wp:simplePos x="0" y="0"/>
            <wp:positionH relativeFrom="column">
              <wp:posOffset>225453</wp:posOffset>
            </wp:positionH>
            <wp:positionV relativeFrom="paragraph">
              <wp:posOffset>1253566</wp:posOffset>
            </wp:positionV>
            <wp:extent cx="4572000" cy="2195829"/>
            <wp:effectExtent l="0" t="0" r="0" b="0"/>
            <wp:wrapTopAndBottom/>
            <wp:docPr id="10" name="图片"/>
            <wp:cNvGraphicFramePr>
              <a:graphicFrameLocks noChangeAspect="1"/>
            </wp:cNvGraphicFramePr>
            <a:graphic>
              <a:graphicData uri="http://schemas.openxmlformats.org/drawingml/2006/picture">
                <pic:pic>
                  <pic:nvPicPr>
                    <pic:cNvPr id="12" name="图片 12"/>
                    <pic:cNvPicPr/>
                  </pic:nvPicPr>
                  <pic:blipFill>
                    <a:blip r:embed="rId10"/>
                    <a:stretch>
                      <a:fillRect/>
                    </a:stretch>
                  </pic:blipFill>
                  <pic:spPr>
                    <a:xfrm rot="0">
                      <a:off x="0" y="0"/>
                      <a:ext cx="4572000" cy="2195829"/>
                    </a:xfrm>
                    <a:prstGeom prst="rect"/>
                    <a:noFill/>
                    <a:ln w="9525" cmpd="sng" cap="flat">
                      <a:noFill/>
                      <a:prstDash val="solid"/>
                      <a:miter/>
                    </a:ln>
                  </pic:spPr>
                </pic:pic>
              </a:graphicData>
            </a:graphic>
          </wp:anchor>
        </w:drawing>
      </w:r>
      <w:r>
        <w:rPr>
          <w:rFonts w:eastAsia="仿宋_GB2312" w:cs="仿宋_GB2312" w:hint="eastAsia"/>
          <w:sz w:val="32"/>
          <w:szCs w:val="32"/>
        </w:rPr>
        <w:t>2025年度本年收入合计1249.26万元，其中：一般公共预算财政拨款收入1102.46万元，占88.25%；政府性基金预算财政拨款收入146.8万元，占11.75%。</w:t>
      </w:r>
      <w:bookmarkEnd w:id="25"/>
    </w:p>
    <w:p>
      <w:pPr>
        <w:pStyle w:val="39"/>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outlineLvl w:val="1"/>
        <w:rPr>
          <w:rFonts w:ascii="Times New Roman" w:eastAsia="黑体" w:hAnsi="Times New Roman"/>
          <w:color w:val="auto"/>
          <w:sz w:val="32"/>
          <w:szCs w:val="32"/>
          <w:lang w:eastAsia="zh-CN"/>
        </w:rPr>
      </w:pPr>
      <w:bookmarkStart w:id="26" w:name="_Toc15396605"/>
      <w:bookmarkStart w:id="27" w:name="_Toc15377207"/>
      <w:r>
        <w:rPr>
          <w:rFonts w:ascii="Times New Roman" w:eastAsia="黑体" w:hAnsi="Times New Roman"/>
          <w:color w:val="auto"/>
          <w:sz w:val="32"/>
          <w:szCs w:val="32"/>
          <w:lang w:eastAsia="zh-CN"/>
        </w:rPr>
        <w:drawing>
          <wp:anchor distT="0" distB="0" distL="85088" distR="85088" simplePos="0" relativeHeight="24" behindDoc="0" locked="0" layoutInCell="1" hidden="0" allowOverlap="1">
            <wp:simplePos x="0" y="0"/>
            <wp:positionH relativeFrom="column">
              <wp:posOffset>405758</wp:posOffset>
            </wp:positionH>
            <wp:positionV relativeFrom="paragraph">
              <wp:posOffset>6617393</wp:posOffset>
            </wp:positionV>
            <wp:extent cx="4962525" cy="2312034"/>
            <wp:effectExtent l="0" t="0" r="0" b="0"/>
            <wp:wrapTopAndBottom/>
            <wp:docPr id="13" name="图片"/>
            <wp:cNvGraphicFramePr>
              <a:graphicFrameLocks noChangeAspect="1"/>
            </wp:cNvGraphicFramePr>
            <a:graphic>
              <a:graphicData uri="http://schemas.openxmlformats.org/drawingml/2006/picture">
                <pic:pic>
                  <pic:nvPicPr>
                    <pic:cNvPr id="15" name="图片 15"/>
                    <pic:cNvPicPr/>
                  </pic:nvPicPr>
                  <pic:blipFill>
                    <a:blip r:embed="rId11"/>
                    <a:stretch>
                      <a:fillRect/>
                    </a:stretch>
                  </pic:blipFill>
                  <pic:spPr>
                    <a:xfrm rot="0">
                      <a:off x="0" y="0"/>
                      <a:ext cx="4962525" cy="2312034"/>
                    </a:xfrm>
                    <a:prstGeom prst="rect"/>
                    <a:noFill/>
                    <a:ln w="9525" cmpd="sng" cap="flat">
                      <a:noFill/>
                      <a:prstDash val="solid"/>
                      <a:miter/>
                    </a:ln>
                  </pic:spPr>
                </pic:pic>
              </a:graphicData>
            </a:graphic>
          </wp:anchor>
        </w:drawing>
      </w:r>
    </w:p>
    <w:p>
      <w:pPr>
        <w:pStyle w:val="39"/>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outlineLvl w:val="1"/>
        <w:rPr>
          <w:rStyle w:val="2Char"/>
          <w:rFonts w:ascii="Times New Roman" w:eastAsia="黑体" w:hAnsi="Times New Roman" w:hint="eastAsia"/>
          <w:b w:val="0"/>
          <w:color w:val="auto"/>
        </w:rPr>
      </w:pPr>
      <w:bookmarkStart w:id="28" w:name="_Toc11819416"/>
      <w:r>
        <w:rPr>
          <w:rFonts w:ascii="Times New Roman" w:eastAsia="黑体" w:hAnsi="Times New Roman" w:hint="eastAsia"/>
          <w:color w:val="auto"/>
          <w:sz w:val="32"/>
          <w:szCs w:val="32"/>
          <w:lang w:eastAsia="zh-CN"/>
        </w:rPr>
        <w:t>三、</w:t>
      </w:r>
      <w:r>
        <w:rPr>
          <w:rFonts w:ascii="Times New Roman" w:eastAsia="黑体" w:hAnsi="Times New Roman" w:hint="eastAsia"/>
          <w:color w:val="auto"/>
          <w:sz w:val="32"/>
          <w:szCs w:val="32"/>
        </w:rPr>
        <w:t>支</w:t>
      </w:r>
      <w:r>
        <w:rPr>
          <w:rStyle w:val="2Char"/>
          <w:rFonts w:ascii="Times New Roman" w:eastAsia="黑体" w:hAnsi="Times New Roman" w:hint="eastAsia"/>
          <w:b w:val="0"/>
          <w:color w:val="auto"/>
        </w:rPr>
        <w:t>出决算情况说明</w:t>
      </w:r>
      <w:bookmarkEnd w:id="26"/>
      <w:bookmarkEnd w:id="27"/>
      <w:bookmarkEnd w:id="28"/>
    </w:p>
    <w:p>
      <w:pPr>
        <w:ind w:firstLineChars="200" w:firstLine="640"/>
        <w:rPr>
          <w:rFonts w:eastAsia="仿宋_GB2312" w:cs="仿宋_GB2312" w:hint="eastAsia"/>
          <w:sz w:val="32"/>
          <w:szCs w:val="32"/>
        </w:rPr>
      </w:pPr>
      <w:bookmarkStart w:id="29" w:name="_Toc97111710"/>
      <w:r>
        <w:rPr>
          <w:rFonts w:eastAsia="仿宋_GB2312" w:cs="仿宋_GB2312" w:hint="eastAsia"/>
          <w:sz w:val="32"/>
          <w:szCs w:val="32"/>
        </w:rPr>
        <w:t>2025年度本年支出合计1249.26万元，其中：基本支出830.63万元，占66.49%；项目支出418.64万元，占33.51%。</w:t>
      </w:r>
      <w:bookmarkStart w:id="30" w:name="_Toc15396606"/>
      <w:bookmarkStart w:id="31" w:name="_Toc15377208"/>
      <w:bookmarkEnd w:id="29"/>
    </w:p>
    <w:p>
      <w:pPr>
        <w:pStyle w:val="39"/>
        <w:keepNext w:val="0"/>
        <w:keepLines w:val="0"/>
        <w:pageBreakBefore w:val="0"/>
        <w:widowControl w:val="0"/>
        <w:kinsoku/>
        <w:wordWrap/>
        <w:overflowPunct/>
        <w:topLinePunct w:val="0"/>
        <w:autoSpaceDE/>
        <w:autoSpaceDN/>
        <w:adjustRightInd/>
        <w:snapToGrid/>
        <w:spacing w:line="560" w:lineRule="exact"/>
        <w:ind w:firstLineChars="0" w:firstLine="0"/>
        <w:outlineLvl w:val="1"/>
        <w:rPr>
          <w:rFonts w:ascii="Times New Roman" w:eastAsia="仿宋_GB2312" w:cs="仿宋_GB2312" w:hAnsi="Times New Roman"/>
          <w:color w:val="auto"/>
          <w:sz w:val="32"/>
          <w:szCs w:val="32"/>
          <w:lang w:eastAsia="zh-CN"/>
        </w:rPr>
      </w:pPr>
      <w:r>
        <w:rPr>
          <w:rFonts w:ascii="Times New Roman" w:eastAsia="仿宋_GB2312" w:cs="仿宋_GB2312" w:hAnsi="Times New Roman"/>
          <w:color w:val="auto"/>
          <w:sz w:val="32"/>
          <w:szCs w:val="32"/>
          <w:lang w:eastAsia="zh-CN"/>
        </w:rPr>
        <w:drawing>
          <wp:anchor distT="0" distB="0" distL="85088" distR="85088" simplePos="0" relativeHeight="26" behindDoc="0" locked="0" layoutInCell="1" hidden="0" allowOverlap="1">
            <wp:simplePos x="0" y="0"/>
            <wp:positionH relativeFrom="column">
              <wp:posOffset>405758</wp:posOffset>
            </wp:positionH>
            <wp:positionV relativeFrom="paragraph">
              <wp:posOffset>518152</wp:posOffset>
            </wp:positionV>
            <wp:extent cx="4572000" cy="2532379"/>
            <wp:effectExtent l="0" t="0" r="0" b="0"/>
            <wp:wrapTopAndBottom/>
            <wp:docPr id="16" name="图片"/>
            <wp:cNvGraphicFramePr>
              <a:graphicFrameLocks noChangeAspect="1"/>
            </wp:cNvGraphicFramePr>
            <a:graphic>
              <a:graphicData uri="http://schemas.openxmlformats.org/drawingml/2006/picture">
                <pic:pic>
                  <pic:nvPicPr>
                    <pic:cNvPr id="18" name="图片 18"/>
                    <pic:cNvPicPr/>
                  </pic:nvPicPr>
                  <pic:blipFill>
                    <a:blip r:embed="rId12"/>
                    <a:stretch>
                      <a:fillRect/>
                    </a:stretch>
                  </pic:blipFill>
                  <pic:spPr>
                    <a:xfrm rot="0">
                      <a:off x="0" y="0"/>
                      <a:ext cx="4572000" cy="2532379"/>
                    </a:xfrm>
                    <a:prstGeom prst="rect"/>
                    <a:noFill/>
                    <a:ln w="9525" cmpd="sng" cap="flat">
                      <a:noFill/>
                      <a:prstDash val="solid"/>
                      <a:miter/>
                    </a:ln>
                  </pic:spPr>
                </pic:pic>
              </a:graphicData>
            </a:graphic>
          </wp:anchor>
        </w:drawing>
      </w:r>
    </w:p>
    <w:p>
      <w:pPr>
        <w:pStyle w:val="39"/>
        <w:keepNext w:val="0"/>
        <w:keepLines w:val="0"/>
        <w:pageBreakBefore w:val="0"/>
        <w:widowControl w:val="0"/>
        <w:kinsoku/>
        <w:wordWrap/>
        <w:overflowPunct/>
        <w:topLinePunct w:val="0"/>
        <w:autoSpaceDE/>
        <w:autoSpaceDN/>
        <w:adjustRightInd/>
        <w:snapToGrid/>
        <w:spacing w:line="560" w:lineRule="exact"/>
        <w:ind w:left="0" w:firstLineChars="200" w:firstLine="640"/>
        <w:outlineLvl w:val="1"/>
        <w:rPr>
          <w:rStyle w:val="2Char"/>
          <w:rFonts w:ascii="Times New Roman" w:eastAsia="黑体" w:hAnsi="Times New Roman"/>
          <w:b w:val="0"/>
          <w:color w:val="auto"/>
        </w:rPr>
      </w:pPr>
      <w:bookmarkStart w:id="32" w:name="_Toc11819417"/>
      <w:r>
        <w:rPr>
          <w:rFonts w:ascii="Times New Roman" w:eastAsia="黑体" w:hAnsi="Times New Roman" w:hint="eastAsia"/>
          <w:color w:val="auto"/>
          <w:sz w:val="32"/>
          <w:szCs w:val="32"/>
        </w:rPr>
        <w:t>四、财</w:t>
      </w:r>
      <w:r>
        <w:rPr>
          <w:rStyle w:val="2Char"/>
          <w:rFonts w:ascii="Times New Roman" w:eastAsia="黑体" w:hAnsi="Times New Roman" w:hint="eastAsia"/>
          <w:b w:val="0"/>
          <w:color w:val="auto"/>
        </w:rPr>
        <w:t>政拨款收入支出决算总体情况说明</w:t>
      </w:r>
      <w:bookmarkEnd w:id="30"/>
      <w:bookmarkEnd w:id="31"/>
      <w:bookmarkEnd w:id="32"/>
    </w:p>
    <w:p>
      <w:pPr>
        <w:spacing w:line="560" w:lineRule="exact"/>
        <w:ind w:firstLine="640"/>
        <w:rPr>
          <w:rFonts w:eastAsia="仿宋_GB2312" w:cs="仿宋_GB2312" w:hint="eastAsia"/>
          <w:sz w:val="32"/>
          <w:szCs w:val="32"/>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财政拨款收入、支出总计均为</w:t>
      </w:r>
      <w:r>
        <w:rPr>
          <w:rFonts w:ascii="仿宋_GB2312" w:eastAsia="仿宋_GB2312" w:cs="仿宋_GB2312" w:hint="eastAsia"/>
          <w:sz w:val="32"/>
          <w:szCs w:val="32"/>
        </w:rPr>
        <w:t>1249.26</w:t>
      </w:r>
      <w:r>
        <w:rPr>
          <w:rFonts w:ascii="Times New Roman" w:eastAsia="仿宋_GB2312" w:cs="仿宋_GB2312" w:hAnsi="Times New Roman" w:hint="eastAsia"/>
          <w:color w:val="auto"/>
          <w:kern w:val="2"/>
          <w:sz w:val="32"/>
          <w:szCs w:val="32"/>
          <w:lang w:val="en-US" w:eastAsia="zh-CN" w:bidi="ar-SA"/>
        </w:rPr>
        <w:t>万元。与</w:t>
      </w:r>
      <w:r>
        <w:rPr>
          <w:rFonts w:eastAsia="仿宋_GB2312" w:cs="仿宋_GB2312" w:hint="eastAsia"/>
          <w:color w:val="auto"/>
          <w:kern w:val="2"/>
          <w:sz w:val="32"/>
          <w:szCs w:val="32"/>
          <w:lang w:val="en-US" w:eastAsia="zh-CN" w:bidi="ar-SA"/>
        </w:rPr>
        <w:t>上</w:t>
      </w:r>
      <w:r>
        <w:rPr>
          <w:rFonts w:ascii="Times New Roman" w:eastAsia="仿宋_GB2312" w:cs="仿宋_GB2312" w:hAnsi="Times New Roman" w:hint="eastAsia"/>
          <w:color w:val="auto"/>
          <w:kern w:val="2"/>
          <w:sz w:val="32"/>
          <w:szCs w:val="32"/>
          <w:lang w:val="en-US" w:eastAsia="zh-CN" w:bidi="ar-SA"/>
        </w:rPr>
        <w:t>年度相比，财政拨款收入、支出总计各</w:t>
      </w:r>
      <w:r>
        <w:rPr>
          <w:rFonts w:ascii="Times New Roman" w:eastAsia="仿宋_GB2312" w:cs="仿宋_GB2312" w:hAnsi="Times New Roman" w:hint="eastAsia"/>
          <w:color w:val="auto"/>
          <w:sz w:val="32"/>
          <w:szCs w:val="32"/>
        </w:rPr>
        <w:t>减少</w:t>
      </w:r>
      <w:r>
        <w:rPr>
          <w:rFonts w:ascii="Times New Roman" w:eastAsia="仿宋_GB2312" w:cs="仿宋_GB2312" w:hAnsi="Times New Roman"/>
          <w:color w:val="auto"/>
          <w:sz w:val="32"/>
          <w:szCs w:val="32"/>
        </w:rPr>
        <w:t>139.22</w:t>
      </w:r>
      <w:r>
        <w:rPr>
          <w:rFonts w:ascii="Times New Roman" w:eastAsia="仿宋_GB2312" w:cs="仿宋_GB2312" w:hAnsi="Times New Roman" w:hint="eastAsia"/>
          <w:color w:val="auto"/>
          <w:sz w:val="32"/>
          <w:szCs w:val="32"/>
        </w:rPr>
        <w:t>万元，下降</w:t>
      </w:r>
      <w:r>
        <w:rPr>
          <w:rFonts w:ascii="Times New Roman" w:eastAsia="仿宋_GB2312" w:cs="仿宋_GB2312" w:hAnsi="Times New Roman"/>
          <w:color w:val="auto"/>
          <w:sz w:val="32"/>
          <w:szCs w:val="32"/>
        </w:rPr>
        <w:t>10.03</w:t>
      </w:r>
      <w:r>
        <w:rPr>
          <w:rFonts w:ascii="Times New Roman" w:eastAsia="仿宋_GB2312" w:cs="仿宋_GB2312" w:hAnsi="Times New Roman" w:hint="eastAsia"/>
          <w:color w:val="auto"/>
          <w:sz w:val="32"/>
          <w:szCs w:val="32"/>
        </w:rPr>
        <w:t>%</w:t>
      </w:r>
      <w:r>
        <w:rPr>
          <w:rFonts w:ascii="Times New Roman" w:eastAsia="仿宋_GB2312" w:cs="仿宋_GB2312" w:hAnsi="Times New Roman" w:hint="eastAsia"/>
          <w:color w:val="auto"/>
          <w:kern w:val="2"/>
          <w:sz w:val="32"/>
          <w:szCs w:val="32"/>
          <w:lang w:val="en-US" w:eastAsia="zh-CN" w:bidi="ar-SA"/>
        </w:rPr>
        <w:t>。主要变动原因是政府性基金</w:t>
      </w:r>
      <w:r>
        <w:rPr>
          <w:rFonts w:ascii="Times New Roman" w:eastAsia="仿宋_GB2312" w:cs="仿宋_GB2312" w:hAnsi="Times New Roman"/>
          <w:color w:val="auto"/>
          <w:kern w:val="2"/>
          <w:sz w:val="32"/>
          <w:szCs w:val="32"/>
          <w:lang w:val="en-US" w:eastAsia="zh-CN" w:bidi="ar-SA"/>
        </w:rPr>
        <w:t>安排的项目资金相对2024年度下降。</w:t>
      </w:r>
    </w:p>
    <w:p>
      <w:pPr>
        <w:spacing w:line="560" w:lineRule="exact"/>
        <w:ind w:firstLineChars="200" w:firstLine="640"/>
        <w:outlineLvl w:val="1"/>
        <w:rPr>
          <w:rStyle w:val="2Char"/>
          <w:rFonts w:ascii="Times New Roman" w:eastAsia="黑体" w:hAnsi="Times New Roman"/>
          <w:b w:val="0"/>
          <w:color w:val="auto"/>
        </w:rPr>
      </w:pPr>
      <w:bookmarkStart w:id="33" w:name="_Toc15396607"/>
      <w:bookmarkStart w:id="34" w:name="_Toc15377209"/>
      <w:bookmarkStart w:id="35" w:name="_Toc11819418"/>
      <w:r>
        <w:rPr>
          <w:rFonts w:ascii="Times New Roman" w:eastAsia="黑体" w:hAnsi="Times New Roman" w:hint="eastAsia"/>
          <w:color w:val="auto"/>
          <w:sz w:val="32"/>
          <w:szCs w:val="32"/>
        </w:rPr>
        <w:t>五、</w:t>
      </w:r>
      <w:r>
        <w:rPr>
          <w:rFonts w:ascii="Times New Roman" w:eastAsia="黑体" w:hAnsi="Times New Roman" w:hint="eastAsia"/>
          <w:b/>
          <w:color w:val="auto"/>
          <w:sz w:val="32"/>
          <w:szCs w:val="32"/>
        </w:rPr>
        <w:t>一</w:t>
      </w:r>
      <w:r>
        <w:rPr>
          <w:rStyle w:val="2Char"/>
          <w:rFonts w:ascii="Times New Roman" w:eastAsia="黑体" w:hAnsi="Times New Roman" w:hint="eastAsia"/>
          <w:b w:val="0"/>
          <w:color w:val="auto"/>
        </w:rPr>
        <w:t>般公共预算财政拨款支出决算情况说明</w:t>
      </w:r>
      <w:bookmarkEnd w:id="33"/>
      <w:bookmarkEnd w:id="34"/>
      <w:bookmarkEnd w:id="35"/>
    </w:p>
    <w:p>
      <w:pPr>
        <w:spacing w:line="560" w:lineRule="exact"/>
        <w:ind w:firstLineChars="200" w:firstLine="640"/>
        <w:outlineLvl w:val="2"/>
        <w:rPr>
          <w:rFonts w:ascii="Times New Roman" w:eastAsia="楷体_GB2312" w:cs="楷体_GB2312" w:hAnsi="Times New Roman" w:hint="eastAsia"/>
          <w:b/>
          <w:color w:val="auto"/>
          <w:sz w:val="32"/>
          <w:szCs w:val="32"/>
        </w:rPr>
      </w:pPr>
      <w:bookmarkStart w:id="36" w:name="_Toc15377210"/>
      <w:r>
        <w:rPr>
          <w:rFonts w:ascii="Times New Roman" w:eastAsia="楷体_GB2312" w:cs="楷体_GB2312" w:hAnsi="Times New Roman" w:hint="eastAsia"/>
          <w:b/>
          <w:color w:val="auto"/>
          <w:sz w:val="32"/>
          <w:szCs w:val="32"/>
        </w:rPr>
        <w:t>（一）一般公共预算财政拨款支出决算总体情况</w:t>
      </w:r>
      <w:bookmarkEnd w:id="36"/>
    </w:p>
    <w:p>
      <w:pPr>
        <w:spacing w:line="560" w:lineRule="exact"/>
        <w:ind w:firstLine="640"/>
        <w:rPr>
          <w:rFonts w:eastAsia="仿宋_GB2312" w:cs="仿宋_GB2312" w:hint="eastAsia"/>
          <w:sz w:val="32"/>
          <w:szCs w:val="32"/>
        </w:rPr>
      </w:pPr>
      <w:r>
        <w:rPr>
          <w:rFonts w:ascii="Times New Roman" w:eastAsia="仿宋_GB2312" w:cs="仿宋_GB2312" w:hAnsi="Times New Roman"/>
          <w:color w:val="auto"/>
          <w:kern w:val="2"/>
          <w:sz w:val="32"/>
          <w:szCs w:val="32"/>
          <w:lang w:val="en-US" w:eastAsia="zh-CN" w:bidi="ar-SA"/>
        </w:rPr>
        <w:drawing>
          <wp:anchor distT="0" distB="0" distL="85088" distR="85088" simplePos="0" relativeHeight="28" behindDoc="0" locked="0" layoutInCell="1" hidden="0" allowOverlap="1">
            <wp:simplePos x="0" y="0"/>
            <wp:positionH relativeFrom="column">
              <wp:posOffset>92105</wp:posOffset>
            </wp:positionH>
            <wp:positionV relativeFrom="paragraph">
              <wp:posOffset>1666277</wp:posOffset>
            </wp:positionV>
            <wp:extent cx="4309745" cy="2256790"/>
            <wp:effectExtent l="0" t="0" r="0" b="0"/>
            <wp:wrapTopAndBottom/>
            <wp:docPr id="19" name="图片"/>
            <wp:cNvGraphicFramePr>
              <a:graphicFrameLocks noChangeAspect="1"/>
            </wp:cNvGraphicFramePr>
            <a:graphic>
              <a:graphicData uri="http://schemas.openxmlformats.org/drawingml/2006/picture">
                <pic:pic>
                  <pic:nvPicPr>
                    <pic:cNvPr id="21" name="图片 21"/>
                    <pic:cNvPicPr/>
                  </pic:nvPicPr>
                  <pic:blipFill>
                    <a:blip r:embed="rId13"/>
                    <a:stretch>
                      <a:fillRect/>
                    </a:stretch>
                  </pic:blipFill>
                  <pic:spPr>
                    <a:xfrm rot="0">
                      <a:off x="0" y="0"/>
                      <a:ext cx="4309745" cy="2256790"/>
                    </a:xfrm>
                    <a:prstGeom prst="rect"/>
                    <a:noFill/>
                    <a:ln w="9525" cmpd="sng" cap="flat">
                      <a:noFill/>
                      <a:prstDash val="solid"/>
                      <a:miter/>
                    </a:ln>
                  </pic:spPr>
                </pic:pic>
              </a:graphicData>
            </a:graphic>
          </wp:anchor>
        </w:drawing>
      </w: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一般公共预算财政拨款支出</w:t>
      </w:r>
      <w:r>
        <w:rPr>
          <w:rFonts w:ascii="仿宋_GB2312" w:eastAsia="仿宋_GB2312" w:cs="仿宋_GB2312" w:hint="eastAsia"/>
          <w:sz w:val="32"/>
          <w:szCs w:val="32"/>
        </w:rPr>
        <w:t>1102.46</w:t>
      </w:r>
      <w:r>
        <w:rPr>
          <w:rFonts w:ascii="Times New Roman" w:eastAsia="仿宋_GB2312" w:cs="仿宋_GB2312" w:hAnsi="Times New Roman" w:hint="eastAsia"/>
          <w:color w:val="auto"/>
          <w:kern w:val="2"/>
          <w:sz w:val="32"/>
          <w:szCs w:val="32"/>
          <w:lang w:val="en-US" w:eastAsia="zh-CN" w:bidi="ar-SA"/>
        </w:rPr>
        <w:t>万元，占本年支出合计的</w:t>
      </w:r>
      <w:r>
        <w:rPr>
          <w:rFonts w:ascii="仿宋_GB2312" w:eastAsia="仿宋_GB2312" w:cs="仿宋_GB2312" w:hint="eastAsia"/>
          <w:sz w:val="32"/>
          <w:szCs w:val="32"/>
        </w:rPr>
        <w:t>88.24</w:t>
      </w:r>
      <w:r>
        <w:rPr>
          <w:rFonts w:ascii="Times New Roman" w:eastAsia="仿宋_GB2312" w:cs="仿宋_GB2312" w:hAnsi="Times New Roman" w:hint="eastAsia"/>
          <w:color w:val="auto"/>
          <w:kern w:val="2"/>
          <w:sz w:val="32"/>
          <w:szCs w:val="32"/>
          <w:lang w:val="en-US" w:eastAsia="zh-CN" w:bidi="ar-SA"/>
        </w:rPr>
        <w:t>%。与</w:t>
      </w:r>
      <w:r>
        <w:rPr>
          <w:rFonts w:eastAsia="仿宋_GB2312" w:cs="仿宋_GB2312" w:hint="eastAsia"/>
          <w:color w:val="auto"/>
          <w:kern w:val="2"/>
          <w:sz w:val="32"/>
          <w:szCs w:val="32"/>
          <w:lang w:val="en-US" w:eastAsia="zh-CN" w:bidi="ar-SA"/>
        </w:rPr>
        <w:t>上</w:t>
      </w:r>
      <w:r>
        <w:rPr>
          <w:rFonts w:ascii="Times New Roman" w:eastAsia="仿宋_GB2312" w:cs="仿宋_GB2312" w:hAnsi="Times New Roman" w:hint="eastAsia"/>
          <w:color w:val="auto"/>
          <w:kern w:val="2"/>
          <w:sz w:val="32"/>
          <w:szCs w:val="32"/>
          <w:lang w:val="en-US" w:eastAsia="zh-CN" w:bidi="ar-SA"/>
        </w:rPr>
        <w:t>年度相比，一般公共预算财政拨款支出增加</w:t>
      </w:r>
      <w:r>
        <w:rPr>
          <w:rFonts w:ascii="Times New Roman" w:eastAsia="仿宋_GB2312" w:cs="仿宋_GB2312" w:hAnsi="Times New Roman"/>
          <w:color w:val="auto"/>
          <w:kern w:val="2"/>
          <w:sz w:val="32"/>
          <w:szCs w:val="32"/>
          <w:lang w:val="en-US" w:eastAsia="zh-CN" w:bidi="ar-SA"/>
        </w:rPr>
        <w:t>67.31</w:t>
      </w:r>
      <w:r>
        <w:rPr>
          <w:rFonts w:ascii="Times New Roman" w:eastAsia="仿宋_GB2312" w:cs="仿宋_GB2312" w:hAnsi="Times New Roman" w:hint="eastAsia"/>
          <w:color w:val="auto"/>
          <w:kern w:val="2"/>
          <w:sz w:val="32"/>
          <w:szCs w:val="32"/>
          <w:lang w:val="en-US" w:eastAsia="zh-CN" w:bidi="ar-SA"/>
        </w:rPr>
        <w:t>万元，增长</w:t>
      </w:r>
      <w:r>
        <w:rPr>
          <w:rFonts w:ascii="Times New Roman" w:eastAsia="仿宋_GB2312" w:cs="仿宋_GB2312" w:hAnsi="Times New Roman"/>
          <w:color w:val="auto"/>
          <w:kern w:val="2"/>
          <w:sz w:val="32"/>
          <w:szCs w:val="32"/>
          <w:lang w:val="en-US" w:eastAsia="zh-CN" w:bidi="ar-SA"/>
        </w:rPr>
        <w:t>6.5</w:t>
      </w:r>
      <w:r>
        <w:rPr>
          <w:rFonts w:ascii="Times New Roman" w:eastAsia="仿宋_GB2312" w:cs="仿宋_GB2312" w:hAnsi="Times New Roman" w:hint="eastAsia"/>
          <w:color w:val="auto"/>
          <w:kern w:val="2"/>
          <w:sz w:val="32"/>
          <w:szCs w:val="32"/>
          <w:lang w:val="en-US" w:eastAsia="zh-CN" w:bidi="ar-SA"/>
        </w:rPr>
        <w:t>%。主要变动原因是</w:t>
      </w:r>
      <w:r>
        <w:rPr>
          <w:rFonts w:ascii="Times New Roman" w:eastAsia="仿宋_GB2312" w:cs="仿宋_GB2312" w:hAnsi="Times New Roman"/>
          <w:color w:val="auto"/>
          <w:kern w:val="2"/>
          <w:sz w:val="32"/>
          <w:szCs w:val="32"/>
          <w:lang w:val="en-US" w:eastAsia="zh-CN" w:bidi="ar-SA"/>
        </w:rPr>
        <w:t>人员增加、工作量增加，导致</w:t>
      </w:r>
      <w:r>
        <w:rPr>
          <w:rFonts w:ascii="Times New Roman" w:eastAsia="仿宋_GB2312" w:cs="仿宋_GB2312" w:hAnsi="Times New Roman" w:hint="eastAsia"/>
          <w:color w:val="auto"/>
          <w:kern w:val="2"/>
          <w:sz w:val="32"/>
          <w:szCs w:val="32"/>
          <w:lang w:val="en-US" w:eastAsia="zh-CN" w:bidi="ar-SA"/>
        </w:rPr>
        <w:t>一般公共预算</w:t>
      </w:r>
      <w:r>
        <w:rPr>
          <w:rFonts w:ascii="Times New Roman" w:eastAsia="仿宋_GB2312" w:cs="仿宋_GB2312" w:hAnsi="Times New Roman"/>
          <w:color w:val="auto"/>
          <w:kern w:val="2"/>
          <w:sz w:val="32"/>
          <w:szCs w:val="32"/>
          <w:lang w:val="en-US" w:eastAsia="zh-CN" w:bidi="ar-SA"/>
        </w:rPr>
        <w:t>支出增加。</w:t>
      </w:r>
    </w:p>
    <w:p>
      <w:pPr>
        <w:spacing w:line="560" w:lineRule="exact"/>
        <w:ind w:firstLineChars="200" w:firstLine="640"/>
        <w:outlineLvl w:val="2"/>
        <w:rPr>
          <w:rFonts w:ascii="Times New Roman" w:eastAsia="楷体_GB2312" w:cs="楷体_GB2312" w:hAnsi="Times New Roman" w:hint="eastAsia"/>
          <w:b/>
          <w:color w:val="auto"/>
          <w:sz w:val="32"/>
          <w:szCs w:val="32"/>
        </w:rPr>
      </w:pPr>
      <w:bookmarkStart w:id="37" w:name="_Toc15377211"/>
      <w:r>
        <w:rPr>
          <w:rFonts w:ascii="Times New Roman" w:eastAsia="楷体_GB2312" w:cs="楷体_GB2312" w:hAnsi="Times New Roman" w:hint="eastAsia"/>
          <w:b/>
          <w:color w:val="auto"/>
          <w:sz w:val="32"/>
          <w:szCs w:val="32"/>
        </w:rPr>
        <w:t>（二）一般公共预算财政拨款支出决算结构情况</w:t>
      </w:r>
      <w:bookmarkEnd w:id="37"/>
    </w:p>
    <w:p>
      <w:pPr>
        <w:spacing w:line="560" w:lineRule="exact"/>
        <w:ind w:firstLine="640"/>
        <w:rPr>
          <w:rFonts w:ascii="Times New Roman" w:eastAsia="仿宋_GB2312" w:cs="仿宋_GB2312" w:hAnsi="Times New Roman" w:hint="eastAsia"/>
          <w:color w:val="auto"/>
          <w:kern w:val="2"/>
          <w:sz w:val="32"/>
          <w:szCs w:val="32"/>
          <w:lang w:val="en-US" w:eastAsia="zh-CN" w:bidi="ar-SA"/>
        </w:rPr>
      </w:pPr>
      <w:r>
        <w:rPr>
          <w:rFonts w:eastAsia="仿宋_GB2312" w:cs="仿宋_GB2312"/>
          <w:color w:val="auto"/>
          <w:kern w:val="2"/>
          <w:sz w:val="32"/>
          <w:szCs w:val="32"/>
          <w:lang w:val="en-US" w:eastAsia="zh-CN" w:bidi="ar-SA"/>
        </w:rPr>
        <w:drawing>
          <wp:anchor distT="0" distB="0" distL="85088" distR="85088" simplePos="0" relativeHeight="30" behindDoc="0" locked="0" layoutInCell="1" hidden="0" allowOverlap="1">
            <wp:simplePos x="0" y="0"/>
            <wp:positionH relativeFrom="column">
              <wp:posOffset>618543</wp:posOffset>
            </wp:positionH>
            <wp:positionV relativeFrom="paragraph">
              <wp:posOffset>1627512</wp:posOffset>
            </wp:positionV>
            <wp:extent cx="4235448" cy="2392045"/>
            <wp:effectExtent l="0" t="0" r="0" b="0"/>
            <wp:wrapTopAndBottom/>
            <wp:docPr id="22" name="图片"/>
            <wp:cNvGraphicFramePr>
              <a:graphicFrameLocks noChangeAspect="1"/>
            </wp:cNvGraphicFramePr>
            <a:graphic>
              <a:graphicData uri="http://schemas.openxmlformats.org/drawingml/2006/picture">
                <pic:pic>
                  <pic:nvPicPr>
                    <pic:cNvPr id="24" name="图片 24"/>
                    <pic:cNvPicPr/>
                  </pic:nvPicPr>
                  <pic:blipFill>
                    <a:blip r:embed="rId14"/>
                    <a:stretch>
                      <a:fillRect/>
                    </a:stretch>
                  </pic:blipFill>
                  <pic:spPr>
                    <a:xfrm rot="0">
                      <a:off x="0" y="0"/>
                      <a:ext cx="4235448" cy="2392045"/>
                    </a:xfrm>
                    <a:prstGeom prst="rect"/>
                    <a:noFill/>
                    <a:ln w="9525" cmpd="sng" cap="flat">
                      <a:noFill/>
                      <a:prstDash val="solid"/>
                      <a:miter/>
                    </a:ln>
                  </pic:spPr>
                </pic:pic>
              </a:graphicData>
            </a:graphic>
          </wp:anchor>
        </w:drawing>
      </w: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一般公共预算财政拨款支出</w:t>
      </w:r>
      <w:r>
        <w:rPr>
          <w:rFonts w:ascii="仿宋_GB2312" w:eastAsia="仿宋_GB2312" w:cs="仿宋_GB2312" w:hint="eastAsia"/>
          <w:sz w:val="32"/>
          <w:szCs w:val="32"/>
        </w:rPr>
        <w:t>1102.46</w:t>
      </w:r>
      <w:r>
        <w:rPr>
          <w:rFonts w:ascii="Times New Roman" w:eastAsia="仿宋_GB2312" w:cs="仿宋_GB2312" w:hAnsi="Times New Roman" w:hint="eastAsia"/>
          <w:color w:val="auto"/>
          <w:kern w:val="2"/>
          <w:sz w:val="32"/>
          <w:szCs w:val="32"/>
          <w:lang w:val="en-US" w:eastAsia="zh-CN" w:bidi="ar-SA"/>
        </w:rPr>
        <w:t>万元，主要用于以下方面</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社会保障和就业支出</w:t>
      </w:r>
      <w:r>
        <w:rPr>
          <w:rFonts w:ascii="Times New Roman" w:eastAsia="仿宋_GB2312" w:cs="仿宋_GB2312" w:hAnsi="Times New Roman"/>
          <w:color w:val="auto"/>
          <w:kern w:val="2"/>
          <w:sz w:val="32"/>
          <w:szCs w:val="32"/>
          <w:lang w:val="en-US" w:eastAsia="zh-CN" w:bidi="ar-SA"/>
        </w:rPr>
        <w:t>1023.09</w:t>
      </w:r>
      <w:r>
        <w:rPr>
          <w:rFonts w:ascii="Times New Roman" w:eastAsia="仿宋_GB2312" w:cs="仿宋_GB2312" w:hAnsi="Times New Roman" w:hint="eastAsia"/>
          <w:color w:val="auto"/>
          <w:kern w:val="2"/>
          <w:sz w:val="32"/>
          <w:szCs w:val="32"/>
          <w:lang w:val="en-US" w:eastAsia="zh-CN" w:bidi="ar-SA"/>
        </w:rPr>
        <w:t>万元，占</w:t>
      </w:r>
      <w:r>
        <w:rPr>
          <w:rFonts w:ascii="Times New Roman" w:eastAsia="仿宋_GB2312" w:cs="仿宋_GB2312" w:hAnsi="Times New Roman"/>
          <w:color w:val="auto"/>
          <w:kern w:val="2"/>
          <w:sz w:val="32"/>
          <w:szCs w:val="32"/>
          <w:lang w:val="en-US" w:eastAsia="zh-CN" w:bidi="ar-SA"/>
        </w:rPr>
        <w:t>92.8</w:t>
      </w:r>
      <w:r>
        <w:rPr>
          <w:rFonts w:ascii="Times New Roman" w:eastAsia="仿宋_GB2312" w:cs="仿宋_GB2312" w:hAnsi="Times New Roman" w:hint="eastAsia"/>
          <w:color w:val="auto"/>
          <w:kern w:val="2"/>
          <w:sz w:val="32"/>
          <w:szCs w:val="32"/>
          <w:lang w:val="en-US" w:eastAsia="zh-CN" w:bidi="ar-SA"/>
        </w:rPr>
        <w:t>%；卫生健康支出</w:t>
      </w:r>
      <w:r>
        <w:rPr>
          <w:rFonts w:ascii="Times New Roman" w:eastAsia="仿宋_GB2312" w:cs="仿宋_GB2312" w:hAnsi="Times New Roman"/>
          <w:color w:val="auto"/>
          <w:kern w:val="2"/>
          <w:sz w:val="32"/>
          <w:szCs w:val="32"/>
          <w:lang w:val="en-US" w:eastAsia="zh-CN" w:bidi="ar-SA"/>
        </w:rPr>
        <w:t>39.69</w:t>
      </w:r>
      <w:r>
        <w:rPr>
          <w:rFonts w:ascii="Times New Roman" w:eastAsia="仿宋_GB2312" w:cs="仿宋_GB2312" w:hAnsi="Times New Roman" w:hint="eastAsia"/>
          <w:color w:val="auto"/>
          <w:kern w:val="2"/>
          <w:sz w:val="32"/>
          <w:szCs w:val="32"/>
          <w:lang w:val="en-US" w:eastAsia="zh-CN" w:bidi="ar-SA"/>
        </w:rPr>
        <w:t>万元，占</w:t>
      </w:r>
      <w:r>
        <w:rPr>
          <w:rFonts w:ascii="Times New Roman" w:eastAsia="仿宋_GB2312" w:cs="仿宋_GB2312" w:hAnsi="Times New Roman"/>
          <w:color w:val="auto"/>
          <w:kern w:val="2"/>
          <w:sz w:val="32"/>
          <w:szCs w:val="32"/>
          <w:lang w:val="en-US" w:eastAsia="zh-CN" w:bidi="ar-SA"/>
        </w:rPr>
        <w:t>3.6</w:t>
      </w:r>
      <w:r>
        <w:rPr>
          <w:rFonts w:ascii="Times New Roman" w:eastAsia="仿宋_GB2312" w:cs="仿宋_GB2312" w:hAnsi="Times New Roman" w:hint="eastAsia"/>
          <w:color w:val="auto"/>
          <w:kern w:val="2"/>
          <w:sz w:val="32"/>
          <w:szCs w:val="32"/>
          <w:lang w:val="en-US" w:eastAsia="zh-CN" w:bidi="ar-SA"/>
        </w:rPr>
        <w:t>%；住房保障支出</w:t>
      </w:r>
      <w:r>
        <w:rPr>
          <w:rFonts w:ascii="Times New Roman" w:eastAsia="仿宋_GB2312" w:cs="仿宋_GB2312" w:hAnsi="Times New Roman"/>
          <w:color w:val="auto"/>
          <w:kern w:val="2"/>
          <w:sz w:val="32"/>
          <w:szCs w:val="32"/>
          <w:lang w:val="en-US" w:eastAsia="zh-CN" w:bidi="ar-SA"/>
        </w:rPr>
        <w:t>39.68</w:t>
      </w:r>
      <w:r>
        <w:rPr>
          <w:rFonts w:ascii="Times New Roman" w:eastAsia="仿宋_GB2312" w:cs="仿宋_GB2312" w:hAnsi="Times New Roman" w:hint="eastAsia"/>
          <w:color w:val="auto"/>
          <w:kern w:val="2"/>
          <w:sz w:val="32"/>
          <w:szCs w:val="32"/>
          <w:lang w:val="en-US" w:eastAsia="zh-CN" w:bidi="ar-SA"/>
        </w:rPr>
        <w:t>万元，占</w:t>
      </w:r>
      <w:r>
        <w:rPr>
          <w:rFonts w:ascii="Times New Roman" w:eastAsia="仿宋_GB2312" w:cs="仿宋_GB2312" w:hAnsi="Times New Roman"/>
          <w:color w:val="auto"/>
          <w:kern w:val="2"/>
          <w:sz w:val="32"/>
          <w:szCs w:val="32"/>
          <w:lang w:val="en-US" w:eastAsia="zh-CN" w:bidi="ar-SA"/>
        </w:rPr>
        <w:t>3.6</w:t>
      </w:r>
      <w:r>
        <w:rPr>
          <w:rFonts w:ascii="Times New Roman" w:eastAsia="仿宋_GB2312" w:cs="仿宋_GB2312" w:hAnsi="Times New Roman" w:hint="eastAsia"/>
          <w:color w:val="auto"/>
          <w:kern w:val="2"/>
          <w:sz w:val="32"/>
          <w:szCs w:val="32"/>
          <w:lang w:val="en-US" w:eastAsia="zh-CN" w:bidi="ar-SA"/>
        </w:rPr>
        <w:t>%</w:t>
      </w:r>
      <w:r>
        <w:rPr>
          <w:rFonts w:ascii="Times New Roman" w:eastAsia="仿宋_GB2312" w:cs="仿宋_GB2312" w:hAnsi="Times New Roman"/>
          <w:color w:val="auto"/>
          <w:kern w:val="2"/>
          <w:sz w:val="32"/>
          <w:szCs w:val="32"/>
          <w:lang w:val="en-US" w:eastAsia="zh-CN" w:bidi="ar-SA"/>
        </w:rPr>
        <w:t>。</w:t>
      </w:r>
    </w:p>
    <w:p>
      <w:pPr>
        <w:spacing w:line="560" w:lineRule="exact"/>
        <w:ind w:firstLineChars="200" w:firstLine="640"/>
        <w:outlineLvl w:val="2"/>
        <w:rPr>
          <w:rFonts w:ascii="Times New Roman" w:eastAsia="楷体_GB2312" w:cs="楷体_GB2312" w:hAnsi="Times New Roman" w:hint="eastAsia"/>
          <w:b/>
          <w:color w:val="auto"/>
          <w:sz w:val="32"/>
          <w:szCs w:val="32"/>
        </w:rPr>
      </w:pPr>
      <w:bookmarkStart w:id="38" w:name="_Toc15377212"/>
      <w:r>
        <w:rPr>
          <w:rFonts w:ascii="Times New Roman" w:eastAsia="楷体_GB2312" w:cs="楷体_GB2312" w:hAnsi="Times New Roman" w:hint="eastAsia"/>
          <w:b/>
          <w:color w:val="auto"/>
          <w:sz w:val="32"/>
          <w:szCs w:val="32"/>
        </w:rPr>
        <w:t>（三）一般公共预算财政拨款支出决算具体情况</w:t>
      </w:r>
      <w:bookmarkEnd w:id="38"/>
    </w:p>
    <w:p>
      <w:pPr>
        <w:spacing w:line="560" w:lineRule="exact"/>
        <w:ind w:firstLine="640"/>
        <w:rPr>
          <w:rFonts w:ascii="Times New Roman" w:eastAsia="仿宋_GB2312" w:cs="仿宋_GB2312" w:hAnsi="Times New Roman" w:hint="eastAsia"/>
          <w:color w:val="auto"/>
          <w:kern w:val="2"/>
          <w:sz w:val="32"/>
          <w:szCs w:val="32"/>
          <w:lang w:val="en-US" w:eastAsia="zh-CN" w:bidi="ar-SA"/>
        </w:rPr>
      </w:pPr>
      <w:bookmarkStart w:id="39" w:name="_Toc15378460"/>
      <w:bookmarkStart w:id="40" w:name="_Toc15377213"/>
      <w:bookmarkStart w:id="41" w:name="_Toc15377444"/>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一般公共预算支出决算数为</w:t>
      </w:r>
      <w:r>
        <w:rPr>
          <w:rFonts w:ascii="仿宋_GB2312" w:eastAsia="仿宋_GB2312" w:cs="仿宋_GB2312" w:hint="eastAsia"/>
          <w:sz w:val="32"/>
          <w:szCs w:val="32"/>
        </w:rPr>
        <w:t>1102.46</w:t>
      </w:r>
      <w:r>
        <w:rPr>
          <w:rFonts w:ascii="Times New Roman" w:eastAsia="仿宋_GB2312" w:cs="仿宋_GB2312" w:hAnsi="Times New Roman" w:hint="eastAsia"/>
          <w:color w:val="auto"/>
          <w:kern w:val="2"/>
          <w:sz w:val="32"/>
          <w:szCs w:val="32"/>
          <w:lang w:val="en-US" w:eastAsia="zh-CN" w:bidi="ar-SA"/>
        </w:rPr>
        <w:t>，完成预算</w:t>
      </w:r>
      <w:r>
        <w:rPr>
          <w:rFonts w:ascii="Times New Roman" w:eastAsia="仿宋_GB2312" w:cs="仿宋_GB2312" w:hAnsi="Times New Roman"/>
          <w:color w:val="auto"/>
          <w:kern w:val="2"/>
          <w:sz w:val="32"/>
          <w:szCs w:val="32"/>
          <w:lang w:val="en-US" w:eastAsia="zh-CN" w:bidi="ar-SA"/>
        </w:rPr>
        <w:t>100</w:t>
      </w:r>
      <w:r>
        <w:rPr>
          <w:rFonts w:ascii="Times New Roman" w:eastAsia="仿宋_GB2312" w:cs="仿宋_GB2312" w:hAnsi="Times New Roman" w:hint="eastAsia"/>
          <w:color w:val="auto"/>
          <w:kern w:val="2"/>
          <w:sz w:val="32"/>
          <w:szCs w:val="32"/>
          <w:lang w:val="en-US" w:eastAsia="zh-CN" w:bidi="ar-SA"/>
        </w:rPr>
        <w:t>%。其中：</w:t>
      </w:r>
      <w:bookmarkEnd w:id="39"/>
      <w:bookmarkEnd w:id="40"/>
      <w:bookmarkEnd w:id="41"/>
    </w:p>
    <w:p>
      <w:pPr>
        <w:spacing w:line="56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社会保障和就业支出（类）民政管理事务（款）行政运行（项）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支出决算为6</w:t>
      </w:r>
      <w:r>
        <w:rPr>
          <w:rFonts w:ascii="Times New Roman" w:eastAsia="仿宋_GB2312" w:cs="仿宋_GB2312" w:hAnsi="Times New Roman"/>
          <w:color w:val="auto"/>
          <w:kern w:val="2"/>
          <w:sz w:val="32"/>
          <w:szCs w:val="32"/>
          <w:lang w:val="en-US" w:eastAsia="zh-CN" w:bidi="ar-SA"/>
          <w:highlight w:val="auto"/>
        </w:rPr>
        <w:t>17.91</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社会保障和就业支出（类）民政管理事务（款）一般行政管理事务（项）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271.83</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社会保障和就业支出（类）民政管理事务（款）其他民政管理事务支出（项）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34.5</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4.社会保障和就业支出（类）行政事业单位养老支出（款）机关事业单位基本养老保险缴费支出（项）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58.92</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eastAsia="仿宋_GB2312" w:cs="仿宋_GB2312"/>
          <w:color w:val="auto"/>
          <w:kern w:val="2"/>
          <w:sz w:val="32"/>
          <w:szCs w:val="32"/>
          <w:lang w:eastAsia="zh-CN" w:bidi="ar-SA"/>
          <w:highlight w:val="auto"/>
        </w:rPr>
      </w:pPr>
      <w:r>
        <w:rPr>
          <w:rFonts w:eastAsia="仿宋_GB2312" w:cs="仿宋_GB2312"/>
          <w:color w:val="auto"/>
          <w:kern w:val="2"/>
          <w:sz w:val="32"/>
          <w:szCs w:val="32"/>
          <w:lang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.社会保障和就业支出（类）行政事业单位养老支出（款）机关事业单位职业年金缴费支出（项）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29.52</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6</w:t>
      </w:r>
      <w:r>
        <w:rPr>
          <w:rFonts w:ascii="Times New Roman" w:eastAsia="仿宋_GB2312" w:cs="仿宋_GB2312" w:hAnsi="Times New Roman" w:hint="eastAsia"/>
          <w:color w:val="auto"/>
          <w:kern w:val="2"/>
          <w:sz w:val="32"/>
          <w:szCs w:val="32"/>
          <w:lang w:val="en-US" w:eastAsia="zh-CN" w:bidi="ar-SA"/>
          <w:highlight w:val="auto"/>
        </w:rPr>
        <w:t>.社会保障和就业支出（类）行政事业单位养老支出（款）</w:t>
      </w:r>
      <w:r>
        <w:rPr>
          <w:rFonts w:ascii="Times New Roman" w:eastAsia="仿宋_GB2312" w:cs="仿宋_GB2312" w:hAnsi="Times New Roman"/>
          <w:color w:val="auto"/>
          <w:kern w:val="2"/>
          <w:sz w:val="32"/>
          <w:szCs w:val="32"/>
          <w:lang w:val="en-US" w:eastAsia="zh-CN" w:bidi="ar-SA"/>
          <w:highlight w:val="auto"/>
        </w:rPr>
        <w:t>其他行政事业单位养老支出</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10.41</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eastAsia="仿宋_GB2312" w:cs="仿宋_GB2312"/>
          <w:color w:val="auto"/>
          <w:kern w:val="2"/>
          <w:sz w:val="32"/>
          <w:szCs w:val="32"/>
          <w:lang w:eastAsia="zh-CN" w:bidi="ar-SA"/>
          <w:highlight w:val="auto"/>
        </w:rPr>
      </w:pPr>
      <w:r>
        <w:rPr>
          <w:rFonts w:ascii="Times New Roman" w:eastAsia="仿宋_GB2312" w:cs="仿宋_GB2312" w:hAnsi="Times New Roman"/>
          <w:color w:val="auto"/>
          <w:kern w:val="2"/>
          <w:sz w:val="32"/>
          <w:szCs w:val="32"/>
          <w:lang w:val="en-US" w:eastAsia="zh-CN" w:bidi="ar-SA"/>
          <w:highlight w:val="auto"/>
        </w:rPr>
        <w:t>7</w:t>
      </w:r>
      <w:r>
        <w:rPr>
          <w:rFonts w:ascii="Times New Roman" w:eastAsia="仿宋_GB2312" w:cs="仿宋_GB2312" w:hAnsi="Times New Roman" w:hint="eastAsia"/>
          <w:color w:val="auto"/>
          <w:kern w:val="2"/>
          <w:sz w:val="32"/>
          <w:szCs w:val="32"/>
          <w:lang w:val="en-US" w:eastAsia="zh-CN" w:bidi="ar-SA"/>
          <w:highlight w:val="auto"/>
        </w:rPr>
        <w:t>.卫生健康（类）行政事业单位医疗（款）行政单位医疗（项）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28.85</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firstLine="640"/>
        <w:rPr>
          <w:rFonts w:eastAsia="仿宋_GB2312" w:cs="仿宋_GB2312"/>
          <w:color w:val="auto"/>
          <w:kern w:val="2"/>
          <w:sz w:val="32"/>
          <w:szCs w:val="32"/>
          <w:lang w:eastAsia="zh-CN" w:bidi="ar-SA"/>
          <w:highlight w:val="auto"/>
        </w:rPr>
      </w:pPr>
      <w:r>
        <w:rPr>
          <w:rFonts w:eastAsia="仿宋_GB2312" w:cs="仿宋_GB2312"/>
          <w:color w:val="auto"/>
          <w:kern w:val="2"/>
          <w:sz w:val="32"/>
          <w:szCs w:val="32"/>
          <w:lang w:eastAsia="zh-CN" w:bidi="ar-SA"/>
          <w:highlight w:val="auto"/>
        </w:rPr>
        <w:t>8</w:t>
      </w:r>
      <w:r>
        <w:rPr>
          <w:rFonts w:ascii="Times New Roman" w:eastAsia="仿宋_GB2312" w:cs="仿宋_GB2312" w:hAnsi="Times New Roman" w:hint="eastAsia"/>
          <w:color w:val="auto"/>
          <w:kern w:val="2"/>
          <w:sz w:val="32"/>
          <w:szCs w:val="32"/>
          <w:lang w:val="en-US" w:eastAsia="zh-CN" w:bidi="ar-SA"/>
          <w:highlight w:val="auto"/>
        </w:rPr>
        <w:t>.卫生健康（类）行政事业单位医疗（款）公务员医疗补助（项）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10.84</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firstLine="640"/>
        <w:rPr>
          <w:rFonts w:eastAsia="仿宋_GB2312" w:cs="仿宋_GB2312"/>
          <w:color w:val="auto"/>
          <w:kern w:val="2"/>
          <w:sz w:val="32"/>
          <w:szCs w:val="32"/>
          <w:lang w:eastAsia="zh-CN" w:bidi="ar-SA"/>
          <w:highlight w:val="auto"/>
        </w:rPr>
      </w:pPr>
      <w:r>
        <w:rPr>
          <w:rFonts w:eastAsia="仿宋_GB2312" w:cs="仿宋_GB2312"/>
          <w:color w:val="auto"/>
          <w:kern w:val="2"/>
          <w:sz w:val="32"/>
          <w:szCs w:val="32"/>
          <w:lang w:eastAsia="zh-CN" w:bidi="ar-SA"/>
          <w:highlight w:val="auto"/>
        </w:rPr>
        <w:t>9</w:t>
      </w:r>
      <w:r>
        <w:rPr>
          <w:rFonts w:ascii="Times New Roman" w:eastAsia="仿宋_GB2312" w:cs="仿宋_GB2312" w:hAnsi="Times New Roman" w:hint="eastAsia"/>
          <w:color w:val="auto"/>
          <w:kern w:val="2"/>
          <w:sz w:val="32"/>
          <w:szCs w:val="32"/>
          <w:lang w:val="en-US" w:eastAsia="zh-CN" w:bidi="ar-SA"/>
          <w:highlight w:val="auto"/>
        </w:rPr>
        <w:t>.住房保障支出（类）住房改革支出（款）住房公积金（项）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38.48</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pStyle w:val="19"/>
        <w:spacing w:beforeLines="0" w:before="0" w:line="560" w:lineRule="exact"/>
        <w:ind w:firstLineChars="200" w:firstLine="640"/>
        <w:rPr>
          <w:rFonts w:eastAsia="仿宋_GB2312" w:cs="仿宋_GB2312"/>
          <w:color w:val="auto"/>
          <w:kern w:val="2"/>
          <w:sz w:val="32"/>
          <w:szCs w:val="32"/>
          <w:lang w:eastAsia="zh-CN" w:bidi="ar-SA"/>
          <w:highlight w:val="auto"/>
        </w:rPr>
      </w:pPr>
      <w:r>
        <w:rPr>
          <w:rFonts w:ascii="Times New Roman" w:cs="仿宋_GB2312" w:hAnsi="Times New Roman"/>
          <w:color w:val="auto"/>
          <w:kern w:val="2"/>
          <w:sz w:val="32"/>
          <w:szCs w:val="32"/>
          <w:lang w:eastAsia="zh-CN" w:bidi="ar-SA"/>
          <w:highlight w:val="auto"/>
        </w:rPr>
        <w:t>10</w:t>
      </w:r>
      <w:r>
        <w:rPr>
          <w:rFonts w:ascii="Times New Roman" w:eastAsia="仿宋_GB2312" w:cs="仿宋_GB2312" w:hAnsi="Times New Roman" w:hint="eastAsia"/>
          <w:color w:val="auto"/>
          <w:kern w:val="2"/>
          <w:sz w:val="32"/>
          <w:szCs w:val="32"/>
          <w:lang w:val="en-US" w:eastAsia="zh-CN" w:bidi="ar-SA"/>
          <w:highlight w:val="auto"/>
        </w:rPr>
        <w:t>.住房保障支出（类）住房改革支出（款）</w:t>
      </w:r>
      <w:r>
        <w:rPr>
          <w:rFonts w:eastAsia="仿宋_GB2312" w:cs="仿宋_GB2312"/>
          <w:color w:val="auto"/>
          <w:kern w:val="2"/>
          <w:sz w:val="32"/>
          <w:szCs w:val="32"/>
          <w:lang w:eastAsia="zh-CN" w:bidi="ar-SA"/>
          <w:highlight w:val="auto"/>
        </w:rPr>
        <w:t>购房补贴</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1.2</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tabs>
          <w:tab w:val="right" w:pos="8306"/>
        </w:tabs>
        <w:spacing w:line="560" w:lineRule="exact"/>
        <w:ind w:firstLine="640"/>
        <w:outlineLvl w:val="1"/>
        <w:rPr>
          <w:rStyle w:val="2Char"/>
          <w:rFonts w:ascii="Times New Roman" w:hAnsi="Times New Roman"/>
          <w:color w:val="auto"/>
          <w:highlight w:val="auto"/>
        </w:rPr>
      </w:pPr>
      <w:bookmarkStart w:id="42" w:name="_Toc15396608"/>
      <w:bookmarkStart w:id="43" w:name="_Toc15377214"/>
      <w:bookmarkStart w:id="44" w:name="_Toc11819419"/>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42"/>
      <w:bookmarkEnd w:id="43"/>
      <w:r>
        <w:rPr>
          <w:rStyle w:val="2Char"/>
          <w:rFonts w:ascii="Times New Roman" w:eastAsia="黑体" w:hAnsi="Times New Roman"/>
          <w:b w:val="0"/>
          <w:color w:val="auto"/>
          <w:highlight w:val="auto"/>
        </w:rPr>
        <w:tab/>
      </w:r>
      <w:bookmarkEnd w:id="44"/>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ascii="仿宋_GB2312" w:eastAsia="仿宋_GB2312" w:cs="仿宋_GB2312" w:hint="eastAsia"/>
          <w:sz w:val="32"/>
          <w:szCs w:val="32"/>
        </w:rPr>
        <w:t>830.63</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hint="eastAsia"/>
          <w:sz w:val="32"/>
          <w:szCs w:val="32"/>
        </w:rPr>
        <w:t>709.77</w:t>
      </w:r>
      <w:r>
        <w:rPr>
          <w:rFonts w:ascii="Times New Roman" w:eastAsia="仿宋_GB2312" w:cs="仿宋_GB2312" w:hAnsi="Times New Roman" w:hint="eastAsia"/>
          <w:color w:val="auto"/>
          <w:kern w:val="2"/>
          <w:sz w:val="32"/>
          <w:szCs w:val="32"/>
          <w:lang w:val="en-US" w:eastAsia="zh-CN" w:bidi="ar-SA"/>
          <w:highlight w:val="auto"/>
        </w:rPr>
        <w:t>万元，主要包括：基本工资、津贴补贴、奖金、伙食补助费、绩效工资、机关事业单位基本养老保险缴费、职业年金缴费、</w:t>
      </w:r>
      <w:r>
        <w:rPr>
          <w:rFonts w:ascii="Times New Roman" w:eastAsia="仿宋_GB2312" w:cs="仿宋_GB2312" w:hAnsi="Times New Roman"/>
          <w:color w:val="auto"/>
          <w:kern w:val="2"/>
          <w:sz w:val="32"/>
          <w:szCs w:val="32"/>
          <w:lang w:val="en-US" w:eastAsia="zh-CN" w:bidi="ar-SA"/>
          <w:highlight w:val="auto"/>
        </w:rPr>
        <w:t>职工基本医疗保险、公务员医疗补助缴费、</w:t>
      </w:r>
      <w:r>
        <w:rPr>
          <w:rFonts w:ascii="Times New Roman" w:eastAsia="仿宋_GB2312" w:cs="仿宋_GB2312" w:hAnsi="Times New Roman" w:hint="eastAsia"/>
          <w:color w:val="auto"/>
          <w:kern w:val="2"/>
          <w:sz w:val="32"/>
          <w:szCs w:val="32"/>
          <w:lang w:val="en-US" w:eastAsia="zh-CN" w:bidi="ar-SA"/>
          <w:highlight w:val="auto"/>
        </w:rPr>
        <w:t>其他社会保障缴费、住房公积金、其他工资福利支出、生活补助、奖励金、其他对个人和家庭的补助支出。</w:t>
        <w:br/>
        <w:t>　　公用经费</w:t>
      </w:r>
      <w:r>
        <w:rPr>
          <w:rFonts w:ascii="仿宋_GB2312" w:eastAsia="仿宋_GB2312" w:cs="仿宋_GB2312" w:hint="eastAsia"/>
          <w:sz w:val="32"/>
          <w:szCs w:val="32"/>
        </w:rPr>
        <w:t>120.85</w:t>
      </w:r>
      <w:r>
        <w:rPr>
          <w:rFonts w:ascii="Times New Roman" w:eastAsia="仿宋_GB2312" w:cs="仿宋_GB2312" w:hAnsi="Times New Roman" w:hint="eastAsia"/>
          <w:color w:val="auto"/>
          <w:kern w:val="2"/>
          <w:sz w:val="32"/>
          <w:szCs w:val="32"/>
          <w:lang w:val="en-US" w:eastAsia="zh-CN" w:bidi="ar-SA"/>
          <w:highlight w:val="auto"/>
        </w:rPr>
        <w:t>万元，主要包括：办公费、水费、电费、邮电费、物业管理费、差旅费、维修（护）费、租赁费、会议费、培训费、劳务费、委托业务费、福利费、公务用车运行维护费、其他交通费、税金及附加费用、其他商品和服务支出。</w:t>
      </w:r>
    </w:p>
    <w:p>
      <w:pPr>
        <w:spacing w:line="560" w:lineRule="exact"/>
        <w:ind w:firstLine="640"/>
        <w:outlineLvl w:val="1"/>
        <w:rPr>
          <w:rStyle w:val="2Char"/>
          <w:rFonts w:ascii="Times New Roman" w:eastAsia="黑体" w:hAnsi="Times New Roman"/>
          <w:b w:val="0"/>
          <w:color w:val="auto"/>
          <w:highlight w:val="auto"/>
        </w:rPr>
      </w:pPr>
      <w:bookmarkStart w:id="45" w:name="_Toc15396609"/>
      <w:bookmarkStart w:id="46" w:name="_Toc15377215"/>
      <w:bookmarkStart w:id="47" w:name="_Toc11819420"/>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45"/>
      <w:bookmarkEnd w:id="46"/>
      <w:bookmarkEnd w:id="47"/>
    </w:p>
    <w:p>
      <w:pPr>
        <w:spacing w:line="560" w:lineRule="exact"/>
        <w:ind w:firstLineChars="200" w:firstLine="640"/>
        <w:outlineLvl w:val="2"/>
        <w:rPr>
          <w:rFonts w:ascii="Times New Roman" w:eastAsia="楷体_GB2312" w:cs="楷体_GB2312" w:hAnsi="Times New Roman" w:hint="eastAsia"/>
          <w:b/>
          <w:color w:val="auto"/>
          <w:sz w:val="32"/>
          <w:szCs w:val="32"/>
          <w:highlight w:val="auto"/>
        </w:rPr>
      </w:pPr>
      <w:bookmarkStart w:id="48"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48"/>
    </w:p>
    <w:p>
      <w:pPr>
        <w:spacing w:line="56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ascii="仿宋_GB2312" w:eastAsia="仿宋_GB2312" w:cs="仿宋_GB2312" w:hint="eastAsia"/>
          <w:sz w:val="32"/>
          <w:szCs w:val="32"/>
        </w:rPr>
        <w:t>36.98</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%，较上年度减少</w:t>
      </w:r>
      <w:r>
        <w:rPr>
          <w:rFonts w:ascii="Times New Roman" w:eastAsia="仿宋_GB2312" w:cs="仿宋_GB2312" w:hAnsi="Times New Roman"/>
          <w:color w:val="auto"/>
          <w:kern w:val="2"/>
          <w:sz w:val="32"/>
          <w:szCs w:val="32"/>
          <w:lang w:val="en-US" w:eastAsia="zh-CN" w:bidi="ar-SA"/>
          <w:highlight w:val="auto"/>
        </w:rPr>
        <w:t>7.55</w:t>
      </w:r>
      <w:r>
        <w:rPr>
          <w:rFonts w:ascii="Times New Roman" w:eastAsia="仿宋_GB2312" w:cs="仿宋_GB2312" w:hAnsi="Times New Roman" w:hint="eastAsia"/>
          <w:color w:val="auto"/>
          <w:kern w:val="2"/>
          <w:sz w:val="32"/>
          <w:szCs w:val="32"/>
          <w:lang w:val="en-US" w:eastAsia="zh-CN" w:bidi="ar-SA"/>
          <w:highlight w:val="auto"/>
        </w:rPr>
        <w:t>万元，下降</w:t>
      </w:r>
      <w:r>
        <w:rPr>
          <w:rFonts w:ascii="Times New Roman" w:eastAsia="仿宋_GB2312" w:cs="仿宋_GB2312" w:hAnsi="Times New Roman"/>
          <w:color w:val="auto"/>
          <w:kern w:val="2"/>
          <w:sz w:val="32"/>
          <w:szCs w:val="32"/>
          <w:lang w:val="en-US" w:eastAsia="zh-CN" w:bidi="ar-SA"/>
          <w:highlight w:val="auto"/>
        </w:rPr>
        <w:t>16.95</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Times New Roman" w:eastAsia="仿宋_GB2312" w:cs="仿宋_GB2312" w:hAnsi="Times New Roman" w:hint="eastAsia"/>
          <w:color w:val="auto"/>
          <w:sz w:val="32"/>
          <w:szCs w:val="32"/>
          <w:lang w:eastAsia="zh-CN"/>
          <w:highlight w:val="auto"/>
        </w:rPr>
        <w:t>厉行节约，压减开支，减少</w:t>
      </w:r>
      <w:r>
        <w:rPr>
          <w:rFonts w:ascii="Times New Roman" w:eastAsia="仿宋_GB2312" w:cs="仿宋_GB2312" w:hAnsi="Times New Roman"/>
          <w:color w:val="auto"/>
          <w:sz w:val="32"/>
          <w:szCs w:val="32"/>
          <w:lang w:eastAsia="zh-CN"/>
          <w:highlight w:val="auto"/>
        </w:rPr>
        <w:t>支出</w:t>
      </w:r>
      <w:r>
        <w:rPr>
          <w:rFonts w:eastAsia="仿宋_GB2312" w:cs="仿宋_GB2312"/>
          <w:color w:val="auto"/>
          <w:sz w:val="32"/>
          <w:szCs w:val="32"/>
          <w:lang w:eastAsia="zh-CN"/>
          <w:highlight w:val="auto"/>
        </w:rPr>
        <w:t>。</w:t>
      </w:r>
    </w:p>
    <w:p>
      <w:pPr>
        <w:spacing w:line="560" w:lineRule="exact"/>
        <w:ind w:firstLineChars="200" w:firstLine="640"/>
        <w:outlineLvl w:val="2"/>
        <w:rPr>
          <w:rFonts w:ascii="Times New Roman" w:eastAsia="楷体_GB2312" w:cs="楷体_GB2312" w:hAnsi="Times New Roman" w:hint="eastAsia"/>
          <w:b/>
          <w:color w:val="auto"/>
          <w:sz w:val="32"/>
          <w:szCs w:val="32"/>
          <w:highlight w:val="auto"/>
        </w:rPr>
      </w:pPr>
      <w:bookmarkStart w:id="49"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49"/>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财政拨款“三公”经费支出决算中，因公出国（境）费支出决算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w:t>
      </w:r>
      <w:r>
        <w:rPr>
          <w:rFonts w:ascii="仿宋_GB2312" w:eastAsia="仿宋_GB2312" w:cs="仿宋_GB2312" w:hint="eastAsia"/>
          <w:sz w:val="32"/>
          <w:szCs w:val="32"/>
        </w:rPr>
        <w:t>36.98</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%。具体情况如下：</w:t>
      </w:r>
    </w:p>
    <w:p>
      <w:pPr>
        <w:spacing w:line="560" w:lineRule="exact"/>
        <w:ind w:left="0"/>
        <w:rPr>
          <w:rFonts w:eastAsia="仿宋_GB2312" w:cs="仿宋_GB2312" w:hint="eastAsia"/>
          <w:sz w:val="32"/>
          <w:szCs w:val="32"/>
          <w:highlight w:val="yellow"/>
        </w:rPr>
      </w:pPr>
      <w:r>
        <w:rPr>
          <w:rFonts w:ascii="Times New Roman" w:eastAsia="仿宋_GB2312" w:cs="仿宋_GB2312" w:hAnsi="Times New Roman"/>
          <w:color w:val="auto"/>
          <w:kern w:val="2"/>
          <w:sz w:val="32"/>
          <w:szCs w:val="32"/>
          <w:lang w:val="en-US" w:eastAsia="zh-CN" w:bidi="ar-SA"/>
          <w:highlight w:val="yellow"/>
        </w:rPr>
        <w:drawing>
          <wp:anchor distT="0" distB="0" distL="85088" distR="85088" simplePos="0" relativeHeight="32" behindDoc="0" locked="0" layoutInCell="1" hidden="0" allowOverlap="1">
            <wp:simplePos x="0" y="0"/>
            <wp:positionH relativeFrom="column">
              <wp:posOffset>501007</wp:posOffset>
            </wp:positionH>
            <wp:positionV relativeFrom="paragraph">
              <wp:posOffset>286317</wp:posOffset>
            </wp:positionV>
            <wp:extent cx="4572000" cy="2322830"/>
            <wp:effectExtent l="0" t="0" r="0" b="0"/>
            <wp:wrapTopAndBottom/>
            <wp:docPr id="25" name="图片"/>
            <wp:cNvGraphicFramePr>
              <a:graphicFrameLocks noChangeAspect="1"/>
            </wp:cNvGraphicFramePr>
            <a:graphic>
              <a:graphicData uri="http://schemas.openxmlformats.org/drawingml/2006/picture">
                <pic:pic>
                  <pic:nvPicPr>
                    <pic:cNvPr id="27" name="图片 27"/>
                    <pic:cNvPicPr/>
                  </pic:nvPicPr>
                  <pic:blipFill>
                    <a:blip r:embed="rId15"/>
                    <a:srcRect t="15321"/>
                    <a:stretch>
                      <a:fillRect/>
                    </a:stretch>
                  </pic:blipFill>
                  <pic:spPr>
                    <a:xfrm rot="0">
                      <a:off x="0" y="0"/>
                      <a:ext cx="4572000" cy="2322830"/>
                    </a:xfrm>
                    <a:prstGeom prst="rect"/>
                    <a:noFill/>
                    <a:ln w="9525" cmpd="sng" cap="flat">
                      <a:noFill/>
                      <a:prstDash val="solid"/>
                      <a:miter/>
                    </a:ln>
                  </pic:spPr>
                </pic:pic>
              </a:graphicData>
            </a:graphic>
          </wp:anchor>
        </w:drawing>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ascii="仿宋_GB2312" w:eastAsia="仿宋_GB2312" w:cs="仿宋_GB2312" w:hint="eastAsia"/>
          <w:sz w:val="32"/>
          <w:szCs w:val="32"/>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全年安排因公出国（境）团组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人。因公出国（境）支出决算</w:t>
      </w:r>
      <w:r>
        <w:rPr>
          <w:rFonts w:ascii="Times New Roman" w:eastAsia="仿宋_GB2312" w:cs="仿宋_GB2312" w:hAnsi="Times New Roman"/>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color w:val="auto"/>
          <w:kern w:val="2"/>
          <w:sz w:val="32"/>
          <w:szCs w:val="32"/>
          <w:lang w:val="en-US" w:eastAsia="zh-CN" w:bidi="ar-SA"/>
          <w:highlight w:val="auto"/>
        </w:rPr>
        <w:t>持平</w:t>
      </w:r>
    </w:p>
    <w:p>
      <w:pPr>
        <w:spacing w:line="56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b/>
          <w:bCs/>
          <w:color w:val="auto"/>
          <w:kern w:val="2"/>
          <w:sz w:val="32"/>
          <w:szCs w:val="32"/>
          <w:lang w:val="en-US" w:eastAsia="zh-CN" w:bidi="ar-SA"/>
          <w:highlight w:val="auto"/>
        </w:rPr>
        <w:t>36.98</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ascii="Times New Roman" w:eastAsia="仿宋_GB2312" w:cs="仿宋_GB2312" w:hAnsi="Times New Roman"/>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增加/减少</w:t>
      </w:r>
      <w:r>
        <w:rPr>
          <w:rFonts w:ascii="Times New Roman" w:eastAsia="仿宋_GB2312" w:cs="仿宋_GB2312" w:hAnsi="Times New Roman"/>
          <w:color w:val="auto"/>
          <w:kern w:val="2"/>
          <w:sz w:val="32"/>
          <w:szCs w:val="32"/>
          <w:lang w:val="en-US" w:eastAsia="zh-CN" w:bidi="ar-SA"/>
          <w:highlight w:val="auto"/>
        </w:rPr>
        <w:t>7.55</w:t>
      </w:r>
      <w:r>
        <w:rPr>
          <w:rFonts w:ascii="Times New Roman" w:eastAsia="仿宋_GB2312" w:cs="仿宋_GB2312" w:hAnsi="Times New Roman" w:hint="eastAsia"/>
          <w:color w:val="auto"/>
          <w:kern w:val="2"/>
          <w:sz w:val="32"/>
          <w:szCs w:val="32"/>
          <w:lang w:val="en-US" w:eastAsia="zh-CN" w:bidi="ar-SA"/>
          <w:highlight w:val="auto"/>
        </w:rPr>
        <w:t>万元，下降</w:t>
      </w:r>
      <w:r>
        <w:rPr>
          <w:rFonts w:ascii="Times New Roman" w:eastAsia="仿宋_GB2312" w:cs="仿宋_GB2312" w:hAnsi="Times New Roman"/>
          <w:color w:val="auto"/>
          <w:kern w:val="2"/>
          <w:sz w:val="32"/>
          <w:szCs w:val="32"/>
          <w:lang w:val="en-US" w:eastAsia="zh-CN" w:bidi="ar-SA"/>
          <w:highlight w:val="auto"/>
        </w:rPr>
        <w:t>16.95</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Times New Roman" w:eastAsia="仿宋_GB2312" w:cs="仿宋_GB2312" w:hAnsi="Times New Roman" w:hint="eastAsia"/>
          <w:color w:val="auto"/>
          <w:sz w:val="32"/>
          <w:szCs w:val="32"/>
          <w:lang w:eastAsia="zh-CN"/>
          <w:highlight w:val="auto"/>
        </w:rPr>
        <w:t>厉行节约，压减开支，减少</w:t>
      </w:r>
      <w:r>
        <w:rPr>
          <w:rFonts w:ascii="Times New Roman" w:eastAsia="仿宋_GB2312" w:cs="仿宋_GB2312" w:hAnsi="Times New Roman"/>
          <w:color w:val="auto"/>
          <w:sz w:val="32"/>
          <w:szCs w:val="32"/>
          <w:lang w:eastAsia="zh-CN"/>
          <w:highlight w:val="auto"/>
        </w:rPr>
        <w:t>支出</w:t>
      </w:r>
      <w:r>
        <w:rPr>
          <w:rFonts w:eastAsia="仿宋_GB2312" w:cs="仿宋_GB2312"/>
          <w:color w:val="auto"/>
          <w:sz w:val="32"/>
          <w:szCs w:val="32"/>
          <w:lang w:eastAsia="zh-CN"/>
          <w:highlight w:val="auto"/>
        </w:rPr>
        <w:t>。</w:t>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w:t>
      </w:r>
      <w:r>
        <w:rPr>
          <w:rFonts w:ascii="Times New Roman" w:eastAsia="仿宋_GB2312" w:cs="仿宋_GB2312" w:hAnsi="Times New Roman"/>
          <w:color w:val="auto"/>
          <w:kern w:val="2"/>
          <w:sz w:val="32"/>
          <w:szCs w:val="32"/>
          <w:lang w:val="en-US" w:eastAsia="zh-CN" w:bidi="ar-SA"/>
          <w:highlight w:val="auto"/>
        </w:rPr>
        <w:t>本单位2025年度</w:t>
      </w:r>
      <w:r>
        <w:rPr>
          <w:rFonts w:ascii="Times New Roman" w:eastAsia="仿宋_GB2312" w:cs="仿宋_GB2312" w:hAnsi="Times New Roman" w:hint="eastAsia"/>
          <w:color w:val="auto"/>
          <w:kern w:val="2"/>
          <w:sz w:val="32"/>
          <w:szCs w:val="32"/>
          <w:lang w:val="en-US" w:eastAsia="zh-CN" w:bidi="ar-SA"/>
          <w:highlight w:val="auto"/>
        </w:rPr>
        <w:t>公务用车购置支出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公务用车运行维护费支出</w:t>
      </w:r>
      <w:r>
        <w:rPr>
          <w:rFonts w:ascii="仿宋_GB2312" w:eastAsia="仿宋_GB2312" w:cs="仿宋_GB2312" w:hint="eastAsia"/>
          <w:sz w:val="32"/>
          <w:szCs w:val="32"/>
        </w:rPr>
        <w:t>36.98</w:t>
      </w:r>
      <w:r>
        <w:rPr>
          <w:rFonts w:ascii="Times New Roman" w:eastAsia="仿宋_GB2312" w:cs="仿宋_GB2312" w:hAnsi="Times New Roman" w:hint="eastAsia"/>
          <w:color w:val="auto"/>
          <w:kern w:val="2"/>
          <w:sz w:val="32"/>
          <w:szCs w:val="32"/>
          <w:lang w:val="en-US" w:eastAsia="zh-CN" w:bidi="ar-SA"/>
          <w:highlight w:val="auto"/>
        </w:rPr>
        <w:t>万元。主要用于</w:t>
      </w:r>
      <w:r>
        <w:rPr>
          <w:rFonts w:ascii="Times New Roman" w:eastAsia="仿宋_GB2312" w:cs="仿宋_GB2312" w:hAnsi="Times New Roman"/>
          <w:color w:val="auto"/>
          <w:kern w:val="2"/>
          <w:sz w:val="32"/>
          <w:szCs w:val="32"/>
          <w:lang w:val="en-US" w:eastAsia="zh-CN" w:bidi="ar-SA"/>
          <w:highlight w:val="auto"/>
        </w:rPr>
        <w:t>开展民政领域专项整治等公务出差</w:t>
      </w:r>
      <w:r>
        <w:rPr>
          <w:rFonts w:ascii="Times New Roman" w:eastAsia="仿宋_GB2312" w:cs="仿宋_GB2312" w:hAnsi="Times New Roman" w:hint="eastAsia"/>
          <w:color w:val="auto"/>
          <w:kern w:val="2"/>
          <w:sz w:val="32"/>
          <w:szCs w:val="32"/>
          <w:lang w:val="en-US" w:eastAsia="zh-CN" w:bidi="ar-SA"/>
          <w:highlight w:val="auto"/>
        </w:rPr>
        <w:t>所需的公务用车燃料费、维修费、过路过桥费、保险费等支出。</w:t>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ascii="Times New Roman" w:eastAsia="仿宋_GB2312" w:cs="仿宋_GB2312" w:hAnsi="Times New Roman"/>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w:t>
      </w:r>
      <w:r>
        <w:rPr>
          <w:rFonts w:ascii="Times New Roman" w:eastAsia="仿宋_GB2312" w:cs="仿宋_GB2312" w:hAnsi="Times New Roman"/>
          <w:color w:val="auto"/>
          <w:kern w:val="2"/>
          <w:sz w:val="32"/>
          <w:szCs w:val="32"/>
          <w:lang w:val="en-US" w:eastAsia="zh-CN" w:bidi="ar-SA"/>
          <w:highlight w:val="auto"/>
        </w:rPr>
        <w:t>持平。无</w:t>
      </w:r>
      <w:r>
        <w:rPr>
          <w:rFonts w:ascii="Times New Roman" w:eastAsia="仿宋_GB2312" w:cs="仿宋_GB2312" w:hAnsi="Times New Roman" w:hint="eastAsia"/>
          <w:color w:val="auto"/>
          <w:kern w:val="2"/>
          <w:sz w:val="32"/>
          <w:szCs w:val="32"/>
          <w:lang w:val="en-US" w:eastAsia="zh-CN" w:bidi="ar-SA"/>
          <w:highlight w:val="auto"/>
        </w:rPr>
        <w:t>国内公务接待</w:t>
      </w:r>
      <w:r>
        <w:rPr>
          <w:rFonts w:ascii="Times New Roman" w:eastAsia="仿宋_GB2312" w:cs="仿宋_GB2312" w:hAnsi="Times New Roman"/>
          <w:color w:val="auto"/>
          <w:kern w:val="2"/>
          <w:sz w:val="32"/>
          <w:szCs w:val="32"/>
          <w:lang w:val="en-US" w:eastAsia="zh-CN" w:bidi="ar-SA"/>
          <w:highlight w:val="auto"/>
        </w:rPr>
        <w:t>和</w:t>
      </w:r>
      <w:r>
        <w:rPr>
          <w:rFonts w:ascii="Times New Roman" w:eastAsia="仿宋_GB2312" w:cs="仿宋_GB2312" w:hAnsi="Times New Roman" w:hint="eastAsia"/>
          <w:color w:val="auto"/>
          <w:kern w:val="2"/>
          <w:sz w:val="32"/>
          <w:szCs w:val="32"/>
          <w:lang w:val="en-US" w:eastAsia="zh-CN" w:bidi="ar-SA"/>
          <w:highlight w:val="auto"/>
        </w:rPr>
        <w:t>外事接待。</w:t>
      </w:r>
      <w:bookmarkStart w:id="50" w:name="_Toc15377218"/>
      <w:bookmarkStart w:id="51" w:name="_Toc15396610"/>
    </w:p>
    <w:p>
      <w:pPr>
        <w:spacing w:line="560" w:lineRule="exact"/>
        <w:ind w:firstLine="640"/>
        <w:outlineLvl w:val="1"/>
        <w:rPr>
          <w:rStyle w:val="2Char"/>
          <w:rFonts w:ascii="Times New Roman" w:eastAsia="黑体" w:hAnsi="Times New Roman"/>
          <w:color w:val="auto"/>
          <w:highlight w:val="auto"/>
        </w:rPr>
      </w:pPr>
      <w:bookmarkStart w:id="52" w:name="_Toc11819421"/>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50"/>
      <w:bookmarkEnd w:id="51"/>
      <w:bookmarkEnd w:id="52"/>
    </w:p>
    <w:p>
      <w:pPr>
        <w:spacing w:line="560" w:lineRule="exact"/>
        <w:ind w:firstLine="640"/>
        <w:rPr>
          <w:rFonts w:eastAsia="仿宋_GB2312" w:cs="仿宋_GB2312" w:hint="eastAsia"/>
          <w:b/>
          <w:bCs/>
          <w:sz w:val="32"/>
          <w:szCs w:val="32"/>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ascii="仿宋_GB2312" w:eastAsia="仿宋_GB2312" w:cs="仿宋_GB2312" w:hint="eastAsia"/>
          <w:sz w:val="32"/>
          <w:szCs w:val="32"/>
        </w:rPr>
        <w:t>146.8</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11.75</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年度相比，政府性基金预算财政拨款支出减少</w:t>
      </w:r>
      <w:r>
        <w:rPr>
          <w:rFonts w:ascii="Times New Roman" w:eastAsia="仿宋_GB2312" w:cs="仿宋_GB2312" w:hAnsi="Times New Roman"/>
          <w:color w:val="auto"/>
          <w:kern w:val="2"/>
          <w:sz w:val="32"/>
          <w:szCs w:val="32"/>
          <w:lang w:val="en-US" w:eastAsia="zh-CN" w:bidi="ar-SA"/>
          <w:highlight w:val="auto"/>
        </w:rPr>
        <w:t>206.53</w:t>
      </w:r>
      <w:r>
        <w:rPr>
          <w:rFonts w:ascii="Times New Roman" w:eastAsia="仿宋_GB2312" w:cs="仿宋_GB2312" w:hAnsi="Times New Roman" w:hint="eastAsia"/>
          <w:color w:val="auto"/>
          <w:kern w:val="2"/>
          <w:sz w:val="32"/>
          <w:szCs w:val="32"/>
          <w:lang w:val="en-US" w:eastAsia="zh-CN" w:bidi="ar-SA"/>
          <w:highlight w:val="auto"/>
        </w:rPr>
        <w:t>万元，下降</w:t>
      </w:r>
      <w:r>
        <w:rPr>
          <w:rFonts w:ascii="Times New Roman" w:eastAsia="仿宋_GB2312" w:cs="仿宋_GB2312" w:hAnsi="Times New Roman"/>
          <w:color w:val="auto"/>
          <w:kern w:val="2"/>
          <w:sz w:val="32"/>
          <w:szCs w:val="32"/>
          <w:lang w:val="en-US" w:eastAsia="zh-CN" w:bidi="ar-SA"/>
          <w:highlight w:val="auto"/>
        </w:rPr>
        <w:t>58.45</w:t>
      </w:r>
      <w:r>
        <w:rPr>
          <w:rFonts w:ascii="Times New Roman" w:eastAsia="仿宋_GB2312" w:cs="仿宋_GB2312" w:hAnsi="Times New Roman" w:hint="eastAsia"/>
          <w:color w:val="auto"/>
          <w:kern w:val="2"/>
          <w:sz w:val="32"/>
          <w:szCs w:val="32"/>
          <w:lang w:val="en-US" w:eastAsia="zh-CN" w:bidi="ar-SA"/>
          <w:highlight w:val="auto"/>
        </w:rPr>
        <w:t>%。主要变动原因是政府性基金</w:t>
      </w:r>
      <w:r>
        <w:rPr>
          <w:rFonts w:ascii="Times New Roman" w:eastAsia="仿宋_GB2312" w:cs="仿宋_GB2312" w:hAnsi="Times New Roman"/>
          <w:color w:val="auto"/>
          <w:kern w:val="2"/>
          <w:sz w:val="32"/>
          <w:szCs w:val="32"/>
          <w:lang w:val="en-US" w:eastAsia="zh-CN" w:bidi="ar-SA"/>
          <w:highlight w:val="auto"/>
        </w:rPr>
        <w:t>安排的项目资金相对2024年度下降。</w:t>
      </w:r>
    </w:p>
    <w:p>
      <w:pPr>
        <w:spacing w:line="560" w:lineRule="exact"/>
        <w:ind w:left="630"/>
        <w:outlineLvl w:val="1"/>
        <w:rPr>
          <w:rStyle w:val="2Char"/>
          <w:rFonts w:ascii="Times New Roman" w:eastAsia="黑体" w:hAnsi="Times New Roman"/>
          <w:b w:val="0"/>
          <w:color w:val="auto"/>
          <w:highlight w:val="auto"/>
        </w:rPr>
      </w:pPr>
      <w:bookmarkStart w:id="53" w:name="_Toc15396611"/>
      <w:bookmarkStart w:id="54" w:name="_Toc15377219"/>
      <w:bookmarkStart w:id="55" w:name="_Toc11819422"/>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53"/>
      <w:bookmarkEnd w:id="54"/>
      <w:bookmarkEnd w:id="55"/>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eastAsia="仿宋_GB2312" w:cs="仿宋_GB2312" w:hint="eastAsia"/>
          <w:sz w:val="32"/>
          <w:szCs w:val="32"/>
          <w:highlight w:val="auto"/>
        </w:rPr>
        <w:t>%。</w:t>
      </w:r>
      <w:r>
        <w:rPr>
          <w:rFonts w:eastAsia="仿宋_GB2312" w:cs="仿宋_GB2312" w:hint="eastAsia"/>
          <w:bCs/>
          <w:sz w:val="32"/>
          <w:szCs w:val="32"/>
          <w:highlight w:val="auto"/>
        </w:rPr>
        <w:t>与上年持平。</w:t>
      </w:r>
    </w:p>
    <w:p>
      <w:pPr>
        <w:spacing w:line="560" w:lineRule="exact"/>
        <w:ind w:left="630"/>
        <w:outlineLvl w:val="1"/>
        <w:rPr>
          <w:rStyle w:val="2Char"/>
          <w:rFonts w:ascii="Times New Roman" w:eastAsia="黑体" w:hAnsi="Times New Roman" w:hint="eastAsia"/>
          <w:b w:val="0"/>
          <w:color w:val="auto"/>
          <w:highlight w:val="auto"/>
        </w:rPr>
      </w:pPr>
      <w:bookmarkStart w:id="56" w:name="_Toc15377221"/>
      <w:bookmarkStart w:id="57" w:name="_Toc15396612"/>
      <w:bookmarkStart w:id="58" w:name="_Toc11819423"/>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56"/>
      <w:bookmarkEnd w:id="57"/>
      <w:bookmarkEnd w:id="58"/>
    </w:p>
    <w:p>
      <w:pPr>
        <w:spacing w:line="560" w:lineRule="exact"/>
        <w:ind w:firstLineChars="200" w:firstLine="640"/>
        <w:outlineLvl w:val="2"/>
        <w:rPr>
          <w:rFonts w:ascii="Times New Roman" w:eastAsia="楷体_GB2312" w:cs="楷体_GB2312" w:hAnsi="Times New Roman" w:hint="eastAsia"/>
          <w:b/>
          <w:color w:val="auto"/>
          <w:sz w:val="32"/>
          <w:szCs w:val="32"/>
          <w:highlight w:val="auto"/>
        </w:rPr>
      </w:pPr>
      <w:bookmarkStart w:id="59" w:name="_Toc15377222"/>
      <w:r>
        <w:rPr>
          <w:rFonts w:ascii="Times New Roman" w:eastAsia="楷体_GB2312" w:cs="楷体_GB2312" w:hAnsi="Times New Roman" w:hint="eastAsia"/>
          <w:b/>
          <w:color w:val="auto"/>
          <w:sz w:val="32"/>
          <w:szCs w:val="32"/>
          <w:highlight w:val="auto"/>
        </w:rPr>
        <w:t>（一）机关运行经费支出情况</w:t>
      </w:r>
      <w:bookmarkEnd w:id="59"/>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阿坝藏族羌族自治州民政局（本级）</w:t>
      </w:r>
      <w:r>
        <w:rPr>
          <w:rFonts w:ascii="Times New Roman" w:eastAsia="仿宋_GB2312" w:cs="仿宋_GB2312" w:hAnsi="Times New Roman" w:hint="eastAsia"/>
          <w:color w:val="auto"/>
          <w:kern w:val="2"/>
          <w:sz w:val="32"/>
          <w:szCs w:val="32"/>
          <w:lang w:val="en-US" w:eastAsia="zh-CN" w:bidi="ar-SA"/>
          <w:highlight w:val="auto"/>
        </w:rPr>
        <w:t>机关运行经费支出</w:t>
      </w:r>
      <w:r>
        <w:rPr>
          <w:rFonts w:ascii="仿宋_GB2312" w:eastAsia="仿宋_GB2312" w:cs="仿宋_GB2312" w:hint="eastAsia"/>
          <w:sz w:val="32"/>
          <w:szCs w:val="32"/>
        </w:rPr>
        <w:t>120.85</w:t>
      </w:r>
      <w:r>
        <w:rPr>
          <w:rFonts w:ascii="Times New Roman" w:eastAsia="仿宋_GB2312" w:cs="仿宋_GB2312" w:hAnsi="Times New Roman" w:hint="eastAsia"/>
          <w:color w:val="auto"/>
          <w:kern w:val="2"/>
          <w:sz w:val="32"/>
          <w:szCs w:val="32"/>
          <w:lang w:val="en-US" w:eastAsia="zh-CN" w:bidi="ar-SA"/>
          <w:highlight w:val="auto"/>
        </w:rPr>
        <w:t>万元，比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年度增加</w:t>
      </w:r>
      <w:r>
        <w:rPr>
          <w:rFonts w:ascii="Times New Roman" w:eastAsia="仿宋_GB2312" w:cs="仿宋_GB2312" w:hAnsi="Times New Roman"/>
          <w:color w:val="auto"/>
          <w:kern w:val="2"/>
          <w:sz w:val="32"/>
          <w:szCs w:val="32"/>
          <w:lang w:val="en-US" w:eastAsia="zh-CN" w:bidi="ar-SA"/>
          <w:highlight w:val="auto"/>
        </w:rPr>
        <w:t>23.47</w:t>
      </w:r>
      <w:r>
        <w:rPr>
          <w:rFonts w:ascii="Times New Roman" w:eastAsia="仿宋_GB2312" w:cs="仿宋_GB2312" w:hAnsi="Times New Roman" w:hint="eastAsia"/>
          <w:color w:val="auto"/>
          <w:kern w:val="2"/>
          <w:sz w:val="32"/>
          <w:szCs w:val="32"/>
          <w:lang w:val="en-US" w:eastAsia="zh-CN" w:bidi="ar-SA"/>
          <w:highlight w:val="auto"/>
        </w:rPr>
        <w:t>万元，增长</w:t>
      </w:r>
      <w:r>
        <w:rPr>
          <w:rFonts w:ascii="Times New Roman" w:eastAsia="仿宋_GB2312" w:cs="仿宋_GB2312" w:hAnsi="Times New Roman"/>
          <w:color w:val="auto"/>
          <w:kern w:val="2"/>
          <w:sz w:val="32"/>
          <w:szCs w:val="32"/>
          <w:lang w:val="en-US" w:eastAsia="zh-CN" w:bidi="ar-SA"/>
          <w:highlight w:val="auto"/>
        </w:rPr>
        <w:t>24.1</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Times New Roman" w:eastAsia="仿宋_GB2312" w:cs="仿宋_GB2312" w:hAnsi="Times New Roman"/>
          <w:color w:val="auto"/>
          <w:kern w:val="2"/>
          <w:sz w:val="32"/>
          <w:szCs w:val="32"/>
          <w:lang w:val="en-US" w:eastAsia="zh-CN" w:bidi="ar-SA"/>
          <w:highlight w:val="auto"/>
        </w:rPr>
        <w:t>人员增加、工作量增加，导致</w:t>
      </w:r>
      <w:r>
        <w:rPr>
          <w:rFonts w:ascii="Times New Roman" w:eastAsia="仿宋_GB2312" w:cs="仿宋_GB2312" w:hAnsi="Times New Roman"/>
          <w:color w:val="auto"/>
          <w:kern w:val="2"/>
          <w:sz w:val="32"/>
          <w:szCs w:val="32"/>
          <w:lang w:val="en-US" w:eastAsia="zh-CN" w:bidi="ar-SA"/>
        </w:rPr>
        <w:t>机关运行经费。</w:t>
      </w:r>
    </w:p>
    <w:p>
      <w:pPr>
        <w:spacing w:line="560" w:lineRule="exact"/>
        <w:ind w:firstLineChars="200" w:firstLine="640"/>
        <w:outlineLvl w:val="2"/>
        <w:rPr>
          <w:rFonts w:ascii="Times New Roman" w:eastAsia="楷体_GB2312" w:cs="楷体_GB2312" w:hAnsi="Times New Roman" w:hint="eastAsia"/>
          <w:b/>
          <w:color w:val="auto"/>
          <w:sz w:val="32"/>
          <w:szCs w:val="32"/>
          <w:highlight w:val="auto"/>
        </w:rPr>
      </w:pPr>
      <w:bookmarkStart w:id="60" w:name="_Toc15377223"/>
      <w:r>
        <w:rPr>
          <w:rFonts w:ascii="Times New Roman" w:eastAsia="楷体_GB2312" w:cs="楷体_GB2312" w:hAnsi="Times New Roman" w:hint="eastAsia"/>
          <w:b/>
          <w:color w:val="auto"/>
          <w:sz w:val="32"/>
          <w:szCs w:val="32"/>
          <w:highlight w:val="auto"/>
        </w:rPr>
        <w:t>（二）政府采购支出情况</w:t>
      </w:r>
      <w:bookmarkEnd w:id="60"/>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阿坝藏族羌族自治州民政局（本级）</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ascii="仿宋_GB2312" w:eastAsia="仿宋_GB2312" w:cs="仿宋_GB2312" w:hint="eastAsia"/>
          <w:sz w:val="32"/>
          <w:szCs w:val="32"/>
        </w:rPr>
        <w:t>164.53</w:t>
      </w:r>
      <w:r>
        <w:rPr>
          <w:rFonts w:ascii="Times New Roman" w:eastAsia="仿宋_GB2312" w:cs="仿宋_GB2312" w:hAnsi="Times New Roman" w:hint="eastAsia"/>
          <w:color w:val="auto"/>
          <w:kern w:val="2"/>
          <w:sz w:val="32"/>
          <w:szCs w:val="32"/>
          <w:lang w:val="en-US" w:eastAsia="zh-CN" w:bidi="ar-SA"/>
          <w:highlight w:val="auto"/>
        </w:rPr>
        <w:t>万元，其中：政府采购货物支出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万元、政府采购服务支出</w:t>
      </w:r>
      <w:r>
        <w:rPr>
          <w:rFonts w:ascii="仿宋_GB2312" w:eastAsia="仿宋_GB2312" w:cs="仿宋_GB2312" w:hint="eastAsia"/>
          <w:sz w:val="32"/>
          <w:szCs w:val="32"/>
        </w:rPr>
        <w:t>164.53</w:t>
      </w:r>
      <w:r>
        <w:rPr>
          <w:rFonts w:ascii="Times New Roman" w:eastAsia="仿宋_GB2312" w:cs="仿宋_GB2312" w:hAnsi="Times New Roman" w:hint="eastAsia"/>
          <w:color w:val="auto"/>
          <w:kern w:val="2"/>
          <w:sz w:val="32"/>
          <w:szCs w:val="32"/>
          <w:lang w:val="en-US" w:eastAsia="zh-CN" w:bidi="ar-SA"/>
          <w:highlight w:val="auto"/>
        </w:rPr>
        <w:t>万元。主要用于</w:t>
      </w:r>
      <w:r>
        <w:rPr>
          <w:rFonts w:ascii="Times New Roman" w:eastAsia="仿宋_GB2312" w:cs="仿宋_GB2312" w:hAnsi="Times New Roman"/>
          <w:color w:val="auto"/>
          <w:kern w:val="2"/>
          <w:sz w:val="32"/>
          <w:szCs w:val="32"/>
          <w:lang w:val="en-US" w:eastAsia="zh-CN" w:bidi="ar-SA"/>
          <w:highlight w:val="auto"/>
        </w:rPr>
        <w:t>阿坝州社会组织孵化园运营服务、公务车辆维修及购买保险</w:t>
      </w:r>
      <w:r>
        <w:rPr>
          <w:rFonts w:ascii="Times New Roman" w:eastAsia="仿宋_GB2312" w:cs="仿宋_GB2312" w:hAnsi="Times New Roman" w:hint="eastAsia"/>
          <w:color w:val="auto"/>
          <w:kern w:val="2"/>
          <w:sz w:val="32"/>
          <w:szCs w:val="32"/>
          <w:lang w:val="en-US" w:eastAsia="zh-CN" w:bidi="ar-SA"/>
          <w:highlight w:val="auto"/>
        </w:rPr>
        <w:t>。授予中小企业合同金额</w:t>
      </w:r>
      <w:r>
        <w:rPr>
          <w:rFonts w:ascii="仿宋_GB2312" w:eastAsia="仿宋_GB2312" w:cs="仿宋_GB2312" w:hint="eastAsia"/>
          <w:sz w:val="32"/>
          <w:szCs w:val="32"/>
        </w:rPr>
        <w:t>164.53</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rPr>
        <w:t>164.53</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w:t>
      </w:r>
    </w:p>
    <w:p>
      <w:pPr>
        <w:spacing w:line="560" w:lineRule="exact"/>
        <w:ind w:firstLineChars="200" w:firstLine="640"/>
        <w:outlineLvl w:val="2"/>
        <w:rPr>
          <w:rFonts w:ascii="Times New Roman" w:eastAsia="楷体_GB2312" w:cs="楷体_GB2312" w:hAnsi="Times New Roman" w:hint="eastAsia"/>
          <w:b/>
          <w:color w:val="auto"/>
          <w:sz w:val="32"/>
          <w:szCs w:val="32"/>
          <w:highlight w:val="auto"/>
        </w:rPr>
      </w:pPr>
      <w:bookmarkStart w:id="61" w:name="_Toc15377224"/>
      <w:r>
        <w:rPr>
          <w:rFonts w:ascii="Times New Roman" w:eastAsia="楷体_GB2312" w:cs="楷体_GB2312" w:hAnsi="Times New Roman" w:hint="eastAsia"/>
          <w:b/>
          <w:color w:val="auto"/>
          <w:sz w:val="32"/>
          <w:szCs w:val="32"/>
          <w:highlight w:val="auto"/>
        </w:rPr>
        <w:t>（三）国有资产占有使用情况</w:t>
      </w:r>
      <w:bookmarkEnd w:id="61"/>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ascii="仿宋_GB2312" w:eastAsia="仿宋_GB2312" w:cs="仿宋_GB2312" w:hint="eastAsia"/>
          <w:sz w:val="32"/>
          <w:szCs w:val="32"/>
        </w:rPr>
        <w:t>阿坝藏族羌族自治州民政局（本级）</w:t>
      </w:r>
      <w:r>
        <w:rPr>
          <w:rFonts w:ascii="Times New Roman" w:eastAsia="仿宋_GB2312" w:cs="仿宋_GB2312" w:hAnsi="Times New Roman" w:hint="eastAsia"/>
          <w:color w:val="auto"/>
          <w:kern w:val="2"/>
          <w:sz w:val="32"/>
          <w:szCs w:val="32"/>
          <w:lang w:val="en-US" w:eastAsia="zh-CN" w:bidi="ar-SA"/>
          <w:highlight w:val="auto"/>
        </w:rPr>
        <w:t>共有车辆</w:t>
      </w:r>
      <w:r>
        <w:rPr>
          <w:rFonts w:ascii="仿宋_GB2312" w:eastAsia="仿宋_GB2312" w:cs="仿宋_GB2312" w:hint="eastAsia"/>
          <w:sz w:val="32"/>
          <w:szCs w:val="32"/>
        </w:rPr>
        <w:t>5</w:t>
      </w:r>
      <w:r>
        <w:rPr>
          <w:rFonts w:ascii="Times New Roman" w:eastAsia="仿宋_GB2312" w:cs="仿宋_GB2312" w:hAnsi="Times New Roman" w:hint="eastAsia"/>
          <w:color w:val="auto"/>
          <w:kern w:val="2"/>
          <w:sz w:val="32"/>
          <w:szCs w:val="32"/>
          <w:lang w:val="en-US" w:eastAsia="zh-CN" w:bidi="ar-SA"/>
          <w:highlight w:val="auto"/>
        </w:rPr>
        <w:t>辆，其中：副部（省）级及以上领导用车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辆、主要</w:t>
      </w:r>
      <w:r>
        <w:rPr>
          <w:rFonts w:eastAsia="仿宋_GB2312" w:cs="仿宋_GB2312" w:hint="eastAsia"/>
          <w:color w:val="auto"/>
          <w:kern w:val="2"/>
          <w:sz w:val="32"/>
          <w:szCs w:val="32"/>
          <w:lang w:val="en-US" w:eastAsia="zh-CN" w:bidi="ar-SA"/>
          <w:highlight w:val="auto"/>
        </w:rPr>
        <w:t>负责人</w:t>
      </w:r>
      <w:r>
        <w:rPr>
          <w:rFonts w:ascii="Times New Roman" w:eastAsia="仿宋_GB2312" w:cs="仿宋_GB2312" w:hAnsi="Times New Roman" w:hint="eastAsia"/>
          <w:color w:val="auto"/>
          <w:kern w:val="2"/>
          <w:sz w:val="32"/>
          <w:szCs w:val="32"/>
          <w:lang w:val="en-US" w:eastAsia="zh-CN" w:bidi="ar-SA"/>
          <w:highlight w:val="auto"/>
        </w:rPr>
        <w:t>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辆、执法执勤用车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辆、特种专业技术用车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辆、离退休干部服务用车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辆、其他用车</w:t>
      </w:r>
      <w:r>
        <w:rPr>
          <w:rFonts w:ascii="仿宋_GB2312" w:eastAsia="仿宋_GB2312" w:cs="仿宋_GB2312" w:hint="eastAsia"/>
          <w:sz w:val="32"/>
          <w:szCs w:val="32"/>
        </w:rPr>
        <w:t>5</w:t>
      </w:r>
      <w:r>
        <w:rPr>
          <w:rFonts w:ascii="Times New Roman" w:eastAsia="仿宋_GB2312" w:cs="仿宋_GB2312" w:hAnsi="Times New Roman" w:hint="eastAsia"/>
          <w:color w:val="auto"/>
          <w:kern w:val="2"/>
          <w:sz w:val="32"/>
          <w:szCs w:val="32"/>
          <w:lang w:val="en-US" w:eastAsia="zh-CN" w:bidi="ar-SA"/>
          <w:highlight w:val="auto"/>
        </w:rPr>
        <w:t>辆，其他用车主要是用于</w:t>
      </w:r>
      <w:r>
        <w:rPr>
          <w:rFonts w:ascii="仿宋_GB2312" w:eastAsia="仿宋_GB2312" w:cs="仿宋_GB2312"/>
          <w:color w:val="auto"/>
          <w:kern w:val="2"/>
          <w:sz w:val="32"/>
          <w:szCs w:val="32"/>
          <w:lang w:eastAsia="zh-CN" w:bidi="ar-SA"/>
          <w:highlight w:val="auto"/>
        </w:rPr>
        <w:t>执行公务</w:t>
      </w:r>
      <w:r>
        <w:rPr>
          <w:rFonts w:eastAsia="仿宋_GB2312" w:cs="仿宋_GB2312" w:hint="eastAsia"/>
          <w:color w:val="auto"/>
          <w:kern w:val="2"/>
          <w:sz w:val="32"/>
          <w:szCs w:val="32"/>
          <w:lang w:val="en-US" w:eastAsia="zh-CN" w:bidi="ar-SA"/>
          <w:highlight w:val="auto"/>
        </w:rPr>
        <w:t>。</w:t>
      </w:r>
    </w:p>
    <w:p>
      <w:pPr>
        <w:spacing w:line="56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560" w:lineRule="exact"/>
        <w:ind w:firstLine="640"/>
        <w:rPr>
          <w:rFonts w:ascii="Times New Roman" w:eastAsia="仿宋_GB2312" w:cs="仿宋_GB2312" w:hAnsi="Times New Roman" w:hint="eastAsia"/>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rPr>
        <w:t>根据预算绩效管理要求，，</w:t>
      </w:r>
      <w:r>
        <w:rPr>
          <w:rFonts w:ascii="仿宋_GB2312" w:eastAsia="仿宋_GB2312" w:cs="仿宋_GB2312" w:hint="eastAsia"/>
          <w:sz w:val="32"/>
          <w:szCs w:val="32"/>
        </w:rPr>
        <w:t>阿坝藏族羌族自治州民政局（本级）</w:t>
      </w:r>
      <w:r>
        <w:rPr>
          <w:rFonts w:ascii="Times New Roman" w:eastAsia="仿宋_GB2312" w:cs="仿宋_GB2312" w:hAnsi="Times New Roman" w:hint="eastAsia"/>
          <w:color w:val="auto"/>
          <w:kern w:val="2"/>
          <w:sz w:val="32"/>
          <w:szCs w:val="32"/>
          <w:lang w:val="en-US" w:eastAsia="zh-CN" w:bidi="ar-SA"/>
        </w:rPr>
        <w:t>在2025年度，组织对"索玛花开"专项经费等</w:t>
      </w:r>
      <w:r>
        <w:rPr>
          <w:rFonts w:ascii="Times New Roman" w:eastAsia="仿宋_GB2312" w:cs="仿宋_GB2312" w:hAnsi="Times New Roman"/>
          <w:color w:val="auto"/>
          <w:kern w:val="2"/>
          <w:sz w:val="32"/>
          <w:szCs w:val="32"/>
          <w:lang w:val="en-US" w:eastAsia="zh-CN" w:bidi="ar-SA"/>
        </w:rPr>
        <w:t>23</w:t>
      </w:r>
      <w:r>
        <w:rPr>
          <w:rFonts w:ascii="Times New Roman" w:eastAsia="仿宋_GB2312" w:cs="仿宋_GB2312" w:hAnsi="Times New Roman" w:hint="eastAsia"/>
          <w:color w:val="auto"/>
          <w:kern w:val="2"/>
          <w:sz w:val="32"/>
          <w:szCs w:val="32"/>
          <w:lang w:val="en-US" w:eastAsia="zh-CN" w:bidi="ar-SA"/>
        </w:rPr>
        <w:t>个项目涉及金额</w:t>
      </w:r>
      <w:r>
        <w:rPr>
          <w:rFonts w:ascii="Times New Roman" w:eastAsia="仿宋_GB2312" w:cs="仿宋_GB2312" w:hAnsi="Times New Roman"/>
          <w:color w:val="auto"/>
          <w:kern w:val="2"/>
          <w:sz w:val="32"/>
          <w:szCs w:val="32"/>
          <w:lang w:val="en-US" w:eastAsia="zh-CN" w:bidi="ar-SA"/>
        </w:rPr>
        <w:t>418.79</w:t>
      </w:r>
      <w:r>
        <w:rPr>
          <w:rFonts w:ascii="Times New Roman" w:eastAsia="仿宋_GB2312" w:cs="仿宋_GB2312" w:hAnsi="Times New Roman" w:hint="eastAsia"/>
          <w:color w:val="auto"/>
          <w:kern w:val="2"/>
          <w:sz w:val="32"/>
          <w:szCs w:val="32"/>
          <w:lang w:val="en-US" w:eastAsia="zh-CN" w:bidi="ar-SA"/>
        </w:rPr>
        <w:t>万元开展了事前绩效评估，对</w:t>
      </w:r>
      <w:r>
        <w:rPr>
          <w:rFonts w:ascii="Times New Roman" w:eastAsia="仿宋_GB2312" w:cs="仿宋_GB2312" w:hAnsi="Times New Roman"/>
          <w:color w:val="auto"/>
          <w:kern w:val="2"/>
          <w:sz w:val="32"/>
          <w:szCs w:val="32"/>
          <w:lang w:val="en-US" w:eastAsia="zh-CN" w:bidi="ar-SA"/>
        </w:rPr>
        <w:t>23</w:t>
      </w:r>
      <w:r>
        <w:rPr>
          <w:rFonts w:ascii="Times New Roman" w:eastAsia="仿宋_GB2312" w:cs="仿宋_GB2312" w:hAnsi="Times New Roman" w:hint="eastAsia"/>
          <w:color w:val="auto"/>
          <w:kern w:val="2"/>
          <w:sz w:val="32"/>
          <w:szCs w:val="32"/>
          <w:lang w:val="en-US" w:eastAsia="zh-CN" w:bidi="ar-SA"/>
        </w:rPr>
        <w:t>个项目编制了绩效目标，预算执行过程中，选取</w:t>
      </w:r>
      <w:r>
        <w:rPr>
          <w:rFonts w:ascii="Times New Roman" w:eastAsia="仿宋_GB2312" w:cs="仿宋_GB2312" w:hAnsi="Times New Roman"/>
          <w:color w:val="auto"/>
          <w:kern w:val="2"/>
          <w:sz w:val="32"/>
          <w:szCs w:val="32"/>
          <w:lang w:val="en-US" w:eastAsia="zh-CN" w:bidi="ar-SA"/>
        </w:rPr>
        <w:t>23</w:t>
      </w:r>
      <w:r>
        <w:rPr>
          <w:rFonts w:ascii="Times New Roman" w:eastAsia="仿宋_GB2312" w:cs="仿宋_GB2312" w:hAnsi="Times New Roman" w:hint="eastAsia"/>
          <w:color w:val="auto"/>
          <w:kern w:val="2"/>
          <w:sz w:val="32"/>
          <w:szCs w:val="32"/>
          <w:lang w:val="en-US" w:eastAsia="zh-CN" w:bidi="ar-SA"/>
        </w:rPr>
        <w:t>个项目开展绩效监控。</w:t>
      </w:r>
      <w:r>
        <w:rPr>
          <w:rFonts w:ascii="仿宋_GB2312" w:eastAsia="仿宋_GB2312" w:cs="Times New Roman" w:hint="eastAsia"/>
          <w:color w:val="auto"/>
          <w:sz w:val="32"/>
          <w:szCs w:val="32"/>
          <w:lang w:val="en-US" w:eastAsia="zh-CN"/>
        </w:rPr>
        <w:t>绩效自评表详见第四部分附件。</w:t>
      </w:r>
    </w:p>
    <w:p>
      <w:pPr>
        <w:spacing w:line="560" w:lineRule="exact"/>
        <w:ind w:firstLine="640"/>
      </w:pPr>
    </w:p>
    <w:p>
      <w:pPr>
        <w:pStyle w:val="15"/>
        <w:spacing w:line="560" w:lineRule="exact"/>
        <w:sectPr>
          <w:footerReference w:type="default" r:id="rId8"/>
          <w:pgSz w:w="11906" w:h="16838"/>
          <w:pgMar w:top="2098" w:right="1474" w:bottom="1985" w:left="1588" w:header="851" w:footer="992" w:gutter="0"/>
          <w:pgNumType w:start="1"/>
          <w:docGrid w:type="lines" w:linePitch="312" w:charSpace="0"/>
        </w:sectPr>
      </w:pPr>
      <w:bookmarkStart w:id="62" w:name="_GoBack"/>
      <w:bookmarkEnd w:id="62"/>
    </w:p>
    <w:p>
      <w:pPr>
        <w:spacing w:line="560" w:lineRule="exact"/>
        <w:ind w:left="0"/>
        <w:rPr>
          <w:rFonts w:ascii="Times New Roman" w:eastAsia="仿宋_GB2312" w:cs="仿宋_GB2312" w:hAnsi="Times New Roman" w:hint="eastAsia"/>
          <w:color w:val="auto"/>
          <w:kern w:val="2"/>
          <w:sz w:val="32"/>
          <w:szCs w:val="32"/>
          <w:lang w:val="en-US" w:eastAsia="zh-CN" w:bidi="ar-SA"/>
          <w:highlight w:val="auto"/>
        </w:rPr>
      </w:pPr>
    </w:p>
    <w:p>
      <w:pPr>
        <w:spacing w:line="560" w:lineRule="exact"/>
        <w:jc w:val="center"/>
        <w:outlineLvl w:val="0"/>
        <w:rPr>
          <w:rFonts w:ascii="Times New Roman" w:eastAsia="黑体" w:hAnsi="Times New Roman" w:hint="eastAsia"/>
          <w:color w:val="auto"/>
          <w:sz w:val="44"/>
          <w:szCs w:val="44"/>
          <w:highlight w:val="auto"/>
        </w:rPr>
      </w:pPr>
      <w:bookmarkStart w:id="63" w:name="_Toc15396613"/>
      <w:bookmarkStart w:id="64" w:name="_Toc15377225"/>
      <w:bookmarkStart w:id="65" w:name="_Toc11819424"/>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63"/>
      <w:bookmarkEnd w:id="64"/>
      <w:bookmarkEnd w:id="65"/>
    </w:p>
    <w:p>
      <w:pPr>
        <w:spacing w:line="560" w:lineRule="exact"/>
        <w:jc w:val="left"/>
        <w:rPr>
          <w:rFonts w:ascii="Times New Roman" w:hAnsi="Times New Roman"/>
          <w:b/>
          <w:color w:val="auto"/>
          <w:sz w:val="44"/>
          <w:szCs w:val="44"/>
          <w:highlight w:val="auto"/>
        </w:rPr>
      </w:pP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66" w:name="_Toc15377226"/>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spacing w:line="560" w:lineRule="exact"/>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w:t>
      </w:r>
      <w:r>
        <w:rPr>
          <w:rFonts w:ascii="仿宋_GB2312" w:eastAsia="仿宋_GB2312"/>
          <w:color w:val="auto"/>
          <w:sz w:val="32"/>
          <w:szCs w:val="32"/>
          <w:highlight w:val="auto"/>
        </w:rPr>
        <w:t>.</w:t>
      </w:r>
      <w:r>
        <w:rPr>
          <w:rFonts w:ascii="仿宋_GB2312" w:eastAsia="仿宋_GB2312" w:hint="eastAsia"/>
          <w:color w:val="auto"/>
          <w:sz w:val="32"/>
          <w:szCs w:val="32"/>
          <w:highlight w:val="auto"/>
        </w:rPr>
        <w:t>社会保障和就业支出（类）行政事业单位养老支出（款）机关事业单位基本养老保险缴费支出（项）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反映机关事业单位实施养老保险制度由单位缴纳的基本养老保险费支出。</w:t>
      </w:r>
    </w:p>
    <w:p>
      <w:pPr>
        <w:spacing w:line="560" w:lineRule="exact"/>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3</w:t>
      </w:r>
      <w:r>
        <w:rPr>
          <w:rFonts w:ascii="仿宋_GB2312" w:eastAsia="仿宋_GB2312" w:hint="eastAsia"/>
          <w:color w:val="auto"/>
          <w:sz w:val="32"/>
          <w:szCs w:val="32"/>
          <w:highlight w:val="auto"/>
        </w:rPr>
        <w:t>.社会保障和就业支出（类）行政事业单位养老支出（款）机关事业单位职业年金缴费支出（项）</w:t>
      </w:r>
      <w:r>
        <w:rPr>
          <w:rFonts w:ascii="仿宋_GB2312" w:eastAsia="仿宋_GB2312" w:hint="eastAsia"/>
          <w:color w:val="auto"/>
          <w:sz w:val="32"/>
          <w:szCs w:val="32"/>
          <w:lang w:val="en-US" w:eastAsia="zh-CN"/>
          <w:highlight w:val="auto"/>
        </w:rPr>
        <w:t>:指反映机关事业单位实施养老保险制度由单位实际缴纳的职业年金支出</w:t>
      </w:r>
      <w:r>
        <w:rPr>
          <w:rFonts w:ascii="仿宋_GB2312" w:eastAsia="仿宋_GB2312" w:hint="eastAsia"/>
          <w:color w:val="auto"/>
          <w:sz w:val="32"/>
          <w:szCs w:val="32"/>
          <w:highlight w:val="auto"/>
        </w:rPr>
        <w:t>。</w:t>
      </w:r>
    </w:p>
    <w:p>
      <w:pPr>
        <w:spacing w:line="560" w:lineRule="exact"/>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4</w:t>
      </w:r>
      <w:r>
        <w:rPr>
          <w:rFonts w:ascii="仿宋_GB2312" w:eastAsia="仿宋_GB2312" w:hint="eastAsia"/>
          <w:color w:val="auto"/>
          <w:sz w:val="32"/>
          <w:szCs w:val="32"/>
          <w:highlight w:val="auto"/>
        </w:rPr>
        <w:t>.卫生健康支出（类）行政事业单位医疗（款）事业单位医疗（项）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反映财政部门安排的事业单位基本医疗保险缴费经费，未参加医疗保险的事业单位的公费医疗经费，按国家规定享受离休人员待遇的医疗经费。</w:t>
      </w:r>
    </w:p>
    <w:p>
      <w:pPr>
        <w:spacing w:line="560" w:lineRule="exact"/>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5</w:t>
      </w:r>
      <w:r>
        <w:rPr>
          <w:rFonts w:ascii="仿宋_GB2312" w:eastAsia="仿宋_GB2312" w:hint="eastAsia"/>
          <w:color w:val="auto"/>
          <w:sz w:val="32"/>
          <w:szCs w:val="32"/>
          <w:highlight w:val="auto"/>
        </w:rPr>
        <w:t>.卫生健康支出（类）行政事业单位医疗（款）其他行政事业单位医疗支出（项）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反映除上述项目以外的其他用于行政事业单位医疗方面的支出。</w:t>
      </w:r>
    </w:p>
    <w:p>
      <w:pPr>
        <w:spacing w:line="560" w:lineRule="exact"/>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6.</w:t>
      </w:r>
      <w:r>
        <w:rPr>
          <w:rFonts w:ascii="仿宋_GB2312" w:eastAsia="仿宋_GB2312" w:hint="eastAsia"/>
          <w:color w:val="auto"/>
          <w:sz w:val="32"/>
          <w:szCs w:val="32"/>
          <w:highlight w:val="auto"/>
        </w:rPr>
        <w:t>住房保障支出（类）住房改革支出（款）住房公积金（项）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反映行政事业单位按人力资源和社会保障部、财政部规定的基本工资和津贴补贴以及规定比例为职工缴纳的住房公积金。</w:t>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7.基本支出：指为保障机构正常运转、完成日常工作任务而发生的人员支出和公用支出。</w:t>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8.项目支出：指在基本支出之外为完成特定行政任务和事业发展目标所发生的支出。 </w:t>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9.经营支出：指事业单位在专业业务活动及其辅助活动之外开展非独立核算经营活动发生的支出。</w:t>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0.</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jc w:val="center"/>
        <w:outlineLvl w:val="0"/>
        <w:rPr>
          <w:rFonts w:ascii="Times New Roman" w:eastAsia="黑体" w:hAnsi="Times New Roman" w:hint="eastAsia"/>
          <w:color w:val="auto"/>
          <w:sz w:val="44"/>
          <w:szCs w:val="44"/>
          <w:highlight w:val="auto"/>
        </w:rPr>
      </w:pPr>
      <w:r>
        <w:rPr>
          <w:rFonts w:ascii="Times New Roman" w:eastAsia="仿宋_GB2312" w:cs="仿宋_GB2312" w:hAnsi="Times New Roman" w:hint="eastAsia"/>
          <w:color w:val="auto"/>
          <w:kern w:val="2"/>
          <w:sz w:val="32"/>
          <w:szCs w:val="32"/>
          <w:lang w:val="en-US" w:eastAsia="zh-CN" w:bidi="ar-SA"/>
          <w:highlight w:val="auto"/>
        </w:rPr>
        <w:br w:type="page"/>
      </w:r>
      <w:bookmarkStart w:id="67" w:name="_Toc15396614"/>
      <w:bookmarkStart w:id="68" w:name="_Toc11819425"/>
      <w:r>
        <w:rPr>
          <w:rFonts w:ascii="Times New Roman" w:eastAsia="黑体" w:hAnsi="Times New Roman" w:hint="eastAsia"/>
          <w:color w:val="auto"/>
          <w:sz w:val="44"/>
          <w:szCs w:val="44"/>
          <w:highlight w:val="auto"/>
        </w:rPr>
        <w:t>第</w:t>
      </w:r>
      <w:r>
        <w:rPr>
          <w:rFonts w:eastAsia="黑体"/>
          <w:color w:val="auto"/>
          <w:sz w:val="44"/>
          <w:szCs w:val="44"/>
          <w:lang w:eastAsia="zh-CN"/>
          <w:highlight w:val="auto"/>
        </w:rPr>
        <w:t>四</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ascii="Times New Roman" w:eastAsia="黑体" w:hAnsi="Times New Roman"/>
          <w:color w:val="auto"/>
          <w:sz w:val="44"/>
          <w:szCs w:val="44"/>
          <w:lang w:val="en-US" w:eastAsia="zh-CN"/>
          <w:highlight w:val="auto"/>
        </w:rPr>
        <w:t xml:space="preserve"> </w:t>
      </w:r>
      <w:r>
        <w:rPr>
          <w:rFonts w:eastAsia="黑体"/>
          <w:color w:val="auto"/>
          <w:sz w:val="44"/>
          <w:szCs w:val="44"/>
          <w:lang w:val="en-US" w:eastAsia="zh-CN"/>
          <w:highlight w:val="auto"/>
        </w:rPr>
        <w:t>附件</w:t>
      </w:r>
      <w:bookmarkEnd w:id="68"/>
    </w:p>
    <w:p>
      <w:pPr>
        <w:keepNext w:val="0"/>
        <w:keepLines w:val="0"/>
        <w:pageBreakBefore w:val="0"/>
        <w:widowControl w:val="0"/>
        <w:kinsoku/>
        <w:wordWrap/>
        <w:overflowPunct/>
        <w:topLinePunct w:val="0"/>
        <w:autoSpaceDE/>
        <w:autoSpaceDN/>
        <w:bidi w:val="0"/>
        <w:spacing w:line="560" w:lineRule="exact"/>
        <w:jc w:val="left"/>
        <w:textAlignment w:val="auto"/>
        <w:outlineLvl w:val="0"/>
        <w:rPr>
          <w:rFonts w:ascii="Times New Roman" w:eastAsia="黑体" w:cs="黑体" w:hAnsi="Times New Roman" w:hint="eastAsia"/>
          <w:color w:val="FF0000"/>
          <w:sz w:val="32"/>
          <w:szCs w:val="32"/>
          <w:highlight w:val="auto"/>
        </w:rPr>
      </w:pPr>
      <w:bookmarkEnd w:id="67"/>
    </w:p>
    <w:p>
      <w:pPr>
        <w:rPr>
          <w:rFonts w:eastAsia="仿宋_GB2312" w:hint="eastAsia"/>
          <w:b/>
          <w:bCs/>
          <w:sz w:val="32"/>
          <w:szCs w:val="32"/>
          <w:lang w:val="zh-CN"/>
        </w:rPr>
      </w:pPr>
      <w:r>
        <w:rPr>
          <w:rFonts w:eastAsia="仿宋_GB2312" w:hint="eastAsia"/>
          <w:b/>
          <w:bCs/>
          <w:sz w:val="32"/>
          <w:szCs w:val="32"/>
          <w:lang w:val="zh-CN"/>
        </w:rPr>
        <w:t>附件1</w:t>
      </w:r>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p>
    <w:p>
      <w:pPr>
        <w:snapToGrid w:val="0"/>
        <w:spacing w:line="560" w:lineRule="exact"/>
        <w:jc w:val="center"/>
        <w:rPr>
          <w:rFonts w:ascii="方正小标宋简体" w:eastAsia="方正小标宋简体" w:cs="方正小标宋简体"/>
          <w:snapToGrid w:val="0"/>
          <w:color w:val="000000"/>
          <w:spacing w:val="8"/>
          <w:kern w:val="0"/>
          <w:sz w:val="43"/>
          <w:szCs w:val="43"/>
          <w:lang w:eastAsia="zh-CN"/>
          <w:highlight w:val="auto"/>
        </w:rPr>
      </w:pPr>
      <w:r>
        <w:rPr>
          <w:rFonts w:ascii="方正小标宋简体" w:eastAsia="方正小标宋简体" w:cs="方正小标宋简体"/>
          <w:snapToGrid w:val="0"/>
          <w:color w:val="000000"/>
          <w:spacing w:val="8"/>
          <w:kern w:val="0"/>
          <w:sz w:val="43"/>
          <w:szCs w:val="43"/>
          <w:lang w:eastAsia="zh-CN"/>
          <w:highlight w:val="auto"/>
        </w:rPr>
        <w:t>阿坝藏族羌族自治州民政局部门</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ascii="方正小标宋简体" w:eastAsia="方正小标宋简体" w:cs="方正小标宋简体"/>
          <w:snapToGrid w:val="0"/>
          <w:color w:val="000000"/>
          <w:spacing w:val="8"/>
          <w:kern w:val="0"/>
          <w:sz w:val="43"/>
          <w:szCs w:val="43"/>
          <w:lang w:eastAsia="zh-CN"/>
          <w:highlight w:val="auto"/>
        </w:rPr>
      </w:pPr>
      <w:r>
        <w:rPr>
          <w:rFonts w:ascii="方正小标宋简体" w:eastAsia="方正小标宋简体" w:cs="方正小标宋简体"/>
          <w:snapToGrid w:val="0"/>
          <w:color w:val="000000"/>
          <w:spacing w:val="8"/>
          <w:kern w:val="0"/>
          <w:sz w:val="43"/>
          <w:szCs w:val="43"/>
          <w:lang w:eastAsia="zh-CN"/>
          <w:highlight w:val="auto"/>
        </w:rPr>
        <w:t>预算绩效评价报告</w:t>
      </w:r>
    </w:p>
    <w:p>
      <w:pPr>
        <w:pStyle w:val="17"/>
        <w:keepNext w:val="0"/>
        <w:keepLines w:val="0"/>
        <w:pageBreakBefore w:val="0"/>
        <w:widowControl w:val="0"/>
        <w:kinsoku/>
        <w:wordWrap/>
        <w:overflowPunct/>
        <w:topLinePunct w:val="0"/>
        <w:autoSpaceDE/>
        <w:autoSpaceDN/>
        <w:spacing w:after="0" w:line="560" w:lineRule="exact"/>
        <w:ind w:leftChars="0" w:left="0" w:firstLineChars="200" w:firstLine="640"/>
        <w:rPr>
          <w:rFonts w:ascii="Times New Roman" w:eastAsia="仿宋_GB2312" w:hAnsi="Times New Roman"/>
          <w:sz w:val="32"/>
        </w:rPr>
      </w:pP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rPr>
      </w:pPr>
      <w:r>
        <w:rPr>
          <w:rFonts w:ascii="Times New Roman" w:eastAsia="仿宋_GB2312" w:hAnsi="Times New Roman"/>
          <w:sz w:val="32"/>
          <w:lang w:val="zh-CN"/>
        </w:rPr>
        <w:t>一、部门（单位）基本情况</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leftChars="0" w:left="0" w:firstLineChars="200" w:firstLine="640"/>
        <w:rPr>
          <w:rFonts w:ascii="Times New Roman" w:eastAsia="仿宋_GB2312" w:hAnsi="Times New Roman"/>
          <w:snapToGrid w:val="0"/>
          <w:sz w:val="32"/>
          <w:lang w:val="en-US" w:eastAsia="zh-CN" w:bidi="ar-SA"/>
          <w:highlight w:val="auto"/>
        </w:rPr>
      </w:pPr>
      <w:r>
        <w:rPr>
          <w:rFonts w:ascii="Times New Roman" w:eastAsia="仿宋_GB2312" w:hAnsi="Times New Roman"/>
          <w:b/>
          <w:bCs/>
          <w:sz w:val="32"/>
          <w:lang w:val="zh-CN"/>
        </w:rPr>
        <w:t>（一）机构组成。</w:t>
      </w:r>
      <w:r>
        <w:rPr>
          <w:rFonts w:ascii="Times New Roman" w:eastAsia="仿宋_GB2312" w:hAnsi="Times New Roman" w:hint="eastAsia"/>
          <w:snapToGrid w:val="0"/>
          <w:sz w:val="32"/>
          <w:lang w:eastAsia="zh-CN"/>
          <w:highlight w:val="auto"/>
        </w:rPr>
        <w:t>阿坝藏族羌族自治州民政局（以下简称“我局”）是隶属于阿坝州人民政府工作部门，为正县级。截至 202</w:t>
      </w:r>
      <w:r>
        <w:rPr>
          <w:rFonts w:ascii="Times New Roman" w:eastAsia="仿宋_GB2312" w:hAnsi="Times New Roman"/>
          <w:snapToGrid w:val="0"/>
          <w:sz w:val="32"/>
          <w:lang w:eastAsia="zh-CN"/>
          <w:highlight w:val="auto"/>
        </w:rPr>
        <w:t>4</w:t>
      </w:r>
      <w:r>
        <w:rPr>
          <w:rFonts w:ascii="Times New Roman" w:eastAsia="仿宋_GB2312" w:hAnsi="Times New Roman" w:hint="eastAsia"/>
          <w:snapToGrid w:val="0"/>
          <w:sz w:val="32"/>
          <w:lang w:eastAsia="zh-CN"/>
          <w:highlight w:val="auto"/>
        </w:rPr>
        <w:t>年底，我局机关科（处）室共有</w:t>
      </w:r>
      <w:r>
        <w:rPr>
          <w:rFonts w:ascii="Times New Roman" w:eastAsia="仿宋_GB2312" w:hAnsi="Times New Roman"/>
          <w:snapToGrid w:val="0"/>
          <w:sz w:val="32"/>
          <w:lang w:eastAsia="zh-CN"/>
          <w:highlight w:val="auto"/>
        </w:rPr>
        <w:t>8</w:t>
      </w:r>
      <w:r>
        <w:rPr>
          <w:rFonts w:ascii="Times New Roman" w:eastAsia="仿宋_GB2312" w:hAnsi="Times New Roman" w:hint="eastAsia"/>
          <w:snapToGrid w:val="0"/>
          <w:sz w:val="32"/>
          <w:lang w:eastAsia="zh-CN"/>
          <w:highlight w:val="auto"/>
        </w:rPr>
        <w:t>个，分别为：办公室（信访科）、规划财务科、</w:t>
      </w:r>
      <w:r>
        <w:rPr>
          <w:rFonts w:ascii="Times New Roman" w:eastAsia="仿宋_GB2312" w:hAnsi="Times New Roman"/>
          <w:snapToGrid w:val="0"/>
          <w:sz w:val="32"/>
          <w:lang w:eastAsia="zh-CN"/>
          <w:highlight w:val="auto"/>
        </w:rPr>
        <w:t>社会组织管理与社会事务科</w:t>
      </w:r>
      <w:r>
        <w:rPr>
          <w:rFonts w:ascii="Times New Roman" w:eastAsia="仿宋_GB2312" w:hAnsi="Times New Roman" w:hint="eastAsia"/>
          <w:snapToGrid w:val="0"/>
          <w:sz w:val="32"/>
          <w:lang w:eastAsia="zh-CN"/>
          <w:highlight w:val="auto"/>
        </w:rPr>
        <w:t>、社会救助与</w:t>
      </w:r>
      <w:r>
        <w:rPr>
          <w:rFonts w:ascii="Times New Roman" w:eastAsia="仿宋_GB2312" w:hAnsi="Times New Roman"/>
          <w:snapToGrid w:val="0"/>
          <w:sz w:val="32"/>
          <w:lang w:eastAsia="zh-CN"/>
          <w:highlight w:val="auto"/>
        </w:rPr>
        <w:t>社会</w:t>
      </w:r>
      <w:r>
        <w:rPr>
          <w:rFonts w:ascii="Times New Roman" w:eastAsia="仿宋_GB2312" w:hAnsi="Times New Roman" w:hint="eastAsia"/>
          <w:snapToGrid w:val="0"/>
          <w:sz w:val="32"/>
          <w:lang w:eastAsia="zh-CN"/>
          <w:highlight w:val="auto"/>
        </w:rPr>
        <w:t>福利科、区划地名科、</w:t>
      </w:r>
      <w:r>
        <w:rPr>
          <w:rFonts w:ascii="Times New Roman" w:eastAsia="仿宋_GB2312" w:hAnsi="Times New Roman"/>
          <w:snapToGrid w:val="0"/>
          <w:sz w:val="32"/>
          <w:lang w:eastAsia="zh-CN"/>
          <w:highlight w:val="auto"/>
        </w:rPr>
        <w:t>老龄工作与慈善事业促进科、</w:t>
      </w:r>
      <w:r>
        <w:rPr>
          <w:rFonts w:ascii="Times New Roman" w:eastAsia="仿宋_GB2312" w:hAnsi="Times New Roman" w:hint="eastAsia"/>
          <w:snapToGrid w:val="0"/>
          <w:sz w:val="32"/>
          <w:lang w:eastAsia="zh-CN"/>
          <w:highlight w:val="auto"/>
        </w:rPr>
        <w:t>养老服务</w:t>
      </w:r>
      <w:r>
        <w:rPr>
          <w:rFonts w:ascii="Times New Roman" w:eastAsia="仿宋_GB2312" w:hAnsi="Times New Roman"/>
          <w:snapToGrid w:val="0"/>
          <w:sz w:val="32"/>
          <w:lang w:eastAsia="zh-CN"/>
          <w:highlight w:val="auto"/>
        </w:rPr>
        <w:t>与事业发展</w:t>
      </w:r>
      <w:r>
        <w:rPr>
          <w:rFonts w:ascii="Times New Roman" w:eastAsia="仿宋_GB2312" w:hAnsi="Times New Roman" w:hint="eastAsia"/>
          <w:snapToGrid w:val="0"/>
          <w:sz w:val="32"/>
          <w:lang w:eastAsia="zh-CN"/>
          <w:highlight w:val="auto"/>
        </w:rPr>
        <w:t>科、儿童保障科。</w:t>
      </w:r>
      <w:r>
        <w:rPr>
          <w:rFonts w:ascii="Times New Roman" w:eastAsia="仿宋_GB2312" w:hAnsi="Times New Roman" w:hint="eastAsia"/>
          <w:snapToGrid w:val="0"/>
          <w:sz w:val="32"/>
          <w:lang w:val="en-US" w:eastAsia="zh-CN" w:bidi="ar-SA"/>
          <w:highlight w:val="auto"/>
        </w:rPr>
        <w:t>其他未独立核算事业机构3个</w:t>
      </w:r>
      <w:r>
        <w:rPr>
          <w:rFonts w:ascii="Times New Roman" w:eastAsia="仿宋_GB2312" w:hAnsi="Times New Roman"/>
          <w:snapToGrid w:val="0"/>
          <w:sz w:val="32"/>
          <w:lang w:eastAsia="zh-CN" w:bidi="ar-SA"/>
          <w:highlight w:val="auto"/>
        </w:rPr>
        <w:t>，</w:t>
      </w:r>
      <w:r>
        <w:rPr>
          <w:rFonts w:ascii="Times New Roman" w:eastAsia="仿宋_GB2312" w:hAnsi="Times New Roman" w:hint="eastAsia"/>
          <w:snapToGrid w:val="0"/>
          <w:sz w:val="32"/>
          <w:lang w:val="en-US" w:eastAsia="zh-CN" w:bidi="ar-SA"/>
          <w:highlight w:val="auto"/>
        </w:rPr>
        <w:t>分别为：阿坝州慈善事业服务中心、阿坝州老年大学服务中心、阿坝州低收入家庭认定指导中心</w:t>
      </w:r>
      <w:r>
        <w:rPr>
          <w:rFonts w:ascii="Times New Roman" w:eastAsia="仿宋_GB2312" w:hAnsi="Times New Roman"/>
          <w:snapToGrid w:val="0"/>
          <w:sz w:val="32"/>
          <w:lang w:eastAsia="zh-CN" w:bidi="ar-SA"/>
          <w:highlight w:val="auto"/>
        </w:rPr>
        <w:t>。</w:t>
      </w:r>
      <w:r>
        <w:rPr>
          <w:rFonts w:ascii="Times New Roman" w:eastAsia="仿宋_GB2312" w:hAnsi="Times New Roman"/>
          <w:snapToGrid w:val="0"/>
          <w:sz w:val="32"/>
          <w:lang w:val="en-US" w:eastAsia="zh-CN" w:bidi="ar-SA"/>
          <w:highlight w:val="auto"/>
        </w:rPr>
        <w:t>另有2个二级预算单位，分别为：阿坝藏族羌族自治州救助站、阿坝藏族羌族自治州福利院（阿坝州儿童福利院）。</w:t>
      </w:r>
    </w:p>
    <w:p>
      <w:pPr>
        <w:pStyle w:val="17"/>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spacing w:after="0" w:line="560" w:lineRule="exact"/>
        <w:ind w:firstLineChars="200" w:firstLine="640"/>
        <w:jc w:val="both"/>
        <w:rPr>
          <w:rFonts w:ascii="Times New Roman" w:eastAsia="仿宋_GB2312" w:hAnsi="Times New Roman" w:hint="eastAsia"/>
          <w:sz w:val="32"/>
          <w:highlight w:val="auto"/>
        </w:rPr>
      </w:pPr>
      <w:r>
        <w:rPr>
          <w:rFonts w:ascii="Times New Roman" w:eastAsia="仿宋_GB2312" w:hAnsi="Times New Roman"/>
          <w:b/>
          <w:bCs/>
          <w:sz w:val="32"/>
          <w:lang w:val="zh-CN" w:eastAsia="zh-CN" w:bidi="ar-SA"/>
        </w:rPr>
        <w:t>（二）机构职能。</w:t>
      </w:r>
      <w:r>
        <w:rPr>
          <w:rFonts w:ascii="Times New Roman" w:eastAsia="仿宋_GB2312" w:hAnsi="Times New Roman"/>
          <w:sz w:val="32"/>
          <w:highlight w:val="auto"/>
        </w:rPr>
        <w:t>州民政局负责贯彻落实党中央关于民政工作的方针政策和省委、州委决策部署，把坚持和加强党中央对民政工作的集中统一领导落实到履行职责过程中。主要职责是：</w:t>
      </w:r>
      <w:r>
        <w:rPr>
          <w:rFonts w:ascii="Times New Roman" w:eastAsia="仿宋_GB2312" w:hAnsi="Times New Roman"/>
          <w:b/>
          <w:bCs/>
          <w:sz w:val="32"/>
          <w:highlight w:val="auto"/>
        </w:rPr>
        <w:t>一是</w:t>
      </w:r>
      <w:r>
        <w:rPr>
          <w:rFonts w:ascii="Times New Roman" w:eastAsia="仿宋_GB2312" w:hAnsi="Times New Roman" w:hint="eastAsia"/>
          <w:sz w:val="32"/>
          <w:highlight w:val="auto"/>
        </w:rPr>
        <w:t>起草民政工作地方性法规、政府规章草案，拟订全州民政事业发展规划、政策、标准并组织实施。</w:t>
      </w:r>
      <w:r>
        <w:rPr>
          <w:rFonts w:ascii="Times New Roman" w:eastAsia="仿宋_GB2312" w:hAnsi="Times New Roman"/>
          <w:b/>
          <w:bCs/>
          <w:sz w:val="32"/>
          <w:highlight w:val="auto"/>
        </w:rPr>
        <w:t>二是</w:t>
      </w:r>
      <w:r>
        <w:rPr>
          <w:rFonts w:ascii="Times New Roman" w:eastAsia="仿宋_GB2312" w:hAnsi="Times New Roman" w:hint="eastAsia"/>
          <w:sz w:val="32"/>
          <w:highlight w:val="auto"/>
        </w:rPr>
        <w:t>拟订社会团体、社会服务机构等社会组织登记和监督管理办法并组织实施，依法对社会组织进行登记管理和执法监督。</w:t>
      </w:r>
      <w:r>
        <w:rPr>
          <w:rFonts w:ascii="Times New Roman" w:eastAsia="仿宋_GB2312" w:hAnsi="Times New Roman"/>
          <w:b/>
          <w:bCs/>
          <w:sz w:val="32"/>
          <w:highlight w:val="auto"/>
        </w:rPr>
        <w:t>三是</w:t>
      </w:r>
      <w:r>
        <w:rPr>
          <w:rFonts w:ascii="Times New Roman" w:eastAsia="仿宋_GB2312" w:hAnsi="Times New Roman" w:hint="eastAsia"/>
          <w:sz w:val="32"/>
          <w:highlight w:val="auto"/>
        </w:rPr>
        <w:t>牵头拟订社会救助规划、政策、标准，统筹推进社会救助体系建设，负责城乡居民最低生活保障、特困人员救助供养、临时救助、生活无着流浪乞讨人员救助工作。</w:t>
      </w:r>
      <w:r>
        <w:rPr>
          <w:rFonts w:ascii="Times New Roman" w:eastAsia="仿宋_GB2312" w:hAnsi="Times New Roman"/>
          <w:b/>
          <w:bCs/>
          <w:sz w:val="32"/>
          <w:highlight w:val="auto"/>
        </w:rPr>
        <w:t>四是</w:t>
      </w:r>
      <w:r>
        <w:rPr>
          <w:rFonts w:ascii="Times New Roman" w:eastAsia="仿宋_GB2312" w:hAnsi="Times New Roman" w:hint="eastAsia"/>
          <w:sz w:val="32"/>
          <w:highlight w:val="auto"/>
        </w:rPr>
        <w:t>拟订行政区划、行政区域界线管理和地名管理政策，组织拟订全州行政区划优化设置建议方案，按照管理权限牵头负责全州行政区划设立、命名、撤销、变更和政府驻地迁移等审核报批工作。按照管理权限确定、公布行政区划代码，组织并指导全州行政区域界线的勘定、管理工作，调处行政区域边界争议，负责全州地名工作的统一监督管理工作。</w:t>
      </w:r>
      <w:r>
        <w:rPr>
          <w:rFonts w:ascii="Times New Roman" w:eastAsia="仿宋_GB2312" w:hAnsi="Times New Roman"/>
          <w:b/>
          <w:bCs/>
          <w:sz w:val="32"/>
          <w:highlight w:val="auto"/>
        </w:rPr>
        <w:t>五是</w:t>
      </w:r>
      <w:r>
        <w:rPr>
          <w:rFonts w:ascii="Times New Roman" w:eastAsia="仿宋_GB2312" w:hAnsi="Times New Roman" w:hint="eastAsia"/>
          <w:sz w:val="32"/>
          <w:highlight w:val="auto"/>
        </w:rPr>
        <w:t>拟订婚姻管理政策并组织实施，推进婚俗改革。</w:t>
      </w:r>
      <w:r>
        <w:rPr>
          <w:rFonts w:ascii="Times New Roman" w:eastAsia="仿宋_GB2312" w:hAnsi="Times New Roman"/>
          <w:b/>
          <w:bCs/>
          <w:sz w:val="32"/>
          <w:highlight w:val="auto"/>
        </w:rPr>
        <w:t>六是</w:t>
      </w:r>
      <w:r>
        <w:rPr>
          <w:rFonts w:ascii="Times New Roman" w:eastAsia="仿宋_GB2312" w:hAnsi="Times New Roman" w:hint="eastAsia"/>
          <w:sz w:val="32"/>
          <w:highlight w:val="auto"/>
        </w:rPr>
        <w:t>拟订殡葬管理政策、服务规范并组织实施，负责殡葬管理工作，推进殡葬改革。</w:t>
      </w:r>
      <w:r>
        <w:rPr>
          <w:rFonts w:ascii="Times New Roman" w:eastAsia="仿宋_GB2312" w:hAnsi="Times New Roman"/>
          <w:b/>
          <w:bCs/>
          <w:sz w:val="32"/>
          <w:highlight w:val="auto"/>
        </w:rPr>
        <w:t>七是</w:t>
      </w:r>
      <w:r>
        <w:rPr>
          <w:rFonts w:ascii="Times New Roman" w:eastAsia="仿宋_GB2312" w:hAnsi="Times New Roman" w:hint="eastAsia"/>
          <w:sz w:val="32"/>
          <w:highlight w:val="auto"/>
        </w:rPr>
        <w:t>拟订社会福利事业发展规划、政策、标准，拟订社会福利机构管理办法并指导实施，拟订残疾人权益保护政策并监督实施。负责康复辅助器具行业管理，统筹推进残疾人福利制度建设和康复辅助器具产业发展。</w:t>
      </w:r>
      <w:r>
        <w:rPr>
          <w:rFonts w:ascii="Times New Roman" w:eastAsia="仿宋_GB2312" w:hAnsi="Times New Roman" w:hint="eastAsia"/>
          <w:b/>
          <w:bCs/>
          <w:sz w:val="32"/>
          <w:highlight w:val="auto"/>
        </w:rPr>
        <w:t>八</w:t>
      </w:r>
      <w:r>
        <w:rPr>
          <w:rFonts w:ascii="Times New Roman" w:eastAsia="仿宋_GB2312" w:hAnsi="Times New Roman"/>
          <w:b/>
          <w:bCs/>
          <w:sz w:val="32"/>
          <w:highlight w:val="auto"/>
        </w:rPr>
        <w:t>是</w:t>
      </w:r>
      <w:r>
        <w:rPr>
          <w:rFonts w:ascii="Times New Roman" w:eastAsia="仿宋_GB2312" w:hAnsi="Times New Roman" w:hint="eastAsia"/>
          <w:sz w:val="32"/>
          <w:highlight w:val="auto"/>
        </w:rPr>
        <w:t>承担州老龄工作委员会的具体工作。组织拟订并协调落实积极应对人口老龄化政策措施。指导协调老年人权益保障工作。组织拟订老年人社会参与政策并组织实施。</w:t>
      </w:r>
      <w:r>
        <w:rPr>
          <w:rFonts w:ascii="Times New Roman" w:eastAsia="仿宋_GB2312" w:hAnsi="Times New Roman" w:hint="eastAsia"/>
          <w:b/>
          <w:bCs/>
          <w:sz w:val="32"/>
          <w:highlight w:val="auto"/>
        </w:rPr>
        <w:t>九</w:t>
      </w:r>
      <w:r>
        <w:rPr>
          <w:rFonts w:ascii="Times New Roman" w:eastAsia="仿宋_GB2312" w:hAnsi="Times New Roman"/>
          <w:b/>
          <w:bCs/>
          <w:sz w:val="32"/>
          <w:highlight w:val="auto"/>
        </w:rPr>
        <w:t>是</w:t>
      </w:r>
      <w:r>
        <w:rPr>
          <w:rFonts w:ascii="Times New Roman" w:eastAsia="仿宋_GB2312" w:hAnsi="Times New Roman" w:hint="eastAsia"/>
          <w:sz w:val="32"/>
          <w:highlight w:val="auto"/>
        </w:rPr>
        <w:t>组织拟订并协调落实促进养老事业发展的政策措施。统筹推进、督促指导、监督管理养老服务工作，拟订养老服务体系建设规划、政策、标准并组织实施，承担老年人福利和特殊困难老年人救助工作，协调推进农村留守老年人关爱服务工作。</w:t>
      </w:r>
      <w:r>
        <w:rPr>
          <w:rFonts w:ascii="Times New Roman" w:eastAsia="仿宋_GB2312" w:hAnsi="Times New Roman" w:hint="eastAsia"/>
          <w:b/>
          <w:bCs/>
          <w:sz w:val="32"/>
          <w:highlight w:val="auto"/>
        </w:rPr>
        <w:t>十</w:t>
      </w:r>
      <w:r>
        <w:rPr>
          <w:rFonts w:ascii="Times New Roman" w:eastAsia="仿宋_GB2312" w:hAnsi="Times New Roman"/>
          <w:b/>
          <w:bCs/>
          <w:sz w:val="32"/>
          <w:highlight w:val="auto"/>
        </w:rPr>
        <w:t>是</w:t>
      </w:r>
      <w:r>
        <w:rPr>
          <w:rFonts w:ascii="Times New Roman" w:eastAsia="仿宋_GB2312" w:hAnsi="Times New Roman" w:hint="eastAsia"/>
          <w:sz w:val="32"/>
          <w:highlight w:val="auto"/>
        </w:rPr>
        <w:t>拟订儿童福利、孤弃儿童保障、儿童收养、儿童救助保护政策和标准并组织实施，健全农村留守儿童关爱服务体系和困境儿童保障制度。</w:t>
      </w:r>
      <w:r>
        <w:rPr>
          <w:rFonts w:ascii="Times New Roman" w:eastAsia="仿宋_GB2312" w:hAnsi="Times New Roman" w:hint="eastAsia"/>
          <w:b/>
          <w:bCs/>
          <w:sz w:val="32"/>
          <w:highlight w:val="auto"/>
        </w:rPr>
        <w:t>十一</w:t>
      </w:r>
      <w:r>
        <w:rPr>
          <w:rFonts w:ascii="Times New Roman" w:eastAsia="仿宋_GB2312" w:hAnsi="Times New Roman"/>
          <w:b/>
          <w:bCs/>
          <w:sz w:val="32"/>
          <w:highlight w:val="auto"/>
        </w:rPr>
        <w:t>是</w:t>
      </w:r>
      <w:r>
        <w:rPr>
          <w:rFonts w:ascii="Times New Roman" w:eastAsia="仿宋_GB2312" w:hAnsi="Times New Roman" w:hint="eastAsia"/>
          <w:sz w:val="32"/>
          <w:highlight w:val="auto"/>
        </w:rPr>
        <w:t>组织拟订促进慈善事业发展政策，指导社会捐助工作。负责职责范围内的福利彩票有关工作。</w:t>
      </w:r>
      <w:r>
        <w:rPr>
          <w:rFonts w:ascii="Times New Roman" w:eastAsia="仿宋_GB2312" w:hAnsi="Times New Roman" w:hint="eastAsia"/>
          <w:b/>
          <w:bCs/>
          <w:sz w:val="32"/>
          <w:highlight w:val="auto"/>
        </w:rPr>
        <w:t>十二</w:t>
      </w:r>
      <w:r>
        <w:rPr>
          <w:rFonts w:ascii="Times New Roman" w:eastAsia="仿宋_GB2312" w:hAnsi="Times New Roman"/>
          <w:b/>
          <w:bCs/>
          <w:sz w:val="32"/>
          <w:highlight w:val="auto"/>
        </w:rPr>
        <w:t>是</w:t>
      </w:r>
      <w:r>
        <w:rPr>
          <w:rFonts w:ascii="Times New Roman" w:eastAsia="仿宋_GB2312" w:hAnsi="Times New Roman" w:hint="eastAsia"/>
          <w:sz w:val="32"/>
          <w:highlight w:val="auto"/>
        </w:rPr>
        <w:t>依法依规负责康复辅助器具行业和社会福利、养老服务、殡葬服务、救助管理等机构安全生产监督管理工作。负责职责范围内的职业健康、生态环境保护、审批服务便民化等工作。</w:t>
      </w:r>
      <w:r>
        <w:rPr>
          <w:rFonts w:ascii="Times New Roman" w:eastAsia="仿宋_GB2312" w:hAnsi="Times New Roman" w:hint="eastAsia"/>
          <w:b/>
          <w:bCs/>
          <w:sz w:val="32"/>
          <w:highlight w:val="auto"/>
        </w:rPr>
        <w:t>十三</w:t>
      </w:r>
      <w:r>
        <w:rPr>
          <w:rFonts w:ascii="Times New Roman" w:eastAsia="仿宋_GB2312" w:hAnsi="Times New Roman"/>
          <w:b/>
          <w:bCs/>
          <w:sz w:val="32"/>
          <w:highlight w:val="auto"/>
        </w:rPr>
        <w:t>是</w:t>
      </w:r>
      <w:r>
        <w:rPr>
          <w:rFonts w:ascii="Times New Roman" w:eastAsia="仿宋_GB2312" w:hAnsi="Times New Roman" w:hint="eastAsia"/>
          <w:sz w:val="32"/>
          <w:highlight w:val="auto"/>
        </w:rPr>
        <w:t>完成州委、州政府交办的其他任务。</w:t>
      </w:r>
    </w:p>
    <w:p>
      <w:pPr>
        <w:pStyle w:val="17"/>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spacing w:after="0" w:line="560" w:lineRule="exact"/>
        <w:ind w:firstLineChars="200" w:firstLine="640"/>
        <w:jc w:val="both"/>
        <w:rPr>
          <w:rFonts w:ascii="Times New Roman" w:eastAsia="仿宋_GB2312" w:hAnsi="Times New Roman"/>
          <w:b/>
          <w:bCs/>
          <w:sz w:val="32"/>
          <w:lang w:val="zh-CN"/>
        </w:rPr>
      </w:pPr>
      <w:r>
        <w:rPr>
          <w:rFonts w:ascii="Times New Roman" w:eastAsia="仿宋_GB2312" w:hAnsi="Times New Roman" w:hint="eastAsia"/>
          <w:sz w:val="32"/>
          <w:highlight w:val="auto"/>
        </w:rPr>
        <w:t>州民政局要推动老龄工作向主动应对和统筹协调转变，健全工作体制机制，强化综合协调、督促指导、组织推进老龄事业发展职能，协调有关部门和地方不断完善老年人社会救助、社会福利、社会优待、宜居环境、社会参与等政策，增强政策制度的针对性、协调性、系统性。推动养老服务向全面提升老年人生活质量转变，加快建设居家社区机构相协调、医养康养相结合的养老服务体系，大力发展普惠型养老服务，促进资源均衡配置，推动实现全体老年人享有基本养老服务，走出一条老有所养、老有所医、老有所为、老有所学、老有所乐的阿坝特色积极应对人口老龄化道路。强化基本民生保障，健全分层分类、城乡统筹的社会救助体系，聚焦困难群众、孤老孤残孤儿等特殊群体，促进资源向薄弱地区、领域和环节倾斜，兜牢民生底线。</w:t>
      </w:r>
      <w:r>
        <w:rPr>
          <w:rFonts w:ascii="Times New Roman" w:eastAsia="仿宋_GB2312" w:hAnsi="Times New Roman"/>
          <w:sz w:val="32"/>
          <w:highlight w:val="auto"/>
        </w:rPr>
        <w:t> </w:t>
      </w:r>
      <w:r>
        <w:rPr>
          <w:rFonts w:ascii="Times New Roman" w:eastAsia="仿宋_GB2312" w:hAnsi="Times New Roman" w:hint="eastAsia"/>
          <w:sz w:val="32"/>
          <w:highlight w:val="auto"/>
        </w:rPr>
        <w:t>与其他部门的职责分工：</w:t>
      </w:r>
      <w:r>
        <w:rPr>
          <w:rFonts w:ascii="Times New Roman" w:eastAsia="仿宋_GB2312" w:hAnsi="Times New Roman"/>
          <w:b/>
          <w:bCs/>
          <w:sz w:val="32"/>
          <w:highlight w:val="auto"/>
        </w:rPr>
        <w:t>一是</w:t>
      </w:r>
      <w:r>
        <w:rPr>
          <w:rFonts w:ascii="Times New Roman" w:eastAsia="仿宋_GB2312" w:hAnsi="Times New Roman" w:hint="eastAsia"/>
          <w:sz w:val="32"/>
          <w:highlight w:val="auto"/>
        </w:rPr>
        <w:t>与州委社会工作部有关职责分工。州民政局有关基层治理、基层政权建设等职责划入州委社会工作部后，涉及村民委员会、居民委员会工作中需以政府名义出面的，州民政局协助做好工作。州民政局与州委社会工作部密切配合，形成基层治理合力。</w:t>
      </w:r>
      <w:r>
        <w:rPr>
          <w:rFonts w:ascii="Times New Roman" w:eastAsia="仿宋_GB2312" w:hAnsi="Times New Roman" w:hint="eastAsia"/>
          <w:b/>
          <w:bCs/>
          <w:sz w:val="32"/>
          <w:highlight w:val="auto"/>
        </w:rPr>
        <w:t>二</w:t>
      </w:r>
      <w:r>
        <w:rPr>
          <w:rFonts w:ascii="Times New Roman" w:eastAsia="仿宋_GB2312" w:hAnsi="Times New Roman"/>
          <w:b/>
          <w:bCs/>
          <w:sz w:val="32"/>
          <w:highlight w:val="auto"/>
        </w:rPr>
        <w:t>是</w:t>
      </w:r>
      <w:r>
        <w:rPr>
          <w:rFonts w:ascii="Times New Roman" w:eastAsia="仿宋_GB2312" w:hAnsi="Times New Roman" w:hint="eastAsia"/>
          <w:sz w:val="32"/>
          <w:highlight w:val="auto"/>
        </w:rPr>
        <w:t>与州卫生健康委有关职责分工。州民政局负责组织拟订并协调落实积极应对人口老龄化、促进养老事业发展的政策措施，拟订养老服务体系建设规划、地方性法规、政策、标准并组织实施，承担老年人福利和特殊困难老年人救助等工作。州卫生健康委负责组织拟订医养结合政策、标准和规范，建立和完善老年健康服务体系。</w:t>
      </w:r>
      <w:r>
        <w:rPr>
          <w:rFonts w:ascii="Times New Roman" w:eastAsia="仿宋_GB2312" w:hAnsi="Times New Roman" w:hint="eastAsia"/>
          <w:b/>
          <w:bCs/>
          <w:sz w:val="32"/>
          <w:highlight w:val="auto"/>
        </w:rPr>
        <w:t>三</w:t>
      </w:r>
      <w:r>
        <w:rPr>
          <w:rFonts w:ascii="Times New Roman" w:eastAsia="仿宋_GB2312" w:hAnsi="Times New Roman"/>
          <w:b/>
          <w:bCs/>
          <w:sz w:val="32"/>
          <w:highlight w:val="auto"/>
        </w:rPr>
        <w:t>是</w:t>
      </w:r>
      <w:r>
        <w:rPr>
          <w:rFonts w:ascii="Times New Roman" w:eastAsia="仿宋_GB2312" w:hAnsi="Times New Roman" w:hint="eastAsia"/>
          <w:sz w:val="32"/>
          <w:highlight w:val="auto"/>
        </w:rPr>
        <w:t>与州自然资源局有关职责分工。州民政局会同州自然资源局组织编制公布行政区划信息的阿坝藏族羌族自治州行政区划图。</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rPr>
          <w:rFonts w:ascii="Times New Roman" w:eastAsia="仿宋_GB2312" w:hAnsi="Times New Roman"/>
          <w:sz w:val="32"/>
        </w:rPr>
      </w:pPr>
      <w:r>
        <w:rPr>
          <w:rFonts w:ascii="Times New Roman" w:eastAsia="仿宋_GB2312" w:hAnsi="Times New Roman"/>
          <w:b/>
          <w:bCs/>
          <w:sz w:val="32"/>
          <w:lang w:val="zh-CN"/>
        </w:rPr>
        <w:t>（三）人员概况。</w:t>
      </w:r>
      <w:r>
        <w:rPr>
          <w:rFonts w:ascii="Times New Roman" w:eastAsia="仿宋_GB2312" w:hAnsi="Times New Roman"/>
          <w:sz w:val="32"/>
          <w:lang w:eastAsia="zh-CN"/>
          <w:highlight w:val="auto"/>
        </w:rPr>
        <w:t>截至2025年末，我局编制人数42人,其中：事业16个、公务员21个、工勤5个；年末实有在职人数33人，其中：事业10个、公务员18个、工勤5个。</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rPr>
      </w:pPr>
      <w:r>
        <w:rPr>
          <w:rFonts w:ascii="Times New Roman" w:eastAsia="仿宋_GB2312" w:hAnsi="Times New Roman"/>
          <w:sz w:val="32"/>
        </w:rPr>
        <w:t>二、部门资金收支情况</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hint="eastAsia"/>
          <w:sz w:val="32"/>
          <w:highlight w:val="auto"/>
        </w:rPr>
      </w:pPr>
      <w:r>
        <w:rPr>
          <w:rFonts w:ascii="Times New Roman" w:eastAsia="仿宋_GB2312" w:hAnsi="Times New Roman"/>
          <w:b/>
          <w:bCs/>
          <w:sz w:val="32"/>
          <w:lang w:val="zh-CN"/>
        </w:rPr>
        <w:t>（一）收入情况。</w:t>
      </w:r>
      <w:r>
        <w:rPr>
          <w:rFonts w:ascii="Times New Roman" w:eastAsia="仿宋_GB2312" w:hAnsi="Times New Roman"/>
          <w:sz w:val="32"/>
        </w:rPr>
        <w:t>阿坝州民政部门202</w:t>
      </w:r>
      <w:r>
        <w:rPr>
          <w:rFonts w:ascii="Times New Roman" w:eastAsia="仿宋_GB2312" w:hAnsi="Times New Roman" w:hint="eastAsia"/>
          <w:sz w:val="32"/>
        </w:rPr>
        <w:t>5</w:t>
      </w:r>
      <w:r>
        <w:rPr>
          <w:rFonts w:ascii="Times New Roman" w:eastAsia="仿宋_GB2312" w:hAnsi="Times New Roman"/>
          <w:sz w:val="32"/>
        </w:rPr>
        <w:t>年</w:t>
      </w:r>
      <w:r>
        <w:rPr>
          <w:rFonts w:ascii="Times New Roman" w:eastAsia="仿宋_GB2312" w:hAnsi="Times New Roman" w:hint="eastAsia"/>
          <w:sz w:val="32"/>
        </w:rPr>
        <w:t>收入的年初预算数为2244.78万元，上年度收入的年初预算数为2289.85万元，比上年减少45.07万元；主要原因为部分项目减少。</w:t>
      </w:r>
      <w:r>
        <w:rPr>
          <w:rFonts w:ascii="Times New Roman" w:eastAsia="仿宋_GB2312" w:hAnsi="Times New Roman" w:hint="eastAsia"/>
          <w:sz w:val="32"/>
          <w:highlight w:val="auto"/>
        </w:rPr>
        <w:t>收入全年预算数为</w:t>
      </w:r>
      <w:r>
        <w:rPr>
          <w:rFonts w:ascii="Times New Roman" w:eastAsia="仿宋_GB2312" w:hAnsi="Times New Roman"/>
          <w:sz w:val="32"/>
          <w:highlight w:val="auto"/>
        </w:rPr>
        <w:t>3010.31</w:t>
      </w:r>
      <w:r>
        <w:rPr>
          <w:rFonts w:ascii="Times New Roman" w:eastAsia="仿宋_GB2312" w:hAnsi="Times New Roman" w:hint="eastAsia"/>
          <w:sz w:val="32"/>
          <w:highlight w:val="auto"/>
        </w:rPr>
        <w:t>万元，收入决算数为</w:t>
      </w:r>
      <w:r>
        <w:rPr>
          <w:rFonts w:ascii="Times New Roman" w:eastAsia="仿宋_GB2312" w:hAnsi="Times New Roman"/>
          <w:sz w:val="32"/>
          <w:highlight w:val="auto"/>
        </w:rPr>
        <w:t>3010.31</w:t>
      </w:r>
      <w:r>
        <w:rPr>
          <w:rFonts w:ascii="Times New Roman" w:eastAsia="仿宋_GB2312" w:hAnsi="Times New Roman" w:hint="eastAsia"/>
          <w:sz w:val="32"/>
          <w:highlight w:val="auto"/>
        </w:rPr>
        <w:t>万元，比上年</w:t>
      </w:r>
      <w:r>
        <w:rPr>
          <w:rFonts w:ascii="Times New Roman" w:eastAsia="仿宋_GB2312" w:hAnsi="Times New Roman"/>
          <w:sz w:val="32"/>
          <w:highlight w:val="auto"/>
        </w:rPr>
        <w:t>增加19.03</w:t>
      </w:r>
      <w:r>
        <w:rPr>
          <w:rFonts w:ascii="Times New Roman" w:eastAsia="仿宋_GB2312" w:hAnsi="Times New Roman" w:hint="eastAsia"/>
          <w:sz w:val="32"/>
          <w:highlight w:val="auto"/>
        </w:rPr>
        <w:t>万元，</w:t>
      </w:r>
      <w:r>
        <w:rPr>
          <w:rFonts w:ascii="Times New Roman" w:eastAsia="仿宋_GB2312" w:hAnsi="Times New Roman"/>
          <w:sz w:val="32"/>
          <w:highlight w:val="auto"/>
        </w:rPr>
        <w:t>增</w:t>
      </w:r>
      <w:r>
        <w:rPr>
          <w:rFonts w:ascii="Times New Roman" w:eastAsia="仿宋_GB2312" w:hAnsi="Times New Roman" w:hint="eastAsia"/>
          <w:sz w:val="32"/>
          <w:highlight w:val="auto"/>
        </w:rPr>
        <w:t>幅</w:t>
      </w:r>
      <w:r>
        <w:rPr>
          <w:rFonts w:ascii="Times New Roman" w:eastAsia="仿宋_GB2312" w:hAnsi="Times New Roman"/>
          <w:sz w:val="32"/>
          <w:highlight w:val="auto"/>
        </w:rPr>
        <w:t>0.64</w:t>
      </w:r>
      <w:r>
        <w:rPr>
          <w:rFonts w:ascii="Times New Roman" w:eastAsia="仿宋_GB2312" w:hAnsi="Times New Roman" w:hint="eastAsia"/>
          <w:sz w:val="32"/>
          <w:highlight w:val="auto"/>
        </w:rPr>
        <w:t>%，主要原因为</w:t>
      </w:r>
      <w:r>
        <w:rPr>
          <w:rFonts w:ascii="Times New Roman" w:eastAsia="仿宋_GB2312" w:hAnsi="Times New Roman"/>
          <w:sz w:val="32"/>
          <w:highlight w:val="auto"/>
        </w:rPr>
        <w:t>人员增加</w:t>
      </w:r>
      <w:r>
        <w:rPr>
          <w:rFonts w:ascii="Times New Roman" w:eastAsia="仿宋_GB2312" w:hAnsi="Times New Roman" w:hint="eastAsia"/>
          <w:sz w:val="32"/>
          <w:highlight w:val="auto"/>
        </w:rPr>
        <w:t>。</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rPr>
      </w:pPr>
      <w:r>
        <w:rPr>
          <w:rFonts w:ascii="Times New Roman" w:eastAsia="仿宋_GB2312" w:hAnsi="Times New Roman"/>
          <w:b/>
          <w:bCs/>
          <w:sz w:val="32"/>
          <w:lang w:val="zh-CN"/>
        </w:rPr>
        <w:t>（二）支出情况。</w:t>
      </w:r>
      <w:r>
        <w:rPr>
          <w:rFonts w:ascii="Times New Roman" w:eastAsia="仿宋_GB2312" w:hAnsi="Times New Roman"/>
          <w:sz w:val="32"/>
        </w:rPr>
        <w:t>阿坝州民政部门202</w:t>
      </w:r>
      <w:r>
        <w:rPr>
          <w:rFonts w:ascii="Times New Roman" w:eastAsia="仿宋_GB2312" w:hAnsi="Times New Roman" w:hint="eastAsia"/>
          <w:sz w:val="32"/>
        </w:rPr>
        <w:t>5</w:t>
      </w:r>
      <w:r>
        <w:rPr>
          <w:rFonts w:ascii="Times New Roman" w:eastAsia="仿宋_GB2312" w:hAnsi="Times New Roman"/>
          <w:sz w:val="32"/>
        </w:rPr>
        <w:t>年</w:t>
      </w:r>
      <w:r>
        <w:rPr>
          <w:rFonts w:ascii="Times New Roman" w:eastAsia="仿宋_GB2312" w:hAnsi="Times New Roman" w:hint="eastAsia"/>
          <w:sz w:val="32"/>
        </w:rPr>
        <w:t>的年初预算数支出数为2244.78万元，上年度的年初预算数支出2289.85比上年减少45.07万元，主要原因为部分项目减少。支出全年预算数3010.31万元，支出决算数为3010.31万元，较上年支出上年增加19.03万元，增幅0.64%，主要原因为人员增加</w:t>
      </w:r>
      <w:r>
        <w:rPr>
          <w:rFonts w:ascii="Times New Roman" w:eastAsia="仿宋_GB2312" w:hAnsi="Times New Roman"/>
          <w:sz w:val="32"/>
        </w:rPr>
        <w:t>。</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lang w:val="zh-CN"/>
        </w:rPr>
      </w:pPr>
      <w:r>
        <w:rPr>
          <w:rFonts w:ascii="Times New Roman" w:eastAsia="仿宋_GB2312" w:hAnsi="Times New Roman"/>
          <w:b/>
          <w:bCs/>
          <w:sz w:val="32"/>
          <w:lang w:val="zh-CN"/>
        </w:rPr>
        <w:t>（三）</w:t>
      </w:r>
      <w:r>
        <w:rPr>
          <w:rFonts w:ascii="Times New Roman" w:eastAsia="仿宋_GB2312" w:hAnsi="Times New Roman"/>
          <w:b/>
          <w:sz w:val="32"/>
        </w:rPr>
        <w:t>结余分配和结转结余情况。</w:t>
      </w:r>
      <w:r>
        <w:rPr>
          <w:rFonts w:ascii="Times New Roman" w:eastAsia="仿宋_GB2312" w:hAnsi="Times New Roman"/>
          <w:sz w:val="32"/>
        </w:rPr>
        <w:t>阿坝州民政部门202</w:t>
      </w:r>
      <w:r>
        <w:rPr>
          <w:rFonts w:ascii="Times New Roman" w:eastAsia="仿宋_GB2312" w:hAnsi="Times New Roman" w:hint="eastAsia"/>
          <w:sz w:val="32"/>
        </w:rPr>
        <w:t>5</w:t>
      </w:r>
      <w:r>
        <w:rPr>
          <w:rFonts w:ascii="Times New Roman" w:eastAsia="仿宋_GB2312" w:hAnsi="Times New Roman"/>
          <w:sz w:val="32"/>
        </w:rPr>
        <w:t>年决算报表无结转结余情况。</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highlight w:val="auto"/>
        </w:rPr>
      </w:pPr>
      <w:r>
        <w:rPr>
          <w:rFonts w:ascii="Times New Roman" w:eastAsia="仿宋_GB2312" w:hAnsi="Times New Roman"/>
          <w:sz w:val="32"/>
          <w:highlight w:val="auto"/>
        </w:rPr>
        <w:t>三、部门预算绩效分析</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lang w:val="zh-CN"/>
        </w:rPr>
      </w:pPr>
      <w:r>
        <w:rPr>
          <w:rFonts w:ascii="Times New Roman" w:eastAsia="仿宋_GB2312" w:hAnsi="Times New Roman"/>
          <w:b/>
          <w:bCs/>
          <w:sz w:val="32"/>
          <w:lang w:val="zh-CN"/>
          <w:highlight w:val="auto"/>
        </w:rPr>
        <w:t>（一）部门预算总体绩效分析</w:t>
      </w:r>
      <w:r>
        <w:rPr>
          <w:rFonts w:ascii="Times New Roman" w:eastAsia="仿宋_GB2312" w:hAnsi="Times New Roman"/>
          <w:b/>
          <w:bCs/>
          <w:sz w:val="32"/>
          <w:highlight w:val="auto"/>
        </w:rPr>
        <w:t>（得57.53分）</w:t>
      </w:r>
      <w:r>
        <w:rPr>
          <w:rFonts w:ascii="Times New Roman" w:eastAsia="仿宋_GB2312" w:hAnsi="Times New Roman"/>
          <w:b/>
          <w:bCs/>
          <w:sz w:val="32"/>
          <w:lang w:val="zh-CN"/>
          <w:highlight w:val="auto"/>
        </w:rPr>
        <w:t>。</w:t>
      </w:r>
      <w:r>
        <w:rPr>
          <w:rFonts w:ascii="Times New Roman" w:eastAsia="仿宋_GB2312" w:hAnsi="Times New Roman"/>
          <w:sz w:val="32"/>
          <w:lang w:val="zh-CN"/>
          <w:highlight w:val="auto"/>
        </w:rPr>
        <w:t>根据部门预算绩效评价指标体系“总体绩效”涉及二、三级指标进行逐项绩效分析并评分，依次包括履职效能、预算管理、财务管理、资产管理、采购管理等情况。</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contextualSpacing/>
        <w:rPr>
          <w:rFonts w:ascii="Times New Roman" w:eastAsia="仿宋_GB2312" w:hAnsi="Times New Roman"/>
          <w:sz w:val="32"/>
          <w:lang w:val="zh-CN"/>
          <w:highlight w:val="auto"/>
        </w:rPr>
      </w:pPr>
      <w:r>
        <w:rPr>
          <w:rFonts w:ascii="Times New Roman" w:eastAsia="仿宋_GB2312" w:hAnsi="Times New Roman"/>
          <w:sz w:val="32"/>
          <w:lang w:val="zh-CN"/>
          <w:highlight w:val="auto"/>
        </w:rPr>
        <w:t>1.履职效能。部门整体绩效目标中选定3</w:t>
      </w:r>
      <w:r>
        <w:rPr>
          <w:rFonts w:ascii="Times New Roman" w:eastAsia="仿宋_GB2312" w:hAnsi="Times New Roman" w:hint="eastAsia"/>
          <w:sz w:val="32"/>
          <w:lang w:val="zh-CN"/>
          <w:highlight w:val="auto"/>
        </w:rPr>
        <w:t>—</w:t>
      </w:r>
      <w:r>
        <w:rPr>
          <w:rFonts w:ascii="Times New Roman" w:eastAsia="仿宋_GB2312" w:hAnsi="Times New Roman"/>
          <w:sz w:val="32"/>
          <w:lang w:val="zh-CN"/>
          <w:highlight w:val="auto"/>
        </w:rPr>
        <w:t>5个核心职能目标，对职能目标完成效果情况绩效分析。共计得15分</w:t>
      </w:r>
      <w:r>
        <w:rPr>
          <w:rFonts w:ascii="Times New Roman" w:eastAsia="仿宋_GB2312" w:hAnsi="Times New Roman"/>
          <w:sz w:val="32"/>
          <w:highlight w:val="auto"/>
        </w:rPr>
        <w:t>。</w:t>
      </w:r>
      <w:r>
        <w:rPr>
          <w:rFonts w:ascii="Times New Roman" w:eastAsia="仿宋_GB2312" w:hAnsi="Times New Roman"/>
          <w:b/>
          <w:bCs/>
          <w:sz w:val="32"/>
          <w:lang w:val="zh-CN"/>
          <w:highlight w:val="auto"/>
        </w:rPr>
        <w:t>一是兜底保障率（得5分）。</w:t>
      </w:r>
      <w:r>
        <w:rPr>
          <w:rFonts w:ascii="Times New Roman" w:eastAsia="仿宋_GB2312" w:hAnsi="Times New Roman"/>
          <w:sz w:val="32"/>
          <w:lang w:val="zh-CN"/>
          <w:highlight w:val="auto"/>
        </w:rPr>
        <w:t xml:space="preserve">80岁以上老年人给予高龄津贴，已申请老年人高龄津贴覆盖率达100%；高龄津贴按标准发放率100%；符合特困供养条件的人员纳入特困人员救助供养范围。该项指标得分=年终完成履职效果任务数量÷年初任务设置总数×100%×指标分值=3/3*100*5=5（分）。 </w:t>
      </w:r>
      <w:r>
        <w:rPr>
          <w:rFonts w:ascii="Times New Roman" w:eastAsia="仿宋_GB2312" w:hAnsi="Times New Roman"/>
          <w:b/>
          <w:bCs/>
          <w:sz w:val="32"/>
          <w:lang w:val="zh-CN"/>
          <w:highlight w:val="auto"/>
        </w:rPr>
        <w:t>二是养老服务发展（得5分）。</w:t>
      </w:r>
      <w:r>
        <w:rPr>
          <w:rFonts w:ascii="Times New Roman" w:eastAsia="仿宋_GB2312" w:hAnsi="Times New Roman"/>
          <w:sz w:val="32"/>
          <w:lang w:val="zh-CN"/>
          <w:highlight w:val="auto"/>
        </w:rPr>
        <w:t>示范性老年助餐网络建设两个县（红原和茂县）；社区养老综合体建设2个县（红原和松潘），指导督促养老服务基础设施建有率、覆盖率。该项指标得分=年终完成履职效果任务数量÷年初任务设置总数×100%×指标分值=3/3*100*5=5（分）。</w:t>
      </w:r>
      <w:r>
        <w:rPr>
          <w:rFonts w:ascii="Times New Roman" w:eastAsia="仿宋_GB2312" w:hAnsi="Times New Roman"/>
          <w:b/>
          <w:bCs/>
          <w:sz w:val="32"/>
          <w:lang w:val="zh-CN"/>
          <w:highlight w:val="auto"/>
        </w:rPr>
        <w:t>三是社会事务管理水平优化率（得5分）。</w:t>
      </w:r>
      <w:r>
        <w:rPr>
          <w:rFonts w:ascii="Times New Roman" w:eastAsia="仿宋_GB2312" w:hAnsi="Times New Roman"/>
          <w:sz w:val="32"/>
          <w:lang w:val="zh-CN"/>
          <w:highlight w:val="auto"/>
        </w:rPr>
        <w:t>全州共办理婚姻登记合格率100%。已打造具有羌族特色的婚姻登记处、颁证大厅、婚姻家庭辅导室等；殡葬系统火化填报率100%；安葬填报比率100%。该项指标得分=年终完成履职效果任务数量÷年初任务设置总数×100%×指标分值=4/4*100*5=5（分）</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contextualSpacing/>
        <w:rPr>
          <w:rFonts w:ascii="Times New Roman" w:eastAsia="仿宋_GB2312" w:hAnsi="Times New Roman"/>
          <w:sz w:val="32"/>
          <w:lang w:val="zh-CN"/>
          <w:highlight w:val="auto"/>
        </w:rPr>
      </w:pPr>
      <w:r>
        <w:rPr>
          <w:rFonts w:ascii="Times New Roman" w:eastAsia="仿宋_GB2312" w:hAnsi="Times New Roman"/>
          <w:sz w:val="32"/>
          <w:highlight w:val="auto"/>
        </w:rPr>
        <w:t>2.</w:t>
      </w:r>
      <w:r>
        <w:rPr>
          <w:rFonts w:ascii="Times New Roman" w:eastAsia="仿宋_GB2312" w:hAnsi="Times New Roman"/>
          <w:sz w:val="32"/>
          <w:lang w:val="zh-CN"/>
          <w:highlight w:val="auto"/>
        </w:rPr>
        <w:t>预算管理。预算编制质量</w:t>
      </w:r>
      <w:r>
        <w:rPr>
          <w:rFonts w:ascii="Times New Roman" w:eastAsia="仿宋_GB2312" w:hAnsi="Times New Roman"/>
          <w:sz w:val="32"/>
          <w:highlight w:val="auto"/>
        </w:rPr>
        <w:t>、</w:t>
      </w:r>
      <w:r>
        <w:rPr>
          <w:rFonts w:ascii="Times New Roman" w:eastAsia="仿宋_GB2312" w:hAnsi="Times New Roman"/>
          <w:sz w:val="32"/>
          <w:lang w:val="zh-CN"/>
          <w:highlight w:val="auto"/>
        </w:rPr>
        <w:t>单位收入统筹、支出执行进度、预算年终结余、严控一般性支出进行绩效分析</w:t>
      </w:r>
      <w:r>
        <w:rPr>
          <w:rFonts w:ascii="Times New Roman" w:eastAsia="仿宋_GB2312" w:hAnsi="Times New Roman"/>
          <w:sz w:val="32"/>
          <w:highlight w:val="auto"/>
        </w:rPr>
        <w:t>，共计得分18.73分。其中：</w:t>
      </w:r>
      <w:r>
        <w:rPr>
          <w:rFonts w:ascii="Times New Roman" w:eastAsia="仿宋_GB2312" w:hAnsi="Times New Roman"/>
          <w:b/>
          <w:bCs/>
          <w:sz w:val="32"/>
          <w:highlight w:val="auto"/>
        </w:rPr>
        <w:t>一是</w:t>
      </w:r>
      <w:r>
        <w:rPr>
          <w:rFonts w:ascii="Times New Roman" w:eastAsia="仿宋_GB2312" w:hAnsi="Times New Roman"/>
          <w:b/>
          <w:bCs/>
          <w:sz w:val="32"/>
          <w:lang w:val="zh-CN"/>
          <w:highlight w:val="auto"/>
        </w:rPr>
        <w:t>预算编制质量</w:t>
      </w:r>
      <w:r>
        <w:rPr>
          <w:rFonts w:ascii="Times New Roman" w:eastAsia="仿宋_GB2312" w:hAnsi="Times New Roman"/>
          <w:b/>
          <w:bCs/>
          <w:sz w:val="32"/>
          <w:highlight w:val="auto"/>
        </w:rPr>
        <w:t>（得3.82分）。</w:t>
      </w:r>
      <w:r>
        <w:rPr>
          <w:rFonts w:ascii="Times New Roman" w:eastAsia="仿宋_GB2312" w:hAnsi="Times New Roman"/>
          <w:sz w:val="32"/>
          <w:highlight w:val="auto"/>
        </w:rPr>
        <w:t>财政拨款偏离度=|预算执行数1499.88万元-年初预算数1191.63万元|÷年初预算数1191.63万元=25.67%，资产配置偏离度=0，政府采购偏离度=|预算执行数158.74万元-年初预算数61.56万元|÷年初预算数61.56万元≥100%，该项指标得分=（1-财政拨款预算偏离度25.67%）×100%×4+（1-资产配置预算偏离度0）×100%×2+0=3.82分。</w:t>
      </w:r>
      <w:r>
        <w:rPr>
          <w:rFonts w:ascii="Times New Roman" w:eastAsia="仿宋_GB2312" w:hAnsi="Times New Roman"/>
          <w:b/>
          <w:bCs/>
          <w:sz w:val="32"/>
          <w:highlight w:val="auto"/>
        </w:rPr>
        <w:t>二是</w:t>
      </w:r>
      <w:r>
        <w:rPr>
          <w:rFonts w:ascii="Times New Roman" w:eastAsia="仿宋_GB2312" w:hAnsi="Times New Roman"/>
          <w:b/>
          <w:bCs/>
          <w:sz w:val="32"/>
          <w:lang w:val="zh-CN"/>
          <w:highlight w:val="auto"/>
        </w:rPr>
        <w:t>单位收入统筹</w:t>
      </w:r>
      <w:r>
        <w:rPr>
          <w:rFonts w:ascii="Times New Roman" w:eastAsia="仿宋_GB2312" w:hAnsi="Times New Roman"/>
          <w:b/>
          <w:bCs/>
          <w:sz w:val="32"/>
          <w:highlight w:val="auto"/>
        </w:rPr>
        <w:t>（得4分）。</w:t>
      </w:r>
      <w:r>
        <w:rPr>
          <w:rFonts w:ascii="Times New Roman" w:eastAsia="仿宋_GB2312" w:hAnsi="Times New Roman"/>
          <w:sz w:val="32"/>
          <w:highlight w:val="auto"/>
        </w:rPr>
        <w:t>我单位属于财政全额拨款单位，无自有收入，故不涉及此项考核。根据评分标准，该项指标不扣分，得4分。</w:t>
      </w:r>
      <w:r>
        <w:rPr>
          <w:rFonts w:ascii="Times New Roman" w:eastAsia="仿宋_GB2312" w:hAnsi="Times New Roman"/>
          <w:b/>
          <w:bCs/>
          <w:sz w:val="32"/>
          <w:highlight w:val="auto"/>
        </w:rPr>
        <w:t>三是</w:t>
      </w:r>
      <w:r>
        <w:rPr>
          <w:rFonts w:ascii="Times New Roman" w:eastAsia="仿宋_GB2312" w:hAnsi="Times New Roman"/>
          <w:b/>
          <w:bCs/>
          <w:sz w:val="32"/>
          <w:lang w:val="zh-CN"/>
          <w:highlight w:val="auto"/>
        </w:rPr>
        <w:t>支出执行进度</w:t>
      </w:r>
      <w:r>
        <w:rPr>
          <w:rFonts w:ascii="Times New Roman" w:eastAsia="仿宋_GB2312" w:hAnsi="Times New Roman"/>
          <w:b/>
          <w:bCs/>
          <w:sz w:val="32"/>
          <w:highlight w:val="auto"/>
        </w:rPr>
        <w:t>（得4.05分）。</w:t>
      </w:r>
      <w:r>
        <w:rPr>
          <w:rFonts w:ascii="Times New Roman" w:eastAsia="仿宋_GB2312" w:hAnsi="Times New Roman"/>
          <w:sz w:val="32"/>
          <w:lang w:val="zh-CN"/>
          <w:highlight w:val="auto"/>
        </w:rPr>
        <w:t>（1至6月预算执行数÷（部门预算数×50%）×2）=670.67/（1499.88*50%）*2=178.86%</w:t>
      </w:r>
      <w:r>
        <w:rPr>
          <w:rFonts w:ascii="Times New Roman" w:eastAsia="仿宋_GB2312" w:hAnsi="Times New Roman"/>
          <w:sz w:val="32"/>
          <w:highlight w:val="auto"/>
        </w:rPr>
        <w:t>，</w:t>
      </w:r>
      <w:r>
        <w:rPr>
          <w:rFonts w:ascii="Times New Roman" w:eastAsia="仿宋_GB2312" w:hAnsi="Times New Roman"/>
          <w:sz w:val="32"/>
          <w:lang w:val="zh-CN"/>
          <w:highlight w:val="auto"/>
        </w:rPr>
        <w:t>（1-1至6月支出预警金额占比×0.8-1至6月支出违规金额占比×0.2）=1，（1至10月预算执行数÷（部门预算数×83.33%）×2）=1414.17</w:t>
      </w:r>
      <w:r>
        <w:rPr>
          <w:rFonts w:ascii="Times New Roman" w:eastAsia="仿宋_GB2312" w:hAnsi="Times New Roman"/>
          <w:sz w:val="32"/>
          <w:highlight w:val="auto"/>
        </w:rPr>
        <w:t>万元/</w:t>
      </w:r>
      <w:r>
        <w:rPr>
          <w:rFonts w:ascii="Times New Roman" w:eastAsia="仿宋_GB2312" w:hAnsi="Times New Roman"/>
          <w:sz w:val="32"/>
          <w:lang w:val="zh-CN"/>
          <w:highlight w:val="auto"/>
        </w:rPr>
        <w:t>（1499.88</w:t>
      </w:r>
      <w:r>
        <w:rPr>
          <w:rFonts w:ascii="Times New Roman" w:eastAsia="仿宋_GB2312" w:hAnsi="Times New Roman"/>
          <w:sz w:val="32"/>
          <w:highlight w:val="auto"/>
        </w:rPr>
        <w:t>万元</w:t>
      </w:r>
      <w:r>
        <w:rPr>
          <w:rFonts w:ascii="Times New Roman" w:eastAsia="仿宋_GB2312" w:hAnsi="Times New Roman"/>
          <w:sz w:val="32"/>
          <w:lang w:val="zh-CN"/>
          <w:highlight w:val="auto"/>
        </w:rPr>
        <w:t>*83.33%*2=1414.17</w:t>
      </w:r>
      <w:r>
        <w:rPr>
          <w:rFonts w:ascii="Times New Roman" w:eastAsia="仿宋_GB2312" w:hAnsi="Times New Roman"/>
          <w:sz w:val="32"/>
          <w:highlight w:val="auto"/>
        </w:rPr>
        <w:t>万元</w:t>
      </w:r>
      <w:r>
        <w:rPr>
          <w:rFonts w:ascii="Times New Roman" w:eastAsia="仿宋_GB2312" w:hAnsi="Times New Roman"/>
          <w:sz w:val="32"/>
          <w:lang w:val="zh-CN"/>
          <w:highlight w:val="auto"/>
        </w:rPr>
        <w:t>/1249.85=226.30%，1-1至10月支出预警金额占比×0.8-1至10月支出违规金额占比×0.2）=1。该项指标得分=（1至6月预算执行数÷（部门预算数×50%）×2）+（1-1至6月支出预警金额占比×0.8-1至6月支出违规金额占比×0.2）+（1至10月预算执行数÷（部门预算数×83.33%）×2）+（1-1至10月支出预警金额占比×0.8-1至10月支出违规金额占比×0.2）=4.05</w:t>
      </w:r>
      <w:r>
        <w:rPr>
          <w:rFonts w:ascii="Times New Roman" w:eastAsia="仿宋_GB2312" w:hAnsi="Times New Roman"/>
          <w:sz w:val="32"/>
          <w:highlight w:val="auto"/>
        </w:rPr>
        <w:t>分。</w:t>
      </w:r>
      <w:r>
        <w:rPr>
          <w:rFonts w:ascii="Times New Roman" w:eastAsia="仿宋_GB2312" w:hAnsi="Times New Roman"/>
          <w:b/>
          <w:bCs/>
          <w:sz w:val="32"/>
          <w:highlight w:val="auto"/>
        </w:rPr>
        <w:t>四是</w:t>
      </w:r>
      <w:r>
        <w:rPr>
          <w:rFonts w:ascii="Times New Roman" w:eastAsia="仿宋_GB2312" w:hAnsi="Times New Roman"/>
          <w:b/>
          <w:bCs/>
          <w:sz w:val="32"/>
          <w:lang w:val="zh-CN"/>
          <w:highlight w:val="auto"/>
        </w:rPr>
        <w:t>预算年终结余</w:t>
      </w:r>
      <w:r>
        <w:rPr>
          <w:rFonts w:ascii="Times New Roman" w:eastAsia="仿宋_GB2312" w:hAnsi="Times New Roman"/>
          <w:b/>
          <w:bCs/>
          <w:sz w:val="32"/>
          <w:highlight w:val="auto"/>
        </w:rPr>
        <w:t>（得1.86分）。</w:t>
      </w:r>
      <w:r>
        <w:rPr>
          <w:rFonts w:ascii="Times New Roman" w:eastAsia="仿宋_GB2312" w:hAnsi="Times New Roman"/>
          <w:sz w:val="32"/>
          <w:lang w:val="zh-CN"/>
          <w:highlight w:val="auto"/>
        </w:rPr>
        <w:t>部门整体预算结余率=（当年年终部门预算注销金额+结转金额）/部门预算总金额的比率=（125.16-14.52）/1554.09=7.12%</w:t>
      </w:r>
      <w:r>
        <w:rPr>
          <w:rFonts w:ascii="Times New Roman" w:eastAsia="仿宋_GB2312" w:hAnsi="Times New Roman"/>
          <w:sz w:val="32"/>
          <w:highlight w:val="auto"/>
        </w:rPr>
        <w:t>。该项指标得分=（1-部门整体预算结余率）×100%×2=1.86分。</w:t>
      </w:r>
      <w:r>
        <w:rPr>
          <w:rFonts w:ascii="Times New Roman" w:eastAsia="仿宋_GB2312" w:hAnsi="Times New Roman"/>
          <w:b/>
          <w:bCs/>
          <w:sz w:val="32"/>
          <w:highlight w:val="auto"/>
        </w:rPr>
        <w:t>五是</w:t>
      </w:r>
      <w:r>
        <w:rPr>
          <w:rFonts w:ascii="Times New Roman" w:eastAsia="仿宋_GB2312" w:hAnsi="Times New Roman"/>
          <w:b/>
          <w:bCs/>
          <w:sz w:val="32"/>
          <w:lang w:val="zh-CN"/>
          <w:highlight w:val="auto"/>
        </w:rPr>
        <w:t>严控一般性支出</w:t>
      </w:r>
      <w:r>
        <w:rPr>
          <w:rFonts w:ascii="Times New Roman" w:eastAsia="仿宋_GB2312" w:hAnsi="Times New Roman"/>
          <w:b/>
          <w:bCs/>
          <w:sz w:val="32"/>
          <w:highlight w:val="auto"/>
        </w:rPr>
        <w:t>（得5分）。</w:t>
      </w:r>
      <w:r>
        <w:rPr>
          <w:rFonts w:ascii="Times New Roman" w:eastAsia="仿宋_GB2312" w:hAnsi="Times New Roman"/>
          <w:sz w:val="32"/>
          <w:lang w:val="zh-CN"/>
          <w:highlight w:val="auto"/>
        </w:rPr>
        <w:t>一般性支出财政拨款年初预算较上年实现压减</w:t>
      </w:r>
      <w:r>
        <w:rPr>
          <w:rFonts w:ascii="Times New Roman" w:eastAsia="仿宋_GB2312" w:hAnsi="Times New Roman"/>
          <w:sz w:val="32"/>
          <w:highlight w:val="auto"/>
        </w:rPr>
        <w:t>，</w:t>
      </w:r>
      <w:r>
        <w:rPr>
          <w:rFonts w:ascii="Times New Roman" w:eastAsia="仿宋_GB2312" w:hAnsi="Times New Roman"/>
          <w:sz w:val="32"/>
          <w:lang w:val="zh-CN"/>
          <w:highlight w:val="auto"/>
        </w:rPr>
        <w:t>得1分；一般性支出财政拨款预算执行较上年实现压减得1分；2024年一般性支出财政拨款年初预算128.51万元，2025 年120.41万元，一般性支出财政拨款年初预算较上年压减6.30％，大于5%，得1分；一般性支出财政拨款预算执行2024年198.44万元，2025年120.85万元，一般性支出财政拨款预算执行较上年每压减39.10%，得分2分。该项指标得分=基础分值+加分值=5分</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contextualSpacing/>
        <w:rPr>
          <w:rFonts w:ascii="Times New Roman" w:eastAsia="仿宋_GB2312" w:hAnsi="Times New Roman"/>
          <w:sz w:val="32"/>
          <w:lang w:val="zh-CN"/>
        </w:rPr>
      </w:pPr>
      <w:r>
        <w:rPr>
          <w:rFonts w:ascii="Times New Roman" w:eastAsia="仿宋_GB2312" w:hAnsi="Times New Roman"/>
          <w:sz w:val="32"/>
          <w:highlight w:val="auto"/>
        </w:rPr>
        <w:t>3.</w:t>
      </w:r>
      <w:r>
        <w:rPr>
          <w:rFonts w:ascii="Times New Roman" w:eastAsia="仿宋_GB2312" w:hAnsi="Times New Roman"/>
          <w:sz w:val="32"/>
          <w:lang w:val="zh-CN"/>
          <w:highlight w:val="auto"/>
        </w:rPr>
        <w:t>财务管理。围绕财务管理制度、财务岗位设置、资金使用规范进行绩效分析。</w:t>
      </w:r>
      <w:r>
        <w:rPr>
          <w:rFonts w:ascii="Times New Roman" w:eastAsia="仿宋_GB2312" w:hAnsi="Times New Roman"/>
          <w:sz w:val="32"/>
          <w:highlight w:val="auto"/>
        </w:rPr>
        <w:t>共计得分10分。其中：</w:t>
      </w:r>
      <w:r>
        <w:rPr>
          <w:rFonts w:ascii="Times New Roman" w:eastAsia="仿宋_GB2312" w:hAnsi="Times New Roman"/>
          <w:b/>
          <w:bCs/>
          <w:sz w:val="32"/>
          <w:highlight w:val="auto"/>
        </w:rPr>
        <w:t>一是</w:t>
      </w:r>
      <w:r>
        <w:rPr>
          <w:rFonts w:ascii="Times New Roman" w:eastAsia="仿宋_GB2312" w:hAnsi="Times New Roman"/>
          <w:b/>
          <w:bCs/>
          <w:sz w:val="32"/>
          <w:lang w:val="zh-CN"/>
          <w:highlight w:val="auto"/>
        </w:rPr>
        <w:t>财务管理制度</w:t>
      </w:r>
      <w:r>
        <w:rPr>
          <w:rFonts w:ascii="Times New Roman" w:eastAsia="仿宋_GB2312" w:hAnsi="Times New Roman"/>
          <w:b/>
          <w:bCs/>
          <w:sz w:val="32"/>
          <w:highlight w:val="auto"/>
        </w:rPr>
        <w:t>（得4分）。</w:t>
      </w:r>
      <w:r>
        <w:rPr>
          <w:rFonts w:ascii="Times New Roman" w:eastAsia="仿宋_GB2312" w:hAnsi="Times New Roman"/>
          <w:sz w:val="32"/>
          <w:highlight w:val="auto"/>
        </w:rPr>
        <w:t>部门已制定内部财务管理制度等制度机制的，得2分；财务管理制度得到落实，得2分。</w:t>
      </w:r>
      <w:r>
        <w:rPr>
          <w:rFonts w:ascii="Times New Roman" w:eastAsia="仿宋_GB2312" w:hAnsi="Times New Roman"/>
          <w:b/>
          <w:bCs/>
          <w:sz w:val="32"/>
          <w:highlight w:val="auto"/>
        </w:rPr>
        <w:t>二是</w:t>
      </w:r>
      <w:r>
        <w:rPr>
          <w:rFonts w:ascii="Times New Roman" w:eastAsia="仿宋_GB2312" w:hAnsi="Times New Roman"/>
          <w:b/>
          <w:bCs/>
          <w:sz w:val="32"/>
          <w:lang w:val="zh-CN"/>
          <w:highlight w:val="auto"/>
        </w:rPr>
        <w:t>财务岗位设置</w:t>
      </w:r>
      <w:r>
        <w:rPr>
          <w:rFonts w:ascii="Times New Roman" w:eastAsia="仿宋_GB2312" w:hAnsi="Times New Roman"/>
          <w:b/>
          <w:bCs/>
          <w:sz w:val="32"/>
          <w:highlight w:val="auto"/>
        </w:rPr>
        <w:t>（得2分）。</w:t>
      </w:r>
      <w:r>
        <w:rPr>
          <w:rFonts w:ascii="Times New Roman" w:eastAsia="仿宋_GB2312" w:hAnsi="Times New Roman"/>
          <w:sz w:val="32"/>
          <w:highlight w:val="auto"/>
        </w:rPr>
        <w:t>部门合理设置财务工作岗位，明确职责权限，并严格实行不相容岗位分离的，得2分。</w:t>
      </w:r>
      <w:r>
        <w:rPr>
          <w:rFonts w:ascii="Times New Roman" w:eastAsia="仿宋_GB2312" w:hAnsi="Times New Roman"/>
          <w:b/>
          <w:bCs/>
          <w:sz w:val="32"/>
          <w:highlight w:val="auto"/>
        </w:rPr>
        <w:t>三是</w:t>
      </w:r>
      <w:r>
        <w:rPr>
          <w:rFonts w:ascii="Times New Roman" w:eastAsia="仿宋_GB2312" w:hAnsi="Times New Roman"/>
          <w:b/>
          <w:bCs/>
          <w:sz w:val="32"/>
          <w:lang w:val="zh-CN"/>
          <w:highlight w:val="auto"/>
        </w:rPr>
        <w:t>资金使用规范</w:t>
      </w:r>
      <w:r>
        <w:rPr>
          <w:rFonts w:ascii="Times New Roman" w:eastAsia="仿宋_GB2312" w:hAnsi="Times New Roman"/>
          <w:b/>
          <w:bCs/>
          <w:sz w:val="32"/>
          <w:highlight w:val="auto"/>
        </w:rPr>
        <w:t>（得4分）。</w:t>
      </w:r>
      <w:r>
        <w:rPr>
          <w:rFonts w:ascii="Times New Roman" w:eastAsia="仿宋_GB2312" w:hAnsi="Times New Roman"/>
          <w:sz w:val="32"/>
          <w:highlight w:val="auto"/>
        </w:rPr>
        <w:t>部门合理设置财务工作岗位，明确职责权限，并严格实行不相容岗位分离的，得4分。</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contextualSpacing/>
        <w:rPr>
          <w:rFonts w:ascii="Times New Roman" w:eastAsia="仿宋_GB2312" w:hAnsi="Times New Roman"/>
          <w:sz w:val="32"/>
        </w:rPr>
      </w:pPr>
      <w:r>
        <w:rPr>
          <w:rFonts w:ascii="Times New Roman" w:eastAsia="仿宋_GB2312" w:hAnsi="Times New Roman"/>
          <w:sz w:val="32"/>
          <w:highlight w:val="auto"/>
        </w:rPr>
        <w:t>4.</w:t>
      </w:r>
      <w:r>
        <w:rPr>
          <w:rFonts w:ascii="Times New Roman" w:eastAsia="仿宋_GB2312" w:hAnsi="Times New Roman"/>
          <w:sz w:val="32"/>
          <w:lang w:val="zh-CN"/>
          <w:highlight w:val="auto"/>
        </w:rPr>
        <w:t>资产管理。围绕人均资产变化率、资产利用率、资产盘活率进行绩效分析</w:t>
      </w:r>
      <w:r>
        <w:rPr>
          <w:rFonts w:ascii="Times New Roman" w:eastAsia="仿宋_GB2312" w:hAnsi="Times New Roman"/>
          <w:sz w:val="32"/>
          <w:highlight w:val="auto"/>
        </w:rPr>
        <w:t>，共计得分7.8分。其中：</w:t>
      </w:r>
      <w:r>
        <w:rPr>
          <w:rFonts w:ascii="Times New Roman" w:eastAsia="仿宋_GB2312" w:hAnsi="Times New Roman"/>
          <w:b/>
          <w:bCs/>
          <w:sz w:val="32"/>
          <w:highlight w:val="auto"/>
        </w:rPr>
        <w:t>一是</w:t>
      </w:r>
      <w:r>
        <w:rPr>
          <w:rFonts w:ascii="Times New Roman" w:eastAsia="仿宋_GB2312" w:hAnsi="Times New Roman"/>
          <w:b/>
          <w:bCs/>
          <w:sz w:val="32"/>
          <w:lang w:val="zh-CN"/>
          <w:highlight w:val="auto"/>
        </w:rPr>
        <w:t>人均资产变化率</w:t>
      </w:r>
      <w:r>
        <w:rPr>
          <w:rFonts w:ascii="Times New Roman" w:eastAsia="仿宋_GB2312" w:hAnsi="Times New Roman"/>
          <w:b/>
          <w:bCs/>
          <w:sz w:val="32"/>
          <w:highlight w:val="auto"/>
        </w:rPr>
        <w:t>（得3分）。</w:t>
      </w:r>
      <w:r>
        <w:rPr>
          <w:rFonts w:ascii="Times New Roman" w:eastAsia="仿宋_GB2312" w:hAnsi="Times New Roman" w:hint="eastAsia"/>
          <w:sz w:val="32"/>
          <w:lang w:val="zh-CN"/>
          <w:highlight w:val="auto"/>
        </w:rPr>
        <w:t>年初人均资产12.04万元，年末人均资产10.10万元，部门人均资产变化率为-16.11%，阿坝州州直行政事业单位人均资产变化率为-3.49%，-16.11%&lt;-3.49%,得1.5分;部门人均资产增长率为-16.11%，同期阿坝州州级财政收入增长率为17.1%，-16.11%≤0，得1.5分</w:t>
      </w:r>
      <w:r>
        <w:rPr>
          <w:rFonts w:ascii="Times New Roman" w:eastAsia="仿宋_GB2312" w:hAnsi="Times New Roman"/>
          <w:sz w:val="32"/>
          <w:highlight w:val="auto"/>
        </w:rPr>
        <w:t>。共计得3分。</w:t>
      </w:r>
      <w:r>
        <w:rPr>
          <w:rFonts w:ascii="Times New Roman" w:eastAsia="仿宋_GB2312" w:hAnsi="Times New Roman"/>
          <w:b/>
          <w:bCs/>
          <w:sz w:val="32"/>
          <w:highlight w:val="auto"/>
        </w:rPr>
        <w:t>二是</w:t>
      </w:r>
      <w:r>
        <w:rPr>
          <w:rFonts w:ascii="Times New Roman" w:eastAsia="仿宋_GB2312" w:hAnsi="Times New Roman"/>
          <w:b/>
          <w:bCs/>
          <w:sz w:val="32"/>
          <w:lang w:val="zh-CN"/>
          <w:highlight w:val="auto"/>
        </w:rPr>
        <w:t>资产利用率</w:t>
      </w:r>
      <w:r>
        <w:rPr>
          <w:rFonts w:ascii="Times New Roman" w:eastAsia="仿宋_GB2312" w:hAnsi="Times New Roman"/>
          <w:b/>
          <w:bCs/>
          <w:sz w:val="32"/>
          <w:highlight w:val="auto"/>
        </w:rPr>
        <w:t>（得1.8分）。</w:t>
      </w:r>
      <w:r>
        <w:rPr>
          <w:rFonts w:ascii="Times New Roman" w:eastAsia="仿宋_GB2312" w:hAnsi="Times New Roman"/>
          <w:sz w:val="32"/>
          <w:highlight w:val="auto"/>
        </w:rPr>
        <w:t>部门办公家具超最低使用年限资产利用率=超最低使用年限的办公家具账面价值3.25万元÷办公家具账面价值61.61万元×100%=5.28%。办公家具超最低使用年限资产利用率为5.28%，阿坝州州直行政事业单位平均值为12.93%，5.82%≤7.58%（0.6*12.93%），即得0.3分；部门办公设备超最低使用年限资产利用率=超最低使用年限的办公设备账面价值39.16万元÷办公设备账面价值66.04万元×100%=59.30%。办公设备超最低使用年限资产利用率为59.30%，阿坝州州直行政事业单位平均值为53.14%，59.30%＞53.14%，得1.5分，该项得分1.8分。</w:t>
      </w:r>
      <w:r>
        <w:rPr>
          <w:rFonts w:ascii="Times New Roman" w:eastAsia="仿宋_GB2312" w:hAnsi="Times New Roman"/>
          <w:b/>
          <w:bCs/>
          <w:sz w:val="32"/>
          <w:highlight w:val="auto"/>
        </w:rPr>
        <w:t>三是</w:t>
      </w:r>
      <w:r>
        <w:rPr>
          <w:rFonts w:ascii="Times New Roman" w:eastAsia="仿宋_GB2312" w:hAnsi="Times New Roman"/>
          <w:b/>
          <w:bCs/>
          <w:sz w:val="32"/>
          <w:lang w:val="zh-CN"/>
          <w:highlight w:val="auto"/>
        </w:rPr>
        <w:t>资产盘活率</w:t>
      </w:r>
      <w:r>
        <w:rPr>
          <w:rFonts w:ascii="Times New Roman" w:eastAsia="仿宋_GB2312" w:hAnsi="Times New Roman"/>
          <w:b/>
          <w:bCs/>
          <w:sz w:val="32"/>
          <w:highlight w:val="auto"/>
        </w:rPr>
        <w:t>（得3分）。</w:t>
      </w:r>
      <w:r>
        <w:rPr>
          <w:rFonts w:ascii="Times New Roman" w:eastAsia="仿宋_GB2312" w:hAnsi="Times New Roman"/>
          <w:sz w:val="32"/>
          <w:highlight w:val="auto"/>
        </w:rPr>
        <w:t>两年均无闲置资产或上年度有闲置资产评价年度无闲置资产的。</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contextualSpacing/>
        <w:rPr>
          <w:rFonts w:ascii="Times New Roman" w:eastAsia="仿宋_GB2312" w:hAnsi="Times New Roman"/>
          <w:sz w:val="32"/>
          <w:lang w:val="zh-CN"/>
        </w:rPr>
      </w:pPr>
      <w:r>
        <w:rPr>
          <w:rFonts w:ascii="Times New Roman" w:eastAsia="仿宋_GB2312" w:hAnsi="Times New Roman"/>
          <w:sz w:val="32"/>
          <w:highlight w:val="auto"/>
        </w:rPr>
        <w:t>5.</w:t>
      </w:r>
      <w:r>
        <w:rPr>
          <w:rFonts w:ascii="Times New Roman" w:eastAsia="仿宋_GB2312" w:hAnsi="Times New Roman"/>
          <w:sz w:val="32"/>
          <w:lang w:val="zh-CN"/>
          <w:highlight w:val="auto"/>
        </w:rPr>
        <w:t>采购管理。围绕支持中小企业发展、采购执行率进行绩效分析</w:t>
      </w:r>
      <w:r>
        <w:rPr>
          <w:rFonts w:ascii="Times New Roman" w:eastAsia="仿宋_GB2312" w:hAnsi="Times New Roman"/>
          <w:sz w:val="32"/>
          <w:highlight w:val="auto"/>
        </w:rPr>
        <w:t>，共计得分6分。其中：</w:t>
      </w:r>
      <w:r>
        <w:rPr>
          <w:rFonts w:ascii="Times New Roman" w:eastAsia="仿宋_GB2312" w:hAnsi="Times New Roman"/>
          <w:b/>
          <w:bCs/>
          <w:sz w:val="32"/>
          <w:highlight w:val="auto"/>
        </w:rPr>
        <w:t>一是</w:t>
      </w:r>
      <w:r>
        <w:rPr>
          <w:rFonts w:ascii="Times New Roman" w:eastAsia="仿宋_GB2312" w:hAnsi="Times New Roman"/>
          <w:b/>
          <w:bCs/>
          <w:sz w:val="32"/>
          <w:lang w:val="zh-CN"/>
          <w:highlight w:val="auto"/>
        </w:rPr>
        <w:t>支持中小企业发展</w:t>
      </w:r>
      <w:r>
        <w:rPr>
          <w:rFonts w:ascii="Times New Roman" w:eastAsia="仿宋_GB2312" w:hAnsi="Times New Roman"/>
          <w:b/>
          <w:bCs/>
          <w:sz w:val="32"/>
          <w:highlight w:val="auto"/>
        </w:rPr>
        <w:t>（得3分）。</w:t>
      </w:r>
      <w:r>
        <w:rPr>
          <w:rFonts w:ascii="Times New Roman" w:eastAsia="仿宋_GB2312" w:hAnsi="Times New Roman"/>
          <w:sz w:val="32"/>
          <w:highlight w:val="auto"/>
        </w:rPr>
        <w:t>对适宜由中小企业提供的采购项目和采购包，预留采购份额专门面向中小企业采购，并在采购预算中单独列示。</w:t>
      </w:r>
      <w:r>
        <w:rPr>
          <w:rFonts w:ascii="Times New Roman" w:eastAsia="仿宋_GB2312" w:hAnsi="Times New Roman"/>
          <w:b/>
          <w:bCs/>
          <w:sz w:val="32"/>
          <w:highlight w:val="auto"/>
        </w:rPr>
        <w:t>二是</w:t>
      </w:r>
      <w:r>
        <w:rPr>
          <w:rFonts w:ascii="Times New Roman" w:eastAsia="仿宋_GB2312" w:hAnsi="Times New Roman"/>
          <w:b/>
          <w:bCs/>
          <w:sz w:val="32"/>
          <w:lang w:val="zh-CN"/>
          <w:highlight w:val="auto"/>
        </w:rPr>
        <w:t>采购执行率</w:t>
      </w:r>
      <w:r>
        <w:rPr>
          <w:rFonts w:ascii="Times New Roman" w:eastAsia="仿宋_GB2312" w:hAnsi="Times New Roman"/>
          <w:b/>
          <w:bCs/>
          <w:sz w:val="32"/>
          <w:highlight w:val="auto"/>
        </w:rPr>
        <w:t>（得3分）。</w:t>
      </w:r>
      <w:r>
        <w:rPr>
          <w:rFonts w:ascii="Times New Roman" w:eastAsia="仿宋_GB2312" w:hAnsi="Times New Roman"/>
          <w:sz w:val="32"/>
          <w:highlight w:val="auto"/>
        </w:rPr>
        <w:t>该项指标得分=当年政府采购实际支付总金额164.53万元÷（当年政府采购总预算数164.53万元-当年已完成采购项目节约金额0万元）×100%×3=3分</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highlight w:val="auto"/>
        </w:rPr>
      </w:pPr>
      <w:r>
        <w:rPr>
          <w:rFonts w:ascii="Times New Roman" w:eastAsia="仿宋_GB2312" w:hAnsi="Times New Roman"/>
          <w:b/>
          <w:bCs/>
          <w:sz w:val="32"/>
          <w:lang w:val="zh-CN"/>
          <w:highlight w:val="auto"/>
        </w:rPr>
        <w:t>（二）部门预算项目绩效分析</w:t>
      </w:r>
      <w:r>
        <w:rPr>
          <w:rFonts w:ascii="Times New Roman" w:eastAsia="仿宋_GB2312" w:hAnsi="Times New Roman"/>
          <w:b/>
          <w:bCs/>
          <w:sz w:val="32"/>
          <w:highlight w:val="auto"/>
        </w:rPr>
        <w:t>（得33分）。</w:t>
      </w:r>
      <w:r>
        <w:rPr>
          <w:rFonts w:ascii="Times New Roman" w:eastAsia="仿宋_GB2312" w:hAnsi="Times New Roman"/>
          <w:sz w:val="32"/>
          <w:lang w:val="zh-CN"/>
          <w:highlight w:val="auto"/>
        </w:rPr>
        <w:t>根据部门预算绩效评价指标体系“项目绩效”涉及二、三级指标进行逐项绩效分析并评分，依次包括项目</w:t>
      </w:r>
      <w:r>
        <w:rPr>
          <w:rFonts w:ascii="Times New Roman" w:eastAsia="仿宋_GB2312" w:hAnsi="Times New Roman"/>
          <w:sz w:val="32"/>
          <w:highlight w:val="auto"/>
        </w:rPr>
        <w:t>决策、项目执行、目标实现等情况如下：</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lang w:val="zh-CN"/>
          <w:highlight w:val="auto"/>
        </w:rPr>
      </w:pPr>
      <w:r>
        <w:rPr>
          <w:rFonts w:ascii="Times New Roman" w:eastAsia="仿宋_GB2312" w:hAnsi="Times New Roman"/>
          <w:sz w:val="32"/>
          <w:highlight w:val="auto"/>
        </w:rPr>
        <w:t>不涉及常年项目绩效分析</w:t>
      </w:r>
      <w:r>
        <w:rPr>
          <w:rFonts w:ascii="Times New Roman" w:eastAsia="仿宋_GB2312" w:hAnsi="Times New Roman"/>
          <w:sz w:val="32"/>
          <w:lang w:val="zh-CN"/>
          <w:highlight w:val="auto"/>
        </w:rPr>
        <w:t>。</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lang w:val="zh-CN"/>
          <w:highlight w:val="auto"/>
        </w:rPr>
      </w:pPr>
      <w:r>
        <w:rPr>
          <w:rFonts w:ascii="Times New Roman" w:eastAsia="仿宋_GB2312" w:hAnsi="Times New Roman"/>
          <w:sz w:val="32"/>
          <w:highlight w:val="auto"/>
        </w:rPr>
        <w:t>阶段（</w:t>
      </w:r>
      <w:r>
        <w:rPr>
          <w:rFonts w:ascii="Times New Roman" w:eastAsia="仿宋_GB2312" w:hAnsi="Times New Roman" w:hint="eastAsia"/>
          <w:sz w:val="32"/>
          <w:highlight w:val="auto"/>
        </w:rPr>
        <w:t>含</w:t>
      </w:r>
      <w:r>
        <w:rPr>
          <w:rFonts w:ascii="Times New Roman" w:eastAsia="仿宋_GB2312" w:hAnsi="Times New Roman"/>
          <w:sz w:val="32"/>
          <w:highlight w:val="auto"/>
        </w:rPr>
        <w:t>一次性）项目绩效分析。</w:t>
      </w:r>
      <w:r>
        <w:rPr>
          <w:rFonts w:ascii="Times New Roman" w:eastAsia="仿宋_GB2312" w:hAnsi="Times New Roman"/>
          <w:sz w:val="32"/>
          <w:lang w:val="zh-CN"/>
          <w:highlight w:val="auto"/>
        </w:rPr>
        <w:t>该类项目总数</w:t>
      </w:r>
      <w:r>
        <w:rPr>
          <w:rFonts w:ascii="Times New Roman" w:eastAsia="仿宋_GB2312" w:hAnsi="Times New Roman"/>
          <w:sz w:val="32"/>
          <w:highlight w:val="auto"/>
        </w:rPr>
        <w:t>23</w:t>
      </w:r>
      <w:r>
        <w:rPr>
          <w:rFonts w:ascii="Times New Roman" w:eastAsia="仿宋_GB2312" w:hAnsi="Times New Roman"/>
          <w:sz w:val="32"/>
          <w:lang w:val="zh-CN"/>
          <w:highlight w:val="auto"/>
        </w:rPr>
        <w:t>个，涉及预算总金额</w:t>
      </w:r>
      <w:r>
        <w:rPr>
          <w:rFonts w:ascii="Times New Roman" w:eastAsia="仿宋_GB2312" w:hAnsi="Times New Roman"/>
          <w:sz w:val="32"/>
          <w:highlight w:val="auto"/>
        </w:rPr>
        <w:t>448.98</w:t>
      </w:r>
      <w:r>
        <w:rPr>
          <w:rFonts w:ascii="Times New Roman" w:eastAsia="仿宋_GB2312" w:hAnsi="Times New Roman"/>
          <w:sz w:val="32"/>
          <w:lang w:val="zh-CN"/>
          <w:highlight w:val="auto"/>
        </w:rPr>
        <w:t>万元，1</w:t>
      </w:r>
      <w:r>
        <w:rPr>
          <w:rFonts w:ascii="Times New Roman" w:eastAsia="仿宋_GB2312" w:hAnsi="Times New Roman" w:hint="eastAsia"/>
          <w:sz w:val="32"/>
          <w:lang w:val="zh-CN"/>
          <w:highlight w:val="auto"/>
        </w:rPr>
        <w:t>—</w:t>
      </w:r>
      <w:r>
        <w:rPr>
          <w:rFonts w:ascii="Times New Roman" w:eastAsia="仿宋_GB2312" w:hAnsi="Times New Roman"/>
          <w:sz w:val="32"/>
          <w:lang w:val="zh-CN"/>
          <w:highlight w:val="auto"/>
        </w:rPr>
        <w:t>1</w:t>
      </w:r>
      <w:r>
        <w:rPr>
          <w:rFonts w:ascii="Times New Roman" w:eastAsia="仿宋_GB2312" w:hAnsi="Times New Roman"/>
          <w:sz w:val="32"/>
          <w:highlight w:val="auto"/>
        </w:rPr>
        <w:t>2</w:t>
      </w:r>
      <w:r>
        <w:rPr>
          <w:rFonts w:ascii="Times New Roman" w:eastAsia="仿宋_GB2312" w:hAnsi="Times New Roman"/>
          <w:sz w:val="32"/>
          <w:lang w:val="zh-CN"/>
          <w:highlight w:val="auto"/>
        </w:rPr>
        <w:t>月预算执行总体进度为</w:t>
      </w:r>
      <w:r>
        <w:rPr>
          <w:rFonts w:ascii="Times New Roman" w:eastAsia="仿宋_GB2312" w:hAnsi="Times New Roman"/>
          <w:sz w:val="32"/>
          <w:highlight w:val="auto"/>
        </w:rPr>
        <w:t>100</w:t>
      </w:r>
      <w:r>
        <w:rPr>
          <w:rFonts w:ascii="Times New Roman" w:eastAsia="仿宋_GB2312" w:hAnsi="Times New Roman"/>
          <w:sz w:val="32"/>
          <w:lang w:val="zh-CN"/>
          <w:highlight w:val="auto"/>
        </w:rPr>
        <w:t>%，其中：预算结余率大于</w:t>
      </w:r>
      <w:r>
        <w:rPr>
          <w:rFonts w:ascii="Times New Roman" w:eastAsia="仿宋_GB2312" w:hAnsi="Times New Roman"/>
          <w:sz w:val="32"/>
          <w:highlight w:val="auto"/>
        </w:rPr>
        <w:t>10%</w:t>
      </w:r>
      <w:r>
        <w:rPr>
          <w:rFonts w:ascii="Times New Roman" w:eastAsia="仿宋_GB2312" w:hAnsi="Times New Roman"/>
          <w:sz w:val="32"/>
          <w:lang w:val="zh-CN"/>
          <w:highlight w:val="auto"/>
        </w:rPr>
        <w:t>的项目共计</w:t>
      </w:r>
      <w:r>
        <w:rPr>
          <w:rFonts w:ascii="Times New Roman" w:eastAsia="仿宋_GB2312" w:hAnsi="Times New Roman"/>
          <w:sz w:val="32"/>
          <w:highlight w:val="auto"/>
        </w:rPr>
        <w:t>0</w:t>
      </w:r>
      <w:r>
        <w:rPr>
          <w:rFonts w:ascii="Times New Roman" w:eastAsia="仿宋_GB2312" w:hAnsi="Times New Roman"/>
          <w:sz w:val="32"/>
          <w:lang w:val="zh-CN"/>
          <w:highlight w:val="auto"/>
        </w:rPr>
        <w:t>个。</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contextualSpacing/>
        <w:rPr>
          <w:rFonts w:ascii="Times New Roman" w:eastAsia="仿宋_GB2312" w:hAnsi="Times New Roman"/>
          <w:sz w:val="32"/>
          <w:lang w:val="zh-CN"/>
        </w:rPr>
      </w:pPr>
      <w:r>
        <w:rPr>
          <w:rFonts w:ascii="Times New Roman" w:eastAsia="仿宋_GB2312" w:hAnsi="Times New Roman"/>
          <w:sz w:val="32"/>
          <w:highlight w:val="auto"/>
        </w:rPr>
        <w:t>1.</w:t>
      </w:r>
      <w:r>
        <w:rPr>
          <w:rFonts w:ascii="Times New Roman" w:eastAsia="仿宋_GB2312" w:hAnsi="Times New Roman"/>
          <w:sz w:val="32"/>
          <w:lang w:val="zh-CN"/>
          <w:highlight w:val="auto"/>
        </w:rPr>
        <w:t>项目决策。围绕决策程序、目标设置、项目入库进行绩效分析</w:t>
      </w:r>
      <w:r>
        <w:rPr>
          <w:rFonts w:ascii="Times New Roman" w:eastAsia="仿宋_GB2312" w:hAnsi="Times New Roman"/>
          <w:sz w:val="32"/>
          <w:highlight w:val="auto"/>
        </w:rPr>
        <w:t>，共计得分12分，其中：</w:t>
      </w:r>
      <w:r>
        <w:rPr>
          <w:rFonts w:ascii="Times New Roman" w:eastAsia="仿宋_GB2312" w:hAnsi="Times New Roman"/>
          <w:b/>
          <w:bCs/>
          <w:sz w:val="32"/>
          <w:highlight w:val="auto"/>
        </w:rPr>
        <w:t>一是</w:t>
      </w:r>
      <w:r>
        <w:rPr>
          <w:rFonts w:ascii="Times New Roman" w:eastAsia="仿宋_GB2312" w:hAnsi="Times New Roman"/>
          <w:b/>
          <w:bCs/>
          <w:sz w:val="32"/>
          <w:lang w:val="zh-CN"/>
          <w:highlight w:val="auto"/>
        </w:rPr>
        <w:t>决策程序</w:t>
      </w:r>
      <w:r>
        <w:rPr>
          <w:rFonts w:ascii="Times New Roman" w:eastAsia="仿宋_GB2312" w:hAnsi="Times New Roman"/>
          <w:b/>
          <w:bCs/>
          <w:sz w:val="32"/>
          <w:highlight w:val="auto"/>
        </w:rPr>
        <w:t>（得4分）。</w:t>
      </w:r>
      <w:r>
        <w:rPr>
          <w:rFonts w:ascii="Times New Roman" w:eastAsia="仿宋_GB2312" w:hAnsi="Times New Roman"/>
          <w:sz w:val="32"/>
          <w:highlight w:val="auto"/>
        </w:rPr>
        <w:t>该项指标得分=4-绩效目标与计划期内的任务量、预算安排不相匹配的部门预算阶段项目（含一次性项目）数量0个÷部门预算阶段项目（含一次性项目）总数23个×100%×4=4分。</w:t>
      </w:r>
      <w:r>
        <w:rPr>
          <w:rFonts w:ascii="Times New Roman" w:eastAsia="仿宋_GB2312" w:hAnsi="Times New Roman"/>
          <w:b/>
          <w:bCs/>
          <w:sz w:val="32"/>
          <w:highlight w:val="auto"/>
        </w:rPr>
        <w:t>二是</w:t>
      </w:r>
      <w:r>
        <w:rPr>
          <w:rFonts w:ascii="Times New Roman" w:eastAsia="仿宋_GB2312" w:hAnsi="Times New Roman"/>
          <w:b/>
          <w:bCs/>
          <w:sz w:val="32"/>
          <w:lang w:val="zh-CN"/>
          <w:highlight w:val="auto"/>
        </w:rPr>
        <w:t>目标设置</w:t>
      </w:r>
      <w:r>
        <w:rPr>
          <w:rFonts w:ascii="Times New Roman" w:eastAsia="仿宋_GB2312" w:hAnsi="Times New Roman"/>
          <w:b/>
          <w:bCs/>
          <w:sz w:val="32"/>
          <w:highlight w:val="auto"/>
        </w:rPr>
        <w:t>（得4分）。</w:t>
      </w:r>
      <w:r>
        <w:rPr>
          <w:rFonts w:ascii="Times New Roman" w:eastAsia="仿宋_GB2312" w:hAnsi="Times New Roman"/>
          <w:sz w:val="32"/>
          <w:highlight w:val="auto"/>
        </w:rPr>
        <w:t>该项指标得分=4-规定时间未入财政库部门预算阶段项目（含一次性项目）数量0个÷最终安排部门预算阶段项目（含一次性项目）总数23个×100%×4=4分。</w:t>
      </w:r>
      <w:r>
        <w:rPr>
          <w:rFonts w:ascii="Times New Roman" w:eastAsia="仿宋_GB2312" w:hAnsi="Times New Roman"/>
          <w:b/>
          <w:bCs/>
          <w:sz w:val="32"/>
          <w:highlight w:val="auto"/>
        </w:rPr>
        <w:t>三是</w:t>
      </w:r>
      <w:r>
        <w:rPr>
          <w:rFonts w:ascii="Times New Roman" w:eastAsia="仿宋_GB2312" w:hAnsi="Times New Roman"/>
          <w:b/>
          <w:bCs/>
          <w:sz w:val="32"/>
          <w:lang w:val="zh-CN"/>
          <w:highlight w:val="auto"/>
        </w:rPr>
        <w:t>项目入库</w:t>
      </w:r>
      <w:r>
        <w:rPr>
          <w:rFonts w:ascii="Times New Roman" w:eastAsia="仿宋_GB2312" w:hAnsi="Times New Roman"/>
          <w:b/>
          <w:bCs/>
          <w:sz w:val="32"/>
          <w:highlight w:val="auto"/>
        </w:rPr>
        <w:t>（得4分）。</w:t>
      </w:r>
      <w:r>
        <w:rPr>
          <w:rFonts w:ascii="Times New Roman" w:eastAsia="仿宋_GB2312" w:hAnsi="Times New Roman"/>
          <w:sz w:val="32"/>
          <w:highlight w:val="auto"/>
        </w:rPr>
        <w:t>该项指标得分=4-规定时间未入财政库部门预算阶段项目（含一次性项目）数量0个÷最终安排部门预算阶段项目（含一次性项目）总数23×100%×4=4分。</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contextualSpacing/>
        <w:rPr>
          <w:rFonts w:ascii="Times New Roman" w:eastAsia="仿宋_GB2312" w:hAnsi="Times New Roman"/>
          <w:b/>
          <w:bCs/>
          <w:sz w:val="32"/>
          <w:highlight w:val="auto"/>
        </w:rPr>
      </w:pPr>
      <w:r>
        <w:rPr>
          <w:rFonts w:ascii="Times New Roman" w:eastAsia="仿宋_GB2312" w:hAnsi="Times New Roman"/>
          <w:sz w:val="32"/>
          <w:highlight w:val="auto"/>
        </w:rPr>
        <w:t>2.项目执行</w:t>
      </w:r>
      <w:r>
        <w:rPr>
          <w:rFonts w:ascii="Times New Roman" w:eastAsia="仿宋_GB2312" w:hAnsi="Times New Roman"/>
          <w:sz w:val="32"/>
          <w:lang w:val="zh-CN"/>
          <w:highlight w:val="auto"/>
        </w:rPr>
        <w:t>。围绕资金执行同向、项目调整、执行结果进行绩效分析</w:t>
      </w:r>
      <w:r>
        <w:rPr>
          <w:rFonts w:ascii="Times New Roman" w:eastAsia="仿宋_GB2312" w:hAnsi="Times New Roman"/>
          <w:sz w:val="32"/>
          <w:highlight w:val="auto"/>
        </w:rPr>
        <w:t>，共计得分10分，其中：</w:t>
      </w:r>
      <w:r>
        <w:rPr>
          <w:rFonts w:ascii="Times New Roman" w:eastAsia="仿宋_GB2312" w:hAnsi="Times New Roman"/>
          <w:b/>
          <w:bCs/>
          <w:sz w:val="32"/>
          <w:highlight w:val="auto"/>
        </w:rPr>
        <w:t>一是</w:t>
      </w:r>
      <w:r>
        <w:rPr>
          <w:rFonts w:ascii="Times New Roman" w:eastAsia="仿宋_GB2312" w:hAnsi="Times New Roman"/>
          <w:b/>
          <w:bCs/>
          <w:sz w:val="32"/>
          <w:lang w:val="zh-CN"/>
          <w:highlight w:val="auto"/>
        </w:rPr>
        <w:t>执行同向</w:t>
      </w:r>
      <w:r>
        <w:rPr>
          <w:rFonts w:ascii="Times New Roman" w:eastAsia="仿宋_GB2312" w:hAnsi="Times New Roman"/>
          <w:b/>
          <w:bCs/>
          <w:sz w:val="32"/>
          <w:highlight w:val="auto"/>
        </w:rPr>
        <w:t>（得4分）。</w:t>
      </w:r>
      <w:r>
        <w:rPr>
          <w:rFonts w:ascii="Times New Roman" w:eastAsia="仿宋_GB2312" w:hAnsi="Times New Roman"/>
          <w:sz w:val="32"/>
          <w:highlight w:val="auto"/>
        </w:rPr>
        <w:t>该项指标得分=4-实际列支内容与绩效目标设置方向不相符的部门预算阶段项目（含一次性项目）数量0个÷部门预算阶段项目（含一次性项目）总数23个×100%×4=4分。二是</w:t>
      </w:r>
      <w:r>
        <w:rPr>
          <w:rFonts w:ascii="Times New Roman" w:eastAsia="仿宋_GB2312" w:hAnsi="Times New Roman"/>
          <w:sz w:val="32"/>
          <w:lang w:val="zh-CN"/>
          <w:highlight w:val="auto"/>
        </w:rPr>
        <w:t>项目调整</w:t>
      </w:r>
      <w:r>
        <w:rPr>
          <w:rFonts w:ascii="Times New Roman" w:eastAsia="仿宋_GB2312" w:hAnsi="Times New Roman"/>
          <w:b/>
          <w:bCs/>
          <w:sz w:val="32"/>
          <w:highlight w:val="auto"/>
        </w:rPr>
        <w:t>（得4分）</w:t>
      </w:r>
      <w:r>
        <w:rPr>
          <w:rFonts w:ascii="Times New Roman" w:eastAsia="仿宋_GB2312" w:hAnsi="Times New Roman"/>
          <w:sz w:val="32"/>
          <w:highlight w:val="auto"/>
        </w:rPr>
        <w:t>。该项指标得分=4-应采取未采取收回预算、调整目标等处置措施的部门预算阶段项目（含一次性项目）数量0个÷应采取收回预算、调整目标等处置措施的部门预算阶段项目（含一次性项目）总数23个×100%×4=4分。三是</w:t>
      </w:r>
      <w:r>
        <w:rPr>
          <w:rFonts w:ascii="Times New Roman" w:eastAsia="仿宋_GB2312" w:hAnsi="Times New Roman"/>
          <w:sz w:val="32"/>
          <w:lang w:val="zh-CN"/>
          <w:highlight w:val="auto"/>
        </w:rPr>
        <w:t>执行结果</w:t>
      </w:r>
      <w:r>
        <w:rPr>
          <w:rFonts w:ascii="Times New Roman" w:eastAsia="仿宋_GB2312" w:hAnsi="Times New Roman"/>
          <w:b/>
          <w:bCs/>
          <w:sz w:val="32"/>
          <w:highlight w:val="auto"/>
        </w:rPr>
        <w:t>（得2分）</w:t>
      </w:r>
      <w:r>
        <w:rPr>
          <w:rFonts w:ascii="Times New Roman" w:eastAsia="仿宋_GB2312" w:hAnsi="Times New Roman"/>
          <w:sz w:val="32"/>
          <w:highlight w:val="auto"/>
        </w:rPr>
        <w:t>。预算结余率小于10%的常年项目数量÷部门预算常年项目总数×100%×2+预算结余率小于10%的一次性项目和阶段项目数量23个÷部门预算一次性项目和阶段项目总数23个×100%×2=2分。该项指标得2分。</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contextualSpacing/>
        <w:rPr>
          <w:rFonts w:ascii="Times New Roman" w:eastAsia="仿宋_GB2312" w:hAnsi="Times New Roman"/>
          <w:sz w:val="32"/>
          <w:highlight w:val="auto"/>
        </w:rPr>
      </w:pPr>
      <w:r>
        <w:rPr>
          <w:rFonts w:ascii="Times New Roman" w:eastAsia="仿宋_GB2312" w:hAnsi="Times New Roman"/>
          <w:sz w:val="32"/>
          <w:highlight w:val="auto"/>
        </w:rPr>
        <w:t>3.</w:t>
      </w:r>
      <w:r>
        <w:rPr>
          <w:rFonts w:ascii="Times New Roman" w:eastAsia="仿宋_GB2312" w:hAnsi="Times New Roman"/>
          <w:sz w:val="32"/>
          <w:lang w:val="zh-CN"/>
          <w:highlight w:val="auto"/>
        </w:rPr>
        <w:t>目标实现。围绕目标完成、目标偏离、实现效果进行绩效分析。</w:t>
      </w:r>
      <w:r>
        <w:rPr>
          <w:rFonts w:ascii="Times New Roman" w:eastAsia="仿宋_GB2312" w:hAnsi="Times New Roman"/>
          <w:sz w:val="32"/>
          <w:highlight w:val="auto"/>
        </w:rPr>
        <w:t>共计得分11分，其中：</w:t>
      </w:r>
      <w:r>
        <w:rPr>
          <w:rFonts w:ascii="Times New Roman" w:eastAsia="仿宋_GB2312" w:hAnsi="Times New Roman"/>
          <w:b/>
          <w:bCs/>
          <w:sz w:val="32"/>
          <w:highlight w:val="auto"/>
        </w:rPr>
        <w:t>一是</w:t>
      </w:r>
      <w:r>
        <w:rPr>
          <w:rFonts w:ascii="Times New Roman" w:eastAsia="仿宋_GB2312" w:hAnsi="Times New Roman"/>
          <w:b/>
          <w:bCs/>
          <w:sz w:val="32"/>
          <w:lang w:val="zh-CN"/>
          <w:highlight w:val="auto"/>
        </w:rPr>
        <w:t>目标完成</w:t>
      </w:r>
      <w:r>
        <w:rPr>
          <w:rFonts w:ascii="Times New Roman" w:eastAsia="仿宋_GB2312" w:hAnsi="Times New Roman"/>
          <w:b/>
          <w:bCs/>
          <w:sz w:val="32"/>
          <w:highlight w:val="auto"/>
        </w:rPr>
        <w:t>（得4分）。</w:t>
      </w:r>
      <w:r>
        <w:rPr>
          <w:rFonts w:ascii="Times New Roman" w:eastAsia="仿宋_GB2312" w:hAnsi="Times New Roman"/>
          <w:sz w:val="32"/>
          <w:highlight w:val="auto"/>
        </w:rPr>
        <w:t>该项指标得分=完成绩效目标数量指标的部门预算阶段项目（含一次性项目）数量23个÷部门预算阶段项目（含一次性项目）总数23个×100%×4=4分。</w:t>
      </w:r>
      <w:r>
        <w:rPr>
          <w:rFonts w:ascii="Times New Roman" w:eastAsia="仿宋_GB2312" w:hAnsi="Times New Roman"/>
          <w:b/>
          <w:bCs/>
          <w:sz w:val="32"/>
          <w:highlight w:val="auto"/>
        </w:rPr>
        <w:t>二是</w:t>
      </w:r>
      <w:r>
        <w:rPr>
          <w:rFonts w:ascii="Times New Roman" w:eastAsia="仿宋_GB2312" w:hAnsi="Times New Roman"/>
          <w:b/>
          <w:bCs/>
          <w:sz w:val="32"/>
          <w:lang w:val="zh-CN"/>
          <w:highlight w:val="auto"/>
        </w:rPr>
        <w:t>目标偏离</w:t>
      </w:r>
      <w:r>
        <w:rPr>
          <w:rFonts w:ascii="Times New Roman" w:eastAsia="仿宋_GB2312" w:hAnsi="Times New Roman"/>
          <w:b/>
          <w:bCs/>
          <w:sz w:val="32"/>
          <w:highlight w:val="auto"/>
        </w:rPr>
        <w:t>（得4分）。</w:t>
      </w:r>
      <w:r>
        <w:rPr>
          <w:rFonts w:ascii="Times New Roman" w:eastAsia="仿宋_GB2312" w:hAnsi="Times New Roman"/>
          <w:sz w:val="32"/>
          <w:highlight w:val="auto"/>
        </w:rPr>
        <w:t>该项指标得分=已完成预期指标值的数量指标中偏离度在30%内的指标个数23个÷已完成预期指标值的数量指标个数23个×100%×4=4分。</w:t>
      </w:r>
      <w:r>
        <w:rPr>
          <w:rFonts w:ascii="Times New Roman" w:eastAsia="仿宋_GB2312" w:hAnsi="Times New Roman"/>
          <w:b/>
          <w:bCs/>
          <w:sz w:val="32"/>
          <w:highlight w:val="auto"/>
        </w:rPr>
        <w:t>三是</w:t>
      </w:r>
      <w:r>
        <w:rPr>
          <w:rFonts w:ascii="Times New Roman" w:eastAsia="仿宋_GB2312" w:hAnsi="Times New Roman"/>
          <w:b/>
          <w:bCs/>
          <w:sz w:val="32"/>
          <w:lang w:val="zh-CN"/>
          <w:highlight w:val="auto"/>
        </w:rPr>
        <w:t>实现效果</w:t>
      </w:r>
      <w:r>
        <w:rPr>
          <w:rFonts w:ascii="Times New Roman" w:eastAsia="仿宋_GB2312" w:hAnsi="Times New Roman"/>
          <w:b/>
          <w:bCs/>
          <w:sz w:val="32"/>
          <w:highlight w:val="auto"/>
        </w:rPr>
        <w:t>（得3分）。</w:t>
      </w:r>
      <w:r>
        <w:rPr>
          <w:rFonts w:ascii="Times New Roman" w:eastAsia="仿宋_GB2312" w:hAnsi="Times New Roman"/>
          <w:sz w:val="32"/>
          <w:highlight w:val="auto"/>
        </w:rPr>
        <w:t>该项指标得分=完成绩效目标效益指标的部门预算阶段项目（含一次性项目）数量23个÷部门预算阶段项目（含一次性项目）总数23个×100%×3=3分。</w:t>
      </w:r>
    </w:p>
    <w:p>
      <w:pPr>
        <w:pStyle w:val="17"/>
        <w:keepNext w:val="0"/>
        <w:keepLines w:val="0"/>
        <w:pageBreakBefore w:val="0"/>
        <w:widowControl w:val="0"/>
        <w:kinsoku/>
        <w:wordWrap/>
        <w:overflowPunct/>
        <w:topLinePunct w:val="0"/>
        <w:autoSpaceDE/>
        <w:autoSpaceDN/>
        <w:bidi w:val="0"/>
        <w:adjustRightInd/>
        <w:snapToGrid/>
        <w:spacing w:after="0" w:line="560" w:lineRule="exact"/>
        <w:ind w:leftChars="0" w:left="0" w:firstLineChars="200" w:firstLine="640"/>
        <w:rPr>
          <w:rFonts w:ascii="Times New Roman" w:eastAsia="仿宋_GB2312" w:hAnsi="Times New Roman"/>
          <w:sz w:val="32"/>
        </w:rPr>
      </w:pPr>
      <w:r>
        <w:rPr>
          <w:rFonts w:ascii="Times New Roman" w:eastAsia="仿宋_GB2312" w:hAnsi="Times New Roman"/>
          <w:sz w:val="32"/>
          <w:lang w:val="en-US" w:eastAsia="zh-CN"/>
          <w:highlight w:val="auto"/>
        </w:rPr>
        <w:t>202</w:t>
      </w:r>
      <w:r>
        <w:rPr>
          <w:rFonts w:ascii="Times New Roman" w:eastAsia="仿宋_GB2312" w:hAnsi="Times New Roman"/>
          <w:sz w:val="32"/>
          <w:lang w:eastAsia="zh-CN"/>
          <w:highlight w:val="auto"/>
        </w:rPr>
        <w:t>5</w:t>
      </w:r>
      <w:r>
        <w:rPr>
          <w:rFonts w:ascii="Times New Roman" w:eastAsia="仿宋_GB2312" w:hAnsi="Times New Roman"/>
          <w:sz w:val="32"/>
          <w:lang w:val="en-US" w:eastAsia="zh-CN"/>
          <w:highlight w:val="auto"/>
        </w:rPr>
        <w:t>年度</w:t>
      </w:r>
      <w:r>
        <w:rPr>
          <w:rFonts w:ascii="Times New Roman" w:eastAsia="仿宋_GB2312" w:hAnsi="Times New Roman"/>
          <w:sz w:val="32"/>
          <w:lang w:eastAsia="zh-CN"/>
          <w:highlight w:val="auto"/>
        </w:rPr>
        <w:t>我局实施项目总共23个，</w:t>
      </w:r>
      <w:r>
        <w:rPr>
          <w:rFonts w:ascii="Times New Roman" w:eastAsia="仿宋_GB2312" w:hAnsi="Times New Roman"/>
          <w:sz w:val="32"/>
          <w:lang w:val="en-US" w:eastAsia="zh-CN"/>
          <w:highlight w:val="auto"/>
        </w:rPr>
        <w:t>一般公共预算</w:t>
      </w:r>
      <w:r>
        <w:rPr>
          <w:rFonts w:ascii="Times New Roman" w:eastAsia="仿宋_GB2312" w:hAnsi="Times New Roman"/>
          <w:sz w:val="32"/>
          <w:lang w:eastAsia="zh-CN"/>
          <w:highlight w:val="auto"/>
        </w:rPr>
        <w:t>项目18个</w:t>
      </w:r>
      <w:r>
        <w:rPr>
          <w:rFonts w:ascii="Times New Roman" w:eastAsia="仿宋_GB2312" w:hAnsi="Times New Roman"/>
          <w:sz w:val="32"/>
          <w:lang w:val="en-US" w:eastAsia="zh-CN"/>
          <w:highlight w:val="auto"/>
        </w:rPr>
        <w:t>、政府性基金预算</w:t>
      </w:r>
      <w:r>
        <w:rPr>
          <w:rFonts w:ascii="Times New Roman" w:eastAsia="仿宋_GB2312" w:hAnsi="Times New Roman"/>
          <w:sz w:val="32"/>
          <w:lang w:eastAsia="zh-CN"/>
          <w:highlight w:val="auto"/>
        </w:rPr>
        <w:t>项目5个</w:t>
      </w:r>
      <w:r>
        <w:rPr>
          <w:rFonts w:ascii="Times New Roman" w:eastAsia="仿宋_GB2312" w:hAnsi="Times New Roman"/>
          <w:sz w:val="32"/>
          <w:lang w:val="en-US" w:eastAsia="zh-CN"/>
          <w:highlight w:val="auto"/>
        </w:rPr>
        <w:t>、</w:t>
      </w:r>
      <w:r>
        <w:rPr>
          <w:rFonts w:ascii="Times New Roman" w:eastAsia="仿宋_GB2312" w:hAnsi="Times New Roman"/>
          <w:sz w:val="32"/>
          <w:lang w:eastAsia="zh-CN"/>
          <w:highlight w:val="auto"/>
        </w:rPr>
        <w:t>无</w:t>
      </w:r>
      <w:r>
        <w:rPr>
          <w:rFonts w:ascii="Times New Roman" w:eastAsia="仿宋_GB2312" w:hAnsi="Times New Roman"/>
          <w:sz w:val="32"/>
          <w:lang w:val="en-US" w:eastAsia="zh-CN"/>
          <w:highlight w:val="auto"/>
        </w:rPr>
        <w:t>国有资本经营预算安排项目</w:t>
      </w:r>
      <w:r>
        <w:rPr>
          <w:rFonts w:ascii="Times New Roman" w:eastAsia="仿宋_GB2312" w:hAnsi="Times New Roman"/>
          <w:sz w:val="32"/>
          <w:lang w:eastAsia="zh-CN"/>
          <w:highlight w:val="auto"/>
        </w:rPr>
        <w:t>，23个项目均为</w:t>
      </w:r>
      <w:r>
        <w:rPr>
          <w:rFonts w:ascii="Times New Roman" w:eastAsia="仿宋_GB2312" w:hAnsi="Times New Roman"/>
          <w:sz w:val="32"/>
          <w:lang w:val="en-US" w:eastAsia="zh-CN"/>
          <w:highlight w:val="auto"/>
        </w:rPr>
        <w:t>阶段项目</w:t>
      </w:r>
      <w:r>
        <w:rPr>
          <w:rFonts w:ascii="Times New Roman" w:eastAsia="仿宋_GB2312" w:hAnsi="Times New Roman"/>
          <w:sz w:val="32"/>
          <w:lang w:eastAsia="zh-CN"/>
          <w:highlight w:val="auto"/>
        </w:rPr>
        <w:t>（含一次性项目），项目年初设定的实施</w:t>
      </w:r>
      <w:r>
        <w:rPr>
          <w:rFonts w:ascii="Times New Roman" w:eastAsia="仿宋_GB2312" w:hAnsi="Times New Roman"/>
          <w:sz w:val="32"/>
          <w:lang w:val="en-US" w:eastAsia="zh-CN"/>
          <w:highlight w:val="auto"/>
        </w:rPr>
        <w:t>目标</w:t>
      </w:r>
      <w:r>
        <w:rPr>
          <w:rFonts w:ascii="Times New Roman" w:eastAsia="仿宋_GB2312" w:hAnsi="Times New Roman"/>
          <w:sz w:val="32"/>
          <w:lang w:eastAsia="zh-CN"/>
          <w:highlight w:val="auto"/>
        </w:rPr>
        <w:t>计划均已</w:t>
      </w:r>
      <w:r>
        <w:rPr>
          <w:rFonts w:ascii="Times New Roman" w:eastAsia="仿宋_GB2312" w:hAnsi="Times New Roman"/>
          <w:sz w:val="32"/>
          <w:lang w:val="en-US" w:eastAsia="zh-CN"/>
          <w:highlight w:val="auto"/>
        </w:rPr>
        <w:t>完成</w:t>
      </w:r>
      <w:r>
        <w:rPr>
          <w:rFonts w:ascii="Times New Roman" w:eastAsia="仿宋_GB2312" w:hAnsi="Times New Roman" w:hint="eastAsia"/>
          <w:sz w:val="32"/>
          <w:lang w:val="en-US" w:eastAsia="zh-CN"/>
          <w:highlight w:val="auto"/>
        </w:rPr>
        <w:t>，</w:t>
      </w:r>
      <w:r>
        <w:rPr>
          <w:rFonts w:ascii="Times New Roman" w:eastAsia="仿宋_GB2312" w:hAnsi="Times New Roman"/>
          <w:sz w:val="32"/>
          <w:lang w:eastAsia="zh-CN"/>
          <w:highlight w:val="auto"/>
        </w:rPr>
        <w:t>无</w:t>
      </w:r>
      <w:r>
        <w:rPr>
          <w:rFonts w:ascii="Times New Roman" w:eastAsia="仿宋_GB2312" w:hAnsi="Times New Roman"/>
          <w:sz w:val="32"/>
          <w:lang w:val="en-US" w:eastAsia="zh-CN"/>
          <w:highlight w:val="auto"/>
        </w:rPr>
        <w:t>债券资金</w:t>
      </w:r>
      <w:r>
        <w:rPr>
          <w:rFonts w:ascii="Times New Roman" w:eastAsia="仿宋_GB2312" w:hAnsi="Times New Roman"/>
          <w:sz w:val="32"/>
          <w:lang w:eastAsia="zh-CN"/>
          <w:highlight w:val="auto"/>
        </w:rPr>
        <w:t>，2025年度我局政府采购预算执行金额为164.53万元</w:t>
      </w:r>
      <w:r>
        <w:rPr>
          <w:rFonts w:ascii="Times New Roman" w:eastAsia="仿宋_GB2312" w:hAnsi="Times New Roman"/>
          <w:sz w:val="32"/>
          <w:lang w:val="en-US" w:eastAsia="zh-CN"/>
          <w:highlight w:val="auto"/>
        </w:rPr>
        <w:t>。</w:t>
      </w:r>
    </w:p>
    <w:p>
      <w:pPr>
        <w:pStyle w:val="17"/>
        <w:keepNext w:val="0"/>
        <w:keepLines w:val="0"/>
        <w:pageBreakBefore w:val="0"/>
        <w:widowControl w:val="0"/>
        <w:kinsoku/>
        <w:wordWrap/>
        <w:overflowPunct/>
        <w:topLinePunct w:val="0"/>
        <w:autoSpaceDE/>
        <w:autoSpaceDN/>
        <w:bidi w:val="0"/>
        <w:adjustRightInd/>
        <w:snapToGrid/>
        <w:spacing w:after="0" w:line="560" w:lineRule="exact"/>
        <w:ind w:leftChars="0" w:left="0" w:firstLineChars="200" w:firstLine="640"/>
        <w:rPr>
          <w:rFonts w:ascii="Times New Roman" w:eastAsia="仿宋_GB2312" w:hAnsi="Times New Roman"/>
          <w:sz w:val="32"/>
          <w:lang w:eastAsia="zh-CN"/>
          <w:highlight w:val="auto"/>
        </w:rPr>
      </w:pPr>
      <w:r>
        <w:rPr>
          <w:rFonts w:ascii="Times New Roman" w:eastAsia="仿宋_GB2312" w:hAnsi="Times New Roman"/>
          <w:b/>
          <w:bCs/>
          <w:sz w:val="32"/>
          <w:lang w:val="zh-CN"/>
          <w:highlight w:val="auto"/>
        </w:rPr>
        <w:t>绩效结果应用情况。</w:t>
      </w:r>
      <w:r>
        <w:rPr>
          <w:rFonts w:ascii="Times New Roman" w:eastAsia="仿宋_GB2312" w:hAnsi="Times New Roman"/>
          <w:sz w:val="32"/>
          <w:lang w:val="zh-CN" w:eastAsia="zh-CN"/>
          <w:highlight w:val="auto"/>
        </w:rPr>
        <w:t>围绕内部应用情况、信息公开情况、整改反馈情况进行分析</w:t>
      </w:r>
      <w:r>
        <w:rPr>
          <w:rFonts w:ascii="Times New Roman" w:eastAsia="仿宋_GB2312" w:hAnsi="Times New Roman"/>
          <w:sz w:val="32"/>
          <w:lang w:eastAsia="zh-CN"/>
          <w:highlight w:val="auto"/>
        </w:rPr>
        <w:t>。</w:t>
      </w:r>
      <w:r>
        <w:rPr>
          <w:rFonts w:ascii="Times New Roman" w:eastAsia="仿宋_GB2312" w:hAnsi="Times New Roman"/>
          <w:b/>
          <w:bCs/>
          <w:sz w:val="32"/>
          <w:lang w:eastAsia="zh-CN"/>
          <w:highlight w:val="auto"/>
        </w:rPr>
        <w:t>一是</w:t>
      </w:r>
      <w:r>
        <w:rPr>
          <w:rFonts w:ascii="Times New Roman" w:eastAsia="仿宋_GB2312" w:hAnsi="Times New Roman" w:hint="eastAsia"/>
          <w:b/>
          <w:bCs/>
          <w:sz w:val="32"/>
          <w:lang w:eastAsia="zh-CN"/>
          <w:highlight w:val="auto"/>
        </w:rPr>
        <w:t>预算管理内部应用情况</w:t>
      </w:r>
      <w:r>
        <w:rPr>
          <w:rFonts w:ascii="Times New Roman" w:eastAsia="仿宋_GB2312" w:hAnsi="Times New Roman"/>
          <w:b/>
          <w:bCs/>
          <w:sz w:val="32"/>
          <w:lang w:eastAsia="zh-CN"/>
          <w:highlight w:val="auto"/>
        </w:rPr>
        <w:t>。</w:t>
      </w:r>
      <w:r>
        <w:rPr>
          <w:rFonts w:ascii="Times New Roman" w:eastAsia="仿宋_GB2312" w:hAnsi="Times New Roman" w:hint="eastAsia"/>
          <w:sz w:val="32"/>
          <w:lang w:eastAsia="zh-CN"/>
          <w:highlight w:val="auto"/>
        </w:rPr>
        <w:t>我局严格遵循《阿坝州民政局财务管理制度》相关规定，全面规范预算管理全流程业务操作，强化预算内部管控与应用实效。一方面，明确预算编制、预算分解、预算执行与分析、预算调整、决算管理、预算绩效管理等核心业务环节的管理要求，细化各环节操作规范与责任边界，加强预算业务全流程风险管控，充分发挥预算对单位各项经济活动的约束与控制作用。另一方面，结合各科室职责与分工，对财政批复的预算进行精准指标分解，规范内部预算执行程序，严格按照批复预算安排各项收支，保障预算严格有效执行，推动预算管理在提升单位整体业务管理水平、规范经济运行过程中发挥核心支撑作用。同时，建立项目绩效与预算资金安排挂钩机制，以绩效导向倒逼预算执行质效提升，进一步夯实预算内部管理的刚性约束。</w:t>
      </w:r>
      <w:r>
        <w:rPr>
          <w:rFonts w:ascii="Times New Roman" w:eastAsia="仿宋_GB2312" w:hAnsi="Times New Roman" w:hint="eastAsia"/>
          <w:b/>
          <w:bCs/>
          <w:sz w:val="32"/>
          <w:lang w:eastAsia="zh-CN"/>
          <w:highlight w:val="auto"/>
        </w:rPr>
        <w:t>二</w:t>
      </w:r>
      <w:r>
        <w:rPr>
          <w:rFonts w:ascii="Times New Roman" w:eastAsia="仿宋_GB2312" w:hAnsi="Times New Roman"/>
          <w:b/>
          <w:bCs/>
          <w:sz w:val="32"/>
          <w:lang w:eastAsia="zh-CN"/>
          <w:highlight w:val="auto"/>
        </w:rPr>
        <w:t>是</w:t>
      </w:r>
      <w:r>
        <w:rPr>
          <w:rFonts w:ascii="Times New Roman" w:eastAsia="仿宋_GB2312" w:hAnsi="Times New Roman" w:hint="eastAsia"/>
          <w:b/>
          <w:bCs/>
          <w:sz w:val="32"/>
          <w:lang w:eastAsia="zh-CN"/>
          <w:highlight w:val="auto"/>
        </w:rPr>
        <w:t>预决算信息公开情况</w:t>
      </w:r>
      <w:r>
        <w:rPr>
          <w:rFonts w:ascii="Times New Roman" w:eastAsia="仿宋_GB2312" w:hAnsi="Times New Roman"/>
          <w:b/>
          <w:bCs/>
          <w:sz w:val="32"/>
          <w:lang w:eastAsia="zh-CN"/>
          <w:highlight w:val="auto"/>
        </w:rPr>
        <w:t>。</w:t>
      </w:r>
      <w:r>
        <w:rPr>
          <w:rFonts w:ascii="Times New Roman" w:eastAsia="仿宋_GB2312" w:hAnsi="Times New Roman" w:hint="eastAsia"/>
          <w:sz w:val="32"/>
          <w:lang w:eastAsia="zh-CN"/>
          <w:highlight w:val="auto"/>
        </w:rPr>
        <w:t>我局严格依照《阿坝州民政局财务管理制度》中预决算信息公开管理相关要求，将预决算信息公开纳入预算业务全流程管理范畴，明确信息公开的业务环节要求，规范公开流程与内容标准，确保预决算信息公开工作依规有序开展，保障信息公开的规范性、及时性与透明度，主动接受内部监督与外部核查，切实提升财政资金使用的公开化水平。</w:t>
      </w:r>
      <w:r>
        <w:rPr>
          <w:rFonts w:ascii="Times New Roman" w:eastAsia="仿宋_GB2312" w:hAnsi="Times New Roman"/>
          <w:b/>
          <w:bCs/>
          <w:sz w:val="32"/>
          <w:lang w:eastAsia="zh-CN"/>
          <w:highlight w:val="auto"/>
        </w:rPr>
        <w:t>三是</w:t>
      </w:r>
      <w:r>
        <w:rPr>
          <w:rFonts w:ascii="Times New Roman" w:eastAsia="仿宋_GB2312" w:hAnsi="Times New Roman" w:hint="eastAsia"/>
          <w:b/>
          <w:bCs/>
          <w:sz w:val="32"/>
          <w:lang w:eastAsia="zh-CN"/>
          <w:highlight w:val="auto"/>
        </w:rPr>
        <w:t>整改反馈及责任追究情况</w:t>
      </w:r>
      <w:r>
        <w:rPr>
          <w:rFonts w:ascii="Times New Roman" w:eastAsia="仿宋_GB2312" w:hAnsi="Times New Roman"/>
          <w:b/>
          <w:bCs/>
          <w:sz w:val="32"/>
          <w:lang w:eastAsia="zh-CN"/>
          <w:highlight w:val="auto"/>
        </w:rPr>
        <w:t>。</w:t>
      </w:r>
      <w:r>
        <w:rPr>
          <w:rFonts w:ascii="Times New Roman" w:eastAsia="仿宋_GB2312" w:hAnsi="Times New Roman" w:hint="eastAsia"/>
          <w:sz w:val="32"/>
          <w:lang w:eastAsia="zh-CN"/>
          <w:highlight w:val="auto"/>
        </w:rPr>
        <w:t>为强化预算管理刚性约束，我局建立健全预算执行整改反馈与责任追究机制，针对预算管理中出现的问题实行闭环管控。在项目推进与预算执行过程中，对项目实施未达预期效果、预算执行进度不符合要求的情况，及时进行内部通报，同步将相关情况纳入年度评优考核参考依据，督促相关科室及时整改优化。对于因违规操作、管理不善等造成财政资金损失的情形，严格按照相关规定启动责任追究程序，以严肃的追责问责机制保障预算管理制度落地见效，防范财政资金使用风险，推动预算管理工作持续规范提升。</w:t>
      </w:r>
    </w:p>
    <w:p>
      <w:pPr>
        <w:pStyle w:val="17"/>
        <w:keepNext w:val="0"/>
        <w:keepLines w:val="0"/>
        <w:pageBreakBefore w:val="0"/>
        <w:widowControl w:val="0"/>
        <w:kinsoku/>
        <w:wordWrap/>
        <w:overflowPunct/>
        <w:topLinePunct w:val="0"/>
        <w:autoSpaceDE/>
        <w:autoSpaceDN/>
        <w:adjustRightInd w:val="0"/>
        <w:snapToGrid w:val="0"/>
        <w:spacing w:after="0" w:line="560" w:lineRule="exact"/>
        <w:ind w:leftChars="0" w:left="0" w:firstLineChars="200" w:firstLine="640"/>
        <w:contextualSpacing/>
        <w:rPr>
          <w:rFonts w:ascii="Times New Roman" w:eastAsia="仿宋_GB2312" w:hAnsi="Times New Roman"/>
          <w:sz w:val="32"/>
          <w:highlight w:val="auto"/>
        </w:rPr>
      </w:pPr>
      <w:r>
        <w:rPr>
          <w:rFonts w:ascii="Times New Roman" w:eastAsia="仿宋_GB2312" w:hAnsi="Times New Roman"/>
          <w:sz w:val="32"/>
          <w:highlight w:val="auto"/>
        </w:rPr>
        <w:t>四、评价结论及建议</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leftChars="0" w:left="0" w:firstLineChars="200" w:firstLine="640"/>
        <w:contextualSpacing/>
        <w:rPr>
          <w:rFonts w:ascii="Times New Roman" w:eastAsia="仿宋_GB2312" w:hAnsi="Times New Roman"/>
          <w:sz w:val="32"/>
          <w:highlight w:val="auto"/>
        </w:rPr>
      </w:pPr>
      <w:r>
        <w:rPr>
          <w:rFonts w:ascii="Times New Roman" w:eastAsia="仿宋_GB2312" w:hAnsi="Times New Roman"/>
          <w:b/>
          <w:bCs/>
          <w:sz w:val="32"/>
          <w:lang w:val="zh-CN"/>
          <w:highlight w:val="auto"/>
        </w:rPr>
        <w:t>（一）评价结论。</w:t>
      </w:r>
      <w:r>
        <w:rPr>
          <w:rFonts w:ascii="Times New Roman" w:eastAsia="仿宋_GB2312" w:hAnsi="Times New Roman"/>
          <w:sz w:val="32"/>
          <w:highlight w:val="auto"/>
        </w:rPr>
        <w:t>我局履职效果和预算管理效果较好，财务管理、资产管理、 采购管理规范，项目决策程序严格，项目执行进度良好，绩效目 标实现程度良好。根据《阿坝州财政局关于开展 2025年州级部门绩效自评工作的通知》 中部门整体支出绩效评价指标体系，2024年度自评得分90.53 分。</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leftChars="0" w:left="0" w:firstLineChars="200" w:firstLine="640"/>
        <w:contextualSpacing/>
        <w:rPr>
          <w:rFonts w:ascii="Times New Roman" w:eastAsia="仿宋_GB2312" w:hAnsi="Times New Roman"/>
          <w:b/>
          <w:bCs/>
          <w:sz w:val="32"/>
          <w:highlight w:val="auto"/>
        </w:rPr>
      </w:pPr>
      <w:r>
        <w:rPr>
          <w:rFonts w:ascii="Times New Roman" w:eastAsia="仿宋_GB2312" w:hAnsi="Times New Roman"/>
          <w:b/>
          <w:bCs/>
          <w:sz w:val="32"/>
          <w:lang w:val="zh-CN"/>
          <w:highlight w:val="auto"/>
        </w:rPr>
        <w:t>（二）存在问题。</w:t>
      </w:r>
      <w:r>
        <w:rPr>
          <w:rFonts w:ascii="Times New Roman" w:eastAsia="仿宋_GB2312" w:hAnsi="Times New Roman"/>
          <w:b/>
          <w:bCs/>
          <w:sz w:val="32"/>
          <w:highlight w:val="auto"/>
        </w:rPr>
        <w:t>预算绩效挂钩机制落实不够深入。</w:t>
      </w:r>
      <w:r>
        <w:rPr>
          <w:rFonts w:ascii="Times New Roman" w:eastAsia="仿宋_GB2312" w:hAnsi="Times New Roman"/>
          <w:sz w:val="32"/>
          <w:highlight w:val="auto"/>
        </w:rPr>
        <w:t>项目绩效与预算资金安排、评优考核的关联约束作用未充分发挥，对项目实施效果的事前预判、事中跟踪不到位，绩效评价结果运用流于形式，未能真正通过绩效管控倒逼资金使用效益提升，预算对经济活动的全程控制作用未能有效彰显。</w:t>
      </w:r>
    </w:p>
    <w:p>
      <w:pPr>
        <w:pStyle w:val="17"/>
        <w:keepNext w:val="0"/>
        <w:keepLines w:val="0"/>
        <w:pageBreakBefore w:val="0"/>
        <w:widowControl w:val="0"/>
        <w:kinsoku/>
        <w:wordWrap/>
        <w:overflowPunct/>
        <w:topLinePunct w:val="0"/>
        <w:autoSpaceDE/>
        <w:autoSpaceDN/>
        <w:bidi w:val="0"/>
        <w:adjustRightInd w:val="0"/>
        <w:snapToGrid w:val="0"/>
        <w:spacing w:after="0" w:line="560" w:lineRule="exact"/>
        <w:ind w:leftChars="0" w:left="0" w:firstLineChars="200" w:firstLine="640"/>
        <w:contextualSpacing/>
        <w:rPr>
          <w:rFonts w:ascii="Times New Roman" w:eastAsia="仿宋_GB2312" w:hAnsi="Times New Roman"/>
          <w:sz w:val="32"/>
          <w:lang w:eastAsia="zh-CN"/>
          <w:highlight w:val="auto"/>
        </w:rPr>
      </w:pPr>
      <w:r>
        <w:rPr>
          <w:rFonts w:ascii="Times New Roman" w:eastAsia="仿宋_GB2312" w:hAnsi="Times New Roman"/>
          <w:b/>
          <w:bCs/>
          <w:sz w:val="32"/>
          <w:lang w:val="zh-CN" w:eastAsia="zh-CN"/>
          <w:highlight w:val="auto"/>
        </w:rPr>
        <w:t>（三）改进建议。</w:t>
      </w:r>
      <w:r>
        <w:rPr>
          <w:rFonts w:ascii="Times New Roman" w:eastAsia="仿宋_GB2312" w:hAnsi="Times New Roman"/>
          <w:b/>
          <w:bCs/>
          <w:sz w:val="32"/>
          <w:lang w:eastAsia="zh-CN"/>
          <w:highlight w:val="auto"/>
        </w:rPr>
        <w:t>持续加强预算绩效挂钩深度。</w:t>
      </w:r>
      <w:r>
        <w:rPr>
          <w:rFonts w:ascii="Times New Roman" w:eastAsia="仿宋_GB2312" w:hAnsi="Times New Roman"/>
          <w:sz w:val="32"/>
          <w:lang w:eastAsia="zh-CN"/>
          <w:highlight w:val="auto"/>
        </w:rPr>
        <w:t>强化事前绩效评估、事中动态跟踪监控，规范绩效评价结果运用，杜绝流于形式，以绩效管控倒逼资金使用效益提升，切实发挥预算对经济活动的全程约束控制作用。</w:t>
      </w:r>
    </w:p>
    <w:p>
      <w:pPr>
        <w:pStyle w:val="17"/>
        <w:keepNext w:val="0"/>
        <w:keepLines w:val="0"/>
        <w:pageBreakBefore w:val="0"/>
        <w:widowControl w:val="0"/>
        <w:kinsoku/>
        <w:wordWrap/>
        <w:overflowPunct/>
        <w:topLinePunct w:val="0"/>
        <w:autoSpaceDE/>
        <w:autoSpaceDN/>
        <w:bidi w:val="0"/>
        <w:spacing w:after="0" w:line="560" w:lineRule="exact"/>
        <w:ind w:leftChars="0" w:left="0" w:firstLineChars="200" w:firstLine="640"/>
        <w:textAlignment w:val="auto"/>
        <w:rPr>
          <w:rFonts w:ascii="Times New Roman" w:eastAsia="仿宋_GB2312" w:cs="Times New Roman" w:hAnsi="Times New Roman"/>
          <w:kern w:val="2"/>
          <w:sz w:val="32"/>
          <w:szCs w:val="32"/>
          <w:u w:val="none"/>
          <w:lang w:val="zh-CN" w:eastAsia="zh-CN"/>
        </w:rPr>
      </w:pPr>
    </w:p>
    <w:p>
      <w:pPr>
        <w:keepNext w:val="0"/>
        <w:keepLines w:val="0"/>
        <w:pageBreakBefore w:val="0"/>
        <w:widowControl w:val="0"/>
        <w:suppressLineNumbers w:val="0"/>
        <w:suppressAutoHyphens w:val="0"/>
        <w:bidi w:val="0"/>
      </w:pPr>
    </w:p>
    <w:p>
      <w:pPr>
        <w:pStyle w:val="15"/>
        <w:keepNext w:val="0"/>
        <w:keepLines w:val="0"/>
        <w:pageBreakBefore w:val="0"/>
        <w:widowControl w:val="0"/>
        <w:suppressLineNumbers w:val="0"/>
        <w:suppressAutoHyphens w:val="0"/>
        <w:bidi w:val="0"/>
      </w:pPr>
    </w:p>
    <w:p>
      <w:pPr>
        <w:pStyle w:val="17"/>
        <w:keepNext w:val="0"/>
        <w:keepLines w:val="0"/>
        <w:pageBreakBefore w:val="0"/>
        <w:widowControl w:val="0"/>
        <w:suppressLineNumbers w:val="0"/>
        <w:suppressAutoHyphens w:val="0"/>
        <w:bidi w:val="0"/>
      </w:pPr>
    </w:p>
    <w:p>
      <w:pPr>
        <w:keepNext w:val="0"/>
        <w:keepLines w:val="0"/>
        <w:pageBreakBefore w:val="0"/>
        <w:widowControl w:val="0"/>
        <w:suppressLineNumbers w:val="0"/>
        <w:suppressAutoHyphens w:val="0"/>
        <w:bidi w:val="0"/>
      </w:pPr>
    </w:p>
    <w:p>
      <w:pPr>
        <w:pStyle w:val="15"/>
        <w:keepNext w:val="0"/>
        <w:keepLines w:val="0"/>
        <w:pageBreakBefore w:val="0"/>
        <w:widowControl w:val="0"/>
        <w:suppressLineNumbers w:val="0"/>
        <w:suppressAutoHyphens w:val="0"/>
        <w:bidi w:val="0"/>
      </w:pPr>
    </w:p>
    <w:p>
      <w:pPr>
        <w:pStyle w:val="17"/>
        <w:keepNext w:val="0"/>
        <w:keepLines w:val="0"/>
        <w:pageBreakBefore w:val="0"/>
        <w:widowControl w:val="0"/>
        <w:suppressLineNumbers w:val="0"/>
        <w:suppressAutoHyphens w:val="0"/>
        <w:bidi w:val="0"/>
      </w:pPr>
    </w:p>
    <w:p>
      <w:pPr>
        <w:keepNext w:val="0"/>
        <w:keepLines w:val="0"/>
        <w:pageBreakBefore w:val="0"/>
        <w:widowControl w:val="0"/>
        <w:suppressLineNumbers w:val="0"/>
        <w:suppressAutoHyphens w:val="0"/>
        <w:bidi w:val="0"/>
      </w:pPr>
    </w:p>
    <w:p>
      <w:pPr>
        <w:pStyle w:val="15"/>
        <w:keepNext w:val="0"/>
        <w:keepLines w:val="0"/>
        <w:pageBreakBefore w:val="0"/>
        <w:widowControl w:val="0"/>
        <w:suppressLineNumbers w:val="0"/>
        <w:suppressAutoHyphens w:val="0"/>
        <w:bidi w:val="0"/>
      </w:pPr>
    </w:p>
    <w:p>
      <w:pPr>
        <w:pStyle w:val="17"/>
        <w:keepNext w:val="0"/>
        <w:keepLines w:val="0"/>
        <w:pageBreakBefore w:val="0"/>
        <w:widowControl w:val="0"/>
        <w:suppressLineNumbers w:val="0"/>
        <w:suppressAutoHyphens w:val="0"/>
        <w:bidi w:val="0"/>
      </w:pPr>
    </w:p>
    <w:p>
      <w:pPr>
        <w:keepNext w:val="0"/>
        <w:keepLines w:val="0"/>
        <w:pageBreakBefore w:val="0"/>
        <w:widowControl w:val="0"/>
        <w:suppressLineNumbers w:val="0"/>
        <w:suppressAutoHyphens w:val="0"/>
        <w:bidi w:val="0"/>
      </w:pPr>
    </w:p>
    <w:p>
      <w:pPr>
        <w:pStyle w:val="15"/>
        <w:keepNext w:val="0"/>
        <w:keepLines w:val="0"/>
        <w:pageBreakBefore w:val="0"/>
        <w:widowControl w:val="0"/>
        <w:suppressLineNumbers w:val="0"/>
        <w:suppressAutoHyphens w:val="0"/>
        <w:bidi w:val="0"/>
      </w:pPr>
    </w:p>
    <w:p>
      <w:pPr>
        <w:pStyle w:val="17"/>
        <w:keepNext w:val="0"/>
        <w:keepLines w:val="0"/>
        <w:pageBreakBefore w:val="0"/>
        <w:widowControl w:val="0"/>
        <w:suppressLineNumbers w:val="0"/>
        <w:suppressAutoHyphens w:val="0"/>
        <w:bidi w:val="0"/>
      </w:pPr>
    </w:p>
    <w:p>
      <w:pPr>
        <w:keepNext w:val="0"/>
        <w:keepLines w:val="0"/>
        <w:pageBreakBefore w:val="0"/>
        <w:widowControl w:val="0"/>
        <w:suppressLineNumbers w:val="0"/>
        <w:suppressAutoHyphens w:val="0"/>
        <w:bidi w:val="0"/>
      </w:pPr>
    </w:p>
    <w:p>
      <w:pPr>
        <w:pStyle w:val="15"/>
        <w:keepNext w:val="0"/>
        <w:keepLines w:val="0"/>
        <w:pageBreakBefore w:val="0"/>
        <w:widowControl w:val="0"/>
        <w:suppressLineNumbers w:val="0"/>
        <w:suppressAutoHyphens w:val="0"/>
        <w:bidi w:val="0"/>
      </w:pPr>
    </w:p>
    <w:p>
      <w:pPr>
        <w:pStyle w:val="17"/>
        <w:keepNext w:val="0"/>
        <w:keepLines w:val="0"/>
        <w:pageBreakBefore w:val="0"/>
        <w:widowControl w:val="0"/>
        <w:suppressLineNumbers w:val="0"/>
        <w:suppressAutoHyphens w:val="0"/>
        <w:bidi w:val="0"/>
        <w:rPr>
          <w:rFonts w:hint="eastAsia"/>
        </w:rPr>
      </w:pPr>
    </w:p>
    <w:p>
      <w:pPr>
        <w:pStyle w:val="17"/>
        <w:keepNext w:val="0"/>
        <w:keepLines w:val="0"/>
        <w:pageBreakBefore w:val="0"/>
        <w:widowControl w:val="0"/>
        <w:kinsoku/>
        <w:wordWrap/>
        <w:overflowPunct/>
        <w:topLinePunct w:val="0"/>
        <w:autoSpaceDE/>
        <w:autoSpaceDN/>
        <w:bidi w:val="0"/>
        <w:spacing w:after="0" w:line="560" w:lineRule="exact"/>
        <w:ind w:leftChars="0" w:left="0" w:firstLineChars="200" w:firstLine="640"/>
        <w:textAlignment w:val="auto"/>
        <w:rPr>
          <w:rFonts w:ascii="Times New Roman" w:eastAsia="仿宋_GB2312" w:cs="Times New Roman" w:hAnsi="Times New Roman" w:hint="eastAsia"/>
          <w:kern w:val="2"/>
          <w:sz w:val="32"/>
          <w:szCs w:val="32"/>
          <w:u w:val="none"/>
          <w:lang w:val="zh-CN" w:eastAsia="zh-CN"/>
        </w:rPr>
      </w:pPr>
      <w:r>
        <w:rPr>
          <w:rFonts w:ascii="Times New Roman" w:eastAsia="仿宋_GB2312" w:cs="Times New Roman" w:hAnsi="Times New Roman" w:hint="eastAsia"/>
          <w:kern w:val="2"/>
          <w:sz w:val="32"/>
          <w:szCs w:val="32"/>
          <w:u w:val="none"/>
          <w:lang w:val="zh-CN" w:eastAsia="zh-CN"/>
        </w:rPr>
        <w:t>附表：</w:t>
      </w:r>
      <w:r>
        <w:rPr>
          <w:rFonts w:ascii="Times New Roman" w:eastAsia="仿宋_GB2312" w:cs="Times New Roman" w:hAnsi="Times New Roman" w:hint="eastAsia"/>
          <w:kern w:val="2"/>
          <w:sz w:val="32"/>
          <w:szCs w:val="32"/>
          <w:u w:val="none"/>
          <w:lang w:val="en-US" w:eastAsia="zh-CN"/>
        </w:rPr>
        <w:t>部门预算项目支出绩效自评表（2025年度）</w:t>
      </w:r>
    </w:p>
    <w:p>
      <w:pPr>
        <w:pStyle w:val="17"/>
        <w:keepNext w:val="0"/>
        <w:keepLines w:val="0"/>
        <w:pageBreakBefore w:val="0"/>
        <w:widowControl w:val="0"/>
        <w:kinsoku/>
        <w:wordWrap/>
        <w:overflowPunct/>
        <w:topLinePunct w:val="0"/>
        <w:autoSpaceDE/>
        <w:autoSpaceDN/>
        <w:bidi w:val="0"/>
        <w:spacing w:after="0" w:line="560" w:lineRule="exact"/>
        <w:textAlignment w:val="auto"/>
        <w:rPr>
          <w:rFonts w:ascii="Times New Roman" w:cs="Times New Roman" w:hAnsi="Times New Roman" w:hint="eastAsia"/>
          <w:sz w:val="32"/>
          <w:szCs w:val="32"/>
          <w:lang w:val="zh-CN" w:eastAsia="zh-CN"/>
          <w:highlight w:val="yellow"/>
        </w:rPr>
      </w:pPr>
    </w:p>
    <w:tbl>
      <w:tblPr>
        <w:jc w:val="center"/>
        <w:tblW w:w="1104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97"/>
        <w:gridCol w:w="1201"/>
        <w:gridCol w:w="1929"/>
        <w:gridCol w:w="717"/>
        <w:gridCol w:w="4760"/>
        <w:gridCol w:w="916"/>
        <w:gridCol w:w="420"/>
      </w:tblGrid>
      <w:tr>
        <w:trPr>
          <w:trHeight w:val="23"/>
        </w:trPr>
        <w:tc>
          <w:tcPr>
            <w:tcW w:w="4944"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黑体" w:eastAsia="黑体" w:cs="黑体"/>
                <w:color w:val="000000"/>
                <w:sz w:val="24"/>
              </w:rPr>
            </w:pPr>
            <w:r>
              <w:rPr>
                <w:rFonts w:ascii="黑体" w:eastAsia="黑体" w:cs="黑体" w:hint="eastAsia"/>
                <w:color w:val="000000"/>
                <w:kern w:val="0"/>
                <w:sz w:val="24"/>
              </w:rPr>
              <w:t>绩效评价指标指标分值</w:t>
            </w:r>
          </w:p>
        </w:tc>
        <w:tc>
          <w:tcPr>
            <w:tcW w:w="47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黑体" w:eastAsia="黑体" w:cs="黑体"/>
                <w:color w:val="000000"/>
                <w:sz w:val="24"/>
              </w:rPr>
            </w:pPr>
            <w:r>
              <w:rPr>
                <w:rFonts w:ascii="黑体" w:eastAsia="黑体" w:cs="黑体" w:hint="eastAsia"/>
                <w:color w:val="000000"/>
                <w:kern w:val="0"/>
                <w:sz w:val="24"/>
              </w:rPr>
              <w:t>指标解释</w:t>
            </w:r>
          </w:p>
        </w:tc>
        <w:tc>
          <w:tcPr>
            <w:tcW w:w="916" w:type="dxa"/>
            <w:vMerge w:val="restart"/>
            <w:tcBorders>
              <w:top w:val="single" w:sz="4" w:space="0" w:color="000000"/>
              <w:left w:val="single" w:sz="4" w:space="0" w:color="000000"/>
              <w:bottom w:val="nil"/>
              <w:right w:val="single" w:sz="4" w:space="0" w:color="000000"/>
            </w:tcBorders>
            <w:shd w:val="clear" w:color="auto" w:fill="auto"/>
            <w:noWrap/>
            <w:vAlign w:val="center"/>
          </w:tcPr>
          <w:p>
            <w:pPr>
              <w:widowControl/>
              <w:spacing w:line="560" w:lineRule="exact"/>
              <w:jc w:val="center"/>
              <w:textAlignment w:val="center"/>
              <w:rPr>
                <w:rFonts w:ascii="黑体" w:eastAsia="黑体" w:cs="黑体"/>
                <w:color w:val="000000"/>
                <w:kern w:val="0"/>
                <w:sz w:val="24"/>
              </w:rPr>
            </w:pPr>
            <w:r>
              <w:rPr>
                <w:rFonts w:ascii="黑体" w:eastAsia="黑体" w:cs="黑体" w:hint="eastAsia"/>
                <w:color w:val="000000"/>
                <w:kern w:val="0"/>
                <w:sz w:val="24"/>
              </w:rPr>
              <w:t>自评得分</w:t>
            </w:r>
          </w:p>
        </w:tc>
        <w:tc>
          <w:tcPr>
            <w:tcW w:w="420" w:type="dxa"/>
            <w:vMerge w:val="restart"/>
            <w:tcBorders>
              <w:top w:val="single" w:sz="4" w:space="0" w:color="000000"/>
              <w:left w:val="single" w:sz="4" w:space="0" w:color="000000"/>
              <w:bottom w:val="nil"/>
              <w:right w:val="single" w:sz="4" w:space="0" w:color="000000"/>
            </w:tcBorders>
            <w:shd w:val="clear" w:color="auto" w:fill="auto"/>
            <w:noWrap/>
            <w:vAlign w:val="center"/>
          </w:tcPr>
          <w:p>
            <w:pPr>
              <w:widowControl/>
              <w:spacing w:line="560" w:lineRule="exact"/>
              <w:jc w:val="center"/>
              <w:textAlignment w:val="center"/>
              <w:rPr>
                <w:rFonts w:ascii="黑体" w:eastAsia="黑体" w:cs="黑体"/>
                <w:color w:val="000000"/>
                <w:kern w:val="0"/>
                <w:sz w:val="24"/>
              </w:rPr>
            </w:pPr>
            <w:r>
              <w:rPr>
                <w:rFonts w:ascii="黑体" w:eastAsia="黑体" w:cs="黑体" w:hint="eastAsia"/>
                <w:color w:val="000000"/>
                <w:kern w:val="0"/>
                <w:sz w:val="24"/>
              </w:rPr>
              <w:t>备注</w:t>
            </w:r>
          </w:p>
        </w:tc>
      </w:tr>
      <w:tr>
        <w:trPr>
          <w:trHeight w:val="23"/>
        </w:trPr>
        <w:tc>
          <w:tcPr>
            <w:tcW w:w="1097" w:type="dxa"/>
            <w:tcBorders>
              <w:top w:val="single" w:sz="4" w:space="0" w:color="000000"/>
              <w:left w:val="single" w:sz="4" w:space="0" w:color="000000"/>
              <w:bottom w:val="single" w:sz="4" w:space="0" w:color="000000"/>
              <w:right w:val="nil"/>
            </w:tcBorders>
            <w:shd w:val="clear" w:color="auto" w:fill="auto"/>
            <w:noWrap/>
            <w:vAlign w:val="center"/>
          </w:tcPr>
          <w:p>
            <w:pPr>
              <w:widowControl/>
              <w:spacing w:line="560" w:lineRule="exact"/>
              <w:jc w:val="center"/>
              <w:textAlignment w:val="center"/>
              <w:rPr>
                <w:rFonts w:ascii="黑体" w:eastAsia="黑体" w:cs="黑体"/>
                <w:color w:val="000000"/>
                <w:sz w:val="24"/>
              </w:rPr>
            </w:pPr>
            <w:r>
              <w:rPr>
                <w:rFonts w:ascii="黑体" w:eastAsia="黑体" w:cs="黑体" w:hint="eastAsia"/>
                <w:color w:val="000000"/>
                <w:kern w:val="0"/>
                <w:sz w:val="24"/>
              </w:rPr>
              <w:t>一级指标</w:t>
            </w:r>
          </w:p>
        </w:tc>
        <w:tc>
          <w:tcPr>
            <w:tcW w:w="12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黑体" w:eastAsia="黑体" w:cs="黑体"/>
                <w:color w:val="000000"/>
                <w:sz w:val="24"/>
              </w:rPr>
            </w:pPr>
            <w:r>
              <w:rPr>
                <w:rFonts w:ascii="黑体" w:eastAsia="黑体" w:cs="黑体" w:hint="eastAsia"/>
                <w:color w:val="000000"/>
                <w:kern w:val="0"/>
                <w:sz w:val="24"/>
              </w:rPr>
              <w:t>二级指标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黑体" w:eastAsia="黑体" w:cs="黑体"/>
                <w:color w:val="000000"/>
                <w:sz w:val="24"/>
              </w:rPr>
            </w:pPr>
            <w:r>
              <w:rPr>
                <w:rFonts w:ascii="黑体" w:eastAsia="黑体" w:cs="黑体" w:hint="eastAsia"/>
                <w:color w:val="000000"/>
                <w:kern w:val="0"/>
                <w:sz w:val="24"/>
              </w:rPr>
              <w:t>三级指标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黑体" w:eastAsia="黑体" w:cs="黑体"/>
                <w:color w:val="000000"/>
                <w:sz w:val="24"/>
              </w:rPr>
            </w:pPr>
            <w:r>
              <w:rPr>
                <w:rFonts w:ascii="黑体" w:eastAsia="黑体" w:cs="黑体" w:hint="eastAsia"/>
                <w:color w:val="000000"/>
                <w:kern w:val="0"/>
                <w:sz w:val="24"/>
              </w:rPr>
              <w:t>指标</w:t>
              <w:br/>
              <w:t>分值</w:t>
            </w:r>
          </w:p>
        </w:tc>
        <w:tc>
          <w:tcPr>
            <w:tcW w:w="47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916" w:type="dxa"/>
            <w:vMerge/>
            <w:tcBorders>
              <w:top w:val="nil"/>
              <w:left w:val="single" w:sz="4" w:space="0" w:color="000000"/>
              <w:bottom w:val="single" w:sz="4" w:space="0" w:color="000000"/>
              <w:right w:val="single" w:sz="4" w:space="0" w:color="000000"/>
            </w:tcBorders>
            <w:shd w:val="clear" w:color="auto" w:fill="auto"/>
            <w:noWrap/>
            <w:vAlign w:val="center"/>
          </w:tcPr>
          <w:p/>
        </w:tc>
        <w:tc>
          <w:tcPr>
            <w:tcW w:w="420" w:type="dxa"/>
            <w:vMerge/>
            <w:tcBorders>
              <w:top w:val="nil"/>
              <w:left w:val="single" w:sz="4" w:space="0" w:color="000000"/>
              <w:bottom w:val="single" w:sz="4" w:space="0" w:color="000000"/>
              <w:right w:val="single" w:sz="4" w:space="0" w:color="000000"/>
            </w:tcBorders>
            <w:shd w:val="clear" w:color="auto" w:fill="auto"/>
            <w:noWrap/>
            <w:vAlign w:val="center"/>
          </w:tcPr>
          <w:p/>
        </w:tc>
      </w:tr>
      <w:tr>
        <w:trPr>
          <w:trHeight w:val="23"/>
        </w:trPr>
        <w:tc>
          <w:tcPr>
            <w:tcW w:w="1097" w:type="dxa"/>
            <w:vMerge w:val="restart"/>
            <w:tcBorders>
              <w:top w:val="single" w:sz="4" w:space="0" w:color="000000"/>
              <w:left w:val="single" w:sz="4" w:space="0" w:color="000000"/>
              <w:bottom w:val="nil"/>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总体绩效（65分）</w:t>
            </w:r>
          </w:p>
        </w:tc>
        <w:tc>
          <w:tcPr>
            <w:tcW w:w="12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履职效能</w:t>
              <w:br/>
              <w:t>（15分）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color w:val="000000"/>
                <w:kern w:val="0"/>
                <w:sz w:val="21"/>
                <w:szCs w:val="21"/>
              </w:rPr>
              <w:t>3项</w:t>
            </w:r>
            <w:r>
              <w:rPr>
                <w:rFonts w:ascii="宋体" w:eastAsia="宋体" w:cs="宋体" w:hint="eastAsia"/>
                <w:color w:val="000000"/>
                <w:kern w:val="0"/>
                <w:sz w:val="21"/>
                <w:szCs w:val="21"/>
              </w:rPr>
              <w:t>履职效果</w:t>
            </w:r>
          </w:p>
        </w:tc>
        <w:tc>
          <w:tcPr>
            <w:tcW w:w="717" w:type="dxa"/>
            <w:tcBorders>
              <w:top w:val="nil"/>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15</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部门整体绩效目标中选定3-5个核心职能目标，反映该项职能目标完成效果情况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15</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nil"/>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预算管理</w:t>
              <w:br/>
              <w:t>（25分）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预算编制质量</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8</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i w:val="0"/>
                <w:color w:val="000000"/>
                <w:sz w:val="21"/>
                <w:szCs w:val="21"/>
                <w:u w:val="none"/>
                <w:lang w:val="en-US" w:eastAsia="zh-CN"/>
                <w:highlight w:val="auto"/>
              </w:rPr>
              <w:t>门是否严格按要求编制年初部门预算，年初预算编制的科学性和准确性</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3.82</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tcBorders>
              <w:top w:val="nil"/>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单位收入统筹</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部门统筹自有收入努力程度</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tcBorders>
              <w:top w:val="nil"/>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支出执行管理</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6</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部门1至6月、1至10月预算执行情况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4.05</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tcBorders>
              <w:top w:val="nil"/>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预算年终结余</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2</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部门整体年终预算结余情况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1.86</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74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tcBorders>
              <w:top w:val="nil"/>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kern w:val="0"/>
                <w:sz w:val="21"/>
                <w:szCs w:val="21"/>
              </w:rPr>
            </w:pPr>
            <w:r>
              <w:rPr>
                <w:rFonts w:ascii="宋体" w:eastAsia="宋体" w:cs="宋体" w:hint="eastAsia"/>
                <w:color w:val="000000"/>
                <w:kern w:val="0"/>
                <w:sz w:val="21"/>
                <w:szCs w:val="21"/>
              </w:rPr>
              <w:t>严控一般性支出</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kern w:val="0"/>
                <w:sz w:val="21"/>
                <w:szCs w:val="21"/>
              </w:rPr>
            </w:pPr>
            <w:r>
              <w:rPr>
                <w:rFonts w:ascii="宋体" w:eastAsia="宋体" w:cs="宋体" w:hint="eastAsia"/>
                <w:color w:val="000000"/>
                <w:kern w:val="0"/>
                <w:sz w:val="21"/>
                <w:szCs w:val="21"/>
              </w:rPr>
              <w:t>5</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1"/>
                <w:szCs w:val="21"/>
              </w:rPr>
            </w:pPr>
            <w:r>
              <w:rPr>
                <w:rFonts w:ascii="宋体" w:eastAsia="宋体" w:cs="宋体" w:hint="eastAsia"/>
                <w:color w:val="000000"/>
                <w:kern w:val="0"/>
                <w:sz w:val="21"/>
                <w:szCs w:val="21"/>
              </w:rPr>
              <w:t>部门严控“三公”经费、会议、培训、差旅、办节办展、办公设备购置、信息化建设和运维、课题经费、竞赛活动、规划编制一般性支出情况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5</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财务管理</w:t>
              <w:br/>
              <w:t>（10分）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财务管理制度</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部门财务管理制度建立情况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财务岗位设置</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2</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部门财务岗位设置是否符合相关财务管理制度要求</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资金使用规范</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部门资金使用是否符合相关财务管理制度规定</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资产管理</w:t>
              <w:br/>
              <w:t>（9分）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人均资产变化率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部门人均资产变化情况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资产利用率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部门资产超最低使用年限情况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1.8</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资产管理</w:t>
              <w:br/>
              <w:t>（9分）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资产盘活率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部门闲置一年以上的资产盘活情况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nil"/>
              <w:left w:val="single" w:sz="4" w:space="0" w:color="000000"/>
              <w:bottom w:val="nil"/>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采购管理</w:t>
              <w:br/>
              <w:t>（6分）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支持中小企业发展</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部门是否严格执行政府采购促进中小企业发展相关管理办法</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176"/>
        </w:trPr>
        <w:tc>
          <w:tcPr>
            <w:tcW w:w="1097" w:type="dxa"/>
            <w:vMerge/>
            <w:tcBorders>
              <w:top w:val="nil"/>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采购执行率</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部门政府采购项目资金支付比例情况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项目绩效（35分）</w:t>
            </w:r>
          </w:p>
        </w:tc>
        <w:tc>
          <w:tcPr>
            <w:tcW w:w="1201" w:type="dxa"/>
            <w:vMerge w:val="restart"/>
            <w:tcBorders>
              <w:top w:val="single" w:sz="4" w:space="0" w:color="000000"/>
              <w:left w:val="single" w:sz="4" w:space="0" w:color="000000"/>
              <w:bottom w:val="nil"/>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项目决策</w:t>
              <w:br/>
              <w:t>（12分）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决策程序</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部门预算项目设立是否按规定履行评估论证、申报程序</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目标设置</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部门预算项目绩效目标与计划期内的任务量、预算安排的资金量匹配情况，绩效目标设置是否科学合理、规范完整、量化细化、预算匹配</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项目入库</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部门预算项目是否在规定时间完成项目入库</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nil"/>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项目执行</w:t>
              <w:br/>
              <w:t>（12分）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执行同向</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部门预算项目实际列支内容是否与绩效目标设置方向相符</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nil"/>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项目调整</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部门预算项目是否采取对应调整措施</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nil"/>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执行结果</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部门预算项目预算执行情况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目标实现</w:t>
              <w:br/>
              <w:t>（11分）</w:t>
            </w: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目标完成</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部门预算项目绩效目标数量指标完成情况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目标偏离</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4</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部门预算项目绩效目标数量指标实现程度与预期目标的偏离情况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实现效果</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3</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部门预算项目绩效目标效益指标实施效果</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r>
        <w:trPr>
          <w:trHeight w:val="23"/>
        </w:trPr>
        <w:tc>
          <w:tcPr>
            <w:tcW w:w="10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b/>
                <w:color w:val="000000"/>
                <w:sz w:val="24"/>
              </w:rPr>
            </w:pPr>
            <w:r>
              <w:rPr>
                <w:rFonts w:ascii="宋体" w:eastAsia="宋体" w:cs="宋体" w:hint="eastAsia"/>
                <w:b/>
                <w:color w:val="000000"/>
                <w:kern w:val="0"/>
                <w:sz w:val="24"/>
              </w:rPr>
              <w:t>扣分项</w:t>
              <w:br/>
              <w:t>（10分）</w:t>
            </w:r>
          </w:p>
        </w:tc>
        <w:tc>
          <w:tcPr>
            <w:tcW w:w="313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被评价部门配合度</w:t>
            </w:r>
          </w:p>
        </w:tc>
        <w:tc>
          <w:tcPr>
            <w:tcW w:w="7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center"/>
              <w:textAlignment w:val="center"/>
              <w:rPr>
                <w:rFonts w:ascii="宋体" w:eastAsia="宋体" w:cs="宋体"/>
                <w:color w:val="000000"/>
                <w:sz w:val="21"/>
                <w:szCs w:val="21"/>
              </w:rPr>
            </w:pPr>
            <w:r>
              <w:rPr>
                <w:rFonts w:ascii="宋体" w:eastAsia="宋体" w:cs="宋体" w:hint="eastAsia"/>
                <w:color w:val="000000"/>
                <w:kern w:val="0"/>
                <w:sz w:val="21"/>
                <w:szCs w:val="21"/>
              </w:rPr>
              <w:t>-</w:t>
            </w:r>
          </w:p>
        </w:tc>
        <w:tc>
          <w:tcPr>
            <w:tcW w:w="4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sz w:val="21"/>
                <w:szCs w:val="21"/>
              </w:rPr>
            </w:pPr>
            <w:r>
              <w:rPr>
                <w:rFonts w:ascii="宋体" w:eastAsia="宋体" w:cs="宋体" w:hint="eastAsia"/>
                <w:color w:val="000000"/>
                <w:kern w:val="0"/>
                <w:sz w:val="21"/>
                <w:szCs w:val="21"/>
              </w:rPr>
              <w:t>被评价对象工作配合情况</w:t>
            </w:r>
          </w:p>
        </w:tc>
        <w:tc>
          <w:tcPr>
            <w:tcW w:w="9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r>
              <w:rPr>
                <w:rFonts w:ascii="宋体" w:eastAsia="宋体" w:cs="宋体"/>
                <w:color w:val="000000"/>
                <w:kern w:val="0"/>
                <w:sz w:val="24"/>
              </w:rPr>
              <w:t>90.53</w:t>
            </w: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560" w:lineRule="exact"/>
              <w:jc w:val="left"/>
              <w:textAlignment w:val="center"/>
              <w:rPr>
                <w:rFonts w:ascii="宋体" w:eastAsia="宋体" w:cs="宋体"/>
                <w:color w:val="000000"/>
                <w:kern w:val="0"/>
                <w:sz w:val="24"/>
              </w:rPr>
            </w:pPr>
          </w:p>
        </w:tc>
      </w:tr>
    </w:tbl>
    <w:p>
      <w:pPr>
        <w:pStyle w:val="19"/>
        <w:spacing w:beforeLines="0" w:before="0" w:line="560" w:lineRule="exact"/>
        <w:rPr>
          <w:rFonts w:ascii="Times New Roman" w:cs="宋体" w:hAnsi="Times New Roman" w:hint="eastAsia"/>
          <w:color w:val="FF0000"/>
          <w:kern w:val="0"/>
          <w:sz w:val="32"/>
          <w:szCs w:val="32"/>
          <w:shd w:val="clear" w:color="auto" w:fill="FFFFFF"/>
          <w:lang w:val="zh-CN"/>
          <w:highlight w:val="yellow"/>
        </w:rPr>
      </w:pPr>
    </w:p>
    <w:p>
      <w:pPr>
        <w:spacing w:line="560" w:lineRule="exact"/>
        <w:rPr>
          <w:rFonts w:ascii="Times New Roman" w:eastAsia="黑体" w:cs="黑体" w:hAnsi="Times New Roman"/>
          <w:color w:val="auto"/>
          <w:kern w:val="0"/>
          <w:sz w:val="32"/>
          <w:szCs w:val="32"/>
          <w:shd w:val="clear" w:color="auto" w:fill="FFFFFF"/>
          <w:lang w:val="zh-CN"/>
          <w:highlight w:val="auto"/>
        </w:rPr>
        <w:sectPr>
          <w:pgSz w:w="11906" w:h="16838"/>
          <w:pgMar w:top="2098" w:right="1474" w:bottom="1985" w:left="1588" w:header="851" w:footer="992" w:gutter="0"/>
          <w:pgNumType/>
          <w:docGrid w:type="lines" w:linePitch="312" w:charSpace="0"/>
        </w:sectPr>
      </w:pPr>
      <w:r>
        <w:rPr>
          <w:rFonts w:ascii="Times New Roman" w:eastAsia="黑体" w:cs="黑体" w:hAnsi="Times New Roman" w:hint="eastAsia"/>
          <w:color w:val="auto"/>
          <w:kern w:val="0"/>
          <w:sz w:val="32"/>
          <w:szCs w:val="32"/>
          <w:shd w:val="clear" w:color="auto" w:fill="FFFFFF"/>
          <w:lang w:val="zh-CN"/>
          <w:highlight w:val="auto"/>
        </w:rPr>
        <w:br w:type="page"/>
      </w:r>
    </w:p>
    <w:p>
      <w:pPr>
        <w:spacing w:line="560" w:lineRule="exact"/>
        <w:rPr>
          <w:rFonts w:ascii="Times New Roman" w:eastAsia="黑体" w:cs="黑体" w:hAnsi="Times New Roman" w:hint="eastAsia"/>
          <w:color w:val="auto"/>
          <w:kern w:val="0"/>
          <w:sz w:val="32"/>
          <w:szCs w:val="32"/>
          <w:shd w:val="clear" w:color="auto" w:fill="FFFFFF"/>
          <w:lang w:val="zh-CN"/>
          <w:highlight w:val="auto"/>
        </w:rPr>
      </w:pPr>
    </w:p>
    <w:p>
      <w:pPr>
        <w:pStyle w:val="19"/>
        <w:spacing w:beforeLines="0" w:before="0" w:line="560" w:lineRule="exact"/>
        <w:rPr>
          <w:rFonts w:ascii="Times New Roman" w:eastAsia="黑体" w:cs="黑体" w:hAnsi="Times New Roman" w:hint="eastAsia"/>
          <w:color w:val="auto"/>
          <w:sz w:val="32"/>
          <w:szCs w:val="32"/>
          <w:lang w:val="en-US" w:eastAsia="zh-CN"/>
          <w:highlight w:val="auto"/>
        </w:rPr>
      </w:pPr>
      <w:r>
        <w:rPr>
          <w:rFonts w:ascii="Times New Roman" w:eastAsia="黑体" w:cs="黑体" w:hAnsi="Times New Roman" w:hint="eastAsia"/>
          <w:color w:val="auto"/>
          <w:kern w:val="0"/>
          <w:sz w:val="32"/>
          <w:szCs w:val="32"/>
          <w:shd w:val="clear" w:color="auto" w:fill="FFFFFF"/>
          <w:lang w:val="zh-CN"/>
          <w:highlight w:val="auto"/>
        </w:rPr>
        <w:t>附件</w:t>
      </w:r>
      <w:r>
        <w:rPr>
          <w:rFonts w:ascii="Times New Roman" w:eastAsia="黑体" w:cs="黑体" w:hAnsi="Times New Roman" w:hint="eastAsia"/>
          <w:color w:val="auto"/>
          <w:kern w:val="0"/>
          <w:sz w:val="32"/>
          <w:szCs w:val="32"/>
          <w:shd w:val="clear" w:color="auto" w:fill="FFFFFF"/>
          <w:lang w:val="en-US" w:eastAsia="zh-CN"/>
          <w:highlight w:val="auto"/>
        </w:rPr>
        <w:t>2</w:t>
      </w:r>
    </w:p>
    <w:p>
      <w:pPr>
        <w:pStyle w:val="42"/>
        <w:keepNext w:val="0"/>
        <w:keepLines w:val="0"/>
        <w:pageBreakBefore w:val="0"/>
        <w:widowControl w:val="0"/>
        <w:kinsoku/>
        <w:wordWrap/>
        <w:overflowPunct/>
        <w:topLinePunct w:val="0"/>
        <w:autoSpaceDE/>
        <w:autoSpaceDN/>
        <w:bidi w:val="0"/>
        <w:spacing w:line="560" w:lineRule="exact"/>
        <w:ind w:left="0"/>
        <w:jc w:val="center"/>
        <w:textAlignment w:val="auto"/>
        <w:rPr>
          <w:rFonts w:ascii="Times New Roman" w:eastAsia="方正小标宋简体" w:cs="方正小标宋简体" w:hAnsi="Times New Roman" w:hint="eastAsia"/>
          <w:color w:val="auto"/>
          <w:kern w:val="2"/>
          <w:sz w:val="44"/>
          <w:szCs w:val="44"/>
          <w:lang w:val="en-US" w:eastAsia="zh-CN"/>
          <w:highlight w:val="auto"/>
        </w:rPr>
      </w:pPr>
    </w:p>
    <w:tbl>
      <w:tblPr>
        <w:jc w:val="left"/>
        <w:tblInd w:w="0" w:type="dxa"/>
        <w:tblW w:w="1504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24"/>
        <w:gridCol w:w="1383"/>
        <w:gridCol w:w="1775"/>
        <w:gridCol w:w="1950"/>
        <w:gridCol w:w="1962"/>
        <w:gridCol w:w="1013"/>
        <w:gridCol w:w="849"/>
        <w:gridCol w:w="109"/>
        <w:gridCol w:w="742"/>
        <w:gridCol w:w="1301"/>
        <w:gridCol w:w="1000"/>
        <w:gridCol w:w="1493"/>
        <w:gridCol w:w="1245"/>
      </w:tblGrid>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51320021T000000123301-马尔康地区老年协会活动经费</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保障马尔康地区老年协会正常运转，开展服务马尔康地区老年人活动,提升老年人幸福感。</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该项目年度目标任务完成，有效保障了协会正常运转，成功组织开展了多项服务老年人的活动，显著提升了当地老年人的幸福感与获得感。</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6"/>
              </w:rPr>
            </w:pPr>
            <w:r>
              <w:rPr>
                <w:rFonts w:ascii="宋体" w:eastAsia="宋体" w:cs="Lucida Sans"/>
                <w:color w:val="000000"/>
                <w:sz w:val="16"/>
              </w:rPr>
              <w:t>本项目通过向马尔康地区老年协会拨付专项活动经费，有效保障了其日常运行需求。协会围绕提升老年人幸福感的核心目标，系统策划并组织了包括节日慰问、文艺活动等多项适老服务活动。项目实施过程管理规范，确保了经费专款专用与活动有序开展，切实丰富了当地老年人的精神文化生活，促进了社会和谐。</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活动完成数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保障马尔康地区老年协会正常运转率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验收通过率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97</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12</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12</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按期完成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按期完成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老年人幸福度提升率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60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60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老年人满意度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自评得分为100分，该项目已全面完成年度预设目标，经费保障有力，确保了协会正常运转；常态开展活动，有效服务了老年群体。项目实施过程规范，资金使用合规，社会效益显著，圆满达成了提升马尔康地区老年人幸福感的根本宗旨。</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color w:val="000000"/>
                <w:sz w:val="18"/>
              </w:rPr>
            </w:pPr>
            <w:r>
              <w:rPr>
                <w:rFonts w:ascii="黑体" w:eastAsia="黑体" w:cs="Lucida Sans"/>
                <w:color w:val="000000"/>
                <w:sz w:val="18"/>
              </w:rPr>
              <w:t>一是民族地区老年人文化素质参差不齐，活动设计与服务内容较为单一；二是马尔康地区少数民族语言种类较多，协会工作人员语言掌握范围有限，存在语言沟通障碍，一定程度上影响政策宣传与服务精准提供。</w:t>
            </w:r>
          </w:p>
          <w:p>
            <w:pPr>
              <w:spacing w:line="560" w:lineRule="exact"/>
              <w:rPr>
                <w:rFonts w:ascii="黑体" w:eastAsia="黑体" w:cs="Lucida Sans"/>
                <w:color w:val="000000"/>
                <w:sz w:val="18"/>
              </w:rPr>
            </w:pP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color w:val="000000"/>
                <w:sz w:val="18"/>
              </w:rPr>
            </w:pPr>
            <w:r>
              <w:rPr>
                <w:rFonts w:ascii="黑体" w:eastAsia="黑体" w:cs="Lucida Sans"/>
                <w:color w:val="000000"/>
                <w:sz w:val="18"/>
              </w:rPr>
              <w:t>一是强化活动分层设计。结合日常活动，在老年群体中开展调研，深入了解不同文化背景、兴趣爱好老年群体的实际需求，并依据调研结果，设计基础文娱、健康科普等多层次活动，满足差异化需求。二是注重融入本土文化。将政策宣传、健康知识等与本地民族节日、传统艺术、非遗项目相结合，增强吸引力与文化传承功能。三是建强“双语”服务队伍，招募通晓当地民族语言的社区志愿者、低龄健康老年人，协助日常沟通与活动组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项目负责人：张通全</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51320021T000000123379-阿坝州马尔康地区老年大学办学经费</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保障马尔康地区老年大学正常运转，开展服务马尔康地区老年人老年教育工作，提升老年教育对社会发展的积极作用。</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6"/>
              </w:rPr>
            </w:pPr>
            <w:r>
              <w:rPr>
                <w:rFonts w:ascii="黑体" w:eastAsia="黑体" w:cs="Lucida Sans"/>
                <w:color w:val="000000"/>
                <w:sz w:val="16"/>
              </w:rPr>
              <w:t>本项目年度目标顺利完成。马尔康地区老年大学全年教学运转正常，按计划每月开展各类教学活动，有效保障了老年教育服务的持续供给。办学工作有力带动了本地区老年教育事业发展，学员参与度与满意度稳步提升，实现了通过老年教育服务积极促进社会发展的预期目标。</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6"/>
              </w:rPr>
            </w:pPr>
            <w:r>
              <w:rPr>
                <w:rFonts w:ascii="宋体" w:eastAsia="宋体" w:cs="Lucida Sans"/>
                <w:color w:val="000000"/>
                <w:sz w:val="16"/>
              </w:rPr>
              <w:t>本项目围绕保障马尔康地区老年大学正常运转的核心目标，有序推进实施。通过专项经费的稳定支持，确保了老年大学教学活动持续开展。全年办学工作有效满足了当地老年人的精神文化需求，促进了老年教育的规范化、常态化发展，带动了学员参与度与满意度的双提升，发挥了老年教育在丰富老年人生活、促进社会和谐方面的积极作用。</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4.20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4.20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4.20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4.20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4.20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4.20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老年大学按月开展教学活动次数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次/年</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12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13</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13</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项目验收通过率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97</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12</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12</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按时完成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老年教育社会影响程度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作用明显</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作用明显</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带动老年教育发展</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带动老年教育显著发展</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带动老年教育显著发展</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老年人满意率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color w:val="000000"/>
                <w:sz w:val="18"/>
              </w:rPr>
            </w:pPr>
            <w:r>
              <w:rPr>
                <w:rFonts w:ascii="黑体" w:eastAsia="黑体" w:cs="Lucida Sans"/>
                <w:color w:val="000000"/>
                <w:sz w:val="18"/>
              </w:rPr>
              <w:t>项目自评100分，该项目实施在促进区域老年教育事业发展、丰富老年人精神文化生活、提升老年人社会参与感与幸福感方面取得了明显成效，较好地完成了项目设定的各项绩效目标。</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color w:val="000000"/>
                <w:sz w:val="18"/>
              </w:rPr>
            </w:pPr>
            <w:r>
              <w:rPr>
                <w:rFonts w:ascii="黑体" w:eastAsia="黑体" w:cs="Lucida Sans"/>
                <w:color w:val="000000"/>
                <w:sz w:val="18"/>
              </w:rPr>
              <w:t>一是服务覆盖不够均衡，老年大学地处州域中心，当前服务对象以州市退休人员为主，对偏远乡镇老年群体的延伸覆盖不足。二是发展后劲有待增强，面临后备师资与骨干力量短缺的问题，在民族文化传承、项目可持续发展方面推动乏力。</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color w:val="000000"/>
                <w:sz w:val="18"/>
              </w:rPr>
            </w:pPr>
            <w:r>
              <w:rPr>
                <w:rFonts w:ascii="黑体" w:eastAsia="黑体" w:cs="Lucida Sans"/>
                <w:color w:val="000000"/>
                <w:sz w:val="18"/>
              </w:rPr>
              <w:t>一是强化校社联动，加强与村（社）、老年协会的合作，实现资源共享、活动联动，形成老年教育服务网络，延伸服务范围。二是建立本土师资库，积极动员本地退休教师、非遗传承人、文艺骨干、行业能手等进入兼职教师队伍，强化师资力量。三是丰富教学活动，针对不同文化程度、不同需求的老年人，设计多层次课程，满足多样化需求。</w:t>
            </w:r>
          </w:p>
          <w:p>
            <w:pPr>
              <w:spacing w:line="560" w:lineRule="exact"/>
              <w:rPr>
                <w:rFonts w:ascii="黑体" w:eastAsia="黑体" w:cs="Lucida Sans"/>
                <w:color w:val="000000"/>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项目负责人：张通全</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p>
            <w:pPr>
              <w:pStyle w:val="15"/>
              <w:spacing w:line="560" w:lineRule="exact"/>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51320025T000012501249-老龄事业专项经费</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2024年机构改革后，贯彻落实国家应对人口老龄化政策措施、承担州老龄工作委员会日常工作等职责划入州民政局，州老龄工作委员会办公室设在州民政局,属州委州政府确定的议事机构之一。按照2025年老年老龄工作安排,为深入学习贯彻习近平总书记关于老龄工作重要指示精神，一是完成省厅对我州老龄工作综合目标任务，主要为开展老龄委全体会议、老年友好型社区创建、人口老年化国情教育、老年优待工作、老年人权益保障、老年志愿服务活动、基层老年协会建设指导、老年人文化体育教育活动等工作。二是开展敬老月系列活动，在敬老月期间走访慰问困难老年人，开展文艺汇演及祝老活动等工作。三是开展老龄事业发展统计调查等调研工作，在全州开展老年人口基本情况、老年人健康状况、养老服务体系、老年人经济状况、老年人权益保障、老龄工作政策与措施、老年产业发展等调研工作。四是积极研究银发经济助老惠老工作。随着人口老龄化的加剧，银发经济逐渐成为经济发展的新引擎。研究如何通过发展银发经济实现助老惠老，对于提升老年人的生活质量、促进社会和谐发展具有重要意义。资金主要用于：州老龄工作委员会办公室产生的办公费、印刷费、劳务费、编外聘用人员劳务报酬、差旅费、公务用车运行维护费等相关费用。</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有力保障了州老龄工作委员会办公室高效运转，有效支撑了年度各项重点工作的顺利完成。2025年印发《阿坝州老龄工作委员会工作规则》，对州老龄委成员单位进行调整优化，职责边界进一步厘清。组织参加敬老月活动10场次，慰问老年人11205位，发放慰问金160.76万元；“天府银龄行动”在3县试点，开展服务201场，老年志愿者参与3958人次，服务群众11949人次；全州运营老年活动中心34家，年均服务超1.2万人次；成功推荐6家单位获全国“敬老文明号”称号，老龄工作体系构建与效能进一步提升。</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6"/>
              </w:rPr>
            </w:pPr>
            <w:r>
              <w:rPr>
                <w:rFonts w:ascii="宋体" w:eastAsia="宋体" w:cs="Lucida Sans"/>
                <w:color w:val="000000"/>
                <w:sz w:val="16"/>
              </w:rPr>
              <w:t>本项目实施过程围绕老年老龄工作职责全面展开。一是优化体制机制，将老龄委成员单位精简为28个，印发系列制度文件，推动工作向“主动谋划、系统供给”转型。二是落实目标任务，在三县试点开展“天府银龄行动”志愿服务201场，动员参与老年志愿服务3958人次，服务群众11949人次。三是加强示范带动，推荐6家单位、3名个人获国家级荣誉，组织参加敬老月活动10场次，慰问老年人11205位。项目实施规范有序，资金主要用于老龄办日常运行资金，有效完成了年度工作目标。</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33.06</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33.06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33.06</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33.06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敬老月活动开展次数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老龄工作完成率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调研报告完成质量合格率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项目完成及时性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老年人权益保障水平提升程度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老年人满意度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s="Lucida Sans"/>
                <w:color w:val="000000"/>
                <w:sz w:val="16"/>
              </w:rPr>
            </w:pPr>
            <w:r>
              <w:rPr>
                <w:rFonts w:ascii="宋体" w:eastAsia="宋体" w:cs="Lucida Sans"/>
                <w:color w:val="000000"/>
                <w:sz w:val="16"/>
              </w:rPr>
              <w:t>本项目自评总分为100分。项目有力保障了州老龄工作委员会办公室高效运转，有效支撑了年度各项重点工作的顺利完成。2025年印发《阿坝州老龄工作委员会工作规则》，对州老龄委成员单位进行调整优化，职责边界进一步厘清。敬老月期间，全州组织活动260场，慰问老年人11205位，发放慰问金160.76万元；“天府银龄行动”在3县试点，开展服务201场，老年志愿者参与3958人次，服务群众11949人次；全州运营老年活动中心34家，年均服务超1.2万人次；成功推荐6家单位获全国“敬老文明号”称号，老龄工作体系构建与效能进一步提升。</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s="Lucida Sans"/>
                <w:color w:val="000000"/>
                <w:sz w:val="16"/>
              </w:rPr>
            </w:pPr>
            <w:r>
              <w:rPr>
                <w:rFonts w:ascii="宋体" w:eastAsia="宋体" w:cs="Lucida Sans"/>
                <w:color w:val="000000"/>
                <w:sz w:val="16"/>
              </w:rPr>
              <w:t>存在的主要问题有：一是银发经济助老惠老工作推进不足，与目标要求存在差距，主要因我州银发经济基础薄弱，相关产业和服务体系尚不健全，工作推进面临困难。二是部分具体老龄工作任务完成率未达100%，表明在工作的全面性和精细化管理方面仍有提升空间。上述问题反映出，在资源统筹、产业培育和工作落实的精准性上需进一步加强。</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s="Lucida Sans"/>
                <w:color w:val="000000"/>
                <w:sz w:val="16"/>
              </w:rPr>
            </w:pPr>
            <w:r>
              <w:rPr>
                <w:rFonts w:ascii="宋体" w:eastAsia="宋体" w:cs="Lucida Sans"/>
                <w:color w:val="000000"/>
                <w:sz w:val="16"/>
              </w:rPr>
              <w:t>一是加强银发经济研究与实践，积极对接上级部门争取政策与项目支持，结合我州实际培育发展适老产业，拓展助老惠老新路径。二是健全工作督导机制，细化年度任务清单，明确责任分工和时限要求，强化过程跟踪与动态评估，确保各项老龄工作任务全面、精准、按时完成。</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项目负责人：张通全</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51320025T000013864941-内控制作(质保金)</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委托专业的三方公司制作符合我单位实际情况的内控.</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已按照合同约定完成并支付质保金。</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委托专业的三方公司制作符合我单位实际情况的内控的质保金。</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0.98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0.98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0.98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0.98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内控制作数量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套</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内控合格率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项目按时完成率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质保金及时支付率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制作的内控有利于民政事业发展，提升服务质效程度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职工对新制作的内控的满意度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该项目质保金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9800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9800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项目完成较好，得分100分，已按照合同约定完成并支付质保金。</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项目负责人：杨小蓉</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51320025T000012493765-民政系统财务统计专项经费</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293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根据《四川省民政厅关于进一步加强民政事业统计工作的通知》（川民发[2013]180号）文件要求，将专项安排工作经费，用于：1.民政系统服务业统计软件维护、业务培训会产生的费用及民政系统服务业统计工作人员差旅费及办公经费等相关费用；2.开展民政专项资金的内部审计和绩效评价工作；3.委托编制项目规划的委托业务费；4.通过加强统计工作，提高统计数据质量，提升统计人员业务能力。</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按照项目年度目标完成设定的的民政系统服务业统计软件维护等民政系统财务统计专项工作</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开展了民政系统服务业统计软件维护、、民政系统服务业统计工作、开展民政专项资金的内部审计和绩效评价及项目规划编制前期准备工作。</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12.00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10.96</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10.96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黑体" w:eastAsia="黑体" w:cs="Lucida Sans"/>
                <w:b w:val="0"/>
                <w:i/>
                <w:color w:val="000000"/>
                <w:sz w:val="18"/>
              </w:rPr>
            </w:pPr>
            <w:r>
              <w:rPr>
                <w:rFonts w:ascii="黑体" w:eastAsia="黑体" w:cs="Lucida Sans"/>
                <w:b w:val="0"/>
                <w:i/>
                <w:color w:val="000000"/>
                <w:sz w:val="18"/>
              </w:rPr>
              <w:t>0</w:t>
            </w: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12.00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10.96</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10.96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报表质量通过率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内部审计完成率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统计人员能力提升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民政工作可行</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民政工作可行</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统计数据质量填报评级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工作人员满意度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委托编制项目规划资金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培训成本节约率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完成较好，得分100分，完成民政系统服务业统计软件维护及统计工作，开展专项资金内部审计与绩效评价，强化资金监管，推进项目规划前期准备，夯实项目实施基础，有效提升民政工作规范化、精细化管理水平。</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持续加强资金使用效益。</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项目负责人：杨小蓉</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51320025T000013658828-四川省居民家庭经济状况核对信息系统阿坝州数据交换平台维护服务</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293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该系统实现“数据向上集中，服务向下延伸”，支撑居民家庭经济状况核对业务的开展，建立健全居民家庭经济状况核对工作机制，促进社会救助工作步入法制化、科学化、规范化、制度化的轨道，显著提高社会救助的效率和效果；通过跨部门、多层次的信息共享，逐步建立为社会政策提供综合服务的核对系统，推动政府职能转变和政务模式转型，促进社会公平正义和诚信体系的建设。</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系统故障响应及时（30分钟内响应，1小时出应急方案，24小时内到场）；数据交换准确率达98%以上；共享单位对接稳定性良好；年度集中培训不少于1次；平台可用率不低于95%；用户满意度达90%以上。</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全面掌握数据交换平台维护项目的实施效果，评估资金使用效益和服务质量，判断运维工作是否有效保障了核对业务的正常开展，为后续运维合同续签或服务优化提供依据。</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对城乡低保对象新增和清退人数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898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对城乡低保对象应保尽报，应退尽退</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898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及时核对新增和清退对城乡低保对象</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对城乡低保对象应保尽保</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平台长期对新增和清退对城乡低保对象进行核对率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对城乡低保新增人员及社会人员评价</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每年向财政申请平台维护费用</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项目绩效自评总体得分204分。项目实施达到预期效果，有效保障了四川省居民家庭经济状况核对信息系统阿坝州数据交换平台的安全稳定运行，为全州社会救助对象精准认定提供了可靠的技术保障。</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一是部分县级民政部门网络条件有限，访问平台速度偶有延迟，影响核对工作效率；二是随着相关部门数据更新频率加快，接口对接偶有不稳定现象，需运维方及时协调处理；三是个别基层核对人员对平台功能掌握不够全面，操作熟练度有待进一步提高。</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一是加强网络保障，协调相关部门改善基层网络条件，同时优化平台在低带宽环境下的运行效率。二是强化接口监控，建立与数据提供部门的常态化沟通机制，对共享接口运行状态进行实时监控，发现问题及时协调处理。三是深化业务培训，除集中培训外，可针对常见问题制作操作手册和短视频教程，方便基层人员随时查阅学习，持续提升平台应用水平和核对工作效率。</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51320021T000000130922-全州民政系统业务培训</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不断提高全体民政工作人员的专业知识水平、业务技能和服务意识，提高服务质量和行政效率。通过培训，使全州民政系统工作人员的业务能力提升30%以上，服务效率提升20%以上。</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分四期对全州民政系统干部共计255人进行系统培训，涵盖社会救助、儿童福利等重点业务领域。</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通过系统化培训，提升基层民政干部的政策理解力、执行力和服务能力，锻造一支政治过硬、业务精通、作风优良的民政队伍。项目计划分四期对全州民政系统干部共计255人进行系统培训，涵盖社会救助、儿童福利等重点业务领域。</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24.1878</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23.49</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23.49</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24.00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23.49</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23.49</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业务培训人数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人数</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255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培训合格率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培训及时性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服务效率提升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民政系统工作人员业务能力提升率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35%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参加培训人员满意度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培训总成本控制率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项目绩效自评总体得分220分。项目实施达到了预期效果，有效保障了社会救助督导及办公经费需求，对提升全州社会救助工作质效发挥了积极作用。</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我州地域辽阔，部分乡镇距离县城较远，开展入户核查和督导工作的交通成本高、时间长，现有经费有时难以完全满足深度督导的需求。此外，基层救助工作人员流动性较大，新上岗人员的业务能力需持续跟踪培训。</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我州地域辽阔，部分乡镇距离县城较远，开展入户核查和督导工作的交通成本高、时间长，现有经费有时难以完全满足深度督导的需求。此外，基层救助工作人员流动性较大，新上岗人员的业务能力需持续跟踪培训。</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775"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950"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962"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012"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958" w:type="dxa"/>
            <w:gridSpan w:val="2"/>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742"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301"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000"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493"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245"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51320025T000012176753-"索玛花开"专项经费</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为改善阿坝州城、乡户籍（民政服务对象）及城乡困难家庭的白内障患者生活水平和质量，共享经济社会文明成果，共建和谐社会。为具有阿坝州城、乡户籍（民政服务对象）及城乡困难家庭的白内障患者免费治疗。</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此项目目标为200例，完成223例，超额完成目标任务。</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2024年9月1日-2025年8月31日，省民政厅投入40万元补助200名白内障患者复明手术，符合《索玛花开》白内障手术项目补助条件的，在我州指定合作医院中手术的病员，完成医保报销后，患者享受人均2000元的补助，确保救治患者免费治疗。阿坝州人民医院承担150名白内障患者免费复明手术，补助金额30万元，汶川县人民医院承担50名白内障患者免费复明手术，补助金额10万元。</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24.47</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24.47</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val="0"/>
                <w:i/>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24.47</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24.47</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为大于等于200名白内障患者免费进行手术治疗。</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223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提高患者生活质量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024年8月1月-2025年7月31日</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让患者减轻经济负担</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有效减轻负担</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0.2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共享经济社会文明成果，共建和谐社会。</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社会有效共鸣</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223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患者术后对生活质量满意度大大提升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让患者重获光明，对生活充满向往，对社会满意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比较满意</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0.2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67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67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项目绩效自评总体得分204分。项目实施取得了一定成果，帮助我州众多患者重见光明。</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我州属于高原地区，海波较高，日晒较长，紫外线较强容易导致群众患上白内障疾病，但是更多的患者对此项目的知晓度不够，在宣传方面需加大宣传力度。</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加强培训，强化人才培养与队伍建设，出台激励政策。加强与卫生健康、残联等部门的合作，整合资源，加强信息共享，形成工作合力。</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775"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950"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962"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012"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958" w:type="dxa"/>
            <w:gridSpan w:val="2"/>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742"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301"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000"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493"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c>
          <w:tcPr>
            <w:tcW w:w="1245" w:type="dxa"/>
            <w:tcBorders>
              <w:top w:val="nil"/>
              <w:left w:val="nil"/>
              <w:bottom w:val="nil"/>
              <w:right w:val="nil"/>
              <w:tl2br w:val="nil"/>
              <w:tr2bl w:val="nil"/>
            </w:tcBorders>
            <w:noWrap/>
            <w:vAlign w:val="center"/>
          </w:tcPr>
          <w:p>
            <w:pPr>
              <w:spacing w:line="560" w:lineRule="exact"/>
              <w:rPr>
                <w:rFonts w:ascii="黑体" w:eastAsia="黑体"/>
                <w:color w:val="000000"/>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51320025T000012493640-社会救助与社会福利专项经费</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保障会救助与社会福利工作相关人员督导差旅费及办公经费，提高社会救助工作质效。</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安排资金10万元，主要用于社会救助与社会福利工作人员的督导差旅费及办公经费支出，确保各项救助政策精准落实，困难群众基本生活权益得到有效保障。</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为进一步提升全州社会救助与社会福利工作质效，保障基层督导检查、业务培训及日常办公正常开展，设立社会救助与社会福利专项经费。项目安排资金10万元，主要用于社会救助与社会福利工作人员的督导差旅费及办公经费支出，确保各项救助政策精准落实，困难群众基本生活权益得到有效保障。</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保障正常办公运转数量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出差次数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批次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印制宣传资料合格率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工作序时开展及时性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群众对会救助与社会福利政策宣传知晓度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显著提升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抽样群众对会救助与社会福利政策宣传满意度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该项工作总成本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项目绩效自评总体得分220分。项目实施达到了预期效果，有效保障了社会救助督导及办公经费需求，对提升全州社会救助工作质效发挥了积极作用。</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我州地域辽阔，部分乡镇距离县城较远，开展入户核查和督导工作的交通成本高、时间长，现有经费有时难以完全满足深度督导的需求。此外，基层救助工作人员流动性较大，新上岗人员的业务能力需持续跟踪培训。</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一是强化统筹，优化督导路线和频次，尽量合并任务，降低交通成本，提高资金使用效益。二是创新培训，探索运用线上培训、以干代训等方式，提升培训覆盖面和实效性。三是完善协同，加强与财政、医保、残联等部门的信息共享，减少重复核查，形成工作合力，进一步提升社会救助整体质效。</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olor w:val="000000"/>
                <w:sz w:val="18"/>
              </w:rPr>
            </w:pPr>
          </w:p>
          <w:p>
            <w:pPr>
              <w:spacing w:line="560" w:lineRule="exact"/>
              <w:rPr>
                <w:rFonts w:ascii="黑体" w:eastAsia="黑体"/>
                <w:color w:val="000000"/>
                <w:sz w:val="18"/>
              </w:rPr>
            </w:pPr>
          </w:p>
          <w:p>
            <w:pPr>
              <w:pStyle w:val="15"/>
              <w:spacing w:line="560" w:lineRule="exact"/>
            </w:pPr>
          </w:p>
          <w:p>
            <w:pPr>
              <w:pStyle w:val="17"/>
              <w:spacing w:after="0" w:line="560" w:lineRule="exact"/>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51320026T000014111006-民政事业发展补助资金</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开展“蜀光工程”公益助残项目，为困难家庭白内障患者解除疾苦、重见光明、回归正常生活。</w:t>
            </w:r>
          </w:p>
          <w:p>
            <w:pPr>
              <w:spacing w:line="560" w:lineRule="exact"/>
              <w:rPr>
                <w:rFonts w:ascii="宋体" w:eastAsia="宋体" w:cs="Lucida Sans"/>
                <w:color w:val="000000"/>
                <w:sz w:val="18"/>
              </w:rPr>
            </w:pP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此项目实施时间为2025年4月-2026年6月，目前完成304例，支付资金52.53万元，项目正在持续实施中。</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2025年4月-2026年6月，省民政厅投入70万元补助350名白内障患者复明手术，符合《蜀光工程》白内障手术项目补助条件的，在我州指定合作医院中手术的病员，完成医保报销后，患者享受人均2000元的补助，确保救治患者免费治疗。阿坝州人民医院承担200名白内障患者免费复明手术，补助金额40万元，汶川县人民医院承担150名白内障患者免费复明手术，补助金额30万元。</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52.53</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52.53</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52.53</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52.53</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白内障手术实施人数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304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提升受助对象的生活质量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项目实施完成时间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2026年8月15日前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民政事业发展成效</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成效显著</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成效明显</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可持续影响指标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“蜀光工程”受助人员持续增加</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持续增加</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持续增加</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白内障手术对象满意度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减少受助人员家庭经济负担</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元/人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304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项目绩效自评总体得分204分。项目实施取得了一定成果，帮助我州众多患者重见光明。</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我州属于高原地区，海波较高，日晒较长，紫外线较强容易导致群众患上白内障疾病，但是更多的患者对此项目的知晓度不够，在宣传方面需加大宣传力度。</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加强培训，强化人才培养与队伍建设，出台激励政策。加强与卫生健康、残联等部门的合作，整合资源，加强信息共享，形成工作合力。</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51320026T000014494274-四川省社会救助综合服务平台和低收入人口动态监测预警平台建设项目维护服务</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以集约化思想建设社会救助综合服务平台、低收入人口资源库及监测预警平台强化社会救助数据资源、服务能力的建设，保障公民的基本生活，促进社会公平，维护社会和谐稳定，以现有的民政救助信息化系统、政务信息共享平台、数据资源局云平台等为基础，构建社会救助综合服务平台、低收入人口资源库及监测预警平台，通过创新社会救助工作和管理模式，完善社会救助信息共享与监管，加强部门之间的统筹协调和密切配合，加强救助效果分析和工作监督，提升社会救助整体效益，形成分工协作、齐抓共管、全面推进的良好局面。</w:t>
            </w:r>
          </w:p>
          <w:p>
            <w:pPr>
              <w:spacing w:line="560" w:lineRule="exact"/>
              <w:rPr>
                <w:rFonts w:ascii="宋体" w:eastAsia="宋体" w:cs="Lucida Sans"/>
                <w:color w:val="000000"/>
                <w:sz w:val="18"/>
              </w:rPr>
            </w:pP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一是强化统筹，优化督导路线和频次，尽量合并任务，降低交通成本，提高资金使用效益。二是创新培训，探索运用线上培训、以干代训等方式，提升培训覆盖面和实效性。三是完善协同，加强与财政、医保、残联等部门的信息共享，减少重复核查，形成工作合力，进一步提升社会救助整体质效。</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平台日常技术维护，包括系统BUG修复、故障处理、数据维护、硬件调试、定期巡检、功能本地化调整、操作培训及应急响应等服务。确保两个业务平台安全、稳定、高效运行，支撑全州社会救助工作数字化转型，提升基层经办服务效率。支持方向为支付第三方运维服务费用，涵盖系统维护、技术支持、人员培训等。</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对新申请城乡低保、特困人员、临时救助人员和未纳入保障范围内的人员进行预警监测</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450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对暂时不符合低保、特困进行监测</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及时对不符合城乡低保、特困人员、临时救助人员进行回复</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对新申请城乡低保、特困人员、临时救助人员应保尽保，应助尽助。</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平台长期对新申请城乡低保、特困人员、临时救助人员进行预警监测</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群众满意度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每年向财政申请平台维护费用</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2.58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67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项目绩效自评总体得分204分。项目实施达到预期效果，有效保障了四川省社会救助综合服务平台和低收入人口动态监测预警平台的安全稳定运行，为全州社会救助工作提供了可靠的技术支撑。</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一是部分偏远乡镇网络条件较差，偶有系统登录缓慢现象，运维方虽能远程指导但难以根本解决；二是本地化功能调整需求偶有临时增加，有时超出常规运维范围，需启动额外沟通流程；三是对基层操作人员的个性化指导还不够深入。</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一是强化网络协同，加强与通信运营商沟通，协调改善偏远地区网络基础设施，同时优化系统轻量化运行能力。二是完善需求管理，进一步梳理本地化调整的常规需求和非常规需求，明确运维边界，对重大功能调整提前纳入预算规划。三是深化培训指导，除集中培训外，探索制作操作短视频、编制简易手册等方式，方便基层人员随时查阅学习，持续提升系统应用水平。</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p>
            <w:pPr>
              <w:pStyle w:val="15"/>
              <w:spacing w:line="560" w:lineRule="exact"/>
            </w:pPr>
          </w:p>
          <w:p>
            <w:pPr>
              <w:pStyle w:val="17"/>
              <w:spacing w:after="0" w:line="560" w:lineRule="exact"/>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51320025T000012578249-儿童福利工作专项经费</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各县（市）儿童主任、民政部门工作人员工作开展中的相关儿童福利政策、工作职责、出现的重点、难点问题等进行详细的讲解，进一步提升基层工作人员对政策的知悉率达到90%及以上。压实相关的工作职责；印制《未成年人保护法》、《预防未成年人犯罪法》及未成年人保护六项措施、关爱困境儿童三年行动等儿童福利现行政策宣传资料，通过宣传提高儿童福利政策知晓率，加强未成年人权益保护，提升儿童福利工作水平。</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已完成对各县（市）儿童主任及民政工作人员的政策、职责、重难点讲解，全力推动基层政策知悉率达90%以上，压实工作职责，印制发放相关政策宣传资料，助力提升政策知晓率与儿童福利工作水平。</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实施中主要对民政相关工作人员、儿童督导员、儿童主任开展儿童福利政策、工作职责、出现的重点、难点问题等进行详细督导，并全力推动基层政策知悉率达90%以上，压实工作职责，印制发放相关政策宣传资料，助力提升政策知晓率与儿童福利工作水平。</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9.18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9.18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9.18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9.18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宣传资料印制份数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6500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份</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460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2"/>
              </w:rPr>
            </w:pPr>
            <w:r>
              <w:rPr>
                <w:rFonts w:ascii="仿宋_GB2312" w:eastAsia="仿宋_GB2312" w:cs="Lucida Sans"/>
                <w:color w:val="000000"/>
                <w:sz w:val="12"/>
              </w:rPr>
              <w:t>宣传资料由单份综合印制为综合资料，故打印份数缩减为460份</w:t>
            </w: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资料印刷合格率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2"/>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按时完成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2"/>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民政儿童福利政策知晓率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91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2"/>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抽样受宣传人员满意度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2"/>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各县宣传资料印制平均数量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份/县</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36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2"/>
              </w:rPr>
            </w:pPr>
            <w:r>
              <w:rPr>
                <w:rFonts w:ascii="仿宋_GB2312" w:eastAsia="仿宋_GB2312" w:cs="Lucida Sans"/>
                <w:color w:val="000000"/>
                <w:sz w:val="12"/>
              </w:rPr>
              <w:t>宣传资料由单份综合印制为综合资料，故打印份数缩减</w:t>
            </w: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儿童工作办公成本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6.34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8"/>
              </w:rPr>
            </w:pPr>
            <w:r>
              <w:rPr>
                <w:rFonts w:ascii="仿宋_GB2312" w:eastAsia="仿宋_GB2312" w:cs="Lucida Sans"/>
                <w:color w:val="000000"/>
                <w:sz w:val="18"/>
              </w:rPr>
              <w:t>项目实施取得显著成效，已完成对各县（市）儿童主任及民政工作人员的政策、工作职责、工作重难点全面讲解，有效提升基层工作人员政策理解与执行能力，全力推动基层政策知悉率达到90%以上。同时，压实各级相关工作职责，印制并发放儿童福利相关政策宣传资料，广泛普及政策知识，进一步提高了儿童福利政策知晓率，强化了未成年人权益保护，切实提升了基层儿童福利工作规范化水平，为儿童福利事业高质量发展奠定坚实基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8"/>
              </w:rPr>
            </w:pPr>
            <w:r>
              <w:rPr>
                <w:rFonts w:ascii="仿宋_GB2312" w:eastAsia="仿宋_GB2312" w:cs="Lucida Sans"/>
                <w:color w:val="000000"/>
                <w:sz w:val="18"/>
              </w:rPr>
              <w:t>结合自评情况，当前工作仍存在一些问题：政策讲解深度不足，部分基层工作人员对政策细节掌握不扎实，政策知悉率未完全稳定在90%以上；宣传资料由单份一政策印制为综合资料，故打印份数缩减；政策宣传形式较为单一，覆盖面和渗透力有限，未能充分提升群众政策知晓率。主要原因是对基层实际需求调研不深入，工作方式缺乏创新，督导检查力度不足，未能及时发现并解决基层落实中的薄弱环节。</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8"/>
              </w:rPr>
            </w:pPr>
            <w:r>
              <w:rPr>
                <w:rFonts w:ascii="仿宋_GB2312" w:eastAsia="仿宋_GB2312" w:cs="Lucida Sans"/>
                <w:color w:val="000000"/>
                <w:sz w:val="18"/>
              </w:rPr>
              <w:t>针对项目自评发现的问题，下一步改进建议如下：一是深化政策讲解，结合基层实际细化培训内容，确保政策知悉率稳定在90%以上；二是强化督导考核，进一步压实基层工作职责，提升履职主动性；三是创新宣传形式，加强宣传资料印制计划，拓宽宣传渠道，增强政策宣传覆盖面与渗透力。建议完善基层培训长效机制，加大政策宣传投入，助力提升儿童福利工作规范化、精细化水平。</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项目负责人：申振鹏</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51320022T000004704282-州慈善总会办公室专项经费</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照2025年工作计划安排，初步制定以下工作目标：第一，完成省民政厅、省慈社服务中心级省慈善联合总会下达的各项工作任务，主要包括各慈善项目的申请、执行、整理、上报。第二，加强与省、市（州）、浙江省慈善组织的交流和协作；第三，完成日常慈善捐赠物资的接收和使用工作；第四，组织全州慈善会业务人员外地先进慈善会进行交流学习，并就《中华人民共和国慈善法》等相关法律、法规和制度以及业务能力提升的相关内容进行培训；第五，推进和服务全州慈善组织依法依规开展慈善活动，大力宣传慈善爱心文化，让慈善理念深入人心；第六，保障慈善事业发展人员差旅及公务用车运行维护；第七制作相关宣传广告、图文资料及音像视频等宣传品，进一步切实加大对慈善总会公益品牌活动宣传，不断创新宣传工作方式方法，全力构建慈善总会大宣传格局，大力动员社会各界积极支持和参与慈善总会事业。第八，召开阿坝州慈善总会理事会相关会议。第九通过开展慈善活动，提升社会救助水平，改善困难群众生活条件，贫困率有所下降。</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已全面完成省、州级慈善工作任务，规范做好捐赠物资管理使用；组织业务培训与慈善宣传，召开理事会，有效提升救助水平，改善困难群众生活。</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本项目严格按年度计划推进：落实省级慈善项目任务，规范捐赠物资管理；组织业务交流与《慈善法》培训，提升队伍能力；制作多类宣传品弘扬慈善理念；保障公务出行，召开理事会；开展公益活动，提升社会救助水平，改善困难群众生活。</w:t>
            </w:r>
          </w:p>
        </w:tc>
      </w:tr>
      <w:tr>
        <w:trPr>
          <w:trHeight w:val="13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19.81</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19.81</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7</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19.81</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19.81</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理事会召开次数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完成慈善活动数量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培训次数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慈善工作规范率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贫困率下降</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有所下降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有所下降</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受助对象满意度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95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本项目严格按年度计划推进：落实省级慈善项目任务，规范捐赠物资管理；组织业务交流与《慈善法》培训，提升队伍能力；制作多类宣传品弘扬慈善理念；保障公务出行，召开理事会；开展公益活动，提升社会救助水平，改善困难群众生活。</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慈善宣传方式较为传统，新媒体运用不足；基层慈善队伍专业能力有待提升。</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创新宣传载体，强化新媒体运用；加强业务培训，提升队伍专业素养。</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项目负责人：泽晓欢</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51320023T000007892225-福彩帮困助学项目</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本年目标如下：1.贫困学生50名，每人资助5000元。2，被省内外大专及以上院校录取具有阿坝州户籍的贫困家庭学生；低保户、脱贫户、孤儿（含事实孤儿）、贫困烈（军）属子女、贫困残疾人子女、贫困见义勇为者子女和丧失主要劳动力的贫困家庭学生优先资助。</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8"/>
              </w:rPr>
            </w:pPr>
            <w:r>
              <w:rPr>
                <w:rFonts w:ascii="仿宋_GB2312" w:eastAsia="仿宋_GB2312" w:cs="Lucida Sans"/>
                <w:color w:val="000000"/>
                <w:sz w:val="18"/>
              </w:rPr>
              <w:t>已按计划资助贫困学生50名，每人资助标准5000元，均为符合条件的困难家庭学生；助学工作按时完成率达100%，于本年度内顺利结束，有效保障了困难学生就学需求。</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8"/>
              </w:rPr>
            </w:pPr>
            <w:r>
              <w:rPr>
                <w:rFonts w:ascii="仿宋_GB2312" w:eastAsia="仿宋_GB2312" w:cs="Lucida Sans"/>
                <w:color w:val="000000"/>
                <w:sz w:val="18"/>
              </w:rPr>
              <w:t>本项目通过精准摸排，确定50名符合条件的贫困学生，按每人5000元标准发放资助金；同步开展政策宣传与信息核实，规范资金拨付流程，确保专款专用，按时完成全部助学任务。</w:t>
            </w:r>
          </w:p>
        </w:tc>
      </w:tr>
      <w:tr>
        <w:trPr>
          <w:trHeight w:val="361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8"/>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帮困学生数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6"/>
              </w:rPr>
            </w:pPr>
            <w:r>
              <w:rPr>
                <w:rFonts w:ascii="仿宋_GB2312" w:eastAsia="仿宋_GB2312" w:cs="Lucida Sans"/>
                <w:color w:val="000000"/>
                <w:sz w:val="16"/>
              </w:rPr>
              <w:t>50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助学工作按时完成率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6"/>
              </w:rPr>
            </w:pPr>
            <w:r>
              <w:rPr>
                <w:rFonts w:ascii="仿宋_GB2312" w:eastAsia="仿宋_GB2312"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本年度内</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6"/>
              </w:rPr>
            </w:pPr>
            <w:r>
              <w:rPr>
                <w:rFonts w:ascii="仿宋_GB2312" w:eastAsia="仿宋_GB2312" w:cs="Lucida Sans"/>
                <w:color w:val="000000"/>
                <w:sz w:val="16"/>
              </w:rPr>
              <w:t>12月30日</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社会影响</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助学帮扶,提高困难学生帮扶</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6"/>
              </w:rPr>
            </w:pPr>
            <w:r>
              <w:rPr>
                <w:rFonts w:ascii="仿宋_GB2312" w:eastAsia="仿宋_GB2312" w:cs="Lucida Sans"/>
                <w:color w:val="000000"/>
                <w:sz w:val="16"/>
              </w:rPr>
              <w:t>帮扶贫困学生50人</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可持续影响指标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教育成果改善</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学生学习成果持续上升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6"/>
              </w:rPr>
            </w:pPr>
            <w:r>
              <w:rPr>
                <w:rFonts w:ascii="仿宋_GB2312" w:eastAsia="仿宋_GB2312" w:cs="Lucida Sans"/>
                <w:color w:val="000000"/>
                <w:sz w:val="16"/>
              </w:rPr>
              <w:t>贫困学生学习成果有所提高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帮扶对象满意度指标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帮困学生满意度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6"/>
              </w:rPr>
            </w:pPr>
            <w:r>
              <w:rPr>
                <w:rFonts w:ascii="仿宋_GB2312" w:eastAsia="仿宋_GB2312"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人均资助标准</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5000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color w:val="000000"/>
                <w:sz w:val="16"/>
              </w:rPr>
            </w:pPr>
            <w:r>
              <w:rPr>
                <w:rFonts w:ascii="仿宋_GB2312" w:eastAsia="仿宋_GB2312" w:cs="Lucida Sans"/>
                <w:color w:val="000000"/>
                <w:sz w:val="16"/>
              </w:rPr>
              <w:t>5000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8"/>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96</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b w:val="0"/>
                <w:i/>
                <w:color w:val="000000"/>
                <w:sz w:val="18"/>
              </w:rPr>
            </w:pPr>
            <w:r>
              <w:rPr>
                <w:rFonts w:ascii="仿宋_GB2312" w:eastAsia="仿宋_GB2312" w:cs="Lucida Sans"/>
                <w:b w:val="0"/>
                <w:i/>
                <w:color w:val="000000"/>
                <w:sz w:val="18"/>
              </w:rPr>
              <w:t>本项目自评总分为96分，预算执行率100%，圆满完成帮困学生50人的目标，助学工作按时完成率100%，人均资助标准落实到位，学生满意度达95%。项目有效帮扶了困难学生，提升了教育保障水平，取得了良好的社会效益，达到了预期绩效目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b w:val="0"/>
                <w:i/>
                <w:color w:val="000000"/>
                <w:sz w:val="18"/>
              </w:rPr>
            </w:pPr>
            <w:r>
              <w:rPr>
                <w:rFonts w:ascii="仿宋_GB2312" w:eastAsia="仿宋_GB2312" w:cs="Lucida Sans"/>
                <w:b w:val="0"/>
                <w:i/>
                <w:color w:val="000000"/>
                <w:sz w:val="18"/>
              </w:rPr>
              <w:t>收集资料困难，资料汇总迟缓。主要原因是困难学生分布较为分散，跨区域摸排和资料收集耗时较长，一定程度上影响了整体工作进度。</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仿宋_GB2312" w:eastAsia="仿宋_GB2312" w:cs="Lucida Sans"/>
                <w:b w:val="0"/>
                <w:i/>
                <w:color w:val="000000"/>
                <w:sz w:val="18"/>
              </w:rPr>
            </w:pPr>
            <w:r>
              <w:rPr>
                <w:rFonts w:ascii="仿宋_GB2312" w:eastAsia="仿宋_GB2312" w:cs="Lucida Sans"/>
                <w:b w:val="0"/>
                <w:i/>
                <w:color w:val="000000"/>
                <w:sz w:val="18"/>
              </w:rPr>
              <w:t>1. 优化摸排机制：联合各县（市）民政、教育部门建立学生信息共享机制，提前梳理困难学生分布情况，采用线上填报+线下分片包干的方式，提升资料收集效率。2. 简化报送流程：设计标准化电子表单与资料清单，通过政务微信、线上平台推送填报指引，减少学生及家庭重复提交材料，加快资料汇总进度。3. 强化协同联动：建立季度工作调度会，明确各环节时限要求，压实县（市）级经办责任，对进度滞后的地区及时督导，保障项目全流程高效推进。4. 拓展宣传渠道：通过乡镇、学校、村社多渠道宣传助学政策，提前告知申报要求，提升家庭主动申报意愿，从源头缓解资料收集压力。</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项目负责人：泽晓欢</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51320025T000013718387-移动云—云信大数据服务</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加强惠民补贴政策宣传，全面实现从“群众找政策”到“政策找人”的转变，确保群众全面了解各类民政政策。</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已发送惠民政策宣传短信100万条，覆盖目标人群，政策知晓度有效提升，宣传及时率90%，受益人群覆盖率70%，群众满意度90%，成本控制在8.7万元以内。全面完成年度目标。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与移动公司合作，利用移动云平台向全州群众发送惠民政策宣传短信。全年累计发送短信100万条，覆盖目标人群，实现“群众找政策”到“政策找人”的转变，有效提升政策知晓率。</w:t>
            </w:r>
          </w:p>
        </w:tc>
      </w:tr>
      <w:tr>
        <w:trPr>
          <w:trHeight w:val="13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8.68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8.68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8.68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8.68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发送各类惠民政策宣传短信</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100万条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提升群众各类民政政策知晓度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政策宣传对象中受益人群的覆盖率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70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75%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宣传各类政策及时率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提升公众对民政政策的认识，进而民政良性事业发展</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促进作用</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促进作用</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群众对新宣传方式（短信宣传）的满意度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短信宣传民政政策成本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87000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87000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项目按计划完成，发送短信100万条，有效提升群众政策知晓度，满意度达90%，成本控制良好，取得较好社会效益。</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进一步优化短信内容，探索多渠道宣传方式，提升宣传精准度。</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p>
            <w:pPr>
              <w:spacing w:line="560" w:lineRule="exact"/>
              <w:rPr>
                <w:rFonts w:ascii="宋体" w:eastAsia="宋体"/>
                <w:sz w:val="18"/>
              </w:rPr>
            </w:pPr>
          </w:p>
          <w:p>
            <w:pPr>
              <w:pStyle w:val="15"/>
              <w:spacing w:line="560" w:lineRule="exact"/>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51320022T000000341759-电子政务运行维护及档案数字化建设经费</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保证民政会议系统、门户网站维护、电子政务运行网络费及档案数字化建设.</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完成各类系统及网站维护，电子信息化建设通过率100%，维护通过率100%，项目按时完成，民政服务能力提升95%，工作人员及服务对象满意度均达95%。全面完成目标。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对民政会议系统、门户网站、电子政务网络进行常态化维护，确保系统稳定运行；同步开展档案数字化建设，完成档案扫描、录入及数据库建设，提升信息化服务水平。</w:t>
            </w:r>
          </w:p>
        </w:tc>
      </w:tr>
      <w:tr>
        <w:trPr>
          <w:trHeight w:val="672"/>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4.52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4.52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4.52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4.52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nil"/>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nil"/>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nil"/>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nil"/>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nil"/>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产出指标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数量指标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维护系统及网站数量</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w:t>
            </w:r>
          </w:p>
        </w:tc>
        <w:tc>
          <w:tcPr>
            <w:tcW w:w="742" w:type="dxa"/>
            <w:tcBorders>
              <w:top w:val="nil"/>
              <w:left w:val="nil"/>
              <w:bottom w:val="nil"/>
              <w:right w:val="nil"/>
              <w:tl2br w:val="nil"/>
              <w:tr2bl w:val="nil"/>
            </w:tcBorders>
            <w:noWrap/>
            <w:vAlign w:val="center"/>
          </w:tcPr>
          <w:p>
            <w:pPr>
              <w:spacing w:line="560" w:lineRule="exact"/>
              <w:jc w:val="center"/>
              <w:rPr>
                <w:rFonts w:ascii="宋体" w:eastAsia="宋体" w:cs="Lucida Sans"/>
                <w:color w:val="000000"/>
                <w:sz w:val="20"/>
              </w:rPr>
            </w:pPr>
            <w:r>
              <w:rPr>
                <w:rFonts w:ascii="宋体" w:eastAsia="宋体" w:cs="Lucida Sans"/>
                <w:color w:val="000000"/>
                <w:sz w:val="20"/>
              </w:rPr>
              <w:t>套</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产出指标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质量指标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电子信息化建设通过率</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产出指标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时效指标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项目完成时间</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定性</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2025年12月</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按期完成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产出指标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质量指标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维护系统网站数量通过率</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效益指标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社会效益指标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提升民政服务能力</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满意度指标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服务对象满意度指标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工作人员满意度</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nil"/>
              <w:left w:val="single" w:sz="6" w:space="0" w:color="000000"/>
              <w:bottom w:val="single" w:sz="6" w:space="0" w:color="000000"/>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满意度指标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满意度指标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服务对象满意度</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spacing w:line="560" w:lineRule="exact"/>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系统运行稳定，档案数字化建设顺利，通过率高，服务能力提升明显，满意度达标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加强日常运维监测，定期安全检查，确保系统长期稳定。</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51320023T000007866602-车辆大修</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该两辆车于2009年购置，分别已行驶60万公里。因车辆使用时间长，为确保车辆行驶安全，川UQ7777、 川U16888进行大修，通过车辆大修提高车辆安全性能，保障公务用车安全运行。</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完成2辆公务用车大修，工作完成率100%，按期完成，车辆安全运行率100%，用车人员满意度98%，节约购置成本0.1万元。全面完成目标。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对川UQ7777、川U16888两辆公务用车进行大修。经公开询价确定维修单位，严格监督维修过程，按期完成大修，车辆安全性能恢复，保障公务出行安全。</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16.00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15.92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15.90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99.91%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9.9</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16.00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15.92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15.90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99.91%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完成车辆大修数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辆</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2辆</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工作完成率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维修完成时间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按期完成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按期完成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车辆安全运行率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工作人员满意度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用车人员满意度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节约车辆购置成本金额</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0.02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车辆大修按期完成，质量合格，安全运行率100%，节约成本，用车人员满意。</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加强日常保养，延长车辆使用寿命，降低维修成本。</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51320025T000012838593-档案数字化建设专项经费</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加强档案保管保护工作的规范化和专业化,有效开展机关档案室标准化建设工作.</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建成档案数据库1个、示范档案室1个，设备验收合格率100%，档案查询效率显著提升，满意度85%。全面完成目标。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启动档案数字化建设，建成档案数据库1个、示范档案室1个。完成档案硬件设备采购及验收，实现档案查询电子化，提高档案管理效率和规范化水平。</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建设档案数据库</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1个</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示范档案室建成数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1个</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档案设备验收合格率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建设周期</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长期</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长期</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提高档案查询效率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档案查询群体满意度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85%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档案硬件设施费</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5万元</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档案数据库和示范档案室建成，设备合格率100%，查询效率提高，满意度达标。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完善档案数字化管理，加强数据安全，推动资源共享。</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51320025T000013718714-阿坝州民政局视频系统会议系统建设项目</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增强全州各级民政部门之间的沟通交流，充分整合各部门之间的会议资源，根据省厅有关要求，在现有高清视频会议系统上，建设完成省厅-州局-县（市）民政局高清视频会议系统的互联互通，并通过视频会议系统加强协调、协作。</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建成省-州-县三级视频会议系统，全年召开会议50余次，系统正常运行率99%，故障解决及时率99%，对接及时率99%，缩减差旅成本显著，满意度96%，运行成本13万元。全面完成目标。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在现有高清视频会议系统基础上进行维修维护，全面实现省厅-州局-县（市）民政局三级互联互通。全年召开视频会议50余次，系统运行稳定，显著缩减差旅成本，提升沟通效率。</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13.02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13.02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13.02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13.02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全年省、州、县视频会议及各类工作调度次数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50余次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系统正常运行率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系统解决故障及时率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及时参加省级会议，按照要求对接到县市</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缩减差旅费用成本、提高管理成效</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显著提升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显著提升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省厅-州局-县（市）民政局对高清视频会议系统的互联互通的满意度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系统保障运行成本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131000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130200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视频会议系统实现互联互通，运行稳定，会议效率提升，成本控制良好，满意度高。</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加强系统维护，定期培训，探索更多应用场景</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51320022T000006150947-两项改革“后半篇”文章专项资金</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开展全省两项改革“后半篇”工作及州委重点工作部署延伸，按照省委、州委总体部署安排和州委2024年初部署的专项工作（属于两项改革“后半篇”的延伸工作，州委主要领导多次就相关工作作出重要批示），制定2025年重点项目和重点任务，建立州级巡回督导组适时开展督查检查，积极向上争取汇报，确保年底完成省级2025年度目标任务。具有相应的质量检查、验收等必要的控制措施或手段，有针对突发事件或未知风险的应急措施等。按照2024年度资金使用情况分析，两项改革“后半篇”及州委专项工作涉及两项改革“后半篇”的延伸资金主要用于：报送资料的打印、复印资料经费、采购办公及相关设施设备经费、专项业务经费、差旅费用、业务用车支出、会议费用、相关项目经费及其他省、州要求的相关图纸制作经费，绩效目标和绩效指标已量化可考核，并纳入年度省州县三级目标绩效考核内容，符合政策要求，与省级2021年至2025年规划一致，全面完成省州既定目标并通过两项改革后半篇工作提升基层治理水平，增强群众获得感。</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2025年全面完成省州两项改革“后半篇”年度目标，完成阿坝州行政区划图编制项目招标制作，落实巡回督导、质量验收与应急管控，资金规范使用，绩效指标全部达标，基层治理效能与群众获得感持续提升。</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本项目围绕两项改革“后半篇”工作及州委重点工作部署延伸，落实省委、州委总体安排，推进2025年重点项目与任务落地。实施内容包括招标制作阿坝州行政区划图编制项目，规范使用专项资金，开展业务推进、资料报送等相关工作；过程中建立州级巡回督导机制，加强督查检查，做好质量验收与风险应急管控，积极向上汇报争取支持，确保完成省级年度目标，同步提升基层治理水平。</w:t>
            </w:r>
          </w:p>
        </w:tc>
      </w:tr>
      <w:tr>
        <w:trPr>
          <w:trHeight w:val="13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70.00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35.74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35.74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70.00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35.74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35.74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督导检查次数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召开工作会议次数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资料印制次数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印刷资料合格率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755"/>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3"/>
                <w:szCs w:val="13"/>
              </w:rPr>
            </w:pPr>
            <w:r>
              <w:rPr>
                <w:rFonts w:ascii="宋体" w:eastAsia="宋体" w:cs="Lucida Sans"/>
                <w:color w:val="000000"/>
                <w:sz w:val="13"/>
                <w:szCs w:val="13"/>
              </w:rPr>
              <w:t>2025年12月31日前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1"/>
                <w:szCs w:val="11"/>
              </w:rPr>
            </w:pPr>
            <w:r>
              <w:rPr>
                <w:rFonts w:ascii="微软雅黑" w:eastAsia="微软雅黑" w:cs="Lucida Sans"/>
                <w:b w:val="0"/>
                <w:i/>
                <w:color w:val="000000"/>
                <w:sz w:val="11"/>
                <w:szCs w:val="11"/>
              </w:rPr>
              <w:t>2025年12月31日前已完成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提升基层治理水平，增强群众获得感。</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显著提升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显著提升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受众群体满意度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项目预算控制率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51.06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95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经自评，本项目自评得分95分。项目有序推进两项改革“后半篇”及州委重点工作，督导有力、资金使用规范，圆满完成年度目标任务，基层治理水平持续提升，群众获得感明显增强，各项指标均达到预期绩效要求。</w:t>
            </w: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项目预算控制率偏低，预算与执行衔接不够紧密，需进一步强化资金统筹与执行预判。</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强化预算与项目执行挂钩管理，科学做好执行预判，提升预算控制水平。</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项目负责人：张明灵</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51320023T000007886993-老年博览会专项工作专项经费</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“四川老博会”已被四川省人民政府办公厅作为培育扶持的“四川特色会展品牌”纳入我省《“十三五”会展业发展规划》</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根据2025年四川省民政厅重点工作任务，组织全州13县市民政局，参加第六届四川老博会。涉及搭建阿坝州展馆，组织展示全州养老服务事业和产业、阿坝州老年人良好风貌，积极通过老博会平台宣传、推介阿坝州优质养老资源。</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5月25日-29日，以“安逸四川·幸福银发”为主题的第六届四川国际养老服务业暨养老产业博览会在成都盛大举办。我州参展以“天下九寨沟 大美阿坝州”为主题，深度融合“自驾之州、研学之州、民宿之州、网红之州、好客之州”五大特色元素，精心打造“颐养展示区、孝老展示区、发展展示区”三大主题展区，组织10家涉老企业携120余类特色展品集中亮相，全方位展示民族地区养老服务体系建设成果、老年教育与文化艺术发展成就，重点推介旅养康养、智慧养老等特色资源及孝老敬老文化，吸引超2万余人次驻足参观，为推动民族地区旅养、养老服务事业高质量发展注入了强劲动力。</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59.79</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59.66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99.78%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59.79</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59.66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99.78%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拟申请展位总面积</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286</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平方米</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286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18</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布展项目验收合格率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12</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12</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节目演出每场会展最低时间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分钟</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30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银发经济发展</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有效助推</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有效助推</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社会对高质量养老方面的关注度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有效增加</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有效增加</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67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社会对我州养老工作推进的满意度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较为满意</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满意</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展位每平方预计成本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600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元/平方米</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589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搭建场地300平方米的单位成本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1300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元/平方米</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1300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color w:val="000000"/>
                <w:sz w:val="16"/>
              </w:rPr>
            </w:pPr>
            <w:r>
              <w:rPr>
                <w:rFonts w:ascii="微软雅黑" w:eastAsia="微软雅黑" w:cs="Lucida Sans"/>
                <w:color w:val="000000"/>
                <w:sz w:val="16"/>
              </w:rPr>
              <w:t>本项目自评总分为100分。有效完成了省民政厅工作目标任务。为充分利用好四川国际“老博会”平台，展示我州养老服务业取得的成果，宣传我州优势养老服务资源的影响力，助推民族地区养老服务的发展，充分展示我州老年人良好的精神、文化、生活风采。按照工作安排，我州设立阿坝州展馆，以“天下九寨沟 大美阿坝州”为主题，涉及搭建，深度融合“自驾之州、研学之州、民宿之州、网红之州、好客之州”五大特色元素，精心打造“颐养展示区、孝老展示区、发展展示区”三大主题展区，组织10家涉老企业携120余类特色展品集中亮相，全方位展示民族地区养老服务体系建设成果、老年教育与文化艺术发展成就，重点推介旅养康养、智慧养老等特色资源及孝老敬老文化，吸引超2万余人次驻足参观，为推动民族地区旅养、养老服务事业高质量发展注入了强劲动力。</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因我州本土各县市涉老产品较其他地市州比较较少，组织和参与的涉老企业较少，培育和发展本土涉老服务产业还需持续通过参与老博会持续推进。</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下一步，持续坚持参与省级组织的老博会，借助老博会平台积极学习、借鉴养老服务产业发展经验，加大培育本土涉老服务企业。</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项目负责人：彭闰</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51320025T000012190241-养老公共服务能力提升专项经费</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阿坝州“数字护老”系统主要是通过建设与全州民政服务机构视频监控系统串联，建立24小时州对机构的互联互通系统。有效解决民政部门对养老机构的监管盲区和覆盖面问题。该系统的建立进一步降低了对民政服务机构的监管成本，进一步提升了对全州运营养老机构的监管能力。</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推进“数字护老”系统建设。结合全州养老机构管理实际，确保视频监控系统在2025年正常运转，完成20个机构监控联网、调度视频系统、调度中心的硬件正常运营。通过数字护老系统有有效运营，有效加大了民政部门对养老机构的监管，通过视频调度的方式降低了民政部门对养老机构监管成本。提升了养老服务机构综合监管能力。</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依托中国移动网络专线平台，保障了“数字护老”视频监控系统有效运行。该项目的持续实施，实现了州民政局直接通过视频监控系统，调度、了解全州20个机构的日常运行情况，及时。通过项目的实施，降低了州局实地开展安全督查成本，对核实实际情况、督促养老机构安全管理起到了积极作用。该项目确保了2025年全年12月全时段视频监控，提升了民政部门综合监管养老服务能力。</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15.00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20个机构视频监控系统</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建立1个州级调度系统</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套</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系统建立后可实现对20个机构日实时调度时间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24</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小时</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建立平台后，对20个机构有效监管</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平台的建立实现了阿坝州智慧养老”零”突破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为养老事业持续赋能</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持续赋能</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67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平台运行后，监管部门满意度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85%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建立平台后，可通过视频事实调度查看情况，减少到实地检查成本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有效降低成本</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有效降低</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本项目自评总分为100分。有效完成了民政部门对养老服务机构的日常监管工作。通过在20个民政服务机构设立的视频监控调度设备，依托州级调度平台对机构安全管理工作进行日常监管、调度，及时了解、掌握民政服务机构安全生产管理情况。进一步增强了对民政服务机构监管工作能力。</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该系统只能实现州对民政服务机构点对点调度、监控，与县级民政部门自建系统融合度不高。</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持续加大硬件投入，优化系统兼容性。</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项目负责人：彭闰</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51320025T000013864819-移动公司转入数字护老服务系统建设项目(质保金)</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有效保障养老事业的良性发展</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按照项目合同，确保系统后续维护运营。</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根据合同，待系统有效运营1年后退还质保金</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系统调度的下一级（市）县数量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113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113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系统运行保障率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有效运行</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有效运行</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系统全天24小时运行保障时效</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24</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小时</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质保金及时支付率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有效保障养老事业的良性发展</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有效保障</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有效保障</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各市县对该系统使用质量满意度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该项目质保金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25171.29</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25171.29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按照合同，在确保系统服务运行1年后支付质保金</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项目负责人：彭闰</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51320025T000012814894-社会组织事务及政策法规专项</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开展社会组织培训及评估,促进社会组织健康有序发展，开展社会组织评估，健全操作规范、运转协调的评估工作机制，通过“以评促建、以评促管、以评促创”激励社会组织对照评估标准加强自身建设,发展一批服务有特色、能力强、公信力高、影响力大的社会组织品牌。加大对品牌社会组织的宣传力度，推广其成功做法和经验，引导我州各类社会组织整体健康有序发展。聘请法律顾问,促进依法决策、科学决策,发挥法律顾问在民政法治建设中的参谋助手作用，开展政策法规宣传等有效保障民政法治政府建设工作的顺利开展。根据《四川省民政厅关于印发&lt;四川省《婚姻登记工作规范》实施细则&gt;的通知》(川民发〔2019〕44号)通过开展婚姻登记培训、线上婚姻家庭辅导、婚姻政策法规宣传加强婚姻法律法规政策宣传教育，普及法律知识，提升婚姻登记队伍能力，强化婚姻文化建设，引导婚姻登记当事人树立健康、文明、向上的婚姻理念。按照民政厅工作要求，为提升殡葬便民服务水平，保障殡葬服务热线“96444”服务平台有效运行。</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本年度，围绕专项经费设定的年度目标，我局对照工作实际，逐项落实并完成相关工作。在社会组织事务方面，紧扣“促进社会组织健康有序发展”目标，持续推进社会组织规范化建设，强化登记审查与内部治理指导，深入开展突出问题专项整治，并统筹推进州、县两级孵化体系规范发展，同时深入实施社区社会组织“找、建、用、统”行动，不断提升社会组织发展质量。需说明的是，本年度实际工作主要侧重于规范化建设、专项整治及孵化培育，未专门组织开展社会组织培训及评估工作。在政策法规保障方面，聘请法律顾问采用“日常咨询+专项服务”模式，累计审查规范性文件及合同协议37份，协助处理行政争议1件，在民政法治建设中有效发挥了参谋助手作用，保障了依法决策与科学决策。在婚姻登记与殡葬服务方面，通过婚姻登记流程优化、婚姻家庭辅导服务体系建设及特色婚俗改革，有效提升了便民服务水平，开展了婚姻政策法规宣传，同时持续保障殡葬服务热线“96444”服务平台运行，确保相关服务工作按要求落实。</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本年度，项目围绕社会组织管理、政策法规保障及婚姻殡葬服务三条主线有序实施。在社会组织领域，项目重点推进了规范化建设与专项整治工作。年初印发专项行动方案，会同多部门建立协同机制，通过规范登记审查、强化内部治理指导、开展问题排查整治等措施，对36家存在问题的社会组织建立清单并逐一销号，已完成整改17家。同时，统筹推进州县两级孵化体系建设，州级孵化园通过政府采购委托专业机构运营，明确年度培育任务，小金、汶川等县孵化工作取得实质进展，全年累计备案社区社会组织282个，完成州本级社会组织审批服务42项。在法治保障方面，聘请法律顾问采取“日常咨询+专项服务”模式，对民政政策文件、合同协议进行合法性审查，全年累计审查规范性文件9份、合同协议28份，协助处理行政争议1件，有效防范法律风险。在婚姻登记与殡葬服务方面，重点优化登记流程，推动“全国通办”及“公民婚育”一件事一次办落实，完成婚姻历史档案电子化补录14.7万余份，并依托福彩公益金支持13个县（市）开展婚姻家庭辅导服务，累计接待辅导1100余人次。同时，保障殡葬服务热线“96444”平台有效运行，指导茂县、汶川等地打造羌族特色婚俗改革品牌，形成“婚俗+文旅”融合模式。项目实施过程中，注重部门协同与上下联动，确保各项工作按计划稳步推进。</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6.04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6.04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6.04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6.04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法律顾问服务次数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38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96444殡葬服务热线接通率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单位对法律顾问服务质量评价</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良好</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良好</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资金支付及时性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按时支付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按时支付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社会组织规范化运行水平提升程度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2025年度，该项目围绕年度目标有序推进实施。在社会组织管理方面，通过规范化建设、专项整治及孵化培育，有效促进了社会组织健康有序发展，但未按计划开展社会组织培训及评估工作。在法治保障方面，法律顾问服务扎实有效，为民政依法决策提供了有力支撑。在婚姻登记及殡葬服务方面，便民水平持续提升，婚俗改革特色鲜明，热线平台运行正常。总体来看，项目基本完成了年度既定任务，资金使用效益良好。</w:t>
            </w:r>
          </w:p>
          <w:p>
            <w:pPr>
              <w:spacing w:line="560" w:lineRule="exact"/>
              <w:rPr>
                <w:rFonts w:ascii="微软雅黑" w:eastAsia="微软雅黑" w:cs="Lucida Sans"/>
                <w:b w:val="0"/>
                <w:i/>
                <w:color w:val="000000"/>
                <w:sz w:val="16"/>
              </w:rPr>
            </w:pPr>
          </w:p>
          <w:p>
            <w:pPr>
              <w:spacing w:line="560" w:lineRule="exact"/>
              <w:rPr>
                <w:rFonts w:ascii="微软雅黑" w:eastAsia="微软雅黑" w:cs="Lucida Sans"/>
                <w:b w:val="0"/>
                <w:i/>
                <w:color w:val="000000"/>
                <w:sz w:val="16"/>
              </w:rPr>
            </w:pP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结合自评情况，分析存在的问题及原因。（200字以内）</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针对项目自评中发现的问题，提出下一步改进完善的意见及有关政策性建议。（200字以内）</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77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5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96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01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742"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01" w:type="dxa"/>
            <w:tcBorders>
              <w:top w:val="nil"/>
              <w:left w:val="nil"/>
              <w:bottom w:val="nil"/>
              <w:right w:val="nil"/>
              <w:tl2br w:val="nil"/>
              <w:tr2bl w:val="nil"/>
            </w:tcBorders>
            <w:noWrap/>
            <w:vAlign w:val="center"/>
          </w:tcPr>
          <w:p>
            <w:pPr>
              <w:spacing w:line="560" w:lineRule="exact"/>
              <w:rPr>
                <w:rFonts w:ascii="宋体" w:eastAsia="宋体"/>
                <w:color w:val="000000"/>
                <w:sz w:val="22"/>
              </w:rPr>
            </w:pPr>
          </w:p>
          <w:p>
            <w:pPr>
              <w:pStyle w:val="15"/>
              <w:spacing w:line="560" w:lineRule="exact"/>
            </w:pPr>
          </w:p>
        </w:tc>
        <w:tc>
          <w:tcPr>
            <w:tcW w:w="1000"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93"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245"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51320025T000013437861-社会组织孵化园维修改造项目</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孵化园维修改造项目</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本年度，社会组织孵化园维修改造项目按计划完成各项维修改造任务。针对园区设施老化、功能不全等问题，重点对一二楼厕所进行全面维修，完成取暖器维修、电表更换、窗户更新、停车场闸机安装、灯具更换、门锁更换及厕所爆管抢修等工作。通过维修改造，有效解决了园区日常运营中的安全隐患和功能短板，改善了办公环境，提升了设施运行效率，为入驻社会组织提供了更加安全、便捷、舒适的工作条件，保障了孵化园各项活动的正常开展，年度目标全面完成。</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实施过程中，重点围绕园区基础设施开展维修改造。一是对一二楼厕所进行整体维修，包括防水处理、洁具更换、管道疏通等，及时处置厕所爆管突发情况；二是对取暖器进行维修保养，确保冬季供暖正常；三是更换老化电表和破损窗户，提升用电安全和采光效果；四是安装停车场闸机，规范车辆进出管理；五是对园区内损坏灯具、门锁进行逐一更换，消除安全隐患。项目严格按照采购程序确定施工单位，施工过程中加强现场监管，确保工程质量和进度，各项维修改造均按计划完成并投入使用。</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4.44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4.44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4.44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4.44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维修改造项目数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维修改造个数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维修产品合格率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2025年12月31日前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2025年12月31日前</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67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孵化园效益</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显著提高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显著提高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群众满意度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维修改造质量保证金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722"/>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该项目资金使用规范，组织实施有序，维修改造内容全面覆盖了园区基础设施短板。通过维修改造，有效解决了厕所爆管、取暖故障、用电隐患等突出问题，园区整体环境明显改善，设施运行更加安全高效，为孵化园正常运营提供了有力保障。项目完成后，入驻社会组织反映良好，满意度较高。总体来看，项目达到了预期目标，成效明显。</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p>
            <w:pPr>
              <w:pStyle w:val="15"/>
              <w:spacing w:line="560" w:lineRule="exact"/>
            </w:pPr>
          </w:p>
          <w:p>
            <w:pPr>
              <w:pStyle w:val="17"/>
              <w:spacing w:after="0" w:line="560" w:lineRule="exact"/>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51320025T000013458156-阿坝州社会组织孵化培育项目</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按照《四川省民政厅关于印发市（州）社会组织孵化园建设指导方案的通知》（川民发[2021]23号）文件要求，2021年建成阿坝州社会组织孵化园，省级无配套运营经费，根据测算，需配套州级福彩公益金30万元保障正常运营。</w:t>
            </w:r>
          </w:p>
          <w:p>
            <w:pPr>
              <w:spacing w:line="560" w:lineRule="exact"/>
              <w:rPr>
                <w:rFonts w:ascii="宋体" w:eastAsia="宋体" w:cs="Lucida Sans"/>
                <w:color w:val="000000"/>
                <w:sz w:val="18"/>
              </w:rPr>
            </w:pP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在日常运营管理方面，制定安全生产管理制度和应急预案，定期开展隐患排查与消防演练，运营微信公众号发布文章84条，实行门卫24小时值班制度，规范公共空间借用管理，确保园区安全高效运转。在培育孵化方面，重点指导州心理咨询师协会、州图书馆协会等社会组织的筹备与运营，协助完成登记流程、资源衔接及活动开展，累计指导解决疑难问题28起。在能力建设方面，围绕年报年检、党建、财务管理、内部治理及社工考前等内容，组织开展了多场专题培训，有效提升了社会组织规范化水平和业务能力。在资源链接与协作方面，积极衔接爱心企业、高校及专业机构，组织开展交流座谈、志愿服务、关爱帮扶等系列活动，引导社会组织参与社区治理、拥军优属、婚俗改革等公益服务，拓展了组织发展资源，增强了社会影响力。</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本年度，项目围绕社会组织孵化园运营保障和培育孵化两大核心任务有序实施。在日常运营方面，制定安全生产管理制度和应急预案，定期开展消防隐患排查与演练，确保园区安全运行；运营微信公众号发布文章84条，加强信息宣传与审核管理；实行门卫24小时值班制度，规范公共空间借用管理，为社会组织提供活动场所支持。在培育孵化方面，重点指导州心理咨询师协会完成筹备登记，衔接多部门资源开展心理健康讲座和结对帮扶活动；指导州图书馆协会开展全民阅读、馆校合作、亲子阅读等系列活动，拓展社会影响力。在能力建设方面，组织开展了年报年检、党建、财务管理、内部治理及助理社工师考前等5场专题培训，覆盖州、县200余家社会组织。在资源链接方面，积极衔接爱心企业、高校及专业机构，组织开展交流座谈、志愿服务、关爱帮扶等系列活动，引导社会组织参与社区治理、拥军优属、婚俗改革等公益服务。全年累计指导解决社会组织疑难问题28起，有效提升了社会组织规范化水平和综合服务能力。</w:t>
            </w:r>
          </w:p>
          <w:p>
            <w:pPr>
              <w:spacing w:line="560" w:lineRule="exact"/>
              <w:rPr>
                <w:rFonts w:ascii="宋体" w:eastAsia="宋体" w:cs="Lucida Sans"/>
                <w:color w:val="000000"/>
                <w:sz w:val="18"/>
              </w:rPr>
            </w:pPr>
          </w:p>
          <w:p>
            <w:pPr>
              <w:spacing w:line="560" w:lineRule="exact"/>
              <w:rPr>
                <w:rFonts w:ascii="宋体" w:eastAsia="宋体" w:cs="Lucida Sans"/>
                <w:color w:val="000000"/>
                <w:sz w:val="18"/>
              </w:rPr>
            </w:p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60.00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29.80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49.67%</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60.00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29.80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49.67%</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保障社会组织孵化园正常运转数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社会组织培训次数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社会组织孵化园购置设备合格率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项目完成时效</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2025年12月31日前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及时完成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提升社会组织服务水平</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显著提升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显著提升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帮扶对象满意度指标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社会组织的满意度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30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2025年度，阿坝州社会组织孵化培育项目资金使用规范，运营保障有力，圆满完成年度目标任务。项目狠抓日常运营管理，确保孵化园安全高效运转；重点指导州心理咨询师协会、州图书馆协会等社会组织的培育孵化，累计指导解决疑难问题28起；围绕年报年检、党建、财务管理等开展5场专题培训，有效提升了社会组织规范化水平；积极链接社会资源，引导社会组织参与社区治理、拥军优属、关爱帮扶等公益活动，拓展了组织发展资源，增强了社会影响力。总体来看，项目成效明显，发挥了州级孵化园的示范引领作用。</w:t>
            </w:r>
          </w:p>
        </w:tc>
      </w:tr>
      <w:tr>
        <w:trPr>
          <w:trHeight w:val="56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775"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5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96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1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958" w:type="dxa"/>
            <w:gridSpan w:val="2"/>
            <w:tcBorders>
              <w:top w:val="nil"/>
              <w:left w:val="nil"/>
              <w:bottom w:val="nil"/>
              <w:right w:val="nil"/>
              <w:tl2br w:val="nil"/>
              <w:tr2bl w:val="nil"/>
            </w:tcBorders>
            <w:noWrap/>
            <w:vAlign w:val="center"/>
          </w:tcPr>
          <w:p>
            <w:pPr>
              <w:spacing w:line="560" w:lineRule="exact"/>
              <w:rPr>
                <w:rFonts w:ascii="宋体" w:eastAsia="宋体"/>
                <w:sz w:val="18"/>
              </w:rPr>
            </w:pPr>
          </w:p>
        </w:tc>
        <w:tc>
          <w:tcPr>
            <w:tcW w:w="742"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301"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000"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493" w:type="dxa"/>
            <w:tcBorders>
              <w:top w:val="nil"/>
              <w:left w:val="nil"/>
              <w:bottom w:val="nil"/>
              <w:right w:val="nil"/>
              <w:tl2br w:val="nil"/>
              <w:tr2bl w:val="nil"/>
            </w:tcBorders>
            <w:noWrap/>
            <w:vAlign w:val="center"/>
          </w:tcPr>
          <w:p>
            <w:pPr>
              <w:spacing w:line="560" w:lineRule="exact"/>
              <w:rPr>
                <w:rFonts w:ascii="宋体" w:eastAsia="宋体"/>
                <w:sz w:val="18"/>
              </w:rPr>
            </w:pPr>
          </w:p>
        </w:tc>
        <w:tc>
          <w:tcPr>
            <w:tcW w:w="1245" w:type="dxa"/>
            <w:tcBorders>
              <w:top w:val="nil"/>
              <w:left w:val="nil"/>
              <w:bottom w:val="nil"/>
              <w:right w:val="nil"/>
              <w:tl2br w:val="nil"/>
              <w:tr2bl w:val="nil"/>
            </w:tcBorders>
            <w:noWrap/>
            <w:vAlign w:val="center"/>
          </w:tcPr>
          <w:p>
            <w:pPr>
              <w:spacing w:line="560" w:lineRule="exact"/>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51320025T000013864842-2023年度孵化园服务项目(质保金)</w:t>
            </w:r>
          </w:p>
        </w:tc>
      </w:tr>
      <w:tr>
        <w:trPr>
          <w:trHeight w:val="50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年度目标完成情况</w:t>
            </w:r>
          </w:p>
        </w:tc>
      </w:tr>
      <w:tr>
        <w:trPr>
          <w:trHeight w:val="860"/>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保障孵化园运行。</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在日常运营管理方面，制定安全生产管理制度和应急预案，定期开展隐患排查与消防演练，运营微信公众号发布文章84条，实行门卫24小时值班制度，规范公共空间借用管理，确保园区安全高效运转。在培育孵化方面，重点指导州心理咨询师协会、州图书馆协会等社会组织的筹备与运营，协助完成登记流程、资源衔接及活动开展，累计指导解决疑难问题28起。在能力建设方面，围绕年报年检、党建、财务管理、内部治理及社工考前等内容，组织开展了多场专题培训，有效提升了社会组织规范化水平和业务能力。在资源链接与协作方面，积极衔接爱心企业、高校及专业机构，组织开展交流座谈、志愿服务、关爱帮扶等系列活动，引导社会组织参与社区治理、拥军优属、婚俗改革等公益服务，拓展了组织发展资源，增强了社会影响力。</w:t>
            </w:r>
          </w:p>
        </w:tc>
      </w:tr>
      <w:tr>
        <w:trPr>
          <w:trHeight w:val="6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本年度，项目围绕社会组织孵化园运营保障和培育孵化两大核心任务有序实施。在日常运营方面，制定安全生产管理制度和应急预案，定期开展消防隐患排查与演练，确保园区安全运行；运营微信公众号发布文章84条，加强信息宣传与审核管理；实行门卫24小时值班制度，规范公共空间借用管理，为社会组织提供活动场所支持。在培育孵化方面，重点指导州心理咨询师协会完成筹备登记，衔接多部门资源开展心理健康讲座和结对帮扶活动；指导州图书馆协会开展全民阅读、馆校合作、亲子阅读等系列活动，拓展社会影响力。在能力建设方面，组织开展了年报年检、党建、财务管理、内部治理及助理社工师考前等5场专题培训，覆盖州、县200余家社会组织。在资源链接方面，积极衔接爱心企业、高校及专业机构，组织开展交流座谈、志愿服务、关爱帮扶等系列活动，引导社会组织参与社区治理、拥军优属、婚俗改革等公益服务。全年累计指导解决社会组织疑难问题28起，有效提升了社会组织规范化水平和综合服务能力。</w:t>
            </w: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5.78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5.78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5.78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5.78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272"/>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未完成原因分析</w:t>
            </w:r>
          </w:p>
        </w:tc>
      </w:tr>
      <w:tr>
        <w:trPr>
          <w:trHeight w:val="553"/>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ind w:leftChars="-50" w:left="-105" w:rightChars="-50" w:right="-105"/>
              <w:jc w:val="center"/>
              <w:rPr>
                <w:rFonts w:ascii="宋体" w:eastAsia="宋体" w:cs="Lucida Sans"/>
                <w:color w:val="000000"/>
                <w:sz w:val="18"/>
              </w:rPr>
            </w:pPr>
            <w:r>
              <w:rPr>
                <w:rFonts w:ascii="宋体" w:eastAsia="宋体" w:cs="Lucida Sans"/>
                <w:color w:val="000000"/>
                <w:sz w:val="18"/>
              </w:rPr>
              <w:t>社会组织培训次数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保障社会组织孵化园正常运转数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00"/>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ind w:leftChars="-50" w:left="-105" w:rightChars="-50" w:right="-105"/>
              <w:jc w:val="center"/>
              <w:rPr>
                <w:rFonts w:ascii="宋体" w:eastAsia="宋体" w:cs="Lucida Sans"/>
                <w:color w:val="000000"/>
                <w:sz w:val="18"/>
              </w:rPr>
            </w:pPr>
            <w:r>
              <w:rPr>
                <w:rFonts w:ascii="宋体" w:eastAsia="宋体" w:cs="Lucida Sans"/>
                <w:color w:val="000000"/>
                <w:sz w:val="18"/>
              </w:rPr>
              <w:t>项目合格率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411"/>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质保金及时支付率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97"/>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提升社工服务水平</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显著</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显著</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71"/>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社工服务对象满意度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394"/>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质保金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57800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57800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b w:val="0"/>
                <w:i/>
                <w:color w:val="000000"/>
                <w:sz w:val="16"/>
              </w:rPr>
            </w:pPr>
          </w:p>
        </w:tc>
      </w:tr>
      <w:tr>
        <w:trPr>
          <w:trHeight w:val="293"/>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2025年度，阿坝州社会组织孵化培育项目资金使用规范，运营保障有力，圆满完成年度目标任务。项目狠抓日常运营管理，确保孵化园安全高效运转；重点指导州心理咨询师协会、州图书馆协会等社会组织的培育孵化，累计指导解决疑难问题28起；围绕年报年检、党建、财务管理等开展5场专题培训，有效提升了社会组织规范化水平；积极链接社会资源，引导社会组织参与社区治理、拥军优属、关爱帮扶等公益活动，拓展了组织发展资源，增强了社会影响力。总体来看，项目成效明显，发挥了州级孵化园的示范引领作用。</w:t>
            </w:r>
          </w:p>
        </w:tc>
      </w:tr>
      <w:tr>
        <w:trPr>
          <w:trHeight w:val="403"/>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326"/>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22"/>
        </w:trPr>
        <w:tc>
          <w:tcPr>
            <w:tcW w:w="224" w:type="dxa"/>
            <w:tcBorders>
              <w:top w:val="nil"/>
              <w:left w:val="nil"/>
              <w:bottom w:val="nil"/>
              <w:right w:val="nil"/>
              <w:tl2br w:val="nil"/>
              <w:tr2bl w:val="nil"/>
            </w:tcBorders>
            <w:noWrap/>
            <w:vAlign w:val="center"/>
          </w:tcPr>
          <w:p>
            <w:pPr>
              <w:spacing w:line="560" w:lineRule="exact"/>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560" w:lineRule="exact"/>
              <w:jc w:val="center"/>
              <w:rPr>
                <w:rFonts w:ascii="黑体" w:eastAsia="黑体" w:cs="Lucida Sans"/>
                <w:color w:val="000000"/>
                <w:sz w:val="18"/>
              </w:rPr>
            </w:pPr>
            <w:r>
              <w:rPr>
                <w:rFonts w:ascii="黑体" w:eastAsia="黑体" w:cs="Lucida Sans"/>
                <w:color w:val="000000"/>
                <w:sz w:val="18"/>
              </w:rPr>
              <w:t>财务负责人：杨琴琴</w:t>
            </w:r>
          </w:p>
        </w:tc>
      </w:tr>
    </w:tbl>
    <w:tbl>
      <w:tblPr>
        <w:tblpPr w:leftFromText="180" w:rightFromText="180" w:vertAnchor="text" w:horzAnchor="page" w:tblpX="1689" w:tblpY="181"/>
        <w:tblOverlap w:val="never"/>
        <w:tblW w:w="499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91"/>
        <w:gridCol w:w="1473"/>
        <w:gridCol w:w="1812"/>
        <w:gridCol w:w="1837"/>
        <w:gridCol w:w="1263"/>
        <w:gridCol w:w="1124"/>
        <w:gridCol w:w="905"/>
        <w:gridCol w:w="1065"/>
        <w:gridCol w:w="530"/>
        <w:gridCol w:w="474"/>
        <w:gridCol w:w="2700"/>
      </w:tblGrid>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51320024T000010932064-综合楼维修改造经费</w:t>
            </w:r>
          </w:p>
        </w:tc>
      </w:tr>
      <w:tr>
        <w:trPr>
          <w:trHeight w:val="509"/>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382" w:type="pct"/>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1334"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州救济站</w:t>
            </w:r>
          </w:p>
        </w:tc>
      </w:tr>
      <w:tr>
        <w:trPr>
          <w:trHeight w:val="284"/>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救助站年久失修需要维修改造，给救助人与提供一个安全舒适的环境</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该项目为2024年项目，1.6万元质保金已经完成退换，资金流程合法，合规，闭环。</w:t>
            </w:r>
          </w:p>
        </w:tc>
      </w:tr>
      <w:tr>
        <w:trPr>
          <w:trHeight w:val="68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该项目为2024年项目，1.6万元质保金已经完成退换，资金流程合法，合规，闭环。</w:t>
            </w:r>
          </w:p>
        </w:tc>
      </w:tr>
      <w:tr>
        <w:trPr>
          <w:trHeight w:val="35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r>
              <w:rPr>
                <w:rFonts w:ascii="黑体" w:eastAsia="黑体" w:cs="Lucida Sans"/>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提高救助服务人数</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维修质量完成率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提升进展速度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提升落实国家救助政策率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受助人员的满意度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工作人员满意度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社会成本指标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环境成本提升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665"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90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6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55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项目负责人：李猛</w:t>
            </w:r>
          </w:p>
        </w:tc>
        <w:tc>
          <w:tcPr>
            <w:tcW w:w="244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财务负责人：八尔姆</w:t>
            </w:r>
          </w:p>
        </w:tc>
      </w:tr>
      <w:tr>
        <w:trPr>
          <w:trHeight w:val="284"/>
        </w:trPr>
        <w:tc>
          <w:tcPr>
            <w:tcW w:w="249" w:type="pct"/>
            <w:tcBorders>
              <w:top w:val="nil"/>
              <w:left w:val="nil"/>
              <w:bottom w:val="nil"/>
              <w:right w:val="nil"/>
              <w:tl2br w:val="nil"/>
              <w:tr2bl w:val="nil"/>
            </w:tcBorders>
            <w:noWrap/>
            <w:vAlign w:val="center"/>
          </w:tcPr>
          <w:p>
            <w:pPr>
              <w:rPr>
                <w:rFonts w:ascii="宋体" w:eastAsia="宋体"/>
                <w:color w:val="000000"/>
                <w:sz w:val="18"/>
              </w:rPr>
            </w:pPr>
          </w:p>
        </w:tc>
        <w:tc>
          <w:tcPr>
            <w:tcW w:w="530" w:type="pct"/>
            <w:tcBorders>
              <w:top w:val="nil"/>
              <w:left w:val="nil"/>
              <w:bottom w:val="nil"/>
              <w:right w:val="nil"/>
              <w:tl2br w:val="nil"/>
              <w:tr2bl w:val="nil"/>
            </w:tcBorders>
            <w:noWrap/>
            <w:vAlign w:val="center"/>
          </w:tcPr>
          <w:p>
            <w:pPr>
              <w:rPr>
                <w:rFonts w:ascii="宋体" w:eastAsia="宋体"/>
                <w:color w:val="000000"/>
                <w:sz w:val="18"/>
              </w:rPr>
            </w:pPr>
          </w:p>
        </w:tc>
        <w:tc>
          <w:tcPr>
            <w:tcW w:w="653" w:type="pct"/>
            <w:tcBorders>
              <w:top w:val="nil"/>
              <w:left w:val="nil"/>
              <w:bottom w:val="nil"/>
              <w:right w:val="nil"/>
              <w:tl2br w:val="nil"/>
              <w:tr2bl w:val="nil"/>
            </w:tcBorders>
            <w:noWrap/>
            <w:vAlign w:val="center"/>
          </w:tcPr>
          <w:p>
            <w:pPr>
              <w:rPr>
                <w:rFonts w:ascii="宋体" w:eastAsia="宋体"/>
                <w:color w:val="000000"/>
                <w:sz w:val="18"/>
              </w:rPr>
            </w:pPr>
          </w:p>
        </w:tc>
        <w:tc>
          <w:tcPr>
            <w:tcW w:w="662" w:type="pct"/>
            <w:tcBorders>
              <w:top w:val="nil"/>
              <w:left w:val="nil"/>
              <w:bottom w:val="nil"/>
              <w:right w:val="nil"/>
              <w:tl2br w:val="nil"/>
              <w:tr2bl w:val="nil"/>
            </w:tcBorders>
            <w:noWrap/>
            <w:vAlign w:val="center"/>
          </w:tcPr>
          <w:p>
            <w:pPr>
              <w:rPr>
                <w:rFonts w:ascii="宋体" w:eastAsia="宋体"/>
                <w:color w:val="000000"/>
                <w:sz w:val="18"/>
              </w:rPr>
            </w:pPr>
          </w:p>
        </w:tc>
        <w:tc>
          <w:tcPr>
            <w:tcW w:w="454" w:type="pct"/>
            <w:tcBorders>
              <w:top w:val="nil"/>
              <w:left w:val="nil"/>
              <w:bottom w:val="nil"/>
              <w:right w:val="nil"/>
              <w:tl2br w:val="nil"/>
              <w:tr2bl w:val="nil"/>
            </w:tcBorders>
            <w:noWrap/>
            <w:vAlign w:val="center"/>
          </w:tcPr>
          <w:p>
            <w:pPr>
              <w:rPr>
                <w:rFonts w:ascii="宋体" w:eastAsia="宋体"/>
                <w:color w:val="000000"/>
                <w:sz w:val="18"/>
              </w:rPr>
            </w:pPr>
          </w:p>
        </w:tc>
        <w:tc>
          <w:tcPr>
            <w:tcW w:w="405" w:type="pct"/>
            <w:tcBorders>
              <w:top w:val="nil"/>
              <w:left w:val="nil"/>
              <w:bottom w:val="nil"/>
              <w:right w:val="nil"/>
              <w:tl2br w:val="nil"/>
              <w:tr2bl w:val="nil"/>
            </w:tcBorders>
            <w:noWrap/>
            <w:vAlign w:val="center"/>
          </w:tcPr>
          <w:p>
            <w:pPr>
              <w:rPr>
                <w:rFonts w:ascii="宋体" w:eastAsia="宋体"/>
                <w:color w:val="000000"/>
                <w:sz w:val="18"/>
              </w:rPr>
            </w:pPr>
          </w:p>
        </w:tc>
        <w:tc>
          <w:tcPr>
            <w:tcW w:w="325" w:type="pct"/>
            <w:tcBorders>
              <w:top w:val="nil"/>
              <w:left w:val="nil"/>
              <w:bottom w:val="nil"/>
              <w:right w:val="nil"/>
              <w:tl2br w:val="nil"/>
              <w:tr2bl w:val="nil"/>
            </w:tcBorders>
            <w:noWrap/>
            <w:vAlign w:val="center"/>
          </w:tcPr>
          <w:p>
            <w:pPr>
              <w:rPr>
                <w:rFonts w:ascii="宋体" w:eastAsia="宋体"/>
                <w:color w:val="000000"/>
                <w:sz w:val="18"/>
              </w:rPr>
            </w:pPr>
          </w:p>
        </w:tc>
        <w:tc>
          <w:tcPr>
            <w:tcW w:w="382" w:type="pct"/>
            <w:tcBorders>
              <w:top w:val="nil"/>
              <w:left w:val="nil"/>
              <w:bottom w:val="nil"/>
              <w:right w:val="nil"/>
              <w:tl2br w:val="nil"/>
              <w:tr2bl w:val="nil"/>
            </w:tcBorders>
            <w:noWrap/>
            <w:vAlign w:val="center"/>
          </w:tcPr>
          <w:p>
            <w:pPr>
              <w:rPr>
                <w:rFonts w:ascii="宋体" w:eastAsia="宋体"/>
                <w:color w:val="000000"/>
                <w:sz w:val="18"/>
              </w:rPr>
            </w:pPr>
          </w:p>
        </w:tc>
        <w:tc>
          <w:tcPr>
            <w:tcW w:w="191" w:type="pct"/>
            <w:tcBorders>
              <w:top w:val="nil"/>
              <w:left w:val="nil"/>
              <w:bottom w:val="nil"/>
              <w:right w:val="nil"/>
              <w:tl2br w:val="nil"/>
              <w:tr2bl w:val="nil"/>
            </w:tcBorders>
            <w:noWrap/>
            <w:vAlign w:val="center"/>
          </w:tcPr>
          <w:p>
            <w:pPr>
              <w:rPr>
                <w:rFonts w:ascii="宋体" w:eastAsia="宋体"/>
                <w:color w:val="000000"/>
                <w:sz w:val="18"/>
              </w:rPr>
            </w:pPr>
          </w:p>
        </w:tc>
        <w:tc>
          <w:tcPr>
            <w:tcW w:w="171" w:type="pct"/>
            <w:tcBorders>
              <w:top w:val="nil"/>
              <w:left w:val="nil"/>
              <w:bottom w:val="nil"/>
              <w:right w:val="nil"/>
              <w:tl2br w:val="nil"/>
              <w:tr2bl w:val="nil"/>
            </w:tcBorders>
            <w:noWrap/>
            <w:vAlign w:val="center"/>
          </w:tcPr>
          <w:p>
            <w:pPr>
              <w:rPr>
                <w:rFonts w:ascii="宋体" w:eastAsia="宋体"/>
                <w:color w:val="000000"/>
                <w:sz w:val="18"/>
              </w:rPr>
            </w:pPr>
          </w:p>
        </w:tc>
        <w:tc>
          <w:tcPr>
            <w:tcW w:w="972" w:type="pct"/>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51320024T000011501018-困难群众救助资金</w:t>
            </w:r>
          </w:p>
        </w:tc>
      </w:tr>
      <w:tr>
        <w:trPr>
          <w:trHeight w:val="509"/>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382" w:type="pct"/>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1334"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州救济站</w:t>
            </w:r>
          </w:p>
        </w:tc>
      </w:tr>
      <w:tr>
        <w:trPr>
          <w:trHeight w:val="374"/>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119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寒冬送温暖暨“石榴籽”帮困助弱关爱困难群众，项目为2705户重点贫困家庭购买御寒物资。</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寒冬送温暖暨“石榴籽”帮困助弱关爱困难群众，项目为2705户重点贫困家庭购买御寒物资。结合群众冬季生产生活的实际需要，统一购置压力锅2725个，切实保障困难群众温暖过冬，安全过冬。</w:t>
            </w:r>
          </w:p>
        </w:tc>
      </w:tr>
      <w:tr>
        <w:trPr>
          <w:trHeight w:val="68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寒冬送温暖暨“石榴籽”帮困助弱关爱困难群众，项目为2705户重点贫困家庭购买御寒物资。结合群众冬季生产生活的实际需要，统一购置压力锅2725个，切实保障困难群众温暖过冬，安全过冬。</w:t>
            </w:r>
          </w:p>
        </w:tc>
      </w:tr>
      <w:tr>
        <w:trPr>
          <w:trHeight w:val="35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89.72</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85.29</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95.06%</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r>
              <w:rPr>
                <w:rFonts w:ascii="黑体" w:eastAsia="黑体" w:cs="Lucida Sans"/>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89.72</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85.29</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95.06%</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1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71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完成为2705户重点贫困购买御寒物资</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2705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户</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2725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1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验收质量达标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户</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定性</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2025年12月31日完成</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户</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定性</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提高贫困人员生活质量</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户</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可持续发展指标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提升社会价值</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户</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贫困人员满意度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户</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社会成本指标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减少日常生活的负面影响</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户</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665"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95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6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389"/>
        </w:trPr>
        <w:tc>
          <w:tcPr>
            <w:tcW w:w="255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项目负责人：杨力</w:t>
            </w:r>
          </w:p>
        </w:tc>
        <w:tc>
          <w:tcPr>
            <w:tcW w:w="244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财务负责人：八尔姆</w:t>
            </w:r>
          </w:p>
        </w:tc>
      </w:tr>
      <w:tr>
        <w:trPr>
          <w:trHeight w:val="284"/>
        </w:trPr>
        <w:tc>
          <w:tcPr>
            <w:tcW w:w="249" w:type="pct"/>
            <w:tcBorders>
              <w:top w:val="nil"/>
              <w:left w:val="nil"/>
              <w:bottom w:val="nil"/>
              <w:right w:val="nil"/>
              <w:tl2br w:val="nil"/>
              <w:tr2bl w:val="nil"/>
            </w:tcBorders>
            <w:noWrap/>
            <w:vAlign w:val="center"/>
          </w:tcPr>
          <w:p>
            <w:pPr>
              <w:rPr>
                <w:rFonts w:ascii="宋体" w:eastAsia="宋体"/>
                <w:color w:val="000000"/>
                <w:sz w:val="18"/>
              </w:rPr>
            </w:pPr>
          </w:p>
        </w:tc>
        <w:tc>
          <w:tcPr>
            <w:tcW w:w="530" w:type="pct"/>
            <w:tcBorders>
              <w:top w:val="nil"/>
              <w:left w:val="nil"/>
              <w:bottom w:val="nil"/>
              <w:right w:val="nil"/>
              <w:tl2br w:val="nil"/>
              <w:tr2bl w:val="nil"/>
            </w:tcBorders>
            <w:noWrap/>
            <w:vAlign w:val="center"/>
          </w:tcPr>
          <w:p>
            <w:pPr>
              <w:rPr>
                <w:rFonts w:ascii="宋体" w:eastAsia="宋体"/>
                <w:color w:val="000000"/>
                <w:sz w:val="18"/>
              </w:rPr>
            </w:pPr>
          </w:p>
        </w:tc>
        <w:tc>
          <w:tcPr>
            <w:tcW w:w="653" w:type="pct"/>
            <w:tcBorders>
              <w:top w:val="nil"/>
              <w:left w:val="nil"/>
              <w:bottom w:val="nil"/>
              <w:right w:val="nil"/>
              <w:tl2br w:val="nil"/>
              <w:tr2bl w:val="nil"/>
            </w:tcBorders>
            <w:noWrap/>
            <w:vAlign w:val="center"/>
          </w:tcPr>
          <w:p>
            <w:pPr>
              <w:rPr>
                <w:rFonts w:ascii="宋体" w:eastAsia="宋体"/>
                <w:color w:val="000000"/>
                <w:sz w:val="18"/>
              </w:rPr>
            </w:pPr>
          </w:p>
        </w:tc>
        <w:tc>
          <w:tcPr>
            <w:tcW w:w="662" w:type="pct"/>
            <w:tcBorders>
              <w:top w:val="nil"/>
              <w:left w:val="nil"/>
              <w:bottom w:val="nil"/>
              <w:right w:val="nil"/>
              <w:tl2br w:val="nil"/>
              <w:tr2bl w:val="nil"/>
            </w:tcBorders>
            <w:noWrap/>
            <w:vAlign w:val="center"/>
          </w:tcPr>
          <w:p>
            <w:pPr>
              <w:rPr>
                <w:rFonts w:ascii="宋体" w:eastAsia="宋体"/>
                <w:color w:val="000000"/>
                <w:sz w:val="18"/>
              </w:rPr>
            </w:pPr>
          </w:p>
        </w:tc>
        <w:tc>
          <w:tcPr>
            <w:tcW w:w="454" w:type="pct"/>
            <w:tcBorders>
              <w:top w:val="nil"/>
              <w:left w:val="nil"/>
              <w:bottom w:val="nil"/>
              <w:right w:val="nil"/>
              <w:tl2br w:val="nil"/>
              <w:tr2bl w:val="nil"/>
            </w:tcBorders>
            <w:noWrap/>
            <w:vAlign w:val="center"/>
          </w:tcPr>
          <w:p>
            <w:pPr>
              <w:rPr>
                <w:rFonts w:ascii="宋体" w:eastAsia="宋体"/>
                <w:color w:val="000000"/>
                <w:sz w:val="18"/>
              </w:rPr>
            </w:pPr>
          </w:p>
        </w:tc>
        <w:tc>
          <w:tcPr>
            <w:tcW w:w="405" w:type="pct"/>
            <w:tcBorders>
              <w:top w:val="nil"/>
              <w:left w:val="nil"/>
              <w:bottom w:val="nil"/>
              <w:right w:val="nil"/>
              <w:tl2br w:val="nil"/>
              <w:tr2bl w:val="nil"/>
            </w:tcBorders>
            <w:noWrap/>
            <w:vAlign w:val="center"/>
          </w:tcPr>
          <w:p>
            <w:pPr>
              <w:rPr>
                <w:rFonts w:ascii="宋体" w:eastAsia="宋体"/>
                <w:color w:val="000000"/>
                <w:sz w:val="18"/>
              </w:rPr>
            </w:pPr>
          </w:p>
        </w:tc>
        <w:tc>
          <w:tcPr>
            <w:tcW w:w="325" w:type="pct"/>
            <w:tcBorders>
              <w:top w:val="nil"/>
              <w:left w:val="nil"/>
              <w:bottom w:val="nil"/>
              <w:right w:val="nil"/>
              <w:tl2br w:val="nil"/>
              <w:tr2bl w:val="nil"/>
            </w:tcBorders>
            <w:noWrap/>
            <w:vAlign w:val="center"/>
          </w:tcPr>
          <w:p>
            <w:pPr>
              <w:rPr>
                <w:rFonts w:ascii="宋体" w:eastAsia="宋体"/>
                <w:color w:val="000000"/>
                <w:sz w:val="18"/>
              </w:rPr>
            </w:pPr>
          </w:p>
        </w:tc>
        <w:tc>
          <w:tcPr>
            <w:tcW w:w="382" w:type="pct"/>
            <w:tcBorders>
              <w:top w:val="nil"/>
              <w:left w:val="nil"/>
              <w:bottom w:val="nil"/>
              <w:right w:val="nil"/>
              <w:tl2br w:val="nil"/>
              <w:tr2bl w:val="nil"/>
            </w:tcBorders>
            <w:noWrap/>
            <w:vAlign w:val="center"/>
          </w:tcPr>
          <w:p>
            <w:pPr>
              <w:rPr>
                <w:rFonts w:ascii="宋体" w:eastAsia="宋体"/>
                <w:color w:val="000000"/>
                <w:sz w:val="18"/>
              </w:rPr>
            </w:pPr>
          </w:p>
        </w:tc>
        <w:tc>
          <w:tcPr>
            <w:tcW w:w="191" w:type="pct"/>
            <w:tcBorders>
              <w:top w:val="nil"/>
              <w:left w:val="nil"/>
              <w:bottom w:val="nil"/>
              <w:right w:val="nil"/>
              <w:tl2br w:val="nil"/>
              <w:tr2bl w:val="nil"/>
            </w:tcBorders>
            <w:noWrap/>
            <w:vAlign w:val="center"/>
          </w:tcPr>
          <w:p>
            <w:pPr>
              <w:rPr>
                <w:rFonts w:ascii="宋体" w:eastAsia="宋体"/>
                <w:color w:val="000000"/>
                <w:sz w:val="18"/>
              </w:rPr>
            </w:pPr>
          </w:p>
        </w:tc>
        <w:tc>
          <w:tcPr>
            <w:tcW w:w="171" w:type="pct"/>
            <w:tcBorders>
              <w:top w:val="nil"/>
              <w:left w:val="nil"/>
              <w:bottom w:val="nil"/>
              <w:right w:val="nil"/>
              <w:tl2br w:val="nil"/>
              <w:tr2bl w:val="nil"/>
            </w:tcBorders>
            <w:noWrap/>
            <w:vAlign w:val="center"/>
          </w:tcPr>
          <w:p>
            <w:pPr>
              <w:rPr>
                <w:rFonts w:ascii="宋体" w:eastAsia="宋体"/>
                <w:color w:val="000000"/>
                <w:sz w:val="18"/>
              </w:rPr>
            </w:pPr>
          </w:p>
        </w:tc>
        <w:tc>
          <w:tcPr>
            <w:tcW w:w="972" w:type="pct"/>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51320025T000012674254-救助人员保障经费</w:t>
            </w:r>
          </w:p>
        </w:tc>
      </w:tr>
      <w:tr>
        <w:trPr>
          <w:trHeight w:val="509"/>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382" w:type="pct"/>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1334"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州救济站</w:t>
            </w:r>
          </w:p>
        </w:tc>
      </w:tr>
      <w:tr>
        <w:trPr>
          <w:trHeight w:val="284"/>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确保来站受助人员的基本生活保障，提高救助服务质量，促进救助政策有效落实。</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确保了每一位受助人员在救助站的所有救助相关费用，救助人员救助后产生的救助伙食费，救助电费等救助相关支出，使每一位受助人员感受到了家的温暖。</w:t>
            </w:r>
          </w:p>
        </w:tc>
      </w:tr>
      <w:tr>
        <w:trPr>
          <w:trHeight w:val="68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2025年我站按照救助政策认真接待了每一位受助人员。确保了每一位受助人员在救助站的所有救助相关费用，救助人员救助后产生的救助伙食费，救助电费等救助相关支出，使每一位受助人员感受到了家的温暖。</w:t>
            </w:r>
          </w:p>
        </w:tc>
      </w:tr>
      <w:tr>
        <w:trPr>
          <w:trHeight w:val="35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28.37</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28.37</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r>
              <w:rPr>
                <w:rFonts w:ascii="黑体" w:eastAsia="黑体" w:cs="Lucida Sans"/>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28.37</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28.37</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年度救助人数</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对受助人员服务质量完成率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提升进展速度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653"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可持续发展指标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救助政策知晓率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0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持续发展</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对受助人员服务质量满意度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控制成本率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665"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6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55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项目负责人：高恩建</w:t>
            </w:r>
          </w:p>
        </w:tc>
        <w:tc>
          <w:tcPr>
            <w:tcW w:w="244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财务负责人：八尔姆</w:t>
            </w:r>
          </w:p>
        </w:tc>
      </w:tr>
      <w:tr>
        <w:trPr>
          <w:trHeight w:val="284"/>
        </w:trPr>
        <w:tc>
          <w:tcPr>
            <w:tcW w:w="249" w:type="pct"/>
            <w:tcBorders>
              <w:top w:val="nil"/>
              <w:left w:val="nil"/>
              <w:bottom w:val="nil"/>
              <w:right w:val="nil"/>
              <w:tl2br w:val="nil"/>
              <w:tr2bl w:val="nil"/>
            </w:tcBorders>
            <w:noWrap/>
            <w:vAlign w:val="center"/>
          </w:tcPr>
          <w:p>
            <w:pPr>
              <w:rPr>
                <w:rFonts w:ascii="宋体" w:eastAsia="宋体"/>
                <w:color w:val="000000"/>
                <w:sz w:val="18"/>
              </w:rPr>
            </w:pPr>
          </w:p>
        </w:tc>
        <w:tc>
          <w:tcPr>
            <w:tcW w:w="530" w:type="pct"/>
            <w:tcBorders>
              <w:top w:val="nil"/>
              <w:left w:val="nil"/>
              <w:bottom w:val="nil"/>
              <w:right w:val="nil"/>
              <w:tl2br w:val="nil"/>
              <w:tr2bl w:val="nil"/>
            </w:tcBorders>
            <w:noWrap/>
            <w:vAlign w:val="center"/>
          </w:tcPr>
          <w:p>
            <w:pPr>
              <w:rPr>
                <w:rFonts w:ascii="宋体" w:eastAsia="宋体"/>
                <w:color w:val="000000"/>
                <w:sz w:val="18"/>
              </w:rPr>
            </w:pPr>
          </w:p>
        </w:tc>
        <w:tc>
          <w:tcPr>
            <w:tcW w:w="653" w:type="pct"/>
            <w:tcBorders>
              <w:top w:val="nil"/>
              <w:left w:val="nil"/>
              <w:bottom w:val="nil"/>
              <w:right w:val="nil"/>
              <w:tl2br w:val="nil"/>
              <w:tr2bl w:val="nil"/>
            </w:tcBorders>
            <w:noWrap/>
            <w:vAlign w:val="center"/>
          </w:tcPr>
          <w:p>
            <w:pPr>
              <w:rPr>
                <w:rFonts w:ascii="宋体" w:eastAsia="宋体"/>
                <w:color w:val="000000"/>
                <w:sz w:val="18"/>
              </w:rPr>
            </w:pPr>
          </w:p>
        </w:tc>
        <w:tc>
          <w:tcPr>
            <w:tcW w:w="662" w:type="pct"/>
            <w:tcBorders>
              <w:top w:val="nil"/>
              <w:left w:val="nil"/>
              <w:bottom w:val="nil"/>
              <w:right w:val="nil"/>
              <w:tl2br w:val="nil"/>
              <w:tr2bl w:val="nil"/>
            </w:tcBorders>
            <w:noWrap/>
            <w:vAlign w:val="center"/>
          </w:tcPr>
          <w:p>
            <w:pPr>
              <w:rPr>
                <w:rFonts w:ascii="宋体" w:eastAsia="宋体"/>
                <w:color w:val="000000"/>
                <w:sz w:val="18"/>
              </w:rPr>
            </w:pPr>
          </w:p>
        </w:tc>
        <w:tc>
          <w:tcPr>
            <w:tcW w:w="454" w:type="pct"/>
            <w:tcBorders>
              <w:top w:val="nil"/>
              <w:left w:val="nil"/>
              <w:bottom w:val="nil"/>
              <w:right w:val="nil"/>
              <w:tl2br w:val="nil"/>
              <w:tr2bl w:val="nil"/>
            </w:tcBorders>
            <w:noWrap/>
            <w:vAlign w:val="center"/>
          </w:tcPr>
          <w:p>
            <w:pPr>
              <w:rPr>
                <w:rFonts w:ascii="宋体" w:eastAsia="宋体"/>
                <w:color w:val="000000"/>
                <w:sz w:val="18"/>
              </w:rPr>
            </w:pPr>
          </w:p>
        </w:tc>
        <w:tc>
          <w:tcPr>
            <w:tcW w:w="405" w:type="pct"/>
            <w:tcBorders>
              <w:top w:val="nil"/>
              <w:left w:val="nil"/>
              <w:bottom w:val="nil"/>
              <w:right w:val="nil"/>
              <w:tl2br w:val="nil"/>
              <w:tr2bl w:val="nil"/>
            </w:tcBorders>
            <w:noWrap/>
            <w:vAlign w:val="center"/>
          </w:tcPr>
          <w:p>
            <w:pPr>
              <w:rPr>
                <w:rFonts w:ascii="宋体" w:eastAsia="宋体"/>
                <w:color w:val="000000"/>
                <w:sz w:val="18"/>
              </w:rPr>
            </w:pPr>
          </w:p>
        </w:tc>
        <w:tc>
          <w:tcPr>
            <w:tcW w:w="325" w:type="pct"/>
            <w:tcBorders>
              <w:top w:val="nil"/>
              <w:left w:val="nil"/>
              <w:bottom w:val="nil"/>
              <w:right w:val="nil"/>
              <w:tl2br w:val="nil"/>
              <w:tr2bl w:val="nil"/>
            </w:tcBorders>
            <w:noWrap/>
            <w:vAlign w:val="center"/>
          </w:tcPr>
          <w:p>
            <w:pPr>
              <w:rPr>
                <w:rFonts w:ascii="宋体" w:eastAsia="宋体"/>
                <w:color w:val="000000"/>
                <w:sz w:val="18"/>
              </w:rPr>
            </w:pPr>
          </w:p>
        </w:tc>
        <w:tc>
          <w:tcPr>
            <w:tcW w:w="382" w:type="pct"/>
            <w:tcBorders>
              <w:top w:val="nil"/>
              <w:left w:val="nil"/>
              <w:bottom w:val="nil"/>
              <w:right w:val="nil"/>
              <w:tl2br w:val="nil"/>
              <w:tr2bl w:val="nil"/>
            </w:tcBorders>
            <w:noWrap/>
            <w:vAlign w:val="center"/>
          </w:tcPr>
          <w:p>
            <w:pPr>
              <w:rPr>
                <w:rFonts w:ascii="宋体" w:eastAsia="宋体"/>
                <w:color w:val="000000"/>
                <w:sz w:val="18"/>
              </w:rPr>
            </w:pPr>
          </w:p>
        </w:tc>
        <w:tc>
          <w:tcPr>
            <w:tcW w:w="191" w:type="pct"/>
            <w:tcBorders>
              <w:top w:val="nil"/>
              <w:left w:val="nil"/>
              <w:bottom w:val="nil"/>
              <w:right w:val="nil"/>
              <w:tl2br w:val="nil"/>
              <w:tr2bl w:val="nil"/>
            </w:tcBorders>
            <w:noWrap/>
            <w:vAlign w:val="center"/>
          </w:tcPr>
          <w:p>
            <w:pPr>
              <w:rPr>
                <w:rFonts w:ascii="宋体" w:eastAsia="宋体"/>
                <w:color w:val="000000"/>
                <w:sz w:val="18"/>
              </w:rPr>
            </w:pPr>
          </w:p>
        </w:tc>
        <w:tc>
          <w:tcPr>
            <w:tcW w:w="171" w:type="pct"/>
            <w:tcBorders>
              <w:top w:val="nil"/>
              <w:left w:val="nil"/>
              <w:bottom w:val="nil"/>
              <w:right w:val="nil"/>
              <w:tl2br w:val="nil"/>
              <w:tr2bl w:val="nil"/>
            </w:tcBorders>
            <w:noWrap/>
            <w:vAlign w:val="center"/>
          </w:tcPr>
          <w:p>
            <w:pPr>
              <w:rPr>
                <w:rFonts w:ascii="宋体" w:eastAsia="宋体"/>
                <w:color w:val="000000"/>
                <w:sz w:val="18"/>
              </w:rPr>
            </w:pPr>
          </w:p>
        </w:tc>
        <w:tc>
          <w:tcPr>
            <w:tcW w:w="972" w:type="pct"/>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51320025T000012814151-未成年保护专项</w:t>
            </w:r>
          </w:p>
        </w:tc>
      </w:tr>
      <w:tr>
        <w:trPr>
          <w:trHeight w:val="509"/>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382" w:type="pct"/>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1334"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州救济站</w:t>
            </w:r>
          </w:p>
        </w:tc>
      </w:tr>
      <w:tr>
        <w:trPr>
          <w:trHeight w:val="284"/>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完成未成年人救助保护工作保障服务儿童覆盖率98%，提升未成年保护工作水平10%.进一步提升全州该项工作整体能力。</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已完成相关工作</w:t>
            </w:r>
          </w:p>
        </w:tc>
      </w:tr>
      <w:tr>
        <w:trPr>
          <w:trHeight w:val="125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2006年4月，在州救助站挂“阿坝州流浪儿童救助保护中心”牌子，实行“两块牌子，一套人马”的管理模式；2012年11月，州流浪儿童救助保护中心更名为州未成年人救助保护中心，负责对流浪未成年人的救助保护和帮扶工作。由于我州州级未单独成立未成年人保护中心机构，因此我中心还承担了未成年人保护工作。近年来，我中心在州局党组和未成年人保护工作领导小组办公室的领导下，以深入学习贯彻《中华人民共和国未成年人保护法》为着力点，紧紧围绕未成年人保护“661”工作重点，坚持最有利于未成年人的原则，全力实施“‘净’土护‘未’”未成年人保护工程，在全社会牢固树立“儿童优先”理念，持续推动形成“党政领导、民政牵头、部门协同、家庭尽责、社会参与”的未成年人保护工作格局，进一步构建未成年人关爱保护长效机制，切实保护未成年人身心健康，保障未成年人合法权益，为助力“一州两区三家园”新目标建设作出了积极贡献。</w:t>
            </w:r>
          </w:p>
        </w:tc>
      </w:tr>
      <w:tr>
        <w:trPr>
          <w:trHeight w:val="35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r>
              <w:rPr>
                <w:rFonts w:ascii="黑体" w:eastAsia="黑体" w:cs="Lucida Sans"/>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653"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未成年救助帮护完成率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0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保障服务儿童数量</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救助保护工作规范达标率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进展速度提升幅度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未成年保护提升率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服务对象家长满意度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项目预算执行率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665"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95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6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55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项目负责人：杨力</w:t>
            </w:r>
          </w:p>
        </w:tc>
        <w:tc>
          <w:tcPr>
            <w:tcW w:w="244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财务负责人：八尔姆</w:t>
            </w:r>
          </w:p>
        </w:tc>
      </w:tr>
      <w:tr>
        <w:trPr>
          <w:trHeight w:val="284"/>
        </w:trPr>
        <w:tc>
          <w:tcPr>
            <w:tcW w:w="249" w:type="pct"/>
            <w:tcBorders>
              <w:top w:val="nil"/>
              <w:left w:val="nil"/>
              <w:bottom w:val="nil"/>
              <w:right w:val="nil"/>
              <w:tl2br w:val="nil"/>
              <w:tr2bl w:val="nil"/>
            </w:tcBorders>
            <w:noWrap/>
            <w:vAlign w:val="center"/>
          </w:tcPr>
          <w:p>
            <w:pPr>
              <w:rPr>
                <w:rFonts w:ascii="宋体" w:eastAsia="宋体"/>
                <w:color w:val="000000"/>
                <w:sz w:val="18"/>
              </w:rPr>
            </w:pPr>
          </w:p>
        </w:tc>
        <w:tc>
          <w:tcPr>
            <w:tcW w:w="530" w:type="pct"/>
            <w:tcBorders>
              <w:top w:val="nil"/>
              <w:left w:val="nil"/>
              <w:bottom w:val="nil"/>
              <w:right w:val="nil"/>
              <w:tl2br w:val="nil"/>
              <w:tr2bl w:val="nil"/>
            </w:tcBorders>
            <w:noWrap/>
            <w:vAlign w:val="center"/>
          </w:tcPr>
          <w:p>
            <w:pPr>
              <w:rPr>
                <w:rFonts w:ascii="宋体" w:eastAsia="宋体"/>
                <w:color w:val="000000"/>
                <w:sz w:val="18"/>
              </w:rPr>
            </w:pPr>
          </w:p>
        </w:tc>
        <w:tc>
          <w:tcPr>
            <w:tcW w:w="653" w:type="pct"/>
            <w:tcBorders>
              <w:top w:val="nil"/>
              <w:left w:val="nil"/>
              <w:bottom w:val="nil"/>
              <w:right w:val="nil"/>
              <w:tl2br w:val="nil"/>
              <w:tr2bl w:val="nil"/>
            </w:tcBorders>
            <w:noWrap/>
            <w:vAlign w:val="center"/>
          </w:tcPr>
          <w:p>
            <w:pPr>
              <w:rPr>
                <w:rFonts w:ascii="宋体" w:eastAsia="宋体"/>
                <w:color w:val="000000"/>
                <w:sz w:val="18"/>
              </w:rPr>
            </w:pPr>
          </w:p>
        </w:tc>
        <w:tc>
          <w:tcPr>
            <w:tcW w:w="662" w:type="pct"/>
            <w:tcBorders>
              <w:top w:val="nil"/>
              <w:left w:val="nil"/>
              <w:bottom w:val="nil"/>
              <w:right w:val="nil"/>
              <w:tl2br w:val="nil"/>
              <w:tr2bl w:val="nil"/>
            </w:tcBorders>
            <w:noWrap/>
            <w:vAlign w:val="center"/>
          </w:tcPr>
          <w:p>
            <w:pPr>
              <w:rPr>
                <w:rFonts w:ascii="宋体" w:eastAsia="宋体"/>
                <w:color w:val="000000"/>
                <w:sz w:val="18"/>
              </w:rPr>
            </w:pPr>
          </w:p>
        </w:tc>
        <w:tc>
          <w:tcPr>
            <w:tcW w:w="454" w:type="pct"/>
            <w:tcBorders>
              <w:top w:val="nil"/>
              <w:left w:val="nil"/>
              <w:bottom w:val="nil"/>
              <w:right w:val="nil"/>
              <w:tl2br w:val="nil"/>
              <w:tr2bl w:val="nil"/>
            </w:tcBorders>
            <w:noWrap/>
            <w:vAlign w:val="center"/>
          </w:tcPr>
          <w:p>
            <w:pPr>
              <w:rPr>
                <w:rFonts w:ascii="宋体" w:eastAsia="宋体"/>
                <w:color w:val="000000"/>
                <w:sz w:val="18"/>
              </w:rPr>
            </w:pPr>
          </w:p>
        </w:tc>
        <w:tc>
          <w:tcPr>
            <w:tcW w:w="405" w:type="pct"/>
            <w:tcBorders>
              <w:top w:val="nil"/>
              <w:left w:val="nil"/>
              <w:bottom w:val="nil"/>
              <w:right w:val="nil"/>
              <w:tl2br w:val="nil"/>
              <w:tr2bl w:val="nil"/>
            </w:tcBorders>
            <w:noWrap/>
            <w:vAlign w:val="center"/>
          </w:tcPr>
          <w:p>
            <w:pPr>
              <w:rPr>
                <w:rFonts w:ascii="宋体" w:eastAsia="宋体"/>
                <w:color w:val="000000"/>
                <w:sz w:val="18"/>
              </w:rPr>
            </w:pPr>
          </w:p>
        </w:tc>
        <w:tc>
          <w:tcPr>
            <w:tcW w:w="325" w:type="pct"/>
            <w:tcBorders>
              <w:top w:val="nil"/>
              <w:left w:val="nil"/>
              <w:bottom w:val="nil"/>
              <w:right w:val="nil"/>
              <w:tl2br w:val="nil"/>
              <w:tr2bl w:val="nil"/>
            </w:tcBorders>
            <w:noWrap/>
            <w:vAlign w:val="center"/>
          </w:tcPr>
          <w:p>
            <w:pPr>
              <w:rPr>
                <w:rFonts w:ascii="宋体" w:eastAsia="宋体"/>
                <w:color w:val="000000"/>
                <w:sz w:val="18"/>
              </w:rPr>
            </w:pPr>
          </w:p>
        </w:tc>
        <w:tc>
          <w:tcPr>
            <w:tcW w:w="382" w:type="pct"/>
            <w:tcBorders>
              <w:top w:val="nil"/>
              <w:left w:val="nil"/>
              <w:bottom w:val="nil"/>
              <w:right w:val="nil"/>
              <w:tl2br w:val="nil"/>
              <w:tr2bl w:val="nil"/>
            </w:tcBorders>
            <w:noWrap/>
            <w:vAlign w:val="center"/>
          </w:tcPr>
          <w:p>
            <w:pPr>
              <w:rPr>
                <w:rFonts w:ascii="宋体" w:eastAsia="宋体"/>
                <w:color w:val="000000"/>
                <w:sz w:val="18"/>
              </w:rPr>
            </w:pPr>
          </w:p>
        </w:tc>
        <w:tc>
          <w:tcPr>
            <w:tcW w:w="191" w:type="pct"/>
            <w:tcBorders>
              <w:top w:val="nil"/>
              <w:left w:val="nil"/>
              <w:bottom w:val="nil"/>
              <w:right w:val="nil"/>
              <w:tl2br w:val="nil"/>
              <w:tr2bl w:val="nil"/>
            </w:tcBorders>
            <w:noWrap/>
            <w:vAlign w:val="center"/>
          </w:tcPr>
          <w:p>
            <w:pPr>
              <w:rPr>
                <w:rFonts w:ascii="宋体" w:eastAsia="宋体"/>
                <w:color w:val="000000"/>
                <w:sz w:val="18"/>
              </w:rPr>
            </w:pPr>
          </w:p>
        </w:tc>
        <w:tc>
          <w:tcPr>
            <w:tcW w:w="171" w:type="pct"/>
            <w:tcBorders>
              <w:top w:val="nil"/>
              <w:left w:val="nil"/>
              <w:bottom w:val="nil"/>
              <w:right w:val="nil"/>
              <w:tl2br w:val="nil"/>
              <w:tr2bl w:val="nil"/>
            </w:tcBorders>
            <w:noWrap/>
            <w:vAlign w:val="center"/>
          </w:tcPr>
          <w:p>
            <w:pPr>
              <w:rPr>
                <w:rFonts w:ascii="宋体" w:eastAsia="宋体"/>
                <w:color w:val="000000"/>
                <w:sz w:val="18"/>
              </w:rPr>
            </w:pPr>
          </w:p>
        </w:tc>
        <w:tc>
          <w:tcPr>
            <w:tcW w:w="972" w:type="pct"/>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5000" w:type="pct"/>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51320025T000012814169-物业维修维护</w:t>
            </w:r>
          </w:p>
        </w:tc>
      </w:tr>
      <w:tr>
        <w:trPr>
          <w:trHeight w:val="509"/>
        </w:trPr>
        <w:tc>
          <w:tcPr>
            <w:tcW w:w="780"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382" w:type="pct"/>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1334"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州救济站</w:t>
            </w:r>
          </w:p>
        </w:tc>
      </w:tr>
      <w:tr>
        <w:trPr>
          <w:trHeight w:val="284"/>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501"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保障救助站综合楼正常运转，提高救助政策落实水平。</w:t>
            </w:r>
          </w:p>
        </w:tc>
        <w:tc>
          <w:tcPr>
            <w:tcW w:w="1717"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为确保救助站大楼正常运行，救助用房维修项目基本用于救助站电梯的维修和检验费用。</w:t>
            </w:r>
          </w:p>
        </w:tc>
      </w:tr>
      <w:tr>
        <w:trPr>
          <w:trHeight w:val="68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4219"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为确保救助站大楼正常运行，救助用房维修项目基本用于救助站电梯的维修和检验费用。</w:t>
            </w:r>
          </w:p>
        </w:tc>
      </w:tr>
      <w:tr>
        <w:trPr>
          <w:trHeight w:val="35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5.80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5.80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5.80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r>
              <w:rPr>
                <w:rFonts w:ascii="黑体" w:eastAsia="黑体" w:cs="Lucida Sans"/>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5.80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5.80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5.80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18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71"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49"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保障救助服务人数</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维修质量完成率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进展速度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落实救助政策率</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653"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受助人员满意度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96"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0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工作人员满意度</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50"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3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653"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6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维护成本</w:t>
            </w:r>
          </w:p>
        </w:tc>
        <w:tc>
          <w:tcPr>
            <w:tcW w:w="45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40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5.8</w:t>
            </w:r>
          </w:p>
        </w:tc>
        <w:tc>
          <w:tcPr>
            <w:tcW w:w="32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38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5.8</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3665" w:type="pct"/>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9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7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95</w:t>
            </w:r>
          </w:p>
        </w:tc>
        <w:tc>
          <w:tcPr>
            <w:tcW w:w="972"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6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49"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4750" w:type="pct"/>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550"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项目负责人：杨力</w:t>
            </w:r>
          </w:p>
        </w:tc>
        <w:tc>
          <w:tcPr>
            <w:tcW w:w="2449" w:type="pct"/>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财务负责人：八尔姆</w:t>
            </w:r>
          </w:p>
        </w:tc>
      </w:tr>
    </w:tbl>
    <w:p>
      <w:pPr>
        <w:spacing w:line="560" w:lineRule="exact"/>
        <w:rPr>
          <w:rFonts w:ascii="Times New Roman" w:eastAsia="方正兰亭黑_GBK" w:hAnsi="Times New Roman"/>
          <w:sz w:val="24"/>
        </w:rPr>
      </w:pPr>
    </w:p>
    <w:p>
      <w:pPr>
        <w:tabs>
          <w:tab w:val="left" w:pos="9500"/>
        </w:tabs>
        <w:spacing w:line="560" w:lineRule="exact"/>
        <w:rPr>
          <w:rFonts w:ascii="Times New Roman" w:eastAsia="方正兰亭黑_GBK" w:hAnsi="Times New Roman"/>
          <w:sz w:val="24"/>
        </w:rPr>
        <w:sectPr>
          <w:pgSz w:w="16838" w:h="11906" w:orient="landscape"/>
          <w:pgMar w:top="2098" w:right="1474" w:bottom="1985" w:left="1588" w:header="851" w:footer="992" w:gutter="0"/>
          <w:pgNumType/>
          <w:docGrid w:type="lines" w:linePitch="312" w:charSpace="0"/>
        </w:sectPr>
      </w:pPr>
      <w:r>
        <w:rPr>
          <w:rFonts w:ascii="Times New Roman" w:eastAsia="方正兰亭黑_GBK" w:hAnsi="Times New Roman"/>
          <w:sz w:val="24"/>
        </w:rPr>
        <w:tab/>
      </w:r>
    </w:p>
    <w:p>
      <w:pPr>
        <w:spacing w:line="560" w:lineRule="exact"/>
        <w:jc w:val="center"/>
        <w:outlineLvl w:val="0"/>
        <w:rPr>
          <w:rFonts w:ascii="Times New Roman" w:eastAsia="黑体" w:hAnsi="Times New Roman" w:hint="eastAsia"/>
          <w:color w:val="auto"/>
          <w:sz w:val="44"/>
          <w:szCs w:val="44"/>
          <w:highlight w:val="auto"/>
        </w:rPr>
      </w:pPr>
      <w:bookmarkStart w:id="69" w:name="_Toc15396618"/>
      <w:bookmarkStart w:id="70" w:name="_Toc11819426"/>
      <w:r>
        <w:rPr>
          <w:rFonts w:ascii="Times New Roman" w:eastAsia="黑体" w:hAnsi="Times New Roman" w:hint="eastAsia"/>
          <w:color w:val="auto"/>
          <w:sz w:val="44"/>
          <w:szCs w:val="44"/>
          <w:highlight w:val="auto"/>
        </w:rPr>
        <w:t>第</w:t>
      </w:r>
      <w:r>
        <w:rPr>
          <w:rFonts w:eastAsia="黑体"/>
          <w:color w:val="auto"/>
          <w:sz w:val="44"/>
          <w:szCs w:val="44"/>
          <w:lang w:eastAsia="zh-CN"/>
          <w:highlight w:val="auto"/>
        </w:rPr>
        <w:t>五</w:t>
      </w:r>
      <w:r>
        <w:rPr>
          <w:rFonts w:ascii="Times New Roman" w:eastAsia="黑体" w:hAnsi="Times New Roman" w:hint="eastAsia"/>
          <w:color w:val="auto"/>
          <w:sz w:val="44"/>
          <w:szCs w:val="44"/>
          <w:highlight w:val="auto"/>
        </w:rPr>
        <w:t>部分</w:t>
      </w:r>
      <w:r>
        <w:rPr>
          <w:rFonts w:ascii="Times New Roman" w:eastAsia="黑体" w:hAnsi="Times New Roman"/>
          <w:color w:val="auto"/>
          <w:sz w:val="44"/>
          <w:szCs w:val="44"/>
          <w:highlight w:val="auto"/>
        </w:rPr>
        <w:t xml:space="preserve"> </w:t>
      </w:r>
      <w:r>
        <w:rPr>
          <w:rFonts w:ascii="Times New Roman" w:eastAsia="黑体" w:hAnsi="Times New Roman" w:hint="eastAsia"/>
          <w:color w:val="auto"/>
          <w:sz w:val="44"/>
          <w:szCs w:val="44"/>
          <w:lang w:val="en-US" w:eastAsia="zh-CN"/>
          <w:highlight w:val="auto"/>
        </w:rPr>
        <w:t xml:space="preserve"> </w:t>
      </w:r>
      <w:r>
        <w:rPr>
          <w:rFonts w:ascii="Times New Roman" w:eastAsia="黑体" w:hAnsi="Times New Roman"/>
          <w:color w:val="auto"/>
          <w:sz w:val="44"/>
          <w:szCs w:val="44"/>
          <w:highlight w:val="auto"/>
        </w:rPr>
        <w:t>附表</w:t>
      </w:r>
      <w:bookmarkEnd w:id="70"/>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1" w:name="_Toc15396619"/>
      <w:bookmarkEnd w:id="69"/>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71"/>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2" w:name="_Toc15396620"/>
      <w:r>
        <w:rPr>
          <w:rFonts w:ascii="Times New Roman" w:eastAsia="仿宋_GB2312" w:cs="仿宋_GB2312" w:hAnsi="Times New Roman" w:hint="eastAsia"/>
          <w:color w:val="auto"/>
          <w:sz w:val="32"/>
          <w:szCs w:val="32"/>
          <w:highlight w:val="auto"/>
        </w:rPr>
        <w:t>二、收入决算表</w:t>
      </w:r>
      <w:bookmarkEnd w:id="72"/>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3" w:name="_Toc15396621"/>
      <w:r>
        <w:rPr>
          <w:rFonts w:ascii="Times New Roman" w:eastAsia="仿宋_GB2312" w:cs="仿宋_GB2312" w:hAnsi="Times New Roman" w:hint="eastAsia"/>
          <w:color w:val="auto"/>
          <w:sz w:val="32"/>
          <w:szCs w:val="32"/>
          <w:highlight w:val="auto"/>
        </w:rPr>
        <w:t>三、支出决算表</w:t>
      </w:r>
      <w:bookmarkEnd w:id="73"/>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4" w:name="_Toc15396622"/>
      <w:r>
        <w:rPr>
          <w:rFonts w:ascii="Times New Roman" w:eastAsia="仿宋_GB2312" w:cs="仿宋_GB2312" w:hAnsi="Times New Roman" w:hint="eastAsia"/>
          <w:color w:val="auto"/>
          <w:sz w:val="32"/>
          <w:szCs w:val="32"/>
          <w:highlight w:val="auto"/>
        </w:rPr>
        <w:t>四、财政拨款收入支出决算总表</w:t>
      </w:r>
      <w:bookmarkEnd w:id="74"/>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5" w:name="_Toc15396623"/>
      <w:r>
        <w:rPr>
          <w:rFonts w:ascii="Times New Roman" w:eastAsia="仿宋_GB2312" w:cs="仿宋_GB2312" w:hAnsi="Times New Roman" w:hint="eastAsia"/>
          <w:color w:val="auto"/>
          <w:sz w:val="32"/>
          <w:szCs w:val="32"/>
          <w:highlight w:val="auto"/>
        </w:rPr>
        <w:t>五、财政拨款支出决算明细表</w:t>
      </w:r>
      <w:bookmarkStart w:id="76" w:name="_Toc15396624"/>
      <w:bookmarkEnd w:id="75"/>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76"/>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7" w:name="_Toc15396625"/>
      <w:r>
        <w:rPr>
          <w:rFonts w:ascii="Times New Roman" w:eastAsia="仿宋_GB2312" w:cs="仿宋_GB2312" w:hAnsi="Times New Roman" w:hint="eastAsia"/>
          <w:color w:val="auto"/>
          <w:sz w:val="32"/>
          <w:szCs w:val="32"/>
          <w:highlight w:val="auto"/>
        </w:rPr>
        <w:t>七、一般公共预算财政拨款支出决算明细表</w:t>
      </w:r>
      <w:bookmarkEnd w:id="77"/>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8" w:name="_Toc15396626"/>
      <w:r>
        <w:rPr>
          <w:rFonts w:ascii="Times New Roman" w:eastAsia="仿宋_GB2312" w:cs="仿宋_GB2312" w:hAnsi="Times New Roman" w:hint="eastAsia"/>
          <w:color w:val="auto"/>
          <w:sz w:val="32"/>
          <w:szCs w:val="32"/>
          <w:highlight w:val="auto"/>
        </w:rPr>
        <w:t>八、一般公共预算财政拨款基本支出决算表</w:t>
      </w:r>
      <w:bookmarkEnd w:id="78"/>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9" w:name="_Toc15396627"/>
      <w:r>
        <w:rPr>
          <w:rFonts w:ascii="Times New Roman" w:eastAsia="仿宋_GB2312" w:cs="仿宋_GB2312" w:hAnsi="Times New Roman" w:hint="eastAsia"/>
          <w:color w:val="auto"/>
          <w:sz w:val="32"/>
          <w:szCs w:val="32"/>
          <w:highlight w:val="auto"/>
        </w:rPr>
        <w:t>九、一般公共预算财政拨款项目支出决算表</w:t>
      </w:r>
      <w:bookmarkEnd w:id="79"/>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0" w:name="_Toc15396628"/>
      <w:r>
        <w:rPr>
          <w:rFonts w:ascii="Times New Roman" w:eastAsia="仿宋_GB2312" w:cs="仿宋_GB2312" w:hAnsi="Times New Roman" w:hint="eastAsia"/>
          <w:color w:val="auto"/>
          <w:sz w:val="32"/>
          <w:szCs w:val="32"/>
          <w:highlight w:val="auto"/>
        </w:rPr>
        <w:t>十、</w:t>
      </w:r>
      <w:bookmarkEnd w:id="80"/>
      <w:r>
        <w:rPr>
          <w:rFonts w:ascii="Times New Roman" w:eastAsia="仿宋_GB2312" w:cs="仿宋_GB2312" w:hAnsi="Times New Roman" w:hint="eastAsia"/>
          <w:color w:val="auto"/>
          <w:sz w:val="32"/>
          <w:szCs w:val="32"/>
          <w:highlight w:val="auto"/>
        </w:rPr>
        <w:t>政府性基金预算财政拨款收入支出决算表</w:t>
      </w:r>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1" w:name="_Toc15396629"/>
      <w:r>
        <w:rPr>
          <w:rFonts w:ascii="Times New Roman" w:eastAsia="仿宋_GB2312" w:cs="仿宋_GB2312" w:hAnsi="Times New Roman" w:hint="eastAsia"/>
          <w:color w:val="auto"/>
          <w:sz w:val="32"/>
          <w:szCs w:val="32"/>
          <w:highlight w:val="auto"/>
        </w:rPr>
        <w:t>十一、</w:t>
      </w:r>
      <w:bookmarkEnd w:id="81"/>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9"/>
        <w:keepNext w:val="0"/>
        <w:keepLines w:val="0"/>
        <w:pageBreakBefore w:val="0"/>
        <w:widowControl w:val="0"/>
        <w:tabs>
          <w:tab w:val="right" w:leader="dot" w:pos="8296"/>
        </w:tabs>
        <w:kinsoku/>
        <w:wordWrap/>
        <w:overflowPunct/>
        <w:topLinePunct w:val="0"/>
        <w:autoSpaceDE/>
        <w:autoSpaceDN/>
        <w:adjustRightInd w:val="0"/>
        <w:snapToGrid w:val="0"/>
        <w:spacing w:line="560" w:lineRule="exact"/>
        <w:jc w:val="left"/>
        <w:rPr>
          <w:rFonts w:eastAsia="仿宋_GB2312" w:cs="仿宋_GB2312" w:hint="eastAsia"/>
          <w:sz w:val="32"/>
          <w:szCs w:val="32"/>
        </w:rPr>
      </w:pPr>
      <w:bookmarkStart w:id="82" w:name="_Toc15396630"/>
      <w:r>
        <w:rPr>
          <w:rFonts w:ascii="Times New Roman" w:eastAsia="仿宋_GB2312" w:cs="仿宋_GB2312" w:hAnsi="Times New Roman" w:hint="eastAsia"/>
          <w:color w:val="auto"/>
          <w:sz w:val="32"/>
          <w:szCs w:val="32"/>
          <w:highlight w:val="auto"/>
        </w:rPr>
        <w:t>十二、</w:t>
      </w:r>
      <w:bookmarkEnd w:id="82"/>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9"/>
        <w:keepNext w:val="0"/>
        <w:keepLines w:val="0"/>
        <w:pageBreakBefore w:val="0"/>
        <w:widowControl w:val="0"/>
        <w:tabs>
          <w:tab w:val="right" w:leader="dot" w:pos="8296"/>
        </w:tabs>
        <w:kinsoku/>
        <w:wordWrap/>
        <w:overflowPunct/>
        <w:topLinePunct w:val="0"/>
        <w:autoSpaceDE/>
        <w:autoSpaceDN/>
        <w:adjustRightInd w:val="0"/>
        <w:snapToGrid w:val="0"/>
        <w:spacing w:line="560" w:lineRule="exact"/>
        <w:jc w:val="left"/>
        <w:rPr>
          <w:rFonts w:ascii="Times New Roman" w:eastAsia="仿宋_GB2312" w:cs="仿宋_GB2312" w:hAnsi="Times New Roman"/>
          <w:color w:val="auto"/>
          <w:sz w:val="32"/>
          <w:szCs w:val="32"/>
          <w:lang w:eastAsia="zh-CN"/>
          <w:highlight w:val="auto"/>
        </w:rPr>
      </w:pPr>
      <w:bookmarkStart w:id="83" w:name="_Toc15396631"/>
      <w:r>
        <w:rPr>
          <w:rFonts w:ascii="Times New Roman" w:eastAsia="仿宋_GB2312" w:cs="仿宋_GB2312" w:hAnsi="Times New Roman" w:hint="eastAsia"/>
          <w:color w:val="auto"/>
          <w:sz w:val="32"/>
          <w:szCs w:val="32"/>
          <w:highlight w:val="auto"/>
        </w:rPr>
        <w:t>十三、</w:t>
      </w:r>
      <w:bookmarkEnd w:id="83"/>
      <w:r>
        <w:rPr>
          <w:rFonts w:ascii="Times New Roman" w:eastAsia="仿宋_GB2312" w:cs="仿宋_GB2312" w:hAnsi="Times New Roman" w:hint="eastAsia"/>
          <w:color w:val="auto"/>
          <w:sz w:val="32"/>
          <w:szCs w:val="32"/>
          <w:lang w:eastAsia="zh-CN"/>
          <w:highlight w:val="auto"/>
        </w:rPr>
        <w:t>财政拨款“三公”经费支出决算表</w:t>
      </w:r>
    </w:p>
    <w:p>
      <w:pPr>
        <w:pStyle w:val="29"/>
        <w:keepNext w:val="0"/>
        <w:keepLines w:val="0"/>
        <w:pageBreakBefore w:val="0"/>
        <w:widowControl w:val="0"/>
        <w:tabs>
          <w:tab w:val="right" w:leader="dot" w:pos="8296"/>
        </w:tabs>
        <w:kinsoku/>
        <w:wordWrap/>
        <w:overflowPunct/>
        <w:topLinePunct w:val="0"/>
        <w:autoSpaceDE/>
        <w:autoSpaceDN/>
        <w:adjustRightInd w:val="0"/>
        <w:snapToGrid w:val="0"/>
        <w:spacing w:line="560" w:lineRule="exact"/>
        <w:jc w:val="left"/>
        <w:rPr>
          <w:rFonts w:ascii="Times New Roman" w:eastAsia="仿宋_GB2312" w:cs="仿宋_GB2312" w:hAnsi="Times New Roman"/>
          <w:color w:val="auto"/>
          <w:sz w:val="32"/>
          <w:szCs w:val="32"/>
          <w:lang w:eastAsia="zh-CN"/>
          <w:highlight w:val="auto"/>
        </w:rPr>
      </w:pPr>
    </w:p>
    <w:p>
      <w:pPr>
        <w:pStyle w:val="29"/>
        <w:keepNext w:val="0"/>
        <w:keepLines w:val="0"/>
        <w:pageBreakBefore w:val="0"/>
        <w:widowControl w:val="0"/>
        <w:tabs>
          <w:tab w:val="right" w:leader="dot" w:pos="8296"/>
        </w:tabs>
        <w:kinsoku/>
        <w:wordWrap/>
        <w:overflowPunct/>
        <w:topLinePunct w:val="0"/>
        <w:autoSpaceDE/>
        <w:autoSpaceDN/>
        <w:adjustRightInd w:val="0"/>
        <w:snapToGrid w:val="0"/>
        <w:spacing w:line="560" w:lineRule="exact"/>
        <w:jc w:val="center"/>
        <w:rPr>
          <w:rFonts w:eastAsia="仿宋_GB2312" w:cs="仿宋_GB2312" w:hint="eastAsia"/>
          <w:sz w:val="32"/>
          <w:szCs w:val="32"/>
        </w:rPr>
        <w:sectPr>
          <w:pgSz w:w="11906" w:h="16838"/>
          <w:pgMar w:top="2098" w:right="1474" w:bottom="1985" w:left="1588" w:header="851" w:footer="992" w:gutter="0"/>
          <w:pgNumType/>
          <w:docGrid w:type="lines" w:linePitch="312" w:charSpace="0"/>
        </w:sectPr>
      </w:pPr>
      <w:r>
        <w:rPr>
          <w:rFonts w:ascii="Times New Roman" w:eastAsia="仿宋_GB2312" w:cs="仿宋_GB2312" w:hAnsi="Times New Roman"/>
          <w:color w:val="auto"/>
          <w:sz w:val="32"/>
          <w:szCs w:val="32"/>
          <w:lang w:eastAsia="zh-CN"/>
          <w:highlight w:val="auto"/>
        </w:rPr>
        <w:t>（以上表格见附件）</w:t>
      </w:r>
    </w:p>
    <w:p>
      <w:pPr>
        <w:spacing w:line="560" w:lineRule="exact"/>
        <w:rPr>
          <w:rFonts w:hint="eastAsia"/>
          <w:sz w:val="2"/>
          <w:szCs w:val="2"/>
        </w:rPr>
      </w:pPr>
      <w:bookmarkEnd w:id="66"/>
    </w:p>
    <w:sectPr>
      <w:pgSz w:w="16838" w:h="11906" w:orient="landscape"/>
      <w:pgMar w:top="2098" w:right="1474" w:bottom="1985" w:left="1588"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2010601030101010101"/>
    <w:charset w:val="86"/>
    <w:family w:val="script"/>
    <w:pitch w:val="variable"/>
    <w:sig w:usb0="00000001" w:usb1="080E0000" w:usb2="00000000" w:usb3="00000000" w:csb0="00040000" w:csb1="00000000"/>
  </w:font>
  <w:font w:name="方正大黑_GBK">
    <w:altName w:val="黑体"/>
    <w:panose1 w:val="03000509000000000000"/>
    <w:charset w:val="86"/>
    <w:family w:val="script"/>
    <w:pitch w:val="variable"/>
    <w:sig w:usb0="00000000" w:usb1="0000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黑体">
    <w:altName w:val="方正黑体_GBK"/>
    <w:panose1 w:val="02010609060101010101"/>
    <w:charset w:val="86"/>
    <w:family w:val="auto"/>
    <w:pitch w:val="variable"/>
    <w:sig w:usb0="800002BF" w:usb1="38CF7CFA" w:usb2="00000016" w:usb3="00000000" w:csb0="00040001" w:csb1="00000000"/>
  </w:font>
  <w:font w:name="宋体">
    <w:altName w:val="方正书宋_GBK"/>
    <w:panose1 w:val="02010600030101010101"/>
    <w:charset w:val="7A"/>
    <w:family w:val="auto"/>
    <w:pitch w:val="variable"/>
    <w:sig w:usb0="00000203" w:usb1="288F0000" w:usb2="00000006" w:usb3="00000000" w:csb0="00040001" w:csb1="00000000"/>
  </w:font>
  <w:font w:name="仿宋">
    <w:altName w:val="仿宋_GB2312"/>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方正兰亭黑_GBK">
    <w:altName w:val="Arial Unicode MS"/>
    <w:panose1 w:val="02000000000000000000"/>
    <w:charset w:val="86"/>
    <w:family w:val="script"/>
    <w:pitch w:val="variable"/>
    <w:sig w:usb0="00000000" w:usb1="00000000" w:usb2="0008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微软雅黑">
    <w:altName w:val="方正兰亭黑_GBK"/>
    <w:panose1 w:val="020B0503020204020204"/>
    <w:charset w:val="86"/>
    <w:family w:val="auto"/>
    <w:pitch w:val="variable"/>
    <w:sig w:usb0="80000287" w:usb1="2ACF3C50" w:usb2="00000016" w:usb3="00000000" w:csb0="0004001F" w:csb1="00000000"/>
  </w:font>
  <w:font w:name="Cambria">
    <w:altName w:val="DejaVu Sans"/>
    <w:panose1 w:val="02040503050406030204"/>
    <w:charset w:val="00"/>
    <w:family w:val="roman"/>
    <w:pitch w:val="variable"/>
    <w:sig w:usb0="E00006FF" w:usb1="420024FF" w:usb2="02000000" w:usb3="00000000" w:csb0="2000019F" w:csb1="00000000"/>
  </w:font>
  <w:font w:name="Calibri">
    <w:altName w:val="Times New Roman"/>
    <w:panose1 w:val="020F0502020204030204"/>
    <w:charset w:val="00"/>
    <w:family w:val="swiss"/>
    <w:pitch w:val="variable"/>
    <w:sig w:usb0="E4002EFF" w:usb1="C200247B" w:usb2="00000009" w:usb3="00000000" w:csb0="200001FF" w:csb1="00000000"/>
  </w:font>
  <w:font w:name="Arial">
    <w:altName w:val="DejaVu Sans"/>
    <w:panose1 w:val="020B0604020202020204"/>
    <w:charset w:val="01"/>
    <w:family w:val="swiss"/>
    <w:pitch w:val="variable"/>
    <w:sig w:usb0="E0002EFF" w:usb1="C000785B" w:usb2="00000009" w:usb3="00000000" w:csb0="400001FF" w:csb1="FFFF0000"/>
  </w:font>
  <w:font w:name="??">
    <w:altName w:val="DejaVu Sans"/>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center"/>
    </w:pPr>
  </w:p>
  <w:p>
    <w:pPr>
      <w:pStyle w:val="24"/>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center"/>
    </w:pPr>
  </w:p>
  <w:p>
    <w:pPr>
      <w:pStyle w:val="24"/>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center"/>
    </w:pPr>
  </w:p>
  <w:p>
    <w:pPr>
      <w:pStyle w:val="24"/>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r>
      <w:rPr>
        <w:sz w:val="18"/>
      </w:rPr>
      <mc:AlternateContent>
        <mc:Choice Requires="wps">
          <w:drawing>
            <wp:anchor distT="0" distB="0" distL="114298" distR="114298" simplePos="0" relativeHeight="34" behindDoc="0" locked="0" layoutInCell="1" hidden="0" allowOverlap="1">
              <wp:simplePos x="0" y="0"/>
              <wp:positionH relativeFrom="margin">
                <wp:align>center</wp:align>
              </wp:positionH>
              <wp:positionV relativeFrom="paragraph">
                <wp:posOffset>0</wp:posOffset>
              </wp:positionV>
              <wp:extent cx="190423" cy="131559"/>
              <wp:effectExtent l="0" t="0" r="0" b="0"/>
              <wp:wrapNone/>
              <wp:docPr id="1" name="文本框 6"/>
              <wp:cNvGraphicFramePr>
                <a:graphicFrameLocks noChangeAspect="0"/>
              </wp:cNvGraphicFramePr>
              <a:graphic>
                <a:graphicData uri="http://schemas.microsoft.com/office/word/2010/wordprocessingShape">
                  <wps:wsp>
                    <wps:cNvSpPr/>
                    <wps:spPr>
                      <a:xfrm rot="0">
                        <a:off x="0" y="0"/>
                        <a:ext cx="190423" cy="131559"/>
                      </a:xfrm>
                      <a:prstGeom prst="rect"/>
                      <a:noFill/>
                      <a:ln w="6350" cmpd="sng" cap="flat">
                        <a:noFill/>
                        <a:prstDash val="solid"/>
                        <a:round/>
                      </a:ln>
                    </wps:spPr>
                    <wps:txbx id="2">
                      <w:txbxContent>
                        <w:p>
                          <w:pPr>
                            <w:pStyle w:val="24"/>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rect type="#_x0000_t1" id="文本框 6 3" o:spid="_x0000_s3" filled="f" stroked="f" strokeweight="0.5pt" style="position:absolute;margin-left:0.0pt;margin-top:0.0pt;width:14.994001pt;height:10.359pt;z-index:34;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4"/>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rect>
          </w:pict>
        </mc:Fallback>
      </mc:AlternateContent>
    </w:r>
  </w:p>
</w:ftr>
</file>

<file path=word/footer6.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center"/>
    </w:pPr>
    <w:r>
      <w:rPr>
        <w:sz w:val="18"/>
      </w:rPr>
      <mc:AlternateContent>
        <mc:Choice Requires="wps">
          <w:drawing>
            <wp:anchor distT="0" distB="0" distL="114298" distR="114298" simplePos="0" relativeHeight="36" behindDoc="0" locked="0" layoutInCell="1" hidden="0" allowOverlap="1">
              <wp:simplePos x="0" y="0"/>
              <wp:positionH relativeFrom="margin">
                <wp:align>outside</wp:align>
              </wp:positionH>
              <wp:positionV relativeFrom="paragraph">
                <wp:posOffset>-3131869</wp:posOffset>
              </wp:positionV>
              <wp:extent cx="711199" cy="266561"/>
              <wp:effectExtent l="0" t="0" r="0" b="0"/>
              <wp:wrapNone/>
              <wp:docPr id="4" name="文本框 2"/>
              <wp:cNvGraphicFramePr>
                <a:graphicFrameLocks noChangeAspect="0"/>
              </wp:cNvGraphicFramePr>
              <a:graphic>
                <a:graphicData uri="http://schemas.microsoft.com/office/word/2010/wordprocessingShape">
                  <wps:wsp>
                    <wps:cNvSpPr/>
                    <wps:spPr>
                      <a:xfrm rot="0">
                        <a:off x="0" y="0"/>
                        <a:ext cx="711199" cy="266561"/>
                      </a:xfrm>
                      <a:prstGeom prst="rect"/>
                      <a:noFill/>
                      <a:ln w="6350" cmpd="sng" cap="flat">
                        <a:noFill/>
                        <a:prstDash val="solid"/>
                        <a:round/>
                      </a:ln>
                    </wps:spPr>
                    <wps:txbx id="5">
                      <w:txbxContent>
                        <w:p>
                          <w:pPr>
                            <w:pStyle w:val="24"/>
                            <w:tabs>
                              <w:tab w:val="center" w:pos="4153"/>
                              <w:tab w:val="right" w:pos="8306"/>
                            </w:tabs>
                            <w:rPr>
                              <w:rFonts w:ascii="宋体" w:eastAsia="宋体" w:cs="宋体" w:hint="eastAsia"/>
                              <w:sz w:val="28"/>
                              <w:szCs w:val="28"/>
                            </w:rPr>
                          </w:pPr>
                          <w:r>
                            <w:rPr>
                              <w:rFonts w:ascii="宋体" w:eastAsia="宋体" w:cs="宋体" w:hint="eastAsia"/>
                              <w:sz w:val="28"/>
                              <w:szCs w:val="28"/>
                            </w:rPr>
                            <w:t xml:space="preserve">— </w:t>
                          </w: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hint="eastAsia"/>
                              <w:sz w:val="28"/>
                              <w:szCs w:val="28"/>
                            </w:rPr>
                            <w:t>1</w:t>
                          </w:r>
                          <w:r>
                            <w:rPr>
                              <w:rFonts w:ascii="宋体" w:eastAsia="宋体" w:cs="宋体" w:hint="eastAsia"/>
                              <w:sz w:val="28"/>
                              <w:szCs w:val="28"/>
                            </w:rPr>
                            <w:fldChar w:fldCharType="end"/>
                          </w:r>
                          <w:r>
                            <w:rPr>
                              <w:rFonts w:ascii="宋体" w:eastAsia="宋体" w:cs="宋体" w:hint="eastAsia"/>
                              <w:sz w:val="28"/>
                              <w:szCs w:val="28"/>
                            </w:rPr>
                            <w:t xml:space="preserve"> —</w:t>
                          </w:r>
                        </w:p>
                      </w:txbxContent>
                    </wps:txbx>
                    <wps:bodyPr vert="horz" wrap="none" lIns="0" tIns="0" rIns="0" bIns="0" anchor="t" anchorCtr="0" upright="0">
                      <a:spAutoFit/>
                    </wps:bodyPr>
                  </wps:wsp>
                </a:graphicData>
              </a:graphic>
            </wp:anchor>
          </w:drawing>
        </mc:Choice>
        <mc:Fallback>
          <w:pict>
            <v:shape type="#_x0000_t202" id="文本框 2 6" o:spid="_x0000_s6" filled="f" stroked="f" strokeweight="0.5pt" style="position:absolute;margin-left:625.79047pt;margin-top:-246.60388pt;width:55.999985pt;height:20.98906pt;z-index:36;mso-position-horizontal:outside;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4"/>
                      <w:tabs>
                        <w:tab w:val="center" w:pos="4153"/>
                        <w:tab w:val="right" w:pos="8306"/>
                      </w:tabs>
                      <w:rPr>
                        <w:rFonts w:ascii="宋体" w:eastAsia="宋体" w:cs="宋体" w:hint="eastAsia"/>
                        <w:sz w:val="28"/>
                        <w:szCs w:val="28"/>
                      </w:rPr>
                    </w:pPr>
                    <w:r>
                      <w:rPr>
                        <w:rFonts w:ascii="宋体" w:eastAsia="宋体" w:cs="宋体" w:hint="eastAsia"/>
                        <w:sz w:val="28"/>
                        <w:szCs w:val="28"/>
                      </w:rPr>
                      <w:t xml:space="preserve">— </w:t>
                    </w: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hint="eastAsia"/>
                        <w:sz w:val="28"/>
                        <w:szCs w:val="28"/>
                      </w:rPr>
                      <w:t>1</w:t>
                    </w:r>
                    <w:r>
                      <w:rPr>
                        <w:rFonts w:ascii="宋体" w:eastAsia="宋体" w:cs="宋体" w:hint="eastAsia"/>
                        <w:sz w:val="28"/>
                        <w:szCs w:val="28"/>
                      </w:rPr>
                      <w:fldChar w:fldCharType="end"/>
                    </w:r>
                    <w:r>
                      <w:rPr>
                        <w:rFonts w:ascii="宋体" w:eastAsia="宋体" w:cs="宋体" w:hint="eastAsia"/>
                        <w:sz w:val="28"/>
                        <w:szCs w:val="28"/>
                      </w:rPr>
                      <w:t xml:space="preserve"> —</w:t>
                    </w:r>
                  </w:p>
                </w:txbxContent>
              </v:textbox>
            </v:shape>
          </w:pict>
        </mc:Fallback>
      </mc:AlternateContent>
    </w:r>
  </w:p>
  <w:p>
    <w:pPr>
      <w:pStyle w:val="24"/>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5"/>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next w:val="0"/>
    <w:pPr>
      <w:ind w:firstLineChars="200" w:firstLine="200"/>
    </w:pPr>
  </w:style>
  <w:style w:type="paragraph" w:styleId="18">
    <w:name w:val="toc 7"/>
    <w:autoRedefine/>
    <w:pPr>
      <w:ind w:left="1260"/>
      <w:jc w:val="left"/>
    </w:pPr>
    <w:rPr>
      <w:rFonts w:ascii="Times New Roman" w:eastAsia="宋体" w:cs="Times New Roman" w:hAnsi="Times New Roman"/>
      <w:sz w:val="18"/>
      <w:szCs w:val="20"/>
      <w:lang w:val="en-US" w:eastAsia="zh-CN" w:bidi="ar-SA"/>
    </w:rPr>
  </w:style>
  <w:style w:type="paragraph" w:styleId="19">
    <w:name w:val="Body Text"/>
    <w:basedOn w:val="0"/>
    <w:pPr>
      <w:spacing w:beforeLines="30" w:before="30"/>
    </w:pPr>
    <w:rPr>
      <w:rFonts w:ascii="仿宋_GB2312" w:eastAsia="仿宋_GB2312"/>
      <w:kern w:val="0"/>
      <w:sz w:val="30"/>
    </w:rPr>
  </w:style>
  <w:style w:type="paragraph" w:styleId="20">
    <w:name w:val="toc 5"/>
    <w:autoRedefine/>
    <w:pPr>
      <w:ind w:left="840"/>
      <w:jc w:val="left"/>
    </w:pPr>
    <w:rPr>
      <w:rFonts w:ascii="Times New Roman" w:eastAsia="宋体" w:cs="Times New Roman" w:hAnsi="Times New Roman"/>
      <w:sz w:val="18"/>
      <w:szCs w:val="20"/>
      <w:lang w:val="en-US" w:eastAsia="zh-CN" w:bidi="ar-SA"/>
    </w:rPr>
  </w:style>
  <w:style w:type="paragraph" w:styleId="21">
    <w:name w:val="toc 3"/>
    <w:pPr>
      <w:ind w:left="420"/>
      <w:jc w:val="left"/>
    </w:pPr>
    <w:rPr>
      <w:rFonts w:ascii="Times New Roman" w:eastAsia="宋体" w:cs="Times New Roman" w:hAnsi="Times New Roman"/>
      <w:i/>
      <w:sz w:val="20"/>
      <w:szCs w:val="20"/>
      <w:lang w:val="en-US" w:eastAsia="zh-CN" w:bidi="ar-SA"/>
    </w:rPr>
  </w:style>
  <w:style w:type="paragraph" w:styleId="22">
    <w:name w:val="toc 8"/>
    <w:autoRedefine/>
    <w:pPr>
      <w:ind w:left="1470"/>
      <w:jc w:val="left"/>
    </w:pPr>
    <w:rPr>
      <w:rFonts w:ascii="Times New Roman" w:eastAsia="宋体" w:cs="Times New Roman" w:hAnsi="Times New Roman"/>
      <w:sz w:val="18"/>
      <w:szCs w:val="20"/>
      <w:lang w:val="en-US" w:eastAsia="zh-CN" w:bidi="ar-SA"/>
    </w:rPr>
  </w:style>
  <w:style w:type="paragraph" w:styleId="23">
    <w:name w:val="Balloon Text"/>
    <w:basedOn w:val="0"/>
    <w:rPr>
      <w:sz w:val="18"/>
      <w:szCs w:val="18"/>
    </w:rPr>
  </w:style>
  <w:style w:type="paragraph" w:styleId="24">
    <w:name w:val="footer"/>
    <w:basedOn w:val="0"/>
    <w:pPr>
      <w:tabs>
        <w:tab w:val="center" w:pos="4153"/>
        <w:tab w:val="right" w:pos="8306"/>
      </w:tabs>
      <w:snapToGrid w:val="0"/>
      <w:jc w:val="left"/>
    </w:pPr>
    <w:rPr>
      <w:rFonts w:ascii="Calibri" w:hAnsi="Calibri"/>
      <w:kern w:val="0"/>
      <w:sz w:val="18"/>
      <w:szCs w:val="18"/>
    </w:rPr>
  </w:style>
  <w:style w:type="paragraph" w:styleId="25">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6">
    <w:name w:val="toc 1"/>
    <w:pPr>
      <w:spacing w:before="120" w:after="120"/>
      <w:ind w:left="0"/>
      <w:jc w:val="left"/>
    </w:pPr>
    <w:rPr>
      <w:rFonts w:ascii="Times New Roman" w:eastAsia="宋体" w:cs="Times New Roman" w:hAnsi="Times New Roman"/>
      <w:b/>
      <w:caps/>
      <w:smallCaps w:val="0"/>
      <w:sz w:val="20"/>
      <w:szCs w:val="20"/>
      <w:lang w:val="en-US" w:eastAsia="zh-CN" w:bidi="ar-SA"/>
    </w:rPr>
  </w:style>
  <w:style w:type="paragraph" w:styleId="27">
    <w:name w:val="toc 4"/>
    <w:autoRedefine/>
    <w:pPr>
      <w:ind w:left="630"/>
      <w:jc w:val="left"/>
    </w:pPr>
    <w:rPr>
      <w:rFonts w:ascii="Times New Roman" w:eastAsia="宋体" w:cs="Times New Roman" w:hAnsi="Times New Roman"/>
      <w:sz w:val="18"/>
      <w:szCs w:val="20"/>
      <w:lang w:val="en-US" w:eastAsia="zh-CN" w:bidi="ar-SA"/>
    </w:rPr>
  </w:style>
  <w:style w:type="paragraph" w:styleId="28">
    <w:name w:val="toc 6"/>
    <w:autoRedefine/>
    <w:pPr>
      <w:ind w:left="1050"/>
      <w:jc w:val="left"/>
    </w:pPr>
    <w:rPr>
      <w:rFonts w:ascii="Times New Roman" w:eastAsia="宋体" w:cs="Times New Roman" w:hAnsi="Times New Roman"/>
      <w:sz w:val="18"/>
      <w:szCs w:val="20"/>
      <w:lang w:val="en-US" w:eastAsia="zh-CN" w:bidi="ar-SA"/>
    </w:rPr>
  </w:style>
  <w:style w:type="paragraph" w:styleId="29">
    <w:name w:val="toc 2"/>
    <w:pPr>
      <w:ind w:left="210"/>
      <w:jc w:val="left"/>
    </w:pPr>
    <w:rPr>
      <w:rFonts w:ascii="Times New Roman" w:eastAsia="宋体" w:cs="Times New Roman" w:hAnsi="Times New Roman"/>
      <w:caps w:val="0"/>
      <w:smallCaps/>
      <w:sz w:val="20"/>
      <w:szCs w:val="20"/>
      <w:lang w:val="en-US" w:eastAsia="zh-CN" w:bidi="ar-SA"/>
    </w:rPr>
  </w:style>
  <w:style w:type="paragraph" w:styleId="30">
    <w:name w:val="toc 9"/>
    <w:autoRedefine/>
    <w:pPr>
      <w:ind w:left="1680"/>
      <w:jc w:val="left"/>
    </w:pPr>
    <w:rPr>
      <w:rFonts w:ascii="Times New Roman" w:eastAsia="宋体" w:cs="Times New Roman" w:hAnsi="Times New Roman"/>
      <w:sz w:val="18"/>
      <w:szCs w:val="20"/>
      <w:lang w:val="en-US" w:eastAsia="zh-CN" w:bidi="ar-SA"/>
    </w:rPr>
  </w:style>
  <w:style w:type="paragraph" w:styleId="31">
    <w:name w:val="Normal (Web)"/>
    <w:basedOn w:val="0"/>
    <w:next w:val="24"/>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Times New Roman" w:eastAsia="宋体" w:cs="Times New Roman" w:hAnsi="Times New Roman"/>
      <w:snapToGrid/>
      <w:color w:val="auto"/>
      <w:spacing w:val="0"/>
      <w:w w:val="100"/>
      <w:kern w:val="0"/>
      <w:position w:val="0"/>
      <w:sz w:val="24"/>
      <w:szCs w:val="24"/>
      <w:u w:val="none" w:color="auto"/>
      <w:vertAlign w:val="baseline"/>
      <w:lang w:val="en-US" w:eastAsia="zh-CN" w:bidi="ar-SA"/>
    </w:rPr>
  </w:style>
  <w:style w:type="character" w:styleId="32">
    <w:name w:val="Strong"/>
    <w:basedOn w:val="10"/>
    <w:rPr>
      <w:b/>
    </w:rPr>
  </w:style>
  <w:style w:type="character" w:styleId="33">
    <w:name w:val="Hyperlink"/>
    <w:basedOn w:val="10"/>
    <w:rPr>
      <w:color w:val="0000FF"/>
      <w:u w:val="single"/>
    </w:rPr>
  </w:style>
  <w:style w:type="paragraph" w:customStyle="1" w:styleId="34">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35">
    <w:name w:val="Header Char"/>
    <w:basedOn w:val="10"/>
    <w:rPr>
      <w:rFonts w:ascii="Times New Roman" w:hAnsi="Times New Roman"/>
      <w:sz w:val="18"/>
      <w:szCs w:val="18"/>
    </w:rPr>
  </w:style>
  <w:style w:type="character" w:customStyle="1" w:styleId="36">
    <w:name w:val="Footer Char"/>
    <w:basedOn w:val="10"/>
    <w:rPr>
      <w:rFonts w:ascii="Times New Roman" w:hAnsi="Times New Roman"/>
      <w:sz w:val="18"/>
      <w:szCs w:val="18"/>
    </w:rPr>
  </w:style>
  <w:style w:type="character" w:customStyle="1" w:styleId="37">
    <w:name w:val="Body Text Char"/>
    <w:basedOn w:val="10"/>
    <w:rPr>
      <w:rFonts w:ascii="Times New Roman" w:hAnsi="Times New Roman"/>
      <w:szCs w:val="24"/>
    </w:rPr>
  </w:style>
  <w:style w:type="paragraph" w:customStyle="1" w:styleId="38">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9">
    <w:name w:val="List Paragraph"/>
    <w:basedOn w:val="0"/>
    <w:pPr>
      <w:ind w:firstLineChars="200" w:firstLine="200"/>
    </w:pPr>
  </w:style>
  <w:style w:type="paragraph" w:customStyle="1" w:styleId="40">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41">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42">
    <w:name w:val="四号正文"/>
    <w:basedOn w:val="0"/>
    <w:pPr>
      <w:spacing w:line="360" w:lineRule="auto"/>
    </w:pPr>
    <w:rPr>
      <w:rFonts w:ascii="??" w:eastAsia="宋体" w:hAnsi="??"/>
      <w:color w:val="000000"/>
      <w:kern w:val="0"/>
      <w:sz w:val="28"/>
      <w:szCs w:val="21"/>
      <w:lang w:val="zh-CN"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image" Target="media/8.bmp"/><Relationship Id="rId10" Type="http://schemas.openxmlformats.org/officeDocument/2006/relationships/image" Target="media/11.bmp"/><Relationship Id="rId11" Type="http://schemas.openxmlformats.org/officeDocument/2006/relationships/image" Target="media/14.bmp"/><Relationship Id="rId12" Type="http://schemas.openxmlformats.org/officeDocument/2006/relationships/image" Target="media/17.bmp"/><Relationship Id="rId13" Type="http://schemas.openxmlformats.org/officeDocument/2006/relationships/image" Target="media/20.bmp"/><Relationship Id="rId14" Type="http://schemas.openxmlformats.org/officeDocument/2006/relationships/image" Target="media/23.bmp"/><Relationship Id="rId15" Type="http://schemas.openxmlformats.org/officeDocument/2006/relationships/image" Target="media/26.bmp"/><Relationship Id="rId16" Type="http://schemas.openxmlformats.org/officeDocument/2006/relationships/styles" Target="styles.xml"/><Relationship Id="rId17" Type="http://schemas.openxmlformats.org/officeDocument/2006/relationships/fontTable" Target="fontTable.xml"/></Relationships>
</file>

<file path=docProps/app.xml><?xml version="1.0" encoding="utf-8"?>
<Properties xmlns="http://schemas.openxmlformats.org/officeDocument/2006/extended-properties">
  <Template>Normal.eit</Template>
  <TotalTime>123</TotalTime>
  <Application>Yozo_Office27021597764231179</Application>
  <Pages>130</Pages>
  <Words>46100</Words>
  <Characters>51845</Characters>
  <Lines>7348</Lines>
  <Paragraphs>4609</Paragraphs>
  <CharactersWithSpaces>51942</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2026-09-18T02:00:07Z</cp:lastPrinted>
  <dcterms:created xsi:type="dcterms:W3CDTF">2020-08-08T17:49:00Z</dcterms:created>
  <dcterms:modified xsi:type="dcterms:W3CDTF">2026-09-18T03:48:58Z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eyJoZGlkIjoiOGI4NWUyYTcxODE2OTc3OTljNGQ5NWQ0NThlZTY3ZjkiLCJ1c2VySWQiOiI0MjI4MTQyOTcifQ==</vt:lpwstr>
  </property>
</Properties>
</file>