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chart7.xml" ContentType="application/vnd.openxmlformats-officedocument.drawingml.chart+xml"/>
  <Override PartName="/word/charts/colors1.xml" ContentType="application/vnd.ms-office.chartcolorstyle+xml"/>
  <Override PartName="/word/charts/colors2.xml" ContentType="application/vnd.ms-office.chartcolorstyle+xml"/>
  <Override PartName="/word/charts/colors3.xml" ContentType="application/vnd.ms-office.chartcolorstyle+xml"/>
  <Override PartName="/word/charts/colors4.xml" ContentType="application/vnd.ms-office.chartcolorstyle+xml"/>
  <Override PartName="/word/charts/style1.xml" ContentType="application/vnd.ms-office.chartstyle+xml"/>
  <Override PartName="/word/charts/style2.xml" ContentType="application/vnd.ms-office.chartstyle+xml"/>
  <Override PartName="/word/charts/style3.xml" ContentType="application/vnd.ms-office.chartstyle+xml"/>
  <Override PartName="/word/charts/style4.xml" ContentType="application/vnd.ms-office.chartstyle+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8E0AEB7">
      <w:pPr>
        <w:pStyle w:val="2"/>
        <w:rPr>
          <w:rFonts w:hint="eastAsia" w:ascii="Times New Roman" w:hAnsi="Times New Roman" w:eastAsia="方正小标宋简体" w:cs="Times New Roman"/>
          <w:color w:val="auto"/>
          <w:kern w:val="2"/>
          <w:sz w:val="72"/>
          <w:szCs w:val="72"/>
          <w:highlight w:val="none"/>
          <w:lang w:val="en-US" w:eastAsia="zh-CN" w:bidi="ar-SA"/>
        </w:rPr>
      </w:pPr>
    </w:p>
    <w:p w14:paraId="53333B44">
      <w:pPr>
        <w:pStyle w:val="2"/>
        <w:rPr>
          <w:rFonts w:hint="eastAsia" w:ascii="Times New Roman" w:hAnsi="Times New Roman" w:eastAsia="方正小标宋简体" w:cs="Times New Roman"/>
          <w:color w:val="auto"/>
          <w:kern w:val="2"/>
          <w:sz w:val="72"/>
          <w:szCs w:val="72"/>
          <w:highlight w:val="none"/>
          <w:lang w:val="en-US" w:eastAsia="zh-CN" w:bidi="ar-SA"/>
        </w:rPr>
      </w:pPr>
    </w:p>
    <w:p w14:paraId="4846CC94">
      <w:pPr>
        <w:rPr>
          <w:rFonts w:hint="eastAsia"/>
          <w:lang w:val="en-US" w:eastAsia="zh-CN"/>
        </w:rPr>
      </w:pPr>
    </w:p>
    <w:p w14:paraId="66956431">
      <w:pPr>
        <w:pStyle w:val="2"/>
        <w:jc w:val="center"/>
        <w:rPr>
          <w:rFonts w:hint="eastAsia" w:ascii="方正小标宋简体" w:hAnsi="方正小标宋简体" w:eastAsia="方正小标宋简体" w:cs="方正小标宋简体"/>
          <w:color w:val="auto"/>
          <w:kern w:val="2"/>
          <w:sz w:val="72"/>
          <w:szCs w:val="72"/>
          <w:highlight w:val="none"/>
          <w:lang w:val="en-US" w:eastAsia="zh-CN" w:bidi="ar-SA"/>
        </w:rPr>
      </w:pPr>
    </w:p>
    <w:p w14:paraId="59828D0F">
      <w:pPr>
        <w:jc w:val="center"/>
        <w:rPr>
          <w:rFonts w:hint="eastAsia" w:ascii="方正小标宋简体" w:hAnsi="方正小标宋简体" w:eastAsia="方正小标宋简体" w:cs="方正小标宋简体"/>
          <w:sz w:val="72"/>
          <w:szCs w:val="72"/>
        </w:rPr>
      </w:pPr>
      <w:r>
        <w:rPr>
          <w:rFonts w:hint="eastAsia" w:ascii="方正小标宋简体" w:hAnsi="方正小标宋简体" w:eastAsia="方正小标宋简体" w:cs="方正小标宋简体"/>
          <w:sz w:val="72"/>
          <w:szCs w:val="72"/>
        </w:rPr>
        <w:t>2024年</w:t>
      </w:r>
    </w:p>
    <w:p w14:paraId="38A49B2C">
      <w:pPr>
        <w:jc w:val="center"/>
        <w:rPr>
          <w:rFonts w:hint="eastAsia" w:ascii="方正小标宋简体" w:hAnsi="方正小标宋简体" w:eastAsia="方正小标宋简体" w:cs="方正小标宋简体"/>
          <w:sz w:val="72"/>
          <w:szCs w:val="72"/>
        </w:rPr>
      </w:pPr>
      <w:r>
        <w:rPr>
          <w:rFonts w:hint="eastAsia" w:ascii="方正小标宋简体" w:hAnsi="方正小标宋简体" w:eastAsia="方正小标宋简体" w:cs="方正小标宋简体"/>
          <w:sz w:val="72"/>
          <w:szCs w:val="72"/>
        </w:rPr>
        <w:t>阿坝州民政局决算公开</w:t>
      </w:r>
    </w:p>
    <w:p w14:paraId="0B7000E3">
      <w:pPr>
        <w:pStyle w:val="2"/>
        <w:rPr>
          <w:rFonts w:hint="eastAsia" w:ascii="方正小标宋简体" w:hAnsi="方正小标宋简体" w:eastAsia="方正小标宋简体" w:cs="方正小标宋简体"/>
          <w:sz w:val="72"/>
          <w:szCs w:val="72"/>
        </w:rPr>
      </w:pPr>
    </w:p>
    <w:p w14:paraId="358C555D">
      <w:pPr>
        <w:rPr>
          <w:rFonts w:hint="eastAsia"/>
        </w:rPr>
      </w:pPr>
    </w:p>
    <w:p w14:paraId="3AFC6674">
      <w:pPr>
        <w:rPr>
          <w:rFonts w:hint="eastAsia" w:ascii="方正小标宋简体" w:hAnsi="方正小标宋简体" w:eastAsia="方正小标宋简体" w:cs="方正小标宋简体"/>
          <w:sz w:val="72"/>
          <w:szCs w:val="72"/>
        </w:rPr>
      </w:pPr>
    </w:p>
    <w:p w14:paraId="72FA3174">
      <w:pPr>
        <w:pStyle w:val="12"/>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公开时间：20</w:t>
      </w:r>
      <w:r>
        <w:rPr>
          <w:rFonts w:hint="eastAsia" w:ascii="Times New Roman" w:hAnsi="Times New Roman" w:eastAsia="仿宋_GB2312" w:cs="仿宋_GB2312"/>
          <w:color w:val="auto"/>
          <w:sz w:val="32"/>
          <w:szCs w:val="32"/>
          <w:highlight w:val="none"/>
          <w:lang w:val="en-US" w:eastAsia="zh-CN"/>
        </w:rPr>
        <w:t>2</w:t>
      </w:r>
      <w:r>
        <w:rPr>
          <w:rFonts w:hint="default" w:ascii="Times New Roman" w:hAnsi="Times New Roman" w:eastAsia="仿宋_GB2312" w:cs="仿宋_GB2312"/>
          <w:color w:val="auto"/>
          <w:sz w:val="32"/>
          <w:szCs w:val="32"/>
          <w:highlight w:val="none"/>
          <w:lang w:eastAsia="zh-CN"/>
        </w:rPr>
        <w:t>5</w:t>
      </w:r>
      <w:r>
        <w:rPr>
          <w:rFonts w:hint="eastAsia" w:ascii="Times New Roman" w:hAnsi="Times New Roman" w:eastAsia="仿宋_GB2312" w:cs="仿宋_GB2312"/>
          <w:color w:val="auto"/>
          <w:sz w:val="32"/>
          <w:szCs w:val="32"/>
          <w:highlight w:val="none"/>
        </w:rPr>
        <w:t>年</w:t>
      </w:r>
      <w:r>
        <w:rPr>
          <w:rFonts w:hint="default" w:ascii="Times New Roman" w:hAnsi="Times New Roman" w:eastAsia="仿宋_GB2312" w:cs="仿宋_GB2312"/>
          <w:color w:val="auto"/>
          <w:sz w:val="32"/>
          <w:szCs w:val="32"/>
          <w:highlight w:val="none"/>
          <w:lang w:eastAsia="zh-CN"/>
        </w:rPr>
        <w:t>9</w:t>
      </w:r>
      <w:r>
        <w:rPr>
          <w:rFonts w:hint="eastAsia" w:ascii="Times New Roman" w:hAnsi="Times New Roman" w:eastAsia="仿宋_GB2312" w:cs="仿宋_GB2312"/>
          <w:color w:val="auto"/>
          <w:sz w:val="32"/>
          <w:szCs w:val="32"/>
          <w:highlight w:val="none"/>
        </w:rPr>
        <w:t>月</w:t>
      </w:r>
      <w:r>
        <w:rPr>
          <w:rFonts w:hint="eastAsia" w:ascii="Times New Roman" w:hAnsi="Times New Roman" w:eastAsia="仿宋_GB2312" w:cs="仿宋_GB2312"/>
          <w:color w:val="auto"/>
          <w:sz w:val="32"/>
          <w:szCs w:val="32"/>
          <w:highlight w:val="none"/>
          <w:lang w:val="en-US" w:eastAsia="zh-CN"/>
        </w:rPr>
        <w:t xml:space="preserve"> </w:t>
      </w:r>
      <w:r>
        <w:rPr>
          <w:rFonts w:hint="default" w:ascii="Times New Roman" w:hAnsi="Times New Roman" w:eastAsia="仿宋_GB2312" w:cs="仿宋_GB2312"/>
          <w:color w:val="auto"/>
          <w:sz w:val="32"/>
          <w:szCs w:val="32"/>
          <w:highlight w:val="none"/>
          <w:lang w:eastAsia="zh-CN"/>
        </w:rPr>
        <w:t>19</w:t>
      </w:r>
      <w:r>
        <w:rPr>
          <w:rFonts w:hint="eastAsia" w:ascii="Times New Roman" w:hAnsi="Times New Roman" w:eastAsia="仿宋_GB2312" w:cs="仿宋_GB2312"/>
          <w:color w:val="auto"/>
          <w:sz w:val="32"/>
          <w:szCs w:val="32"/>
          <w:highlight w:val="none"/>
        </w:rPr>
        <w:t>日</w:t>
      </w:r>
    </w:p>
    <w:p w14:paraId="478CF07C">
      <w:pPr>
        <w:pStyle w:val="2"/>
        <w:rPr>
          <w:rFonts w:hint="eastAsia" w:ascii="方正小标宋简体" w:hAnsi="方正小标宋简体" w:eastAsia="方正小标宋简体" w:cs="方正小标宋简体"/>
          <w:sz w:val="72"/>
          <w:szCs w:val="72"/>
        </w:rPr>
      </w:pPr>
    </w:p>
    <w:p w14:paraId="2403C548">
      <w:pPr>
        <w:pStyle w:val="2"/>
        <w:rPr>
          <w:rFonts w:hint="eastAsia" w:ascii="方正小标宋简体" w:hAnsi="方正小标宋简体" w:eastAsia="方正小标宋简体" w:cs="方正小标宋简体"/>
          <w:sz w:val="72"/>
          <w:szCs w:val="72"/>
        </w:rPr>
      </w:pPr>
    </w:p>
    <w:p w14:paraId="0EF8F6F6">
      <w:pPr>
        <w:rPr>
          <w:rFonts w:hint="eastAsia"/>
        </w:rPr>
      </w:pPr>
    </w:p>
    <w:p w14:paraId="2BA008DD">
      <w:pPr>
        <w:rPr>
          <w:rFonts w:hint="eastAsia"/>
        </w:rPr>
      </w:pPr>
    </w:p>
    <w:p w14:paraId="1AAEA2C8">
      <w:pPr>
        <w:spacing w:before="0" w:beforeLines="0" w:after="0" w:afterLines="0" w:line="240" w:lineRule="auto"/>
        <w:ind w:left="0" w:leftChars="0" w:right="0" w:rightChars="0" w:firstLine="0" w:firstLineChars="0"/>
        <w:jc w:val="center"/>
        <w:rPr>
          <w:rFonts w:ascii="宋体" w:hAnsi="宋体" w:eastAsia="宋体" w:cs="Times New Roman"/>
          <w:kern w:val="2"/>
          <w:sz w:val="72"/>
          <w:szCs w:val="72"/>
          <w:lang w:val="en-US" w:eastAsia="zh-CN" w:bidi="ar-SA"/>
        </w:rPr>
        <w:sectPr>
          <w:headerReference r:id="rId3" w:type="default"/>
          <w:footerReference r:id="rId4" w:type="default"/>
          <w:pgSz w:w="11906" w:h="16838"/>
          <w:pgMar w:top="1440" w:right="1800" w:bottom="1440" w:left="1800" w:header="851" w:footer="992" w:gutter="0"/>
          <w:pgNumType w:fmt="decimal" w:start="1"/>
          <w:cols w:space="425" w:num="1"/>
          <w:titlePg/>
          <w:docGrid w:type="lines" w:linePitch="312" w:charSpace="0"/>
        </w:sectPr>
      </w:pPr>
    </w:p>
    <w:sdt>
      <w:sdtPr>
        <w:rPr>
          <w:rFonts w:ascii="宋体" w:hAnsi="宋体" w:eastAsia="宋体" w:cs="Times New Roman"/>
          <w:kern w:val="2"/>
          <w:sz w:val="72"/>
          <w:szCs w:val="72"/>
          <w:lang w:val="en-US" w:eastAsia="zh-CN" w:bidi="ar-SA"/>
        </w:rPr>
        <w:id w:val="8079488"/>
        <w15:color w:val="DBDBDB"/>
        <w:docPartObj>
          <w:docPartGallery w:val="Table of Contents"/>
          <w:docPartUnique/>
        </w:docPartObj>
      </w:sdtPr>
      <w:sdtEndPr>
        <w:rPr>
          <w:rFonts w:ascii="宋体" w:hAnsi="宋体" w:eastAsia="宋体" w:cs="Times New Roman"/>
          <w:kern w:val="2"/>
          <w:sz w:val="72"/>
          <w:szCs w:val="72"/>
          <w:lang w:val="en-US" w:eastAsia="zh-CN" w:bidi="ar-SA"/>
        </w:rPr>
      </w:sdtEndPr>
      <w:sdtContent>
        <w:p w14:paraId="3229B3B9">
          <w:pPr>
            <w:spacing w:before="0" w:beforeLines="0" w:after="0" w:afterLines="0" w:line="240" w:lineRule="auto"/>
            <w:ind w:left="0" w:leftChars="0" w:right="0" w:rightChars="0" w:firstLine="0" w:firstLineChars="0"/>
            <w:jc w:val="center"/>
            <w:rPr>
              <w:sz w:val="72"/>
              <w:szCs w:val="72"/>
            </w:rPr>
          </w:pPr>
          <w:r>
            <w:rPr>
              <w:rFonts w:ascii="宋体" w:hAnsi="宋体" w:eastAsia="宋体"/>
              <w:sz w:val="72"/>
              <w:szCs w:val="72"/>
            </w:rPr>
            <w:t>目录</w:t>
          </w:r>
        </w:p>
        <w:p w14:paraId="649FB110">
          <w:pPr>
            <w:pStyle w:val="36"/>
            <w:tabs>
              <w:tab w:val="right" w:leader="dot" w:pos="8306"/>
            </w:tabs>
          </w:pPr>
          <w:r>
            <w:fldChar w:fldCharType="begin"/>
          </w:r>
          <w:r>
            <w:instrText xml:space="preserve">TOC \o "1-3" \h \u </w:instrText>
          </w:r>
          <w:r>
            <w:fldChar w:fldCharType="separate"/>
          </w:r>
          <w:r>
            <w:fldChar w:fldCharType="begin"/>
          </w:r>
          <w:r>
            <w:instrText xml:space="preserve"> HYPERLINK \l _Toc971053243 </w:instrText>
          </w:r>
          <w:r>
            <w:fldChar w:fldCharType="separate"/>
          </w:r>
          <w:r>
            <w:rPr>
              <w:rFonts w:hint="eastAsia" w:ascii="Times New Roman" w:hAnsi="Times New Roman" w:eastAsia="方正小标宋简体" w:cs="方正小标宋简体"/>
              <w:highlight w:val="none"/>
            </w:rPr>
            <w:t>第一部分</w:t>
          </w:r>
          <w:r>
            <w:rPr>
              <w:rFonts w:hint="eastAsia" w:ascii="Times New Roman" w:hAnsi="Times New Roman" w:eastAsia="方正小标宋简体" w:cs="方正小标宋简体"/>
              <w:highlight w:val="none"/>
              <w:lang w:val="en-US" w:eastAsia="zh-CN"/>
            </w:rPr>
            <w:t xml:space="preserve"> </w:t>
          </w:r>
          <w:r>
            <w:rPr>
              <w:rFonts w:hint="eastAsia" w:ascii="Times New Roman" w:hAnsi="Times New Roman" w:eastAsia="方正小标宋简体" w:cs="方正小标宋简体"/>
              <w:highlight w:val="none"/>
            </w:rPr>
            <w:t xml:space="preserve"> </w:t>
          </w:r>
          <w:r>
            <w:rPr>
              <w:rFonts w:hint="eastAsia" w:ascii="Times New Roman" w:hAnsi="Times New Roman" w:eastAsia="方正小标宋简体" w:cs="方正小标宋简体"/>
              <w:bCs w:val="0"/>
              <w:highlight w:val="none"/>
            </w:rPr>
            <w:t>部门概况</w:t>
          </w:r>
          <w:r>
            <w:tab/>
          </w:r>
          <w:r>
            <w:fldChar w:fldCharType="begin"/>
          </w:r>
          <w:r>
            <w:instrText xml:space="preserve"> PAGEREF _Toc971053243 \h </w:instrText>
          </w:r>
          <w:r>
            <w:fldChar w:fldCharType="separate"/>
          </w:r>
          <w:r>
            <w:t>1</w:t>
          </w:r>
          <w:r>
            <w:fldChar w:fldCharType="end"/>
          </w:r>
          <w:r>
            <w:fldChar w:fldCharType="end"/>
          </w:r>
        </w:p>
        <w:p w14:paraId="58A8E739">
          <w:pPr>
            <w:pStyle w:val="37"/>
            <w:tabs>
              <w:tab w:val="right" w:leader="dot" w:pos="8306"/>
            </w:tabs>
          </w:pPr>
          <w:r>
            <w:fldChar w:fldCharType="begin"/>
          </w:r>
          <w:r>
            <w:instrText xml:space="preserve"> HYPERLINK \l _Toc898898627 </w:instrText>
          </w:r>
          <w:r>
            <w:fldChar w:fldCharType="separate"/>
          </w:r>
          <w:r>
            <w:rPr>
              <w:rFonts w:hint="eastAsia" w:ascii="Times New Roman" w:hAnsi="Times New Roman" w:eastAsia="黑体"/>
              <w:lang w:eastAsia="zh-CN"/>
            </w:rPr>
            <w:t xml:space="preserve">一、 </w:t>
          </w:r>
          <w:r>
            <w:rPr>
              <w:rFonts w:hint="default" w:ascii="Times New Roman" w:hAnsi="Times New Roman" w:eastAsia="黑体"/>
              <w:highlight w:val="none"/>
              <w:lang w:eastAsia="zh-CN"/>
            </w:rPr>
            <w:t>单位</w:t>
          </w:r>
          <w:r>
            <w:rPr>
              <w:rFonts w:hint="eastAsia" w:ascii="Times New Roman" w:hAnsi="Times New Roman" w:eastAsia="黑体"/>
              <w:highlight w:val="none"/>
              <w:lang w:eastAsia="zh-CN"/>
            </w:rPr>
            <w:t>职责</w:t>
          </w:r>
          <w:r>
            <w:tab/>
          </w:r>
          <w:r>
            <w:fldChar w:fldCharType="begin"/>
          </w:r>
          <w:r>
            <w:instrText xml:space="preserve"> PAGEREF _Toc898898627 \h </w:instrText>
          </w:r>
          <w:r>
            <w:fldChar w:fldCharType="separate"/>
          </w:r>
          <w:r>
            <w:t>1</w:t>
          </w:r>
          <w:r>
            <w:fldChar w:fldCharType="end"/>
          </w:r>
          <w:r>
            <w:fldChar w:fldCharType="end"/>
          </w:r>
        </w:p>
        <w:p w14:paraId="32E6140B">
          <w:pPr>
            <w:pStyle w:val="37"/>
            <w:tabs>
              <w:tab w:val="right" w:leader="dot" w:pos="8306"/>
            </w:tabs>
          </w:pPr>
          <w:r>
            <w:fldChar w:fldCharType="begin"/>
          </w:r>
          <w:r>
            <w:instrText xml:space="preserve"> HYPERLINK \l _Toc347746036 </w:instrText>
          </w:r>
          <w:r>
            <w:fldChar w:fldCharType="separate"/>
          </w:r>
          <w:r>
            <w:rPr>
              <w:rFonts w:hint="eastAsia" w:ascii="Times New Roman" w:hAnsi="Times New Roman" w:eastAsia="黑体"/>
              <w:highlight w:val="none"/>
            </w:rPr>
            <w:t>二、机</w:t>
          </w:r>
          <w:r>
            <w:rPr>
              <w:rFonts w:hint="eastAsia" w:ascii="Times New Roman" w:hAnsi="Times New Roman" w:eastAsia="黑体"/>
              <w:bCs w:val="0"/>
              <w:highlight w:val="none"/>
            </w:rPr>
            <w:t>构设置</w:t>
          </w:r>
          <w:r>
            <w:tab/>
          </w:r>
          <w:r>
            <w:fldChar w:fldCharType="begin"/>
          </w:r>
          <w:r>
            <w:instrText xml:space="preserve"> PAGEREF _Toc347746036 \h </w:instrText>
          </w:r>
          <w:r>
            <w:fldChar w:fldCharType="separate"/>
          </w:r>
          <w:r>
            <w:t>2</w:t>
          </w:r>
          <w:r>
            <w:fldChar w:fldCharType="end"/>
          </w:r>
          <w:r>
            <w:fldChar w:fldCharType="end"/>
          </w:r>
        </w:p>
        <w:p w14:paraId="0B45B4B0">
          <w:pPr>
            <w:pStyle w:val="36"/>
            <w:tabs>
              <w:tab w:val="right" w:leader="dot" w:pos="8306"/>
            </w:tabs>
          </w:pPr>
          <w:r>
            <w:fldChar w:fldCharType="begin"/>
          </w:r>
          <w:r>
            <w:instrText xml:space="preserve"> HYPERLINK \l _Toc1011711411 </w:instrText>
          </w:r>
          <w:r>
            <w:fldChar w:fldCharType="separate"/>
          </w:r>
          <w:r>
            <w:rPr>
              <w:rFonts w:hint="eastAsia" w:ascii="Times New Roman" w:hAnsi="Times New Roman" w:eastAsia="方正小标宋简体" w:cs="方正小标宋简体"/>
              <w:highlight w:val="none"/>
            </w:rPr>
            <w:t>第二部分</w:t>
          </w:r>
          <w:r>
            <w:rPr>
              <w:rFonts w:hint="eastAsia" w:ascii="Times New Roman" w:hAnsi="Times New Roman" w:eastAsia="方正小标宋简体" w:cs="方正小标宋简体"/>
              <w:highlight w:val="none"/>
              <w:lang w:val="en-US" w:eastAsia="zh-CN"/>
            </w:rPr>
            <w:t xml:space="preserve"> </w:t>
          </w:r>
          <w:r>
            <w:rPr>
              <w:rFonts w:hint="eastAsia" w:ascii="Times New Roman" w:hAnsi="Times New Roman" w:eastAsia="方正小标宋简体" w:cs="方正小标宋简体"/>
              <w:highlight w:val="none"/>
            </w:rPr>
            <w:t xml:space="preserve"> </w:t>
          </w:r>
          <w:r>
            <w:rPr>
              <w:rFonts w:hint="eastAsia" w:ascii="Times New Roman" w:hAnsi="Times New Roman" w:eastAsia="方正小标宋简体" w:cs="方正小标宋简体"/>
              <w:highlight w:val="none"/>
              <w:lang w:val="en-US" w:eastAsia="zh-CN"/>
            </w:rPr>
            <w:t>2024年度</w:t>
          </w:r>
          <w:r>
            <w:rPr>
              <w:rFonts w:hint="eastAsia" w:ascii="Times New Roman" w:hAnsi="Times New Roman" w:eastAsia="方正小标宋简体" w:cs="方正小标宋简体"/>
              <w:highlight w:val="none"/>
            </w:rPr>
            <w:t>部门决算情况说明</w:t>
          </w:r>
          <w:r>
            <w:tab/>
          </w:r>
          <w:r>
            <w:fldChar w:fldCharType="begin"/>
          </w:r>
          <w:r>
            <w:instrText xml:space="preserve"> PAGEREF _Toc1011711411 \h </w:instrText>
          </w:r>
          <w:r>
            <w:fldChar w:fldCharType="separate"/>
          </w:r>
          <w:r>
            <w:t>3</w:t>
          </w:r>
          <w:r>
            <w:fldChar w:fldCharType="end"/>
          </w:r>
          <w:r>
            <w:fldChar w:fldCharType="end"/>
          </w:r>
        </w:p>
        <w:p w14:paraId="4FDB69D4">
          <w:pPr>
            <w:pStyle w:val="37"/>
            <w:tabs>
              <w:tab w:val="right" w:leader="dot" w:pos="8306"/>
            </w:tabs>
          </w:pPr>
          <w:r>
            <w:fldChar w:fldCharType="begin"/>
          </w:r>
          <w:r>
            <w:instrText xml:space="preserve"> HYPERLINK \l _Toc1134675228 </w:instrText>
          </w:r>
          <w:r>
            <w:fldChar w:fldCharType="separate"/>
          </w:r>
          <w:r>
            <w:rPr>
              <w:rFonts w:hint="eastAsia" w:ascii="Times New Roman" w:hAnsi="Times New Roman" w:eastAsia="黑体"/>
              <w:szCs w:val="32"/>
              <w:highlight w:val="none"/>
              <w:lang w:eastAsia="zh-CN"/>
            </w:rPr>
            <w:t>一、</w:t>
          </w:r>
          <w:r>
            <w:rPr>
              <w:rFonts w:hint="eastAsia" w:ascii="Times New Roman" w:hAnsi="Times New Roman" w:eastAsia="黑体"/>
              <w:szCs w:val="32"/>
              <w:highlight w:val="none"/>
            </w:rPr>
            <w:t>收</w:t>
          </w:r>
          <w:r>
            <w:rPr>
              <w:rFonts w:hint="eastAsia" w:ascii="Times New Roman" w:hAnsi="Times New Roman" w:eastAsia="黑体"/>
              <w:highlight w:val="none"/>
            </w:rPr>
            <w:t>入支出决算总体情况说明</w:t>
          </w:r>
          <w:r>
            <w:tab/>
          </w:r>
          <w:r>
            <w:fldChar w:fldCharType="begin"/>
          </w:r>
          <w:r>
            <w:instrText xml:space="preserve"> PAGEREF _Toc1134675228 \h </w:instrText>
          </w:r>
          <w:r>
            <w:fldChar w:fldCharType="separate"/>
          </w:r>
          <w:r>
            <w:t>3</w:t>
          </w:r>
          <w:r>
            <w:fldChar w:fldCharType="end"/>
          </w:r>
          <w:r>
            <w:fldChar w:fldCharType="end"/>
          </w:r>
        </w:p>
        <w:p w14:paraId="4EF7BEE8">
          <w:pPr>
            <w:pStyle w:val="37"/>
            <w:tabs>
              <w:tab w:val="right" w:leader="dot" w:pos="8306"/>
            </w:tabs>
          </w:pPr>
          <w:r>
            <w:fldChar w:fldCharType="begin"/>
          </w:r>
          <w:r>
            <w:instrText xml:space="preserve"> HYPERLINK \l _Toc2141207099 </w:instrText>
          </w:r>
          <w:r>
            <w:fldChar w:fldCharType="separate"/>
          </w:r>
          <w:r>
            <w:rPr>
              <w:rFonts w:hint="eastAsia" w:ascii="Times New Roman" w:hAnsi="Times New Roman" w:eastAsia="黑体"/>
              <w:szCs w:val="32"/>
              <w:highlight w:val="none"/>
              <w:lang w:eastAsia="zh-CN"/>
            </w:rPr>
            <w:t>二、收入决算情况说明</w:t>
          </w:r>
          <w:r>
            <w:tab/>
          </w:r>
          <w:r>
            <w:fldChar w:fldCharType="begin"/>
          </w:r>
          <w:r>
            <w:instrText xml:space="preserve"> PAGEREF _Toc2141207099 \h </w:instrText>
          </w:r>
          <w:r>
            <w:fldChar w:fldCharType="separate"/>
          </w:r>
          <w:r>
            <w:t>3</w:t>
          </w:r>
          <w:r>
            <w:fldChar w:fldCharType="end"/>
          </w:r>
          <w:r>
            <w:fldChar w:fldCharType="end"/>
          </w:r>
        </w:p>
        <w:p w14:paraId="2CDD390C">
          <w:pPr>
            <w:pStyle w:val="37"/>
            <w:tabs>
              <w:tab w:val="right" w:leader="dot" w:pos="8306"/>
            </w:tabs>
          </w:pPr>
          <w:r>
            <w:fldChar w:fldCharType="begin"/>
          </w:r>
          <w:r>
            <w:instrText xml:space="preserve"> HYPERLINK \l _Toc1175799239 </w:instrText>
          </w:r>
          <w:r>
            <w:fldChar w:fldCharType="separate"/>
          </w:r>
          <w:r>
            <w:rPr>
              <w:rFonts w:hint="eastAsia" w:ascii="Times New Roman" w:hAnsi="Times New Roman" w:eastAsia="黑体"/>
              <w:szCs w:val="32"/>
              <w:highlight w:val="none"/>
              <w:lang w:eastAsia="zh-CN"/>
            </w:rPr>
            <w:t>三、</w:t>
          </w:r>
          <w:r>
            <w:rPr>
              <w:rFonts w:hint="eastAsia" w:ascii="Times New Roman" w:hAnsi="Times New Roman" w:eastAsia="黑体"/>
              <w:szCs w:val="32"/>
              <w:highlight w:val="none"/>
            </w:rPr>
            <w:t>支</w:t>
          </w:r>
          <w:r>
            <w:rPr>
              <w:rFonts w:hint="eastAsia" w:ascii="Times New Roman" w:hAnsi="Times New Roman" w:eastAsia="黑体"/>
              <w:highlight w:val="none"/>
            </w:rPr>
            <w:t>出决算情况说明</w:t>
          </w:r>
          <w:r>
            <w:tab/>
          </w:r>
          <w:r>
            <w:fldChar w:fldCharType="begin"/>
          </w:r>
          <w:r>
            <w:instrText xml:space="preserve"> PAGEREF _Toc1175799239 \h </w:instrText>
          </w:r>
          <w:r>
            <w:fldChar w:fldCharType="separate"/>
          </w:r>
          <w:r>
            <w:t>4</w:t>
          </w:r>
          <w:r>
            <w:fldChar w:fldCharType="end"/>
          </w:r>
          <w:r>
            <w:fldChar w:fldCharType="end"/>
          </w:r>
        </w:p>
        <w:p w14:paraId="48920189">
          <w:pPr>
            <w:pStyle w:val="37"/>
            <w:tabs>
              <w:tab w:val="right" w:leader="dot" w:pos="8306"/>
            </w:tabs>
          </w:pPr>
          <w:r>
            <w:fldChar w:fldCharType="begin"/>
          </w:r>
          <w:r>
            <w:instrText xml:space="preserve"> HYPERLINK \l _Toc1868841215 </w:instrText>
          </w:r>
          <w:r>
            <w:fldChar w:fldCharType="separate"/>
          </w:r>
          <w:r>
            <w:rPr>
              <w:rFonts w:hint="eastAsia" w:ascii="Times New Roman" w:hAnsi="Times New Roman" w:eastAsia="黑体"/>
              <w:szCs w:val="32"/>
              <w:highlight w:val="none"/>
            </w:rPr>
            <w:t>四、财</w:t>
          </w:r>
          <w:r>
            <w:rPr>
              <w:rFonts w:hint="eastAsia" w:ascii="Times New Roman" w:hAnsi="Times New Roman" w:eastAsia="黑体"/>
              <w:highlight w:val="none"/>
            </w:rPr>
            <w:t>政拨款收入支出决算总体情况说明</w:t>
          </w:r>
          <w:r>
            <w:tab/>
          </w:r>
          <w:r>
            <w:fldChar w:fldCharType="begin"/>
          </w:r>
          <w:r>
            <w:instrText xml:space="preserve"> PAGEREF _Toc1868841215 \h </w:instrText>
          </w:r>
          <w:r>
            <w:fldChar w:fldCharType="separate"/>
          </w:r>
          <w:r>
            <w:t>4</w:t>
          </w:r>
          <w:r>
            <w:fldChar w:fldCharType="end"/>
          </w:r>
          <w:r>
            <w:fldChar w:fldCharType="end"/>
          </w:r>
        </w:p>
        <w:p w14:paraId="7DC8DD55">
          <w:pPr>
            <w:pStyle w:val="37"/>
            <w:tabs>
              <w:tab w:val="right" w:leader="dot" w:pos="8306"/>
            </w:tabs>
          </w:pPr>
          <w:r>
            <w:fldChar w:fldCharType="begin"/>
          </w:r>
          <w:r>
            <w:instrText xml:space="preserve"> HYPERLINK \l _Toc1731920470 </w:instrText>
          </w:r>
          <w:r>
            <w:fldChar w:fldCharType="separate"/>
          </w:r>
          <w:r>
            <w:rPr>
              <w:rFonts w:hint="eastAsia" w:ascii="Times New Roman" w:hAnsi="Times New Roman" w:eastAsia="黑体"/>
              <w:szCs w:val="32"/>
              <w:highlight w:val="none"/>
            </w:rPr>
            <w:t>五、一</w:t>
          </w:r>
          <w:r>
            <w:rPr>
              <w:rFonts w:hint="eastAsia" w:ascii="Times New Roman" w:hAnsi="Times New Roman" w:eastAsia="黑体"/>
              <w:highlight w:val="none"/>
            </w:rPr>
            <w:t>般公共预算财政拨款支出决算情况说明</w:t>
          </w:r>
          <w:r>
            <w:tab/>
          </w:r>
          <w:r>
            <w:fldChar w:fldCharType="begin"/>
          </w:r>
          <w:r>
            <w:instrText xml:space="preserve"> PAGEREF _Toc1731920470 \h </w:instrText>
          </w:r>
          <w:r>
            <w:fldChar w:fldCharType="separate"/>
          </w:r>
          <w:r>
            <w:t>5</w:t>
          </w:r>
          <w:r>
            <w:fldChar w:fldCharType="end"/>
          </w:r>
          <w:r>
            <w:fldChar w:fldCharType="end"/>
          </w:r>
        </w:p>
        <w:p w14:paraId="6F56E2A1">
          <w:pPr>
            <w:pStyle w:val="38"/>
            <w:tabs>
              <w:tab w:val="right" w:leader="dot" w:pos="8306"/>
            </w:tabs>
          </w:pPr>
          <w:r>
            <w:fldChar w:fldCharType="begin"/>
          </w:r>
          <w:r>
            <w:instrText xml:space="preserve"> HYPERLINK \l _Toc1825063763 </w:instrText>
          </w:r>
          <w:r>
            <w:fldChar w:fldCharType="separate"/>
          </w:r>
          <w:r>
            <w:rPr>
              <w:rFonts w:hint="eastAsia" w:ascii="Times New Roman" w:hAnsi="Times New Roman" w:eastAsia="楷体_GB2312" w:cs="楷体_GB2312"/>
              <w:szCs w:val="32"/>
              <w:highlight w:val="none"/>
            </w:rPr>
            <w:t>（一）一般公共预算财政拨款支出决算总体情况</w:t>
          </w:r>
          <w:r>
            <w:tab/>
          </w:r>
          <w:r>
            <w:fldChar w:fldCharType="begin"/>
          </w:r>
          <w:r>
            <w:instrText xml:space="preserve"> PAGEREF _Toc1825063763 \h </w:instrText>
          </w:r>
          <w:r>
            <w:fldChar w:fldCharType="separate"/>
          </w:r>
          <w:r>
            <w:t>5</w:t>
          </w:r>
          <w:r>
            <w:fldChar w:fldCharType="end"/>
          </w:r>
          <w:r>
            <w:fldChar w:fldCharType="end"/>
          </w:r>
        </w:p>
        <w:p w14:paraId="0348E3E9">
          <w:pPr>
            <w:pStyle w:val="38"/>
            <w:tabs>
              <w:tab w:val="right" w:leader="dot" w:pos="8306"/>
            </w:tabs>
          </w:pPr>
          <w:r>
            <w:fldChar w:fldCharType="begin"/>
          </w:r>
          <w:r>
            <w:instrText xml:space="preserve"> HYPERLINK \l _Toc1404250359 </w:instrText>
          </w:r>
          <w:r>
            <w:fldChar w:fldCharType="separate"/>
          </w:r>
          <w:r>
            <w:rPr>
              <w:rFonts w:hint="eastAsia" w:ascii="Times New Roman" w:hAnsi="Times New Roman" w:eastAsia="楷体_GB2312" w:cs="楷体_GB2312"/>
              <w:szCs w:val="32"/>
              <w:highlight w:val="none"/>
            </w:rPr>
            <w:t>（二）一般公共预算财政拨款支出决算结构情况</w:t>
          </w:r>
          <w:r>
            <w:tab/>
          </w:r>
          <w:r>
            <w:fldChar w:fldCharType="begin"/>
          </w:r>
          <w:r>
            <w:instrText xml:space="preserve"> PAGEREF _Toc1404250359 \h </w:instrText>
          </w:r>
          <w:r>
            <w:fldChar w:fldCharType="separate"/>
          </w:r>
          <w:r>
            <w:t>5</w:t>
          </w:r>
          <w:r>
            <w:fldChar w:fldCharType="end"/>
          </w:r>
          <w:r>
            <w:fldChar w:fldCharType="end"/>
          </w:r>
        </w:p>
        <w:p w14:paraId="511BC0F7">
          <w:pPr>
            <w:pStyle w:val="38"/>
            <w:tabs>
              <w:tab w:val="right" w:leader="dot" w:pos="8306"/>
            </w:tabs>
          </w:pPr>
          <w:r>
            <w:fldChar w:fldCharType="begin"/>
          </w:r>
          <w:r>
            <w:instrText xml:space="preserve"> HYPERLINK \l _Toc1617510844 </w:instrText>
          </w:r>
          <w:r>
            <w:fldChar w:fldCharType="separate"/>
          </w:r>
          <w:r>
            <w:rPr>
              <w:rFonts w:hint="eastAsia" w:ascii="Times New Roman" w:hAnsi="Times New Roman" w:eastAsia="楷体_GB2312" w:cs="楷体_GB2312"/>
              <w:szCs w:val="32"/>
              <w:highlight w:val="none"/>
            </w:rPr>
            <w:t>（三）一般公共预算财政拨款支出决算具体情况</w:t>
          </w:r>
          <w:r>
            <w:tab/>
          </w:r>
          <w:r>
            <w:fldChar w:fldCharType="begin"/>
          </w:r>
          <w:r>
            <w:instrText xml:space="preserve"> PAGEREF _Toc1617510844 \h </w:instrText>
          </w:r>
          <w:r>
            <w:fldChar w:fldCharType="separate"/>
          </w:r>
          <w:r>
            <w:t>6</w:t>
          </w:r>
          <w:r>
            <w:fldChar w:fldCharType="end"/>
          </w:r>
          <w:r>
            <w:fldChar w:fldCharType="end"/>
          </w:r>
        </w:p>
        <w:p w14:paraId="34C1921D">
          <w:pPr>
            <w:pStyle w:val="37"/>
            <w:tabs>
              <w:tab w:val="right" w:leader="dot" w:pos="8306"/>
            </w:tabs>
          </w:pPr>
          <w:r>
            <w:fldChar w:fldCharType="begin"/>
          </w:r>
          <w:r>
            <w:instrText xml:space="preserve"> HYPERLINK \l _Toc1667806878 </w:instrText>
          </w:r>
          <w:r>
            <w:fldChar w:fldCharType="separate"/>
          </w:r>
          <w:r>
            <w:rPr>
              <w:rFonts w:hint="eastAsia" w:ascii="Times New Roman" w:hAnsi="Times New Roman" w:eastAsia="黑体"/>
              <w:szCs w:val="32"/>
              <w:highlight w:val="none"/>
            </w:rPr>
            <w:t>六、一</w:t>
          </w:r>
          <w:r>
            <w:rPr>
              <w:rFonts w:hint="eastAsia" w:ascii="Times New Roman" w:hAnsi="Times New Roman" w:eastAsia="黑体"/>
              <w:highlight w:val="none"/>
            </w:rPr>
            <w:t>般公共预算财政拨款基本支出决算情况说明</w:t>
          </w:r>
          <w:r>
            <w:tab/>
          </w:r>
          <w:r>
            <w:fldChar w:fldCharType="begin"/>
          </w:r>
          <w:r>
            <w:instrText xml:space="preserve"> PAGEREF _Toc1667806878 \h </w:instrText>
          </w:r>
          <w:r>
            <w:fldChar w:fldCharType="separate"/>
          </w:r>
          <w:r>
            <w:t>7</w:t>
          </w:r>
          <w:r>
            <w:fldChar w:fldCharType="end"/>
          </w:r>
          <w:r>
            <w:fldChar w:fldCharType="end"/>
          </w:r>
        </w:p>
        <w:p w14:paraId="43E25DF9">
          <w:pPr>
            <w:pStyle w:val="37"/>
            <w:tabs>
              <w:tab w:val="right" w:leader="dot" w:pos="8306"/>
            </w:tabs>
          </w:pPr>
          <w:r>
            <w:fldChar w:fldCharType="begin"/>
          </w:r>
          <w:r>
            <w:instrText xml:space="preserve"> HYPERLINK \l _Toc1381357239 </w:instrText>
          </w:r>
          <w:r>
            <w:fldChar w:fldCharType="separate"/>
          </w:r>
          <w:r>
            <w:rPr>
              <w:rFonts w:hint="eastAsia" w:ascii="Times New Roman" w:hAnsi="Times New Roman" w:eastAsia="黑体"/>
              <w:szCs w:val="32"/>
              <w:highlight w:val="none"/>
            </w:rPr>
            <w:t>七、</w:t>
          </w:r>
          <w:r>
            <w:rPr>
              <w:rFonts w:hint="eastAsia" w:ascii="Times New Roman" w:hAnsi="Times New Roman" w:eastAsia="黑体"/>
              <w:highlight w:val="none"/>
            </w:rPr>
            <w:t>财政拨款“三公”经费支出决算情况说明</w:t>
          </w:r>
          <w:r>
            <w:tab/>
          </w:r>
          <w:r>
            <w:fldChar w:fldCharType="begin"/>
          </w:r>
          <w:r>
            <w:instrText xml:space="preserve"> PAGEREF _Toc1381357239 \h </w:instrText>
          </w:r>
          <w:r>
            <w:fldChar w:fldCharType="separate"/>
          </w:r>
          <w:r>
            <w:t>8</w:t>
          </w:r>
          <w:r>
            <w:fldChar w:fldCharType="end"/>
          </w:r>
          <w:r>
            <w:fldChar w:fldCharType="end"/>
          </w:r>
        </w:p>
        <w:p w14:paraId="2DBD374E">
          <w:pPr>
            <w:pStyle w:val="38"/>
            <w:tabs>
              <w:tab w:val="right" w:leader="dot" w:pos="8306"/>
            </w:tabs>
          </w:pPr>
          <w:r>
            <w:fldChar w:fldCharType="begin"/>
          </w:r>
          <w:r>
            <w:instrText xml:space="preserve"> HYPERLINK \l _Toc356472820 </w:instrText>
          </w:r>
          <w:r>
            <w:fldChar w:fldCharType="separate"/>
          </w:r>
          <w:r>
            <w:rPr>
              <w:rFonts w:hint="eastAsia" w:ascii="Times New Roman" w:hAnsi="Times New Roman" w:eastAsia="楷体_GB2312" w:cs="楷体_GB2312"/>
              <w:szCs w:val="32"/>
              <w:highlight w:val="none"/>
            </w:rPr>
            <w:t>（一）“三公”经费财政拨款支出决算总体情况说明</w:t>
          </w:r>
          <w:r>
            <w:tab/>
          </w:r>
          <w:r>
            <w:fldChar w:fldCharType="begin"/>
          </w:r>
          <w:r>
            <w:instrText xml:space="preserve"> PAGEREF _Toc356472820 \h </w:instrText>
          </w:r>
          <w:r>
            <w:fldChar w:fldCharType="separate"/>
          </w:r>
          <w:r>
            <w:t>8</w:t>
          </w:r>
          <w:r>
            <w:fldChar w:fldCharType="end"/>
          </w:r>
          <w:r>
            <w:fldChar w:fldCharType="end"/>
          </w:r>
        </w:p>
        <w:p w14:paraId="56DF7C02">
          <w:pPr>
            <w:pStyle w:val="38"/>
            <w:tabs>
              <w:tab w:val="right" w:leader="dot" w:pos="8306"/>
            </w:tabs>
          </w:pPr>
          <w:r>
            <w:fldChar w:fldCharType="begin"/>
          </w:r>
          <w:r>
            <w:instrText xml:space="preserve"> HYPERLINK \l _Toc1378054311 </w:instrText>
          </w:r>
          <w:r>
            <w:fldChar w:fldCharType="separate"/>
          </w:r>
          <w:r>
            <w:rPr>
              <w:rFonts w:hint="eastAsia" w:ascii="Times New Roman" w:hAnsi="Times New Roman" w:eastAsia="楷体_GB2312" w:cs="楷体_GB2312"/>
              <w:szCs w:val="32"/>
              <w:highlight w:val="none"/>
            </w:rPr>
            <w:t>（二）“三公”经费财政拨款支出决算具体情况说明</w:t>
          </w:r>
          <w:r>
            <w:tab/>
          </w:r>
          <w:r>
            <w:fldChar w:fldCharType="begin"/>
          </w:r>
          <w:r>
            <w:instrText xml:space="preserve"> PAGEREF _Toc1378054311 \h </w:instrText>
          </w:r>
          <w:r>
            <w:fldChar w:fldCharType="separate"/>
          </w:r>
          <w:r>
            <w:t>8</w:t>
          </w:r>
          <w:r>
            <w:fldChar w:fldCharType="end"/>
          </w:r>
          <w:r>
            <w:fldChar w:fldCharType="end"/>
          </w:r>
        </w:p>
        <w:p w14:paraId="0445CE28">
          <w:pPr>
            <w:pStyle w:val="37"/>
            <w:tabs>
              <w:tab w:val="right" w:leader="dot" w:pos="8306"/>
            </w:tabs>
          </w:pPr>
          <w:r>
            <w:fldChar w:fldCharType="begin"/>
          </w:r>
          <w:r>
            <w:instrText xml:space="preserve"> HYPERLINK \l _Toc453039306 </w:instrText>
          </w:r>
          <w:r>
            <w:fldChar w:fldCharType="separate"/>
          </w:r>
          <w:r>
            <w:rPr>
              <w:rFonts w:hint="eastAsia" w:ascii="Times New Roman" w:hAnsi="Times New Roman" w:eastAsia="黑体"/>
              <w:szCs w:val="32"/>
              <w:highlight w:val="none"/>
            </w:rPr>
            <w:t>八、</w:t>
          </w:r>
          <w:r>
            <w:rPr>
              <w:rFonts w:hint="eastAsia" w:ascii="Times New Roman" w:hAnsi="Times New Roman" w:eastAsia="黑体"/>
              <w:highlight w:val="none"/>
            </w:rPr>
            <w:t>政府性基金预算支出决算情况说明</w:t>
          </w:r>
          <w:r>
            <w:tab/>
          </w:r>
          <w:r>
            <w:fldChar w:fldCharType="begin"/>
          </w:r>
          <w:r>
            <w:instrText xml:space="preserve"> PAGEREF _Toc453039306 \h </w:instrText>
          </w:r>
          <w:r>
            <w:fldChar w:fldCharType="separate"/>
          </w:r>
          <w:r>
            <w:t>9</w:t>
          </w:r>
          <w:r>
            <w:fldChar w:fldCharType="end"/>
          </w:r>
          <w:r>
            <w:fldChar w:fldCharType="end"/>
          </w:r>
        </w:p>
        <w:p w14:paraId="63DED34A">
          <w:pPr>
            <w:pStyle w:val="37"/>
            <w:tabs>
              <w:tab w:val="right" w:leader="dot" w:pos="8306"/>
            </w:tabs>
          </w:pPr>
          <w:r>
            <w:fldChar w:fldCharType="begin"/>
          </w:r>
          <w:r>
            <w:instrText xml:space="preserve"> HYPERLINK \l _Toc647678014 </w:instrText>
          </w:r>
          <w:r>
            <w:fldChar w:fldCharType="separate"/>
          </w:r>
          <w:r>
            <w:rPr>
              <w:rFonts w:hint="eastAsia" w:ascii="Times New Roman" w:hAnsi="Times New Roman" w:eastAsia="黑体"/>
              <w:highlight w:val="none"/>
              <w:lang w:eastAsia="zh-CN"/>
            </w:rPr>
            <w:t>九、</w:t>
          </w:r>
          <w:r>
            <w:rPr>
              <w:rFonts w:hint="eastAsia" w:ascii="Times New Roman" w:hAnsi="Times New Roman" w:eastAsia="黑体"/>
              <w:highlight w:val="none"/>
            </w:rPr>
            <w:t>国有资本经营预算支出决算情况说明</w:t>
          </w:r>
          <w:r>
            <w:tab/>
          </w:r>
          <w:r>
            <w:fldChar w:fldCharType="begin"/>
          </w:r>
          <w:r>
            <w:instrText xml:space="preserve"> PAGEREF _Toc647678014 \h </w:instrText>
          </w:r>
          <w:r>
            <w:fldChar w:fldCharType="separate"/>
          </w:r>
          <w:r>
            <w:t>10</w:t>
          </w:r>
          <w:r>
            <w:fldChar w:fldCharType="end"/>
          </w:r>
          <w:r>
            <w:fldChar w:fldCharType="end"/>
          </w:r>
        </w:p>
        <w:p w14:paraId="5D21013A">
          <w:pPr>
            <w:pStyle w:val="37"/>
            <w:tabs>
              <w:tab w:val="right" w:leader="dot" w:pos="8306"/>
            </w:tabs>
          </w:pPr>
          <w:r>
            <w:fldChar w:fldCharType="begin"/>
          </w:r>
          <w:r>
            <w:instrText xml:space="preserve"> HYPERLINK \l _Toc207200408 </w:instrText>
          </w:r>
          <w:r>
            <w:fldChar w:fldCharType="separate"/>
          </w:r>
          <w:r>
            <w:rPr>
              <w:rFonts w:hint="eastAsia" w:ascii="Times New Roman" w:hAnsi="Times New Roman" w:eastAsia="黑体"/>
              <w:highlight w:val="none"/>
              <w:lang w:eastAsia="zh-CN"/>
            </w:rPr>
            <w:t>十、</w:t>
          </w:r>
          <w:r>
            <w:rPr>
              <w:rFonts w:hint="eastAsia" w:ascii="Times New Roman" w:hAnsi="Times New Roman" w:eastAsia="黑体"/>
              <w:highlight w:val="none"/>
            </w:rPr>
            <w:t>其他重要事项的情况说明</w:t>
          </w:r>
          <w:r>
            <w:tab/>
          </w:r>
          <w:r>
            <w:fldChar w:fldCharType="begin"/>
          </w:r>
          <w:r>
            <w:instrText xml:space="preserve"> PAGEREF _Toc207200408 \h </w:instrText>
          </w:r>
          <w:r>
            <w:fldChar w:fldCharType="separate"/>
          </w:r>
          <w:r>
            <w:t>10</w:t>
          </w:r>
          <w:r>
            <w:fldChar w:fldCharType="end"/>
          </w:r>
          <w:r>
            <w:fldChar w:fldCharType="end"/>
          </w:r>
        </w:p>
        <w:p w14:paraId="1A59B4B7">
          <w:pPr>
            <w:pStyle w:val="38"/>
            <w:tabs>
              <w:tab w:val="right" w:leader="dot" w:pos="8306"/>
            </w:tabs>
          </w:pPr>
          <w:r>
            <w:fldChar w:fldCharType="begin"/>
          </w:r>
          <w:r>
            <w:instrText xml:space="preserve"> HYPERLINK \l _Toc719141223 </w:instrText>
          </w:r>
          <w:r>
            <w:fldChar w:fldCharType="separate"/>
          </w:r>
          <w:r>
            <w:rPr>
              <w:rFonts w:hint="eastAsia" w:ascii="Times New Roman" w:hAnsi="Times New Roman" w:eastAsia="楷体_GB2312" w:cs="楷体_GB2312"/>
              <w:szCs w:val="32"/>
              <w:highlight w:val="none"/>
            </w:rPr>
            <w:t>（一）机关运行经费支出情况</w:t>
          </w:r>
          <w:r>
            <w:tab/>
          </w:r>
          <w:r>
            <w:fldChar w:fldCharType="begin"/>
          </w:r>
          <w:r>
            <w:instrText xml:space="preserve"> PAGEREF _Toc719141223 \h </w:instrText>
          </w:r>
          <w:r>
            <w:fldChar w:fldCharType="separate"/>
          </w:r>
          <w:r>
            <w:t>10</w:t>
          </w:r>
          <w:r>
            <w:fldChar w:fldCharType="end"/>
          </w:r>
          <w:r>
            <w:fldChar w:fldCharType="end"/>
          </w:r>
        </w:p>
        <w:p w14:paraId="75DE82FE">
          <w:pPr>
            <w:pStyle w:val="38"/>
            <w:tabs>
              <w:tab w:val="right" w:leader="dot" w:pos="8306"/>
            </w:tabs>
          </w:pPr>
          <w:r>
            <w:fldChar w:fldCharType="begin"/>
          </w:r>
          <w:r>
            <w:instrText xml:space="preserve"> HYPERLINK \l _Toc790073863 </w:instrText>
          </w:r>
          <w:r>
            <w:fldChar w:fldCharType="separate"/>
          </w:r>
          <w:r>
            <w:rPr>
              <w:rFonts w:hint="eastAsia" w:ascii="Times New Roman" w:hAnsi="Times New Roman" w:eastAsia="楷体_GB2312" w:cs="楷体_GB2312"/>
              <w:szCs w:val="32"/>
              <w:highlight w:val="none"/>
            </w:rPr>
            <w:t>（二）政府采购支出情况</w:t>
          </w:r>
          <w:r>
            <w:tab/>
          </w:r>
          <w:r>
            <w:fldChar w:fldCharType="begin"/>
          </w:r>
          <w:r>
            <w:instrText xml:space="preserve"> PAGEREF _Toc790073863 \h </w:instrText>
          </w:r>
          <w:r>
            <w:fldChar w:fldCharType="separate"/>
          </w:r>
          <w:r>
            <w:t>10</w:t>
          </w:r>
          <w:r>
            <w:fldChar w:fldCharType="end"/>
          </w:r>
          <w:r>
            <w:fldChar w:fldCharType="end"/>
          </w:r>
        </w:p>
        <w:p w14:paraId="24C6773A">
          <w:pPr>
            <w:pStyle w:val="38"/>
            <w:tabs>
              <w:tab w:val="right" w:leader="dot" w:pos="8306"/>
            </w:tabs>
          </w:pPr>
          <w:r>
            <w:fldChar w:fldCharType="begin"/>
          </w:r>
          <w:r>
            <w:instrText xml:space="preserve"> HYPERLINK \l _Toc1896385537 </w:instrText>
          </w:r>
          <w:r>
            <w:fldChar w:fldCharType="separate"/>
          </w:r>
          <w:r>
            <w:rPr>
              <w:rFonts w:hint="eastAsia" w:ascii="Times New Roman" w:hAnsi="Times New Roman" w:eastAsia="楷体_GB2312" w:cs="楷体_GB2312"/>
              <w:szCs w:val="32"/>
              <w:highlight w:val="none"/>
            </w:rPr>
            <w:t>（三）国有资产占有使用情况</w:t>
          </w:r>
          <w:r>
            <w:tab/>
          </w:r>
          <w:r>
            <w:fldChar w:fldCharType="begin"/>
          </w:r>
          <w:r>
            <w:instrText xml:space="preserve"> PAGEREF _Toc1896385537 \h </w:instrText>
          </w:r>
          <w:r>
            <w:fldChar w:fldCharType="separate"/>
          </w:r>
          <w:r>
            <w:t>10</w:t>
          </w:r>
          <w:r>
            <w:fldChar w:fldCharType="end"/>
          </w:r>
          <w:r>
            <w:fldChar w:fldCharType="end"/>
          </w:r>
        </w:p>
        <w:p w14:paraId="16CD19B9">
          <w:pPr>
            <w:pStyle w:val="38"/>
            <w:tabs>
              <w:tab w:val="right" w:leader="dot" w:pos="8306"/>
            </w:tabs>
          </w:pPr>
          <w:r>
            <w:fldChar w:fldCharType="begin"/>
          </w:r>
          <w:r>
            <w:instrText xml:space="preserve"> HYPERLINK \l _Toc942063657 </w:instrText>
          </w:r>
          <w:r>
            <w:fldChar w:fldCharType="separate"/>
          </w:r>
          <w:r>
            <w:rPr>
              <w:rFonts w:hint="eastAsia" w:ascii="Times New Roman" w:hAnsi="Times New Roman" w:eastAsia="楷体_GB2312" w:cs="楷体_GB2312"/>
              <w:szCs w:val="32"/>
              <w:highlight w:val="none"/>
            </w:rPr>
            <w:t>（四）预算绩效管理情况</w:t>
          </w:r>
          <w:r>
            <w:tab/>
          </w:r>
          <w:r>
            <w:fldChar w:fldCharType="begin"/>
          </w:r>
          <w:r>
            <w:instrText xml:space="preserve"> PAGEREF _Toc942063657 \h </w:instrText>
          </w:r>
          <w:r>
            <w:fldChar w:fldCharType="separate"/>
          </w:r>
          <w:r>
            <w:t>11</w:t>
          </w:r>
          <w:r>
            <w:fldChar w:fldCharType="end"/>
          </w:r>
          <w:r>
            <w:fldChar w:fldCharType="end"/>
          </w:r>
        </w:p>
        <w:p w14:paraId="3D113A49">
          <w:pPr>
            <w:pStyle w:val="36"/>
            <w:tabs>
              <w:tab w:val="right" w:leader="dot" w:pos="8306"/>
            </w:tabs>
          </w:pPr>
          <w:r>
            <w:fldChar w:fldCharType="begin"/>
          </w:r>
          <w:r>
            <w:instrText xml:space="preserve"> HYPERLINK \l _Toc2015568112 </w:instrText>
          </w:r>
          <w:r>
            <w:fldChar w:fldCharType="separate"/>
          </w:r>
          <w:r>
            <w:rPr>
              <w:rFonts w:hint="eastAsia" w:ascii="Times New Roman" w:hAnsi="Times New Roman" w:eastAsia="黑体"/>
              <w:szCs w:val="44"/>
              <w:highlight w:val="none"/>
            </w:rPr>
            <w:t>第</w:t>
          </w:r>
          <w:r>
            <w:rPr>
              <w:rFonts w:hint="eastAsia" w:eastAsia="黑体"/>
              <w:szCs w:val="44"/>
              <w:highlight w:val="none"/>
              <w:lang w:eastAsia="zh-CN"/>
            </w:rPr>
            <w:t>三</w:t>
          </w:r>
          <w:r>
            <w:rPr>
              <w:rFonts w:hint="eastAsia" w:ascii="Times New Roman" w:hAnsi="Times New Roman" w:eastAsia="黑体"/>
              <w:szCs w:val="44"/>
              <w:highlight w:val="none"/>
            </w:rPr>
            <w:t>部分</w:t>
          </w:r>
          <w:r>
            <w:rPr>
              <w:rFonts w:hint="eastAsia" w:ascii="Times New Roman" w:hAnsi="Times New Roman" w:eastAsia="黑体"/>
              <w:szCs w:val="44"/>
              <w:highlight w:val="none"/>
              <w:lang w:val="en-US" w:eastAsia="zh-CN"/>
            </w:rPr>
            <w:t xml:space="preserve"> </w:t>
          </w:r>
          <w:r>
            <w:rPr>
              <w:rFonts w:hint="eastAsia" w:eastAsia="黑体"/>
              <w:szCs w:val="44"/>
              <w:highlight w:val="none"/>
              <w:lang w:val="en-US" w:eastAsia="zh-CN"/>
            </w:rPr>
            <w:t xml:space="preserve"> </w:t>
          </w:r>
          <w:r>
            <w:rPr>
              <w:rFonts w:hint="eastAsia" w:ascii="Times New Roman" w:hAnsi="Times New Roman" w:eastAsia="黑体"/>
              <w:szCs w:val="44"/>
              <w:highlight w:val="none"/>
            </w:rPr>
            <w:t>名词解释</w:t>
          </w:r>
          <w:r>
            <w:tab/>
          </w:r>
          <w:r>
            <w:fldChar w:fldCharType="begin"/>
          </w:r>
          <w:r>
            <w:instrText xml:space="preserve"> PAGEREF _Toc2015568112 \h </w:instrText>
          </w:r>
          <w:r>
            <w:fldChar w:fldCharType="separate"/>
          </w:r>
          <w:r>
            <w:t>11</w:t>
          </w:r>
          <w:r>
            <w:fldChar w:fldCharType="end"/>
          </w:r>
          <w:r>
            <w:fldChar w:fldCharType="end"/>
          </w:r>
        </w:p>
        <w:p w14:paraId="4E00D8AD">
          <w:pPr>
            <w:pStyle w:val="36"/>
            <w:tabs>
              <w:tab w:val="right" w:leader="dot" w:pos="8306"/>
            </w:tabs>
          </w:pPr>
          <w:r>
            <w:fldChar w:fldCharType="begin"/>
          </w:r>
          <w:r>
            <w:instrText xml:space="preserve"> HYPERLINK \l _Toc1545590716 </w:instrText>
          </w:r>
          <w:r>
            <w:fldChar w:fldCharType="separate"/>
          </w:r>
          <w:r>
            <w:rPr>
              <w:rFonts w:hint="default" w:ascii="Times New Roman" w:hAnsi="Times New Roman" w:eastAsia="方正小标宋简体" w:cs="方正小标宋简体"/>
              <w:bCs/>
              <w:kern w:val="44"/>
              <w:szCs w:val="44"/>
              <w:highlight w:val="none"/>
              <w:lang w:eastAsia="zh-CN" w:bidi="ar-SA"/>
            </w:rPr>
            <w:t>第四部分</w:t>
          </w:r>
          <w:r>
            <w:rPr>
              <w:rFonts w:hint="eastAsia" w:ascii="Times New Roman" w:hAnsi="Times New Roman" w:eastAsia="方正小标宋简体" w:cs="方正小标宋简体"/>
              <w:bCs/>
              <w:kern w:val="44"/>
              <w:szCs w:val="44"/>
              <w:highlight w:val="none"/>
              <w:lang w:val="en-US" w:eastAsia="zh-CN" w:bidi="ar-SA"/>
            </w:rPr>
            <w:t xml:space="preserve"> 附件</w:t>
          </w:r>
          <w:r>
            <w:tab/>
          </w:r>
          <w:r>
            <w:fldChar w:fldCharType="begin"/>
          </w:r>
          <w:r>
            <w:instrText xml:space="preserve"> PAGEREF _Toc1545590716 \h </w:instrText>
          </w:r>
          <w:r>
            <w:fldChar w:fldCharType="separate"/>
          </w:r>
          <w:r>
            <w:t>14</w:t>
          </w:r>
          <w:r>
            <w:fldChar w:fldCharType="end"/>
          </w:r>
          <w:r>
            <w:fldChar w:fldCharType="end"/>
          </w:r>
        </w:p>
        <w:p w14:paraId="4F701614">
          <w:pPr>
            <w:pStyle w:val="36"/>
            <w:tabs>
              <w:tab w:val="right" w:leader="dot" w:pos="8306"/>
            </w:tabs>
          </w:pPr>
          <w:r>
            <w:fldChar w:fldCharType="begin"/>
          </w:r>
          <w:r>
            <w:instrText xml:space="preserve"> HYPERLINK \l _Toc1162307170 </w:instrText>
          </w:r>
          <w:r>
            <w:fldChar w:fldCharType="separate"/>
          </w:r>
          <w:r>
            <w:rPr>
              <w:rFonts w:hint="eastAsia" w:ascii="Times New Roman" w:hAnsi="Times New Roman" w:eastAsia="方正小标宋简体" w:cs="方正小标宋简体"/>
              <w:bCs/>
              <w:kern w:val="44"/>
              <w:szCs w:val="44"/>
              <w:highlight w:val="none"/>
              <w:lang w:eastAsia="zh-CN" w:bidi="ar-SA"/>
            </w:rPr>
            <w:t>第五部分 附表</w:t>
          </w:r>
          <w:r>
            <w:tab/>
          </w:r>
          <w:r>
            <w:fldChar w:fldCharType="begin"/>
          </w:r>
          <w:r>
            <w:instrText xml:space="preserve"> PAGEREF _Toc1162307170 \h </w:instrText>
          </w:r>
          <w:r>
            <w:fldChar w:fldCharType="separate"/>
          </w:r>
          <w:r>
            <w:t>44</w:t>
          </w:r>
          <w:r>
            <w:fldChar w:fldCharType="end"/>
          </w:r>
          <w:r>
            <w:fldChar w:fldCharType="end"/>
          </w:r>
        </w:p>
        <w:p w14:paraId="0F69D0E2">
          <w:r>
            <w:fldChar w:fldCharType="end"/>
          </w:r>
        </w:p>
      </w:sdtContent>
    </w:sdt>
    <w:p w14:paraId="432C569E">
      <w:pPr>
        <w:pStyle w:val="3"/>
        <w:jc w:val="center"/>
        <w:rPr>
          <w:rFonts w:hint="eastAsia" w:ascii="Times New Roman" w:hAnsi="Times New Roman" w:eastAsia="方正小标宋简体" w:cs="方正小标宋简体"/>
          <w:b w:val="0"/>
          <w:color w:val="auto"/>
          <w:highlight w:val="none"/>
        </w:rPr>
        <w:sectPr>
          <w:footerReference r:id="rId6" w:type="first"/>
          <w:footerReference r:id="rId5" w:type="default"/>
          <w:pgSz w:w="11906" w:h="16838"/>
          <w:pgMar w:top="1440" w:right="1800" w:bottom="1440" w:left="1800" w:header="851" w:footer="992" w:gutter="0"/>
          <w:pgNumType w:fmt="decimal" w:start="1"/>
          <w:cols w:space="425" w:num="1"/>
          <w:docGrid w:type="lines" w:linePitch="312" w:charSpace="0"/>
        </w:sectPr>
      </w:pPr>
      <w:bookmarkStart w:id="0" w:name="_Toc971053243"/>
    </w:p>
    <w:p w14:paraId="139F8E35">
      <w:pPr>
        <w:pStyle w:val="3"/>
        <w:jc w:val="center"/>
        <w:rPr>
          <w:rStyle w:val="29"/>
          <w:rFonts w:hint="eastAsia" w:ascii="Times New Roman" w:hAnsi="Times New Roman" w:eastAsia="方正小标宋简体" w:cs="方正小标宋简体"/>
          <w:b/>
          <w:bCs w:val="0"/>
          <w:color w:val="auto"/>
          <w:highlight w:val="none"/>
        </w:rPr>
      </w:pPr>
      <w:r>
        <w:rPr>
          <w:rFonts w:hint="eastAsia" w:ascii="Times New Roman" w:hAnsi="Times New Roman" w:eastAsia="方正小标宋简体" w:cs="方正小标宋简体"/>
          <w:b w:val="0"/>
          <w:color w:val="auto"/>
          <w:highlight w:val="none"/>
        </w:rPr>
        <w:t>第一部分</w:t>
      </w:r>
      <w:r>
        <w:rPr>
          <w:rFonts w:hint="eastAsia" w:ascii="Times New Roman" w:hAnsi="Times New Roman" w:eastAsia="方正小标宋简体" w:cs="方正小标宋简体"/>
          <w:b w:val="0"/>
          <w:color w:val="auto"/>
          <w:highlight w:val="none"/>
          <w:lang w:val="en-US" w:eastAsia="zh-CN"/>
        </w:rPr>
        <w:t xml:space="preserve"> </w:t>
      </w:r>
      <w:r>
        <w:rPr>
          <w:rFonts w:hint="eastAsia" w:ascii="Times New Roman" w:hAnsi="Times New Roman" w:eastAsia="方正小标宋简体" w:cs="方正小标宋简体"/>
          <w:b w:val="0"/>
          <w:color w:val="auto"/>
          <w:highlight w:val="none"/>
        </w:rPr>
        <w:t xml:space="preserve"> </w:t>
      </w:r>
      <w:r>
        <w:rPr>
          <w:rStyle w:val="29"/>
          <w:rFonts w:hint="eastAsia" w:ascii="Times New Roman" w:hAnsi="Times New Roman" w:eastAsia="方正小标宋简体" w:cs="方正小标宋简体"/>
          <w:b w:val="0"/>
          <w:bCs w:val="0"/>
          <w:color w:val="auto"/>
          <w:highlight w:val="none"/>
        </w:rPr>
        <w:t>部门概况</w:t>
      </w:r>
      <w:bookmarkEnd w:id="0"/>
    </w:p>
    <w:p w14:paraId="4A5C2745">
      <w:pPr>
        <w:widowControl/>
        <w:jc w:val="left"/>
        <w:rPr>
          <w:rFonts w:ascii="Times New Roman" w:hAnsi="Times New Roman" w:eastAsia="黑体"/>
          <w:color w:val="auto"/>
          <w:sz w:val="32"/>
          <w:szCs w:val="32"/>
          <w:highlight w:val="none"/>
        </w:rPr>
      </w:pPr>
    </w:p>
    <w:p w14:paraId="68AE50DF">
      <w:pPr>
        <w:pStyle w:val="4"/>
        <w:numPr>
          <w:ilvl w:val="0"/>
          <w:numId w:val="1"/>
        </w:numPr>
        <w:rPr>
          <w:rFonts w:hint="eastAsia" w:ascii="Times New Roman" w:hAnsi="Times New Roman" w:eastAsia="黑体"/>
          <w:b w:val="0"/>
          <w:color w:val="auto"/>
          <w:highlight w:val="none"/>
          <w:lang w:eastAsia="zh-CN"/>
        </w:rPr>
      </w:pPr>
      <w:bookmarkStart w:id="1" w:name="_Toc898898627"/>
      <w:r>
        <w:rPr>
          <w:rFonts w:hint="default" w:ascii="Times New Roman" w:hAnsi="Times New Roman" w:eastAsia="黑体"/>
          <w:b w:val="0"/>
          <w:color w:val="auto"/>
          <w:highlight w:val="none"/>
          <w:lang w:eastAsia="zh-CN"/>
        </w:rPr>
        <w:t>单位</w:t>
      </w:r>
      <w:r>
        <w:rPr>
          <w:rFonts w:hint="eastAsia" w:ascii="Times New Roman" w:hAnsi="Times New Roman" w:eastAsia="黑体"/>
          <w:b w:val="0"/>
          <w:color w:val="auto"/>
          <w:highlight w:val="none"/>
          <w:lang w:eastAsia="zh-CN"/>
        </w:rPr>
        <w:t>职责</w:t>
      </w:r>
      <w:bookmarkEnd w:id="1"/>
    </w:p>
    <w:p w14:paraId="5D99395C">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autoSpaceDE/>
        <w:autoSpaceDN/>
        <w:bidi w:val="0"/>
        <w:adjustRightInd/>
        <w:snapToGrid/>
        <w:spacing w:before="0" w:beforeAutospacing="0" w:after="0" w:afterAutospacing="0" w:line="560" w:lineRule="exact"/>
        <w:ind w:left="0" w:right="0" w:firstLine="640"/>
        <w:jc w:val="both"/>
        <w:rPr>
          <w:rFonts w:hint="eastAsia" w:ascii="仿宋_GB2312" w:hAnsi="Calibri" w:eastAsia="仿宋_GB2312" w:cs="宋体"/>
          <w:kern w:val="0"/>
          <w:sz w:val="32"/>
          <w:szCs w:val="32"/>
          <w:lang w:val="en-US" w:eastAsia="zh-CN" w:bidi="ar-SA"/>
        </w:rPr>
      </w:pPr>
      <w:bookmarkStart w:id="2" w:name="_Toc15377200"/>
      <w:bookmarkStart w:id="3" w:name="_Toc15396601"/>
      <w:r>
        <w:rPr>
          <w:rFonts w:hint="eastAsia" w:ascii="仿宋_GB2312" w:hAnsi="Calibri" w:eastAsia="仿宋_GB2312" w:cs="宋体"/>
          <w:kern w:val="0"/>
          <w:sz w:val="32"/>
          <w:szCs w:val="32"/>
          <w:lang w:val="en-US" w:eastAsia="zh-CN" w:bidi="ar-SA"/>
        </w:rPr>
        <w:t>州民政局负责贯彻落实党中央关于民政工作的方针政策和省委、州委决策部署，把坚持和加强党中央对民政工作的集中统一领导落实到履行职责过程中。主要职责是：</w:t>
      </w:r>
      <w:r>
        <w:rPr>
          <w:rFonts w:hint="default" w:ascii="仿宋_GB2312" w:eastAsia="仿宋_GB2312" w:cs="宋体"/>
          <w:b/>
          <w:bCs/>
          <w:kern w:val="0"/>
          <w:sz w:val="32"/>
          <w:szCs w:val="32"/>
          <w:lang w:eastAsia="zh-CN" w:bidi="ar-SA"/>
        </w:rPr>
        <w:t>一是</w:t>
      </w:r>
      <w:r>
        <w:rPr>
          <w:rFonts w:hint="eastAsia" w:ascii="仿宋_GB2312" w:hAnsi="Calibri" w:eastAsia="仿宋_GB2312" w:cs="宋体"/>
          <w:kern w:val="0"/>
          <w:sz w:val="32"/>
          <w:szCs w:val="32"/>
          <w:lang w:val="en-US" w:eastAsia="zh-CN" w:bidi="ar-SA"/>
        </w:rPr>
        <w:t>起草民政工作地方性法规、政府规章草案，拟订全州民政事业发展规划、政策、标准并组织实施。</w:t>
      </w:r>
      <w:r>
        <w:rPr>
          <w:rFonts w:hint="default" w:ascii="仿宋_GB2312" w:eastAsia="仿宋_GB2312" w:cs="宋体"/>
          <w:b/>
          <w:bCs/>
          <w:kern w:val="0"/>
          <w:sz w:val="32"/>
          <w:szCs w:val="32"/>
          <w:lang w:eastAsia="zh-CN" w:bidi="ar-SA"/>
        </w:rPr>
        <w:t>二是</w:t>
      </w:r>
      <w:r>
        <w:rPr>
          <w:rFonts w:hint="eastAsia" w:ascii="仿宋_GB2312" w:hAnsi="Calibri" w:eastAsia="仿宋_GB2312" w:cs="宋体"/>
          <w:kern w:val="0"/>
          <w:sz w:val="32"/>
          <w:szCs w:val="32"/>
          <w:lang w:val="en-US" w:eastAsia="zh-CN" w:bidi="ar-SA"/>
        </w:rPr>
        <w:t>拟订社会团体、社会服务机构等社会组织登记和监督管理办法并组织实施，依法对社会组织进行登记管理和执法监督。</w:t>
      </w:r>
      <w:r>
        <w:rPr>
          <w:rFonts w:hint="default" w:ascii="仿宋_GB2312" w:eastAsia="仿宋_GB2312" w:cs="宋体"/>
          <w:b/>
          <w:bCs/>
          <w:kern w:val="0"/>
          <w:sz w:val="32"/>
          <w:szCs w:val="32"/>
          <w:lang w:eastAsia="zh-CN" w:bidi="ar-SA"/>
        </w:rPr>
        <w:t>三是</w:t>
      </w:r>
      <w:r>
        <w:rPr>
          <w:rFonts w:hint="eastAsia" w:ascii="仿宋_GB2312" w:hAnsi="Calibri" w:eastAsia="仿宋_GB2312" w:cs="宋体"/>
          <w:kern w:val="0"/>
          <w:sz w:val="32"/>
          <w:szCs w:val="32"/>
          <w:lang w:val="en-US" w:eastAsia="zh-CN" w:bidi="ar-SA"/>
        </w:rPr>
        <w:t>牵头拟订社会救助规划、政策、标准，统筹推进社会救助体系建设，负责城乡居民最低生活保障、特困人员救助供养、临时救助、生活无着流浪乞讨人员救助工作。</w:t>
      </w:r>
      <w:r>
        <w:rPr>
          <w:rFonts w:hint="default" w:ascii="仿宋_GB2312" w:eastAsia="仿宋_GB2312" w:cs="宋体"/>
          <w:b/>
          <w:bCs/>
          <w:kern w:val="0"/>
          <w:sz w:val="32"/>
          <w:szCs w:val="32"/>
          <w:lang w:eastAsia="zh-CN" w:bidi="ar-SA"/>
        </w:rPr>
        <w:t>四是</w:t>
      </w:r>
      <w:r>
        <w:rPr>
          <w:rFonts w:hint="eastAsia" w:ascii="仿宋_GB2312" w:hAnsi="Calibri" w:eastAsia="仿宋_GB2312" w:cs="宋体"/>
          <w:kern w:val="0"/>
          <w:sz w:val="32"/>
          <w:szCs w:val="32"/>
          <w:lang w:val="en-US" w:eastAsia="zh-CN" w:bidi="ar-SA"/>
        </w:rPr>
        <w:t>拟订行政区划、行政区域界线管理和地名管理政策，组织拟订全州行政区划优化设置建议方案，按照管理权限牵头负责全州行政区划设立、命名、撤销、变更和政府驻地迁移等审核报批工作。按照管理权限确定、公布行政区划代码，组织并指导全州行政区域界线的勘定、管理工作，调处行政区域边界争议，负责全州地名工作的统一监督管理工作。</w:t>
      </w:r>
      <w:r>
        <w:rPr>
          <w:rFonts w:hint="default" w:ascii="仿宋_GB2312" w:eastAsia="仿宋_GB2312" w:cs="宋体"/>
          <w:b/>
          <w:bCs/>
          <w:kern w:val="0"/>
          <w:sz w:val="32"/>
          <w:szCs w:val="32"/>
          <w:lang w:eastAsia="zh-CN" w:bidi="ar-SA"/>
        </w:rPr>
        <w:t>五是</w:t>
      </w:r>
      <w:r>
        <w:rPr>
          <w:rFonts w:hint="eastAsia" w:ascii="仿宋_GB2312" w:hAnsi="Calibri" w:eastAsia="仿宋_GB2312" w:cs="宋体"/>
          <w:kern w:val="0"/>
          <w:sz w:val="32"/>
          <w:szCs w:val="32"/>
          <w:lang w:val="en-US" w:eastAsia="zh-CN" w:bidi="ar-SA"/>
        </w:rPr>
        <w:t>拟订婚姻管理政策并组织实施，推进婚俗改革。</w:t>
      </w:r>
      <w:r>
        <w:rPr>
          <w:rFonts w:hint="default" w:ascii="仿宋_GB2312" w:eastAsia="仿宋_GB2312" w:cs="宋体"/>
          <w:b/>
          <w:bCs/>
          <w:kern w:val="0"/>
          <w:sz w:val="32"/>
          <w:szCs w:val="32"/>
          <w:lang w:eastAsia="zh-CN" w:bidi="ar-SA"/>
        </w:rPr>
        <w:t>六是</w:t>
      </w:r>
      <w:r>
        <w:rPr>
          <w:rFonts w:hint="eastAsia" w:ascii="仿宋_GB2312" w:hAnsi="Calibri" w:eastAsia="仿宋_GB2312" w:cs="宋体"/>
          <w:kern w:val="0"/>
          <w:sz w:val="32"/>
          <w:szCs w:val="32"/>
          <w:lang w:val="en-US" w:eastAsia="zh-CN" w:bidi="ar-SA"/>
        </w:rPr>
        <w:t>拟订殡葬管理政策、服务规范并组织实施，负责殡葬管理工作，推进殡葬改革。</w:t>
      </w:r>
      <w:r>
        <w:rPr>
          <w:rFonts w:hint="default" w:ascii="仿宋_GB2312" w:eastAsia="仿宋_GB2312" w:cs="宋体"/>
          <w:b/>
          <w:bCs/>
          <w:kern w:val="0"/>
          <w:sz w:val="32"/>
          <w:szCs w:val="32"/>
          <w:lang w:eastAsia="zh-CN" w:bidi="ar-SA"/>
        </w:rPr>
        <w:t>七是</w:t>
      </w:r>
      <w:r>
        <w:rPr>
          <w:rFonts w:hint="eastAsia" w:ascii="仿宋_GB2312" w:hAnsi="Calibri" w:eastAsia="仿宋_GB2312" w:cs="宋体"/>
          <w:kern w:val="0"/>
          <w:sz w:val="32"/>
          <w:szCs w:val="32"/>
          <w:lang w:val="en-US" w:eastAsia="zh-CN" w:bidi="ar-SA"/>
        </w:rPr>
        <w:t>拟订社会福利事业发展规划、政策、标准，拟订社会福利机构管理办法并指导实施，拟订残疾人权益保护政策并监督实施。负责康复辅助器具行业管理，统筹推进残疾人福利制度建设和康复辅助器具产业发展。</w:t>
      </w:r>
      <w:r>
        <w:rPr>
          <w:rFonts w:hint="default" w:ascii="仿宋_GB2312" w:eastAsia="仿宋_GB2312" w:cs="宋体"/>
          <w:b/>
          <w:bCs/>
          <w:kern w:val="0"/>
          <w:sz w:val="32"/>
          <w:szCs w:val="32"/>
          <w:lang w:eastAsia="zh-CN" w:bidi="ar-SA"/>
        </w:rPr>
        <w:t>八是</w:t>
      </w:r>
      <w:r>
        <w:rPr>
          <w:rFonts w:hint="eastAsia" w:ascii="仿宋_GB2312" w:hAnsi="Calibri" w:eastAsia="仿宋_GB2312" w:cs="宋体"/>
          <w:kern w:val="0"/>
          <w:sz w:val="32"/>
          <w:szCs w:val="32"/>
          <w:lang w:val="en-US" w:eastAsia="zh-CN" w:bidi="ar-SA"/>
        </w:rPr>
        <w:t>承担州老龄工作委员会的具体工作。组织拟订并协调落实积极应对人口老龄化政策措施。指导协调老年人权益保障工作。组织拟订老年人社会参与政策并组织实施。</w:t>
      </w:r>
      <w:r>
        <w:rPr>
          <w:rFonts w:hint="default" w:ascii="仿宋_GB2312" w:eastAsia="仿宋_GB2312" w:cs="宋体"/>
          <w:b/>
          <w:bCs/>
          <w:kern w:val="0"/>
          <w:sz w:val="32"/>
          <w:szCs w:val="32"/>
          <w:lang w:eastAsia="zh-CN" w:bidi="ar-SA"/>
        </w:rPr>
        <w:t>九是</w:t>
      </w:r>
      <w:r>
        <w:rPr>
          <w:rFonts w:hint="eastAsia" w:ascii="仿宋_GB2312" w:hAnsi="Calibri" w:eastAsia="仿宋_GB2312" w:cs="宋体"/>
          <w:kern w:val="0"/>
          <w:sz w:val="32"/>
          <w:szCs w:val="32"/>
          <w:lang w:val="en-US" w:eastAsia="zh-CN" w:bidi="ar-SA"/>
        </w:rPr>
        <w:t>组织拟订并协调落实促进养老事业发展的政策措施。统筹推进、督促指导、监督管理养老服务工作，拟订养老服务体系建设规划、政策、标准并组织实施，承担老年人福利和特殊困难老年人救助工作，协调推进农村留守老年人关爱服务工作。</w:t>
      </w:r>
      <w:r>
        <w:rPr>
          <w:rFonts w:hint="default" w:ascii="仿宋_GB2312" w:eastAsia="仿宋_GB2312" w:cs="宋体"/>
          <w:b/>
          <w:bCs/>
          <w:kern w:val="0"/>
          <w:sz w:val="32"/>
          <w:szCs w:val="32"/>
          <w:lang w:eastAsia="zh-CN" w:bidi="ar-SA"/>
        </w:rPr>
        <w:t>十是</w:t>
      </w:r>
      <w:r>
        <w:rPr>
          <w:rFonts w:hint="eastAsia" w:ascii="仿宋_GB2312" w:hAnsi="Calibri" w:eastAsia="仿宋_GB2312" w:cs="宋体"/>
          <w:kern w:val="0"/>
          <w:sz w:val="32"/>
          <w:szCs w:val="32"/>
          <w:lang w:val="en-US" w:eastAsia="zh-CN" w:bidi="ar-SA"/>
        </w:rPr>
        <w:t>拟订儿童福利、孤弃儿童保障、儿童收养、儿童救助保护政策和标准并组织实施，健全农村留守儿童关爱服务体系和困境儿童保障制度。</w:t>
      </w:r>
      <w:r>
        <w:rPr>
          <w:rFonts w:hint="eastAsia" w:ascii="仿宋_GB2312" w:hAnsi="Calibri" w:eastAsia="仿宋_GB2312" w:cs="宋体"/>
          <w:b/>
          <w:bCs/>
          <w:kern w:val="0"/>
          <w:sz w:val="32"/>
          <w:szCs w:val="32"/>
          <w:lang w:val="en-US" w:eastAsia="zh-CN" w:bidi="ar-SA"/>
        </w:rPr>
        <w:t>十一</w:t>
      </w:r>
      <w:r>
        <w:rPr>
          <w:rFonts w:hint="default" w:ascii="仿宋_GB2312" w:eastAsia="仿宋_GB2312" w:cs="宋体"/>
          <w:b/>
          <w:bCs/>
          <w:kern w:val="0"/>
          <w:sz w:val="32"/>
          <w:szCs w:val="32"/>
          <w:lang w:eastAsia="zh-CN" w:bidi="ar-SA"/>
        </w:rPr>
        <w:t>是</w:t>
      </w:r>
      <w:r>
        <w:rPr>
          <w:rFonts w:hint="eastAsia" w:ascii="仿宋_GB2312" w:hAnsi="Calibri" w:eastAsia="仿宋_GB2312" w:cs="宋体"/>
          <w:kern w:val="0"/>
          <w:sz w:val="32"/>
          <w:szCs w:val="32"/>
          <w:lang w:val="en-US" w:eastAsia="zh-CN" w:bidi="ar-SA"/>
        </w:rPr>
        <w:t>组织拟订促进慈善事业发展政策，指导社会捐助工作。负责职责范围内的福利彩票有关工作。</w:t>
      </w:r>
      <w:r>
        <w:rPr>
          <w:rFonts w:hint="eastAsia" w:ascii="仿宋_GB2312" w:hAnsi="Calibri" w:eastAsia="仿宋_GB2312" w:cs="宋体"/>
          <w:b/>
          <w:bCs/>
          <w:kern w:val="0"/>
          <w:sz w:val="32"/>
          <w:szCs w:val="32"/>
          <w:lang w:val="en-US" w:eastAsia="zh-CN" w:bidi="ar-SA"/>
        </w:rPr>
        <w:t>十二</w:t>
      </w:r>
      <w:r>
        <w:rPr>
          <w:rFonts w:hint="default" w:ascii="仿宋_GB2312" w:eastAsia="仿宋_GB2312" w:cs="宋体"/>
          <w:b/>
          <w:bCs/>
          <w:kern w:val="0"/>
          <w:sz w:val="32"/>
          <w:szCs w:val="32"/>
          <w:lang w:eastAsia="zh-CN" w:bidi="ar-SA"/>
        </w:rPr>
        <w:t>是</w:t>
      </w:r>
      <w:r>
        <w:rPr>
          <w:rFonts w:hint="eastAsia" w:ascii="仿宋_GB2312" w:hAnsi="Calibri" w:eastAsia="仿宋_GB2312" w:cs="宋体"/>
          <w:kern w:val="0"/>
          <w:sz w:val="32"/>
          <w:szCs w:val="32"/>
          <w:lang w:val="en-US" w:eastAsia="zh-CN" w:bidi="ar-SA"/>
        </w:rPr>
        <w:t>依法依规负责康复辅助器具行业和社会福利、养老服务、殡葬服务、救助管理等机构安全生产监督管理工作。负责职责范围内的职业健康、生态环境保护、审批服务便民化等工作。</w:t>
      </w:r>
      <w:r>
        <w:rPr>
          <w:rFonts w:hint="eastAsia" w:ascii="仿宋_GB2312" w:hAnsi="Calibri" w:eastAsia="仿宋_GB2312" w:cs="宋体"/>
          <w:b/>
          <w:bCs/>
          <w:kern w:val="0"/>
          <w:sz w:val="32"/>
          <w:szCs w:val="32"/>
          <w:lang w:val="en-US" w:eastAsia="zh-CN" w:bidi="ar-SA"/>
        </w:rPr>
        <w:t>十三</w:t>
      </w:r>
      <w:r>
        <w:rPr>
          <w:rFonts w:hint="default" w:ascii="仿宋_GB2312" w:eastAsia="仿宋_GB2312" w:cs="宋体"/>
          <w:b/>
          <w:bCs/>
          <w:kern w:val="0"/>
          <w:sz w:val="32"/>
          <w:szCs w:val="32"/>
          <w:lang w:eastAsia="zh-CN" w:bidi="ar-SA"/>
        </w:rPr>
        <w:t>是</w:t>
      </w:r>
      <w:r>
        <w:rPr>
          <w:rFonts w:hint="eastAsia" w:ascii="仿宋_GB2312" w:hAnsi="Calibri" w:eastAsia="仿宋_GB2312" w:cs="宋体"/>
          <w:kern w:val="0"/>
          <w:sz w:val="32"/>
          <w:szCs w:val="32"/>
          <w:lang w:val="en-US" w:eastAsia="zh-CN" w:bidi="ar-SA"/>
        </w:rPr>
        <w:t>完成州委、州政府交办的其他任务。</w:t>
      </w:r>
    </w:p>
    <w:p w14:paraId="4A7E1470">
      <w:pPr>
        <w:pStyle w:val="4"/>
        <w:rPr>
          <w:rStyle w:val="30"/>
          <w:rFonts w:ascii="Times New Roman" w:hAnsi="Times New Roman"/>
          <w:b w:val="0"/>
          <w:bCs w:val="0"/>
          <w:color w:val="auto"/>
          <w:highlight w:val="none"/>
        </w:rPr>
      </w:pPr>
      <w:bookmarkStart w:id="4" w:name="_Toc347746036"/>
      <w:r>
        <w:rPr>
          <w:rFonts w:hint="eastAsia" w:ascii="Times New Roman" w:hAnsi="Times New Roman" w:eastAsia="黑体"/>
          <w:b w:val="0"/>
          <w:color w:val="auto"/>
          <w:highlight w:val="none"/>
        </w:rPr>
        <w:t>二、机</w:t>
      </w:r>
      <w:r>
        <w:rPr>
          <w:rStyle w:val="30"/>
          <w:rFonts w:hint="eastAsia" w:ascii="Times New Roman" w:hAnsi="Times New Roman" w:eastAsia="黑体"/>
          <w:b w:val="0"/>
          <w:bCs w:val="0"/>
          <w:color w:val="auto"/>
          <w:highlight w:val="none"/>
        </w:rPr>
        <w:t>构设置</w:t>
      </w:r>
      <w:bookmarkEnd w:id="2"/>
      <w:bookmarkEnd w:id="3"/>
      <w:bookmarkEnd w:id="4"/>
    </w:p>
    <w:p w14:paraId="50743B51">
      <w:pPr>
        <w:ind w:firstLine="800" w:firstLineChars="250"/>
        <w:rPr>
          <w:rFonts w:hint="eastAsia"/>
        </w:rPr>
      </w:pPr>
      <w:r>
        <w:rPr>
          <w:rFonts w:hint="eastAsia" w:ascii="仿宋_GB2312" w:hAnsi="仿宋_GB2312" w:eastAsia="仿宋_GB2312" w:cs="仿宋_GB2312"/>
          <w:color w:val="auto"/>
          <w:sz w:val="32"/>
          <w:szCs w:val="32"/>
          <w:highlight w:val="none"/>
        </w:rPr>
        <w:t>阿坝藏族羌族自治州民政局（本级）</w:t>
      </w:r>
      <w:r>
        <w:rPr>
          <w:rFonts w:hint="eastAsia" w:ascii="Times New Roman" w:hAnsi="Times New Roman" w:eastAsia="仿宋_GB2312" w:cs="仿宋_GB2312"/>
          <w:color w:val="auto"/>
          <w:sz w:val="32"/>
          <w:szCs w:val="32"/>
          <w:highlight w:val="none"/>
        </w:rPr>
        <w:t>下属二级</w:t>
      </w:r>
      <w:r>
        <w:rPr>
          <w:rFonts w:hint="eastAsia" w:ascii="Times New Roman" w:hAnsi="Times New Roman" w:eastAsia="仿宋_GB2312" w:cs="仿宋_GB2312"/>
          <w:color w:val="auto"/>
          <w:sz w:val="32"/>
          <w:szCs w:val="32"/>
          <w:highlight w:val="none"/>
          <w:lang w:eastAsia="zh-CN"/>
        </w:rPr>
        <w:t>预算</w:t>
      </w:r>
      <w:r>
        <w:rPr>
          <w:rFonts w:hint="eastAsia" w:ascii="Times New Roman" w:hAnsi="Times New Roman" w:eastAsia="仿宋_GB2312" w:cs="仿宋_GB2312"/>
          <w:color w:val="auto"/>
          <w:sz w:val="32"/>
          <w:szCs w:val="32"/>
          <w:highlight w:val="none"/>
        </w:rPr>
        <w:t>单位</w:t>
      </w:r>
      <w:r>
        <w:rPr>
          <w:rFonts w:hint="default" w:eastAsia="仿宋_GB2312" w:cs="仿宋_GB2312"/>
          <w:color w:val="auto"/>
          <w:sz w:val="32"/>
          <w:szCs w:val="32"/>
          <w:highlight w:val="none"/>
        </w:rPr>
        <w:t>3</w:t>
      </w:r>
      <w:r>
        <w:rPr>
          <w:rFonts w:hint="eastAsia" w:ascii="Times New Roman" w:hAnsi="Times New Roman" w:eastAsia="仿宋_GB2312" w:cs="仿宋_GB2312"/>
          <w:color w:val="auto"/>
          <w:sz w:val="32"/>
          <w:szCs w:val="32"/>
          <w:highlight w:val="none"/>
        </w:rPr>
        <w:t>个，其中</w:t>
      </w:r>
      <w:r>
        <w:rPr>
          <w:rFonts w:hint="default" w:eastAsia="仿宋_GB2312" w:cs="仿宋_GB2312"/>
          <w:color w:val="auto"/>
          <w:sz w:val="32"/>
          <w:szCs w:val="32"/>
          <w:highlight w:val="none"/>
        </w:rPr>
        <w:t>：</w:t>
      </w:r>
      <w:r>
        <w:rPr>
          <w:rFonts w:hint="eastAsia" w:ascii="方正仿宋_GB2312" w:eastAsia="方正仿宋_GB2312" w:cs="方正仿宋_GB2312"/>
          <w:bCs/>
          <w:color w:val="000000"/>
          <w:sz w:val="32"/>
          <w:szCs w:val="32"/>
          <w:lang w:bidi="ar-SA"/>
        </w:rPr>
        <w:t>独立核算</w:t>
      </w:r>
      <w:r>
        <w:rPr>
          <w:rFonts w:hint="eastAsia" w:ascii="Times New Roman" w:hAnsi="Times New Roman" w:eastAsia="仿宋_GB2312" w:cs="仿宋_GB2312"/>
          <w:color w:val="auto"/>
          <w:sz w:val="32"/>
          <w:szCs w:val="32"/>
          <w:highlight w:val="none"/>
        </w:rPr>
        <w:t>二级</w:t>
      </w:r>
      <w:r>
        <w:rPr>
          <w:rFonts w:hint="eastAsia" w:ascii="Times New Roman" w:hAnsi="Times New Roman" w:eastAsia="仿宋_GB2312" w:cs="仿宋_GB2312"/>
          <w:color w:val="auto"/>
          <w:sz w:val="32"/>
          <w:szCs w:val="32"/>
          <w:highlight w:val="none"/>
          <w:lang w:eastAsia="zh-CN"/>
        </w:rPr>
        <w:t>预算</w:t>
      </w:r>
      <w:r>
        <w:rPr>
          <w:rFonts w:hint="eastAsia" w:ascii="Times New Roman" w:hAnsi="Times New Roman" w:eastAsia="仿宋_GB2312" w:cs="仿宋_GB2312"/>
          <w:color w:val="auto"/>
          <w:sz w:val="32"/>
          <w:szCs w:val="32"/>
          <w:highlight w:val="none"/>
        </w:rPr>
        <w:t>单位</w:t>
      </w:r>
      <w:r>
        <w:rPr>
          <w:rFonts w:hint="default" w:ascii="方正仿宋_GB2312" w:eastAsia="方正仿宋_GB2312" w:cs="方正仿宋_GB2312"/>
          <w:bCs/>
          <w:color w:val="000000"/>
          <w:sz w:val="32"/>
          <w:szCs w:val="32"/>
          <w:lang w:bidi="ar-SA"/>
        </w:rPr>
        <w:t>2</w:t>
      </w:r>
      <w:r>
        <w:rPr>
          <w:rFonts w:hint="eastAsia" w:ascii="方正仿宋_GB2312" w:eastAsia="方正仿宋_GB2312" w:cs="方正仿宋_GB2312"/>
          <w:bCs/>
          <w:color w:val="000000"/>
          <w:sz w:val="32"/>
          <w:szCs w:val="32"/>
          <w:lang w:bidi="ar-SA"/>
        </w:rPr>
        <w:t>个</w:t>
      </w:r>
      <w:r>
        <w:rPr>
          <w:rFonts w:hint="default" w:ascii="方正仿宋_GB2312" w:eastAsia="方正仿宋_GB2312" w:cs="方正仿宋_GB2312"/>
          <w:bCs/>
          <w:color w:val="000000"/>
          <w:sz w:val="32"/>
          <w:szCs w:val="32"/>
          <w:lang w:bidi="ar-SA"/>
        </w:rPr>
        <w:t>，分别为阿坝州救助站和阿坝州儿童福利院；未</w:t>
      </w:r>
      <w:r>
        <w:rPr>
          <w:rFonts w:hint="eastAsia" w:ascii="方正仿宋_GB2312" w:eastAsia="方正仿宋_GB2312" w:cs="方正仿宋_GB2312"/>
          <w:bCs/>
          <w:color w:val="000000"/>
          <w:sz w:val="32"/>
          <w:szCs w:val="32"/>
          <w:lang w:bidi="ar-SA"/>
        </w:rPr>
        <w:t>独立核算</w:t>
      </w:r>
      <w:r>
        <w:rPr>
          <w:rFonts w:hint="eastAsia" w:ascii="Times New Roman" w:hAnsi="Times New Roman" w:eastAsia="仿宋_GB2312" w:cs="仿宋_GB2312"/>
          <w:color w:val="auto"/>
          <w:sz w:val="32"/>
          <w:szCs w:val="32"/>
          <w:highlight w:val="none"/>
        </w:rPr>
        <w:t>二级</w:t>
      </w:r>
      <w:r>
        <w:rPr>
          <w:rFonts w:hint="eastAsia" w:ascii="Times New Roman" w:hAnsi="Times New Roman" w:eastAsia="仿宋_GB2312" w:cs="仿宋_GB2312"/>
          <w:color w:val="auto"/>
          <w:sz w:val="32"/>
          <w:szCs w:val="32"/>
          <w:highlight w:val="none"/>
          <w:lang w:eastAsia="zh-CN"/>
        </w:rPr>
        <w:t>预算</w:t>
      </w:r>
      <w:r>
        <w:rPr>
          <w:rFonts w:hint="eastAsia" w:ascii="Times New Roman" w:hAnsi="Times New Roman" w:eastAsia="仿宋_GB2312" w:cs="仿宋_GB2312"/>
          <w:color w:val="auto"/>
          <w:sz w:val="32"/>
          <w:szCs w:val="32"/>
          <w:highlight w:val="none"/>
        </w:rPr>
        <w:t>单位</w:t>
      </w:r>
      <w:r>
        <w:rPr>
          <w:rFonts w:hint="default" w:ascii="方正仿宋_GB2312" w:eastAsia="方正仿宋_GB2312" w:cs="方正仿宋_GB2312"/>
          <w:bCs/>
          <w:color w:val="000000"/>
          <w:sz w:val="32"/>
          <w:szCs w:val="32"/>
          <w:lang w:bidi="ar-SA"/>
        </w:rPr>
        <w:t>1</w:t>
      </w:r>
      <w:r>
        <w:rPr>
          <w:rFonts w:hint="eastAsia" w:ascii="方正仿宋_GB2312" w:eastAsia="方正仿宋_GB2312" w:cs="方正仿宋_GB2312"/>
          <w:bCs/>
          <w:color w:val="000000"/>
          <w:sz w:val="32"/>
          <w:szCs w:val="32"/>
          <w:lang w:bidi="ar-SA"/>
        </w:rPr>
        <w:t>个</w:t>
      </w:r>
      <w:r>
        <w:rPr>
          <w:rFonts w:hint="default" w:ascii="方正仿宋_GB2312" w:eastAsia="方正仿宋_GB2312" w:cs="方正仿宋_GB2312"/>
          <w:bCs/>
          <w:color w:val="000000"/>
          <w:sz w:val="32"/>
          <w:szCs w:val="32"/>
          <w:lang w:bidi="ar-SA"/>
        </w:rPr>
        <w:t>为低收入家庭指导中心</w:t>
      </w:r>
      <w:r>
        <w:rPr>
          <w:rFonts w:hint="eastAsia" w:ascii="Times New Roman" w:hAnsi="Times New Roman" w:eastAsia="仿宋_GB2312" w:cs="仿宋_GB2312"/>
          <w:color w:val="auto"/>
          <w:sz w:val="32"/>
          <w:szCs w:val="32"/>
          <w:highlight w:val="none"/>
        </w:rPr>
        <w:t>。</w:t>
      </w:r>
    </w:p>
    <w:p w14:paraId="098AAB3E">
      <w:pPr>
        <w:widowControl/>
        <w:jc w:val="left"/>
        <w:rPr>
          <w:rFonts w:ascii="Times New Roman" w:hAnsi="Times New Roman" w:eastAsia="仿宋"/>
          <w:color w:val="auto"/>
          <w:kern w:val="0"/>
          <w:sz w:val="32"/>
          <w:szCs w:val="32"/>
          <w:highlight w:val="none"/>
        </w:rPr>
      </w:pPr>
      <w:r>
        <w:rPr>
          <w:rFonts w:ascii="Times New Roman" w:hAnsi="Times New Roman" w:eastAsia="仿宋"/>
          <w:color w:val="auto"/>
          <w:sz w:val="32"/>
          <w:szCs w:val="32"/>
          <w:highlight w:val="none"/>
        </w:rPr>
        <w:br w:type="page"/>
      </w:r>
    </w:p>
    <w:p w14:paraId="6305D30A">
      <w:pPr>
        <w:pStyle w:val="3"/>
        <w:jc w:val="center"/>
        <w:rPr>
          <w:rFonts w:hint="eastAsia" w:ascii="Times New Roman" w:hAnsi="Times New Roman" w:eastAsia="方正小标宋简体" w:cs="方正小标宋简体"/>
          <w:b w:val="0"/>
          <w:color w:val="auto"/>
          <w:highlight w:val="none"/>
        </w:rPr>
      </w:pPr>
      <w:bookmarkStart w:id="5" w:name="_Toc1011711411"/>
      <w:bookmarkStart w:id="6" w:name="_Toc15377204"/>
      <w:bookmarkStart w:id="7" w:name="_Toc15396602"/>
      <w:r>
        <w:rPr>
          <w:rFonts w:hint="eastAsia" w:ascii="Times New Roman" w:hAnsi="Times New Roman" w:eastAsia="方正小标宋简体" w:cs="方正小标宋简体"/>
          <w:b w:val="0"/>
          <w:color w:val="auto"/>
          <w:highlight w:val="none"/>
        </w:rPr>
        <w:t>第二部分</w:t>
      </w:r>
      <w:r>
        <w:rPr>
          <w:rFonts w:hint="eastAsia" w:ascii="Times New Roman" w:hAnsi="Times New Roman" w:eastAsia="方正小标宋简体" w:cs="方正小标宋简体"/>
          <w:b w:val="0"/>
          <w:color w:val="auto"/>
          <w:highlight w:val="none"/>
          <w:lang w:val="en-US" w:eastAsia="zh-CN"/>
        </w:rPr>
        <w:t xml:space="preserve"> </w:t>
      </w:r>
      <w:r>
        <w:rPr>
          <w:rFonts w:hint="eastAsia" w:ascii="Times New Roman" w:hAnsi="Times New Roman" w:eastAsia="方正小标宋简体" w:cs="方正小标宋简体"/>
          <w:b w:val="0"/>
          <w:color w:val="auto"/>
          <w:highlight w:val="none"/>
        </w:rPr>
        <w:t xml:space="preserve"> </w:t>
      </w:r>
      <w:r>
        <w:rPr>
          <w:rFonts w:hint="eastAsia" w:ascii="Times New Roman" w:hAnsi="Times New Roman" w:eastAsia="方正小标宋简体" w:cs="方正小标宋简体"/>
          <w:b w:val="0"/>
          <w:color w:val="auto"/>
          <w:highlight w:val="none"/>
          <w:lang w:val="en-US" w:eastAsia="zh-CN"/>
        </w:rPr>
        <w:t>2024年度</w:t>
      </w:r>
      <w:r>
        <w:rPr>
          <w:rFonts w:hint="eastAsia" w:ascii="Times New Roman" w:hAnsi="Times New Roman" w:eastAsia="方正小标宋简体" w:cs="方正小标宋简体"/>
          <w:b w:val="0"/>
          <w:color w:val="auto"/>
          <w:highlight w:val="none"/>
        </w:rPr>
        <w:t>部门决算情况说明</w:t>
      </w:r>
      <w:bookmarkEnd w:id="5"/>
      <w:bookmarkEnd w:id="6"/>
      <w:bookmarkEnd w:id="7"/>
    </w:p>
    <w:p w14:paraId="5E48474C">
      <w:pPr>
        <w:rPr>
          <w:rFonts w:ascii="Times New Roman" w:hAnsi="Times New Roman"/>
          <w:color w:val="auto"/>
          <w:highlight w:val="none"/>
        </w:rPr>
      </w:pPr>
    </w:p>
    <w:p w14:paraId="199F91E0">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Style w:val="30"/>
          <w:rFonts w:hint="eastAsia" w:ascii="Times New Roman" w:hAnsi="Times New Roman" w:eastAsia="黑体"/>
          <w:b w:val="0"/>
          <w:color w:val="auto"/>
          <w:highlight w:val="none"/>
        </w:rPr>
      </w:pPr>
      <w:bookmarkStart w:id="8" w:name="_Toc15377205"/>
      <w:bookmarkStart w:id="9" w:name="_Toc15396603"/>
      <w:bookmarkStart w:id="10" w:name="_Toc1134675228"/>
      <w:r>
        <w:rPr>
          <w:rFonts w:hint="eastAsia" w:ascii="Times New Roman" w:hAnsi="Times New Roman" w:eastAsia="黑体"/>
          <w:color w:val="auto"/>
          <w:sz w:val="32"/>
          <w:szCs w:val="32"/>
          <w:highlight w:val="none"/>
          <w:lang w:eastAsia="zh-CN"/>
        </w:rPr>
        <w:t>一、</w:t>
      </w:r>
      <w:r>
        <w:rPr>
          <w:rFonts w:hint="eastAsia" w:ascii="Times New Roman" w:hAnsi="Times New Roman" w:eastAsia="黑体"/>
          <w:color w:val="auto"/>
          <w:sz w:val="32"/>
          <w:szCs w:val="32"/>
          <w:highlight w:val="none"/>
        </w:rPr>
        <w:t>收</w:t>
      </w:r>
      <w:r>
        <w:rPr>
          <w:rStyle w:val="30"/>
          <w:rFonts w:hint="eastAsia" w:ascii="Times New Roman" w:hAnsi="Times New Roman" w:eastAsia="黑体"/>
          <w:b w:val="0"/>
          <w:color w:val="auto"/>
          <w:highlight w:val="none"/>
        </w:rPr>
        <w:t>入支出决算总体情况说明</w:t>
      </w:r>
      <w:bookmarkEnd w:id="8"/>
      <w:bookmarkEnd w:id="9"/>
      <w:bookmarkEnd w:id="10"/>
    </w:p>
    <w:p w14:paraId="1D11D2D1">
      <w:pPr>
        <w:spacing w:line="600" w:lineRule="exact"/>
        <w:ind w:firstLine="640"/>
        <w:rPr>
          <w:rFonts w:hint="default"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2024年度收入、支出总计均为1388.49万元。与2023年度相比，收入、支出总计各增加</w:t>
      </w:r>
      <w:r>
        <w:rPr>
          <w:rFonts w:hint="default" w:ascii="Times New Roman" w:hAnsi="Times New Roman" w:eastAsia="仿宋_GB2312" w:cs="仿宋_GB2312"/>
          <w:color w:val="auto"/>
          <w:kern w:val="2"/>
          <w:sz w:val="32"/>
          <w:szCs w:val="32"/>
          <w:highlight w:val="none"/>
          <w:lang w:val="en-US" w:eastAsia="zh-CN" w:bidi="ar-SA"/>
        </w:rPr>
        <w:t>83.24</w:t>
      </w:r>
      <w:r>
        <w:rPr>
          <w:rFonts w:hint="eastAsia" w:ascii="Times New Roman" w:hAnsi="Times New Roman" w:eastAsia="仿宋_GB2312" w:cs="仿宋_GB2312"/>
          <w:color w:val="auto"/>
          <w:kern w:val="2"/>
          <w:sz w:val="32"/>
          <w:szCs w:val="32"/>
          <w:highlight w:val="none"/>
          <w:lang w:val="en-US" w:eastAsia="zh-CN" w:bidi="ar-SA"/>
        </w:rPr>
        <w:t>万元，增长</w:t>
      </w:r>
      <w:r>
        <w:rPr>
          <w:rFonts w:hint="default" w:ascii="Times New Roman" w:hAnsi="Times New Roman" w:eastAsia="仿宋_GB2312" w:cs="仿宋_GB2312"/>
          <w:color w:val="auto"/>
          <w:kern w:val="2"/>
          <w:sz w:val="32"/>
          <w:szCs w:val="32"/>
          <w:highlight w:val="none"/>
          <w:lang w:val="en-US" w:eastAsia="zh-CN" w:bidi="ar-SA"/>
        </w:rPr>
        <w:t>6.38</w:t>
      </w:r>
      <w:r>
        <w:rPr>
          <w:rFonts w:hint="eastAsia" w:ascii="Times New Roman" w:hAnsi="Times New Roman" w:eastAsia="仿宋_GB2312" w:cs="仿宋_GB2312"/>
          <w:color w:val="auto"/>
          <w:kern w:val="2"/>
          <w:sz w:val="32"/>
          <w:szCs w:val="32"/>
          <w:highlight w:val="none"/>
          <w:lang w:val="en-US" w:eastAsia="zh-CN" w:bidi="ar-SA"/>
        </w:rPr>
        <w:t>%。主要变动原因是</w:t>
      </w:r>
      <w:r>
        <w:rPr>
          <w:rFonts w:hint="default" w:ascii="Times New Roman" w:hAnsi="Times New Roman" w:eastAsia="仿宋_GB2312" w:cs="仿宋_GB2312"/>
          <w:color w:val="auto"/>
          <w:kern w:val="2"/>
          <w:sz w:val="32"/>
          <w:szCs w:val="32"/>
          <w:highlight w:val="none"/>
          <w:lang w:val="en-US" w:eastAsia="zh-CN" w:bidi="ar-SA"/>
        </w:rPr>
        <w:t>2024年相对于2023年项目增加较多。</w:t>
      </w:r>
    </w:p>
    <w:p w14:paraId="661ACFCC">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Times New Roman" w:hAnsi="Times New Roman" w:eastAsia="仿宋_GB2312" w:cs="仿宋_GB2312"/>
          <w:color w:val="auto"/>
          <w:sz w:val="32"/>
          <w:szCs w:val="32"/>
          <w:highlight w:val="none"/>
        </w:rPr>
      </w:pPr>
      <w:r>
        <w:rPr>
          <w:sz w:val="21"/>
        </w:rPr>
        <mc:AlternateContent>
          <mc:Choice Requires="wps">
            <w:drawing>
              <wp:anchor distT="0" distB="0" distL="114300" distR="114300" simplePos="0" relativeHeight="251659264" behindDoc="0" locked="0" layoutInCell="1" allowOverlap="1">
                <wp:simplePos x="0" y="0"/>
                <wp:positionH relativeFrom="column">
                  <wp:posOffset>4029710</wp:posOffset>
                </wp:positionH>
                <wp:positionV relativeFrom="paragraph">
                  <wp:posOffset>2762885</wp:posOffset>
                </wp:positionV>
                <wp:extent cx="1003935" cy="307975"/>
                <wp:effectExtent l="4445" t="4445" r="20320" b="11430"/>
                <wp:wrapNone/>
                <wp:docPr id="5" name="文本框 5"/>
                <wp:cNvGraphicFramePr/>
                <a:graphic xmlns:a="http://schemas.openxmlformats.org/drawingml/2006/main">
                  <a:graphicData uri="http://schemas.microsoft.com/office/word/2010/wordprocessingShape">
                    <wps:wsp>
                      <wps:cNvSpPr txBox="1"/>
                      <wps:spPr>
                        <a:xfrm>
                          <a:off x="5436235" y="3638550"/>
                          <a:ext cx="1003935" cy="307975"/>
                        </a:xfrm>
                        <a:prstGeom prst="rect">
                          <a:avLst/>
                        </a:prstGeom>
                        <a:solidFill>
                          <a:schemeClr val="lt1"/>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14:paraId="0D37864C">
                            <w:pPr>
                              <w:rPr>
                                <w:rFonts w:hint="default"/>
                              </w:rPr>
                            </w:pPr>
                            <w:r>
                              <w:t>单位：万元</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317.3pt;margin-top:217.55pt;height:24.25pt;width:79.05pt;z-index:251659264;mso-width-relative:page;mso-height-relative:page;" fillcolor="#FFFFFF [3201]" filled="t" stroked="t" coordsize="21600,21600" o:gfxdata="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">
                <v:fill on="t" focussize="0,0"/>
                <v:stroke weight="0.5pt" color="#000000 [3204]" joinstyle="round"/>
                <v:imagedata o:title=""/>
                <o:lock v:ext="edit" aspectratio="f"/>
                <v:textbox>
                  <w:txbxContent>
                    <w:p w14:paraId="0D37864C">
                      <w:pPr>
                        <w:rPr>
                          <w:rFonts w:hint="default"/>
                        </w:rPr>
                      </w:pPr>
                      <w:r>
                        <w:t>单位：万元</w:t>
                      </w:r>
                    </w:p>
                  </w:txbxContent>
                </v:textbox>
              </v:shape>
            </w:pict>
          </mc:Fallback>
        </mc:AlternateContent>
      </w:r>
      <w:r>
        <w:drawing>
          <wp:inline distT="0" distB="0" distL="114300" distR="114300">
            <wp:extent cx="4820920" cy="3145155"/>
            <wp:effectExtent l="4445" t="5080" r="13335" b="12065"/>
            <wp:docPr id="1025" name="图表 2"/>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14:paraId="5CD9D715">
      <w:pPr>
        <w:pStyle w:val="8"/>
        <w:rPr>
          <w:rFonts w:hint="eastAsia"/>
        </w:rPr>
      </w:pPr>
    </w:p>
    <w:p w14:paraId="441ADC3D">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黑体"/>
          <w:color w:val="auto"/>
          <w:sz w:val="32"/>
          <w:szCs w:val="32"/>
          <w:highlight w:val="none"/>
          <w:lang w:eastAsia="zh-CN"/>
        </w:rPr>
      </w:pPr>
      <w:bookmarkStart w:id="11" w:name="_Toc15396604"/>
      <w:bookmarkStart w:id="12" w:name="_Toc2141207099"/>
      <w:bookmarkStart w:id="13" w:name="_Toc15377206"/>
      <w:r>
        <w:rPr>
          <w:rFonts w:hint="eastAsia" w:ascii="Times New Roman" w:hAnsi="Times New Roman" w:eastAsia="黑体"/>
          <w:color w:val="auto"/>
          <w:sz w:val="32"/>
          <w:szCs w:val="32"/>
          <w:highlight w:val="none"/>
          <w:lang w:eastAsia="zh-CN"/>
        </w:rPr>
        <w:t>二、收入决算情况说明</w:t>
      </w:r>
      <w:bookmarkEnd w:id="11"/>
      <w:bookmarkEnd w:id="12"/>
      <w:bookmarkEnd w:id="13"/>
    </w:p>
    <w:p w14:paraId="0520AE98">
      <w:pPr>
        <w:ind w:firstLine="800" w:firstLineChars="250"/>
        <w:rPr>
          <w:rFonts w:hint="default" w:ascii="仿宋_GB2312" w:hAnsi="仿宋_GB2312" w:eastAsia="仿宋_GB2312" w:cs="仿宋_GB2312"/>
          <w:color w:val="auto"/>
          <w:sz w:val="32"/>
          <w:szCs w:val="32"/>
          <w:highlight w:val="none"/>
          <w:lang w:eastAsia="zh-CN"/>
        </w:rPr>
      </w:pPr>
      <w:r>
        <w:rPr>
          <w:rFonts w:hint="eastAsia" w:ascii="仿宋_GB2312" w:hAnsi="仿宋_GB2312" w:eastAsia="仿宋_GB2312" w:cs="仿宋_GB2312"/>
          <w:color w:val="auto"/>
          <w:sz w:val="32"/>
          <w:szCs w:val="32"/>
          <w:highlight w:val="none"/>
          <w:lang w:eastAsia="zh-CN"/>
        </w:rPr>
        <w:t>2024年度本年收入合计</w:t>
      </w:r>
      <w:r>
        <w:rPr>
          <w:rFonts w:hint="eastAsia" w:ascii="仿宋_GB2312" w:hAnsi="仿宋_GB2312" w:eastAsia="仿宋_GB2312" w:cs="仿宋_GB2312"/>
          <w:sz w:val="32"/>
          <w:szCs w:val="32"/>
        </w:rPr>
        <w:t>1388.49万元，其中：一般公共预算财政拨款收入1035.16</w:t>
      </w:r>
      <w:r>
        <w:rPr>
          <w:rFonts w:hint="eastAsia" w:ascii="仿宋_GB2312" w:hAnsi="仿宋_GB2312"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74.55</w:t>
      </w:r>
      <w:r>
        <w:rPr>
          <w:rFonts w:hint="eastAsia" w:ascii="仿宋_GB2312" w:hAnsi="仿宋_GB2312" w:eastAsia="仿宋_GB2312" w:cs="仿宋_GB2312"/>
          <w:color w:val="auto"/>
          <w:sz w:val="32"/>
          <w:szCs w:val="32"/>
          <w:highlight w:val="none"/>
          <w:lang w:eastAsia="zh-CN"/>
        </w:rPr>
        <w:t>%；政府性基金预算财政拨款收入</w:t>
      </w:r>
      <w:r>
        <w:rPr>
          <w:rFonts w:hint="eastAsia" w:ascii="仿宋_GB2312" w:hAnsi="仿宋_GB2312" w:eastAsia="仿宋_GB2312" w:cs="仿宋_GB2312"/>
          <w:sz w:val="32"/>
          <w:szCs w:val="32"/>
        </w:rPr>
        <w:t>353.33</w:t>
      </w:r>
      <w:r>
        <w:rPr>
          <w:rFonts w:hint="eastAsia" w:ascii="仿宋_GB2312" w:hAnsi="仿宋_GB2312"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25.44%</w:t>
      </w:r>
      <w:r>
        <w:rPr>
          <w:rFonts w:hint="default" w:ascii="仿宋_GB2312" w:hAnsi="仿宋_GB2312" w:eastAsia="仿宋_GB2312" w:cs="仿宋_GB2312"/>
          <w:color w:val="auto"/>
          <w:sz w:val="32"/>
          <w:szCs w:val="32"/>
          <w:highlight w:val="none"/>
          <w:lang w:eastAsia="zh-CN"/>
        </w:rPr>
        <w:t>。</w:t>
      </w:r>
    </w:p>
    <w:p w14:paraId="44E0E654">
      <w:pPr>
        <w:pStyle w:val="8"/>
        <w:rPr>
          <w:rFonts w:hint="eastAsia" w:ascii="Times New Roman" w:hAnsi="Times New Roman" w:eastAsia="仿宋_GB2312" w:cs="仿宋_GB2312"/>
          <w:color w:val="auto"/>
          <w:sz w:val="32"/>
          <w:szCs w:val="32"/>
          <w:highlight w:val="none"/>
          <w:lang w:eastAsia="zh-CN"/>
        </w:rPr>
      </w:pPr>
      <w:r>
        <w:rPr>
          <w:sz w:val="21"/>
        </w:rPr>
        <mc:AlternateContent>
          <mc:Choice Requires="wps">
            <w:drawing>
              <wp:anchor distT="0" distB="0" distL="114300" distR="114300" simplePos="0" relativeHeight="251660288" behindDoc="0" locked="0" layoutInCell="1" allowOverlap="1">
                <wp:simplePos x="0" y="0"/>
                <wp:positionH relativeFrom="column">
                  <wp:posOffset>3559175</wp:posOffset>
                </wp:positionH>
                <wp:positionV relativeFrom="paragraph">
                  <wp:posOffset>191135</wp:posOffset>
                </wp:positionV>
                <wp:extent cx="1003935" cy="307975"/>
                <wp:effectExtent l="4445" t="4445" r="20320" b="11430"/>
                <wp:wrapNone/>
                <wp:docPr id="6" name="文本框 6"/>
                <wp:cNvGraphicFramePr/>
                <a:graphic xmlns:a="http://schemas.openxmlformats.org/drawingml/2006/main">
                  <a:graphicData uri="http://schemas.microsoft.com/office/word/2010/wordprocessingShape">
                    <wps:wsp>
                      <wps:cNvSpPr txBox="1"/>
                      <wps:spPr>
                        <a:xfrm>
                          <a:off x="0" y="0"/>
                          <a:ext cx="1003935" cy="307975"/>
                        </a:xfrm>
                        <a:prstGeom prst="rect">
                          <a:avLst/>
                        </a:prstGeom>
                        <a:solidFill>
                          <a:schemeClr val="lt1"/>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14:paraId="3460F1BD">
                            <w:pPr>
                              <w:rPr>
                                <w:rFonts w:hint="default"/>
                              </w:rPr>
                            </w:pPr>
                            <w:r>
                              <w:t>单位：万元</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80.25pt;margin-top:15.05pt;height:24.25pt;width:79.05pt;z-index:251660288;mso-width-relative:page;mso-height-relative:page;" fillcolor="#FFFFFF [3201]" filled="t" stroked="t" coordsize="21600,21600" o:gfxdata="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">
                <v:fill on="t" focussize="0,0"/>
                <v:stroke weight="0.5pt" color="#000000 [3204]" joinstyle="round"/>
                <v:imagedata o:title=""/>
                <o:lock v:ext="edit" aspectratio="f"/>
                <v:textbox>
                  <w:txbxContent>
                    <w:p w14:paraId="3460F1BD">
                      <w:pPr>
                        <w:rPr>
                          <w:rFonts w:hint="default"/>
                        </w:rPr>
                      </w:pPr>
                      <w:r>
                        <w:t>单位：万元</w:t>
                      </w:r>
                    </w:p>
                  </w:txbxContent>
                </v:textbox>
              </v:shape>
            </w:pict>
          </mc:Fallback>
        </mc:AlternateContent>
      </w:r>
      <w:r>
        <w:drawing>
          <wp:inline distT="0" distB="0" distL="114300" distR="114300">
            <wp:extent cx="4256405" cy="2200910"/>
            <wp:effectExtent l="4445" t="4445" r="6350" b="23495"/>
            <wp:docPr id="1" name="图表 7"/>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14:paraId="56250124">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Style w:val="30"/>
          <w:rFonts w:hint="eastAsia" w:ascii="Times New Roman" w:hAnsi="Times New Roman" w:eastAsia="黑体"/>
          <w:b w:val="0"/>
          <w:color w:val="auto"/>
          <w:highlight w:val="none"/>
        </w:rPr>
      </w:pPr>
      <w:bookmarkStart w:id="14" w:name="_Toc15377207"/>
      <w:bookmarkStart w:id="15" w:name="_Toc1175799239"/>
      <w:bookmarkStart w:id="16" w:name="_Toc15396605"/>
      <w:r>
        <w:rPr>
          <w:rFonts w:hint="eastAsia" w:ascii="Times New Roman" w:hAnsi="Times New Roman" w:eastAsia="黑体"/>
          <w:color w:val="auto"/>
          <w:sz w:val="32"/>
          <w:szCs w:val="32"/>
          <w:highlight w:val="none"/>
          <w:lang w:eastAsia="zh-CN"/>
        </w:rPr>
        <w:t>三、</w:t>
      </w:r>
      <w:r>
        <w:rPr>
          <w:rFonts w:hint="eastAsia" w:ascii="Times New Roman" w:hAnsi="Times New Roman" w:eastAsia="黑体"/>
          <w:color w:val="auto"/>
          <w:sz w:val="32"/>
          <w:szCs w:val="32"/>
          <w:highlight w:val="none"/>
        </w:rPr>
        <w:t>支</w:t>
      </w:r>
      <w:r>
        <w:rPr>
          <w:rStyle w:val="30"/>
          <w:rFonts w:hint="eastAsia" w:ascii="Times New Roman" w:hAnsi="Times New Roman" w:eastAsia="黑体"/>
          <w:b w:val="0"/>
          <w:color w:val="auto"/>
          <w:highlight w:val="none"/>
        </w:rPr>
        <w:t>出决算情况说明</w:t>
      </w:r>
      <w:bookmarkEnd w:id="14"/>
      <w:bookmarkEnd w:id="15"/>
      <w:bookmarkEnd w:id="16"/>
    </w:p>
    <w:p w14:paraId="621AA613">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2024年度本年支出合计1388.49万元，其中：基本支出856.88万元，占61.71%；项目支出531.6万元，占38.28%。</w:t>
      </w:r>
    </w:p>
    <w:p w14:paraId="5E9624FA">
      <w:pPr>
        <w:rPr>
          <w:rFonts w:hint="eastAsia"/>
          <w:lang w:eastAsia="zh-CN"/>
        </w:rPr>
      </w:pPr>
    </w:p>
    <w:p w14:paraId="6457444C">
      <w:pPr>
        <w:ind w:firstLine="525" w:firstLineChars="250"/>
        <w:rPr>
          <w:rFonts w:hint="eastAsia" w:ascii="Times New Roman" w:hAnsi="Times New Roman" w:eastAsia="仿宋_GB2312" w:cs="仿宋_GB2312"/>
          <w:color w:val="auto"/>
          <w:sz w:val="32"/>
          <w:szCs w:val="32"/>
          <w:highlight w:val="none"/>
          <w:lang w:eastAsia="zh-CN"/>
        </w:rPr>
      </w:pPr>
      <w:r>
        <w:rPr>
          <w:sz w:val="21"/>
        </w:rPr>
        <mc:AlternateContent>
          <mc:Choice Requires="wps">
            <w:drawing>
              <wp:anchor distT="0" distB="0" distL="114300" distR="114300" simplePos="0" relativeHeight="251661312" behindDoc="0" locked="0" layoutInCell="1" allowOverlap="1">
                <wp:simplePos x="0" y="0"/>
                <wp:positionH relativeFrom="column">
                  <wp:posOffset>3713480</wp:posOffset>
                </wp:positionH>
                <wp:positionV relativeFrom="paragraph">
                  <wp:posOffset>262255</wp:posOffset>
                </wp:positionV>
                <wp:extent cx="1003935" cy="307975"/>
                <wp:effectExtent l="4445" t="4445" r="20320" b="11430"/>
                <wp:wrapNone/>
                <wp:docPr id="7" name="文本框 7"/>
                <wp:cNvGraphicFramePr/>
                <a:graphic xmlns:a="http://schemas.openxmlformats.org/drawingml/2006/main">
                  <a:graphicData uri="http://schemas.microsoft.com/office/word/2010/wordprocessingShape">
                    <wps:wsp>
                      <wps:cNvSpPr txBox="1"/>
                      <wps:spPr>
                        <a:xfrm>
                          <a:off x="0" y="0"/>
                          <a:ext cx="1003935" cy="307975"/>
                        </a:xfrm>
                        <a:prstGeom prst="rect">
                          <a:avLst/>
                        </a:prstGeom>
                        <a:solidFill>
                          <a:schemeClr val="lt1"/>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14:paraId="5463B17C">
                            <w:pPr>
                              <w:rPr>
                                <w:rFonts w:hint="default"/>
                              </w:rPr>
                            </w:pPr>
                            <w:r>
                              <w:t>单位：万元</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92.4pt;margin-top:20.65pt;height:24.25pt;width:79.05pt;z-index:251661312;mso-width-relative:page;mso-height-relative:page;" fillcolor="#FFFFFF [3201]" filled="t" stroked="t" coordsize="21600,21600" o:gfxdata="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">
                <v:fill on="t" focussize="0,0"/>
                <v:stroke weight="0.5pt" color="#000000 [3204]" joinstyle="round"/>
                <v:imagedata o:title=""/>
                <o:lock v:ext="edit" aspectratio="f"/>
                <v:textbox>
                  <w:txbxContent>
                    <w:p w14:paraId="5463B17C">
                      <w:pPr>
                        <w:rPr>
                          <w:rFonts w:hint="default"/>
                        </w:rPr>
                      </w:pPr>
                      <w:r>
                        <w:t>单位：万元</w:t>
                      </w:r>
                    </w:p>
                  </w:txbxContent>
                </v:textbox>
              </v:shape>
            </w:pict>
          </mc:Fallback>
        </mc:AlternateContent>
      </w:r>
      <w:r>
        <w:drawing>
          <wp:inline distT="0" distB="0" distL="114300" distR="114300">
            <wp:extent cx="4572000" cy="2743200"/>
            <wp:effectExtent l="4445" t="4445" r="14605" b="14605"/>
            <wp:docPr id="3" name="图表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14:paraId="673C9A1F">
      <w:pPr>
        <w:spacing w:line="600" w:lineRule="exact"/>
        <w:ind w:firstLine="640" w:firstLineChars="200"/>
        <w:outlineLvl w:val="1"/>
        <w:rPr>
          <w:rStyle w:val="30"/>
          <w:rFonts w:ascii="Times New Roman" w:hAnsi="Times New Roman" w:eastAsia="黑体"/>
          <w:b w:val="0"/>
          <w:color w:val="auto"/>
          <w:highlight w:val="none"/>
        </w:rPr>
      </w:pPr>
      <w:bookmarkStart w:id="17" w:name="_Toc15377208"/>
      <w:bookmarkStart w:id="18" w:name="_Toc1868841215"/>
      <w:bookmarkStart w:id="19" w:name="_Toc15396606"/>
      <w:r>
        <w:rPr>
          <w:rFonts w:hint="eastAsia" w:ascii="Times New Roman" w:hAnsi="Times New Roman" w:eastAsia="黑体"/>
          <w:color w:val="auto"/>
          <w:sz w:val="32"/>
          <w:szCs w:val="32"/>
          <w:highlight w:val="none"/>
        </w:rPr>
        <w:t>四、财</w:t>
      </w:r>
      <w:r>
        <w:rPr>
          <w:rStyle w:val="30"/>
          <w:rFonts w:hint="eastAsia" w:ascii="Times New Roman" w:hAnsi="Times New Roman" w:eastAsia="黑体"/>
          <w:b w:val="0"/>
          <w:color w:val="auto"/>
          <w:highlight w:val="none"/>
        </w:rPr>
        <w:t>政拨款收入支出决算总体情况说明</w:t>
      </w:r>
      <w:bookmarkEnd w:id="17"/>
      <w:bookmarkEnd w:id="18"/>
      <w:bookmarkEnd w:id="19"/>
    </w:p>
    <w:p w14:paraId="7B84CCF5">
      <w:pPr>
        <w:spacing w:line="600" w:lineRule="exact"/>
        <w:ind w:firstLine="640"/>
        <w:rPr>
          <w:rFonts w:hint="default" w:eastAsia="仿宋_GB2312" w:cs="仿宋_GB2312"/>
          <w:color w:val="auto"/>
          <w:sz w:val="32"/>
          <w:szCs w:val="32"/>
          <w:highlight w:val="none"/>
        </w:rPr>
      </w:pPr>
      <w:r>
        <w:rPr>
          <w:rFonts w:hint="eastAsia" w:ascii="Times New Roman" w:hAnsi="Times New Roman" w:eastAsia="仿宋_GB2312" w:cs="仿宋_GB2312"/>
          <w:color w:val="auto"/>
          <w:kern w:val="2"/>
          <w:sz w:val="32"/>
          <w:szCs w:val="32"/>
          <w:highlight w:val="none"/>
          <w:lang w:val="en-US" w:eastAsia="zh-CN" w:bidi="ar-SA"/>
        </w:rPr>
        <w:t>2024年度财政拨款收入、支出总计均为</w:t>
      </w:r>
      <w:r>
        <w:rPr>
          <w:rFonts w:hint="eastAsia" w:ascii="仿宋_GB2312" w:hAnsi="仿宋_GB2312" w:eastAsia="仿宋_GB2312" w:cs="仿宋_GB2312"/>
          <w:sz w:val="32"/>
          <w:szCs w:val="32"/>
        </w:rPr>
        <w:t>1388.49</w:t>
      </w:r>
      <w:r>
        <w:rPr>
          <w:rFonts w:hint="eastAsia" w:ascii="Times New Roman" w:hAnsi="Times New Roman" w:eastAsia="仿宋_GB2312" w:cs="仿宋_GB2312"/>
          <w:color w:val="auto"/>
          <w:kern w:val="2"/>
          <w:sz w:val="32"/>
          <w:szCs w:val="32"/>
          <w:highlight w:val="none"/>
          <w:lang w:val="en-US" w:eastAsia="zh-CN" w:bidi="ar-SA"/>
        </w:rPr>
        <w:t>万元。与2023年度相比，财政拨款收入总计、支出总计各增加</w:t>
      </w:r>
      <w:r>
        <w:rPr>
          <w:rFonts w:hint="default" w:eastAsia="仿宋_GB2312" w:cs="仿宋_GB2312"/>
          <w:color w:val="auto"/>
          <w:kern w:val="2"/>
          <w:sz w:val="32"/>
          <w:szCs w:val="32"/>
          <w:highlight w:val="none"/>
          <w:lang w:eastAsia="zh-CN" w:bidi="ar-SA"/>
        </w:rPr>
        <w:t>83.24</w:t>
      </w:r>
      <w:r>
        <w:rPr>
          <w:rFonts w:hint="eastAsia" w:ascii="Times New Roman" w:hAnsi="Times New Roman" w:eastAsia="仿宋_GB2312" w:cs="仿宋_GB2312"/>
          <w:color w:val="auto"/>
          <w:kern w:val="2"/>
          <w:sz w:val="32"/>
          <w:szCs w:val="32"/>
          <w:highlight w:val="none"/>
          <w:lang w:val="en-US" w:eastAsia="zh-CN" w:bidi="ar-SA"/>
        </w:rPr>
        <w:t>万元，增长</w:t>
      </w:r>
      <w:r>
        <w:rPr>
          <w:rFonts w:hint="default" w:eastAsia="仿宋_GB2312" w:cs="仿宋_GB2312"/>
          <w:color w:val="auto"/>
          <w:kern w:val="2"/>
          <w:sz w:val="32"/>
          <w:szCs w:val="32"/>
          <w:highlight w:val="none"/>
          <w:lang w:eastAsia="zh-CN" w:bidi="ar-SA"/>
        </w:rPr>
        <w:t>6.38</w:t>
      </w:r>
      <w:r>
        <w:rPr>
          <w:rFonts w:hint="eastAsia" w:ascii="Times New Roman" w:hAnsi="Times New Roman" w:eastAsia="仿宋_GB2312" w:cs="仿宋_GB2312"/>
          <w:color w:val="auto"/>
          <w:kern w:val="2"/>
          <w:sz w:val="32"/>
          <w:szCs w:val="32"/>
          <w:highlight w:val="none"/>
          <w:lang w:val="en-US" w:eastAsia="zh-CN" w:bidi="ar-SA"/>
        </w:rPr>
        <w:t>%。主要变动原因是</w:t>
      </w:r>
      <w:r>
        <w:rPr>
          <w:rFonts w:hint="default" w:eastAsia="仿宋_GB2312" w:cs="仿宋_GB2312"/>
          <w:color w:val="auto"/>
          <w:sz w:val="32"/>
          <w:szCs w:val="32"/>
          <w:highlight w:val="none"/>
        </w:rPr>
        <w:t>2024年相对于2023年项目增加较多。</w:t>
      </w:r>
    </w:p>
    <w:p w14:paraId="7B9CB6B1">
      <w:pPr>
        <w:pStyle w:val="8"/>
        <w:rPr>
          <w:rFonts w:hint="eastAsia"/>
          <w:lang w:val="en-US" w:eastAsia="zh-CN"/>
        </w:rPr>
      </w:pPr>
    </w:p>
    <w:p w14:paraId="1A61C5D6">
      <w:pPr>
        <w:spacing w:line="600" w:lineRule="exact"/>
        <w:ind w:firstLine="420" w:firstLineChars="200"/>
        <w:outlineLvl w:val="1"/>
        <w:rPr>
          <w:rStyle w:val="30"/>
          <w:rFonts w:ascii="Times New Roman" w:hAnsi="Times New Roman" w:eastAsia="黑体"/>
          <w:b w:val="0"/>
          <w:color w:val="auto"/>
          <w:highlight w:val="none"/>
        </w:rPr>
      </w:pPr>
      <w:bookmarkStart w:id="20" w:name="_Toc15377209"/>
      <w:bookmarkStart w:id="21" w:name="_Toc15396607"/>
      <w:bookmarkStart w:id="22" w:name="_Toc1731920470"/>
      <w:r>
        <w:rPr>
          <w:sz w:val="21"/>
        </w:rPr>
        <mc:AlternateContent>
          <mc:Choice Requires="wps">
            <w:drawing>
              <wp:anchor distT="0" distB="0" distL="114300" distR="114300" simplePos="0" relativeHeight="251669504" behindDoc="0" locked="0" layoutInCell="1" allowOverlap="1">
                <wp:simplePos x="0" y="0"/>
                <wp:positionH relativeFrom="column">
                  <wp:posOffset>4256405</wp:posOffset>
                </wp:positionH>
                <wp:positionV relativeFrom="paragraph">
                  <wp:posOffset>-422275</wp:posOffset>
                </wp:positionV>
                <wp:extent cx="819150" cy="276225"/>
                <wp:effectExtent l="4445" t="4445" r="14605" b="5080"/>
                <wp:wrapNone/>
                <wp:docPr id="4" name="文本框 4"/>
                <wp:cNvGraphicFramePr/>
                <a:graphic xmlns:a="http://schemas.openxmlformats.org/drawingml/2006/main">
                  <a:graphicData uri="http://schemas.microsoft.com/office/word/2010/wordprocessingShape">
                    <wps:wsp>
                      <wps:cNvSpPr txBox="1"/>
                      <wps:spPr>
                        <a:xfrm>
                          <a:off x="5399405" y="492125"/>
                          <a:ext cx="819150" cy="276225"/>
                        </a:xfrm>
                        <a:prstGeom prst="rect">
                          <a:avLst/>
                        </a:prstGeom>
                        <a:solidFill>
                          <a:schemeClr val="lt1"/>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14:paraId="608C267F">
                            <w:pPr>
                              <w:rPr>
                                <w:rFonts w:hint="default"/>
                              </w:rPr>
                            </w:pPr>
                            <w:r>
                              <w:t>单位：万元</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335.15pt;margin-top:-33.25pt;height:21.75pt;width:64.5pt;z-index:251669504;mso-width-relative:page;mso-height-relative:page;" fillcolor="#FFFFFF [3201]" filled="t" stroked="t" coordsize="21600,21600" o:gfxdata="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">
                <v:fill on="t" focussize="0,0"/>
                <v:stroke weight="0.5pt" color="#000000 [3204]" joinstyle="round"/>
                <v:imagedata o:title=""/>
                <o:lock v:ext="edit" aspectratio="f"/>
                <v:textbox>
                  <w:txbxContent>
                    <w:p w14:paraId="608C267F">
                      <w:pPr>
                        <w:rPr>
                          <w:rFonts w:hint="default"/>
                        </w:rPr>
                      </w:pPr>
                      <w:r>
                        <w:t>单位：万元</w:t>
                      </w:r>
                    </w:p>
                  </w:txbxContent>
                </v:textbox>
              </v:shape>
            </w:pict>
          </mc:Fallback>
        </mc:AlternateContent>
      </w:r>
      <w:r>
        <w:drawing>
          <wp:anchor distT="0" distB="0" distL="114300" distR="114300" simplePos="0" relativeHeight="251668480" behindDoc="0" locked="0" layoutInCell="1" allowOverlap="1">
            <wp:simplePos x="0" y="0"/>
            <wp:positionH relativeFrom="column">
              <wp:posOffset>537845</wp:posOffset>
            </wp:positionH>
            <wp:positionV relativeFrom="paragraph">
              <wp:posOffset>-538480</wp:posOffset>
            </wp:positionV>
            <wp:extent cx="4545330" cy="2077720"/>
            <wp:effectExtent l="5080" t="4445" r="21590" b="13335"/>
            <wp:wrapTopAndBottom/>
            <wp:docPr id="1029" name="图表 9"/>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anchor>
        </w:drawing>
      </w:r>
      <w:r>
        <w:rPr>
          <w:rFonts w:hint="eastAsia" w:ascii="Times New Roman" w:hAnsi="Times New Roman" w:eastAsia="黑体"/>
          <w:color w:val="auto"/>
          <w:sz w:val="32"/>
          <w:szCs w:val="32"/>
          <w:highlight w:val="none"/>
        </w:rPr>
        <w:t>五、</w:t>
      </w:r>
      <w:r>
        <w:rPr>
          <w:rFonts w:hint="eastAsia" w:ascii="Times New Roman" w:hAnsi="Times New Roman" w:eastAsia="黑体"/>
          <w:b/>
          <w:color w:val="auto"/>
          <w:sz w:val="32"/>
          <w:szCs w:val="32"/>
          <w:highlight w:val="none"/>
        </w:rPr>
        <w:t>一</w:t>
      </w:r>
      <w:r>
        <w:rPr>
          <w:rStyle w:val="30"/>
          <w:rFonts w:hint="eastAsia" w:ascii="Times New Roman" w:hAnsi="Times New Roman" w:eastAsia="黑体"/>
          <w:b w:val="0"/>
          <w:color w:val="auto"/>
          <w:highlight w:val="none"/>
        </w:rPr>
        <w:t>般公共预算财政拨款支出决算情况说明</w:t>
      </w:r>
      <w:bookmarkEnd w:id="20"/>
      <w:bookmarkEnd w:id="21"/>
      <w:bookmarkEnd w:id="22"/>
    </w:p>
    <w:p w14:paraId="7113E487">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23" w:name="_Toc15377210"/>
      <w:bookmarkStart w:id="24" w:name="_Toc1825063763"/>
      <w:r>
        <w:rPr>
          <w:rFonts w:hint="eastAsia" w:ascii="Times New Roman" w:hAnsi="Times New Roman" w:eastAsia="楷体_GB2312" w:cs="楷体_GB2312"/>
          <w:b/>
          <w:color w:val="auto"/>
          <w:sz w:val="32"/>
          <w:szCs w:val="32"/>
          <w:highlight w:val="none"/>
        </w:rPr>
        <w:t>（一）一般公共预算财政拨款支出决算总体情况</w:t>
      </w:r>
      <w:bookmarkEnd w:id="23"/>
      <w:bookmarkEnd w:id="24"/>
    </w:p>
    <w:p w14:paraId="2F7A8241">
      <w:pPr>
        <w:spacing w:line="600" w:lineRule="exact"/>
        <w:ind w:firstLine="640"/>
        <w:rPr>
          <w:rFonts w:hint="default" w:ascii="Times New Roman" w:hAnsi="Times New Roman" w:eastAsia="仿宋_GB2312" w:cs="仿宋_GB2312"/>
          <w:color w:val="auto"/>
          <w:sz w:val="32"/>
          <w:szCs w:val="32"/>
          <w:highlight w:val="none"/>
          <w:lang w:eastAsia="zh-CN"/>
        </w:rPr>
      </w:pPr>
      <w:r>
        <w:drawing>
          <wp:anchor distT="0" distB="0" distL="114300" distR="114300" simplePos="0" relativeHeight="251663360" behindDoc="0" locked="0" layoutInCell="1" allowOverlap="1">
            <wp:simplePos x="0" y="0"/>
            <wp:positionH relativeFrom="column">
              <wp:posOffset>314960</wp:posOffset>
            </wp:positionH>
            <wp:positionV relativeFrom="paragraph">
              <wp:posOffset>1657985</wp:posOffset>
            </wp:positionV>
            <wp:extent cx="4942205" cy="1995805"/>
            <wp:effectExtent l="4445" t="4445" r="6350" b="19050"/>
            <wp:wrapTopAndBottom/>
            <wp:docPr id="10" name="图表 9"/>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anchor>
        </w:drawing>
      </w:r>
      <w:r>
        <w:rPr>
          <w:rFonts w:hint="eastAsia" w:ascii="仿宋_GB2312" w:hAnsi="仿宋_GB2312" w:eastAsia="仿宋_GB2312" w:cs="仿宋_GB2312"/>
          <w:color w:val="auto"/>
          <w:kern w:val="2"/>
          <w:sz w:val="32"/>
          <w:szCs w:val="32"/>
          <w:highlight w:val="none"/>
          <w:lang w:val="en-US" w:eastAsia="zh-CN" w:bidi="ar-SA"/>
        </w:rPr>
        <w:t>2024年度一般公共预算财政拨款支出</w:t>
      </w:r>
      <w:r>
        <w:rPr>
          <w:rFonts w:hint="eastAsia" w:ascii="仿宋_GB2312" w:hAnsi="仿宋_GB2312" w:eastAsia="仿宋_GB2312" w:cs="仿宋_GB2312"/>
          <w:sz w:val="32"/>
          <w:szCs w:val="32"/>
        </w:rPr>
        <w:t>1035.16</w:t>
      </w:r>
      <w:r>
        <w:rPr>
          <w:rFonts w:hint="eastAsia" w:ascii="仿宋_GB2312" w:hAnsi="仿宋_GB2312" w:eastAsia="仿宋_GB2312" w:cs="仿宋_GB2312"/>
          <w:color w:val="auto"/>
          <w:kern w:val="2"/>
          <w:sz w:val="32"/>
          <w:szCs w:val="32"/>
          <w:highlight w:val="none"/>
          <w:lang w:val="en-US" w:eastAsia="zh-CN" w:bidi="ar-SA"/>
        </w:rPr>
        <w:t>万元，占本年支出合计的</w:t>
      </w:r>
      <w:r>
        <w:rPr>
          <w:rFonts w:hint="eastAsia" w:ascii="仿宋_GB2312" w:hAnsi="仿宋_GB2312" w:eastAsia="仿宋_GB2312" w:cs="仿宋_GB2312"/>
          <w:sz w:val="32"/>
          <w:szCs w:val="32"/>
        </w:rPr>
        <w:t>74.55</w:t>
      </w:r>
      <w:r>
        <w:rPr>
          <w:rFonts w:hint="eastAsia" w:ascii="仿宋_GB2312" w:hAnsi="仿宋_GB2312" w:eastAsia="仿宋_GB2312" w:cs="仿宋_GB2312"/>
          <w:color w:val="auto"/>
          <w:kern w:val="2"/>
          <w:sz w:val="32"/>
          <w:szCs w:val="32"/>
          <w:highlight w:val="none"/>
          <w:lang w:val="en-US" w:eastAsia="zh-CN" w:bidi="ar-SA"/>
        </w:rPr>
        <w:t>%。与2023年度相比，一般公共预算财政拨款支出减少</w:t>
      </w:r>
      <w:r>
        <w:rPr>
          <w:rFonts w:hint="default" w:ascii="仿宋_GB2312" w:hAnsi="仿宋_GB2312" w:eastAsia="仿宋_GB2312" w:cs="仿宋_GB2312"/>
          <w:color w:val="auto"/>
          <w:kern w:val="2"/>
          <w:sz w:val="32"/>
          <w:szCs w:val="32"/>
          <w:highlight w:val="none"/>
          <w:lang w:eastAsia="zh-CN" w:bidi="ar-SA"/>
        </w:rPr>
        <w:t>215.11</w:t>
      </w:r>
      <w:r>
        <w:rPr>
          <w:rFonts w:hint="eastAsia" w:ascii="仿宋_GB2312" w:hAnsi="仿宋_GB2312" w:eastAsia="仿宋_GB2312" w:cs="仿宋_GB2312"/>
          <w:color w:val="auto"/>
          <w:kern w:val="2"/>
          <w:sz w:val="32"/>
          <w:szCs w:val="32"/>
          <w:highlight w:val="none"/>
          <w:lang w:val="en-US" w:eastAsia="zh-CN" w:bidi="ar-SA"/>
        </w:rPr>
        <w:t>万元，增长/下降</w:t>
      </w:r>
      <w:r>
        <w:rPr>
          <w:rFonts w:hint="default" w:ascii="仿宋_GB2312" w:hAnsi="仿宋_GB2312" w:eastAsia="仿宋_GB2312" w:cs="仿宋_GB2312"/>
          <w:color w:val="auto"/>
          <w:kern w:val="2"/>
          <w:sz w:val="32"/>
          <w:szCs w:val="32"/>
          <w:highlight w:val="none"/>
          <w:lang w:eastAsia="zh-CN" w:bidi="ar-SA"/>
        </w:rPr>
        <w:t>17.21</w:t>
      </w:r>
      <w:r>
        <w:rPr>
          <w:rFonts w:hint="eastAsia" w:ascii="仿宋_GB2312" w:hAnsi="仿宋_GB2312" w:eastAsia="仿宋_GB2312" w:cs="仿宋_GB2312"/>
          <w:color w:val="auto"/>
          <w:kern w:val="2"/>
          <w:sz w:val="32"/>
          <w:szCs w:val="32"/>
          <w:highlight w:val="none"/>
          <w:lang w:val="en-US" w:eastAsia="zh-CN" w:bidi="ar-SA"/>
        </w:rPr>
        <w:t>%。主要变动原因是</w:t>
      </w:r>
      <w:r>
        <w:rPr>
          <w:rFonts w:hint="default" w:eastAsia="仿宋_GB2312" w:cs="仿宋_GB2312"/>
          <w:color w:val="auto"/>
          <w:sz w:val="32"/>
          <w:szCs w:val="32"/>
          <w:highlight w:val="none"/>
          <w:lang w:eastAsia="zh-CN"/>
        </w:rPr>
        <w:t>厉行节约，压减开支，减少预算支出。</w:t>
      </w:r>
    </w:p>
    <w:p w14:paraId="0BA038B3">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sz w:val="21"/>
        </w:rPr>
        <mc:AlternateContent>
          <mc:Choice Requires="wps">
            <w:drawing>
              <wp:anchor distT="0" distB="0" distL="114300" distR="114300" simplePos="0" relativeHeight="251664384" behindDoc="0" locked="0" layoutInCell="1" allowOverlap="1">
                <wp:simplePos x="0" y="0"/>
                <wp:positionH relativeFrom="column">
                  <wp:posOffset>4297680</wp:posOffset>
                </wp:positionH>
                <wp:positionV relativeFrom="paragraph">
                  <wp:posOffset>227330</wp:posOffset>
                </wp:positionV>
                <wp:extent cx="937895" cy="257175"/>
                <wp:effectExtent l="4445" t="4445" r="10160" b="5080"/>
                <wp:wrapNone/>
                <wp:docPr id="12" name="文本框 12"/>
                <wp:cNvGraphicFramePr/>
                <a:graphic xmlns:a="http://schemas.openxmlformats.org/drawingml/2006/main">
                  <a:graphicData uri="http://schemas.microsoft.com/office/word/2010/wordprocessingShape">
                    <wps:wsp>
                      <wps:cNvSpPr txBox="1"/>
                      <wps:spPr>
                        <a:xfrm>
                          <a:off x="0" y="0"/>
                          <a:ext cx="937895" cy="257175"/>
                        </a:xfrm>
                        <a:prstGeom prst="rect">
                          <a:avLst/>
                        </a:prstGeom>
                        <a:solidFill>
                          <a:schemeClr val="lt1"/>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14:paraId="7FCAD14B">
                            <w:pPr>
                              <w:rPr>
                                <w:rFonts w:hint="default"/>
                              </w:rPr>
                            </w:pPr>
                            <w:r>
                              <w:t>单位：万元</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338.4pt;margin-top:17.9pt;height:20.25pt;width:73.85pt;z-index:251664384;mso-width-relative:page;mso-height-relative:page;" fillcolor="#FFFFFF [3201]" filled="t" stroked="t" coordsize="21600,21600" o:gfxdata="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">
                <v:fill on="t" focussize="0,0"/>
                <v:stroke weight="0.5pt" color="#000000 [3204]" joinstyle="round"/>
                <v:imagedata o:title=""/>
                <o:lock v:ext="edit" aspectratio="f"/>
                <v:textbox>
                  <w:txbxContent>
                    <w:p w14:paraId="7FCAD14B">
                      <w:pPr>
                        <w:rPr>
                          <w:rFonts w:hint="default"/>
                        </w:rPr>
                      </w:pPr>
                      <w:r>
                        <w:t>单位：万元</w:t>
                      </w:r>
                    </w:p>
                  </w:txbxContent>
                </v:textbox>
              </v:shape>
            </w:pict>
          </mc:Fallback>
        </mc:AlternateContent>
      </w:r>
    </w:p>
    <w:p w14:paraId="57AC1A62">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25" w:name="_Toc1404250359"/>
      <w:r>
        <w:rPr>
          <w:rFonts w:hint="eastAsia" w:ascii="Times New Roman" w:hAnsi="Times New Roman" w:eastAsia="楷体_GB2312" w:cs="楷体_GB2312"/>
          <w:b/>
          <w:color w:val="auto"/>
          <w:sz w:val="32"/>
          <w:szCs w:val="32"/>
          <w:highlight w:val="none"/>
        </w:rPr>
        <w:t>（二）一般公共预算财政拨款支出决算结构情况</w:t>
      </w:r>
      <w:bookmarkEnd w:id="25"/>
    </w:p>
    <w:p w14:paraId="40320336">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2024年度一般公共预算财政拨款支出</w:t>
      </w:r>
      <w:r>
        <w:rPr>
          <w:rFonts w:hint="eastAsia" w:ascii="仿宋_GB2312" w:hAnsi="仿宋_GB2312" w:eastAsia="仿宋_GB2312" w:cs="仿宋_GB2312"/>
          <w:sz w:val="32"/>
          <w:szCs w:val="32"/>
          <w:highlight w:val="none"/>
        </w:rPr>
        <w:t>1035.16</w:t>
      </w:r>
      <w:r>
        <w:rPr>
          <w:rFonts w:hint="eastAsia" w:ascii="仿宋_GB2312" w:hAnsi="仿宋_GB2312" w:eastAsia="仿宋_GB2312" w:cs="仿宋_GB2312"/>
          <w:color w:val="auto"/>
          <w:kern w:val="2"/>
          <w:sz w:val="32"/>
          <w:szCs w:val="32"/>
          <w:highlight w:val="none"/>
          <w:lang w:val="en-US" w:eastAsia="zh-CN" w:bidi="ar-SA"/>
        </w:rPr>
        <w:t>万元</w:t>
      </w:r>
      <w:r>
        <w:rPr>
          <w:rFonts w:hint="eastAsia" w:ascii="Times New Roman" w:hAnsi="Times New Roman" w:eastAsia="仿宋_GB2312" w:cs="仿宋_GB2312"/>
          <w:color w:val="auto"/>
          <w:kern w:val="2"/>
          <w:sz w:val="32"/>
          <w:szCs w:val="32"/>
          <w:highlight w:val="none"/>
          <w:lang w:val="en-US" w:eastAsia="zh-CN" w:bidi="ar-SA"/>
        </w:rPr>
        <w:t>，主要用于以下方面</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社会保障和就业支出</w:t>
      </w:r>
      <w:r>
        <w:rPr>
          <w:rFonts w:hint="default" w:eastAsia="仿宋_GB2312" w:cs="仿宋_GB2312"/>
          <w:color w:val="auto"/>
          <w:kern w:val="2"/>
          <w:sz w:val="32"/>
          <w:szCs w:val="32"/>
          <w:highlight w:val="none"/>
          <w:lang w:eastAsia="zh-CN" w:bidi="ar-SA"/>
        </w:rPr>
        <w:t>938.46</w:t>
      </w:r>
      <w:r>
        <w:rPr>
          <w:rFonts w:hint="eastAsia" w:ascii="Times New Roman" w:hAnsi="Times New Roman" w:eastAsia="仿宋_GB2312" w:cs="仿宋_GB2312"/>
          <w:color w:val="auto"/>
          <w:kern w:val="2"/>
          <w:sz w:val="32"/>
          <w:szCs w:val="32"/>
          <w:highlight w:val="none"/>
          <w:lang w:val="en-US" w:eastAsia="zh-CN" w:bidi="ar-SA"/>
        </w:rPr>
        <w:t>万元，占</w:t>
      </w:r>
      <w:r>
        <w:rPr>
          <w:rFonts w:hint="default" w:eastAsia="仿宋_GB2312" w:cs="仿宋_GB2312"/>
          <w:color w:val="auto"/>
          <w:kern w:val="2"/>
          <w:sz w:val="32"/>
          <w:szCs w:val="32"/>
          <w:highlight w:val="none"/>
          <w:lang w:eastAsia="zh-CN" w:bidi="ar-SA"/>
        </w:rPr>
        <w:t>90.66</w:t>
      </w:r>
      <w:r>
        <w:rPr>
          <w:rFonts w:hint="eastAsia" w:ascii="Times New Roman" w:hAnsi="Times New Roman" w:eastAsia="仿宋_GB2312" w:cs="仿宋_GB2312"/>
          <w:color w:val="auto"/>
          <w:kern w:val="2"/>
          <w:sz w:val="32"/>
          <w:szCs w:val="32"/>
          <w:highlight w:val="none"/>
          <w:lang w:val="en-US" w:eastAsia="zh-CN" w:bidi="ar-SA"/>
        </w:rPr>
        <w:t>%；卫生健康支出</w:t>
      </w:r>
      <w:r>
        <w:rPr>
          <w:rFonts w:hint="default" w:eastAsia="仿宋_GB2312" w:cs="仿宋_GB2312"/>
          <w:color w:val="auto"/>
          <w:kern w:val="2"/>
          <w:sz w:val="32"/>
          <w:szCs w:val="32"/>
          <w:highlight w:val="none"/>
          <w:lang w:eastAsia="zh-CN" w:bidi="ar-SA"/>
        </w:rPr>
        <w:t>49.53</w:t>
      </w:r>
      <w:r>
        <w:rPr>
          <w:rFonts w:hint="eastAsia" w:ascii="Times New Roman" w:hAnsi="Times New Roman" w:eastAsia="仿宋_GB2312" w:cs="仿宋_GB2312"/>
          <w:color w:val="auto"/>
          <w:kern w:val="2"/>
          <w:sz w:val="32"/>
          <w:szCs w:val="32"/>
          <w:highlight w:val="none"/>
          <w:lang w:val="en-US" w:eastAsia="zh-CN" w:bidi="ar-SA"/>
        </w:rPr>
        <w:t>万元，占</w:t>
      </w:r>
      <w:r>
        <w:rPr>
          <w:rFonts w:hint="default" w:eastAsia="仿宋_GB2312" w:cs="仿宋_GB2312"/>
          <w:color w:val="auto"/>
          <w:kern w:val="2"/>
          <w:sz w:val="32"/>
          <w:szCs w:val="32"/>
          <w:highlight w:val="none"/>
          <w:lang w:eastAsia="zh-CN" w:bidi="ar-SA"/>
        </w:rPr>
        <w:t>4.78</w:t>
      </w:r>
      <w:r>
        <w:rPr>
          <w:rFonts w:hint="eastAsia" w:ascii="Times New Roman" w:hAnsi="Times New Roman" w:eastAsia="仿宋_GB2312" w:cs="仿宋_GB2312"/>
          <w:color w:val="auto"/>
          <w:kern w:val="2"/>
          <w:sz w:val="32"/>
          <w:szCs w:val="32"/>
          <w:highlight w:val="none"/>
          <w:lang w:val="en-US" w:eastAsia="zh-CN" w:bidi="ar-SA"/>
        </w:rPr>
        <w:t>%；住房保障支出</w:t>
      </w:r>
      <w:r>
        <w:rPr>
          <w:rFonts w:hint="default" w:eastAsia="仿宋_GB2312" w:cs="仿宋_GB2312"/>
          <w:color w:val="auto"/>
          <w:kern w:val="2"/>
          <w:sz w:val="32"/>
          <w:szCs w:val="32"/>
          <w:highlight w:val="none"/>
          <w:lang w:eastAsia="zh-CN" w:bidi="ar-SA"/>
        </w:rPr>
        <w:t>45.79</w:t>
      </w:r>
      <w:r>
        <w:rPr>
          <w:rFonts w:hint="eastAsia" w:ascii="Times New Roman" w:hAnsi="Times New Roman" w:eastAsia="仿宋_GB2312" w:cs="仿宋_GB2312"/>
          <w:color w:val="auto"/>
          <w:kern w:val="2"/>
          <w:sz w:val="32"/>
          <w:szCs w:val="32"/>
          <w:highlight w:val="none"/>
          <w:lang w:val="en-US" w:eastAsia="zh-CN" w:bidi="ar-SA"/>
        </w:rPr>
        <w:t>万元，占</w:t>
      </w:r>
      <w:r>
        <w:rPr>
          <w:rFonts w:hint="default" w:eastAsia="仿宋_GB2312" w:cs="仿宋_GB2312"/>
          <w:color w:val="auto"/>
          <w:kern w:val="2"/>
          <w:sz w:val="32"/>
          <w:szCs w:val="32"/>
          <w:highlight w:val="none"/>
          <w:lang w:eastAsia="zh-CN" w:bidi="ar-SA"/>
        </w:rPr>
        <w:t>4.56</w:t>
      </w:r>
      <w:r>
        <w:rPr>
          <w:rFonts w:hint="eastAsia" w:ascii="Times New Roman" w:hAnsi="Times New Roman" w:eastAsia="仿宋_GB2312" w:cs="仿宋_GB2312"/>
          <w:color w:val="auto"/>
          <w:kern w:val="2"/>
          <w:sz w:val="32"/>
          <w:szCs w:val="32"/>
          <w:highlight w:val="none"/>
          <w:lang w:val="en-US" w:eastAsia="zh-CN" w:bidi="ar-SA"/>
        </w:rPr>
        <w:t>%</w:t>
      </w:r>
      <w:r>
        <w:rPr>
          <w:rFonts w:hint="default" w:eastAsia="仿宋_GB2312" w:cs="仿宋_GB2312"/>
          <w:color w:val="auto"/>
          <w:kern w:val="2"/>
          <w:sz w:val="32"/>
          <w:szCs w:val="32"/>
          <w:highlight w:val="none"/>
          <w:lang w:eastAsia="zh-CN" w:bidi="ar-SA"/>
        </w:rPr>
        <w:t>。</w:t>
      </w:r>
    </w:p>
    <w:p w14:paraId="464FA58F">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14:paraId="682E8E5D">
      <w:pPr>
        <w:rPr>
          <w:rFonts w:hint="eastAsia"/>
        </w:rPr>
      </w:pPr>
      <w:bookmarkStart w:id="26" w:name="_Toc15377211"/>
      <w:r>
        <w:rPr>
          <w:sz w:val="21"/>
        </w:rPr>
        <mc:AlternateContent>
          <mc:Choice Requires="wps">
            <w:drawing>
              <wp:anchor distT="0" distB="0" distL="114300" distR="114300" simplePos="0" relativeHeight="251667456" behindDoc="0" locked="0" layoutInCell="1" allowOverlap="1">
                <wp:simplePos x="0" y="0"/>
                <wp:positionH relativeFrom="column">
                  <wp:posOffset>4142105</wp:posOffset>
                </wp:positionH>
                <wp:positionV relativeFrom="paragraph">
                  <wp:posOffset>346710</wp:posOffset>
                </wp:positionV>
                <wp:extent cx="942975" cy="314325"/>
                <wp:effectExtent l="4445" t="5080" r="5080" b="4445"/>
                <wp:wrapNone/>
                <wp:docPr id="2" name="文本框 2"/>
                <wp:cNvGraphicFramePr/>
                <a:graphic xmlns:a="http://schemas.openxmlformats.org/drawingml/2006/main">
                  <a:graphicData uri="http://schemas.microsoft.com/office/word/2010/wordprocessingShape">
                    <wps:wsp>
                      <wps:cNvSpPr txBox="1"/>
                      <wps:spPr>
                        <a:xfrm>
                          <a:off x="4780280" y="1235075"/>
                          <a:ext cx="942975" cy="314325"/>
                        </a:xfrm>
                        <a:prstGeom prst="rect">
                          <a:avLst/>
                        </a:prstGeom>
                        <a:solidFill>
                          <a:schemeClr val="lt1"/>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14:paraId="04734D1D">
                            <w:pPr>
                              <w:rPr>
                                <w:rFonts w:hint="default"/>
                              </w:rPr>
                            </w:pPr>
                            <w:r>
                              <w:t>单位：万元</w:t>
                            </w:r>
                          </w:p>
                          <w:p w14:paraId="3581824D"/>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326.15pt;margin-top:27.3pt;height:24.75pt;width:74.25pt;z-index:251667456;mso-width-relative:page;mso-height-relative:page;" fillcolor="#FFFFFF [3201]" filled="t" stroked="t" coordsize="21600,21600" o:gfxdata="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">
                <v:fill on="t" focussize="0,0"/>
                <v:stroke weight="0.5pt" color="#000000 [3204]" joinstyle="round"/>
                <v:imagedata o:title=""/>
                <o:lock v:ext="edit" aspectratio="f"/>
                <v:textbox>
                  <w:txbxContent>
                    <w:p w14:paraId="04734D1D">
                      <w:pPr>
                        <w:rPr>
                          <w:rFonts w:hint="default"/>
                        </w:rPr>
                      </w:pPr>
                      <w:r>
                        <w:t>单位：万元</w:t>
                      </w:r>
                    </w:p>
                    <w:p w14:paraId="3581824D"/>
                  </w:txbxContent>
                </v:textbox>
              </v:shape>
            </w:pict>
          </mc:Fallback>
        </mc:AlternateContent>
      </w:r>
      <w:bookmarkEnd w:id="26"/>
      <w:bookmarkStart w:id="27" w:name="_Toc15377212"/>
      <w:r>
        <w:drawing>
          <wp:anchor distT="0" distB="0" distL="114300" distR="114300" simplePos="0" relativeHeight="251666432" behindDoc="0" locked="0" layoutInCell="1" allowOverlap="1">
            <wp:simplePos x="0" y="0"/>
            <wp:positionH relativeFrom="column">
              <wp:posOffset>26670</wp:posOffset>
            </wp:positionH>
            <wp:positionV relativeFrom="paragraph">
              <wp:posOffset>20320</wp:posOffset>
            </wp:positionV>
            <wp:extent cx="5171440" cy="2762250"/>
            <wp:effectExtent l="4445" t="4445" r="5715" b="14605"/>
            <wp:wrapTopAndBottom/>
            <wp:docPr id="16" name="图表 15"/>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anchor>
        </w:drawing>
      </w:r>
    </w:p>
    <w:p w14:paraId="3AD413B9">
      <w:pPr>
        <w:rPr>
          <w:rFonts w:hint="eastAsia"/>
        </w:rPr>
      </w:pPr>
    </w:p>
    <w:p w14:paraId="553045F2">
      <w:pPr>
        <w:spacing w:line="600" w:lineRule="exact"/>
        <w:outlineLvl w:val="2"/>
        <w:rPr>
          <w:rFonts w:hint="eastAsia" w:ascii="Times New Roman" w:hAnsi="Times New Roman" w:eastAsia="楷体_GB2312" w:cs="楷体_GB2312"/>
          <w:b/>
          <w:color w:val="auto"/>
          <w:sz w:val="32"/>
          <w:szCs w:val="32"/>
          <w:highlight w:val="none"/>
        </w:rPr>
      </w:pPr>
      <w:bookmarkStart w:id="28" w:name="_Toc1617510844"/>
      <w:r>
        <w:rPr>
          <w:rFonts w:hint="eastAsia" w:ascii="Times New Roman" w:hAnsi="Times New Roman" w:eastAsia="楷体_GB2312" w:cs="楷体_GB2312"/>
          <w:b/>
          <w:color w:val="auto"/>
          <w:sz w:val="32"/>
          <w:szCs w:val="32"/>
          <w:highlight w:val="none"/>
        </w:rPr>
        <w:t>（三）一般公共预算财政拨款支出决算具体情况</w:t>
      </w:r>
      <w:bookmarkEnd w:id="27"/>
      <w:bookmarkEnd w:id="28"/>
    </w:p>
    <w:p w14:paraId="3335542F">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bookmarkStart w:id="29" w:name="_Toc15377213"/>
      <w:bookmarkStart w:id="30" w:name="_Toc15377444"/>
      <w:bookmarkStart w:id="31" w:name="_Toc15378460"/>
      <w:r>
        <w:rPr>
          <w:rFonts w:hint="eastAsia" w:ascii="Times New Roman" w:hAnsi="Times New Roman" w:eastAsia="仿宋_GB2312" w:cs="仿宋_GB2312"/>
          <w:color w:val="auto"/>
          <w:kern w:val="2"/>
          <w:sz w:val="32"/>
          <w:szCs w:val="32"/>
          <w:highlight w:val="none"/>
          <w:lang w:val="en-US" w:eastAsia="zh-CN" w:bidi="ar-SA"/>
        </w:rPr>
        <w:t>2024年度一般公共预算财政拨款支出决算数为</w:t>
      </w:r>
      <w:r>
        <w:rPr>
          <w:rFonts w:hint="eastAsia" w:ascii="仿宋_GB2312" w:hAnsi="仿宋_GB2312" w:eastAsia="仿宋_GB2312" w:cs="仿宋_GB2312"/>
          <w:sz w:val="32"/>
          <w:szCs w:val="32"/>
        </w:rPr>
        <w:t>1035.16</w:t>
      </w:r>
      <w:r>
        <w:rPr>
          <w:rFonts w:hint="eastAsia" w:ascii="仿宋_GB2312" w:hAnsi="仿宋_GB2312"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完成预算</w:t>
      </w:r>
      <w:r>
        <w:rPr>
          <w:rFonts w:hint="default" w:eastAsia="仿宋_GB2312" w:cs="仿宋_GB2312"/>
          <w:color w:val="auto"/>
          <w:kern w:val="2"/>
          <w:sz w:val="32"/>
          <w:szCs w:val="32"/>
          <w:highlight w:val="none"/>
          <w:lang w:eastAsia="zh-CN" w:bidi="ar-SA"/>
        </w:rPr>
        <w:t>100</w:t>
      </w:r>
      <w:r>
        <w:rPr>
          <w:rFonts w:hint="eastAsia" w:ascii="Times New Roman" w:hAnsi="Times New Roman" w:eastAsia="仿宋_GB2312" w:cs="仿宋_GB2312"/>
          <w:color w:val="auto"/>
          <w:kern w:val="2"/>
          <w:sz w:val="32"/>
          <w:szCs w:val="32"/>
          <w:highlight w:val="none"/>
          <w:lang w:val="en-US" w:eastAsia="zh-CN" w:bidi="ar-SA"/>
        </w:rPr>
        <w:t>%。其中：</w:t>
      </w:r>
      <w:bookmarkEnd w:id="29"/>
      <w:bookmarkEnd w:id="30"/>
      <w:bookmarkEnd w:id="31"/>
    </w:p>
    <w:p w14:paraId="1C250370">
      <w:pPr>
        <w:numPr>
          <w:ilvl w:val="0"/>
          <w:numId w:val="0"/>
        </w:numPr>
        <w:spacing w:line="600" w:lineRule="exact"/>
        <w:ind w:firstLine="640" w:firstLineChars="200"/>
        <w:rPr>
          <w:rFonts w:hint="eastAsia" w:ascii="Times New Roman" w:hAnsi="Times New Roman" w:eastAsia="仿宋_GB2312" w:cs="仿宋_GB2312"/>
          <w:color w:val="auto"/>
          <w:kern w:val="2"/>
          <w:sz w:val="32"/>
          <w:szCs w:val="32"/>
          <w:highlight w:val="none"/>
          <w:lang w:val="en-US" w:eastAsia="zh-CN" w:bidi="ar-SA"/>
        </w:rPr>
      </w:pPr>
      <w:r>
        <w:rPr>
          <w:rFonts w:hint="default" w:eastAsia="仿宋_GB2312" w:cs="仿宋_GB2312"/>
          <w:color w:val="auto"/>
          <w:kern w:val="2"/>
          <w:sz w:val="32"/>
          <w:szCs w:val="32"/>
          <w:highlight w:val="none"/>
          <w:lang w:eastAsia="zh-CN" w:bidi="ar-SA"/>
        </w:rPr>
        <w:t>1.</w:t>
      </w:r>
      <w:r>
        <w:rPr>
          <w:rFonts w:hint="eastAsia" w:ascii="Times New Roman" w:hAnsi="Times New Roman" w:eastAsia="仿宋_GB2312" w:cs="仿宋_GB2312"/>
          <w:color w:val="auto"/>
          <w:kern w:val="2"/>
          <w:sz w:val="32"/>
          <w:szCs w:val="32"/>
          <w:highlight w:val="none"/>
          <w:lang w:val="en-US" w:eastAsia="zh-CN" w:bidi="ar-SA"/>
        </w:rPr>
        <w:t>社会保障和就业支出（类）民政管理事务（款）行政运行（项）</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支出决算为670.37万元，完成预算</w:t>
      </w:r>
      <w:r>
        <w:rPr>
          <w:rFonts w:hint="default" w:eastAsia="仿宋_GB2312" w:cs="仿宋_GB2312"/>
          <w:color w:val="auto"/>
          <w:kern w:val="2"/>
          <w:sz w:val="32"/>
          <w:szCs w:val="32"/>
          <w:highlight w:val="none"/>
          <w:lang w:eastAsia="zh-CN" w:bidi="ar-SA"/>
        </w:rPr>
        <w:t>100</w:t>
      </w:r>
      <w:r>
        <w:rPr>
          <w:rFonts w:hint="eastAsia" w:ascii="Times New Roman" w:hAnsi="Times New Roman" w:eastAsia="仿宋_GB2312" w:cs="仿宋_GB2312"/>
          <w:color w:val="auto"/>
          <w:kern w:val="2"/>
          <w:sz w:val="32"/>
          <w:szCs w:val="32"/>
          <w:highlight w:val="none"/>
          <w:lang w:val="en-US" w:eastAsia="zh-CN" w:bidi="ar-SA"/>
        </w:rPr>
        <w:t>%，决算数等于预算数</w:t>
      </w:r>
      <w:r>
        <w:rPr>
          <w:rFonts w:hint="default" w:eastAsia="仿宋_GB2312" w:cs="仿宋_GB2312"/>
          <w:color w:val="auto"/>
          <w:kern w:val="2"/>
          <w:sz w:val="32"/>
          <w:szCs w:val="32"/>
          <w:highlight w:val="none"/>
          <w:lang w:eastAsia="zh-CN" w:bidi="ar-SA"/>
        </w:rPr>
        <w:t>。</w:t>
      </w:r>
    </w:p>
    <w:p w14:paraId="028618F7">
      <w:pPr>
        <w:numPr>
          <w:ilvl w:val="0"/>
          <w:numId w:val="0"/>
        </w:numPr>
        <w:spacing w:line="600" w:lineRule="exact"/>
        <w:ind w:firstLine="640" w:firstLineChars="200"/>
        <w:rPr>
          <w:rFonts w:hint="eastAsia" w:ascii="Times New Roman" w:hAnsi="Times New Roman" w:eastAsia="仿宋_GB2312" w:cs="仿宋_GB2312"/>
          <w:color w:val="auto"/>
          <w:kern w:val="2"/>
          <w:sz w:val="32"/>
          <w:szCs w:val="32"/>
          <w:highlight w:val="none"/>
          <w:lang w:val="en-US" w:eastAsia="zh-CN" w:bidi="ar-SA"/>
        </w:rPr>
      </w:pPr>
      <w:r>
        <w:rPr>
          <w:rFonts w:hint="default" w:eastAsia="仿宋_GB2312" w:cs="仿宋_GB2312"/>
          <w:color w:val="auto"/>
          <w:kern w:val="2"/>
          <w:sz w:val="32"/>
          <w:szCs w:val="32"/>
          <w:highlight w:val="none"/>
          <w:lang w:eastAsia="zh-CN" w:bidi="ar-SA"/>
        </w:rPr>
        <w:t>2.</w:t>
      </w:r>
      <w:r>
        <w:rPr>
          <w:rFonts w:hint="eastAsia" w:ascii="Times New Roman" w:hAnsi="Times New Roman" w:eastAsia="仿宋_GB2312" w:cs="仿宋_GB2312"/>
          <w:color w:val="auto"/>
          <w:kern w:val="2"/>
          <w:sz w:val="32"/>
          <w:szCs w:val="32"/>
          <w:highlight w:val="none"/>
          <w:lang w:val="en-US" w:eastAsia="zh-CN" w:bidi="ar-SA"/>
        </w:rPr>
        <w:t>社会保障和就业支出（类）民政管理事务（款）一般行政管理事务（项）</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支出决算为169.37万元，完成预算</w:t>
      </w:r>
      <w:r>
        <w:rPr>
          <w:rFonts w:hint="default" w:eastAsia="仿宋_GB2312" w:cs="仿宋_GB2312"/>
          <w:color w:val="auto"/>
          <w:kern w:val="2"/>
          <w:sz w:val="32"/>
          <w:szCs w:val="32"/>
          <w:highlight w:val="none"/>
          <w:lang w:eastAsia="zh-CN" w:bidi="ar-SA"/>
        </w:rPr>
        <w:t>100</w:t>
      </w:r>
      <w:r>
        <w:rPr>
          <w:rFonts w:hint="eastAsia" w:ascii="Times New Roman" w:hAnsi="Times New Roman" w:eastAsia="仿宋_GB2312" w:cs="仿宋_GB2312"/>
          <w:color w:val="auto"/>
          <w:kern w:val="2"/>
          <w:sz w:val="32"/>
          <w:szCs w:val="32"/>
          <w:highlight w:val="none"/>
          <w:lang w:val="en-US" w:eastAsia="zh-CN" w:bidi="ar-SA"/>
        </w:rPr>
        <w:t>%，决算数等于预算数</w:t>
      </w:r>
      <w:r>
        <w:rPr>
          <w:rFonts w:hint="default" w:eastAsia="仿宋_GB2312" w:cs="仿宋_GB2312"/>
          <w:color w:val="auto"/>
          <w:kern w:val="2"/>
          <w:sz w:val="32"/>
          <w:szCs w:val="32"/>
          <w:highlight w:val="none"/>
          <w:lang w:eastAsia="zh-CN" w:bidi="ar-SA"/>
        </w:rPr>
        <w:t>。</w:t>
      </w:r>
    </w:p>
    <w:p w14:paraId="74D05A57">
      <w:pPr>
        <w:numPr>
          <w:ilvl w:val="0"/>
          <w:numId w:val="0"/>
        </w:numPr>
        <w:spacing w:line="600" w:lineRule="exact"/>
        <w:ind w:firstLine="640" w:firstLineChars="200"/>
        <w:rPr>
          <w:rFonts w:hint="eastAsia" w:ascii="Times New Roman" w:hAnsi="Times New Roman" w:eastAsia="仿宋_GB2312" w:cs="仿宋_GB2312"/>
          <w:color w:val="auto"/>
          <w:kern w:val="2"/>
          <w:sz w:val="32"/>
          <w:szCs w:val="32"/>
          <w:highlight w:val="none"/>
          <w:lang w:val="en-US" w:eastAsia="zh-CN" w:bidi="ar-SA"/>
        </w:rPr>
      </w:pPr>
      <w:r>
        <w:rPr>
          <w:rFonts w:hint="default" w:eastAsia="仿宋_GB2312" w:cs="仿宋_GB2312"/>
          <w:color w:val="auto"/>
          <w:kern w:val="2"/>
          <w:sz w:val="32"/>
          <w:szCs w:val="32"/>
          <w:highlight w:val="none"/>
          <w:lang w:eastAsia="zh-CN" w:bidi="ar-SA"/>
        </w:rPr>
        <w:t>3.</w:t>
      </w:r>
      <w:r>
        <w:rPr>
          <w:rFonts w:hint="eastAsia" w:ascii="Times New Roman" w:hAnsi="Times New Roman" w:eastAsia="仿宋_GB2312" w:cs="仿宋_GB2312"/>
          <w:color w:val="auto"/>
          <w:kern w:val="2"/>
          <w:sz w:val="32"/>
          <w:szCs w:val="32"/>
          <w:highlight w:val="none"/>
          <w:lang w:val="en-US" w:eastAsia="zh-CN" w:bidi="ar-SA"/>
        </w:rPr>
        <w:t>社会保障和就业支出（类）民政管理事务（款）其他民政管理事务支出（项）</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支出决算为8.90万元，完成预算</w:t>
      </w:r>
      <w:r>
        <w:rPr>
          <w:rFonts w:hint="default" w:eastAsia="仿宋_GB2312" w:cs="仿宋_GB2312"/>
          <w:color w:val="auto"/>
          <w:kern w:val="2"/>
          <w:sz w:val="32"/>
          <w:szCs w:val="32"/>
          <w:highlight w:val="none"/>
          <w:lang w:eastAsia="zh-CN" w:bidi="ar-SA"/>
        </w:rPr>
        <w:t>100</w:t>
      </w:r>
      <w:r>
        <w:rPr>
          <w:rFonts w:hint="eastAsia" w:ascii="Times New Roman" w:hAnsi="Times New Roman" w:eastAsia="仿宋_GB2312" w:cs="仿宋_GB2312"/>
          <w:color w:val="auto"/>
          <w:kern w:val="2"/>
          <w:sz w:val="32"/>
          <w:szCs w:val="32"/>
          <w:highlight w:val="none"/>
          <w:lang w:val="en-US" w:eastAsia="zh-CN" w:bidi="ar-SA"/>
        </w:rPr>
        <w:t>%，决算数等于预算数</w:t>
      </w:r>
      <w:r>
        <w:rPr>
          <w:rFonts w:hint="default" w:eastAsia="仿宋_GB2312" w:cs="仿宋_GB2312"/>
          <w:color w:val="auto"/>
          <w:kern w:val="2"/>
          <w:sz w:val="32"/>
          <w:szCs w:val="32"/>
          <w:highlight w:val="none"/>
          <w:lang w:eastAsia="zh-CN" w:bidi="ar-SA"/>
        </w:rPr>
        <w:t>。</w:t>
      </w:r>
    </w:p>
    <w:p w14:paraId="55A66426">
      <w:pPr>
        <w:numPr>
          <w:ilvl w:val="0"/>
          <w:numId w:val="0"/>
        </w:numPr>
        <w:spacing w:line="600" w:lineRule="exact"/>
        <w:ind w:firstLine="640" w:firstLineChars="20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4.社会保障和就业支出（类）行政事业单位养老支出（款）机关事业单位基本养老保险缴费支出（项）</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支出决算为59.92万元，完成预算</w:t>
      </w:r>
      <w:r>
        <w:rPr>
          <w:rFonts w:hint="default" w:eastAsia="仿宋_GB2312" w:cs="仿宋_GB2312"/>
          <w:color w:val="auto"/>
          <w:kern w:val="2"/>
          <w:sz w:val="32"/>
          <w:szCs w:val="32"/>
          <w:highlight w:val="none"/>
          <w:lang w:eastAsia="zh-CN" w:bidi="ar-SA"/>
        </w:rPr>
        <w:t>100</w:t>
      </w:r>
      <w:r>
        <w:rPr>
          <w:rFonts w:hint="eastAsia" w:ascii="Times New Roman" w:hAnsi="Times New Roman" w:eastAsia="仿宋_GB2312" w:cs="仿宋_GB2312"/>
          <w:color w:val="auto"/>
          <w:kern w:val="2"/>
          <w:sz w:val="32"/>
          <w:szCs w:val="32"/>
          <w:highlight w:val="none"/>
          <w:lang w:val="en-US" w:eastAsia="zh-CN" w:bidi="ar-SA"/>
        </w:rPr>
        <w:t>%，决算数等于预算数</w:t>
      </w:r>
      <w:r>
        <w:rPr>
          <w:rFonts w:hint="default" w:eastAsia="仿宋_GB2312" w:cs="仿宋_GB2312"/>
          <w:color w:val="auto"/>
          <w:kern w:val="2"/>
          <w:sz w:val="32"/>
          <w:szCs w:val="32"/>
          <w:highlight w:val="none"/>
          <w:lang w:eastAsia="zh-CN" w:bidi="ar-SA"/>
        </w:rPr>
        <w:t>。</w:t>
      </w:r>
    </w:p>
    <w:p w14:paraId="299DEBCD">
      <w:pPr>
        <w:numPr>
          <w:ilvl w:val="0"/>
          <w:numId w:val="0"/>
        </w:numPr>
        <w:spacing w:line="600" w:lineRule="exact"/>
        <w:ind w:firstLine="640" w:firstLineChars="200"/>
        <w:rPr>
          <w:rFonts w:hint="eastAsia" w:ascii="Times New Roman" w:hAnsi="Times New Roman" w:eastAsia="仿宋_GB2312" w:cs="仿宋_GB2312"/>
          <w:color w:val="auto"/>
          <w:kern w:val="2"/>
          <w:sz w:val="32"/>
          <w:szCs w:val="32"/>
          <w:highlight w:val="none"/>
          <w:lang w:val="en-US" w:eastAsia="zh-CN" w:bidi="ar-SA"/>
        </w:rPr>
      </w:pPr>
      <w:r>
        <w:rPr>
          <w:rFonts w:hint="default" w:eastAsia="仿宋_GB2312" w:cs="仿宋_GB2312"/>
          <w:color w:val="auto"/>
          <w:kern w:val="2"/>
          <w:sz w:val="32"/>
          <w:szCs w:val="32"/>
          <w:highlight w:val="none"/>
          <w:lang w:eastAsia="zh-CN" w:bidi="ar-SA"/>
        </w:rPr>
        <w:t>5</w:t>
      </w:r>
      <w:r>
        <w:rPr>
          <w:rFonts w:hint="eastAsia" w:ascii="Times New Roman" w:hAnsi="Times New Roman" w:eastAsia="仿宋_GB2312" w:cs="仿宋_GB2312"/>
          <w:color w:val="auto"/>
          <w:kern w:val="2"/>
          <w:sz w:val="32"/>
          <w:szCs w:val="32"/>
          <w:highlight w:val="none"/>
          <w:lang w:val="en-US" w:eastAsia="zh-CN" w:bidi="ar-SA"/>
        </w:rPr>
        <w:t>.社会保障和就业支出（类）行政事业单位养老支出（款）机关事业单位职业年金缴费支出（项）</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支出决算为29.90万元，完成预算</w:t>
      </w:r>
      <w:r>
        <w:rPr>
          <w:rFonts w:hint="default" w:eastAsia="仿宋_GB2312" w:cs="仿宋_GB2312"/>
          <w:color w:val="auto"/>
          <w:kern w:val="2"/>
          <w:sz w:val="32"/>
          <w:szCs w:val="32"/>
          <w:highlight w:val="none"/>
          <w:lang w:eastAsia="zh-CN" w:bidi="ar-SA"/>
        </w:rPr>
        <w:t>100</w:t>
      </w:r>
      <w:r>
        <w:rPr>
          <w:rFonts w:hint="eastAsia" w:ascii="Times New Roman" w:hAnsi="Times New Roman" w:eastAsia="仿宋_GB2312" w:cs="仿宋_GB2312"/>
          <w:color w:val="auto"/>
          <w:kern w:val="2"/>
          <w:sz w:val="32"/>
          <w:szCs w:val="32"/>
          <w:highlight w:val="none"/>
          <w:lang w:val="en-US" w:eastAsia="zh-CN" w:bidi="ar-SA"/>
        </w:rPr>
        <w:t>%，决算数等于预算数</w:t>
      </w:r>
      <w:r>
        <w:rPr>
          <w:rFonts w:hint="default" w:eastAsia="仿宋_GB2312" w:cs="仿宋_GB2312"/>
          <w:color w:val="auto"/>
          <w:kern w:val="2"/>
          <w:sz w:val="32"/>
          <w:szCs w:val="32"/>
          <w:highlight w:val="none"/>
          <w:lang w:eastAsia="zh-CN" w:bidi="ar-SA"/>
        </w:rPr>
        <w:t>。</w:t>
      </w:r>
    </w:p>
    <w:p w14:paraId="0E3477AA">
      <w:pPr>
        <w:spacing w:line="600" w:lineRule="exact"/>
        <w:ind w:firstLine="640"/>
        <w:rPr>
          <w:rFonts w:hint="default" w:eastAsia="仿宋_GB2312" w:cs="仿宋_GB2312"/>
          <w:color w:val="auto"/>
          <w:kern w:val="2"/>
          <w:sz w:val="32"/>
          <w:szCs w:val="32"/>
          <w:highlight w:val="none"/>
          <w:lang w:eastAsia="zh-CN" w:bidi="ar-SA"/>
        </w:rPr>
      </w:pPr>
      <w:r>
        <w:rPr>
          <w:rFonts w:hint="eastAsia" w:ascii="Times New Roman" w:hAnsi="Times New Roman" w:eastAsia="仿宋_GB2312" w:cs="仿宋_GB2312"/>
          <w:color w:val="auto"/>
          <w:kern w:val="2"/>
          <w:sz w:val="32"/>
          <w:szCs w:val="32"/>
          <w:highlight w:val="none"/>
          <w:lang w:val="en-US" w:eastAsia="zh-CN" w:bidi="ar-SA"/>
        </w:rPr>
        <w:t>6.卫生健康（类）行政事业单位医疗（款）行政单位医疗（项）</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支出决算为36.34万元，完成预算</w:t>
      </w:r>
      <w:r>
        <w:rPr>
          <w:rFonts w:hint="default" w:eastAsia="仿宋_GB2312" w:cs="仿宋_GB2312"/>
          <w:color w:val="auto"/>
          <w:kern w:val="2"/>
          <w:sz w:val="32"/>
          <w:szCs w:val="32"/>
          <w:highlight w:val="none"/>
          <w:lang w:eastAsia="zh-CN" w:bidi="ar-SA"/>
        </w:rPr>
        <w:t>100</w:t>
      </w:r>
      <w:r>
        <w:rPr>
          <w:rFonts w:hint="eastAsia" w:ascii="Times New Roman" w:hAnsi="Times New Roman" w:eastAsia="仿宋_GB2312" w:cs="仿宋_GB2312"/>
          <w:color w:val="auto"/>
          <w:kern w:val="2"/>
          <w:sz w:val="32"/>
          <w:szCs w:val="32"/>
          <w:highlight w:val="none"/>
          <w:lang w:val="en-US" w:eastAsia="zh-CN" w:bidi="ar-SA"/>
        </w:rPr>
        <w:t>%，决算数等于预算数</w:t>
      </w:r>
      <w:r>
        <w:rPr>
          <w:rFonts w:hint="default" w:eastAsia="仿宋_GB2312" w:cs="仿宋_GB2312"/>
          <w:color w:val="auto"/>
          <w:kern w:val="2"/>
          <w:sz w:val="32"/>
          <w:szCs w:val="32"/>
          <w:highlight w:val="none"/>
          <w:lang w:eastAsia="zh-CN" w:bidi="ar-SA"/>
        </w:rPr>
        <w:t>。</w:t>
      </w:r>
    </w:p>
    <w:p w14:paraId="623B5337">
      <w:pPr>
        <w:spacing w:line="600" w:lineRule="exact"/>
        <w:ind w:firstLine="640"/>
        <w:rPr>
          <w:rFonts w:hint="default" w:eastAsia="仿宋_GB2312" w:cs="仿宋_GB2312"/>
          <w:color w:val="auto"/>
          <w:kern w:val="2"/>
          <w:sz w:val="32"/>
          <w:szCs w:val="32"/>
          <w:highlight w:val="none"/>
          <w:lang w:eastAsia="zh-CN" w:bidi="ar-SA"/>
        </w:rPr>
      </w:pPr>
      <w:r>
        <w:rPr>
          <w:rFonts w:hint="default" w:eastAsia="仿宋_GB2312" w:cs="仿宋_GB2312"/>
          <w:color w:val="auto"/>
          <w:kern w:val="2"/>
          <w:sz w:val="32"/>
          <w:szCs w:val="32"/>
          <w:highlight w:val="none"/>
          <w:lang w:eastAsia="zh-CN" w:bidi="ar-SA"/>
        </w:rPr>
        <w:t>8</w:t>
      </w:r>
      <w:r>
        <w:rPr>
          <w:rFonts w:hint="eastAsia" w:ascii="Times New Roman" w:hAnsi="Times New Roman" w:eastAsia="仿宋_GB2312" w:cs="仿宋_GB2312"/>
          <w:color w:val="auto"/>
          <w:kern w:val="2"/>
          <w:sz w:val="32"/>
          <w:szCs w:val="32"/>
          <w:highlight w:val="none"/>
          <w:lang w:val="en-US" w:eastAsia="zh-CN" w:bidi="ar-SA"/>
        </w:rPr>
        <w:t>.卫生健康（类）行政事业单位医疗（款）公务员医疗补助（项）</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支出决算为13.20万元，完成预算</w:t>
      </w:r>
      <w:r>
        <w:rPr>
          <w:rFonts w:hint="default" w:eastAsia="仿宋_GB2312" w:cs="仿宋_GB2312"/>
          <w:color w:val="auto"/>
          <w:kern w:val="2"/>
          <w:sz w:val="32"/>
          <w:szCs w:val="32"/>
          <w:highlight w:val="none"/>
          <w:lang w:eastAsia="zh-CN" w:bidi="ar-SA"/>
        </w:rPr>
        <w:t>100</w:t>
      </w:r>
      <w:r>
        <w:rPr>
          <w:rFonts w:hint="eastAsia" w:ascii="Times New Roman" w:hAnsi="Times New Roman" w:eastAsia="仿宋_GB2312" w:cs="仿宋_GB2312"/>
          <w:color w:val="auto"/>
          <w:kern w:val="2"/>
          <w:sz w:val="32"/>
          <w:szCs w:val="32"/>
          <w:highlight w:val="none"/>
          <w:lang w:val="en-US" w:eastAsia="zh-CN" w:bidi="ar-SA"/>
        </w:rPr>
        <w:t>%，决算数等于预算数</w:t>
      </w:r>
      <w:r>
        <w:rPr>
          <w:rFonts w:hint="default" w:eastAsia="仿宋_GB2312" w:cs="仿宋_GB2312"/>
          <w:color w:val="auto"/>
          <w:kern w:val="2"/>
          <w:sz w:val="32"/>
          <w:szCs w:val="32"/>
          <w:highlight w:val="none"/>
          <w:lang w:eastAsia="zh-CN" w:bidi="ar-SA"/>
        </w:rPr>
        <w:t>。</w:t>
      </w:r>
    </w:p>
    <w:p w14:paraId="6A9827AF">
      <w:pPr>
        <w:spacing w:line="600" w:lineRule="exact"/>
        <w:ind w:firstLine="640"/>
        <w:rPr>
          <w:rFonts w:hint="default" w:eastAsia="仿宋_GB2312" w:cs="仿宋_GB2312"/>
          <w:color w:val="auto"/>
          <w:kern w:val="2"/>
          <w:sz w:val="32"/>
          <w:szCs w:val="32"/>
          <w:highlight w:val="none"/>
          <w:lang w:eastAsia="zh-CN" w:bidi="ar-SA"/>
        </w:rPr>
      </w:pPr>
      <w:r>
        <w:rPr>
          <w:rFonts w:hint="default" w:eastAsia="仿宋_GB2312" w:cs="仿宋_GB2312"/>
          <w:color w:val="auto"/>
          <w:kern w:val="2"/>
          <w:sz w:val="32"/>
          <w:szCs w:val="32"/>
          <w:highlight w:val="none"/>
          <w:lang w:eastAsia="zh-CN" w:bidi="ar-SA"/>
        </w:rPr>
        <w:t>9</w:t>
      </w:r>
      <w:r>
        <w:rPr>
          <w:rFonts w:hint="eastAsia" w:ascii="Times New Roman" w:hAnsi="Times New Roman" w:eastAsia="仿宋_GB2312" w:cs="仿宋_GB2312"/>
          <w:color w:val="auto"/>
          <w:kern w:val="2"/>
          <w:sz w:val="32"/>
          <w:szCs w:val="32"/>
          <w:highlight w:val="none"/>
          <w:lang w:val="en-US" w:eastAsia="zh-CN" w:bidi="ar-SA"/>
        </w:rPr>
        <w:t>.住房保障支出（类）住房改革支出（款）住房公积金（项）</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支出决算为43.56万元，完成预算</w:t>
      </w:r>
      <w:r>
        <w:rPr>
          <w:rFonts w:hint="default" w:eastAsia="仿宋_GB2312" w:cs="仿宋_GB2312"/>
          <w:color w:val="auto"/>
          <w:kern w:val="2"/>
          <w:sz w:val="32"/>
          <w:szCs w:val="32"/>
          <w:highlight w:val="none"/>
          <w:lang w:eastAsia="zh-CN" w:bidi="ar-SA"/>
        </w:rPr>
        <w:t>100</w:t>
      </w:r>
      <w:r>
        <w:rPr>
          <w:rFonts w:hint="eastAsia" w:ascii="Times New Roman" w:hAnsi="Times New Roman" w:eastAsia="仿宋_GB2312" w:cs="仿宋_GB2312"/>
          <w:color w:val="auto"/>
          <w:kern w:val="2"/>
          <w:sz w:val="32"/>
          <w:szCs w:val="32"/>
          <w:highlight w:val="none"/>
          <w:lang w:val="en-US" w:eastAsia="zh-CN" w:bidi="ar-SA"/>
        </w:rPr>
        <w:t>%，决算数等于预算数</w:t>
      </w:r>
      <w:r>
        <w:rPr>
          <w:rFonts w:hint="default" w:eastAsia="仿宋_GB2312" w:cs="仿宋_GB2312"/>
          <w:color w:val="auto"/>
          <w:kern w:val="2"/>
          <w:sz w:val="32"/>
          <w:szCs w:val="32"/>
          <w:highlight w:val="none"/>
          <w:lang w:eastAsia="zh-CN" w:bidi="ar-SA"/>
        </w:rPr>
        <w:t>。</w:t>
      </w:r>
    </w:p>
    <w:p w14:paraId="0FF45A5D">
      <w:pPr>
        <w:pStyle w:val="2"/>
        <w:ind w:firstLine="640" w:firstLineChars="200"/>
        <w:rPr>
          <w:rFonts w:hint="default" w:eastAsia="仿宋_GB2312" w:cs="仿宋_GB2312"/>
          <w:color w:val="auto"/>
          <w:kern w:val="2"/>
          <w:sz w:val="32"/>
          <w:szCs w:val="32"/>
          <w:highlight w:val="none"/>
          <w:lang w:eastAsia="zh-CN" w:bidi="ar-SA"/>
        </w:rPr>
      </w:pPr>
      <w:r>
        <w:rPr>
          <w:rFonts w:hint="default" w:ascii="Times New Roman" w:cs="仿宋_GB2312"/>
          <w:color w:val="auto"/>
          <w:kern w:val="2"/>
          <w:sz w:val="32"/>
          <w:szCs w:val="32"/>
          <w:highlight w:val="none"/>
          <w:lang w:eastAsia="zh-CN" w:bidi="ar-SA"/>
        </w:rPr>
        <w:t>10</w:t>
      </w:r>
      <w:r>
        <w:rPr>
          <w:rFonts w:hint="eastAsia" w:ascii="Times New Roman" w:hAnsi="Times New Roman" w:eastAsia="仿宋_GB2312" w:cs="仿宋_GB2312"/>
          <w:color w:val="auto"/>
          <w:kern w:val="2"/>
          <w:sz w:val="32"/>
          <w:szCs w:val="32"/>
          <w:highlight w:val="none"/>
          <w:lang w:val="en-US" w:eastAsia="zh-CN" w:bidi="ar-SA"/>
        </w:rPr>
        <w:t>.住房保障支出（类）住房改革支出（款）</w:t>
      </w:r>
      <w:r>
        <w:rPr>
          <w:rFonts w:hint="default" w:eastAsia="仿宋_GB2312" w:cs="仿宋_GB2312"/>
          <w:color w:val="auto"/>
          <w:kern w:val="2"/>
          <w:sz w:val="32"/>
          <w:szCs w:val="32"/>
          <w:highlight w:val="none"/>
          <w:lang w:eastAsia="zh-CN" w:bidi="ar-SA"/>
        </w:rPr>
        <w:t>购房补贴</w:t>
      </w:r>
      <w:r>
        <w:rPr>
          <w:rFonts w:hint="eastAsia" w:ascii="Times New Roman" w:hAnsi="Times New Roman" w:eastAsia="仿宋_GB2312" w:cs="仿宋_GB2312"/>
          <w:color w:val="auto"/>
          <w:kern w:val="2"/>
          <w:sz w:val="32"/>
          <w:szCs w:val="32"/>
          <w:highlight w:val="none"/>
          <w:lang w:val="en-US" w:eastAsia="zh-CN" w:bidi="ar-SA"/>
        </w:rPr>
        <w:t>（项）</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支出决算为3.60万元，完成预算</w:t>
      </w:r>
      <w:r>
        <w:rPr>
          <w:rFonts w:hint="default" w:eastAsia="仿宋_GB2312" w:cs="仿宋_GB2312"/>
          <w:color w:val="auto"/>
          <w:kern w:val="2"/>
          <w:sz w:val="32"/>
          <w:szCs w:val="32"/>
          <w:highlight w:val="none"/>
          <w:lang w:eastAsia="zh-CN" w:bidi="ar-SA"/>
        </w:rPr>
        <w:t>100</w:t>
      </w:r>
      <w:r>
        <w:rPr>
          <w:rFonts w:hint="eastAsia" w:ascii="Times New Roman" w:hAnsi="Times New Roman" w:eastAsia="仿宋_GB2312" w:cs="仿宋_GB2312"/>
          <w:color w:val="auto"/>
          <w:kern w:val="2"/>
          <w:sz w:val="32"/>
          <w:szCs w:val="32"/>
          <w:highlight w:val="none"/>
          <w:lang w:val="en-US" w:eastAsia="zh-CN" w:bidi="ar-SA"/>
        </w:rPr>
        <w:t>%，决算数等于预算数</w:t>
      </w:r>
      <w:r>
        <w:rPr>
          <w:rFonts w:hint="default" w:eastAsia="仿宋_GB2312" w:cs="仿宋_GB2312"/>
          <w:color w:val="auto"/>
          <w:kern w:val="2"/>
          <w:sz w:val="32"/>
          <w:szCs w:val="32"/>
          <w:highlight w:val="none"/>
          <w:lang w:eastAsia="zh-CN" w:bidi="ar-SA"/>
        </w:rPr>
        <w:t>。</w:t>
      </w:r>
    </w:p>
    <w:p w14:paraId="0D5EE436">
      <w:pPr>
        <w:pStyle w:val="2"/>
        <w:ind w:firstLine="640" w:firstLineChars="200"/>
        <w:rPr>
          <w:rFonts w:hint="eastAsia" w:ascii="Times New Roman" w:hAnsi="Times New Roman" w:eastAsia="仿宋_GB2312" w:cs="仿宋_GB2312"/>
          <w:color w:val="auto"/>
          <w:kern w:val="2"/>
          <w:sz w:val="32"/>
          <w:szCs w:val="32"/>
          <w:highlight w:val="none"/>
          <w:lang w:val="en-US" w:eastAsia="zh-CN" w:bidi="ar-SA"/>
        </w:rPr>
      </w:pPr>
      <w:r>
        <w:rPr>
          <w:rFonts w:hint="default" w:ascii="Times New Roman" w:cs="仿宋_GB2312"/>
          <w:color w:val="auto"/>
          <w:kern w:val="2"/>
          <w:sz w:val="32"/>
          <w:szCs w:val="32"/>
          <w:highlight w:val="none"/>
          <w:lang w:eastAsia="zh-CN" w:bidi="ar-SA"/>
        </w:rPr>
        <w:t>11</w:t>
      </w:r>
      <w:r>
        <w:rPr>
          <w:rFonts w:hint="eastAsia" w:ascii="Times New Roman" w:hAnsi="Times New Roman" w:eastAsia="仿宋_GB2312" w:cs="仿宋_GB2312"/>
          <w:color w:val="auto"/>
          <w:kern w:val="2"/>
          <w:sz w:val="32"/>
          <w:szCs w:val="32"/>
          <w:highlight w:val="none"/>
          <w:lang w:val="en-US" w:eastAsia="zh-CN" w:bidi="ar-SA"/>
        </w:rPr>
        <w:t>.其他支出（类）彩票公益金安排的支出（款）</w:t>
      </w:r>
      <w:r>
        <w:rPr>
          <w:rFonts w:hint="default" w:eastAsia="仿宋_GB2312" w:cs="仿宋_GB2312"/>
          <w:color w:val="auto"/>
          <w:kern w:val="2"/>
          <w:sz w:val="32"/>
          <w:szCs w:val="32"/>
          <w:highlight w:val="none"/>
          <w:lang w:eastAsia="zh-CN" w:bidi="ar-SA"/>
        </w:rPr>
        <w:t>用于社会福利的彩票公益金支出</w:t>
      </w:r>
      <w:r>
        <w:rPr>
          <w:rFonts w:hint="eastAsia" w:ascii="Times New Roman" w:hAnsi="Times New Roman" w:eastAsia="仿宋_GB2312" w:cs="仿宋_GB2312"/>
          <w:color w:val="auto"/>
          <w:kern w:val="2"/>
          <w:sz w:val="32"/>
          <w:szCs w:val="32"/>
          <w:highlight w:val="none"/>
          <w:lang w:val="en-US" w:eastAsia="zh-CN" w:bidi="ar-SA"/>
        </w:rPr>
        <w:t>（项）</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支出决算为</w:t>
      </w:r>
      <w:r>
        <w:rPr>
          <w:rFonts w:hint="default" w:ascii="Times New Roman" w:cs="仿宋_GB2312"/>
          <w:color w:val="auto"/>
          <w:kern w:val="2"/>
          <w:sz w:val="32"/>
          <w:szCs w:val="32"/>
          <w:highlight w:val="none"/>
          <w:lang w:eastAsia="zh-CN" w:bidi="ar-SA"/>
        </w:rPr>
        <w:t>353.33</w:t>
      </w:r>
      <w:r>
        <w:rPr>
          <w:rFonts w:hint="eastAsia" w:ascii="Times New Roman" w:hAnsi="Times New Roman" w:eastAsia="仿宋_GB2312" w:cs="仿宋_GB2312"/>
          <w:color w:val="auto"/>
          <w:kern w:val="2"/>
          <w:sz w:val="32"/>
          <w:szCs w:val="32"/>
          <w:highlight w:val="none"/>
          <w:lang w:val="en-US" w:eastAsia="zh-CN" w:bidi="ar-SA"/>
        </w:rPr>
        <w:t>万元，完成预算</w:t>
      </w:r>
      <w:r>
        <w:rPr>
          <w:rFonts w:hint="default" w:eastAsia="仿宋_GB2312" w:cs="仿宋_GB2312"/>
          <w:color w:val="auto"/>
          <w:kern w:val="2"/>
          <w:sz w:val="32"/>
          <w:szCs w:val="32"/>
          <w:highlight w:val="none"/>
          <w:lang w:eastAsia="zh-CN" w:bidi="ar-SA"/>
        </w:rPr>
        <w:t>100</w:t>
      </w:r>
      <w:r>
        <w:rPr>
          <w:rFonts w:hint="eastAsia" w:ascii="Times New Roman" w:hAnsi="Times New Roman" w:eastAsia="仿宋_GB2312" w:cs="仿宋_GB2312"/>
          <w:color w:val="auto"/>
          <w:kern w:val="2"/>
          <w:sz w:val="32"/>
          <w:szCs w:val="32"/>
          <w:highlight w:val="none"/>
          <w:lang w:val="en-US" w:eastAsia="zh-CN" w:bidi="ar-SA"/>
        </w:rPr>
        <w:t>%，决算数等于预算数</w:t>
      </w:r>
      <w:r>
        <w:rPr>
          <w:rFonts w:hint="default" w:eastAsia="仿宋_GB2312" w:cs="仿宋_GB2312"/>
          <w:color w:val="auto"/>
          <w:kern w:val="2"/>
          <w:sz w:val="32"/>
          <w:szCs w:val="32"/>
          <w:highlight w:val="none"/>
          <w:lang w:eastAsia="zh-CN" w:bidi="ar-SA"/>
        </w:rPr>
        <w:t>。</w:t>
      </w:r>
    </w:p>
    <w:p w14:paraId="6AC262F6">
      <w:pPr>
        <w:tabs>
          <w:tab w:val="right" w:pos="8306"/>
        </w:tabs>
        <w:spacing w:line="600" w:lineRule="exact"/>
        <w:ind w:firstLine="640"/>
        <w:outlineLvl w:val="1"/>
        <w:rPr>
          <w:rStyle w:val="30"/>
          <w:rFonts w:ascii="Times New Roman" w:hAnsi="Times New Roman"/>
          <w:color w:val="auto"/>
          <w:highlight w:val="none"/>
        </w:rPr>
      </w:pPr>
      <w:bookmarkStart w:id="32" w:name="_Toc15396608"/>
      <w:bookmarkStart w:id="33" w:name="_Toc15377214"/>
      <w:bookmarkStart w:id="34" w:name="_Toc1667806878"/>
      <w:r>
        <w:rPr>
          <w:rFonts w:hint="eastAsia" w:ascii="Times New Roman" w:hAnsi="Times New Roman" w:eastAsia="黑体"/>
          <w:color w:val="auto"/>
          <w:sz w:val="32"/>
          <w:szCs w:val="32"/>
          <w:highlight w:val="none"/>
        </w:rPr>
        <w:t>六</w:t>
      </w:r>
      <w:r>
        <w:rPr>
          <w:rFonts w:hint="eastAsia" w:ascii="Times New Roman" w:hAnsi="Times New Roman" w:eastAsia="黑体"/>
          <w:b/>
          <w:color w:val="auto"/>
          <w:sz w:val="32"/>
          <w:szCs w:val="32"/>
          <w:highlight w:val="none"/>
        </w:rPr>
        <w:t>、一</w:t>
      </w:r>
      <w:r>
        <w:rPr>
          <w:rStyle w:val="30"/>
          <w:rFonts w:hint="eastAsia" w:ascii="Times New Roman" w:hAnsi="Times New Roman" w:eastAsia="黑体"/>
          <w:b w:val="0"/>
          <w:color w:val="auto"/>
          <w:highlight w:val="none"/>
        </w:rPr>
        <w:t>般公共预算财政拨款基本支出决算情况说明</w:t>
      </w:r>
      <w:bookmarkEnd w:id="32"/>
      <w:bookmarkEnd w:id="33"/>
      <w:bookmarkEnd w:id="34"/>
      <w:r>
        <w:rPr>
          <w:rStyle w:val="30"/>
          <w:rFonts w:ascii="Times New Roman" w:hAnsi="Times New Roman" w:eastAsia="黑体"/>
          <w:b w:val="0"/>
          <w:color w:val="auto"/>
          <w:highlight w:val="none"/>
        </w:rPr>
        <w:tab/>
      </w:r>
    </w:p>
    <w:p w14:paraId="6E03D81E">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2024年度一般公共预算财政拨款基本支出</w:t>
      </w:r>
      <w:r>
        <w:rPr>
          <w:rFonts w:hint="eastAsia" w:ascii="仿宋_GB2312" w:hAnsi="仿宋_GB2312" w:eastAsia="仿宋_GB2312" w:cs="仿宋_GB2312"/>
          <w:sz w:val="32"/>
          <w:szCs w:val="32"/>
        </w:rPr>
        <w:t>856.88</w:t>
      </w:r>
      <w:r>
        <w:rPr>
          <w:rFonts w:hint="eastAsia" w:ascii="仿宋_GB2312" w:hAnsi="仿宋_GB2312" w:eastAsia="仿宋_GB2312" w:cs="仿宋_GB2312"/>
          <w:color w:val="auto"/>
          <w:kern w:val="2"/>
          <w:sz w:val="32"/>
          <w:szCs w:val="32"/>
          <w:highlight w:val="none"/>
          <w:lang w:val="en-US" w:eastAsia="zh-CN" w:bidi="ar-SA"/>
        </w:rPr>
        <w:t>万</w:t>
      </w:r>
      <w:r>
        <w:rPr>
          <w:rFonts w:hint="eastAsia" w:ascii="Times New Roman" w:hAnsi="Times New Roman" w:eastAsia="仿宋_GB2312" w:cs="仿宋_GB2312"/>
          <w:color w:val="auto"/>
          <w:kern w:val="2"/>
          <w:sz w:val="32"/>
          <w:szCs w:val="32"/>
          <w:highlight w:val="none"/>
          <w:lang w:val="en-US" w:eastAsia="zh-CN" w:bidi="ar-SA"/>
        </w:rPr>
        <w:t>元，其中：</w:t>
      </w:r>
    </w:p>
    <w:p w14:paraId="2D1AFE6F">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人员经费</w:t>
      </w:r>
      <w:r>
        <w:rPr>
          <w:rFonts w:hint="eastAsia" w:ascii="仿宋_GB2312" w:hAnsi="仿宋_GB2312" w:eastAsia="仿宋_GB2312" w:cs="仿宋_GB2312"/>
          <w:sz w:val="32"/>
          <w:szCs w:val="32"/>
        </w:rPr>
        <w:t>759.5</w:t>
      </w:r>
      <w:r>
        <w:rPr>
          <w:rFonts w:hint="eastAsia" w:ascii="仿宋_GB2312" w:hAnsi="仿宋_GB2312" w:eastAsia="仿宋_GB2312" w:cs="仿宋_GB2312"/>
          <w:color w:val="auto"/>
          <w:kern w:val="2"/>
          <w:sz w:val="32"/>
          <w:szCs w:val="32"/>
          <w:highlight w:val="none"/>
          <w:lang w:val="en-US" w:eastAsia="zh-CN" w:bidi="ar-SA"/>
        </w:rPr>
        <w:t>万</w:t>
      </w:r>
      <w:r>
        <w:rPr>
          <w:rFonts w:hint="eastAsia" w:ascii="Times New Roman" w:hAnsi="Times New Roman" w:eastAsia="仿宋_GB2312" w:cs="仿宋_GB2312"/>
          <w:color w:val="auto"/>
          <w:kern w:val="2"/>
          <w:sz w:val="32"/>
          <w:szCs w:val="32"/>
          <w:highlight w:val="none"/>
          <w:lang w:val="en-US" w:eastAsia="zh-CN" w:bidi="ar-SA"/>
        </w:rPr>
        <w:t>元，主要包括：基本工资、津贴补贴、奖金、伙食补助费、机关事业单位基本养老保险缴费、职业年金缴费、其他社会保障缴费、其他工资福利支出、生活补助、奖励金、住房公积金等。</w:t>
      </w:r>
      <w:r>
        <w:rPr>
          <w:rFonts w:hint="eastAsia" w:ascii="Times New Roman" w:hAnsi="Times New Roman" w:eastAsia="仿宋_GB2312" w:cs="仿宋_GB2312"/>
          <w:color w:val="auto"/>
          <w:kern w:val="2"/>
          <w:sz w:val="32"/>
          <w:szCs w:val="32"/>
          <w:highlight w:val="none"/>
          <w:lang w:val="en-US" w:eastAsia="zh-CN" w:bidi="ar-SA"/>
        </w:rPr>
        <w:br w:type="textWrapping"/>
      </w:r>
      <w:r>
        <w:rPr>
          <w:rFonts w:hint="eastAsia" w:ascii="Times New Roman" w:hAnsi="Times New Roman" w:eastAsia="仿宋_GB2312" w:cs="仿宋_GB2312"/>
          <w:color w:val="auto"/>
          <w:kern w:val="2"/>
          <w:sz w:val="32"/>
          <w:szCs w:val="32"/>
          <w:highlight w:val="none"/>
          <w:lang w:val="en-US" w:eastAsia="zh-CN" w:bidi="ar-SA"/>
        </w:rPr>
        <w:t>　　公用经费</w:t>
      </w:r>
      <w:r>
        <w:rPr>
          <w:rFonts w:hint="eastAsia" w:ascii="仿宋_GB2312" w:hAnsi="仿宋_GB2312" w:eastAsia="仿宋_GB2312" w:cs="仿宋_GB2312"/>
          <w:sz w:val="32"/>
          <w:szCs w:val="32"/>
        </w:rPr>
        <w:t>97.38</w:t>
      </w:r>
      <w:r>
        <w:rPr>
          <w:rFonts w:hint="eastAsia" w:ascii="仿宋_GB2312" w:hAnsi="仿宋_GB2312" w:eastAsia="仿宋_GB2312" w:cs="仿宋_GB2312"/>
          <w:color w:val="auto"/>
          <w:kern w:val="2"/>
          <w:sz w:val="32"/>
          <w:szCs w:val="32"/>
          <w:highlight w:val="none"/>
          <w:lang w:val="en-US" w:eastAsia="zh-CN" w:bidi="ar-SA"/>
        </w:rPr>
        <w:t>万</w:t>
      </w:r>
      <w:r>
        <w:rPr>
          <w:rFonts w:hint="eastAsia" w:ascii="Times New Roman" w:hAnsi="Times New Roman" w:eastAsia="仿宋_GB2312" w:cs="仿宋_GB2312"/>
          <w:color w:val="auto"/>
          <w:kern w:val="2"/>
          <w:sz w:val="32"/>
          <w:szCs w:val="32"/>
          <w:highlight w:val="none"/>
          <w:lang w:val="en-US" w:eastAsia="zh-CN" w:bidi="ar-SA"/>
        </w:rPr>
        <w:t>元，主要包括：办公费、印刷费、水费、电费、邮电费、物业管理费、差旅费、会议费、培训费、劳务费、委托业务费、工会经费、福利费、公务用车运行维护费、其他交通费、其他商品和服务支出、办公设备购置等。</w:t>
      </w:r>
    </w:p>
    <w:p w14:paraId="45D9D0EA">
      <w:pPr>
        <w:spacing w:line="600" w:lineRule="exact"/>
        <w:ind w:firstLine="640"/>
        <w:outlineLvl w:val="1"/>
        <w:rPr>
          <w:rStyle w:val="30"/>
          <w:rFonts w:ascii="Times New Roman" w:hAnsi="Times New Roman" w:eastAsia="黑体"/>
          <w:b w:val="0"/>
          <w:color w:val="auto"/>
          <w:highlight w:val="none"/>
        </w:rPr>
      </w:pPr>
      <w:bookmarkStart w:id="35" w:name="_Toc15377215"/>
      <w:bookmarkStart w:id="36" w:name="_Toc1381357239"/>
      <w:bookmarkStart w:id="37" w:name="_Toc15396609"/>
      <w:r>
        <w:rPr>
          <w:rFonts w:hint="eastAsia" w:ascii="Times New Roman" w:hAnsi="Times New Roman" w:eastAsia="黑体"/>
          <w:color w:val="auto"/>
          <w:sz w:val="32"/>
          <w:szCs w:val="32"/>
          <w:highlight w:val="none"/>
        </w:rPr>
        <w:t>七、</w:t>
      </w:r>
      <w:r>
        <w:rPr>
          <w:rStyle w:val="30"/>
          <w:rFonts w:hint="eastAsia" w:ascii="Times New Roman" w:hAnsi="Times New Roman" w:eastAsia="黑体"/>
          <w:b w:val="0"/>
          <w:color w:val="auto"/>
          <w:highlight w:val="none"/>
        </w:rPr>
        <w:t>财政拨款</w:t>
      </w:r>
      <w:r>
        <w:rPr>
          <w:rStyle w:val="30"/>
          <w:rFonts w:hint="eastAsia" w:ascii="Times New Roman" w:hAnsi="Times New Roman" w:eastAsia="黑体"/>
          <w:color w:val="auto"/>
          <w:highlight w:val="none"/>
        </w:rPr>
        <w:t>“</w:t>
      </w:r>
      <w:r>
        <w:rPr>
          <w:rStyle w:val="30"/>
          <w:rFonts w:hint="eastAsia" w:ascii="Times New Roman" w:hAnsi="Times New Roman" w:eastAsia="黑体"/>
          <w:b w:val="0"/>
          <w:color w:val="auto"/>
          <w:highlight w:val="none"/>
        </w:rPr>
        <w:t>三公”经费支出决算情况说明</w:t>
      </w:r>
      <w:bookmarkEnd w:id="35"/>
      <w:bookmarkEnd w:id="36"/>
      <w:bookmarkEnd w:id="37"/>
    </w:p>
    <w:p w14:paraId="5F33260E">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38" w:name="_Toc356472820"/>
      <w:bookmarkStart w:id="39" w:name="_Toc15377216"/>
      <w:r>
        <w:rPr>
          <w:rFonts w:hint="eastAsia" w:ascii="Times New Roman" w:hAnsi="Times New Roman" w:eastAsia="楷体_GB2312" w:cs="楷体_GB2312"/>
          <w:b/>
          <w:color w:val="auto"/>
          <w:sz w:val="32"/>
          <w:szCs w:val="32"/>
          <w:highlight w:val="none"/>
        </w:rPr>
        <w:t>（一）“三公”经费财政拨款支出决算总体情况说明</w:t>
      </w:r>
      <w:bookmarkEnd w:id="38"/>
      <w:bookmarkEnd w:id="39"/>
    </w:p>
    <w:p w14:paraId="1F34155D">
      <w:pPr>
        <w:pStyle w:val="2"/>
        <w:ind w:firstLine="640" w:firstLineChars="20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2024年度“三公”经费财政拨款支出决算为</w:t>
      </w:r>
      <w:r>
        <w:rPr>
          <w:rFonts w:hint="eastAsia" w:ascii="仿宋_GB2312" w:hAnsi="仿宋_GB2312" w:eastAsia="仿宋_GB2312" w:cs="仿宋_GB2312"/>
          <w:sz w:val="32"/>
          <w:szCs w:val="32"/>
        </w:rPr>
        <w:t>44.53</w:t>
      </w:r>
      <w:r>
        <w:rPr>
          <w:rFonts w:hint="eastAsia" w:ascii="仿宋_GB2312" w:hAnsi="仿宋_GB2312" w:eastAsia="仿宋_GB2312" w:cs="仿宋_GB2312"/>
          <w:color w:val="auto"/>
          <w:kern w:val="2"/>
          <w:sz w:val="32"/>
          <w:szCs w:val="32"/>
          <w:highlight w:val="none"/>
          <w:lang w:val="en-US" w:eastAsia="zh-CN" w:bidi="ar-SA"/>
        </w:rPr>
        <w:t>万元，完成预算</w:t>
      </w:r>
      <w:r>
        <w:rPr>
          <w:rFonts w:hint="eastAsia" w:ascii="仿宋_GB2312" w:hAnsi="仿宋_GB2312" w:eastAsia="仿宋_GB2312" w:cs="仿宋_GB2312"/>
          <w:sz w:val="32"/>
          <w:szCs w:val="32"/>
        </w:rPr>
        <w:t>100</w:t>
      </w:r>
      <w:r>
        <w:rPr>
          <w:rFonts w:hint="eastAsia" w:ascii="仿宋_GB2312" w:hAnsi="仿宋_GB2312"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较上年度减少</w:t>
      </w:r>
      <w:r>
        <w:rPr>
          <w:rFonts w:hint="default" w:eastAsia="仿宋_GB2312" w:cs="仿宋_GB2312"/>
          <w:color w:val="auto"/>
          <w:kern w:val="2"/>
          <w:sz w:val="32"/>
          <w:szCs w:val="32"/>
          <w:highlight w:val="none"/>
          <w:lang w:eastAsia="zh-CN" w:bidi="ar-SA"/>
        </w:rPr>
        <w:t>7.99</w:t>
      </w:r>
      <w:r>
        <w:rPr>
          <w:rFonts w:hint="eastAsia" w:ascii="Times New Roman" w:hAnsi="Times New Roman" w:eastAsia="仿宋_GB2312" w:cs="仿宋_GB2312"/>
          <w:color w:val="auto"/>
          <w:kern w:val="2"/>
          <w:sz w:val="32"/>
          <w:szCs w:val="32"/>
          <w:highlight w:val="none"/>
          <w:lang w:val="en-US" w:eastAsia="zh-CN" w:bidi="ar-SA"/>
        </w:rPr>
        <w:t>万元，下降</w:t>
      </w:r>
      <w:r>
        <w:rPr>
          <w:rFonts w:hint="default" w:eastAsia="仿宋_GB2312" w:cs="仿宋_GB2312"/>
          <w:color w:val="auto"/>
          <w:kern w:val="2"/>
          <w:sz w:val="32"/>
          <w:szCs w:val="32"/>
          <w:highlight w:val="none"/>
          <w:lang w:eastAsia="zh-CN" w:bidi="ar-SA"/>
        </w:rPr>
        <w:t>15.21</w:t>
      </w:r>
      <w:r>
        <w:rPr>
          <w:rFonts w:hint="eastAsia" w:ascii="Times New Roman" w:hAnsi="Times New Roman" w:eastAsia="仿宋_GB2312" w:cs="仿宋_GB2312"/>
          <w:color w:val="auto"/>
          <w:kern w:val="2"/>
          <w:sz w:val="32"/>
          <w:szCs w:val="32"/>
          <w:highlight w:val="none"/>
          <w:lang w:val="en-US" w:eastAsia="zh-CN" w:bidi="ar-SA"/>
        </w:rPr>
        <w:t>%。决算数等于预算数</w:t>
      </w:r>
      <w:r>
        <w:rPr>
          <w:rFonts w:hint="default" w:eastAsia="仿宋_GB2312" w:cs="仿宋_GB2312"/>
          <w:color w:val="auto"/>
          <w:kern w:val="2"/>
          <w:sz w:val="32"/>
          <w:szCs w:val="32"/>
          <w:highlight w:val="none"/>
          <w:lang w:eastAsia="zh-CN" w:bidi="ar-SA"/>
        </w:rPr>
        <w:t>。</w:t>
      </w:r>
    </w:p>
    <w:p w14:paraId="5AA8898F">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40" w:name="_Toc15377217"/>
      <w:bookmarkStart w:id="41" w:name="_Toc1378054311"/>
      <w:r>
        <w:rPr>
          <w:rFonts w:hint="eastAsia" w:ascii="Times New Roman" w:hAnsi="Times New Roman" w:eastAsia="楷体_GB2312" w:cs="楷体_GB2312"/>
          <w:b/>
          <w:color w:val="auto"/>
          <w:sz w:val="32"/>
          <w:szCs w:val="32"/>
          <w:highlight w:val="none"/>
        </w:rPr>
        <w:t>（二）“三公”经费财政拨款支出决算具体情况说明</w:t>
      </w:r>
      <w:bookmarkEnd w:id="40"/>
      <w:bookmarkEnd w:id="41"/>
    </w:p>
    <w:p w14:paraId="302F67EB">
      <w:pPr>
        <w:spacing w:line="600" w:lineRule="exact"/>
        <w:ind w:firstLine="640"/>
        <w:rPr>
          <w:rFonts w:hint="eastAsia" w:ascii="仿宋_GB2312" w:hAnsi="仿宋_GB2312" w:eastAsia="仿宋_GB2312" w:cs="仿宋_GB2312"/>
          <w:color w:val="auto"/>
          <w:kern w:val="2"/>
          <w:sz w:val="32"/>
          <w:szCs w:val="32"/>
          <w:highlight w:val="none"/>
          <w:lang w:val="en-US" w:eastAsia="zh-CN" w:bidi="ar-SA"/>
        </w:rPr>
      </w:pPr>
      <w:r>
        <w:rPr>
          <w:rFonts w:hint="eastAsia" w:ascii="仿宋_GB2312" w:hAnsi="仿宋_GB2312" w:eastAsia="仿宋_GB2312" w:cs="仿宋_GB2312"/>
          <w:color w:val="auto"/>
          <w:kern w:val="2"/>
          <w:sz w:val="32"/>
          <w:szCs w:val="32"/>
          <w:highlight w:val="none"/>
          <w:lang w:val="en-US" w:eastAsia="zh-CN" w:bidi="ar-SA"/>
        </w:rPr>
        <w:t>2024年度“三公”经费财政拨款支出决算中，因公出国（境）费支出决算</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kern w:val="2"/>
          <w:sz w:val="32"/>
          <w:szCs w:val="32"/>
          <w:highlight w:val="none"/>
          <w:lang w:val="en-US" w:eastAsia="zh-CN" w:bidi="ar-SA"/>
        </w:rPr>
        <w:t>万元</w:t>
      </w:r>
      <w:r>
        <w:rPr>
          <w:rFonts w:hint="default" w:ascii="仿宋_GB2312" w:hAnsi="仿宋_GB2312" w:eastAsia="仿宋_GB2312" w:cs="仿宋_GB2312"/>
          <w:color w:val="auto"/>
          <w:kern w:val="2"/>
          <w:sz w:val="32"/>
          <w:szCs w:val="32"/>
          <w:highlight w:val="none"/>
          <w:lang w:eastAsia="zh-CN" w:bidi="ar-SA"/>
        </w:rPr>
        <w:t>；</w:t>
      </w:r>
      <w:r>
        <w:rPr>
          <w:rFonts w:hint="eastAsia" w:ascii="仿宋_GB2312" w:hAnsi="仿宋_GB2312" w:eastAsia="仿宋_GB2312" w:cs="仿宋_GB2312"/>
          <w:color w:val="auto"/>
          <w:kern w:val="2"/>
          <w:sz w:val="32"/>
          <w:szCs w:val="32"/>
          <w:highlight w:val="none"/>
          <w:lang w:val="en-US" w:eastAsia="zh-CN" w:bidi="ar-SA"/>
        </w:rPr>
        <w:t>公务用车购置</w:t>
      </w:r>
      <w:r>
        <w:rPr>
          <w:rFonts w:hint="default" w:ascii="仿宋_GB2312" w:hAnsi="仿宋_GB2312" w:eastAsia="仿宋_GB2312" w:cs="仿宋_GB2312"/>
          <w:color w:val="auto"/>
          <w:kern w:val="2"/>
          <w:sz w:val="32"/>
          <w:szCs w:val="32"/>
          <w:highlight w:val="none"/>
          <w:lang w:eastAsia="zh-CN" w:bidi="ar-SA"/>
        </w:rPr>
        <w:t>0万元、公务用车</w:t>
      </w:r>
      <w:r>
        <w:rPr>
          <w:rFonts w:hint="eastAsia" w:ascii="仿宋_GB2312" w:hAnsi="仿宋_GB2312" w:eastAsia="仿宋_GB2312" w:cs="仿宋_GB2312"/>
          <w:color w:val="auto"/>
          <w:kern w:val="2"/>
          <w:sz w:val="32"/>
          <w:szCs w:val="32"/>
          <w:highlight w:val="none"/>
          <w:lang w:val="en-US" w:eastAsia="zh-CN" w:bidi="ar-SA"/>
        </w:rPr>
        <w:t>运行维护费支出决算</w:t>
      </w:r>
      <w:r>
        <w:rPr>
          <w:rFonts w:hint="eastAsia" w:ascii="仿宋_GB2312" w:hAnsi="仿宋_GB2312" w:eastAsia="仿宋_GB2312" w:cs="仿宋_GB2312"/>
          <w:sz w:val="32"/>
          <w:szCs w:val="32"/>
        </w:rPr>
        <w:t>44.53</w:t>
      </w:r>
      <w:r>
        <w:rPr>
          <w:rFonts w:hint="eastAsia" w:ascii="仿宋_GB2312" w:hAnsi="仿宋_GB2312" w:eastAsia="仿宋_GB2312" w:cs="仿宋_GB2312"/>
          <w:color w:val="auto"/>
          <w:kern w:val="2"/>
          <w:sz w:val="32"/>
          <w:szCs w:val="32"/>
          <w:highlight w:val="none"/>
          <w:lang w:val="en-US" w:eastAsia="zh-CN" w:bidi="ar-SA"/>
        </w:rPr>
        <w:t>万元，占</w:t>
      </w:r>
      <w:r>
        <w:rPr>
          <w:rFonts w:hint="default" w:ascii="仿宋_GB2312" w:hAnsi="仿宋_GB2312" w:eastAsia="仿宋_GB2312" w:cs="仿宋_GB2312"/>
          <w:color w:val="auto"/>
          <w:kern w:val="2"/>
          <w:sz w:val="32"/>
          <w:szCs w:val="32"/>
          <w:highlight w:val="none"/>
          <w:lang w:eastAsia="zh-CN" w:bidi="ar-SA"/>
        </w:rPr>
        <w:t>100</w:t>
      </w:r>
      <w:r>
        <w:rPr>
          <w:rFonts w:hint="eastAsia" w:ascii="仿宋_GB2312" w:hAnsi="仿宋_GB2312" w:eastAsia="仿宋_GB2312" w:cs="仿宋_GB2312"/>
          <w:color w:val="auto"/>
          <w:kern w:val="2"/>
          <w:sz w:val="32"/>
          <w:szCs w:val="32"/>
          <w:highlight w:val="none"/>
          <w:lang w:val="en-US" w:eastAsia="zh-CN" w:bidi="ar-SA"/>
        </w:rPr>
        <w:t>%；公务接待费支出决算</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kern w:val="2"/>
          <w:sz w:val="32"/>
          <w:szCs w:val="32"/>
          <w:highlight w:val="none"/>
          <w:lang w:val="en-US" w:eastAsia="zh-CN" w:bidi="ar-SA"/>
        </w:rPr>
        <w:t>万元。具体情况如下：</w:t>
      </w:r>
    </w:p>
    <w:p w14:paraId="1EDC857A">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drawing>
          <wp:anchor distT="0" distB="0" distL="114300" distR="114300" simplePos="0" relativeHeight="251665408" behindDoc="0" locked="0" layoutInCell="1" allowOverlap="1">
            <wp:simplePos x="0" y="0"/>
            <wp:positionH relativeFrom="column">
              <wp:posOffset>55880</wp:posOffset>
            </wp:positionH>
            <wp:positionV relativeFrom="paragraph">
              <wp:posOffset>227330</wp:posOffset>
            </wp:positionV>
            <wp:extent cx="5101590" cy="2021205"/>
            <wp:effectExtent l="4445" t="4445" r="18415" b="12700"/>
            <wp:wrapSquare wrapText="bothSides"/>
            <wp:docPr id="14" name="图表 4"/>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anchor>
        </w:drawing>
      </w:r>
    </w:p>
    <w:p w14:paraId="13DE138B">
      <w:pPr>
        <w:numPr>
          <w:ilvl w:val="0"/>
          <w:numId w:val="2"/>
        </w:numPr>
        <w:spacing w:line="600" w:lineRule="exact"/>
        <w:ind w:firstLine="640"/>
        <w:rPr>
          <w:rFonts w:hint="default" w:eastAsia="仿宋_GB2312" w:cs="仿宋_GB2312"/>
          <w:color w:val="auto"/>
          <w:kern w:val="2"/>
          <w:sz w:val="32"/>
          <w:szCs w:val="32"/>
          <w:highlight w:val="none"/>
          <w:lang w:eastAsia="zh-CN" w:bidi="ar-SA"/>
        </w:rPr>
      </w:pPr>
      <w:r>
        <w:rPr>
          <w:rFonts w:hint="eastAsia" w:ascii="Times New Roman" w:hAnsi="Times New Roman" w:eastAsia="仿宋_GB2312" w:cs="仿宋_GB2312"/>
          <w:b/>
          <w:bCs/>
          <w:color w:val="auto"/>
          <w:kern w:val="2"/>
          <w:sz w:val="32"/>
          <w:szCs w:val="32"/>
          <w:highlight w:val="none"/>
          <w:lang w:val="en-US" w:eastAsia="zh-CN" w:bidi="ar-SA"/>
        </w:rPr>
        <w:t>因公出国（境）经费支出</w:t>
      </w:r>
      <w:r>
        <w:rPr>
          <w:rFonts w:hint="default" w:eastAsia="仿宋_GB2312" w:cs="仿宋_GB2312"/>
          <w:b/>
          <w:bCs/>
          <w:color w:val="auto"/>
          <w:kern w:val="2"/>
          <w:sz w:val="32"/>
          <w:szCs w:val="32"/>
          <w:highlight w:val="none"/>
          <w:lang w:eastAsia="zh-CN" w:bidi="ar-SA"/>
        </w:rPr>
        <w:t>0</w:t>
      </w:r>
      <w:r>
        <w:rPr>
          <w:rFonts w:hint="eastAsia" w:ascii="Times New Roman" w:hAnsi="Times New Roman" w:eastAsia="仿宋_GB2312" w:cs="仿宋_GB2312"/>
          <w:b/>
          <w:bCs/>
          <w:color w:val="auto"/>
          <w:kern w:val="2"/>
          <w:sz w:val="32"/>
          <w:szCs w:val="32"/>
          <w:highlight w:val="none"/>
          <w:lang w:val="en-US" w:eastAsia="zh-CN" w:bidi="ar-SA"/>
        </w:rPr>
        <w:t>万元。</w:t>
      </w:r>
      <w:r>
        <w:rPr>
          <w:rFonts w:hint="eastAsia" w:ascii="Times New Roman" w:hAnsi="Times New Roman" w:eastAsia="仿宋_GB2312" w:cs="仿宋_GB2312"/>
          <w:color w:val="auto"/>
          <w:kern w:val="2"/>
          <w:sz w:val="32"/>
          <w:szCs w:val="32"/>
          <w:highlight w:val="none"/>
          <w:lang w:val="en-US" w:eastAsia="zh-CN" w:bidi="ar-SA"/>
        </w:rPr>
        <w:t>全年安排因公出国（境）团</w:t>
      </w:r>
      <w:r>
        <w:rPr>
          <w:rFonts w:hint="eastAsia" w:ascii="仿宋_GB2312" w:hAnsi="仿宋_GB2312" w:eastAsia="仿宋_GB2312" w:cs="仿宋_GB2312"/>
          <w:color w:val="auto"/>
          <w:kern w:val="2"/>
          <w:sz w:val="32"/>
          <w:szCs w:val="32"/>
          <w:highlight w:val="none"/>
          <w:lang w:val="en-US" w:eastAsia="zh-CN" w:bidi="ar-SA"/>
        </w:rPr>
        <w:t>组</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次，出国（境）</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kern w:val="2"/>
          <w:sz w:val="32"/>
          <w:szCs w:val="32"/>
          <w:highlight w:val="none"/>
          <w:lang w:val="en-US" w:eastAsia="zh-CN" w:bidi="ar-SA"/>
        </w:rPr>
        <w:t>人</w:t>
      </w:r>
      <w:r>
        <w:rPr>
          <w:rFonts w:hint="eastAsia" w:ascii="Times New Roman" w:hAnsi="Times New Roman" w:eastAsia="仿宋_GB2312" w:cs="仿宋_GB2312"/>
          <w:color w:val="auto"/>
          <w:kern w:val="2"/>
          <w:sz w:val="32"/>
          <w:szCs w:val="32"/>
          <w:highlight w:val="none"/>
          <w:lang w:val="en-US" w:eastAsia="zh-CN" w:bidi="ar-SA"/>
        </w:rPr>
        <w:t>。因公出国（境）支出决算比2023年</w:t>
      </w:r>
      <w:r>
        <w:rPr>
          <w:rFonts w:hint="default" w:eastAsia="仿宋_GB2312" w:cs="仿宋_GB2312"/>
          <w:color w:val="auto"/>
          <w:kern w:val="2"/>
          <w:sz w:val="32"/>
          <w:szCs w:val="32"/>
          <w:highlight w:val="none"/>
          <w:lang w:eastAsia="zh-CN" w:bidi="ar-SA"/>
        </w:rPr>
        <w:t>持平。</w:t>
      </w:r>
    </w:p>
    <w:p w14:paraId="03227CB2">
      <w:pPr>
        <w:spacing w:line="600" w:lineRule="exact"/>
        <w:ind w:firstLine="643" w:firstLineChars="20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b/>
          <w:bCs/>
          <w:color w:val="auto"/>
          <w:kern w:val="2"/>
          <w:sz w:val="32"/>
          <w:szCs w:val="32"/>
          <w:highlight w:val="none"/>
          <w:lang w:val="en-US" w:eastAsia="zh-CN" w:bidi="ar-SA"/>
        </w:rPr>
        <w:t>2.公务用车运行维护费支出</w:t>
      </w:r>
      <w:r>
        <w:rPr>
          <w:rFonts w:hint="eastAsia" w:ascii="仿宋_GB2312" w:hAnsi="仿宋_GB2312" w:eastAsia="仿宋_GB2312" w:cs="仿宋_GB2312"/>
          <w:b/>
          <w:bCs/>
          <w:color w:val="auto"/>
          <w:kern w:val="2"/>
          <w:sz w:val="32"/>
          <w:szCs w:val="32"/>
          <w:highlight w:val="none"/>
          <w:lang w:val="en-US" w:eastAsia="zh-CN" w:bidi="ar-SA"/>
        </w:rPr>
        <w:t>44.53万</w:t>
      </w:r>
      <w:r>
        <w:rPr>
          <w:rFonts w:hint="eastAsia" w:ascii="Times New Roman" w:hAnsi="Times New Roman" w:eastAsia="仿宋_GB2312" w:cs="仿宋_GB2312"/>
          <w:b/>
          <w:bCs/>
          <w:color w:val="auto"/>
          <w:kern w:val="2"/>
          <w:sz w:val="32"/>
          <w:szCs w:val="32"/>
          <w:highlight w:val="none"/>
          <w:lang w:val="en-US" w:eastAsia="zh-CN" w:bidi="ar-SA"/>
        </w:rPr>
        <w:t>元</w:t>
      </w:r>
      <w:r>
        <w:rPr>
          <w:rFonts w:hint="eastAsia" w:eastAsia="仿宋_GB2312" w:cs="仿宋_GB2312"/>
          <w:b/>
          <w:bCs/>
          <w:color w:val="auto"/>
          <w:kern w:val="2"/>
          <w:sz w:val="32"/>
          <w:szCs w:val="32"/>
          <w:highlight w:val="none"/>
          <w:lang w:val="en-US" w:eastAsia="zh-CN" w:bidi="ar-SA"/>
        </w:rPr>
        <w:t>，</w:t>
      </w:r>
      <w:r>
        <w:rPr>
          <w:rFonts w:hint="eastAsia" w:ascii="Times New Roman" w:hAnsi="Times New Roman" w:eastAsia="仿宋_GB2312" w:cs="仿宋_GB2312"/>
          <w:b/>
          <w:bCs/>
          <w:color w:val="auto"/>
          <w:kern w:val="2"/>
          <w:sz w:val="32"/>
          <w:szCs w:val="32"/>
          <w:highlight w:val="none"/>
          <w:lang w:val="en-US" w:eastAsia="zh-CN" w:bidi="ar-SA"/>
        </w:rPr>
        <w:t>完成预算</w:t>
      </w:r>
      <w:r>
        <w:rPr>
          <w:rFonts w:hint="default" w:eastAsia="仿宋_GB2312" w:cs="仿宋_GB2312"/>
          <w:b/>
          <w:bCs/>
          <w:color w:val="auto"/>
          <w:kern w:val="2"/>
          <w:sz w:val="32"/>
          <w:szCs w:val="32"/>
          <w:highlight w:val="none"/>
          <w:lang w:eastAsia="zh-CN" w:bidi="ar-SA"/>
        </w:rPr>
        <w:t>100</w:t>
      </w:r>
      <w:r>
        <w:rPr>
          <w:rFonts w:hint="eastAsia" w:ascii="Times New Roman" w:hAnsi="Times New Roman" w:eastAsia="仿宋_GB2312" w:cs="仿宋_GB2312"/>
          <w:b/>
          <w:bCs/>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公务用车运行维护费支出决算比2023年度减少</w:t>
      </w:r>
      <w:r>
        <w:rPr>
          <w:rFonts w:hint="default" w:eastAsia="仿宋_GB2312" w:cs="仿宋_GB2312"/>
          <w:color w:val="auto"/>
          <w:kern w:val="2"/>
          <w:sz w:val="32"/>
          <w:szCs w:val="32"/>
          <w:highlight w:val="none"/>
          <w:lang w:eastAsia="zh-CN" w:bidi="ar-SA"/>
        </w:rPr>
        <w:t>7.99</w:t>
      </w:r>
      <w:r>
        <w:rPr>
          <w:rFonts w:hint="eastAsia" w:ascii="Times New Roman" w:hAnsi="Times New Roman" w:eastAsia="仿宋_GB2312" w:cs="仿宋_GB2312"/>
          <w:color w:val="auto"/>
          <w:kern w:val="2"/>
          <w:sz w:val="32"/>
          <w:szCs w:val="32"/>
          <w:highlight w:val="none"/>
          <w:lang w:val="en-US" w:eastAsia="zh-CN" w:bidi="ar-SA"/>
        </w:rPr>
        <w:t>万元，下降</w:t>
      </w:r>
      <w:r>
        <w:rPr>
          <w:rFonts w:hint="default" w:eastAsia="仿宋_GB2312" w:cs="仿宋_GB2312"/>
          <w:color w:val="auto"/>
          <w:kern w:val="2"/>
          <w:sz w:val="32"/>
          <w:szCs w:val="32"/>
          <w:highlight w:val="none"/>
          <w:lang w:eastAsia="zh-CN" w:bidi="ar-SA"/>
        </w:rPr>
        <w:t>15.21</w:t>
      </w:r>
      <w:r>
        <w:rPr>
          <w:rFonts w:hint="eastAsia" w:ascii="Times New Roman" w:hAnsi="Times New Roman" w:eastAsia="仿宋_GB2312" w:cs="仿宋_GB2312"/>
          <w:color w:val="auto"/>
          <w:kern w:val="2"/>
          <w:sz w:val="32"/>
          <w:szCs w:val="32"/>
          <w:highlight w:val="none"/>
          <w:lang w:val="en-US" w:eastAsia="zh-CN" w:bidi="ar-SA"/>
        </w:rPr>
        <w:t>%。主要原因是</w:t>
      </w:r>
      <w:r>
        <w:rPr>
          <w:rFonts w:hint="eastAsia" w:ascii="Times New Roman" w:hAnsi="Times New Roman" w:eastAsia="仿宋_GB2312" w:cs="仿宋_GB2312"/>
          <w:color w:val="auto"/>
          <w:sz w:val="32"/>
          <w:szCs w:val="32"/>
          <w:highlight w:val="none"/>
          <w:lang w:eastAsia="zh-CN"/>
        </w:rPr>
        <w:t>厉行节约，压减开支，减少</w:t>
      </w:r>
      <w:r>
        <w:rPr>
          <w:rFonts w:hint="default" w:ascii="Times New Roman" w:hAnsi="Times New Roman" w:eastAsia="仿宋_GB2312" w:cs="仿宋_GB2312"/>
          <w:color w:val="auto"/>
          <w:sz w:val="32"/>
          <w:szCs w:val="32"/>
          <w:highlight w:val="none"/>
          <w:lang w:eastAsia="zh-CN"/>
        </w:rPr>
        <w:t>支出</w:t>
      </w:r>
      <w:r>
        <w:rPr>
          <w:rFonts w:hint="default" w:eastAsia="仿宋_GB2312" w:cs="仿宋_GB2312"/>
          <w:color w:val="auto"/>
          <w:sz w:val="32"/>
          <w:szCs w:val="32"/>
          <w:highlight w:val="none"/>
          <w:lang w:eastAsia="zh-CN"/>
        </w:rPr>
        <w:t>。</w:t>
      </w:r>
    </w:p>
    <w:p w14:paraId="6129F0AF">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截至2024年12月31日，单位共有公务用车</w:t>
      </w:r>
      <w:r>
        <w:rPr>
          <w:rFonts w:hint="default" w:eastAsia="仿宋_GB2312" w:cs="仿宋_GB2312"/>
          <w:color w:val="auto"/>
          <w:kern w:val="2"/>
          <w:sz w:val="32"/>
          <w:szCs w:val="32"/>
          <w:highlight w:val="none"/>
          <w:lang w:eastAsia="zh-CN" w:bidi="ar-SA"/>
        </w:rPr>
        <w:t>5</w:t>
      </w:r>
      <w:r>
        <w:rPr>
          <w:rFonts w:hint="eastAsia" w:ascii="Times New Roman" w:hAnsi="Times New Roman" w:eastAsia="仿宋_GB2312" w:cs="仿宋_GB2312"/>
          <w:color w:val="auto"/>
          <w:kern w:val="2"/>
          <w:sz w:val="32"/>
          <w:szCs w:val="32"/>
          <w:highlight w:val="none"/>
          <w:lang w:val="en-US" w:eastAsia="zh-CN" w:bidi="ar-SA"/>
        </w:rPr>
        <w:t>辆，</w:t>
      </w:r>
      <w:r>
        <w:rPr>
          <w:rFonts w:hint="default" w:eastAsia="仿宋_GB2312" w:cs="仿宋_GB2312"/>
          <w:color w:val="auto"/>
          <w:kern w:val="2"/>
          <w:sz w:val="32"/>
          <w:szCs w:val="32"/>
          <w:highlight w:val="none"/>
          <w:lang w:eastAsia="zh-CN" w:bidi="ar-SA"/>
        </w:rPr>
        <w:t>全为</w:t>
      </w:r>
      <w:r>
        <w:rPr>
          <w:rFonts w:hint="eastAsia" w:ascii="Times New Roman" w:hAnsi="Times New Roman" w:eastAsia="仿宋_GB2312" w:cs="仿宋_GB2312"/>
          <w:color w:val="auto"/>
          <w:kern w:val="2"/>
          <w:sz w:val="32"/>
          <w:szCs w:val="32"/>
          <w:highlight w:val="none"/>
          <w:lang w:val="en-US" w:eastAsia="zh-CN" w:bidi="ar-SA"/>
        </w:rPr>
        <w:t>越野车。</w:t>
      </w:r>
    </w:p>
    <w:p w14:paraId="7CD0BE2E">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公务用车运行维护费支</w:t>
      </w:r>
      <w:r>
        <w:rPr>
          <w:rFonts w:hint="eastAsia" w:ascii="仿宋_GB2312" w:hAnsi="仿宋_GB2312" w:eastAsia="仿宋_GB2312" w:cs="仿宋_GB2312"/>
          <w:color w:val="auto"/>
          <w:kern w:val="2"/>
          <w:sz w:val="32"/>
          <w:szCs w:val="32"/>
          <w:highlight w:val="none"/>
          <w:lang w:val="en-US" w:eastAsia="zh-CN" w:bidi="ar-SA"/>
        </w:rPr>
        <w:t>出</w:t>
      </w:r>
      <w:r>
        <w:rPr>
          <w:rFonts w:hint="eastAsia" w:ascii="仿宋_GB2312" w:hAnsi="仿宋_GB2312" w:eastAsia="仿宋_GB2312" w:cs="仿宋_GB2312"/>
          <w:sz w:val="32"/>
          <w:szCs w:val="32"/>
        </w:rPr>
        <w:t>44.53</w:t>
      </w:r>
      <w:r>
        <w:rPr>
          <w:rFonts w:hint="eastAsia" w:ascii="Times New Roman" w:hAnsi="Times New Roman" w:eastAsia="仿宋_GB2312" w:cs="仿宋_GB2312"/>
          <w:color w:val="auto"/>
          <w:kern w:val="2"/>
          <w:sz w:val="32"/>
          <w:szCs w:val="32"/>
          <w:highlight w:val="none"/>
          <w:lang w:val="en-US" w:eastAsia="zh-CN" w:bidi="ar-SA"/>
        </w:rPr>
        <w:t>万元。主要用于所需的公务用车燃料费、维修费、过路过桥费、保险费等支出。</w:t>
      </w:r>
    </w:p>
    <w:p w14:paraId="02B46107">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b/>
          <w:bCs/>
          <w:color w:val="auto"/>
          <w:kern w:val="2"/>
          <w:sz w:val="32"/>
          <w:szCs w:val="32"/>
          <w:highlight w:val="none"/>
          <w:lang w:val="en-US" w:eastAsia="zh-CN" w:bidi="ar-SA"/>
        </w:rPr>
        <w:t>3.公务接待费支出</w:t>
      </w:r>
      <w:r>
        <w:rPr>
          <w:rFonts w:hint="eastAsia" w:ascii="仿宋_GB2312" w:hAnsi="仿宋_GB2312" w:eastAsia="仿宋_GB2312" w:cs="仿宋_GB2312"/>
          <w:b/>
          <w:bCs/>
          <w:color w:val="auto"/>
          <w:kern w:val="2"/>
          <w:sz w:val="32"/>
          <w:szCs w:val="32"/>
          <w:highlight w:val="none"/>
          <w:lang w:val="en-US" w:eastAsia="zh-CN" w:bidi="ar-SA"/>
        </w:rPr>
        <w:t>0万</w:t>
      </w:r>
      <w:r>
        <w:rPr>
          <w:rFonts w:hint="eastAsia" w:ascii="Times New Roman" w:hAnsi="Times New Roman" w:eastAsia="仿宋_GB2312" w:cs="仿宋_GB2312"/>
          <w:b/>
          <w:bCs/>
          <w:color w:val="auto"/>
          <w:kern w:val="2"/>
          <w:sz w:val="32"/>
          <w:szCs w:val="32"/>
          <w:highlight w:val="none"/>
          <w:lang w:val="en-US" w:eastAsia="zh-CN" w:bidi="ar-SA"/>
        </w:rPr>
        <w:t>元。</w:t>
      </w:r>
      <w:r>
        <w:rPr>
          <w:rFonts w:hint="eastAsia" w:ascii="Times New Roman" w:hAnsi="Times New Roman" w:eastAsia="仿宋_GB2312" w:cs="仿宋_GB2312"/>
          <w:color w:val="auto"/>
          <w:kern w:val="2"/>
          <w:sz w:val="32"/>
          <w:szCs w:val="32"/>
          <w:highlight w:val="none"/>
          <w:lang w:val="en-US" w:eastAsia="zh-CN" w:bidi="ar-SA"/>
        </w:rPr>
        <w:t>公务接待费支出决算比2023年度</w:t>
      </w:r>
      <w:r>
        <w:rPr>
          <w:rFonts w:hint="default" w:eastAsia="仿宋_GB2312" w:cs="仿宋_GB2312"/>
          <w:color w:val="auto"/>
          <w:kern w:val="2"/>
          <w:sz w:val="32"/>
          <w:szCs w:val="32"/>
          <w:highlight w:val="none"/>
          <w:lang w:eastAsia="zh-CN" w:bidi="ar-SA"/>
        </w:rPr>
        <w:t>持平。</w:t>
      </w:r>
      <w:bookmarkStart w:id="42" w:name="_Toc15396610"/>
      <w:bookmarkStart w:id="43" w:name="_Toc15377218"/>
    </w:p>
    <w:p w14:paraId="60719DDD">
      <w:pPr>
        <w:spacing w:line="600" w:lineRule="exact"/>
        <w:ind w:firstLine="640"/>
        <w:outlineLvl w:val="1"/>
        <w:rPr>
          <w:rStyle w:val="30"/>
          <w:rFonts w:ascii="Times New Roman" w:hAnsi="Times New Roman" w:eastAsia="黑体"/>
          <w:color w:val="auto"/>
          <w:highlight w:val="none"/>
        </w:rPr>
      </w:pPr>
      <w:bookmarkStart w:id="44" w:name="_Toc453039306"/>
      <w:r>
        <w:rPr>
          <w:rFonts w:hint="eastAsia" w:ascii="Times New Roman" w:hAnsi="Times New Roman" w:eastAsia="黑体"/>
          <w:color w:val="auto"/>
          <w:sz w:val="32"/>
          <w:szCs w:val="32"/>
          <w:highlight w:val="none"/>
        </w:rPr>
        <w:t>八、</w:t>
      </w:r>
      <w:r>
        <w:rPr>
          <w:rStyle w:val="30"/>
          <w:rFonts w:hint="eastAsia" w:ascii="Times New Roman" w:hAnsi="Times New Roman" w:eastAsia="黑体"/>
          <w:b w:val="0"/>
          <w:color w:val="auto"/>
          <w:highlight w:val="none"/>
        </w:rPr>
        <w:t>政府性基金预算支出决算情况说明</w:t>
      </w:r>
      <w:bookmarkEnd w:id="42"/>
      <w:bookmarkEnd w:id="43"/>
      <w:bookmarkEnd w:id="44"/>
    </w:p>
    <w:p w14:paraId="1ADA1213">
      <w:pPr>
        <w:spacing w:line="600" w:lineRule="exact"/>
        <w:ind w:firstLine="640"/>
        <w:rPr>
          <w:rFonts w:hint="default" w:ascii="Times New Roman" w:hAnsi="Times New Roman" w:eastAsia="仿宋_GB2312" w:cs="仿宋_GB2312"/>
          <w:color w:val="auto"/>
          <w:kern w:val="2"/>
          <w:sz w:val="32"/>
          <w:szCs w:val="32"/>
          <w:highlight w:val="none"/>
          <w:lang w:eastAsia="zh-CN" w:bidi="ar-SA"/>
        </w:rPr>
      </w:pPr>
      <w:r>
        <w:rPr>
          <w:rFonts w:hint="eastAsia" w:ascii="仿宋_GB2312" w:hAnsi="仿宋_GB2312" w:eastAsia="仿宋_GB2312" w:cs="仿宋_GB2312"/>
          <w:color w:val="auto"/>
          <w:kern w:val="2"/>
          <w:sz w:val="32"/>
          <w:szCs w:val="32"/>
          <w:highlight w:val="none"/>
          <w:lang w:val="en-US" w:eastAsia="zh-CN" w:bidi="ar-SA"/>
        </w:rPr>
        <w:t>2024年度政府性基金预算财政拨款支出</w:t>
      </w:r>
      <w:r>
        <w:rPr>
          <w:rFonts w:hint="eastAsia" w:ascii="仿宋_GB2312" w:hAnsi="仿宋_GB2312" w:eastAsia="仿宋_GB2312" w:cs="仿宋_GB2312"/>
          <w:sz w:val="32"/>
          <w:szCs w:val="32"/>
        </w:rPr>
        <w:t>353.33</w:t>
      </w:r>
      <w:r>
        <w:rPr>
          <w:rFonts w:hint="eastAsia" w:ascii="仿宋_GB2312" w:hAnsi="仿宋_GB2312" w:eastAsia="仿宋_GB2312" w:cs="仿宋_GB2312"/>
          <w:color w:val="auto"/>
          <w:kern w:val="2"/>
          <w:sz w:val="32"/>
          <w:szCs w:val="32"/>
          <w:highlight w:val="none"/>
          <w:lang w:val="en-US" w:eastAsia="zh-CN" w:bidi="ar-SA"/>
        </w:rPr>
        <w:t>万元，占本年支出合计的</w:t>
      </w:r>
      <w:r>
        <w:rPr>
          <w:rFonts w:hint="eastAsia" w:ascii="仿宋_GB2312" w:hAnsi="仿宋_GB2312" w:eastAsia="仿宋_GB2312" w:cs="仿宋_GB2312"/>
          <w:sz w:val="32"/>
          <w:szCs w:val="32"/>
        </w:rPr>
        <w:t>25.44</w:t>
      </w:r>
      <w:r>
        <w:rPr>
          <w:rFonts w:hint="eastAsia" w:ascii="仿宋_GB2312" w:hAnsi="仿宋_GB2312"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。与2023年度相比，政府性基金预算财政拨款支出增加</w:t>
      </w:r>
      <w:r>
        <w:rPr>
          <w:rFonts w:hint="default" w:eastAsia="仿宋_GB2312" w:cs="仿宋_GB2312"/>
          <w:color w:val="auto"/>
          <w:kern w:val="2"/>
          <w:sz w:val="32"/>
          <w:szCs w:val="32"/>
          <w:highlight w:val="none"/>
          <w:lang w:eastAsia="zh-CN" w:bidi="ar-SA"/>
        </w:rPr>
        <w:t>298.98</w:t>
      </w:r>
      <w:r>
        <w:rPr>
          <w:rFonts w:hint="eastAsia" w:ascii="Times New Roman" w:hAnsi="Times New Roman" w:eastAsia="仿宋_GB2312" w:cs="仿宋_GB2312"/>
          <w:color w:val="auto"/>
          <w:kern w:val="2"/>
          <w:sz w:val="32"/>
          <w:szCs w:val="32"/>
          <w:highlight w:val="none"/>
          <w:lang w:val="en-US" w:eastAsia="zh-CN" w:bidi="ar-SA"/>
        </w:rPr>
        <w:t>万元，增长</w:t>
      </w:r>
      <w:r>
        <w:rPr>
          <w:rFonts w:hint="default" w:eastAsia="仿宋_GB2312" w:cs="仿宋_GB2312"/>
          <w:color w:val="auto"/>
          <w:kern w:val="2"/>
          <w:sz w:val="32"/>
          <w:szCs w:val="32"/>
          <w:highlight w:val="none"/>
          <w:lang w:eastAsia="zh-CN" w:bidi="ar-SA"/>
        </w:rPr>
        <w:t>542.65</w:t>
      </w:r>
      <w:r>
        <w:rPr>
          <w:rFonts w:hint="eastAsia" w:ascii="Times New Roman" w:hAnsi="Times New Roman" w:eastAsia="仿宋_GB2312" w:cs="仿宋_GB2312"/>
          <w:color w:val="auto"/>
          <w:kern w:val="2"/>
          <w:sz w:val="32"/>
          <w:szCs w:val="32"/>
          <w:highlight w:val="none"/>
          <w:lang w:val="en-US" w:eastAsia="zh-CN" w:bidi="ar-SA"/>
        </w:rPr>
        <w:t>%。主要变动原因是</w:t>
      </w:r>
      <w:r>
        <w:rPr>
          <w:rFonts w:hint="default" w:eastAsia="仿宋_GB2312" w:cs="仿宋_GB2312"/>
          <w:color w:val="auto"/>
          <w:kern w:val="2"/>
          <w:sz w:val="32"/>
          <w:szCs w:val="32"/>
          <w:highlight w:val="none"/>
          <w:lang w:eastAsia="zh-CN" w:bidi="ar-SA"/>
        </w:rPr>
        <w:t>上级财政福彩专项资金增加。</w:t>
      </w:r>
    </w:p>
    <w:p w14:paraId="4B5508AD">
      <w:pPr>
        <w:numPr>
          <w:ilvl w:val="0"/>
          <w:numId w:val="0"/>
        </w:numPr>
        <w:spacing w:line="600" w:lineRule="exact"/>
        <w:ind w:left="630" w:leftChars="0"/>
        <w:outlineLvl w:val="1"/>
        <w:rPr>
          <w:rStyle w:val="30"/>
          <w:rFonts w:ascii="Times New Roman" w:hAnsi="Times New Roman" w:eastAsia="黑体"/>
          <w:b w:val="0"/>
          <w:color w:val="auto"/>
          <w:highlight w:val="none"/>
        </w:rPr>
      </w:pPr>
      <w:bookmarkStart w:id="45" w:name="_Toc15377219"/>
      <w:bookmarkStart w:id="46" w:name="_Toc15396611"/>
      <w:bookmarkStart w:id="47" w:name="_Toc647678014"/>
      <w:r>
        <w:rPr>
          <w:rStyle w:val="30"/>
          <w:rFonts w:hint="eastAsia" w:ascii="Times New Roman" w:hAnsi="Times New Roman" w:eastAsia="黑体"/>
          <w:b w:val="0"/>
          <w:color w:val="auto"/>
          <w:highlight w:val="none"/>
          <w:lang w:eastAsia="zh-CN"/>
        </w:rPr>
        <w:t>九、</w:t>
      </w:r>
      <w:r>
        <w:rPr>
          <w:rStyle w:val="30"/>
          <w:rFonts w:hint="eastAsia" w:ascii="Times New Roman" w:hAnsi="Times New Roman" w:eastAsia="黑体"/>
          <w:b w:val="0"/>
          <w:color w:val="auto"/>
          <w:highlight w:val="none"/>
        </w:rPr>
        <w:t>国有资本经营预算支出决算情况说明</w:t>
      </w:r>
      <w:bookmarkEnd w:id="45"/>
      <w:bookmarkEnd w:id="46"/>
      <w:bookmarkEnd w:id="47"/>
    </w:p>
    <w:p w14:paraId="261779C3">
      <w:pPr>
        <w:spacing w:line="600" w:lineRule="exact"/>
        <w:ind w:firstLine="640"/>
        <w:rPr>
          <w:rFonts w:hint="default" w:ascii="Times New Roman" w:hAnsi="Times New Roman" w:eastAsia="仿宋_GB2312" w:cs="仿宋_GB2312"/>
          <w:color w:val="auto"/>
          <w:kern w:val="2"/>
          <w:sz w:val="32"/>
          <w:szCs w:val="32"/>
          <w:highlight w:val="none"/>
          <w:lang w:eastAsia="zh-CN" w:bidi="ar-SA"/>
        </w:rPr>
      </w:pPr>
      <w:r>
        <w:rPr>
          <w:rFonts w:hint="eastAsia" w:ascii="Times New Roman" w:hAnsi="Times New Roman" w:eastAsia="仿宋_GB2312" w:cs="仿宋_GB2312"/>
          <w:color w:val="auto"/>
          <w:kern w:val="2"/>
          <w:sz w:val="32"/>
          <w:szCs w:val="32"/>
          <w:highlight w:val="none"/>
          <w:lang w:val="en-US" w:eastAsia="zh-CN" w:bidi="ar-SA"/>
        </w:rPr>
        <w:t>2024年度国有资本经营预算财政拨款支出</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kern w:val="2"/>
          <w:sz w:val="32"/>
          <w:szCs w:val="32"/>
          <w:highlight w:val="none"/>
          <w:lang w:val="en-US" w:eastAsia="zh-CN" w:bidi="ar-SA"/>
        </w:rPr>
        <w:t>万元，占本年支出合计的</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。与2023年度</w:t>
      </w:r>
      <w:r>
        <w:rPr>
          <w:rFonts w:hint="default" w:eastAsia="仿宋_GB2312" w:cs="仿宋_GB2312"/>
          <w:color w:val="auto"/>
          <w:kern w:val="2"/>
          <w:sz w:val="32"/>
          <w:szCs w:val="32"/>
          <w:highlight w:val="none"/>
          <w:lang w:eastAsia="zh-CN" w:bidi="ar-SA"/>
        </w:rPr>
        <w:t>持平。</w:t>
      </w:r>
    </w:p>
    <w:p w14:paraId="2BF81331">
      <w:pPr>
        <w:numPr>
          <w:ilvl w:val="0"/>
          <w:numId w:val="0"/>
        </w:numPr>
        <w:spacing w:line="600" w:lineRule="exact"/>
        <w:ind w:left="630" w:leftChars="0"/>
        <w:outlineLvl w:val="1"/>
        <w:rPr>
          <w:rStyle w:val="30"/>
          <w:rFonts w:hint="eastAsia" w:ascii="Times New Roman" w:hAnsi="Times New Roman" w:eastAsia="黑体"/>
          <w:b w:val="0"/>
          <w:color w:val="auto"/>
          <w:highlight w:val="none"/>
        </w:rPr>
      </w:pPr>
      <w:bookmarkStart w:id="48" w:name="_Toc207200408"/>
      <w:bookmarkStart w:id="49" w:name="_Toc15396612"/>
      <w:bookmarkStart w:id="50" w:name="_Toc15377221"/>
      <w:r>
        <w:rPr>
          <w:rStyle w:val="30"/>
          <w:rFonts w:hint="eastAsia" w:ascii="Times New Roman" w:hAnsi="Times New Roman" w:eastAsia="黑体"/>
          <w:b w:val="0"/>
          <w:color w:val="auto"/>
          <w:highlight w:val="none"/>
          <w:lang w:eastAsia="zh-CN"/>
        </w:rPr>
        <w:t>十、</w:t>
      </w:r>
      <w:r>
        <w:rPr>
          <w:rStyle w:val="30"/>
          <w:rFonts w:hint="eastAsia" w:ascii="Times New Roman" w:hAnsi="Times New Roman" w:eastAsia="黑体"/>
          <w:b w:val="0"/>
          <w:color w:val="auto"/>
          <w:highlight w:val="none"/>
        </w:rPr>
        <w:t>其他重要事项的情况说明</w:t>
      </w:r>
      <w:bookmarkEnd w:id="48"/>
      <w:bookmarkEnd w:id="49"/>
      <w:bookmarkEnd w:id="50"/>
    </w:p>
    <w:p w14:paraId="71C46CF9">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51" w:name="_Toc15377222"/>
      <w:bookmarkStart w:id="52" w:name="_Toc719141223"/>
      <w:r>
        <w:rPr>
          <w:rFonts w:hint="eastAsia" w:ascii="Times New Roman" w:hAnsi="Times New Roman" w:eastAsia="楷体_GB2312" w:cs="楷体_GB2312"/>
          <w:b/>
          <w:color w:val="auto"/>
          <w:sz w:val="32"/>
          <w:szCs w:val="32"/>
          <w:highlight w:val="none"/>
        </w:rPr>
        <w:t>（一）机关运行经费支出情况</w:t>
      </w:r>
      <w:bookmarkEnd w:id="51"/>
      <w:bookmarkEnd w:id="52"/>
    </w:p>
    <w:p w14:paraId="3FAB1E6A">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2024年度</w:t>
      </w:r>
      <w:r>
        <w:rPr>
          <w:rFonts w:hint="eastAsia" w:ascii="仿宋_GB2312" w:hAnsi="仿宋_GB2312" w:eastAsia="仿宋_GB2312" w:cs="仿宋_GB2312"/>
          <w:color w:val="auto"/>
          <w:kern w:val="2"/>
          <w:sz w:val="32"/>
          <w:szCs w:val="32"/>
          <w:highlight w:val="none"/>
          <w:lang w:val="en-US" w:eastAsia="zh-CN" w:bidi="ar-SA"/>
        </w:rPr>
        <w:t>，</w:t>
      </w:r>
      <w:r>
        <w:rPr>
          <w:rFonts w:hint="eastAsia" w:ascii="仿宋_GB2312" w:hAnsi="仿宋_GB2312" w:eastAsia="仿宋_GB2312" w:cs="仿宋_GB2312"/>
          <w:sz w:val="32"/>
          <w:szCs w:val="32"/>
        </w:rPr>
        <w:t>阿坝藏族羌族自治州民政局（本级）</w:t>
      </w:r>
      <w:r>
        <w:rPr>
          <w:rFonts w:hint="eastAsia" w:ascii="仿宋_GB2312" w:hAnsi="仿宋_GB2312" w:eastAsia="仿宋_GB2312" w:cs="仿宋_GB2312"/>
          <w:color w:val="auto"/>
          <w:kern w:val="2"/>
          <w:sz w:val="32"/>
          <w:szCs w:val="32"/>
          <w:highlight w:val="none"/>
          <w:lang w:val="en-US" w:eastAsia="zh-CN" w:bidi="ar-SA"/>
        </w:rPr>
        <w:t>机关运行经费支出</w:t>
      </w:r>
      <w:r>
        <w:rPr>
          <w:rFonts w:hint="eastAsia" w:ascii="仿宋_GB2312" w:hAnsi="仿宋_GB2312" w:eastAsia="仿宋_GB2312" w:cs="仿宋_GB2312"/>
          <w:sz w:val="32"/>
          <w:szCs w:val="32"/>
        </w:rPr>
        <w:t>97.38</w:t>
      </w:r>
      <w:r>
        <w:rPr>
          <w:rFonts w:hint="eastAsia" w:ascii="仿宋_GB2312" w:hAnsi="仿宋_GB2312" w:eastAsia="仿宋_GB2312" w:cs="仿宋_GB2312"/>
          <w:color w:val="auto"/>
          <w:kern w:val="2"/>
          <w:sz w:val="32"/>
          <w:szCs w:val="32"/>
          <w:highlight w:val="none"/>
          <w:lang w:val="en-US" w:eastAsia="zh-CN" w:bidi="ar-SA"/>
        </w:rPr>
        <w:t>万</w:t>
      </w:r>
      <w:r>
        <w:rPr>
          <w:rFonts w:hint="eastAsia" w:ascii="Times New Roman" w:hAnsi="Times New Roman" w:eastAsia="仿宋_GB2312" w:cs="仿宋_GB2312"/>
          <w:color w:val="auto"/>
          <w:kern w:val="2"/>
          <w:sz w:val="32"/>
          <w:szCs w:val="32"/>
          <w:highlight w:val="none"/>
          <w:lang w:val="en-US" w:eastAsia="zh-CN" w:bidi="ar-SA"/>
        </w:rPr>
        <w:t>元，比2023年度减少</w:t>
      </w:r>
      <w:r>
        <w:rPr>
          <w:rFonts w:hint="default" w:eastAsia="仿宋_GB2312" w:cs="仿宋_GB2312"/>
          <w:color w:val="auto"/>
          <w:kern w:val="2"/>
          <w:sz w:val="32"/>
          <w:szCs w:val="32"/>
          <w:highlight w:val="none"/>
          <w:lang w:eastAsia="zh-CN" w:bidi="ar-SA"/>
        </w:rPr>
        <w:t>11.36</w:t>
      </w:r>
      <w:r>
        <w:rPr>
          <w:rFonts w:hint="eastAsia" w:ascii="Times New Roman" w:hAnsi="Times New Roman" w:eastAsia="仿宋_GB2312" w:cs="仿宋_GB2312"/>
          <w:color w:val="auto"/>
          <w:kern w:val="2"/>
          <w:sz w:val="32"/>
          <w:szCs w:val="32"/>
          <w:highlight w:val="none"/>
          <w:lang w:val="en-US" w:eastAsia="zh-CN" w:bidi="ar-SA"/>
        </w:rPr>
        <w:t>万元，下降</w:t>
      </w:r>
      <w:r>
        <w:rPr>
          <w:rFonts w:hint="default" w:eastAsia="仿宋_GB2312" w:cs="仿宋_GB2312"/>
          <w:color w:val="auto"/>
          <w:kern w:val="2"/>
          <w:sz w:val="32"/>
          <w:szCs w:val="32"/>
          <w:highlight w:val="none"/>
          <w:lang w:eastAsia="zh-CN" w:bidi="ar-SA"/>
        </w:rPr>
        <w:t>10.45</w:t>
      </w:r>
      <w:r>
        <w:rPr>
          <w:rFonts w:hint="eastAsia" w:ascii="Times New Roman" w:hAnsi="Times New Roman" w:eastAsia="仿宋_GB2312" w:cs="仿宋_GB2312"/>
          <w:color w:val="auto"/>
          <w:kern w:val="2"/>
          <w:sz w:val="32"/>
          <w:szCs w:val="32"/>
          <w:highlight w:val="none"/>
          <w:lang w:val="en-US" w:eastAsia="zh-CN" w:bidi="ar-SA"/>
        </w:rPr>
        <w:t>%。主要原因是厉行节约，压减开支。</w:t>
      </w:r>
    </w:p>
    <w:p w14:paraId="46615E48">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53" w:name="_Toc790073863"/>
      <w:bookmarkStart w:id="54" w:name="_Toc15377223"/>
      <w:r>
        <w:rPr>
          <w:rFonts w:hint="eastAsia" w:ascii="Times New Roman" w:hAnsi="Times New Roman" w:eastAsia="楷体_GB2312" w:cs="楷体_GB2312"/>
          <w:b/>
          <w:color w:val="auto"/>
          <w:sz w:val="32"/>
          <w:szCs w:val="32"/>
          <w:highlight w:val="none"/>
        </w:rPr>
        <w:t>（二）政府采购支出情况</w:t>
      </w:r>
      <w:bookmarkEnd w:id="53"/>
      <w:bookmarkEnd w:id="54"/>
    </w:p>
    <w:p w14:paraId="7C6849F3">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仿宋_GB2312" w:hAnsi="仿宋_GB2312" w:eastAsia="仿宋_GB2312" w:cs="仿宋_GB2312"/>
          <w:color w:val="auto"/>
          <w:kern w:val="2"/>
          <w:sz w:val="32"/>
          <w:szCs w:val="32"/>
          <w:highlight w:val="none"/>
          <w:lang w:val="en-US" w:eastAsia="zh-CN" w:bidi="ar-SA"/>
        </w:rPr>
        <w:t>2024年度，</w:t>
      </w:r>
      <w:r>
        <w:rPr>
          <w:rFonts w:hint="eastAsia" w:ascii="仿宋_GB2312" w:hAnsi="仿宋_GB2312" w:eastAsia="仿宋_GB2312" w:cs="仿宋_GB2312"/>
          <w:sz w:val="32"/>
          <w:szCs w:val="32"/>
        </w:rPr>
        <w:t>阿坝藏族羌族自治州民政局（本级）</w:t>
      </w:r>
      <w:r>
        <w:rPr>
          <w:rFonts w:hint="eastAsia" w:ascii="仿宋_GB2312" w:hAnsi="仿宋_GB2312" w:eastAsia="仿宋_GB2312" w:cs="仿宋_GB2312"/>
          <w:color w:val="auto"/>
          <w:kern w:val="2"/>
          <w:sz w:val="32"/>
          <w:szCs w:val="32"/>
          <w:highlight w:val="none"/>
          <w:lang w:val="en-US" w:eastAsia="zh-CN" w:bidi="ar-SA"/>
        </w:rPr>
        <w:t>政府采购支出总额</w:t>
      </w:r>
      <w:r>
        <w:rPr>
          <w:rFonts w:hint="eastAsia" w:ascii="仿宋_GB2312" w:hAnsi="仿宋_GB2312" w:eastAsia="仿宋_GB2312" w:cs="仿宋_GB2312"/>
          <w:sz w:val="32"/>
          <w:szCs w:val="32"/>
        </w:rPr>
        <w:t>212.58</w:t>
      </w:r>
      <w:r>
        <w:rPr>
          <w:rFonts w:hint="eastAsia" w:ascii="仿宋_GB2312" w:hAnsi="仿宋_GB2312" w:eastAsia="仿宋_GB2312" w:cs="仿宋_GB2312"/>
          <w:color w:val="auto"/>
          <w:kern w:val="2"/>
          <w:sz w:val="32"/>
          <w:szCs w:val="32"/>
          <w:highlight w:val="none"/>
          <w:lang w:val="en-US" w:eastAsia="zh-CN" w:bidi="ar-SA"/>
        </w:rPr>
        <w:t>万元，其中：政府采购货物支出</w:t>
      </w:r>
      <w:r>
        <w:rPr>
          <w:rFonts w:hint="eastAsia" w:ascii="仿宋_GB2312" w:hAnsi="仿宋_GB2312" w:eastAsia="仿宋_GB2312" w:cs="仿宋_GB2312"/>
          <w:sz w:val="32"/>
          <w:szCs w:val="32"/>
        </w:rPr>
        <w:t>209.79</w:t>
      </w:r>
      <w:r>
        <w:rPr>
          <w:rFonts w:hint="eastAsia" w:ascii="仿宋_GB2312" w:hAnsi="仿宋_GB2312" w:eastAsia="仿宋_GB2312" w:cs="仿宋_GB2312"/>
          <w:color w:val="auto"/>
          <w:kern w:val="2"/>
          <w:sz w:val="32"/>
          <w:szCs w:val="32"/>
          <w:highlight w:val="none"/>
          <w:lang w:val="en-US" w:eastAsia="zh-CN" w:bidi="ar-SA"/>
        </w:rPr>
        <w:t>万元、政府采购工程支出</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kern w:val="2"/>
          <w:sz w:val="32"/>
          <w:szCs w:val="32"/>
          <w:highlight w:val="none"/>
          <w:lang w:val="en-US" w:eastAsia="zh-CN" w:bidi="ar-SA"/>
        </w:rPr>
        <w:t>万元、政府采购服务支出</w:t>
      </w:r>
      <w:r>
        <w:rPr>
          <w:rFonts w:hint="eastAsia" w:ascii="仿宋_GB2312" w:hAnsi="仿宋_GB2312" w:eastAsia="仿宋_GB2312" w:cs="仿宋_GB2312"/>
          <w:sz w:val="32"/>
          <w:szCs w:val="32"/>
        </w:rPr>
        <w:t>2.79</w:t>
      </w:r>
      <w:r>
        <w:rPr>
          <w:rFonts w:hint="eastAsia" w:ascii="仿宋_GB2312" w:hAnsi="仿宋_GB2312" w:eastAsia="仿宋_GB2312" w:cs="仿宋_GB2312"/>
          <w:color w:val="auto"/>
          <w:kern w:val="2"/>
          <w:sz w:val="32"/>
          <w:szCs w:val="32"/>
          <w:highlight w:val="none"/>
          <w:lang w:val="en-US" w:eastAsia="zh-CN" w:bidi="ar-SA"/>
        </w:rPr>
        <w:t>万元。主要用于</w:t>
      </w:r>
      <w:r>
        <w:rPr>
          <w:rFonts w:hint="default" w:ascii="仿宋_GB2312" w:hAnsi="仿宋_GB2312" w:eastAsia="仿宋_GB2312" w:cs="仿宋_GB2312"/>
          <w:color w:val="auto"/>
          <w:kern w:val="2"/>
          <w:sz w:val="32"/>
          <w:szCs w:val="32"/>
          <w:highlight w:val="none"/>
          <w:lang w:eastAsia="zh-CN" w:bidi="ar-SA"/>
        </w:rPr>
        <w:t>阿坝州“康辅工程项目”、车辆保险购买等</w:t>
      </w:r>
      <w:r>
        <w:rPr>
          <w:rFonts w:hint="eastAsia" w:ascii="仿宋_GB2312" w:hAnsi="仿宋_GB2312" w:eastAsia="仿宋_GB2312" w:cs="仿宋_GB2312"/>
          <w:color w:val="auto"/>
          <w:kern w:val="2"/>
          <w:sz w:val="32"/>
          <w:szCs w:val="32"/>
          <w:highlight w:val="none"/>
          <w:lang w:val="en-US" w:eastAsia="zh-CN" w:bidi="ar-SA"/>
        </w:rPr>
        <w:t>。授予中小企业合同金额</w:t>
      </w:r>
      <w:r>
        <w:rPr>
          <w:rFonts w:hint="eastAsia" w:ascii="仿宋_GB2312" w:hAnsi="仿宋_GB2312" w:eastAsia="仿宋_GB2312" w:cs="仿宋_GB2312"/>
          <w:sz w:val="32"/>
          <w:szCs w:val="32"/>
        </w:rPr>
        <w:t>212.58</w:t>
      </w:r>
      <w:r>
        <w:rPr>
          <w:rFonts w:hint="eastAsia" w:ascii="仿宋_GB2312" w:hAnsi="仿宋_GB2312" w:eastAsia="仿宋_GB2312" w:cs="仿宋_GB2312"/>
          <w:color w:val="auto"/>
          <w:kern w:val="2"/>
          <w:sz w:val="32"/>
          <w:szCs w:val="32"/>
          <w:highlight w:val="none"/>
          <w:lang w:val="en-US" w:eastAsia="zh-CN" w:bidi="ar-SA"/>
        </w:rPr>
        <w:t>万元，占政府采购支出总额的</w:t>
      </w:r>
      <w:r>
        <w:rPr>
          <w:rFonts w:hint="eastAsia" w:ascii="仿宋_GB2312" w:hAnsi="仿宋_GB2312" w:eastAsia="仿宋_GB2312" w:cs="仿宋_GB2312"/>
          <w:sz w:val="32"/>
          <w:szCs w:val="32"/>
        </w:rPr>
        <w:t>100</w:t>
      </w:r>
      <w:r>
        <w:rPr>
          <w:rFonts w:hint="eastAsia" w:ascii="仿宋_GB2312" w:hAnsi="仿宋_GB2312" w:eastAsia="仿宋_GB2312" w:cs="仿宋_GB2312"/>
          <w:color w:val="auto"/>
          <w:kern w:val="2"/>
          <w:sz w:val="32"/>
          <w:szCs w:val="32"/>
          <w:highlight w:val="none"/>
          <w:lang w:val="en-US" w:eastAsia="zh-CN" w:bidi="ar-SA"/>
        </w:rPr>
        <w:t>%，其中：授予小微企业合同金额</w:t>
      </w:r>
      <w:r>
        <w:rPr>
          <w:rFonts w:hint="eastAsia" w:ascii="仿宋_GB2312" w:hAnsi="仿宋_GB2312" w:eastAsia="仿宋_GB2312" w:cs="仿宋_GB2312"/>
          <w:sz w:val="32"/>
          <w:szCs w:val="32"/>
        </w:rPr>
        <w:t>212.58</w:t>
      </w:r>
      <w:r>
        <w:rPr>
          <w:rFonts w:hint="eastAsia" w:ascii="仿宋_GB2312" w:hAnsi="仿宋_GB2312" w:eastAsia="仿宋_GB2312" w:cs="仿宋_GB2312"/>
          <w:color w:val="auto"/>
          <w:kern w:val="2"/>
          <w:sz w:val="32"/>
          <w:szCs w:val="32"/>
          <w:highlight w:val="none"/>
          <w:lang w:val="en-US" w:eastAsia="zh-CN" w:bidi="ar-SA"/>
        </w:rPr>
        <w:t>万元，占政府采购支出总额的</w:t>
      </w:r>
      <w:r>
        <w:rPr>
          <w:rFonts w:hint="eastAsia" w:ascii="仿宋_GB2312" w:hAnsi="仿宋_GB2312" w:eastAsia="仿宋_GB2312" w:cs="仿宋_GB2312"/>
          <w:sz w:val="32"/>
          <w:szCs w:val="32"/>
        </w:rPr>
        <w:t>100</w:t>
      </w:r>
      <w:r>
        <w:rPr>
          <w:rFonts w:hint="eastAsia" w:ascii="仿宋_GB2312" w:hAnsi="仿宋_GB2312" w:eastAsia="仿宋_GB2312" w:cs="仿宋_GB2312"/>
          <w:color w:val="auto"/>
          <w:kern w:val="2"/>
          <w:sz w:val="32"/>
          <w:szCs w:val="32"/>
          <w:highlight w:val="none"/>
          <w:lang w:val="en-US" w:eastAsia="zh-CN" w:bidi="ar-SA"/>
        </w:rPr>
        <w:t>%。</w:t>
      </w:r>
    </w:p>
    <w:p w14:paraId="0BC2CBF1">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55" w:name="_Toc15377224"/>
      <w:bookmarkStart w:id="56" w:name="_Toc1896385537"/>
      <w:r>
        <w:rPr>
          <w:rFonts w:hint="eastAsia" w:ascii="Times New Roman" w:hAnsi="Times New Roman" w:eastAsia="楷体_GB2312" w:cs="楷体_GB2312"/>
          <w:b/>
          <w:color w:val="auto"/>
          <w:sz w:val="32"/>
          <w:szCs w:val="32"/>
          <w:highlight w:val="none"/>
        </w:rPr>
        <w:t>（三）国有资产占有使用情况</w:t>
      </w:r>
      <w:bookmarkEnd w:id="55"/>
      <w:bookmarkEnd w:id="56"/>
    </w:p>
    <w:p w14:paraId="3B414B7F">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仿宋_GB2312" w:hAnsi="仿宋_GB2312" w:eastAsia="仿宋_GB2312" w:cs="仿宋_GB2312"/>
          <w:color w:val="auto"/>
          <w:kern w:val="2"/>
          <w:sz w:val="32"/>
          <w:szCs w:val="32"/>
          <w:highlight w:val="none"/>
          <w:lang w:val="en-US" w:eastAsia="zh-CN" w:bidi="ar-SA"/>
        </w:rPr>
        <w:t>截至2024年12月31日，</w:t>
      </w:r>
      <w:r>
        <w:rPr>
          <w:rFonts w:hint="eastAsia" w:ascii="仿宋_GB2312" w:hAnsi="仿宋_GB2312" w:eastAsia="仿宋_GB2312" w:cs="仿宋_GB2312"/>
          <w:sz w:val="32"/>
          <w:szCs w:val="32"/>
        </w:rPr>
        <w:t>阿坝藏族羌族自治州民政局（本级）</w:t>
      </w:r>
      <w:r>
        <w:rPr>
          <w:rFonts w:hint="eastAsia" w:ascii="仿宋_GB2312" w:hAnsi="仿宋_GB2312" w:eastAsia="仿宋_GB2312" w:cs="仿宋_GB2312"/>
          <w:color w:val="auto"/>
          <w:kern w:val="2"/>
          <w:sz w:val="32"/>
          <w:szCs w:val="32"/>
          <w:highlight w:val="none"/>
          <w:lang w:val="en-US" w:eastAsia="zh-CN" w:bidi="ar-SA"/>
        </w:rPr>
        <w:t>共有车辆</w:t>
      </w:r>
      <w:r>
        <w:rPr>
          <w:rFonts w:hint="eastAsia" w:ascii="仿宋_GB2312" w:hAnsi="仿宋_GB2312" w:eastAsia="仿宋_GB2312" w:cs="仿宋_GB2312"/>
          <w:sz w:val="32"/>
          <w:szCs w:val="32"/>
        </w:rPr>
        <w:t>5</w:t>
      </w:r>
      <w:r>
        <w:rPr>
          <w:rFonts w:hint="eastAsia" w:ascii="仿宋_GB2312" w:hAnsi="仿宋_GB2312" w:eastAsia="仿宋_GB2312" w:cs="仿宋_GB2312"/>
          <w:color w:val="auto"/>
          <w:kern w:val="2"/>
          <w:sz w:val="32"/>
          <w:szCs w:val="32"/>
          <w:highlight w:val="none"/>
          <w:lang w:val="en-US" w:eastAsia="zh-CN" w:bidi="ar-SA"/>
        </w:rPr>
        <w:t>辆，其中：主要负责人用车</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kern w:val="2"/>
          <w:sz w:val="32"/>
          <w:szCs w:val="32"/>
          <w:highlight w:val="none"/>
          <w:lang w:val="en-US" w:eastAsia="zh-CN" w:bidi="ar-SA"/>
        </w:rPr>
        <w:t>辆、机要通信用车</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kern w:val="2"/>
          <w:sz w:val="32"/>
          <w:szCs w:val="32"/>
          <w:highlight w:val="none"/>
          <w:lang w:val="en-US" w:eastAsia="zh-CN" w:bidi="ar-SA"/>
        </w:rPr>
        <w:t>辆、应急保障用车</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kern w:val="2"/>
          <w:sz w:val="32"/>
          <w:szCs w:val="32"/>
          <w:highlight w:val="none"/>
          <w:lang w:val="en-US" w:eastAsia="zh-CN" w:bidi="ar-SA"/>
        </w:rPr>
        <w:t>辆、其他用车</w:t>
      </w:r>
      <w:r>
        <w:rPr>
          <w:rFonts w:hint="eastAsia" w:ascii="仿宋_GB2312" w:hAnsi="仿宋_GB2312" w:eastAsia="仿宋_GB2312" w:cs="仿宋_GB2312"/>
          <w:sz w:val="32"/>
          <w:szCs w:val="32"/>
        </w:rPr>
        <w:t>5</w:t>
      </w:r>
      <w:r>
        <w:rPr>
          <w:rFonts w:hint="eastAsia" w:ascii="仿宋_GB2312" w:hAnsi="仿宋_GB2312" w:eastAsia="仿宋_GB2312" w:cs="仿宋_GB2312"/>
          <w:color w:val="auto"/>
          <w:kern w:val="2"/>
          <w:sz w:val="32"/>
          <w:szCs w:val="32"/>
          <w:highlight w:val="none"/>
          <w:lang w:val="en-US" w:eastAsia="zh-CN" w:bidi="ar-SA"/>
        </w:rPr>
        <w:t>辆，其他用车主要是用于</w:t>
      </w:r>
      <w:r>
        <w:rPr>
          <w:rFonts w:hint="default" w:ascii="仿宋_GB2312" w:hAnsi="仿宋_GB2312" w:eastAsia="仿宋_GB2312" w:cs="仿宋_GB2312"/>
          <w:color w:val="auto"/>
          <w:kern w:val="2"/>
          <w:sz w:val="32"/>
          <w:szCs w:val="32"/>
          <w:highlight w:val="none"/>
          <w:lang w:eastAsia="zh-CN" w:bidi="ar-SA"/>
        </w:rPr>
        <w:t>执行公务</w:t>
      </w:r>
      <w:r>
        <w:rPr>
          <w:rFonts w:hint="eastAsia" w:ascii="仿宋_GB2312" w:hAnsi="仿宋_GB2312" w:eastAsia="仿宋_GB2312" w:cs="仿宋_GB2312"/>
          <w:color w:val="auto"/>
          <w:kern w:val="2"/>
          <w:sz w:val="32"/>
          <w:szCs w:val="32"/>
          <w:highlight w:val="none"/>
          <w:lang w:val="en-US" w:eastAsia="zh-CN" w:bidi="ar-SA"/>
        </w:rPr>
        <w:t>。单价100万元（含）以上设备（不含车辆）</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kern w:val="2"/>
          <w:sz w:val="32"/>
          <w:szCs w:val="32"/>
          <w:highlight w:val="none"/>
          <w:lang w:val="en-US" w:eastAsia="zh-CN" w:bidi="ar-SA"/>
        </w:rPr>
        <w:t>台（套）</w:t>
      </w:r>
      <w:r>
        <w:rPr>
          <w:rFonts w:hint="eastAsia" w:ascii="Times New Roman" w:hAnsi="Times New Roman" w:eastAsia="仿宋_GB2312" w:cs="仿宋_GB2312"/>
          <w:color w:val="auto"/>
          <w:kern w:val="2"/>
          <w:sz w:val="32"/>
          <w:szCs w:val="32"/>
          <w:highlight w:val="none"/>
          <w:lang w:val="en-US" w:eastAsia="zh-CN" w:bidi="ar-SA"/>
        </w:rPr>
        <w:t>。</w:t>
      </w:r>
    </w:p>
    <w:p w14:paraId="101CFB24">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57" w:name="_Toc942063657"/>
      <w:r>
        <w:rPr>
          <w:rFonts w:hint="eastAsia" w:ascii="Times New Roman" w:hAnsi="Times New Roman" w:eastAsia="楷体_GB2312" w:cs="楷体_GB2312"/>
          <w:b/>
          <w:color w:val="auto"/>
          <w:sz w:val="32"/>
          <w:szCs w:val="32"/>
          <w:highlight w:val="none"/>
        </w:rPr>
        <w:t>（四）预算绩效管理情况</w:t>
      </w:r>
      <w:bookmarkEnd w:id="57"/>
    </w:p>
    <w:p w14:paraId="4B40680E">
      <w:pPr>
        <w:spacing w:line="600" w:lineRule="exact"/>
        <w:ind w:firstLine="640" w:firstLineChars="20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根据预算绩效管理要求，在2024年度预算编制阶段，组织对"索玛花开"等</w:t>
      </w:r>
      <w:r>
        <w:rPr>
          <w:rFonts w:hint="default" w:eastAsia="仿宋_GB2312" w:cs="仿宋_GB2312"/>
          <w:color w:val="auto"/>
          <w:kern w:val="2"/>
          <w:sz w:val="32"/>
          <w:szCs w:val="32"/>
          <w:highlight w:val="none"/>
          <w:lang w:eastAsia="zh-CN" w:bidi="ar-SA"/>
        </w:rPr>
        <w:t>18</w:t>
      </w:r>
      <w:r>
        <w:rPr>
          <w:rFonts w:hint="eastAsia" w:ascii="Times New Roman" w:hAnsi="Times New Roman" w:eastAsia="仿宋_GB2312" w:cs="仿宋_GB2312"/>
          <w:color w:val="auto"/>
          <w:kern w:val="2"/>
          <w:sz w:val="32"/>
          <w:szCs w:val="32"/>
          <w:highlight w:val="none"/>
          <w:lang w:val="en-US" w:eastAsia="zh-CN" w:bidi="ar-SA"/>
        </w:rPr>
        <w:t>个项目开展了预算事前绩效评估，对</w:t>
      </w:r>
      <w:r>
        <w:rPr>
          <w:rFonts w:hint="default" w:eastAsia="仿宋_GB2312" w:cs="仿宋_GB2312"/>
          <w:color w:val="auto"/>
          <w:kern w:val="2"/>
          <w:sz w:val="32"/>
          <w:szCs w:val="32"/>
          <w:highlight w:val="none"/>
          <w:lang w:eastAsia="zh-CN" w:bidi="ar-SA"/>
        </w:rPr>
        <w:t>18</w:t>
      </w:r>
      <w:r>
        <w:rPr>
          <w:rFonts w:hint="eastAsia" w:ascii="Times New Roman" w:hAnsi="Times New Roman" w:eastAsia="仿宋_GB2312" w:cs="仿宋_GB2312"/>
          <w:color w:val="auto"/>
          <w:kern w:val="2"/>
          <w:sz w:val="32"/>
          <w:szCs w:val="32"/>
          <w:highlight w:val="none"/>
          <w:lang w:val="en-US" w:eastAsia="zh-CN" w:bidi="ar-SA"/>
        </w:rPr>
        <w:t>个项目编制了绩效目标，预算执行过程中，选取</w:t>
      </w:r>
      <w:r>
        <w:rPr>
          <w:rFonts w:hint="default" w:eastAsia="仿宋_GB2312" w:cs="仿宋_GB2312"/>
          <w:color w:val="auto"/>
          <w:kern w:val="2"/>
          <w:sz w:val="32"/>
          <w:szCs w:val="32"/>
          <w:highlight w:val="none"/>
          <w:lang w:eastAsia="zh-CN" w:bidi="ar-SA"/>
        </w:rPr>
        <w:t>18</w:t>
      </w:r>
      <w:r>
        <w:rPr>
          <w:rFonts w:hint="eastAsia" w:ascii="Times New Roman" w:hAnsi="Times New Roman" w:eastAsia="仿宋_GB2312" w:cs="仿宋_GB2312"/>
          <w:color w:val="auto"/>
          <w:kern w:val="2"/>
          <w:sz w:val="32"/>
          <w:szCs w:val="32"/>
          <w:highlight w:val="none"/>
          <w:lang w:val="en-US" w:eastAsia="zh-CN" w:bidi="ar-SA"/>
        </w:rPr>
        <w:t>个项目开展绩效监控。</w:t>
      </w:r>
      <w:r>
        <w:rPr>
          <w:rFonts w:hint="eastAsia" w:ascii="仿宋_GB2312" w:hAnsi="Times New Roman" w:eastAsia="仿宋_GB2312" w:cs="Times New Roman"/>
          <w:color w:val="auto"/>
          <w:sz w:val="32"/>
          <w:szCs w:val="32"/>
          <w:highlight w:val="none"/>
          <w:lang w:val="en-US" w:eastAsia="zh-CN"/>
        </w:rPr>
        <w:t>绩效自评表详见第四部分附件。</w:t>
      </w:r>
    </w:p>
    <w:p w14:paraId="4B926F64">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14:paraId="276050D8">
      <w:pPr>
        <w:numPr>
          <w:ilvl w:val="0"/>
          <w:numId w:val="0"/>
        </w:numPr>
        <w:spacing w:line="600" w:lineRule="exact"/>
        <w:jc w:val="center"/>
        <w:outlineLvl w:val="0"/>
        <w:rPr>
          <w:rFonts w:hint="eastAsia" w:ascii="Times New Roman" w:hAnsi="Times New Roman" w:eastAsia="黑体"/>
          <w:color w:val="auto"/>
          <w:sz w:val="44"/>
          <w:szCs w:val="44"/>
          <w:highlight w:val="none"/>
        </w:rPr>
      </w:pPr>
      <w:bookmarkStart w:id="58" w:name="_Toc15377225"/>
      <w:bookmarkStart w:id="59" w:name="_Toc2015568112"/>
      <w:bookmarkStart w:id="60" w:name="_Toc15396613"/>
      <w:r>
        <w:rPr>
          <w:rFonts w:hint="eastAsia" w:ascii="Times New Roman" w:hAnsi="Times New Roman" w:eastAsia="黑体"/>
          <w:color w:val="auto"/>
          <w:sz w:val="44"/>
          <w:szCs w:val="44"/>
          <w:highlight w:val="none"/>
        </w:rPr>
        <w:t>第</w:t>
      </w:r>
      <w:r>
        <w:rPr>
          <w:rFonts w:hint="eastAsia" w:eastAsia="黑体"/>
          <w:color w:val="auto"/>
          <w:sz w:val="44"/>
          <w:szCs w:val="44"/>
          <w:highlight w:val="none"/>
          <w:lang w:eastAsia="zh-CN"/>
        </w:rPr>
        <w:t>三</w:t>
      </w:r>
      <w:r>
        <w:rPr>
          <w:rFonts w:hint="eastAsia" w:ascii="Times New Roman" w:hAnsi="Times New Roman" w:eastAsia="黑体"/>
          <w:color w:val="auto"/>
          <w:sz w:val="44"/>
          <w:szCs w:val="44"/>
          <w:highlight w:val="none"/>
        </w:rPr>
        <w:t>部分</w:t>
      </w:r>
      <w:r>
        <w:rPr>
          <w:rFonts w:hint="eastAsia" w:ascii="Times New Roman" w:hAnsi="Times New Roman" w:eastAsia="黑体"/>
          <w:color w:val="auto"/>
          <w:sz w:val="44"/>
          <w:szCs w:val="44"/>
          <w:highlight w:val="none"/>
          <w:lang w:val="en-US" w:eastAsia="zh-CN"/>
        </w:rPr>
        <w:t xml:space="preserve"> </w:t>
      </w:r>
      <w:r>
        <w:rPr>
          <w:rFonts w:hint="eastAsia" w:eastAsia="黑体"/>
          <w:color w:val="auto"/>
          <w:sz w:val="44"/>
          <w:szCs w:val="44"/>
          <w:highlight w:val="none"/>
          <w:lang w:val="en-US" w:eastAsia="zh-CN"/>
        </w:rPr>
        <w:t xml:space="preserve"> </w:t>
      </w:r>
      <w:r>
        <w:rPr>
          <w:rFonts w:hint="eastAsia" w:ascii="Times New Roman" w:hAnsi="Times New Roman" w:eastAsia="黑体"/>
          <w:color w:val="auto"/>
          <w:sz w:val="44"/>
          <w:szCs w:val="44"/>
          <w:highlight w:val="none"/>
        </w:rPr>
        <w:t>名词解释</w:t>
      </w:r>
      <w:bookmarkEnd w:id="58"/>
      <w:bookmarkEnd w:id="59"/>
      <w:bookmarkEnd w:id="60"/>
    </w:p>
    <w:p w14:paraId="1A364665">
      <w:pPr>
        <w:spacing w:line="600" w:lineRule="exact"/>
        <w:jc w:val="left"/>
        <w:rPr>
          <w:rFonts w:ascii="Times New Roman" w:hAnsi="Times New Roman"/>
          <w:b/>
          <w:color w:val="auto"/>
          <w:sz w:val="44"/>
          <w:szCs w:val="44"/>
          <w:highlight w:val="none"/>
        </w:rPr>
      </w:pPr>
    </w:p>
    <w:p w14:paraId="36DE6A60">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bookmarkStart w:id="61" w:name="_Toc15396614"/>
      <w:r>
        <w:rPr>
          <w:rFonts w:hint="eastAsia" w:ascii="Times New Roman" w:hAnsi="Times New Roman" w:eastAsia="仿宋_GB2312" w:cs="仿宋_GB2312"/>
          <w:color w:val="auto"/>
          <w:kern w:val="2"/>
          <w:sz w:val="32"/>
          <w:szCs w:val="32"/>
          <w:highlight w:val="none"/>
          <w:lang w:val="en-US" w:eastAsia="zh-CN" w:bidi="ar-SA"/>
        </w:rPr>
        <w:t>1.财政拨款收入：指单位从同级财政部门取得的财政预算资金。</w:t>
      </w:r>
    </w:p>
    <w:p w14:paraId="215BA019">
      <w:pPr>
        <w:ind w:firstLine="640" w:firstLineChars="200"/>
        <w:rPr>
          <w:rFonts w:hint="eastAsia" w:ascii="仿宋_GB2312" w:eastAsia="仿宋_GB2312"/>
          <w:color w:val="auto"/>
          <w:sz w:val="32"/>
          <w:szCs w:val="32"/>
          <w:highlight w:val="none"/>
        </w:rPr>
      </w:pPr>
      <w:r>
        <w:rPr>
          <w:rFonts w:hint="eastAsia" w:ascii="仿宋_GB2312" w:eastAsia="仿宋_GB2312"/>
          <w:color w:val="auto"/>
          <w:sz w:val="32"/>
          <w:szCs w:val="32"/>
          <w:highlight w:val="none"/>
          <w:lang w:val="en-US" w:eastAsia="zh-CN"/>
        </w:rPr>
        <w:t>2</w:t>
      </w:r>
      <w:r>
        <w:rPr>
          <w:rFonts w:ascii="仿宋_GB2312" w:eastAsia="仿宋_GB2312"/>
          <w:color w:val="auto"/>
          <w:sz w:val="32"/>
          <w:szCs w:val="32"/>
          <w:highlight w:val="none"/>
        </w:rPr>
        <w:t>.</w:t>
      </w:r>
      <w:r>
        <w:rPr>
          <w:rFonts w:hint="eastAsia" w:ascii="仿宋_GB2312" w:eastAsia="仿宋_GB2312"/>
          <w:color w:val="auto"/>
          <w:sz w:val="32"/>
          <w:szCs w:val="32"/>
          <w:highlight w:val="none"/>
        </w:rPr>
        <w:t>社会保障和就业支出（类）行政事业单位养老支出（款）机关事业单位基本养老保险缴费支出（项）</w:t>
      </w:r>
      <w:r>
        <w:rPr>
          <w:rFonts w:hint="eastAsia" w:ascii="仿宋_GB2312" w:eastAsia="仿宋_GB2312"/>
          <w:color w:val="auto"/>
          <w:sz w:val="32"/>
          <w:szCs w:val="32"/>
          <w:highlight w:val="none"/>
          <w:lang w:val="en-US" w:eastAsia="zh-CN"/>
        </w:rPr>
        <w:t>:指</w:t>
      </w:r>
      <w:r>
        <w:rPr>
          <w:rFonts w:hint="eastAsia" w:ascii="仿宋_GB2312" w:eastAsia="仿宋_GB2312"/>
          <w:color w:val="auto"/>
          <w:sz w:val="32"/>
          <w:szCs w:val="32"/>
          <w:highlight w:val="none"/>
        </w:rPr>
        <w:t>反映机关事业单位实施养老保险制度由单位缴纳的基本养老保险费支出。</w:t>
      </w:r>
    </w:p>
    <w:p w14:paraId="5F6CCAF4">
      <w:pPr>
        <w:ind w:firstLine="640" w:firstLineChars="200"/>
        <w:rPr>
          <w:rFonts w:hint="eastAsia" w:ascii="仿宋_GB2312" w:eastAsia="仿宋_GB2312"/>
          <w:color w:val="auto"/>
          <w:sz w:val="32"/>
          <w:szCs w:val="32"/>
          <w:highlight w:val="none"/>
        </w:rPr>
      </w:pPr>
      <w:r>
        <w:rPr>
          <w:rFonts w:hint="eastAsia" w:ascii="仿宋_GB2312" w:eastAsia="仿宋_GB2312"/>
          <w:color w:val="auto"/>
          <w:sz w:val="32"/>
          <w:szCs w:val="32"/>
          <w:highlight w:val="none"/>
          <w:lang w:val="en-US" w:eastAsia="zh-CN"/>
        </w:rPr>
        <w:t>3</w:t>
      </w:r>
      <w:r>
        <w:rPr>
          <w:rFonts w:hint="eastAsia" w:ascii="仿宋_GB2312" w:eastAsia="仿宋_GB2312"/>
          <w:color w:val="auto"/>
          <w:sz w:val="32"/>
          <w:szCs w:val="32"/>
          <w:highlight w:val="none"/>
        </w:rPr>
        <w:t>.社会保障和就业支出（类）行政事业单位养老支出（款）机关事业单位职业年金缴费支出（项）</w:t>
      </w:r>
      <w:r>
        <w:rPr>
          <w:rFonts w:hint="eastAsia" w:ascii="仿宋_GB2312" w:eastAsia="仿宋_GB2312"/>
          <w:color w:val="auto"/>
          <w:sz w:val="32"/>
          <w:szCs w:val="32"/>
          <w:highlight w:val="none"/>
          <w:lang w:val="en-US" w:eastAsia="zh-CN"/>
        </w:rPr>
        <w:t>:指反映机关事业单位实施养老保险制度由单位实际缴纳的职业年金支出</w:t>
      </w:r>
      <w:r>
        <w:rPr>
          <w:rFonts w:hint="eastAsia" w:ascii="仿宋_GB2312" w:eastAsia="仿宋_GB2312"/>
          <w:color w:val="auto"/>
          <w:sz w:val="32"/>
          <w:szCs w:val="32"/>
          <w:highlight w:val="none"/>
        </w:rPr>
        <w:t>。</w:t>
      </w:r>
    </w:p>
    <w:p w14:paraId="41A1A3F1">
      <w:pPr>
        <w:ind w:firstLine="640" w:firstLineChars="200"/>
        <w:rPr>
          <w:rFonts w:hint="eastAsia" w:ascii="仿宋_GB2312" w:eastAsia="仿宋_GB2312"/>
          <w:color w:val="auto"/>
          <w:sz w:val="32"/>
          <w:szCs w:val="32"/>
          <w:highlight w:val="none"/>
        </w:rPr>
      </w:pPr>
      <w:r>
        <w:rPr>
          <w:rFonts w:hint="eastAsia" w:ascii="仿宋_GB2312" w:eastAsia="仿宋_GB2312"/>
          <w:color w:val="auto"/>
          <w:sz w:val="32"/>
          <w:szCs w:val="32"/>
          <w:highlight w:val="none"/>
          <w:lang w:val="en-US" w:eastAsia="zh-CN"/>
        </w:rPr>
        <w:t>4</w:t>
      </w:r>
      <w:r>
        <w:rPr>
          <w:rFonts w:hint="eastAsia" w:ascii="仿宋_GB2312" w:eastAsia="仿宋_GB2312"/>
          <w:color w:val="auto"/>
          <w:sz w:val="32"/>
          <w:szCs w:val="32"/>
          <w:highlight w:val="none"/>
        </w:rPr>
        <w:t>.卫生健康支出（类）行政事业单位医疗（款）事业单位医疗（项）</w:t>
      </w:r>
      <w:r>
        <w:rPr>
          <w:rFonts w:hint="eastAsia" w:ascii="仿宋_GB2312" w:eastAsia="仿宋_GB2312"/>
          <w:color w:val="auto"/>
          <w:sz w:val="32"/>
          <w:szCs w:val="32"/>
          <w:highlight w:val="none"/>
          <w:lang w:val="en-US" w:eastAsia="zh-CN"/>
        </w:rPr>
        <w:t>:指</w:t>
      </w:r>
      <w:r>
        <w:rPr>
          <w:rFonts w:hint="eastAsia" w:ascii="仿宋_GB2312" w:eastAsia="仿宋_GB2312"/>
          <w:color w:val="auto"/>
          <w:sz w:val="32"/>
          <w:szCs w:val="32"/>
          <w:highlight w:val="none"/>
        </w:rPr>
        <w:t>反映财政部门安排的事业单位基本医疗保险缴费经费，未参加医疗保险的事业单位的公费医疗经费，按国家规定享受离休人员待遇的医疗经费。</w:t>
      </w:r>
    </w:p>
    <w:p w14:paraId="4D9092AD">
      <w:pPr>
        <w:ind w:firstLine="640" w:firstLineChars="200"/>
        <w:rPr>
          <w:rFonts w:hint="eastAsia" w:ascii="仿宋_GB2312" w:eastAsia="仿宋_GB2312"/>
          <w:color w:val="auto"/>
          <w:sz w:val="32"/>
          <w:szCs w:val="32"/>
          <w:highlight w:val="none"/>
        </w:rPr>
      </w:pPr>
      <w:r>
        <w:rPr>
          <w:rFonts w:hint="eastAsia" w:ascii="仿宋_GB2312" w:eastAsia="仿宋_GB2312"/>
          <w:color w:val="auto"/>
          <w:sz w:val="32"/>
          <w:szCs w:val="32"/>
          <w:highlight w:val="none"/>
          <w:lang w:val="en-US" w:eastAsia="zh-CN"/>
        </w:rPr>
        <w:t>5</w:t>
      </w:r>
      <w:r>
        <w:rPr>
          <w:rFonts w:hint="eastAsia" w:ascii="仿宋_GB2312" w:eastAsia="仿宋_GB2312"/>
          <w:color w:val="auto"/>
          <w:sz w:val="32"/>
          <w:szCs w:val="32"/>
          <w:highlight w:val="none"/>
        </w:rPr>
        <w:t>.卫生健康支出（类）行政事业单位医疗（款）其他行政事业单位医疗支出（项）</w:t>
      </w:r>
      <w:r>
        <w:rPr>
          <w:rFonts w:hint="eastAsia" w:ascii="仿宋_GB2312" w:eastAsia="仿宋_GB2312"/>
          <w:color w:val="auto"/>
          <w:sz w:val="32"/>
          <w:szCs w:val="32"/>
          <w:highlight w:val="none"/>
          <w:lang w:val="en-US" w:eastAsia="zh-CN"/>
        </w:rPr>
        <w:t>:指</w:t>
      </w:r>
      <w:r>
        <w:rPr>
          <w:rFonts w:hint="eastAsia" w:ascii="仿宋_GB2312" w:eastAsia="仿宋_GB2312"/>
          <w:color w:val="auto"/>
          <w:sz w:val="32"/>
          <w:szCs w:val="32"/>
          <w:highlight w:val="none"/>
        </w:rPr>
        <w:t>反映除上述项目以外的其他用于行政事业单位医疗方面的支出。</w:t>
      </w:r>
    </w:p>
    <w:p w14:paraId="1983AAF2">
      <w:pPr>
        <w:ind w:firstLine="640" w:firstLineChars="200"/>
        <w:rPr>
          <w:rFonts w:hint="eastAsia" w:ascii="仿宋_GB2312" w:eastAsia="仿宋_GB2312"/>
          <w:color w:val="auto"/>
          <w:sz w:val="32"/>
          <w:szCs w:val="32"/>
          <w:highlight w:val="none"/>
        </w:rPr>
      </w:pPr>
      <w:r>
        <w:rPr>
          <w:rFonts w:hint="eastAsia" w:ascii="仿宋_GB2312" w:eastAsia="仿宋_GB2312"/>
          <w:color w:val="auto"/>
          <w:sz w:val="32"/>
          <w:szCs w:val="32"/>
          <w:highlight w:val="none"/>
          <w:lang w:val="en-US" w:eastAsia="zh-CN"/>
        </w:rPr>
        <w:t>6.</w:t>
      </w:r>
      <w:r>
        <w:rPr>
          <w:rFonts w:hint="eastAsia" w:ascii="仿宋_GB2312" w:eastAsia="仿宋_GB2312"/>
          <w:color w:val="auto"/>
          <w:sz w:val="32"/>
          <w:szCs w:val="32"/>
          <w:highlight w:val="none"/>
        </w:rPr>
        <w:t>住房保障支出（类）住房改革支出（款）住房公积金（项）</w:t>
      </w:r>
      <w:r>
        <w:rPr>
          <w:rFonts w:hint="eastAsia" w:ascii="仿宋_GB2312" w:eastAsia="仿宋_GB2312"/>
          <w:color w:val="auto"/>
          <w:sz w:val="32"/>
          <w:szCs w:val="32"/>
          <w:highlight w:val="none"/>
          <w:lang w:val="en-US" w:eastAsia="zh-CN"/>
        </w:rPr>
        <w:t>:指</w:t>
      </w:r>
      <w:r>
        <w:rPr>
          <w:rFonts w:hint="eastAsia" w:ascii="仿宋_GB2312" w:eastAsia="仿宋_GB2312"/>
          <w:color w:val="auto"/>
          <w:sz w:val="32"/>
          <w:szCs w:val="32"/>
          <w:highlight w:val="none"/>
        </w:rPr>
        <w:t>反映行政事业单位按人力资源和社会保障部、财政部规定的基本工资和津贴补贴以及规定比例为职工缴纳的住房公积金。</w:t>
      </w:r>
    </w:p>
    <w:p w14:paraId="13746CD2">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7.基本支出：指为保障机构正常运转、完成日常工作任务而发生的人员支出和公用支出。</w:t>
      </w:r>
    </w:p>
    <w:p w14:paraId="12DFCEDE">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 xml:space="preserve">8.项目支出：指在基本支出之外为完成特定行政任务和事业发展目标所发生的支出。 </w:t>
      </w:r>
    </w:p>
    <w:p w14:paraId="2D5D5538">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9.经营支出：指事业单位在专业业务活动及其辅助活动之外开展非独立核算经营活动发生的支出。</w:t>
      </w:r>
    </w:p>
    <w:p w14:paraId="0F7AD9F2">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default" w:eastAsia="仿宋_GB2312" w:cs="仿宋_GB2312"/>
          <w:color w:val="auto"/>
          <w:kern w:val="2"/>
          <w:sz w:val="32"/>
          <w:szCs w:val="32"/>
          <w:highlight w:val="none"/>
          <w:lang w:eastAsia="zh-CN" w:bidi="ar-SA"/>
        </w:rPr>
        <w:t>1</w:t>
      </w:r>
      <w:r>
        <w:rPr>
          <w:rFonts w:hint="eastAsia" w:ascii="Times New Roman" w:hAnsi="Times New Roman" w:eastAsia="仿宋_GB2312" w:cs="仿宋_GB2312"/>
          <w:color w:val="auto"/>
          <w:kern w:val="2"/>
          <w:sz w:val="32"/>
          <w:szCs w:val="32"/>
          <w:highlight w:val="none"/>
          <w:lang w:val="en-US" w:eastAsia="zh-CN" w:bidi="ar-SA"/>
        </w:rPr>
        <w:t>0.</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三公</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经费：指部门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等支出；公务接待费反映单位按规定开支的各类公务接待（含外宾接待）支出。</w:t>
      </w:r>
    </w:p>
    <w:p w14:paraId="4ED7AC6A">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default" w:eastAsia="仿宋_GB2312" w:cs="仿宋_GB2312"/>
          <w:color w:val="auto"/>
          <w:kern w:val="2"/>
          <w:sz w:val="32"/>
          <w:szCs w:val="32"/>
          <w:highlight w:val="none"/>
          <w:lang w:eastAsia="zh-CN" w:bidi="ar-SA"/>
        </w:rPr>
        <w:t>1</w:t>
      </w:r>
      <w:r>
        <w:rPr>
          <w:rFonts w:hint="eastAsia" w:ascii="Times New Roman" w:hAnsi="Times New Roman" w:eastAsia="仿宋_GB2312" w:cs="仿宋_GB2312"/>
          <w:color w:val="auto"/>
          <w:kern w:val="2"/>
          <w:sz w:val="32"/>
          <w:szCs w:val="32"/>
          <w:highlight w:val="none"/>
          <w:lang w:val="en-US" w:eastAsia="zh-CN" w:bidi="ar-SA"/>
        </w:rPr>
        <w:t>1.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14:paraId="4139875A">
      <w:pPr>
        <w:numPr>
          <w:ilvl w:val="0"/>
          <w:numId w:val="0"/>
        </w:numPr>
        <w:spacing w:line="600" w:lineRule="exact"/>
        <w:jc w:val="center"/>
        <w:outlineLvl w:val="0"/>
        <w:rPr>
          <w:rFonts w:hint="eastAsia" w:ascii="Times New Roman" w:hAnsi="Times New Roman" w:eastAsia="黑体"/>
          <w:color w:val="auto"/>
          <w:sz w:val="44"/>
          <w:szCs w:val="44"/>
          <w:highlight w:val="none"/>
        </w:rPr>
      </w:pPr>
      <w:r>
        <w:rPr>
          <w:rFonts w:hint="eastAsia" w:ascii="Times New Roman" w:hAnsi="Times New Roman" w:eastAsia="仿宋_GB2312" w:cs="仿宋_GB2312"/>
          <w:color w:val="auto"/>
          <w:kern w:val="2"/>
          <w:sz w:val="32"/>
          <w:szCs w:val="32"/>
          <w:highlight w:val="none"/>
          <w:lang w:val="en-US" w:eastAsia="zh-CN" w:bidi="ar-SA"/>
        </w:rPr>
        <w:br w:type="page"/>
      </w:r>
      <w:bookmarkStart w:id="62" w:name="_Toc1545590716"/>
      <w:r>
        <w:rPr>
          <w:rFonts w:hint="default" w:ascii="Times New Roman" w:hAnsi="Times New Roman" w:eastAsia="方正小标宋简体" w:cs="方正小标宋简体"/>
          <w:b w:val="0"/>
          <w:bCs/>
          <w:color w:val="000000" w:themeColor="text1"/>
          <w:kern w:val="44"/>
          <w:sz w:val="44"/>
          <w:szCs w:val="44"/>
          <w:highlight w:val="none"/>
          <w:lang w:eastAsia="zh-CN" w:bidi="ar-SA"/>
          <w14:textFill>
            <w14:solidFill>
              <w14:schemeClr w14:val="tx1"/>
            </w14:solidFill>
          </w14:textFill>
        </w:rPr>
        <w:t>第四部分</w:t>
      </w:r>
      <w:r>
        <w:rPr>
          <w:rFonts w:hint="eastAsia" w:ascii="Times New Roman" w:hAnsi="Times New Roman" w:eastAsia="方正小标宋简体" w:cs="方正小标宋简体"/>
          <w:b w:val="0"/>
          <w:bCs/>
          <w:color w:val="000000" w:themeColor="text1"/>
          <w:kern w:val="44"/>
          <w:sz w:val="44"/>
          <w:szCs w:val="44"/>
          <w:highlight w:val="none"/>
          <w:lang w:val="en-US" w:eastAsia="zh-CN" w:bidi="ar-SA"/>
          <w14:textFill>
            <w14:solidFill>
              <w14:schemeClr w14:val="tx1"/>
            </w14:solidFill>
          </w14:textFill>
        </w:rPr>
        <w:t xml:space="preserve"> 附件</w:t>
      </w:r>
      <w:bookmarkEnd w:id="61"/>
      <w:bookmarkEnd w:id="62"/>
    </w:p>
    <w:p w14:paraId="4419D472">
      <w:pPr>
        <w:numPr>
          <w:ilvl w:val="0"/>
          <w:numId w:val="0"/>
        </w:numPr>
        <w:rPr>
          <w:rFonts w:hint="eastAsia"/>
          <w:lang w:val="en-US" w:eastAsia="zh-CN"/>
        </w:rPr>
      </w:pPr>
    </w:p>
    <w:p w14:paraId="7627A29B">
      <w:pPr>
        <w:pStyle w:val="8"/>
        <w:rPr>
          <w:rFonts w:hint="eastAsia"/>
          <w:lang w:val="en-US" w:eastAsia="zh-CN"/>
        </w:rPr>
      </w:pPr>
    </w:p>
    <w:tbl>
      <w:tblPr>
        <w:tblStyle w:val="16"/>
        <w:tblW w:w="0" w:type="auto"/>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607"/>
        <w:gridCol w:w="1143"/>
        <w:gridCol w:w="746"/>
        <w:gridCol w:w="1063"/>
        <w:gridCol w:w="435"/>
        <w:gridCol w:w="694"/>
        <w:gridCol w:w="639"/>
        <w:gridCol w:w="976"/>
        <w:gridCol w:w="510"/>
        <w:gridCol w:w="510"/>
        <w:gridCol w:w="1106"/>
      </w:tblGrid>
      <w:tr w14:paraId="6CDB49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0" w:type="auto"/>
            <w:gridSpan w:val="11"/>
            <w:tcBorders>
              <w:top w:val="nil"/>
              <w:left w:val="nil"/>
              <w:bottom w:val="nil"/>
              <w:right w:val="nil"/>
            </w:tcBorders>
            <w:shd w:val="clear" w:color="auto" w:fill="auto"/>
            <w:noWrap/>
            <w:vAlign w:val="center"/>
          </w:tcPr>
          <w:p w14:paraId="78BFBF5E">
            <w:pPr>
              <w:keepNext w:val="0"/>
              <w:keepLines w:val="0"/>
              <w:widowControl/>
              <w:suppressLineNumbers w:val="0"/>
              <w:jc w:val="center"/>
              <w:textAlignment w:val="center"/>
              <w:rPr>
                <w:rFonts w:ascii="方正小标宋简体" w:hAnsi="方正小标宋简体" w:eastAsia="方正小标宋简体" w:cs="方正小标宋简体"/>
                <w:i w:val="0"/>
                <w:iCs w:val="0"/>
                <w:color w:val="000000"/>
                <w:sz w:val="44"/>
                <w:szCs w:val="44"/>
                <w:u w:val="none"/>
              </w:rPr>
            </w:pPr>
            <w:bookmarkStart w:id="63" w:name="_Toc15377226"/>
            <w:r>
              <w:rPr>
                <w:rFonts w:hint="eastAsia" w:ascii="方正小标宋简体" w:hAnsi="方正小标宋简体" w:eastAsia="方正小标宋简体" w:cs="方正小标宋简体"/>
                <w:i w:val="0"/>
                <w:iCs w:val="0"/>
                <w:color w:val="000000"/>
                <w:kern w:val="0"/>
                <w:sz w:val="44"/>
                <w:szCs w:val="44"/>
                <w:u w:val="none"/>
                <w:lang w:val="en-US" w:eastAsia="zh-CN" w:bidi="ar"/>
              </w:rPr>
              <w:t>部门预算项目支出绩效评价表</w:t>
            </w:r>
          </w:p>
        </w:tc>
      </w:tr>
      <w:tr w14:paraId="60FE47B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0" w:type="auto"/>
            <w:gridSpan w:val="11"/>
            <w:tcBorders>
              <w:top w:val="nil"/>
              <w:left w:val="nil"/>
              <w:bottom w:val="nil"/>
              <w:right w:val="nil"/>
            </w:tcBorders>
            <w:shd w:val="clear" w:color="auto" w:fill="auto"/>
            <w:noWrap/>
            <w:vAlign w:val="center"/>
          </w:tcPr>
          <w:p w14:paraId="26A5D835">
            <w:pPr>
              <w:keepNext w:val="0"/>
              <w:keepLines w:val="0"/>
              <w:widowControl/>
              <w:suppressLineNumbers w:val="0"/>
              <w:jc w:val="center"/>
              <w:textAlignment w:val="center"/>
              <w:rPr>
                <w:rFonts w:hint="eastAsia" w:ascii="方正小标宋简体" w:hAnsi="方正小标宋简体" w:eastAsia="方正小标宋简体" w:cs="方正小标宋简体"/>
                <w:i w:val="0"/>
                <w:iCs w:val="0"/>
                <w:color w:val="000000"/>
                <w:sz w:val="32"/>
                <w:szCs w:val="32"/>
                <w:u w:val="none"/>
              </w:rPr>
            </w:pPr>
            <w:r>
              <w:rPr>
                <w:rFonts w:hint="eastAsia" w:ascii="方正小标宋简体" w:hAnsi="方正小标宋简体" w:eastAsia="方正小标宋简体" w:cs="方正小标宋简体"/>
                <w:i w:val="0"/>
                <w:iCs w:val="0"/>
                <w:color w:val="000000"/>
                <w:kern w:val="0"/>
                <w:sz w:val="32"/>
                <w:szCs w:val="32"/>
                <w:u w:val="none"/>
                <w:lang w:val="en-US" w:eastAsia="zh-CN" w:bidi="ar"/>
              </w:rPr>
              <w:t>（2024年度）</w:t>
            </w:r>
          </w:p>
        </w:tc>
      </w:tr>
      <w:tr w14:paraId="27577B9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7" w:hRule="atLeast"/>
        </w:trPr>
        <w:tc>
          <w:tcPr>
            <w:tcW w:w="0" w:type="auto"/>
            <w:gridSpan w:val="4"/>
            <w:tcBorders>
              <w:top w:val="nil"/>
              <w:left w:val="nil"/>
              <w:bottom w:val="nil"/>
              <w:right w:val="nil"/>
            </w:tcBorders>
            <w:shd w:val="clear" w:color="auto" w:fill="auto"/>
            <w:vAlign w:val="center"/>
          </w:tcPr>
          <w:p w14:paraId="12222BDE">
            <w:pPr>
              <w:keepNext w:val="0"/>
              <w:keepLines w:val="0"/>
              <w:widowControl/>
              <w:suppressLineNumbers w:val="0"/>
              <w:jc w:val="left"/>
              <w:textAlignment w:val="center"/>
              <w:rPr>
                <w:rFonts w:ascii="宋体" w:hAnsi="宋体" w:eastAsia="宋体" w:cs="宋体"/>
                <w:i w:val="0"/>
                <w:iCs w:val="0"/>
                <w:color w:val="000000"/>
                <w:sz w:val="20"/>
                <w:szCs w:val="20"/>
                <w:u w:val="none"/>
              </w:rPr>
            </w:pPr>
            <w:r>
              <w:rPr>
                <w:rFonts w:ascii="宋体" w:hAnsi="宋体" w:eastAsia="宋体" w:cs="宋体"/>
                <w:i w:val="0"/>
                <w:iCs w:val="0"/>
                <w:color w:val="000000"/>
                <w:kern w:val="0"/>
                <w:sz w:val="20"/>
                <w:szCs w:val="20"/>
                <w:u w:val="none"/>
                <w:lang w:val="en-US" w:eastAsia="zh-CN" w:bidi="ar"/>
              </w:rPr>
              <w:t>报表编号：510000_0013zp</w:t>
            </w:r>
          </w:p>
        </w:tc>
        <w:tc>
          <w:tcPr>
            <w:tcW w:w="0" w:type="auto"/>
            <w:tcBorders>
              <w:top w:val="nil"/>
              <w:left w:val="nil"/>
              <w:bottom w:val="nil"/>
              <w:right w:val="nil"/>
            </w:tcBorders>
            <w:shd w:val="clear" w:color="auto" w:fill="auto"/>
            <w:vAlign w:val="center"/>
          </w:tcPr>
          <w:p w14:paraId="127BAC8F">
            <w:pPr>
              <w:jc w:val="center"/>
              <w:rPr>
                <w:rFonts w:hint="eastAsia" w:ascii="宋体" w:hAnsi="宋体" w:eastAsia="宋体" w:cs="宋体"/>
                <w:i w:val="0"/>
                <w:iCs w:val="0"/>
                <w:color w:val="000000"/>
                <w:sz w:val="22"/>
                <w:szCs w:val="22"/>
                <w:u w:val="none"/>
              </w:rPr>
            </w:pPr>
          </w:p>
        </w:tc>
        <w:tc>
          <w:tcPr>
            <w:tcW w:w="0" w:type="auto"/>
            <w:gridSpan w:val="3"/>
            <w:tcBorders>
              <w:top w:val="nil"/>
              <w:left w:val="nil"/>
              <w:bottom w:val="nil"/>
              <w:right w:val="nil"/>
            </w:tcBorders>
            <w:shd w:val="clear" w:color="auto" w:fill="auto"/>
            <w:vAlign w:val="center"/>
          </w:tcPr>
          <w:p w14:paraId="4636FFB4">
            <w:pPr>
              <w:jc w:val="center"/>
              <w:rPr>
                <w:rFonts w:hint="eastAsia" w:ascii="宋体" w:hAnsi="宋体" w:eastAsia="宋体" w:cs="宋体"/>
                <w:i w:val="0"/>
                <w:iCs w:val="0"/>
                <w:color w:val="000000"/>
                <w:sz w:val="20"/>
                <w:szCs w:val="20"/>
                <w:u w:val="none"/>
              </w:rPr>
            </w:pPr>
          </w:p>
        </w:tc>
        <w:tc>
          <w:tcPr>
            <w:tcW w:w="0" w:type="auto"/>
            <w:tcBorders>
              <w:top w:val="nil"/>
              <w:left w:val="nil"/>
              <w:bottom w:val="nil"/>
              <w:right w:val="nil"/>
            </w:tcBorders>
            <w:shd w:val="clear" w:color="auto" w:fill="auto"/>
            <w:vAlign w:val="center"/>
          </w:tcPr>
          <w:p w14:paraId="5BC4E0B0">
            <w:pPr>
              <w:jc w:val="cente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vAlign w:val="center"/>
          </w:tcPr>
          <w:p w14:paraId="31CD23CF">
            <w:pPr>
              <w:jc w:val="cente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26A2D65C">
            <w:pPr>
              <w:rPr>
                <w:rFonts w:hint="eastAsia" w:ascii="宋体" w:hAnsi="宋体" w:eastAsia="宋体" w:cs="宋体"/>
                <w:i w:val="0"/>
                <w:iCs w:val="0"/>
                <w:color w:val="000000"/>
                <w:sz w:val="22"/>
                <w:szCs w:val="22"/>
                <w:u w:val="none"/>
              </w:rPr>
            </w:pPr>
          </w:p>
        </w:tc>
      </w:tr>
      <w:tr w14:paraId="76B526B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060" w:hRule="atLeast"/>
        </w:trPr>
        <w:tc>
          <w:tcPr>
            <w:tcW w:w="0" w:type="auto"/>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595D5E9E">
            <w:pPr>
              <w:keepNext w:val="0"/>
              <w:keepLines w:val="0"/>
              <w:widowControl/>
              <w:suppressLineNumbers w:val="0"/>
              <w:jc w:val="center"/>
              <w:textAlignment w:val="center"/>
              <w:rPr>
                <w:rFonts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部门预算项目支出绩效自评表（2024年度）</w:t>
            </w:r>
          </w:p>
        </w:tc>
      </w:tr>
      <w:tr w14:paraId="2DBA3D3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0" w:type="auto"/>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D5AF4F4">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0" w:type="auto"/>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71A9775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51320021T000000123222-民政系统服务业统计业务费</w:t>
            </w:r>
          </w:p>
        </w:tc>
      </w:tr>
      <w:tr w14:paraId="38C7403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0" w:hRule="atLeast"/>
        </w:trPr>
        <w:tc>
          <w:tcPr>
            <w:tcW w:w="0" w:type="auto"/>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660D658">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0" w:type="auto"/>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F19A0C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州民政局部门</w:t>
            </w:r>
          </w:p>
        </w:tc>
        <w:tc>
          <w:tcPr>
            <w:tcW w:w="0" w:type="auto"/>
            <w:tcBorders>
              <w:top w:val="nil"/>
              <w:left w:val="nil"/>
              <w:bottom w:val="nil"/>
              <w:right w:val="nil"/>
            </w:tcBorders>
            <w:shd w:val="clear" w:color="auto" w:fill="auto"/>
            <w:vAlign w:val="center"/>
          </w:tcPr>
          <w:p w14:paraId="2C31A8F4">
            <w:pPr>
              <w:keepNext w:val="0"/>
              <w:keepLines w:val="0"/>
              <w:widowControl/>
              <w:suppressLineNumbers w:val="0"/>
              <w:jc w:val="center"/>
              <w:textAlignment w:val="center"/>
              <w:rPr>
                <w:rFonts w:ascii="黑体" w:hAnsi="黑体" w:eastAsia="黑体" w:cs="黑体"/>
                <w:i w:val="0"/>
                <w:iCs w:val="0"/>
                <w:color w:val="000000"/>
                <w:sz w:val="18"/>
                <w:szCs w:val="18"/>
                <w:u w:val="none"/>
              </w:rPr>
            </w:pPr>
            <w:r>
              <w:rPr>
                <w:rFonts w:hint="default" w:ascii="黑体" w:hAnsi="黑体" w:eastAsia="黑体" w:cs="黑体"/>
                <w:i w:val="0"/>
                <w:iCs w:val="0"/>
                <w:color w:val="000000"/>
                <w:kern w:val="0"/>
                <w:sz w:val="18"/>
                <w:szCs w:val="18"/>
                <w:u w:val="none"/>
                <w:lang w:val="en-US" w:eastAsia="zh-CN" w:bidi="ar"/>
              </w:rPr>
              <w:t>实施单位 （盖章）</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F778CD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州民政局</w:t>
            </w:r>
          </w:p>
        </w:tc>
      </w:tr>
      <w:tr w14:paraId="68CD969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A6F65A7">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77FDE3B">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0" w:type="auto"/>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766EDF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0" w:type="auto"/>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1D8C6B6E">
            <w:pPr>
              <w:keepNext w:val="0"/>
              <w:keepLines w:val="0"/>
              <w:widowControl/>
              <w:suppressLineNumbers w:val="0"/>
              <w:jc w:val="center"/>
              <w:textAlignment w:val="center"/>
              <w:rPr>
                <w:rFonts w:hint="default" w:ascii="黑体" w:hAnsi="黑体" w:eastAsia="黑体" w:cs="黑体"/>
                <w:i w:val="0"/>
                <w:iCs w:val="0"/>
                <w:color w:val="000000"/>
                <w:sz w:val="18"/>
                <w:szCs w:val="18"/>
                <w:u w:val="none"/>
              </w:rPr>
            </w:pPr>
            <w:r>
              <w:rPr>
                <w:rFonts w:hint="default" w:ascii="黑体" w:hAnsi="黑体" w:eastAsia="黑体" w:cs="黑体"/>
                <w:i w:val="0"/>
                <w:iCs w:val="0"/>
                <w:color w:val="000000"/>
                <w:kern w:val="0"/>
                <w:sz w:val="18"/>
                <w:szCs w:val="18"/>
                <w:u w:val="none"/>
                <w:lang w:val="en-US" w:eastAsia="zh-CN" w:bidi="ar"/>
              </w:rPr>
              <w:t>年度目标完成情况</w:t>
            </w:r>
          </w:p>
        </w:tc>
      </w:tr>
      <w:tr w14:paraId="52424D3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08"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CE4BC2F">
            <w:pPr>
              <w:rPr>
                <w:rFonts w:hint="eastAsia" w:ascii="宋体" w:hAnsi="宋体" w:eastAsia="宋体" w:cs="宋体"/>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E0D7299">
            <w:pPr>
              <w:rPr>
                <w:rFonts w:hint="eastAsia" w:ascii="宋体" w:hAnsi="宋体" w:eastAsia="宋体" w:cs="宋体"/>
                <w:i w:val="0"/>
                <w:iCs w:val="0"/>
                <w:color w:val="000000"/>
                <w:sz w:val="18"/>
                <w:szCs w:val="18"/>
                <w:u w:val="none"/>
              </w:rPr>
            </w:pPr>
          </w:p>
        </w:tc>
        <w:tc>
          <w:tcPr>
            <w:tcW w:w="0" w:type="auto"/>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B9E9CC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提升民政系统财务人员规范使用专项资金，每年邀请13县，培训1次，布置相关报表集中报送等相关工作及财务审计、绩效管理等相关工作有所提升。</w:t>
            </w:r>
          </w:p>
        </w:tc>
        <w:tc>
          <w:tcPr>
            <w:tcW w:w="0" w:type="auto"/>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77FEF5FA">
            <w:pPr>
              <w:keepNext w:val="0"/>
              <w:keepLines w:val="0"/>
              <w:widowControl/>
              <w:suppressLineNumbers w:val="0"/>
              <w:jc w:val="center"/>
              <w:textAlignment w:val="center"/>
              <w:rPr>
                <w:rFonts w:hint="default" w:ascii="黑体" w:hAnsi="黑体" w:eastAsia="黑体" w:cs="黑体"/>
                <w:i w:val="0"/>
                <w:iCs w:val="0"/>
                <w:color w:val="000000"/>
                <w:sz w:val="18"/>
                <w:szCs w:val="18"/>
                <w:u w:val="none"/>
              </w:rPr>
            </w:pPr>
            <w:r>
              <w:rPr>
                <w:rFonts w:hint="default" w:ascii="黑体" w:hAnsi="黑体" w:eastAsia="黑体" w:cs="黑体"/>
                <w:i w:val="0"/>
                <w:iCs w:val="0"/>
                <w:color w:val="000000"/>
                <w:kern w:val="0"/>
                <w:sz w:val="18"/>
                <w:szCs w:val="18"/>
                <w:u w:val="none"/>
                <w:lang w:val="en-US" w:eastAsia="zh-CN" w:bidi="ar"/>
              </w:rPr>
              <w:t>完成民政系统财务人员规范使用专项资金，每年邀请13县，培训1次，布置相关报表集中报送等相关工作及财务审计、绩效管理等相关工作有所提升。</w:t>
            </w:r>
          </w:p>
        </w:tc>
      </w:tr>
      <w:tr w14:paraId="0C0E809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BF18FFD">
            <w:pP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55D01ED">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0" w:type="auto"/>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0E8B7BC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2024年1月完成了民政系统财务人员培训1次、 全年完成报表数13次等工作。</w:t>
            </w:r>
          </w:p>
        </w:tc>
      </w:tr>
      <w:tr w14:paraId="51BF5C5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1" w:hRule="atLeast"/>
        </w:trPr>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32A997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490F32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860335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954FB0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3BF6BA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27EDC2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7302F9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1D1083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6B3390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14:paraId="4BF013A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6"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AA9704E">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B523BD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D46A9C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12.00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067A4F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12.00</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25362E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12.00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C68FC3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C360BB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52F222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1DF86C8">
            <w:pPr>
              <w:keepNext w:val="0"/>
              <w:keepLines w:val="0"/>
              <w:widowControl/>
              <w:suppressLineNumbers w:val="0"/>
              <w:jc w:val="left"/>
              <w:textAlignment w:val="center"/>
              <w:rPr>
                <w:rFonts w:hint="default" w:ascii="黑体" w:hAnsi="黑体" w:eastAsia="黑体" w:cs="黑体"/>
                <w:i/>
                <w:iCs/>
                <w:color w:val="000000"/>
                <w:sz w:val="18"/>
                <w:szCs w:val="18"/>
                <w:u w:val="none"/>
              </w:rPr>
            </w:pPr>
            <w:r>
              <w:rPr>
                <w:rFonts w:hint="default" w:ascii="黑体" w:hAnsi="黑体" w:eastAsia="黑体" w:cs="黑体"/>
                <w:i/>
                <w:iCs/>
                <w:color w:val="000000"/>
                <w:kern w:val="0"/>
                <w:sz w:val="18"/>
                <w:szCs w:val="18"/>
                <w:u w:val="none"/>
                <w:lang w:val="en-US" w:eastAsia="zh-CN" w:bidi="ar"/>
              </w:rPr>
              <w:t>该项目预算执行率高于90%，无预算调整。</w:t>
            </w:r>
          </w:p>
        </w:tc>
      </w:tr>
      <w:tr w14:paraId="40ED7C5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1"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9B3898B">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46FC40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1733F4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12.00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8F19D3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12.00</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07410B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12.00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5ECCF7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2BFD07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0ADB0B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8DC3FB1">
            <w:pPr>
              <w:rPr>
                <w:rFonts w:hint="default" w:ascii="黑体" w:hAnsi="黑体" w:eastAsia="黑体" w:cs="黑体"/>
                <w:i/>
                <w:iCs/>
                <w:color w:val="000000"/>
                <w:sz w:val="18"/>
                <w:szCs w:val="18"/>
                <w:u w:val="none"/>
              </w:rPr>
            </w:pPr>
          </w:p>
        </w:tc>
      </w:tr>
      <w:tr w14:paraId="1E046C0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7"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C0D6F13">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8804F4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5408EE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8D9AA1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4452EA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AF1E12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6B1ABC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832414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CA995AE">
            <w:pPr>
              <w:rPr>
                <w:rFonts w:hint="default" w:ascii="黑体" w:hAnsi="黑体" w:eastAsia="黑体" w:cs="黑体"/>
                <w:i/>
                <w:iCs/>
                <w:color w:val="000000"/>
                <w:sz w:val="18"/>
                <w:szCs w:val="18"/>
                <w:u w:val="none"/>
              </w:rPr>
            </w:pPr>
          </w:p>
        </w:tc>
      </w:tr>
      <w:tr w14:paraId="15688BB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1"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36FBDDA">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50D0E7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E4E54C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E7695D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EEAC97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0C97BD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7F2CEA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5F19B3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DA9A229">
            <w:pPr>
              <w:rPr>
                <w:rFonts w:hint="default" w:ascii="黑体" w:hAnsi="黑体" w:eastAsia="黑体" w:cs="黑体"/>
                <w:i/>
                <w:iCs/>
                <w:color w:val="000000"/>
                <w:sz w:val="18"/>
                <w:szCs w:val="18"/>
                <w:u w:val="none"/>
              </w:rPr>
            </w:pPr>
          </w:p>
        </w:tc>
      </w:tr>
      <w:tr w14:paraId="7D9A8C0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4CE3E75">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E78D63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BBC066E">
            <w:pPr>
              <w:jc w:val="center"/>
              <w:rPr>
                <w:rFonts w:hint="eastAsia" w:ascii="微软雅黑" w:hAnsi="微软雅黑" w:eastAsia="微软雅黑" w:cs="微软雅黑"/>
                <w:i/>
                <w:iCs/>
                <w:color w:val="000000"/>
                <w:sz w:val="16"/>
                <w:szCs w:val="16"/>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55B78E4">
            <w:pPr>
              <w:jc w:val="center"/>
              <w:rPr>
                <w:rFonts w:hint="default" w:ascii="微软雅黑" w:hAnsi="微软雅黑" w:eastAsia="微软雅黑" w:cs="微软雅黑"/>
                <w:i/>
                <w:iCs/>
                <w:color w:val="000000"/>
                <w:sz w:val="16"/>
                <w:szCs w:val="16"/>
                <w:u w:val="none"/>
              </w:rPr>
            </w:pP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6750777">
            <w:pPr>
              <w:jc w:val="center"/>
              <w:rPr>
                <w:rFonts w:hint="default" w:ascii="微软雅黑" w:hAnsi="微软雅黑" w:eastAsia="微软雅黑" w:cs="微软雅黑"/>
                <w:i/>
                <w:iCs/>
                <w:color w:val="000000"/>
                <w:sz w:val="16"/>
                <w:szCs w:val="16"/>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C53136B">
            <w:pPr>
              <w:jc w:val="center"/>
              <w:rPr>
                <w:rFonts w:hint="default" w:ascii="微软雅黑" w:hAnsi="微软雅黑" w:eastAsia="微软雅黑" w:cs="微软雅黑"/>
                <w:i/>
                <w:iCs/>
                <w:color w:val="000000"/>
                <w:sz w:val="16"/>
                <w:szCs w:val="16"/>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ED5F63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EB933E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9E87492">
            <w:pPr>
              <w:rPr>
                <w:rFonts w:hint="default" w:ascii="黑体" w:hAnsi="黑体" w:eastAsia="黑体" w:cs="黑体"/>
                <w:i/>
                <w:iCs/>
                <w:color w:val="000000"/>
                <w:sz w:val="18"/>
                <w:szCs w:val="18"/>
                <w:u w:val="none"/>
              </w:rPr>
            </w:pPr>
          </w:p>
        </w:tc>
      </w:tr>
      <w:tr w14:paraId="46E9DB6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2" w:hRule="atLeast"/>
        </w:trPr>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423375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C90C50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AE24E8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034FDD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29C47D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A00B7E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8D87CC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4400E2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ABE81D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F386FF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247079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14:paraId="0695057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CA9250E">
            <w:pPr>
              <w:jc w:val="center"/>
              <w:rPr>
                <w:rFonts w:hint="eastAsia" w:ascii="宋体" w:hAnsi="宋体" w:eastAsia="宋体" w:cs="宋体"/>
                <w:i w:val="0"/>
                <w:iCs w:val="0"/>
                <w:color w:val="000000"/>
                <w:sz w:val="18"/>
                <w:szCs w:val="18"/>
                <w:u w:val="none"/>
              </w:rPr>
            </w:pP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27A07C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E7F0C7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3FEDF4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完成业务培训1次</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9BF751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5219C0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A1621B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次</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1EDC985">
            <w:pPr>
              <w:keepNext w:val="0"/>
              <w:keepLines w:val="0"/>
              <w:widowControl/>
              <w:suppressLineNumbers w:val="0"/>
              <w:jc w:val="center"/>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8166D9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6B2F62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AFE3D31">
            <w:pPr>
              <w:jc w:val="center"/>
              <w:rPr>
                <w:rFonts w:hint="default" w:ascii="微软雅黑" w:hAnsi="微软雅黑" w:eastAsia="微软雅黑" w:cs="微软雅黑"/>
                <w:i/>
                <w:iCs/>
                <w:color w:val="000000"/>
                <w:sz w:val="16"/>
                <w:szCs w:val="16"/>
                <w:u w:val="none"/>
              </w:rPr>
            </w:pPr>
          </w:p>
        </w:tc>
      </w:tr>
      <w:tr w14:paraId="298B325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506D906">
            <w:pPr>
              <w:jc w:val="center"/>
              <w:rPr>
                <w:rFonts w:hint="eastAsia" w:ascii="宋体" w:hAnsi="宋体" w:eastAsia="宋体" w:cs="宋体"/>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77D4031">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02734B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质量指标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84E7CE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报表质量通过率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322D46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53578F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97</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6C9627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2B72DC6">
            <w:pPr>
              <w:keepNext w:val="0"/>
              <w:keepLines w:val="0"/>
              <w:widowControl/>
              <w:suppressLineNumbers w:val="0"/>
              <w:jc w:val="center"/>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100%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15C8A3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FEFE10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A138EE6">
            <w:pPr>
              <w:jc w:val="center"/>
              <w:rPr>
                <w:rFonts w:hint="default" w:ascii="微软雅黑" w:hAnsi="微软雅黑" w:eastAsia="微软雅黑" w:cs="微软雅黑"/>
                <w:i/>
                <w:iCs/>
                <w:color w:val="000000"/>
                <w:sz w:val="16"/>
                <w:szCs w:val="16"/>
                <w:u w:val="none"/>
              </w:rPr>
            </w:pPr>
          </w:p>
        </w:tc>
      </w:tr>
      <w:tr w14:paraId="6769E5D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46E59F5">
            <w:pPr>
              <w:jc w:val="center"/>
              <w:rPr>
                <w:rFonts w:hint="eastAsia" w:ascii="宋体" w:hAnsi="宋体" w:eastAsia="宋体" w:cs="宋体"/>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3970A89">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A14B86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时效指标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57E22F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项目完成时间</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A3FBD3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定性</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639047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2024年12月</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ED1F6FE">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5B9CFB8">
            <w:pPr>
              <w:keepNext w:val="0"/>
              <w:keepLines w:val="0"/>
              <w:widowControl/>
              <w:suppressLineNumbers w:val="0"/>
              <w:jc w:val="center"/>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按时完成</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2914A9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06DD67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911A031">
            <w:pPr>
              <w:jc w:val="center"/>
              <w:rPr>
                <w:rFonts w:hint="default" w:ascii="微软雅黑" w:hAnsi="微软雅黑" w:eastAsia="微软雅黑" w:cs="微软雅黑"/>
                <w:i/>
                <w:iCs/>
                <w:color w:val="000000"/>
                <w:sz w:val="16"/>
                <w:szCs w:val="16"/>
                <w:u w:val="none"/>
              </w:rPr>
            </w:pPr>
          </w:p>
        </w:tc>
      </w:tr>
      <w:tr w14:paraId="690342D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24EEC1C">
            <w:pPr>
              <w:jc w:val="center"/>
              <w:rPr>
                <w:rFonts w:hint="eastAsia" w:ascii="宋体" w:hAnsi="宋体" w:eastAsia="宋体" w:cs="宋体"/>
                <w:i w:val="0"/>
                <w:iCs w:val="0"/>
                <w:color w:val="000000"/>
                <w:sz w:val="18"/>
                <w:szCs w:val="18"/>
                <w:u w:val="none"/>
              </w:rPr>
            </w:pP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22AAB1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74B6EF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2DB6C6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提高统计数据填报质量</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913B50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定性</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2D7E9A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质量有所提高</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108E41A">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2D31AD3">
            <w:pPr>
              <w:keepNext w:val="0"/>
              <w:keepLines w:val="0"/>
              <w:widowControl/>
              <w:suppressLineNumbers w:val="0"/>
              <w:jc w:val="center"/>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质量有所提高</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D33979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4F87A0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30704D8">
            <w:pPr>
              <w:jc w:val="center"/>
              <w:rPr>
                <w:rFonts w:hint="default" w:ascii="微软雅黑" w:hAnsi="微软雅黑" w:eastAsia="微软雅黑" w:cs="微软雅黑"/>
                <w:i/>
                <w:iCs/>
                <w:color w:val="000000"/>
                <w:sz w:val="16"/>
                <w:szCs w:val="16"/>
                <w:u w:val="none"/>
              </w:rPr>
            </w:pPr>
          </w:p>
        </w:tc>
      </w:tr>
      <w:tr w14:paraId="5C42769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8"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1FA28A7">
            <w:pPr>
              <w:jc w:val="center"/>
              <w:rPr>
                <w:rFonts w:hint="eastAsia" w:ascii="宋体" w:hAnsi="宋体" w:eastAsia="宋体" w:cs="宋体"/>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D721B1B">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1E17A0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可持续发展指标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9BF7C7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统计人员能力提升后带来全州民政工作水平的可持续发展起到积极作用</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6EFAF2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定性</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6D7BDA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民政工作可持续发展持续提升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24A08DC">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25FC813">
            <w:pPr>
              <w:keepNext w:val="0"/>
              <w:keepLines w:val="0"/>
              <w:widowControl/>
              <w:suppressLineNumbers w:val="0"/>
              <w:jc w:val="center"/>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民政工作可持续发展有所提升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580717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C17304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099F2E8">
            <w:pPr>
              <w:jc w:val="center"/>
              <w:rPr>
                <w:rFonts w:hint="default" w:ascii="微软雅黑" w:hAnsi="微软雅黑" w:eastAsia="微软雅黑" w:cs="微软雅黑"/>
                <w:i/>
                <w:iCs/>
                <w:color w:val="000000"/>
                <w:sz w:val="16"/>
                <w:szCs w:val="16"/>
                <w:u w:val="none"/>
              </w:rPr>
            </w:pPr>
          </w:p>
        </w:tc>
      </w:tr>
      <w:tr w14:paraId="571F2C7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D2F2B0C">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29E4F4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E984C7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服务对象满意度指标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1110F6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工作人员满意度</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C2BE56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B1D6A5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95</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D2F7BA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6CC77CA">
            <w:pPr>
              <w:keepNext w:val="0"/>
              <w:keepLines w:val="0"/>
              <w:widowControl/>
              <w:suppressLineNumbers w:val="0"/>
              <w:jc w:val="center"/>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98%</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E93D0C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E8AFDE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2CF7228">
            <w:pPr>
              <w:jc w:val="center"/>
              <w:rPr>
                <w:rFonts w:hint="default" w:ascii="微软雅黑" w:hAnsi="微软雅黑" w:eastAsia="微软雅黑" w:cs="微软雅黑"/>
                <w:i/>
                <w:iCs/>
                <w:color w:val="000000"/>
                <w:sz w:val="16"/>
                <w:szCs w:val="16"/>
                <w:u w:val="none"/>
              </w:rPr>
            </w:pPr>
          </w:p>
        </w:tc>
      </w:tr>
      <w:tr w14:paraId="483B23A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8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F48E695">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55EBB9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成本指标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3077A6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经济成本指标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DCF062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厉行节约培训成本应降低</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7C8D8A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270666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81F6C0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万元</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03DFDA6">
            <w:pPr>
              <w:keepNext w:val="0"/>
              <w:keepLines w:val="0"/>
              <w:widowControl/>
              <w:suppressLineNumbers w:val="0"/>
              <w:jc w:val="center"/>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1.92万元</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601214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A83F32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18</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6A3BDD9">
            <w:pPr>
              <w:jc w:val="center"/>
              <w:rPr>
                <w:rFonts w:hint="default" w:ascii="微软雅黑" w:hAnsi="微软雅黑" w:eastAsia="微软雅黑" w:cs="微软雅黑"/>
                <w:i/>
                <w:iCs/>
                <w:color w:val="000000"/>
                <w:sz w:val="16"/>
                <w:szCs w:val="16"/>
                <w:u w:val="none"/>
              </w:rPr>
            </w:pPr>
          </w:p>
        </w:tc>
      </w:tr>
      <w:tr w14:paraId="4F22E20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20" w:hRule="atLeast"/>
        </w:trPr>
        <w:tc>
          <w:tcPr>
            <w:tcW w:w="0" w:type="auto"/>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0BAEBE2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D47B68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D51CB5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97</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D537158">
            <w:pPr>
              <w:rPr>
                <w:rFonts w:hint="eastAsia" w:ascii="宋体" w:hAnsi="宋体" w:eastAsia="宋体" w:cs="宋体"/>
                <w:i w:val="0"/>
                <w:iCs w:val="0"/>
                <w:color w:val="000000"/>
                <w:sz w:val="18"/>
                <w:szCs w:val="18"/>
                <w:u w:val="none"/>
              </w:rPr>
            </w:pPr>
          </w:p>
        </w:tc>
      </w:tr>
      <w:tr w14:paraId="291743A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3"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0B4736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0" w:type="auto"/>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0E203BA8">
            <w:pPr>
              <w:keepNext w:val="0"/>
              <w:keepLines w:val="0"/>
              <w:widowControl/>
              <w:suppressLineNumbers w:val="0"/>
              <w:jc w:val="left"/>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根据《四川省民政厅关于进一步加强民政事业统计工作的通知》（川民发[2013]180号）文件要求，完成了民政系统服务业统计软件维护、开展民政专项资金的内部审计和绩效评价等工作，有效提升了民政系统财务人员业务能力。</w:t>
            </w:r>
          </w:p>
        </w:tc>
      </w:tr>
      <w:tr w14:paraId="7236AAB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AFD15F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0" w:type="auto"/>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451055C7">
            <w:pPr>
              <w:keepNext w:val="0"/>
              <w:keepLines w:val="0"/>
              <w:widowControl/>
              <w:suppressLineNumbers w:val="0"/>
              <w:jc w:val="left"/>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无</w:t>
            </w:r>
          </w:p>
        </w:tc>
      </w:tr>
      <w:tr w14:paraId="05390C6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ADBEF2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0" w:type="auto"/>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353861F3">
            <w:pPr>
              <w:keepNext w:val="0"/>
              <w:keepLines w:val="0"/>
              <w:widowControl/>
              <w:suppressLineNumbers w:val="0"/>
              <w:jc w:val="left"/>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无</w:t>
            </w:r>
          </w:p>
        </w:tc>
      </w:tr>
      <w:tr w14:paraId="6DE9899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0" w:type="auto"/>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54AF1CC">
            <w:pPr>
              <w:keepNext w:val="0"/>
              <w:keepLines w:val="0"/>
              <w:widowControl/>
              <w:suppressLineNumbers w:val="0"/>
              <w:jc w:val="left"/>
              <w:textAlignment w:val="center"/>
              <w:rPr>
                <w:rFonts w:hint="default" w:ascii="黑体" w:hAnsi="黑体" w:eastAsia="黑体" w:cs="黑体"/>
                <w:i w:val="0"/>
                <w:iCs w:val="0"/>
                <w:color w:val="000000"/>
                <w:sz w:val="18"/>
                <w:szCs w:val="18"/>
                <w:u w:val="none"/>
              </w:rPr>
            </w:pPr>
            <w:r>
              <w:rPr>
                <w:rFonts w:hint="default" w:ascii="黑体" w:hAnsi="黑体" w:eastAsia="黑体" w:cs="黑体"/>
                <w:i w:val="0"/>
                <w:iCs w:val="0"/>
                <w:color w:val="000000"/>
                <w:kern w:val="0"/>
                <w:sz w:val="18"/>
                <w:szCs w:val="18"/>
                <w:u w:val="none"/>
                <w:lang w:val="en-US" w:eastAsia="zh-CN" w:bidi="ar"/>
              </w:rPr>
              <w:t>项目负责人：杨小蓉</w:t>
            </w:r>
          </w:p>
        </w:tc>
        <w:tc>
          <w:tcPr>
            <w:tcW w:w="0" w:type="auto"/>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5D27D7EE">
            <w:pPr>
              <w:keepNext w:val="0"/>
              <w:keepLines w:val="0"/>
              <w:widowControl/>
              <w:suppressLineNumbers w:val="0"/>
              <w:jc w:val="center"/>
              <w:textAlignment w:val="center"/>
              <w:rPr>
                <w:rFonts w:hint="default" w:ascii="黑体" w:hAnsi="黑体" w:eastAsia="黑体" w:cs="黑体"/>
                <w:i w:val="0"/>
                <w:iCs w:val="0"/>
                <w:color w:val="000000"/>
                <w:sz w:val="18"/>
                <w:szCs w:val="18"/>
                <w:u w:val="none"/>
              </w:rPr>
            </w:pPr>
            <w:r>
              <w:rPr>
                <w:rFonts w:hint="default" w:ascii="黑体" w:hAnsi="黑体" w:eastAsia="黑体" w:cs="黑体"/>
                <w:i w:val="0"/>
                <w:iCs w:val="0"/>
                <w:color w:val="000000"/>
                <w:kern w:val="0"/>
                <w:sz w:val="18"/>
                <w:szCs w:val="18"/>
                <w:u w:val="none"/>
                <w:lang w:val="en-US" w:eastAsia="zh-CN" w:bidi="ar"/>
              </w:rPr>
              <w:t>财务负责人：杨琴琴</w:t>
            </w:r>
          </w:p>
        </w:tc>
      </w:tr>
      <w:tr w14:paraId="3B860AA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40" w:hRule="atLeast"/>
        </w:trPr>
        <w:tc>
          <w:tcPr>
            <w:tcW w:w="0" w:type="auto"/>
            <w:tcBorders>
              <w:top w:val="nil"/>
              <w:left w:val="nil"/>
              <w:bottom w:val="nil"/>
              <w:right w:val="nil"/>
            </w:tcBorders>
            <w:shd w:val="clear" w:color="auto" w:fill="auto"/>
            <w:vAlign w:val="center"/>
          </w:tcPr>
          <w:p w14:paraId="636765DC">
            <w:pPr>
              <w:rPr>
                <w:rFonts w:hint="eastAsia" w:ascii="宋体" w:hAnsi="宋体" w:eastAsia="宋体" w:cs="宋体"/>
                <w:i w:val="0"/>
                <w:iCs w:val="0"/>
                <w:color w:val="000000"/>
                <w:sz w:val="18"/>
                <w:szCs w:val="18"/>
                <w:u w:val="none"/>
              </w:rPr>
            </w:pPr>
          </w:p>
        </w:tc>
        <w:tc>
          <w:tcPr>
            <w:tcW w:w="0" w:type="auto"/>
            <w:tcBorders>
              <w:top w:val="nil"/>
              <w:left w:val="nil"/>
              <w:bottom w:val="nil"/>
              <w:right w:val="nil"/>
            </w:tcBorders>
            <w:shd w:val="clear" w:color="auto" w:fill="auto"/>
            <w:vAlign w:val="center"/>
          </w:tcPr>
          <w:p w14:paraId="28A3F86F">
            <w:pPr>
              <w:rPr>
                <w:rFonts w:hint="eastAsia" w:ascii="宋体" w:hAnsi="宋体" w:eastAsia="宋体" w:cs="宋体"/>
                <w:i w:val="0"/>
                <w:iCs w:val="0"/>
                <w:color w:val="000000"/>
                <w:sz w:val="18"/>
                <w:szCs w:val="18"/>
                <w:u w:val="none"/>
              </w:rPr>
            </w:pPr>
          </w:p>
        </w:tc>
        <w:tc>
          <w:tcPr>
            <w:tcW w:w="0" w:type="auto"/>
            <w:tcBorders>
              <w:top w:val="nil"/>
              <w:left w:val="nil"/>
              <w:bottom w:val="nil"/>
              <w:right w:val="nil"/>
            </w:tcBorders>
            <w:shd w:val="clear" w:color="auto" w:fill="auto"/>
            <w:vAlign w:val="center"/>
          </w:tcPr>
          <w:p w14:paraId="78E745DA">
            <w:pPr>
              <w:jc w:val="center"/>
              <w:rPr>
                <w:rFonts w:hint="eastAsia" w:ascii="宋体" w:hAnsi="宋体" w:eastAsia="宋体" w:cs="宋体"/>
                <w:i w:val="0"/>
                <w:iCs w:val="0"/>
                <w:color w:val="000000"/>
                <w:sz w:val="18"/>
                <w:szCs w:val="18"/>
                <w:u w:val="none"/>
              </w:rPr>
            </w:pPr>
          </w:p>
        </w:tc>
        <w:tc>
          <w:tcPr>
            <w:tcW w:w="0" w:type="auto"/>
            <w:tcBorders>
              <w:top w:val="nil"/>
              <w:left w:val="nil"/>
              <w:bottom w:val="nil"/>
              <w:right w:val="nil"/>
            </w:tcBorders>
            <w:shd w:val="clear" w:color="auto" w:fill="auto"/>
            <w:vAlign w:val="center"/>
          </w:tcPr>
          <w:p w14:paraId="529472D6">
            <w:pPr>
              <w:jc w:val="center"/>
              <w:rPr>
                <w:rFonts w:hint="eastAsia" w:ascii="宋体" w:hAnsi="宋体" w:eastAsia="宋体" w:cs="宋体"/>
                <w:i w:val="0"/>
                <w:iCs w:val="0"/>
                <w:color w:val="000000"/>
                <w:sz w:val="18"/>
                <w:szCs w:val="18"/>
                <w:u w:val="none"/>
              </w:rPr>
            </w:pPr>
          </w:p>
        </w:tc>
        <w:tc>
          <w:tcPr>
            <w:tcW w:w="0" w:type="auto"/>
            <w:tcBorders>
              <w:top w:val="nil"/>
              <w:left w:val="nil"/>
              <w:bottom w:val="nil"/>
              <w:right w:val="nil"/>
            </w:tcBorders>
            <w:shd w:val="clear" w:color="auto" w:fill="auto"/>
            <w:vAlign w:val="center"/>
          </w:tcPr>
          <w:p w14:paraId="25690D6B">
            <w:pPr>
              <w:jc w:val="center"/>
              <w:rPr>
                <w:rFonts w:hint="eastAsia" w:ascii="宋体" w:hAnsi="宋体" w:eastAsia="宋体" w:cs="宋体"/>
                <w:i w:val="0"/>
                <w:iCs w:val="0"/>
                <w:color w:val="000000"/>
                <w:sz w:val="18"/>
                <w:szCs w:val="18"/>
                <w:u w:val="none"/>
              </w:rPr>
            </w:pPr>
          </w:p>
        </w:tc>
        <w:tc>
          <w:tcPr>
            <w:tcW w:w="0" w:type="auto"/>
            <w:tcBorders>
              <w:top w:val="nil"/>
              <w:left w:val="nil"/>
              <w:bottom w:val="nil"/>
              <w:right w:val="nil"/>
            </w:tcBorders>
            <w:shd w:val="clear" w:color="auto" w:fill="auto"/>
            <w:vAlign w:val="center"/>
          </w:tcPr>
          <w:p w14:paraId="2C0EF02C">
            <w:pPr>
              <w:jc w:val="center"/>
              <w:rPr>
                <w:rFonts w:hint="eastAsia" w:ascii="宋体" w:hAnsi="宋体" w:eastAsia="宋体" w:cs="宋体"/>
                <w:i w:val="0"/>
                <w:iCs w:val="0"/>
                <w:color w:val="000000"/>
                <w:sz w:val="18"/>
                <w:szCs w:val="18"/>
                <w:u w:val="none"/>
              </w:rPr>
            </w:pPr>
          </w:p>
        </w:tc>
        <w:tc>
          <w:tcPr>
            <w:tcW w:w="0" w:type="auto"/>
            <w:tcBorders>
              <w:top w:val="nil"/>
              <w:left w:val="nil"/>
              <w:bottom w:val="nil"/>
              <w:right w:val="nil"/>
            </w:tcBorders>
            <w:shd w:val="clear" w:color="auto" w:fill="auto"/>
            <w:vAlign w:val="center"/>
          </w:tcPr>
          <w:p w14:paraId="02119F2C">
            <w:pPr>
              <w:jc w:val="center"/>
              <w:rPr>
                <w:rFonts w:hint="eastAsia" w:ascii="宋体" w:hAnsi="宋体" w:eastAsia="宋体" w:cs="宋体"/>
                <w:i w:val="0"/>
                <w:iCs w:val="0"/>
                <w:color w:val="000000"/>
                <w:sz w:val="18"/>
                <w:szCs w:val="18"/>
                <w:u w:val="none"/>
              </w:rPr>
            </w:pPr>
          </w:p>
        </w:tc>
        <w:tc>
          <w:tcPr>
            <w:tcW w:w="0" w:type="auto"/>
            <w:tcBorders>
              <w:top w:val="nil"/>
              <w:left w:val="nil"/>
              <w:bottom w:val="nil"/>
              <w:right w:val="nil"/>
            </w:tcBorders>
            <w:shd w:val="clear" w:color="auto" w:fill="auto"/>
            <w:vAlign w:val="center"/>
          </w:tcPr>
          <w:p w14:paraId="154FDBF9">
            <w:pPr>
              <w:jc w:val="center"/>
              <w:rPr>
                <w:rFonts w:hint="eastAsia" w:ascii="宋体" w:hAnsi="宋体" w:eastAsia="宋体" w:cs="宋体"/>
                <w:i w:val="0"/>
                <w:iCs w:val="0"/>
                <w:color w:val="000000"/>
                <w:sz w:val="18"/>
                <w:szCs w:val="18"/>
                <w:u w:val="none"/>
              </w:rPr>
            </w:pPr>
          </w:p>
        </w:tc>
        <w:tc>
          <w:tcPr>
            <w:tcW w:w="0" w:type="auto"/>
            <w:tcBorders>
              <w:top w:val="nil"/>
              <w:left w:val="nil"/>
              <w:bottom w:val="nil"/>
              <w:right w:val="nil"/>
            </w:tcBorders>
            <w:shd w:val="clear" w:color="auto" w:fill="auto"/>
            <w:vAlign w:val="center"/>
          </w:tcPr>
          <w:p w14:paraId="3B97AEF0">
            <w:pPr>
              <w:jc w:val="center"/>
              <w:rPr>
                <w:rFonts w:hint="eastAsia" w:ascii="宋体" w:hAnsi="宋体" w:eastAsia="宋体" w:cs="宋体"/>
                <w:i w:val="0"/>
                <w:iCs w:val="0"/>
                <w:color w:val="000000"/>
                <w:sz w:val="18"/>
                <w:szCs w:val="18"/>
                <w:u w:val="none"/>
              </w:rPr>
            </w:pPr>
          </w:p>
        </w:tc>
        <w:tc>
          <w:tcPr>
            <w:tcW w:w="0" w:type="auto"/>
            <w:tcBorders>
              <w:top w:val="nil"/>
              <w:left w:val="nil"/>
              <w:bottom w:val="nil"/>
              <w:right w:val="nil"/>
            </w:tcBorders>
            <w:shd w:val="clear" w:color="auto" w:fill="auto"/>
            <w:vAlign w:val="center"/>
          </w:tcPr>
          <w:p w14:paraId="51A30350">
            <w:pPr>
              <w:jc w:val="center"/>
              <w:rPr>
                <w:rFonts w:hint="eastAsia" w:ascii="宋体" w:hAnsi="宋体" w:eastAsia="宋体" w:cs="宋体"/>
                <w:i w:val="0"/>
                <w:iCs w:val="0"/>
                <w:color w:val="000000"/>
                <w:sz w:val="18"/>
                <w:szCs w:val="18"/>
                <w:u w:val="none"/>
              </w:rPr>
            </w:pPr>
          </w:p>
        </w:tc>
        <w:tc>
          <w:tcPr>
            <w:tcW w:w="0" w:type="auto"/>
            <w:tcBorders>
              <w:top w:val="nil"/>
              <w:left w:val="nil"/>
              <w:bottom w:val="nil"/>
              <w:right w:val="nil"/>
            </w:tcBorders>
            <w:shd w:val="clear" w:color="auto" w:fill="auto"/>
            <w:vAlign w:val="center"/>
          </w:tcPr>
          <w:p w14:paraId="3D513798">
            <w:pPr>
              <w:rPr>
                <w:rFonts w:hint="eastAsia" w:ascii="宋体" w:hAnsi="宋体" w:eastAsia="宋体" w:cs="宋体"/>
                <w:i w:val="0"/>
                <w:iCs w:val="0"/>
                <w:color w:val="000000"/>
                <w:sz w:val="18"/>
                <w:szCs w:val="18"/>
                <w:u w:val="none"/>
              </w:rPr>
            </w:pPr>
          </w:p>
        </w:tc>
      </w:tr>
      <w:tr w14:paraId="6DD21F7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080" w:hRule="atLeast"/>
        </w:trPr>
        <w:tc>
          <w:tcPr>
            <w:tcW w:w="0" w:type="auto"/>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59D4A530">
            <w:pPr>
              <w:keepNext w:val="0"/>
              <w:keepLines w:val="0"/>
              <w:widowControl/>
              <w:suppressLineNumbers w:val="0"/>
              <w:jc w:val="center"/>
              <w:textAlignment w:val="center"/>
              <w:rPr>
                <w:rFonts w:hint="eastAsia"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部门预算项目支出绩效自评表（2024年度）</w:t>
            </w:r>
          </w:p>
        </w:tc>
      </w:tr>
      <w:tr w14:paraId="54FC118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0" w:type="auto"/>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DAF3328">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0" w:type="auto"/>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0A593AC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51320021T000000123301-马尔康地区老年协会活动经费</w:t>
            </w:r>
          </w:p>
        </w:tc>
      </w:tr>
      <w:tr w14:paraId="25EB2F0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0" w:hRule="atLeast"/>
        </w:trPr>
        <w:tc>
          <w:tcPr>
            <w:tcW w:w="0" w:type="auto"/>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EFA2EAD">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0" w:type="auto"/>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1EAF99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州民政局部门</w:t>
            </w:r>
          </w:p>
        </w:tc>
        <w:tc>
          <w:tcPr>
            <w:tcW w:w="0" w:type="auto"/>
            <w:tcBorders>
              <w:top w:val="nil"/>
              <w:left w:val="nil"/>
              <w:bottom w:val="nil"/>
              <w:right w:val="nil"/>
            </w:tcBorders>
            <w:shd w:val="clear" w:color="auto" w:fill="auto"/>
            <w:vAlign w:val="center"/>
          </w:tcPr>
          <w:p w14:paraId="11BA0D82">
            <w:pPr>
              <w:keepNext w:val="0"/>
              <w:keepLines w:val="0"/>
              <w:widowControl/>
              <w:suppressLineNumbers w:val="0"/>
              <w:jc w:val="center"/>
              <w:textAlignment w:val="center"/>
              <w:rPr>
                <w:rFonts w:hint="default" w:ascii="黑体" w:hAnsi="黑体" w:eastAsia="黑体" w:cs="黑体"/>
                <w:i w:val="0"/>
                <w:iCs w:val="0"/>
                <w:color w:val="000000"/>
                <w:sz w:val="18"/>
                <w:szCs w:val="18"/>
                <w:u w:val="none"/>
              </w:rPr>
            </w:pPr>
            <w:r>
              <w:rPr>
                <w:rFonts w:hint="default" w:ascii="黑体" w:hAnsi="黑体" w:eastAsia="黑体" w:cs="黑体"/>
                <w:i w:val="0"/>
                <w:iCs w:val="0"/>
                <w:color w:val="000000"/>
                <w:kern w:val="0"/>
                <w:sz w:val="18"/>
                <w:szCs w:val="18"/>
                <w:u w:val="none"/>
                <w:lang w:val="en-US" w:eastAsia="zh-CN" w:bidi="ar"/>
              </w:rPr>
              <w:t>实施单位 （盖章）</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9AF49B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州民政局</w:t>
            </w:r>
          </w:p>
        </w:tc>
      </w:tr>
      <w:tr w14:paraId="36BC102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0" w:hRule="atLeast"/>
        </w:trPr>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7BE0F71">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347446A">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0" w:type="auto"/>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76FFCB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0" w:type="auto"/>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6A7B8484">
            <w:pPr>
              <w:keepNext w:val="0"/>
              <w:keepLines w:val="0"/>
              <w:widowControl/>
              <w:suppressLineNumbers w:val="0"/>
              <w:jc w:val="center"/>
              <w:textAlignment w:val="center"/>
              <w:rPr>
                <w:rFonts w:hint="default" w:ascii="黑体" w:hAnsi="黑体" w:eastAsia="黑体" w:cs="黑体"/>
                <w:i w:val="0"/>
                <w:iCs w:val="0"/>
                <w:color w:val="000000"/>
                <w:sz w:val="18"/>
                <w:szCs w:val="18"/>
                <w:u w:val="none"/>
              </w:rPr>
            </w:pPr>
            <w:r>
              <w:rPr>
                <w:rFonts w:hint="default" w:ascii="黑体" w:hAnsi="黑体" w:eastAsia="黑体" w:cs="黑体"/>
                <w:i w:val="0"/>
                <w:iCs w:val="0"/>
                <w:color w:val="000000"/>
                <w:kern w:val="0"/>
                <w:sz w:val="18"/>
                <w:szCs w:val="18"/>
                <w:u w:val="none"/>
                <w:lang w:val="en-US" w:eastAsia="zh-CN" w:bidi="ar"/>
              </w:rPr>
              <w:t>年度目标完成情况</w:t>
            </w:r>
          </w:p>
        </w:tc>
      </w:tr>
      <w:tr w14:paraId="639CD40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93FCD0D">
            <w:pPr>
              <w:rPr>
                <w:rFonts w:hint="eastAsia" w:ascii="宋体" w:hAnsi="宋体" w:eastAsia="宋体" w:cs="宋体"/>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1C22ECF">
            <w:pPr>
              <w:rPr>
                <w:rFonts w:hint="eastAsia" w:ascii="宋体" w:hAnsi="宋体" w:eastAsia="宋体" w:cs="宋体"/>
                <w:i w:val="0"/>
                <w:iCs w:val="0"/>
                <w:color w:val="000000"/>
                <w:sz w:val="18"/>
                <w:szCs w:val="18"/>
                <w:u w:val="none"/>
              </w:rPr>
            </w:pPr>
          </w:p>
        </w:tc>
        <w:tc>
          <w:tcPr>
            <w:tcW w:w="0" w:type="auto"/>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3BA6508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保障马尔康地区老年协会正常运转，开展服务马尔康地区老年人活动。</w:t>
            </w:r>
          </w:p>
        </w:tc>
        <w:tc>
          <w:tcPr>
            <w:tcW w:w="0" w:type="auto"/>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45E4CC78">
            <w:pPr>
              <w:keepNext w:val="0"/>
              <w:keepLines w:val="0"/>
              <w:widowControl/>
              <w:suppressLineNumbers w:val="0"/>
              <w:jc w:val="center"/>
              <w:textAlignment w:val="center"/>
              <w:rPr>
                <w:rFonts w:hint="default" w:ascii="黑体" w:hAnsi="黑体" w:eastAsia="黑体" w:cs="黑体"/>
                <w:i w:val="0"/>
                <w:iCs w:val="0"/>
                <w:color w:val="000000"/>
                <w:sz w:val="18"/>
                <w:szCs w:val="18"/>
                <w:u w:val="none"/>
              </w:rPr>
            </w:pPr>
            <w:r>
              <w:rPr>
                <w:rFonts w:hint="default" w:ascii="黑体" w:hAnsi="黑体" w:eastAsia="黑体" w:cs="黑体"/>
                <w:i w:val="0"/>
                <w:iCs w:val="0"/>
                <w:color w:val="000000"/>
                <w:kern w:val="0"/>
                <w:sz w:val="18"/>
                <w:szCs w:val="18"/>
                <w:u w:val="none"/>
                <w:lang w:val="en-US" w:eastAsia="zh-CN" w:bidi="ar"/>
              </w:rPr>
              <w:t>有效的保障了马尔康地区老年协会正常运转，开展了服务马尔康地区老年人活动。</w:t>
            </w:r>
          </w:p>
        </w:tc>
      </w:tr>
      <w:tr w14:paraId="7EB4CEB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C7E641B">
            <w:pP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A2B2F15">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0" w:type="auto"/>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474AD6A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有效的保障了马尔康地区老年协会正常运转，2025年12月底前开展了服务马尔康地区老年人活动1次，有效提升了老年人幸福感。</w:t>
            </w:r>
          </w:p>
        </w:tc>
      </w:tr>
      <w:tr w14:paraId="554EF3B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BC5C9F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6C9668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144CE1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C5AFD5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0A6235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6C5141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16FDAC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F1790C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1557A7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14:paraId="70C23E0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6"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9ED42FA">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A1C5FF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B27569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3.50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4C8F96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3.50</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481D2B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3.50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EA405F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C8E6F4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10AB72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0922E93">
            <w:pPr>
              <w:keepNext w:val="0"/>
              <w:keepLines w:val="0"/>
              <w:widowControl/>
              <w:suppressLineNumbers w:val="0"/>
              <w:jc w:val="left"/>
              <w:textAlignment w:val="center"/>
              <w:rPr>
                <w:rFonts w:hint="default" w:ascii="黑体" w:hAnsi="黑体" w:eastAsia="黑体" w:cs="黑体"/>
                <w:i/>
                <w:iCs/>
                <w:color w:val="000000"/>
                <w:sz w:val="18"/>
                <w:szCs w:val="18"/>
                <w:u w:val="none"/>
              </w:rPr>
            </w:pPr>
            <w:r>
              <w:rPr>
                <w:rFonts w:hint="default" w:ascii="黑体" w:hAnsi="黑体" w:eastAsia="黑体" w:cs="黑体"/>
                <w:i/>
                <w:iCs/>
                <w:color w:val="000000"/>
                <w:kern w:val="0"/>
                <w:sz w:val="18"/>
                <w:szCs w:val="18"/>
                <w:u w:val="none"/>
                <w:lang w:val="en-US" w:eastAsia="zh-CN" w:bidi="ar"/>
              </w:rPr>
              <w:t>该项目预算执行率高于90%，无预算调整。</w:t>
            </w:r>
          </w:p>
        </w:tc>
      </w:tr>
      <w:tr w14:paraId="6369E41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1"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5813BFB">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8034B6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BBB550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3.50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E2823B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3.50</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AEFE76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3.50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5EA3D8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2EB98B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1E6A1E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9BCD799">
            <w:pPr>
              <w:rPr>
                <w:rFonts w:hint="default" w:ascii="黑体" w:hAnsi="黑体" w:eastAsia="黑体" w:cs="黑体"/>
                <w:i/>
                <w:iCs/>
                <w:color w:val="000000"/>
                <w:sz w:val="18"/>
                <w:szCs w:val="18"/>
                <w:u w:val="none"/>
              </w:rPr>
            </w:pPr>
          </w:p>
        </w:tc>
      </w:tr>
      <w:tr w14:paraId="7F31C2A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4B40220">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A2F2C7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E1B3DD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C4C5EF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D69B3E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5B6661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76EE37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54A4D6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DF1DC38">
            <w:pPr>
              <w:rPr>
                <w:rFonts w:hint="default" w:ascii="黑体" w:hAnsi="黑体" w:eastAsia="黑体" w:cs="黑体"/>
                <w:i/>
                <w:iCs/>
                <w:color w:val="000000"/>
                <w:sz w:val="18"/>
                <w:szCs w:val="18"/>
                <w:u w:val="none"/>
              </w:rPr>
            </w:pPr>
          </w:p>
        </w:tc>
      </w:tr>
      <w:tr w14:paraId="196335C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0CFD51D">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86254D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E40D54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D9246F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C3A204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A377EA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65B920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B8330B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DDA50B6">
            <w:pPr>
              <w:rPr>
                <w:rFonts w:hint="default" w:ascii="黑体" w:hAnsi="黑体" w:eastAsia="黑体" w:cs="黑体"/>
                <w:i/>
                <w:iCs/>
                <w:color w:val="000000"/>
                <w:sz w:val="18"/>
                <w:szCs w:val="18"/>
                <w:u w:val="none"/>
              </w:rPr>
            </w:pPr>
          </w:p>
        </w:tc>
      </w:tr>
      <w:tr w14:paraId="28274B9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1D09851">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9BB578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6BD0DC7">
            <w:pPr>
              <w:jc w:val="center"/>
              <w:rPr>
                <w:rFonts w:hint="default" w:ascii="微软雅黑" w:hAnsi="微软雅黑" w:eastAsia="微软雅黑" w:cs="微软雅黑"/>
                <w:i/>
                <w:iCs/>
                <w:color w:val="000000"/>
                <w:sz w:val="16"/>
                <w:szCs w:val="16"/>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97559D4">
            <w:pPr>
              <w:jc w:val="center"/>
              <w:rPr>
                <w:rFonts w:hint="default" w:ascii="微软雅黑" w:hAnsi="微软雅黑" w:eastAsia="微软雅黑" w:cs="微软雅黑"/>
                <w:i/>
                <w:iCs/>
                <w:color w:val="000000"/>
                <w:sz w:val="16"/>
                <w:szCs w:val="16"/>
                <w:u w:val="none"/>
              </w:rPr>
            </w:pP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3C02308">
            <w:pPr>
              <w:jc w:val="center"/>
              <w:rPr>
                <w:rFonts w:hint="default" w:ascii="微软雅黑" w:hAnsi="微软雅黑" w:eastAsia="微软雅黑" w:cs="微软雅黑"/>
                <w:i/>
                <w:iCs/>
                <w:color w:val="000000"/>
                <w:sz w:val="16"/>
                <w:szCs w:val="16"/>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A939778">
            <w:pPr>
              <w:jc w:val="center"/>
              <w:rPr>
                <w:rFonts w:hint="default" w:ascii="微软雅黑" w:hAnsi="微软雅黑" w:eastAsia="微软雅黑" w:cs="微软雅黑"/>
                <w:i/>
                <w:iCs/>
                <w:color w:val="000000"/>
                <w:sz w:val="16"/>
                <w:szCs w:val="16"/>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3B0165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DDC0BA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49B6DF4">
            <w:pPr>
              <w:rPr>
                <w:rFonts w:hint="default" w:ascii="黑体" w:hAnsi="黑体" w:eastAsia="黑体" w:cs="黑体"/>
                <w:i/>
                <w:iCs/>
                <w:color w:val="000000"/>
                <w:sz w:val="18"/>
                <w:szCs w:val="18"/>
                <w:u w:val="none"/>
              </w:rPr>
            </w:pPr>
          </w:p>
        </w:tc>
      </w:tr>
      <w:tr w14:paraId="3C5647A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98DD98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12242C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76D378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544071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C3FF12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D238BE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89F13D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1AAB1C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D69D60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21E0AA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FC653B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14:paraId="3D0CE89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EB6FE65">
            <w:pPr>
              <w:jc w:val="center"/>
              <w:rPr>
                <w:rFonts w:hint="eastAsia" w:ascii="宋体" w:hAnsi="宋体" w:eastAsia="宋体" w:cs="宋体"/>
                <w:i w:val="0"/>
                <w:iCs w:val="0"/>
                <w:color w:val="000000"/>
                <w:sz w:val="18"/>
                <w:szCs w:val="18"/>
                <w:u w:val="none"/>
              </w:rPr>
            </w:pP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CD9A0E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F35A0D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83E2FB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活动完成数量</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902C16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DD01AC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848E03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BD33B61">
            <w:pPr>
              <w:keepNext w:val="0"/>
              <w:keepLines w:val="0"/>
              <w:widowControl/>
              <w:suppressLineNumbers w:val="0"/>
              <w:jc w:val="center"/>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100%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120E0F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13</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35703B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13</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B3E56E9">
            <w:pPr>
              <w:jc w:val="center"/>
              <w:rPr>
                <w:rFonts w:hint="default" w:ascii="微软雅黑" w:hAnsi="微软雅黑" w:eastAsia="微软雅黑" w:cs="微软雅黑"/>
                <w:i/>
                <w:iCs/>
                <w:color w:val="000000"/>
                <w:sz w:val="16"/>
                <w:szCs w:val="16"/>
                <w:u w:val="none"/>
              </w:rPr>
            </w:pPr>
          </w:p>
        </w:tc>
      </w:tr>
      <w:tr w14:paraId="59DBCE2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4B587F1">
            <w:pPr>
              <w:jc w:val="center"/>
              <w:rPr>
                <w:rFonts w:hint="eastAsia" w:ascii="宋体" w:hAnsi="宋体" w:eastAsia="宋体" w:cs="宋体"/>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0A3F4E0">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2FC72F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质量指标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760F56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验收通过率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2B26F9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5F019D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97</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E7C59F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1173B1B">
            <w:pPr>
              <w:keepNext w:val="0"/>
              <w:keepLines w:val="0"/>
              <w:widowControl/>
              <w:suppressLineNumbers w:val="0"/>
              <w:jc w:val="center"/>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100%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977A11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12</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C7E88C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12</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29133C3">
            <w:pPr>
              <w:jc w:val="center"/>
              <w:rPr>
                <w:rFonts w:hint="default" w:ascii="微软雅黑" w:hAnsi="微软雅黑" w:eastAsia="微软雅黑" w:cs="微软雅黑"/>
                <w:i/>
                <w:iCs/>
                <w:color w:val="000000"/>
                <w:sz w:val="16"/>
                <w:szCs w:val="16"/>
                <w:u w:val="none"/>
              </w:rPr>
            </w:pPr>
          </w:p>
        </w:tc>
      </w:tr>
      <w:tr w14:paraId="5111341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8124760">
            <w:pPr>
              <w:jc w:val="center"/>
              <w:rPr>
                <w:rFonts w:hint="eastAsia" w:ascii="宋体" w:hAnsi="宋体" w:eastAsia="宋体" w:cs="宋体"/>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D807FB7">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E2810E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时效指标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8DFD8E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项目完成时间</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E8E819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定性</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7D79E3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2024年12月底</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82B1638">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AC7F85B">
            <w:pPr>
              <w:keepNext w:val="0"/>
              <w:keepLines w:val="0"/>
              <w:widowControl/>
              <w:suppressLineNumbers w:val="0"/>
              <w:jc w:val="center"/>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100%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A56F59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15</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5DC2C1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15</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1E3B478">
            <w:pPr>
              <w:jc w:val="center"/>
              <w:rPr>
                <w:rFonts w:hint="default" w:ascii="微软雅黑" w:hAnsi="微软雅黑" w:eastAsia="微软雅黑" w:cs="微软雅黑"/>
                <w:i/>
                <w:iCs/>
                <w:color w:val="000000"/>
                <w:sz w:val="16"/>
                <w:szCs w:val="16"/>
                <w:u w:val="none"/>
              </w:rPr>
            </w:pPr>
          </w:p>
        </w:tc>
      </w:tr>
      <w:tr w14:paraId="3E5D191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8DA68FA">
            <w:pPr>
              <w:jc w:val="center"/>
              <w:rPr>
                <w:rFonts w:hint="eastAsia" w:ascii="宋体" w:hAnsi="宋体" w:eastAsia="宋体" w:cs="宋体"/>
                <w:i w:val="0"/>
                <w:iCs w:val="0"/>
                <w:color w:val="000000"/>
                <w:sz w:val="18"/>
                <w:szCs w:val="18"/>
                <w:u w:val="none"/>
              </w:rPr>
            </w:pP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589322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A2F8D4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91F97F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提高老年人幸福度</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5A1759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定性</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5A3307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良</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53B1398">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5BEEE97">
            <w:pPr>
              <w:keepNext w:val="0"/>
              <w:keepLines w:val="0"/>
              <w:widowControl/>
              <w:suppressLineNumbers w:val="0"/>
              <w:jc w:val="center"/>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100%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18BFDE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6D1D16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9D6809F">
            <w:pPr>
              <w:jc w:val="center"/>
              <w:rPr>
                <w:rFonts w:hint="default" w:ascii="微软雅黑" w:hAnsi="微软雅黑" w:eastAsia="微软雅黑" w:cs="微软雅黑"/>
                <w:i/>
                <w:iCs/>
                <w:color w:val="000000"/>
                <w:sz w:val="16"/>
                <w:szCs w:val="16"/>
                <w:u w:val="none"/>
              </w:rPr>
            </w:pPr>
          </w:p>
        </w:tc>
      </w:tr>
      <w:tr w14:paraId="200A549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4"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C68A9D4">
            <w:pPr>
              <w:jc w:val="center"/>
              <w:rPr>
                <w:rFonts w:hint="eastAsia" w:ascii="宋体" w:hAnsi="宋体" w:eastAsia="宋体" w:cs="宋体"/>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EADABB9">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1A62A7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可持续发展指标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EB987B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提升老年人幸福感指数，大大提升老年人对社会的可持续发展起到积极作用，</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7BBCD2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定性</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67EBB3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幸福感持续提升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AA33D6B">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923CA09">
            <w:pPr>
              <w:keepNext w:val="0"/>
              <w:keepLines w:val="0"/>
              <w:widowControl/>
              <w:suppressLineNumbers w:val="0"/>
              <w:jc w:val="center"/>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90%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83174C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D99569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5ADA15A">
            <w:pPr>
              <w:jc w:val="center"/>
              <w:rPr>
                <w:rFonts w:hint="default" w:ascii="微软雅黑" w:hAnsi="微软雅黑" w:eastAsia="微软雅黑" w:cs="微软雅黑"/>
                <w:i/>
                <w:iCs/>
                <w:color w:val="000000"/>
                <w:sz w:val="16"/>
                <w:szCs w:val="16"/>
                <w:u w:val="none"/>
              </w:rPr>
            </w:pPr>
          </w:p>
        </w:tc>
      </w:tr>
      <w:tr w14:paraId="33997D9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32A9B53">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55E8E8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D29733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服务对象满意度指标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33B3BA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老年人满意度</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F8A132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B39C53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95</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71E8A2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C0BD88F">
            <w:pPr>
              <w:keepNext w:val="0"/>
              <w:keepLines w:val="0"/>
              <w:widowControl/>
              <w:suppressLineNumbers w:val="0"/>
              <w:jc w:val="center"/>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98%</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7FBAAB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AE1401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FEA006B">
            <w:pPr>
              <w:jc w:val="center"/>
              <w:rPr>
                <w:rFonts w:hint="default" w:ascii="微软雅黑" w:hAnsi="微软雅黑" w:eastAsia="微软雅黑" w:cs="微软雅黑"/>
                <w:i/>
                <w:iCs/>
                <w:color w:val="000000"/>
                <w:sz w:val="16"/>
                <w:szCs w:val="16"/>
                <w:u w:val="none"/>
              </w:rPr>
            </w:pPr>
          </w:p>
        </w:tc>
      </w:tr>
      <w:tr w14:paraId="3DA3442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25F6F3B">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D509F2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成本指标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CE2863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经济成本指标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168C8D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成本控制率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7BC0AC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B2930A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3.5</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92D263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万元</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F5CF623">
            <w:pPr>
              <w:keepNext w:val="0"/>
              <w:keepLines w:val="0"/>
              <w:widowControl/>
              <w:suppressLineNumbers w:val="0"/>
              <w:jc w:val="center"/>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100%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6DEB63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F5D21D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BF0CD51">
            <w:pPr>
              <w:jc w:val="center"/>
              <w:rPr>
                <w:rFonts w:hint="default" w:ascii="微软雅黑" w:hAnsi="微软雅黑" w:eastAsia="微软雅黑" w:cs="微软雅黑"/>
                <w:i/>
                <w:iCs/>
                <w:color w:val="000000"/>
                <w:sz w:val="16"/>
                <w:szCs w:val="16"/>
                <w:u w:val="none"/>
              </w:rPr>
            </w:pPr>
          </w:p>
        </w:tc>
      </w:tr>
      <w:tr w14:paraId="69438C6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0" w:hRule="atLeast"/>
        </w:trPr>
        <w:tc>
          <w:tcPr>
            <w:tcW w:w="0" w:type="auto"/>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383A5C2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5AF604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5BF432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99</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5989E48">
            <w:pPr>
              <w:rPr>
                <w:rFonts w:hint="eastAsia" w:ascii="宋体" w:hAnsi="宋体" w:eastAsia="宋体" w:cs="宋体"/>
                <w:i w:val="0"/>
                <w:iCs w:val="0"/>
                <w:color w:val="000000"/>
                <w:sz w:val="18"/>
                <w:szCs w:val="18"/>
                <w:u w:val="none"/>
              </w:rPr>
            </w:pPr>
          </w:p>
        </w:tc>
      </w:tr>
      <w:tr w14:paraId="58BD7A2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3"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265325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0" w:type="auto"/>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68952D7A">
            <w:pPr>
              <w:keepNext w:val="0"/>
              <w:keepLines w:val="0"/>
              <w:widowControl/>
              <w:suppressLineNumbers w:val="0"/>
              <w:jc w:val="left"/>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根据中共阿坝州委办公会议纪要〔2007〕4号，该项经费用于保障马尔康地区老年人协会正常运转的要求，2024年确实有效保障了马尔康地区老年协会正常运转，提升老年人幸福感指数，提升了老年人对社会的可持续发展起到积极作用。</w:t>
            </w:r>
          </w:p>
        </w:tc>
      </w:tr>
      <w:tr w14:paraId="5CE0432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158C31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0" w:type="auto"/>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03A7323E">
            <w:pPr>
              <w:keepNext w:val="0"/>
              <w:keepLines w:val="0"/>
              <w:widowControl/>
              <w:suppressLineNumbers w:val="0"/>
              <w:jc w:val="left"/>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无</w:t>
            </w:r>
          </w:p>
        </w:tc>
      </w:tr>
      <w:tr w14:paraId="4ADC12A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97355A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0" w:type="auto"/>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0738297F">
            <w:pPr>
              <w:keepNext w:val="0"/>
              <w:keepLines w:val="0"/>
              <w:widowControl/>
              <w:suppressLineNumbers w:val="0"/>
              <w:jc w:val="left"/>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无</w:t>
            </w:r>
          </w:p>
        </w:tc>
      </w:tr>
      <w:tr w14:paraId="29D1654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40" w:hRule="atLeast"/>
        </w:trPr>
        <w:tc>
          <w:tcPr>
            <w:tcW w:w="0" w:type="auto"/>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BFC44B2">
            <w:pPr>
              <w:keepNext w:val="0"/>
              <w:keepLines w:val="0"/>
              <w:widowControl/>
              <w:suppressLineNumbers w:val="0"/>
              <w:jc w:val="left"/>
              <w:textAlignment w:val="center"/>
              <w:rPr>
                <w:rFonts w:hint="default" w:ascii="黑体" w:hAnsi="黑体" w:eastAsia="黑体" w:cs="黑体"/>
                <w:i w:val="0"/>
                <w:iCs w:val="0"/>
                <w:color w:val="000000"/>
                <w:sz w:val="18"/>
                <w:szCs w:val="18"/>
                <w:u w:val="none"/>
              </w:rPr>
            </w:pPr>
            <w:r>
              <w:rPr>
                <w:rFonts w:hint="default" w:ascii="黑体" w:hAnsi="黑体" w:eastAsia="黑体" w:cs="黑体"/>
                <w:i w:val="0"/>
                <w:iCs w:val="0"/>
                <w:color w:val="000000"/>
                <w:kern w:val="0"/>
                <w:sz w:val="18"/>
                <w:szCs w:val="18"/>
                <w:u w:val="none"/>
                <w:lang w:val="en-US" w:eastAsia="zh-CN" w:bidi="ar"/>
              </w:rPr>
              <w:t>项目负责人：彭闰</w:t>
            </w:r>
          </w:p>
        </w:tc>
        <w:tc>
          <w:tcPr>
            <w:tcW w:w="0" w:type="auto"/>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034C8152">
            <w:pPr>
              <w:keepNext w:val="0"/>
              <w:keepLines w:val="0"/>
              <w:widowControl/>
              <w:suppressLineNumbers w:val="0"/>
              <w:jc w:val="center"/>
              <w:textAlignment w:val="center"/>
              <w:rPr>
                <w:rFonts w:hint="default" w:ascii="黑体" w:hAnsi="黑体" w:eastAsia="黑体" w:cs="黑体"/>
                <w:i w:val="0"/>
                <w:iCs w:val="0"/>
                <w:color w:val="000000"/>
                <w:sz w:val="18"/>
                <w:szCs w:val="18"/>
                <w:u w:val="none"/>
              </w:rPr>
            </w:pPr>
            <w:r>
              <w:rPr>
                <w:rFonts w:hint="default" w:ascii="黑体" w:hAnsi="黑体" w:eastAsia="黑体" w:cs="黑体"/>
                <w:i w:val="0"/>
                <w:iCs w:val="0"/>
                <w:color w:val="000000"/>
                <w:kern w:val="0"/>
                <w:sz w:val="18"/>
                <w:szCs w:val="18"/>
                <w:u w:val="none"/>
                <w:lang w:val="en-US" w:eastAsia="zh-CN" w:bidi="ar"/>
              </w:rPr>
              <w:t>财务负责人：杨琴琴</w:t>
            </w:r>
          </w:p>
        </w:tc>
      </w:tr>
      <w:tr w14:paraId="2C40A01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80" w:hRule="atLeast"/>
        </w:trPr>
        <w:tc>
          <w:tcPr>
            <w:tcW w:w="0" w:type="auto"/>
            <w:tcBorders>
              <w:top w:val="nil"/>
              <w:left w:val="nil"/>
              <w:bottom w:val="nil"/>
              <w:right w:val="nil"/>
            </w:tcBorders>
            <w:shd w:val="clear" w:color="auto" w:fill="auto"/>
            <w:vAlign w:val="center"/>
          </w:tcPr>
          <w:p w14:paraId="0E45A691">
            <w:pPr>
              <w:rPr>
                <w:rFonts w:hint="eastAsia" w:ascii="宋体" w:hAnsi="宋体" w:eastAsia="宋体" w:cs="宋体"/>
                <w:i w:val="0"/>
                <w:iCs w:val="0"/>
                <w:color w:val="000000"/>
                <w:sz w:val="18"/>
                <w:szCs w:val="18"/>
                <w:u w:val="none"/>
              </w:rPr>
            </w:pPr>
          </w:p>
        </w:tc>
        <w:tc>
          <w:tcPr>
            <w:tcW w:w="0" w:type="auto"/>
            <w:tcBorders>
              <w:top w:val="nil"/>
              <w:left w:val="nil"/>
              <w:bottom w:val="nil"/>
              <w:right w:val="nil"/>
            </w:tcBorders>
            <w:shd w:val="clear" w:color="auto" w:fill="auto"/>
            <w:vAlign w:val="center"/>
          </w:tcPr>
          <w:p w14:paraId="34C7D9AC">
            <w:pPr>
              <w:rPr>
                <w:rFonts w:hint="eastAsia" w:ascii="宋体" w:hAnsi="宋体" w:eastAsia="宋体" w:cs="宋体"/>
                <w:i w:val="0"/>
                <w:iCs w:val="0"/>
                <w:color w:val="000000"/>
                <w:sz w:val="18"/>
                <w:szCs w:val="18"/>
                <w:u w:val="none"/>
              </w:rPr>
            </w:pPr>
          </w:p>
        </w:tc>
        <w:tc>
          <w:tcPr>
            <w:tcW w:w="0" w:type="auto"/>
            <w:tcBorders>
              <w:top w:val="nil"/>
              <w:left w:val="nil"/>
              <w:bottom w:val="nil"/>
              <w:right w:val="nil"/>
            </w:tcBorders>
            <w:shd w:val="clear" w:color="auto" w:fill="auto"/>
            <w:vAlign w:val="center"/>
          </w:tcPr>
          <w:p w14:paraId="30E7074C">
            <w:pPr>
              <w:jc w:val="center"/>
              <w:rPr>
                <w:rFonts w:hint="eastAsia" w:ascii="宋体" w:hAnsi="宋体" w:eastAsia="宋体" w:cs="宋体"/>
                <w:i w:val="0"/>
                <w:iCs w:val="0"/>
                <w:color w:val="000000"/>
                <w:sz w:val="18"/>
                <w:szCs w:val="18"/>
                <w:u w:val="none"/>
              </w:rPr>
            </w:pPr>
          </w:p>
        </w:tc>
        <w:tc>
          <w:tcPr>
            <w:tcW w:w="0" w:type="auto"/>
            <w:tcBorders>
              <w:top w:val="nil"/>
              <w:left w:val="nil"/>
              <w:bottom w:val="nil"/>
              <w:right w:val="nil"/>
            </w:tcBorders>
            <w:shd w:val="clear" w:color="auto" w:fill="auto"/>
            <w:vAlign w:val="center"/>
          </w:tcPr>
          <w:p w14:paraId="2E3986BC">
            <w:pPr>
              <w:jc w:val="center"/>
              <w:rPr>
                <w:rFonts w:hint="eastAsia" w:ascii="宋体" w:hAnsi="宋体" w:eastAsia="宋体" w:cs="宋体"/>
                <w:i w:val="0"/>
                <w:iCs w:val="0"/>
                <w:color w:val="000000"/>
                <w:sz w:val="18"/>
                <w:szCs w:val="18"/>
                <w:u w:val="none"/>
              </w:rPr>
            </w:pPr>
          </w:p>
        </w:tc>
        <w:tc>
          <w:tcPr>
            <w:tcW w:w="0" w:type="auto"/>
            <w:tcBorders>
              <w:top w:val="nil"/>
              <w:left w:val="nil"/>
              <w:bottom w:val="nil"/>
              <w:right w:val="nil"/>
            </w:tcBorders>
            <w:shd w:val="clear" w:color="auto" w:fill="auto"/>
            <w:vAlign w:val="center"/>
          </w:tcPr>
          <w:p w14:paraId="1F12197C">
            <w:pPr>
              <w:jc w:val="center"/>
              <w:rPr>
                <w:rFonts w:hint="eastAsia" w:ascii="宋体" w:hAnsi="宋体" w:eastAsia="宋体" w:cs="宋体"/>
                <w:i w:val="0"/>
                <w:iCs w:val="0"/>
                <w:color w:val="000000"/>
                <w:sz w:val="18"/>
                <w:szCs w:val="18"/>
                <w:u w:val="none"/>
              </w:rPr>
            </w:pPr>
          </w:p>
        </w:tc>
        <w:tc>
          <w:tcPr>
            <w:tcW w:w="0" w:type="auto"/>
            <w:tcBorders>
              <w:top w:val="nil"/>
              <w:left w:val="nil"/>
              <w:bottom w:val="nil"/>
              <w:right w:val="nil"/>
            </w:tcBorders>
            <w:shd w:val="clear" w:color="auto" w:fill="auto"/>
            <w:vAlign w:val="center"/>
          </w:tcPr>
          <w:p w14:paraId="5C74F800">
            <w:pPr>
              <w:jc w:val="center"/>
              <w:rPr>
                <w:rFonts w:hint="eastAsia" w:ascii="宋体" w:hAnsi="宋体" w:eastAsia="宋体" w:cs="宋体"/>
                <w:i w:val="0"/>
                <w:iCs w:val="0"/>
                <w:color w:val="000000"/>
                <w:sz w:val="18"/>
                <w:szCs w:val="18"/>
                <w:u w:val="none"/>
              </w:rPr>
            </w:pPr>
          </w:p>
        </w:tc>
        <w:tc>
          <w:tcPr>
            <w:tcW w:w="0" w:type="auto"/>
            <w:tcBorders>
              <w:top w:val="nil"/>
              <w:left w:val="nil"/>
              <w:bottom w:val="nil"/>
              <w:right w:val="nil"/>
            </w:tcBorders>
            <w:shd w:val="clear" w:color="auto" w:fill="auto"/>
            <w:vAlign w:val="center"/>
          </w:tcPr>
          <w:p w14:paraId="149061A6">
            <w:pPr>
              <w:jc w:val="center"/>
              <w:rPr>
                <w:rFonts w:hint="eastAsia" w:ascii="宋体" w:hAnsi="宋体" w:eastAsia="宋体" w:cs="宋体"/>
                <w:i w:val="0"/>
                <w:iCs w:val="0"/>
                <w:color w:val="000000"/>
                <w:sz w:val="18"/>
                <w:szCs w:val="18"/>
                <w:u w:val="none"/>
              </w:rPr>
            </w:pPr>
          </w:p>
        </w:tc>
        <w:tc>
          <w:tcPr>
            <w:tcW w:w="0" w:type="auto"/>
            <w:tcBorders>
              <w:top w:val="nil"/>
              <w:left w:val="nil"/>
              <w:bottom w:val="nil"/>
              <w:right w:val="nil"/>
            </w:tcBorders>
            <w:shd w:val="clear" w:color="auto" w:fill="auto"/>
            <w:vAlign w:val="center"/>
          </w:tcPr>
          <w:p w14:paraId="1909CEAD">
            <w:pPr>
              <w:jc w:val="center"/>
              <w:rPr>
                <w:rFonts w:hint="eastAsia" w:ascii="宋体" w:hAnsi="宋体" w:eastAsia="宋体" w:cs="宋体"/>
                <w:i w:val="0"/>
                <w:iCs w:val="0"/>
                <w:color w:val="000000"/>
                <w:sz w:val="18"/>
                <w:szCs w:val="18"/>
                <w:u w:val="none"/>
              </w:rPr>
            </w:pPr>
          </w:p>
        </w:tc>
        <w:tc>
          <w:tcPr>
            <w:tcW w:w="0" w:type="auto"/>
            <w:tcBorders>
              <w:top w:val="nil"/>
              <w:left w:val="nil"/>
              <w:bottom w:val="nil"/>
              <w:right w:val="nil"/>
            </w:tcBorders>
            <w:shd w:val="clear" w:color="auto" w:fill="auto"/>
            <w:vAlign w:val="center"/>
          </w:tcPr>
          <w:p w14:paraId="6E8A98C4">
            <w:pPr>
              <w:jc w:val="center"/>
              <w:rPr>
                <w:rFonts w:hint="eastAsia" w:ascii="宋体" w:hAnsi="宋体" w:eastAsia="宋体" w:cs="宋体"/>
                <w:i w:val="0"/>
                <w:iCs w:val="0"/>
                <w:color w:val="000000"/>
                <w:sz w:val="18"/>
                <w:szCs w:val="18"/>
                <w:u w:val="none"/>
              </w:rPr>
            </w:pPr>
          </w:p>
        </w:tc>
        <w:tc>
          <w:tcPr>
            <w:tcW w:w="0" w:type="auto"/>
            <w:tcBorders>
              <w:top w:val="nil"/>
              <w:left w:val="nil"/>
              <w:bottom w:val="nil"/>
              <w:right w:val="nil"/>
            </w:tcBorders>
            <w:shd w:val="clear" w:color="auto" w:fill="auto"/>
            <w:vAlign w:val="center"/>
          </w:tcPr>
          <w:p w14:paraId="58F284D9">
            <w:pPr>
              <w:jc w:val="center"/>
              <w:rPr>
                <w:rFonts w:hint="eastAsia" w:ascii="宋体" w:hAnsi="宋体" w:eastAsia="宋体" w:cs="宋体"/>
                <w:i w:val="0"/>
                <w:iCs w:val="0"/>
                <w:color w:val="000000"/>
                <w:sz w:val="18"/>
                <w:szCs w:val="18"/>
                <w:u w:val="none"/>
              </w:rPr>
            </w:pPr>
          </w:p>
        </w:tc>
        <w:tc>
          <w:tcPr>
            <w:tcW w:w="0" w:type="auto"/>
            <w:tcBorders>
              <w:top w:val="nil"/>
              <w:left w:val="nil"/>
              <w:bottom w:val="nil"/>
              <w:right w:val="nil"/>
            </w:tcBorders>
            <w:shd w:val="clear" w:color="auto" w:fill="auto"/>
            <w:vAlign w:val="center"/>
          </w:tcPr>
          <w:p w14:paraId="225E2D67">
            <w:pPr>
              <w:rPr>
                <w:rFonts w:hint="eastAsia" w:ascii="宋体" w:hAnsi="宋体" w:eastAsia="宋体" w:cs="宋体"/>
                <w:i w:val="0"/>
                <w:iCs w:val="0"/>
                <w:color w:val="000000"/>
                <w:sz w:val="18"/>
                <w:szCs w:val="18"/>
                <w:u w:val="none"/>
              </w:rPr>
            </w:pPr>
          </w:p>
        </w:tc>
      </w:tr>
      <w:tr w14:paraId="71A0A7D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40" w:hRule="atLeast"/>
        </w:trPr>
        <w:tc>
          <w:tcPr>
            <w:tcW w:w="0" w:type="auto"/>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7889A749">
            <w:pPr>
              <w:keepNext w:val="0"/>
              <w:keepLines w:val="0"/>
              <w:widowControl/>
              <w:suppressLineNumbers w:val="0"/>
              <w:jc w:val="center"/>
              <w:textAlignment w:val="center"/>
              <w:rPr>
                <w:rFonts w:hint="eastAsia"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部门预算项目支出绩效自评表（2024年度）</w:t>
            </w:r>
          </w:p>
        </w:tc>
      </w:tr>
      <w:tr w14:paraId="0D2CF68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trPr>
        <w:tc>
          <w:tcPr>
            <w:tcW w:w="0" w:type="auto"/>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831BABF">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0" w:type="auto"/>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15B0B2E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51320021T000000123379-阿坝州马尔康地区老年大学办学经费</w:t>
            </w:r>
          </w:p>
        </w:tc>
      </w:tr>
      <w:tr w14:paraId="0ADEEF9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60" w:hRule="atLeast"/>
        </w:trPr>
        <w:tc>
          <w:tcPr>
            <w:tcW w:w="0" w:type="auto"/>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9B10C6A">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0" w:type="auto"/>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1A33D2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州民政局部门</w:t>
            </w:r>
          </w:p>
        </w:tc>
        <w:tc>
          <w:tcPr>
            <w:tcW w:w="0" w:type="auto"/>
            <w:tcBorders>
              <w:top w:val="nil"/>
              <w:left w:val="nil"/>
              <w:bottom w:val="nil"/>
              <w:right w:val="nil"/>
            </w:tcBorders>
            <w:shd w:val="clear" w:color="auto" w:fill="auto"/>
            <w:vAlign w:val="center"/>
          </w:tcPr>
          <w:p w14:paraId="2DB6DDF2">
            <w:pPr>
              <w:keepNext w:val="0"/>
              <w:keepLines w:val="0"/>
              <w:widowControl/>
              <w:suppressLineNumbers w:val="0"/>
              <w:jc w:val="center"/>
              <w:textAlignment w:val="center"/>
              <w:rPr>
                <w:rFonts w:hint="default" w:ascii="黑体" w:hAnsi="黑体" w:eastAsia="黑体" w:cs="黑体"/>
                <w:i w:val="0"/>
                <w:iCs w:val="0"/>
                <w:color w:val="000000"/>
                <w:sz w:val="18"/>
                <w:szCs w:val="18"/>
                <w:u w:val="none"/>
              </w:rPr>
            </w:pPr>
            <w:r>
              <w:rPr>
                <w:rFonts w:hint="default" w:ascii="黑体" w:hAnsi="黑体" w:eastAsia="黑体" w:cs="黑体"/>
                <w:i w:val="0"/>
                <w:iCs w:val="0"/>
                <w:color w:val="000000"/>
                <w:kern w:val="0"/>
                <w:sz w:val="18"/>
                <w:szCs w:val="18"/>
                <w:u w:val="none"/>
                <w:lang w:val="en-US" w:eastAsia="zh-CN" w:bidi="ar"/>
              </w:rPr>
              <w:t>实施单位 （盖章）</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E161EC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州民政局</w:t>
            </w:r>
          </w:p>
        </w:tc>
      </w:tr>
      <w:tr w14:paraId="6592A4B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60" w:hRule="atLeast"/>
        </w:trPr>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7E24558">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6646199">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0" w:type="auto"/>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9F9A95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0" w:type="auto"/>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133E7676">
            <w:pPr>
              <w:keepNext w:val="0"/>
              <w:keepLines w:val="0"/>
              <w:widowControl/>
              <w:suppressLineNumbers w:val="0"/>
              <w:jc w:val="center"/>
              <w:textAlignment w:val="center"/>
              <w:rPr>
                <w:rFonts w:hint="default" w:ascii="黑体" w:hAnsi="黑体" w:eastAsia="黑体" w:cs="黑体"/>
                <w:i w:val="0"/>
                <w:iCs w:val="0"/>
                <w:color w:val="000000"/>
                <w:sz w:val="18"/>
                <w:szCs w:val="18"/>
                <w:u w:val="none"/>
              </w:rPr>
            </w:pPr>
            <w:r>
              <w:rPr>
                <w:rFonts w:hint="default" w:ascii="黑体" w:hAnsi="黑体" w:eastAsia="黑体" w:cs="黑体"/>
                <w:i w:val="0"/>
                <w:iCs w:val="0"/>
                <w:color w:val="000000"/>
                <w:kern w:val="0"/>
                <w:sz w:val="18"/>
                <w:szCs w:val="18"/>
                <w:u w:val="none"/>
                <w:lang w:val="en-US" w:eastAsia="zh-CN" w:bidi="ar"/>
              </w:rPr>
              <w:t>年度目标完成情况</w:t>
            </w:r>
          </w:p>
        </w:tc>
      </w:tr>
      <w:tr w14:paraId="63B877A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6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3048E2D">
            <w:pPr>
              <w:rPr>
                <w:rFonts w:hint="eastAsia" w:ascii="宋体" w:hAnsi="宋体" w:eastAsia="宋体" w:cs="宋体"/>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9C32764">
            <w:pPr>
              <w:rPr>
                <w:rFonts w:hint="eastAsia" w:ascii="宋体" w:hAnsi="宋体" w:eastAsia="宋体" w:cs="宋体"/>
                <w:i w:val="0"/>
                <w:iCs w:val="0"/>
                <w:color w:val="000000"/>
                <w:sz w:val="18"/>
                <w:szCs w:val="18"/>
                <w:u w:val="none"/>
              </w:rPr>
            </w:pPr>
          </w:p>
        </w:tc>
        <w:tc>
          <w:tcPr>
            <w:tcW w:w="0" w:type="auto"/>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21FBC9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保障马尔康地区老年大学正常运转，开展服务马尔康地区老年人老年教育工作。</w:t>
            </w:r>
          </w:p>
        </w:tc>
        <w:tc>
          <w:tcPr>
            <w:tcW w:w="0" w:type="auto"/>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13DEB419">
            <w:pPr>
              <w:keepNext w:val="0"/>
              <w:keepLines w:val="0"/>
              <w:widowControl/>
              <w:suppressLineNumbers w:val="0"/>
              <w:jc w:val="center"/>
              <w:textAlignment w:val="center"/>
              <w:rPr>
                <w:rFonts w:hint="default" w:ascii="黑体" w:hAnsi="黑体" w:eastAsia="黑体" w:cs="黑体"/>
                <w:i w:val="0"/>
                <w:iCs w:val="0"/>
                <w:color w:val="000000"/>
                <w:sz w:val="18"/>
                <w:szCs w:val="18"/>
                <w:u w:val="none"/>
              </w:rPr>
            </w:pPr>
            <w:r>
              <w:rPr>
                <w:rFonts w:hint="default" w:ascii="黑体" w:hAnsi="黑体" w:eastAsia="黑体" w:cs="黑体"/>
                <w:i w:val="0"/>
                <w:iCs w:val="0"/>
                <w:color w:val="000000"/>
                <w:kern w:val="0"/>
                <w:sz w:val="18"/>
                <w:szCs w:val="18"/>
                <w:u w:val="none"/>
                <w:lang w:val="en-US" w:eastAsia="zh-CN" w:bidi="ar"/>
              </w:rPr>
              <w:t>有效保障了马尔康地区老年大学正常运转，如期开展了服务马尔康地区老年人老年教育工作。</w:t>
            </w:r>
          </w:p>
        </w:tc>
      </w:tr>
      <w:tr w14:paraId="4366DD8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93"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A766DEF">
            <w:pP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8E21E1A">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0" w:type="auto"/>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2D4946D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老年大学按月开展教学活动，有效保障了马尔康地区老年大学正常运转。</w:t>
            </w:r>
          </w:p>
        </w:tc>
      </w:tr>
      <w:tr w14:paraId="5A338A9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326354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DE8A20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934213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D242FE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511A8F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4CC81C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037B20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746020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A046ED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14:paraId="116697A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6"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6A8DD3D">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84E9A1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BC5DB7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4.20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93793E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4.20</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6D429B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4.20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5B293B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02D4B3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7808AC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1B08A68">
            <w:pPr>
              <w:keepNext w:val="0"/>
              <w:keepLines w:val="0"/>
              <w:widowControl/>
              <w:suppressLineNumbers w:val="0"/>
              <w:jc w:val="left"/>
              <w:textAlignment w:val="center"/>
              <w:rPr>
                <w:rFonts w:hint="default" w:ascii="黑体" w:hAnsi="黑体" w:eastAsia="黑体" w:cs="黑体"/>
                <w:i/>
                <w:iCs/>
                <w:color w:val="000000"/>
                <w:sz w:val="18"/>
                <w:szCs w:val="18"/>
                <w:u w:val="none"/>
              </w:rPr>
            </w:pPr>
            <w:r>
              <w:rPr>
                <w:rFonts w:hint="default" w:ascii="黑体" w:hAnsi="黑体" w:eastAsia="黑体" w:cs="黑体"/>
                <w:i/>
                <w:iCs/>
                <w:color w:val="000000"/>
                <w:kern w:val="0"/>
                <w:sz w:val="18"/>
                <w:szCs w:val="18"/>
                <w:u w:val="none"/>
                <w:lang w:val="en-US" w:eastAsia="zh-CN" w:bidi="ar"/>
              </w:rPr>
              <w:t>该项目预算执行率高于90%，无预算调整。</w:t>
            </w:r>
          </w:p>
        </w:tc>
      </w:tr>
      <w:tr w14:paraId="7A96426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1"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ED36C62">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99455E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FE8976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4.20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C56777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4.20</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6172D5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4.20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A8440D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60D40C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837D99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99277D7">
            <w:pPr>
              <w:rPr>
                <w:rFonts w:hint="default" w:ascii="黑体" w:hAnsi="黑体" w:eastAsia="黑体" w:cs="黑体"/>
                <w:i/>
                <w:iCs/>
                <w:color w:val="000000"/>
                <w:sz w:val="18"/>
                <w:szCs w:val="18"/>
                <w:u w:val="none"/>
              </w:rPr>
            </w:pPr>
          </w:p>
        </w:tc>
      </w:tr>
      <w:tr w14:paraId="272AC98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7"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A86C861">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DEF87B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6238C6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D70F46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9CCABB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1FF27E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815429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818E1A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159ACDD">
            <w:pPr>
              <w:rPr>
                <w:rFonts w:hint="default" w:ascii="黑体" w:hAnsi="黑体" w:eastAsia="黑体" w:cs="黑体"/>
                <w:i/>
                <w:iCs/>
                <w:color w:val="000000"/>
                <w:sz w:val="18"/>
                <w:szCs w:val="18"/>
                <w:u w:val="none"/>
              </w:rPr>
            </w:pPr>
          </w:p>
        </w:tc>
      </w:tr>
      <w:tr w14:paraId="0B7EE33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A0E14C3">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4AC056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BF7C5D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2502D0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BFC4FB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469F20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2F6EA4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877C02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9333A79">
            <w:pPr>
              <w:rPr>
                <w:rFonts w:hint="default" w:ascii="黑体" w:hAnsi="黑体" w:eastAsia="黑体" w:cs="黑体"/>
                <w:i/>
                <w:iCs/>
                <w:color w:val="000000"/>
                <w:sz w:val="18"/>
                <w:szCs w:val="18"/>
                <w:u w:val="none"/>
              </w:rPr>
            </w:pPr>
          </w:p>
        </w:tc>
      </w:tr>
      <w:tr w14:paraId="6AD6CFA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91847C2">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4F2B82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C620234">
            <w:pPr>
              <w:jc w:val="center"/>
              <w:rPr>
                <w:rFonts w:hint="default" w:ascii="微软雅黑" w:hAnsi="微软雅黑" w:eastAsia="微软雅黑" w:cs="微软雅黑"/>
                <w:i/>
                <w:iCs/>
                <w:color w:val="000000"/>
                <w:sz w:val="16"/>
                <w:szCs w:val="16"/>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A339379">
            <w:pPr>
              <w:jc w:val="center"/>
              <w:rPr>
                <w:rFonts w:hint="default" w:ascii="微软雅黑" w:hAnsi="微软雅黑" w:eastAsia="微软雅黑" w:cs="微软雅黑"/>
                <w:i/>
                <w:iCs/>
                <w:color w:val="000000"/>
                <w:sz w:val="16"/>
                <w:szCs w:val="16"/>
                <w:u w:val="none"/>
              </w:rPr>
            </w:pP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7B9C633">
            <w:pPr>
              <w:jc w:val="center"/>
              <w:rPr>
                <w:rFonts w:hint="default" w:ascii="微软雅黑" w:hAnsi="微软雅黑" w:eastAsia="微软雅黑" w:cs="微软雅黑"/>
                <w:i/>
                <w:iCs/>
                <w:color w:val="000000"/>
                <w:sz w:val="16"/>
                <w:szCs w:val="16"/>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6186AEA">
            <w:pPr>
              <w:jc w:val="center"/>
              <w:rPr>
                <w:rFonts w:hint="default" w:ascii="微软雅黑" w:hAnsi="微软雅黑" w:eastAsia="微软雅黑" w:cs="微软雅黑"/>
                <w:i/>
                <w:iCs/>
                <w:color w:val="000000"/>
                <w:sz w:val="16"/>
                <w:szCs w:val="16"/>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8C208D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29EE42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8B1B830">
            <w:pPr>
              <w:rPr>
                <w:rFonts w:hint="default" w:ascii="黑体" w:hAnsi="黑体" w:eastAsia="黑体" w:cs="黑体"/>
                <w:i/>
                <w:iCs/>
                <w:color w:val="000000"/>
                <w:sz w:val="18"/>
                <w:szCs w:val="18"/>
                <w:u w:val="none"/>
              </w:rPr>
            </w:pPr>
          </w:p>
        </w:tc>
      </w:tr>
      <w:tr w14:paraId="40BE104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2" w:hRule="atLeast"/>
        </w:trPr>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023A05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803AAF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9496D3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C375E3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375EAF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955370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4768F4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B1198D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9138B3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C451A4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B91E6E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14:paraId="5E82C9C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8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5AD3445">
            <w:pPr>
              <w:jc w:val="center"/>
              <w:rPr>
                <w:rFonts w:hint="eastAsia" w:ascii="宋体" w:hAnsi="宋体" w:eastAsia="宋体" w:cs="宋体"/>
                <w:i w:val="0"/>
                <w:iCs w:val="0"/>
                <w:color w:val="000000"/>
                <w:sz w:val="18"/>
                <w:szCs w:val="18"/>
                <w:u w:val="none"/>
              </w:rPr>
            </w:pP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58966F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CD1384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8315AB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老年大学按月开展教学活动</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F84E6F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650EFF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12</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EBA755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次/年</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CC73E9E">
            <w:pPr>
              <w:keepNext w:val="0"/>
              <w:keepLines w:val="0"/>
              <w:widowControl/>
              <w:suppressLineNumbers w:val="0"/>
              <w:jc w:val="center"/>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100%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FF5AA4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13</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438EAC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13</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A50A5BB">
            <w:pPr>
              <w:jc w:val="center"/>
              <w:rPr>
                <w:rFonts w:hint="default" w:ascii="微软雅黑" w:hAnsi="微软雅黑" w:eastAsia="微软雅黑" w:cs="微软雅黑"/>
                <w:i/>
                <w:iCs/>
                <w:color w:val="000000"/>
                <w:sz w:val="16"/>
                <w:szCs w:val="16"/>
                <w:u w:val="none"/>
              </w:rPr>
            </w:pPr>
          </w:p>
        </w:tc>
      </w:tr>
      <w:tr w14:paraId="6B49696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8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4750048">
            <w:pPr>
              <w:jc w:val="center"/>
              <w:rPr>
                <w:rFonts w:hint="eastAsia" w:ascii="宋体" w:hAnsi="宋体" w:eastAsia="宋体" w:cs="宋体"/>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C4B4FC2">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985402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质量指标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923185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项目验收通过率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FFAEDD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F04E9B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97</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639B95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5731BEF">
            <w:pPr>
              <w:keepNext w:val="0"/>
              <w:keepLines w:val="0"/>
              <w:widowControl/>
              <w:suppressLineNumbers w:val="0"/>
              <w:jc w:val="center"/>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100%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F1DA3F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12</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4212E8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12</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F97E3D2">
            <w:pPr>
              <w:jc w:val="center"/>
              <w:rPr>
                <w:rFonts w:hint="default" w:ascii="微软雅黑" w:hAnsi="微软雅黑" w:eastAsia="微软雅黑" w:cs="微软雅黑"/>
                <w:i/>
                <w:iCs/>
                <w:color w:val="000000"/>
                <w:sz w:val="16"/>
                <w:szCs w:val="16"/>
                <w:u w:val="none"/>
              </w:rPr>
            </w:pPr>
          </w:p>
        </w:tc>
      </w:tr>
      <w:tr w14:paraId="50A4552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8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02D5069">
            <w:pPr>
              <w:jc w:val="center"/>
              <w:rPr>
                <w:rFonts w:hint="eastAsia" w:ascii="宋体" w:hAnsi="宋体" w:eastAsia="宋体" w:cs="宋体"/>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DA9356E">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898B2B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时效指标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E4ED29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项目完成时间</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5F12E0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定性</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EF6341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2024年12月底</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FD06DC1">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D54ED77">
            <w:pPr>
              <w:keepNext w:val="0"/>
              <w:keepLines w:val="0"/>
              <w:widowControl/>
              <w:suppressLineNumbers w:val="0"/>
              <w:jc w:val="center"/>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100%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8833A1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15</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DE7380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15</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0BB3FB8">
            <w:pPr>
              <w:jc w:val="center"/>
              <w:rPr>
                <w:rFonts w:hint="default" w:ascii="微软雅黑" w:hAnsi="微软雅黑" w:eastAsia="微软雅黑" w:cs="微软雅黑"/>
                <w:i/>
                <w:iCs/>
                <w:color w:val="000000"/>
                <w:sz w:val="16"/>
                <w:szCs w:val="16"/>
                <w:u w:val="none"/>
              </w:rPr>
            </w:pPr>
          </w:p>
        </w:tc>
      </w:tr>
      <w:tr w14:paraId="2B0F1B6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2"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C805774">
            <w:pPr>
              <w:jc w:val="center"/>
              <w:rPr>
                <w:rFonts w:hint="eastAsia" w:ascii="宋体" w:hAnsi="宋体" w:eastAsia="宋体" w:cs="宋体"/>
                <w:i w:val="0"/>
                <w:iCs w:val="0"/>
                <w:color w:val="000000"/>
                <w:sz w:val="18"/>
                <w:szCs w:val="18"/>
                <w:u w:val="none"/>
              </w:rPr>
            </w:pP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E23B85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D7E1A2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7652A9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提升老年教育对社会发展起到积极作用</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C30785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定性</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1AA058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良</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48BE859">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A2615F6">
            <w:pPr>
              <w:keepNext w:val="0"/>
              <w:keepLines w:val="0"/>
              <w:widowControl/>
              <w:suppressLineNumbers w:val="0"/>
              <w:jc w:val="center"/>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100%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D06EFA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AE883E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DE523BF">
            <w:pPr>
              <w:jc w:val="center"/>
              <w:rPr>
                <w:rFonts w:hint="default" w:ascii="微软雅黑" w:hAnsi="微软雅黑" w:eastAsia="微软雅黑" w:cs="微软雅黑"/>
                <w:i/>
                <w:iCs/>
                <w:color w:val="000000"/>
                <w:sz w:val="16"/>
                <w:szCs w:val="16"/>
                <w:u w:val="none"/>
              </w:rPr>
            </w:pPr>
          </w:p>
        </w:tc>
      </w:tr>
      <w:tr w14:paraId="372D4CE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C98C764">
            <w:pPr>
              <w:jc w:val="center"/>
              <w:rPr>
                <w:rFonts w:hint="eastAsia" w:ascii="宋体" w:hAnsi="宋体" w:eastAsia="宋体" w:cs="宋体"/>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09B84D0">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C76D96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可持续影响指标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E4E928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带动老年教育发展，可持续影响年轻人群对社会做出更多贡献</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BE9E1A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定性</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3D749C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良</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85DE098">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AD989D1">
            <w:pPr>
              <w:keepNext w:val="0"/>
              <w:keepLines w:val="0"/>
              <w:widowControl/>
              <w:suppressLineNumbers w:val="0"/>
              <w:jc w:val="center"/>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90%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762865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E1BAA8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10693CD">
            <w:pPr>
              <w:jc w:val="center"/>
              <w:rPr>
                <w:rFonts w:hint="default" w:ascii="微软雅黑" w:hAnsi="微软雅黑" w:eastAsia="微软雅黑" w:cs="微软雅黑"/>
                <w:i/>
                <w:iCs/>
                <w:color w:val="000000"/>
                <w:sz w:val="16"/>
                <w:szCs w:val="16"/>
                <w:u w:val="none"/>
              </w:rPr>
            </w:pPr>
          </w:p>
        </w:tc>
      </w:tr>
      <w:tr w14:paraId="04439AB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530BB59">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94B010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C2C63E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3C6CF5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提升老年人满意度</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91C778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C603EC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376DBB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E192A6A">
            <w:pPr>
              <w:keepNext w:val="0"/>
              <w:keepLines w:val="0"/>
              <w:widowControl/>
              <w:suppressLineNumbers w:val="0"/>
              <w:jc w:val="center"/>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98%</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D2B68E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D381F4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AEF5865">
            <w:pPr>
              <w:jc w:val="center"/>
              <w:rPr>
                <w:rFonts w:hint="default" w:ascii="微软雅黑" w:hAnsi="微软雅黑" w:eastAsia="微软雅黑" w:cs="微软雅黑"/>
                <w:i/>
                <w:iCs/>
                <w:color w:val="000000"/>
                <w:sz w:val="16"/>
                <w:szCs w:val="16"/>
                <w:u w:val="none"/>
              </w:rPr>
            </w:pPr>
          </w:p>
        </w:tc>
      </w:tr>
      <w:tr w14:paraId="0DD8C0C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48225DF">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BDA5D4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成本指标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EA3BD2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经济成本指标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1BD514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成本控制率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1B9F20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37A92A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4.2</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EA7BB5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万元</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BB550BC">
            <w:pPr>
              <w:keepNext w:val="0"/>
              <w:keepLines w:val="0"/>
              <w:widowControl/>
              <w:suppressLineNumbers w:val="0"/>
              <w:jc w:val="center"/>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100%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67BEB0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605226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DF0235B">
            <w:pPr>
              <w:jc w:val="center"/>
              <w:rPr>
                <w:rFonts w:hint="default" w:ascii="微软雅黑" w:hAnsi="微软雅黑" w:eastAsia="微软雅黑" w:cs="微软雅黑"/>
                <w:i/>
                <w:iCs/>
                <w:color w:val="000000"/>
                <w:sz w:val="16"/>
                <w:szCs w:val="16"/>
                <w:u w:val="none"/>
              </w:rPr>
            </w:pPr>
          </w:p>
        </w:tc>
      </w:tr>
      <w:tr w14:paraId="3F22C30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0" w:type="auto"/>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3243CA8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5B051C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F106D1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99</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688B8D9">
            <w:pPr>
              <w:rPr>
                <w:rFonts w:hint="eastAsia" w:ascii="宋体" w:hAnsi="宋体" w:eastAsia="宋体" w:cs="宋体"/>
                <w:i w:val="0"/>
                <w:iCs w:val="0"/>
                <w:color w:val="000000"/>
                <w:sz w:val="18"/>
                <w:szCs w:val="18"/>
                <w:u w:val="none"/>
              </w:rPr>
            </w:pPr>
          </w:p>
        </w:tc>
      </w:tr>
      <w:tr w14:paraId="7A2B8FD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3"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9FB9B3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0" w:type="auto"/>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2C1BDB66">
            <w:pPr>
              <w:keepNext w:val="0"/>
              <w:keepLines w:val="0"/>
              <w:widowControl/>
              <w:suppressLineNumbers w:val="0"/>
              <w:jc w:val="left"/>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为马尔康地区老年人提供丰富的文化需求，使老年人实现“老有所学、老有所乐、老有所为”。</w:t>
            </w:r>
          </w:p>
        </w:tc>
      </w:tr>
      <w:tr w14:paraId="47CFEE5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B55098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0" w:type="auto"/>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13D6C1C2">
            <w:pPr>
              <w:keepNext w:val="0"/>
              <w:keepLines w:val="0"/>
              <w:widowControl/>
              <w:suppressLineNumbers w:val="0"/>
              <w:jc w:val="left"/>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无</w:t>
            </w:r>
          </w:p>
        </w:tc>
      </w:tr>
      <w:tr w14:paraId="30438A8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3"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DCDE9E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0" w:type="auto"/>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358580BB">
            <w:pPr>
              <w:keepNext w:val="0"/>
              <w:keepLines w:val="0"/>
              <w:widowControl/>
              <w:suppressLineNumbers w:val="0"/>
              <w:jc w:val="left"/>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无</w:t>
            </w:r>
          </w:p>
        </w:tc>
      </w:tr>
      <w:tr w14:paraId="70DFAF4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0" w:type="auto"/>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F689FA3">
            <w:pPr>
              <w:keepNext w:val="0"/>
              <w:keepLines w:val="0"/>
              <w:widowControl/>
              <w:suppressLineNumbers w:val="0"/>
              <w:jc w:val="left"/>
              <w:textAlignment w:val="center"/>
              <w:rPr>
                <w:rFonts w:hint="default" w:ascii="黑体" w:hAnsi="黑体" w:eastAsia="黑体" w:cs="黑体"/>
                <w:i w:val="0"/>
                <w:iCs w:val="0"/>
                <w:color w:val="000000"/>
                <w:sz w:val="18"/>
                <w:szCs w:val="18"/>
                <w:u w:val="none"/>
              </w:rPr>
            </w:pPr>
            <w:r>
              <w:rPr>
                <w:rFonts w:hint="default" w:ascii="黑体" w:hAnsi="黑体" w:eastAsia="黑体" w:cs="黑体"/>
                <w:i w:val="0"/>
                <w:iCs w:val="0"/>
                <w:color w:val="000000"/>
                <w:kern w:val="0"/>
                <w:sz w:val="18"/>
                <w:szCs w:val="18"/>
                <w:u w:val="none"/>
                <w:lang w:val="en-US" w:eastAsia="zh-CN" w:bidi="ar"/>
              </w:rPr>
              <w:t>项目负责人：彭闰</w:t>
            </w:r>
          </w:p>
        </w:tc>
        <w:tc>
          <w:tcPr>
            <w:tcW w:w="0" w:type="auto"/>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5864AEE5">
            <w:pPr>
              <w:keepNext w:val="0"/>
              <w:keepLines w:val="0"/>
              <w:widowControl/>
              <w:suppressLineNumbers w:val="0"/>
              <w:jc w:val="center"/>
              <w:textAlignment w:val="center"/>
              <w:rPr>
                <w:rFonts w:hint="default" w:ascii="黑体" w:hAnsi="黑体" w:eastAsia="黑体" w:cs="黑体"/>
                <w:i w:val="0"/>
                <w:iCs w:val="0"/>
                <w:color w:val="000000"/>
                <w:sz w:val="18"/>
                <w:szCs w:val="18"/>
                <w:u w:val="none"/>
              </w:rPr>
            </w:pPr>
            <w:r>
              <w:rPr>
                <w:rFonts w:hint="default" w:ascii="黑体" w:hAnsi="黑体" w:eastAsia="黑体" w:cs="黑体"/>
                <w:i w:val="0"/>
                <w:iCs w:val="0"/>
                <w:color w:val="000000"/>
                <w:kern w:val="0"/>
                <w:sz w:val="18"/>
                <w:szCs w:val="18"/>
                <w:u w:val="none"/>
                <w:lang w:val="en-US" w:eastAsia="zh-CN" w:bidi="ar"/>
              </w:rPr>
              <w:t>财务负责人：杨琴琴</w:t>
            </w:r>
          </w:p>
        </w:tc>
      </w:tr>
      <w:tr w14:paraId="33F0919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260" w:hRule="atLeast"/>
        </w:trPr>
        <w:tc>
          <w:tcPr>
            <w:tcW w:w="0" w:type="auto"/>
            <w:tcBorders>
              <w:top w:val="nil"/>
              <w:left w:val="nil"/>
              <w:bottom w:val="nil"/>
              <w:right w:val="nil"/>
            </w:tcBorders>
            <w:shd w:val="clear" w:color="auto" w:fill="auto"/>
            <w:vAlign w:val="center"/>
          </w:tcPr>
          <w:p w14:paraId="151BFCDC">
            <w:pPr>
              <w:rPr>
                <w:rFonts w:hint="eastAsia" w:ascii="宋体" w:hAnsi="宋体" w:eastAsia="宋体" w:cs="宋体"/>
                <w:i w:val="0"/>
                <w:iCs w:val="0"/>
                <w:color w:val="000000"/>
                <w:sz w:val="18"/>
                <w:szCs w:val="18"/>
                <w:u w:val="none"/>
              </w:rPr>
            </w:pPr>
          </w:p>
        </w:tc>
        <w:tc>
          <w:tcPr>
            <w:tcW w:w="0" w:type="auto"/>
            <w:tcBorders>
              <w:top w:val="nil"/>
              <w:left w:val="nil"/>
              <w:bottom w:val="nil"/>
              <w:right w:val="nil"/>
            </w:tcBorders>
            <w:shd w:val="clear" w:color="auto" w:fill="auto"/>
            <w:vAlign w:val="center"/>
          </w:tcPr>
          <w:p w14:paraId="58645313">
            <w:pPr>
              <w:rPr>
                <w:rFonts w:hint="eastAsia" w:ascii="宋体" w:hAnsi="宋体" w:eastAsia="宋体" w:cs="宋体"/>
                <w:i w:val="0"/>
                <w:iCs w:val="0"/>
                <w:color w:val="000000"/>
                <w:sz w:val="18"/>
                <w:szCs w:val="18"/>
                <w:u w:val="none"/>
              </w:rPr>
            </w:pPr>
          </w:p>
        </w:tc>
        <w:tc>
          <w:tcPr>
            <w:tcW w:w="0" w:type="auto"/>
            <w:tcBorders>
              <w:top w:val="nil"/>
              <w:left w:val="nil"/>
              <w:bottom w:val="nil"/>
              <w:right w:val="nil"/>
            </w:tcBorders>
            <w:shd w:val="clear" w:color="auto" w:fill="auto"/>
            <w:vAlign w:val="center"/>
          </w:tcPr>
          <w:p w14:paraId="73A1DEB2">
            <w:pPr>
              <w:jc w:val="center"/>
              <w:rPr>
                <w:rFonts w:hint="eastAsia" w:ascii="宋体" w:hAnsi="宋体" w:eastAsia="宋体" w:cs="宋体"/>
                <w:i w:val="0"/>
                <w:iCs w:val="0"/>
                <w:color w:val="000000"/>
                <w:sz w:val="18"/>
                <w:szCs w:val="18"/>
                <w:u w:val="none"/>
              </w:rPr>
            </w:pPr>
          </w:p>
        </w:tc>
        <w:tc>
          <w:tcPr>
            <w:tcW w:w="0" w:type="auto"/>
            <w:tcBorders>
              <w:top w:val="nil"/>
              <w:left w:val="nil"/>
              <w:bottom w:val="nil"/>
              <w:right w:val="nil"/>
            </w:tcBorders>
            <w:shd w:val="clear" w:color="auto" w:fill="auto"/>
            <w:vAlign w:val="center"/>
          </w:tcPr>
          <w:p w14:paraId="152EEFCA">
            <w:pPr>
              <w:jc w:val="center"/>
              <w:rPr>
                <w:rFonts w:hint="eastAsia" w:ascii="宋体" w:hAnsi="宋体" w:eastAsia="宋体" w:cs="宋体"/>
                <w:i w:val="0"/>
                <w:iCs w:val="0"/>
                <w:color w:val="000000"/>
                <w:sz w:val="18"/>
                <w:szCs w:val="18"/>
                <w:u w:val="none"/>
              </w:rPr>
            </w:pPr>
          </w:p>
        </w:tc>
        <w:tc>
          <w:tcPr>
            <w:tcW w:w="0" w:type="auto"/>
            <w:tcBorders>
              <w:top w:val="nil"/>
              <w:left w:val="nil"/>
              <w:bottom w:val="nil"/>
              <w:right w:val="nil"/>
            </w:tcBorders>
            <w:shd w:val="clear" w:color="auto" w:fill="auto"/>
            <w:vAlign w:val="center"/>
          </w:tcPr>
          <w:p w14:paraId="64F4FE71">
            <w:pPr>
              <w:jc w:val="center"/>
              <w:rPr>
                <w:rFonts w:hint="eastAsia" w:ascii="宋体" w:hAnsi="宋体" w:eastAsia="宋体" w:cs="宋体"/>
                <w:i w:val="0"/>
                <w:iCs w:val="0"/>
                <w:color w:val="000000"/>
                <w:sz w:val="18"/>
                <w:szCs w:val="18"/>
                <w:u w:val="none"/>
              </w:rPr>
            </w:pPr>
          </w:p>
        </w:tc>
        <w:tc>
          <w:tcPr>
            <w:tcW w:w="0" w:type="auto"/>
            <w:tcBorders>
              <w:top w:val="nil"/>
              <w:left w:val="nil"/>
              <w:bottom w:val="nil"/>
              <w:right w:val="nil"/>
            </w:tcBorders>
            <w:shd w:val="clear" w:color="auto" w:fill="auto"/>
            <w:vAlign w:val="center"/>
          </w:tcPr>
          <w:p w14:paraId="238AA9D8">
            <w:pPr>
              <w:jc w:val="center"/>
              <w:rPr>
                <w:rFonts w:hint="eastAsia" w:ascii="宋体" w:hAnsi="宋体" w:eastAsia="宋体" w:cs="宋体"/>
                <w:i w:val="0"/>
                <w:iCs w:val="0"/>
                <w:color w:val="000000"/>
                <w:sz w:val="18"/>
                <w:szCs w:val="18"/>
                <w:u w:val="none"/>
              </w:rPr>
            </w:pPr>
          </w:p>
        </w:tc>
        <w:tc>
          <w:tcPr>
            <w:tcW w:w="0" w:type="auto"/>
            <w:tcBorders>
              <w:top w:val="nil"/>
              <w:left w:val="nil"/>
              <w:bottom w:val="nil"/>
              <w:right w:val="nil"/>
            </w:tcBorders>
            <w:shd w:val="clear" w:color="auto" w:fill="auto"/>
            <w:vAlign w:val="center"/>
          </w:tcPr>
          <w:p w14:paraId="2F5F3BC9">
            <w:pPr>
              <w:jc w:val="center"/>
              <w:rPr>
                <w:rFonts w:hint="eastAsia" w:ascii="宋体" w:hAnsi="宋体" w:eastAsia="宋体" w:cs="宋体"/>
                <w:i w:val="0"/>
                <w:iCs w:val="0"/>
                <w:color w:val="000000"/>
                <w:sz w:val="18"/>
                <w:szCs w:val="18"/>
                <w:u w:val="none"/>
              </w:rPr>
            </w:pPr>
          </w:p>
        </w:tc>
        <w:tc>
          <w:tcPr>
            <w:tcW w:w="0" w:type="auto"/>
            <w:tcBorders>
              <w:top w:val="nil"/>
              <w:left w:val="nil"/>
              <w:bottom w:val="nil"/>
              <w:right w:val="nil"/>
            </w:tcBorders>
            <w:shd w:val="clear" w:color="auto" w:fill="auto"/>
            <w:vAlign w:val="center"/>
          </w:tcPr>
          <w:p w14:paraId="33C675B2">
            <w:pPr>
              <w:jc w:val="center"/>
              <w:rPr>
                <w:rFonts w:hint="eastAsia" w:ascii="宋体" w:hAnsi="宋体" w:eastAsia="宋体" w:cs="宋体"/>
                <w:i w:val="0"/>
                <w:iCs w:val="0"/>
                <w:color w:val="000000"/>
                <w:sz w:val="18"/>
                <w:szCs w:val="18"/>
                <w:u w:val="none"/>
              </w:rPr>
            </w:pPr>
          </w:p>
        </w:tc>
        <w:tc>
          <w:tcPr>
            <w:tcW w:w="0" w:type="auto"/>
            <w:tcBorders>
              <w:top w:val="nil"/>
              <w:left w:val="nil"/>
              <w:bottom w:val="nil"/>
              <w:right w:val="nil"/>
            </w:tcBorders>
            <w:shd w:val="clear" w:color="auto" w:fill="auto"/>
            <w:vAlign w:val="center"/>
          </w:tcPr>
          <w:p w14:paraId="00913D64">
            <w:pPr>
              <w:jc w:val="center"/>
              <w:rPr>
                <w:rFonts w:hint="eastAsia" w:ascii="宋体" w:hAnsi="宋体" w:eastAsia="宋体" w:cs="宋体"/>
                <w:i w:val="0"/>
                <w:iCs w:val="0"/>
                <w:color w:val="000000"/>
                <w:sz w:val="18"/>
                <w:szCs w:val="18"/>
                <w:u w:val="none"/>
              </w:rPr>
            </w:pPr>
          </w:p>
        </w:tc>
        <w:tc>
          <w:tcPr>
            <w:tcW w:w="0" w:type="auto"/>
            <w:tcBorders>
              <w:top w:val="nil"/>
              <w:left w:val="nil"/>
              <w:bottom w:val="nil"/>
              <w:right w:val="nil"/>
            </w:tcBorders>
            <w:shd w:val="clear" w:color="auto" w:fill="auto"/>
            <w:vAlign w:val="center"/>
          </w:tcPr>
          <w:p w14:paraId="6F69E646">
            <w:pPr>
              <w:jc w:val="center"/>
              <w:rPr>
                <w:rFonts w:hint="eastAsia" w:ascii="宋体" w:hAnsi="宋体" w:eastAsia="宋体" w:cs="宋体"/>
                <w:i w:val="0"/>
                <w:iCs w:val="0"/>
                <w:color w:val="000000"/>
                <w:sz w:val="18"/>
                <w:szCs w:val="18"/>
                <w:u w:val="none"/>
              </w:rPr>
            </w:pPr>
          </w:p>
        </w:tc>
        <w:tc>
          <w:tcPr>
            <w:tcW w:w="0" w:type="auto"/>
            <w:tcBorders>
              <w:top w:val="nil"/>
              <w:left w:val="nil"/>
              <w:bottom w:val="nil"/>
              <w:right w:val="nil"/>
            </w:tcBorders>
            <w:shd w:val="clear" w:color="auto" w:fill="auto"/>
            <w:vAlign w:val="center"/>
          </w:tcPr>
          <w:p w14:paraId="1785BA5B">
            <w:pPr>
              <w:rPr>
                <w:rFonts w:hint="eastAsia" w:ascii="宋体" w:hAnsi="宋体" w:eastAsia="宋体" w:cs="宋体"/>
                <w:i w:val="0"/>
                <w:iCs w:val="0"/>
                <w:color w:val="000000"/>
                <w:sz w:val="18"/>
                <w:szCs w:val="18"/>
                <w:u w:val="none"/>
              </w:rPr>
            </w:pPr>
          </w:p>
        </w:tc>
      </w:tr>
      <w:tr w14:paraId="61E4FB2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trPr>
        <w:tc>
          <w:tcPr>
            <w:tcW w:w="0" w:type="auto"/>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219090CD">
            <w:pPr>
              <w:keepNext w:val="0"/>
              <w:keepLines w:val="0"/>
              <w:widowControl/>
              <w:suppressLineNumbers w:val="0"/>
              <w:jc w:val="center"/>
              <w:textAlignment w:val="center"/>
              <w:rPr>
                <w:rFonts w:hint="eastAsia"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部门预算项目支出绩效自评表（2024年度）</w:t>
            </w:r>
          </w:p>
        </w:tc>
      </w:tr>
      <w:tr w14:paraId="3201807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0" w:type="auto"/>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B5C1888">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0" w:type="auto"/>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0CC8ACB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51320021T000000130922-全州民政系统业务培训</w:t>
            </w:r>
          </w:p>
        </w:tc>
      </w:tr>
      <w:tr w14:paraId="3F36FB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2" w:hRule="atLeast"/>
        </w:trPr>
        <w:tc>
          <w:tcPr>
            <w:tcW w:w="0" w:type="auto"/>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845C1D5">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0" w:type="auto"/>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4802CE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州民政局部门</w:t>
            </w:r>
          </w:p>
        </w:tc>
        <w:tc>
          <w:tcPr>
            <w:tcW w:w="0" w:type="auto"/>
            <w:tcBorders>
              <w:top w:val="nil"/>
              <w:left w:val="nil"/>
              <w:bottom w:val="nil"/>
              <w:right w:val="nil"/>
            </w:tcBorders>
            <w:shd w:val="clear" w:color="auto" w:fill="auto"/>
            <w:vAlign w:val="center"/>
          </w:tcPr>
          <w:p w14:paraId="420FBF13">
            <w:pPr>
              <w:keepNext w:val="0"/>
              <w:keepLines w:val="0"/>
              <w:widowControl/>
              <w:suppressLineNumbers w:val="0"/>
              <w:jc w:val="center"/>
              <w:textAlignment w:val="center"/>
              <w:rPr>
                <w:rFonts w:hint="default" w:ascii="黑体" w:hAnsi="黑体" w:eastAsia="黑体" w:cs="黑体"/>
                <w:i w:val="0"/>
                <w:iCs w:val="0"/>
                <w:color w:val="000000"/>
                <w:sz w:val="18"/>
                <w:szCs w:val="18"/>
                <w:u w:val="none"/>
              </w:rPr>
            </w:pPr>
            <w:r>
              <w:rPr>
                <w:rFonts w:hint="default" w:ascii="黑体" w:hAnsi="黑体" w:eastAsia="黑体" w:cs="黑体"/>
                <w:i w:val="0"/>
                <w:iCs w:val="0"/>
                <w:color w:val="000000"/>
                <w:kern w:val="0"/>
                <w:sz w:val="18"/>
                <w:szCs w:val="18"/>
                <w:u w:val="none"/>
                <w:lang w:val="en-US" w:eastAsia="zh-CN" w:bidi="ar"/>
              </w:rPr>
              <w:t>实施单位 （盖章）</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F5D9A2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州民政局</w:t>
            </w:r>
          </w:p>
        </w:tc>
      </w:tr>
      <w:tr w14:paraId="6178677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2016BFC">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56345BC">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0" w:type="auto"/>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A69F91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0" w:type="auto"/>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4F877B6C">
            <w:pPr>
              <w:keepNext w:val="0"/>
              <w:keepLines w:val="0"/>
              <w:widowControl/>
              <w:suppressLineNumbers w:val="0"/>
              <w:jc w:val="center"/>
              <w:textAlignment w:val="center"/>
              <w:rPr>
                <w:rFonts w:hint="default" w:ascii="黑体" w:hAnsi="黑体" w:eastAsia="黑体" w:cs="黑体"/>
                <w:i w:val="0"/>
                <w:iCs w:val="0"/>
                <w:color w:val="000000"/>
                <w:sz w:val="18"/>
                <w:szCs w:val="18"/>
                <w:u w:val="none"/>
              </w:rPr>
            </w:pPr>
            <w:r>
              <w:rPr>
                <w:rFonts w:hint="default" w:ascii="黑体" w:hAnsi="黑体" w:eastAsia="黑体" w:cs="黑体"/>
                <w:i w:val="0"/>
                <w:iCs w:val="0"/>
                <w:color w:val="000000"/>
                <w:kern w:val="0"/>
                <w:sz w:val="18"/>
                <w:szCs w:val="18"/>
                <w:u w:val="none"/>
                <w:lang w:val="en-US" w:eastAsia="zh-CN" w:bidi="ar"/>
              </w:rPr>
              <w:t>年度目标完成情况</w:t>
            </w:r>
          </w:p>
        </w:tc>
      </w:tr>
      <w:tr w14:paraId="60A4663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8"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800C49E">
            <w:pPr>
              <w:rPr>
                <w:rFonts w:hint="eastAsia" w:ascii="宋体" w:hAnsi="宋体" w:eastAsia="宋体" w:cs="宋体"/>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5DA459B">
            <w:pPr>
              <w:rPr>
                <w:rFonts w:hint="eastAsia" w:ascii="宋体" w:hAnsi="宋体" w:eastAsia="宋体" w:cs="宋体"/>
                <w:i w:val="0"/>
                <w:iCs w:val="0"/>
                <w:color w:val="000000"/>
                <w:sz w:val="18"/>
                <w:szCs w:val="18"/>
                <w:u w:val="none"/>
              </w:rPr>
            </w:pPr>
          </w:p>
        </w:tc>
        <w:tc>
          <w:tcPr>
            <w:tcW w:w="0" w:type="auto"/>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26A942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　</w:t>
            </w:r>
            <w:r>
              <w:rPr>
                <w:rFonts w:ascii="宋体" w:hAnsi="宋体" w:eastAsia="宋体" w:cs="宋体"/>
                <w:i w:val="0"/>
                <w:iCs w:val="0"/>
                <w:color w:val="000000"/>
                <w:kern w:val="0"/>
                <w:sz w:val="18"/>
                <w:szCs w:val="18"/>
                <w:u w:val="none"/>
                <w:lang w:val="en-US" w:eastAsia="zh-CN" w:bidi="ar"/>
              </w:rPr>
              <w:br w:type="textWrapping"/>
            </w:r>
            <w:r>
              <w:rPr>
                <w:rFonts w:ascii="宋体" w:hAnsi="宋体" w:eastAsia="宋体" w:cs="宋体"/>
                <w:i w:val="0"/>
                <w:iCs w:val="0"/>
                <w:color w:val="000000"/>
                <w:kern w:val="0"/>
                <w:sz w:val="18"/>
                <w:szCs w:val="18"/>
                <w:u w:val="none"/>
                <w:lang w:val="en-US" w:eastAsia="zh-CN" w:bidi="ar"/>
              </w:rPr>
              <w:t>不断提高新时期民政人员业务能力</w:t>
            </w:r>
          </w:p>
        </w:tc>
        <w:tc>
          <w:tcPr>
            <w:tcW w:w="0" w:type="auto"/>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0B149A85">
            <w:pPr>
              <w:keepNext w:val="0"/>
              <w:keepLines w:val="0"/>
              <w:widowControl/>
              <w:suppressLineNumbers w:val="0"/>
              <w:jc w:val="center"/>
              <w:textAlignment w:val="center"/>
              <w:rPr>
                <w:rFonts w:hint="default" w:ascii="黑体" w:hAnsi="黑体" w:eastAsia="黑体" w:cs="黑体"/>
                <w:i w:val="0"/>
                <w:iCs w:val="0"/>
                <w:color w:val="000000"/>
                <w:sz w:val="18"/>
                <w:szCs w:val="18"/>
                <w:u w:val="none"/>
              </w:rPr>
            </w:pPr>
            <w:r>
              <w:rPr>
                <w:rFonts w:hint="default" w:ascii="黑体" w:hAnsi="黑体" w:eastAsia="黑体" w:cs="黑体"/>
                <w:i w:val="0"/>
                <w:iCs w:val="0"/>
                <w:color w:val="000000"/>
                <w:kern w:val="0"/>
                <w:sz w:val="18"/>
                <w:szCs w:val="18"/>
                <w:u w:val="none"/>
                <w:lang w:val="en-US" w:eastAsia="zh-CN" w:bidi="ar"/>
              </w:rPr>
              <w:t>对照年度目标，说明相关任务目标的完成情况（100字以内）</w:t>
            </w:r>
          </w:p>
        </w:tc>
      </w:tr>
      <w:tr w14:paraId="75BC44C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93"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8D81AFF">
            <w:pP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0BFBEF2">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0" w:type="auto"/>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08FDFD2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按照科室业务需求分批次进行培训。</w:t>
            </w:r>
          </w:p>
        </w:tc>
      </w:tr>
      <w:tr w14:paraId="7444AD5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186DAB2">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7F83C73">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966705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94BB33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76C8AF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864F5C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8F92C4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7A631B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66351EF">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14:paraId="6F48E3D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4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A9641C6">
            <w:pP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F2A611F">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CD69B8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30.00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0976D6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27.95</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4B4FD2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27.95</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7A2DBF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9D4567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B5BD07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3037E4D">
            <w:pPr>
              <w:keepNext w:val="0"/>
              <w:keepLines w:val="0"/>
              <w:widowControl/>
              <w:suppressLineNumbers w:val="0"/>
              <w:jc w:val="left"/>
              <w:textAlignment w:val="center"/>
              <w:rPr>
                <w:rFonts w:hint="default" w:ascii="黑体" w:hAnsi="黑体" w:eastAsia="黑体" w:cs="黑体"/>
                <w:i/>
                <w:iCs/>
                <w:color w:val="000000"/>
                <w:sz w:val="18"/>
                <w:szCs w:val="18"/>
                <w:u w:val="none"/>
              </w:rPr>
            </w:pPr>
            <w:r>
              <w:rPr>
                <w:rFonts w:hint="default" w:ascii="黑体" w:hAnsi="黑体" w:eastAsia="黑体" w:cs="黑体"/>
                <w:i/>
                <w:iCs/>
                <w:color w:val="000000"/>
                <w:kern w:val="0"/>
                <w:sz w:val="18"/>
                <w:szCs w:val="18"/>
                <w:u w:val="none"/>
                <w:lang w:val="en-US" w:eastAsia="zh-CN" w:bidi="ar"/>
              </w:rPr>
              <w:t>该项目预算执行率高于90%，预算调整原因：年底根据项目实际情况，调整收回净结余资金。</w:t>
            </w:r>
          </w:p>
        </w:tc>
      </w:tr>
      <w:tr w14:paraId="0A24C19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4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33A35C3">
            <w:pP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3159081">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D49C07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30.00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863D52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27.95</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4C1B47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27.95</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882901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B385F7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A2972F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55D607C">
            <w:pPr>
              <w:rPr>
                <w:rFonts w:hint="default" w:ascii="黑体" w:hAnsi="黑体" w:eastAsia="黑体" w:cs="黑体"/>
                <w:i/>
                <w:iCs/>
                <w:color w:val="000000"/>
                <w:sz w:val="18"/>
                <w:szCs w:val="18"/>
                <w:u w:val="none"/>
              </w:rPr>
            </w:pPr>
          </w:p>
        </w:tc>
      </w:tr>
      <w:tr w14:paraId="410A7A4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4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3478DDB">
            <w:pP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C8CD670">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3C3B65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AD6084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6DAB97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E5A1E4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447157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FC1183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B2237E9">
            <w:pPr>
              <w:rPr>
                <w:rFonts w:hint="default" w:ascii="黑体" w:hAnsi="黑体" w:eastAsia="黑体" w:cs="黑体"/>
                <w:i/>
                <w:iCs/>
                <w:color w:val="000000"/>
                <w:sz w:val="18"/>
                <w:szCs w:val="18"/>
                <w:u w:val="none"/>
              </w:rPr>
            </w:pPr>
          </w:p>
        </w:tc>
      </w:tr>
      <w:tr w14:paraId="480F938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4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1B23B3C">
            <w:pP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AA0A2F2">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A6FE09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8D9024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25AB72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B02AD1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BEFC74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4FA8A3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3ECC456">
            <w:pPr>
              <w:rPr>
                <w:rFonts w:hint="default" w:ascii="黑体" w:hAnsi="黑体" w:eastAsia="黑体" w:cs="黑体"/>
                <w:i/>
                <w:iCs/>
                <w:color w:val="000000"/>
                <w:sz w:val="18"/>
                <w:szCs w:val="18"/>
                <w:u w:val="none"/>
              </w:rPr>
            </w:pPr>
          </w:p>
        </w:tc>
      </w:tr>
      <w:tr w14:paraId="541A2D0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4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2E9DD7E">
            <w:pP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E570FD0">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006BB0A">
            <w:pPr>
              <w:jc w:val="center"/>
              <w:rPr>
                <w:rFonts w:hint="default" w:ascii="微软雅黑" w:hAnsi="微软雅黑" w:eastAsia="微软雅黑" w:cs="微软雅黑"/>
                <w:i/>
                <w:iCs/>
                <w:color w:val="000000"/>
                <w:sz w:val="16"/>
                <w:szCs w:val="16"/>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BCA2EA9">
            <w:pPr>
              <w:jc w:val="center"/>
              <w:rPr>
                <w:rFonts w:hint="default" w:ascii="微软雅黑" w:hAnsi="微软雅黑" w:eastAsia="微软雅黑" w:cs="微软雅黑"/>
                <w:i/>
                <w:iCs/>
                <w:color w:val="000000"/>
                <w:sz w:val="16"/>
                <w:szCs w:val="16"/>
                <w:u w:val="none"/>
              </w:rPr>
            </w:pP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1199AD2">
            <w:pPr>
              <w:jc w:val="center"/>
              <w:rPr>
                <w:rFonts w:hint="default" w:ascii="微软雅黑" w:hAnsi="微软雅黑" w:eastAsia="微软雅黑" w:cs="微软雅黑"/>
                <w:i/>
                <w:iCs/>
                <w:color w:val="000000"/>
                <w:sz w:val="16"/>
                <w:szCs w:val="16"/>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57F0EE5">
            <w:pPr>
              <w:jc w:val="center"/>
              <w:rPr>
                <w:rFonts w:hint="default" w:ascii="微软雅黑" w:hAnsi="微软雅黑" w:eastAsia="微软雅黑" w:cs="微软雅黑"/>
                <w:i/>
                <w:iCs/>
                <w:color w:val="000000"/>
                <w:sz w:val="16"/>
                <w:szCs w:val="16"/>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97F4F4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32CFD8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3C8A4EB">
            <w:pPr>
              <w:rPr>
                <w:rFonts w:hint="default" w:ascii="黑体" w:hAnsi="黑体" w:eastAsia="黑体" w:cs="黑体"/>
                <w:i/>
                <w:iCs/>
                <w:color w:val="000000"/>
                <w:sz w:val="18"/>
                <w:szCs w:val="18"/>
                <w:u w:val="none"/>
              </w:rPr>
            </w:pPr>
          </w:p>
        </w:tc>
      </w:tr>
      <w:tr w14:paraId="4B8DC3B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40" w:hRule="atLeast"/>
        </w:trPr>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DB050A0">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CCD2D25">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7E19F1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A6429B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528230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9C66FE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D4BB12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4B4AA4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8B1FA0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42333A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91C115E">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14:paraId="1096603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4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AB2E156">
            <w:pPr>
              <w:rPr>
                <w:rFonts w:hint="eastAsia" w:ascii="宋体" w:hAnsi="宋体" w:eastAsia="宋体" w:cs="宋体"/>
                <w:i w:val="0"/>
                <w:iCs w:val="0"/>
                <w:color w:val="000000"/>
                <w:sz w:val="18"/>
                <w:szCs w:val="18"/>
                <w:u w:val="none"/>
              </w:rPr>
            </w:pP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FF6A757">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5AE95B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1072DA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业务培训人数</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EEEE2F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57ED1D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F356BF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人数</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3958F9F">
            <w:pPr>
              <w:keepNext w:val="0"/>
              <w:keepLines w:val="0"/>
              <w:widowControl/>
              <w:suppressLineNumbers w:val="0"/>
              <w:jc w:val="center"/>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380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1F24E1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926DC8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70CBD79">
            <w:pPr>
              <w:rPr>
                <w:rFonts w:hint="default" w:ascii="微软雅黑" w:hAnsi="微软雅黑" w:eastAsia="微软雅黑" w:cs="微软雅黑"/>
                <w:i/>
                <w:iCs/>
                <w:color w:val="000000"/>
                <w:sz w:val="16"/>
                <w:szCs w:val="16"/>
                <w:u w:val="none"/>
              </w:rPr>
            </w:pPr>
          </w:p>
        </w:tc>
      </w:tr>
      <w:tr w14:paraId="09AAB58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4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0551305">
            <w:pPr>
              <w:rPr>
                <w:rFonts w:hint="eastAsia" w:ascii="宋体" w:hAnsi="宋体" w:eastAsia="宋体" w:cs="宋体"/>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B09B4B6">
            <w:pP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FADE4A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质量指标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61E399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培训合格率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00FA9F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F44E24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961375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2BF998E">
            <w:pPr>
              <w:keepNext w:val="0"/>
              <w:keepLines w:val="0"/>
              <w:widowControl/>
              <w:suppressLineNumbers w:val="0"/>
              <w:jc w:val="center"/>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98</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E75969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19B157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8890FA4">
            <w:pPr>
              <w:rPr>
                <w:rFonts w:hint="default" w:ascii="微软雅黑" w:hAnsi="微软雅黑" w:eastAsia="微软雅黑" w:cs="微软雅黑"/>
                <w:i/>
                <w:iCs/>
                <w:color w:val="000000"/>
                <w:sz w:val="16"/>
                <w:szCs w:val="16"/>
                <w:u w:val="none"/>
              </w:rPr>
            </w:pPr>
          </w:p>
        </w:tc>
      </w:tr>
      <w:tr w14:paraId="1FE5D89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4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B315228">
            <w:pPr>
              <w:rPr>
                <w:rFonts w:hint="eastAsia" w:ascii="宋体" w:hAnsi="宋体" w:eastAsia="宋体" w:cs="宋体"/>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5346533">
            <w:pP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91F672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时效指标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A29157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通过培训，大大提升业务人员的办事效率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9A4401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定性</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9DA135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良</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911A839">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D4D42CF">
            <w:pPr>
              <w:keepNext w:val="0"/>
              <w:keepLines w:val="0"/>
              <w:widowControl/>
              <w:suppressLineNumbers w:val="0"/>
              <w:jc w:val="center"/>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能力素质有力提升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BF80B2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C342CB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98FCC49">
            <w:pPr>
              <w:rPr>
                <w:rFonts w:hint="default" w:ascii="微软雅黑" w:hAnsi="微软雅黑" w:eastAsia="微软雅黑" w:cs="微软雅黑"/>
                <w:i/>
                <w:iCs/>
                <w:color w:val="000000"/>
                <w:sz w:val="16"/>
                <w:szCs w:val="16"/>
                <w:u w:val="none"/>
              </w:rPr>
            </w:pPr>
          </w:p>
        </w:tc>
      </w:tr>
      <w:tr w14:paraId="558813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4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BBE3F4F">
            <w:pP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A9A2D95">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5B547D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C7C013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有效提升民政业务水平</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CBB819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定性</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B4B257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良</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82BB39C">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3CAEF27">
            <w:pPr>
              <w:keepNext w:val="0"/>
              <w:keepLines w:val="0"/>
              <w:widowControl/>
              <w:suppressLineNumbers w:val="0"/>
              <w:jc w:val="center"/>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能力素质有力提升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B5B434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EDBAD1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6228767">
            <w:pPr>
              <w:rPr>
                <w:rFonts w:hint="default" w:ascii="微软雅黑" w:hAnsi="微软雅黑" w:eastAsia="微软雅黑" w:cs="微软雅黑"/>
                <w:i/>
                <w:iCs/>
                <w:color w:val="000000"/>
                <w:sz w:val="16"/>
                <w:szCs w:val="16"/>
                <w:u w:val="none"/>
              </w:rPr>
            </w:pPr>
          </w:p>
        </w:tc>
      </w:tr>
      <w:tr w14:paraId="68F5FA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4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813EE76">
            <w:pP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38D033D">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D988D1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FEA1E3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参加培训人员满意度</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18CB48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332953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85</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CA1EC9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FDE04A5">
            <w:pPr>
              <w:keepNext w:val="0"/>
              <w:keepLines w:val="0"/>
              <w:widowControl/>
              <w:suppressLineNumbers w:val="0"/>
              <w:jc w:val="center"/>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90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217957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C894F7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6D36F81">
            <w:pPr>
              <w:rPr>
                <w:rFonts w:hint="default" w:ascii="微软雅黑" w:hAnsi="微软雅黑" w:eastAsia="微软雅黑" w:cs="微软雅黑"/>
                <w:i/>
                <w:iCs/>
                <w:color w:val="000000"/>
                <w:sz w:val="16"/>
                <w:szCs w:val="16"/>
                <w:u w:val="none"/>
              </w:rPr>
            </w:pPr>
          </w:p>
        </w:tc>
      </w:tr>
      <w:tr w14:paraId="26E4041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4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7323CCD">
            <w:pP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3663B59">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成本指标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DBD766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经济成本指标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698E7E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厉行节约降低经济成本</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C5A772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6F19A9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5C2BC2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万元</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119DDA2">
            <w:pPr>
              <w:keepNext w:val="0"/>
              <w:keepLines w:val="0"/>
              <w:widowControl/>
              <w:suppressLineNumbers w:val="0"/>
              <w:jc w:val="center"/>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2.05</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594019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E7A97C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1E618D0">
            <w:pPr>
              <w:rPr>
                <w:rFonts w:hint="default" w:ascii="微软雅黑" w:hAnsi="微软雅黑" w:eastAsia="微软雅黑" w:cs="微软雅黑"/>
                <w:i/>
                <w:iCs/>
                <w:color w:val="000000"/>
                <w:sz w:val="16"/>
                <w:szCs w:val="16"/>
                <w:u w:val="none"/>
              </w:rPr>
            </w:pPr>
          </w:p>
        </w:tc>
      </w:tr>
      <w:tr w14:paraId="16C5DD8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40" w:hRule="atLeast"/>
        </w:trPr>
        <w:tc>
          <w:tcPr>
            <w:tcW w:w="0" w:type="auto"/>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1730B792">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52F6D3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63C5EA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98</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0B66CD6">
            <w:pPr>
              <w:rPr>
                <w:rFonts w:hint="eastAsia" w:ascii="宋体" w:hAnsi="宋体" w:eastAsia="宋体" w:cs="宋体"/>
                <w:i w:val="0"/>
                <w:iCs w:val="0"/>
                <w:color w:val="000000"/>
                <w:sz w:val="18"/>
                <w:szCs w:val="18"/>
                <w:u w:val="none"/>
              </w:rPr>
            </w:pPr>
          </w:p>
        </w:tc>
      </w:tr>
      <w:tr w14:paraId="0F2EC05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3"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4B3E98F">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0" w:type="auto"/>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02C0C89A">
            <w:pPr>
              <w:keepNext w:val="0"/>
              <w:keepLines w:val="0"/>
              <w:widowControl/>
              <w:suppressLineNumbers w:val="0"/>
              <w:jc w:val="left"/>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按照《关于进一步加强全州干部教育培训工作大统筹的通知》 （阿委组训〔2023〕24号）要求，完成了州、县（市）党委组织部门深入开展需求调研，科学制定本地干部培训计划，并按计划完成了培训，参训人员380名，进一步提高新时期民政人员业务能力。</w:t>
            </w:r>
          </w:p>
        </w:tc>
      </w:tr>
      <w:tr w14:paraId="1E02465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B71E1D7">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0" w:type="auto"/>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40072ED5">
            <w:pPr>
              <w:keepNext w:val="0"/>
              <w:keepLines w:val="0"/>
              <w:widowControl/>
              <w:suppressLineNumbers w:val="0"/>
              <w:jc w:val="left"/>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年初预算执行率未达100%，侧面反映了预算能力有待提升。</w:t>
            </w:r>
          </w:p>
        </w:tc>
      </w:tr>
      <w:tr w14:paraId="14EC2B2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33"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A15F573">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0" w:type="auto"/>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6304C924">
            <w:pPr>
              <w:keepNext w:val="0"/>
              <w:keepLines w:val="0"/>
              <w:widowControl/>
              <w:suppressLineNumbers w:val="0"/>
              <w:jc w:val="left"/>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加大对预算测算依据的把控，进一步提升预算的精确的，避免预算资金剩余闲置。</w:t>
            </w:r>
          </w:p>
        </w:tc>
      </w:tr>
      <w:tr w14:paraId="593F186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0" w:type="auto"/>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9BE1EE3">
            <w:pPr>
              <w:keepNext w:val="0"/>
              <w:keepLines w:val="0"/>
              <w:widowControl/>
              <w:suppressLineNumbers w:val="0"/>
              <w:jc w:val="left"/>
              <w:textAlignment w:val="center"/>
              <w:rPr>
                <w:rFonts w:hint="default" w:ascii="黑体" w:hAnsi="黑体" w:eastAsia="黑体" w:cs="黑体"/>
                <w:i w:val="0"/>
                <w:iCs w:val="0"/>
                <w:color w:val="000000"/>
                <w:sz w:val="18"/>
                <w:szCs w:val="18"/>
                <w:u w:val="none"/>
              </w:rPr>
            </w:pPr>
            <w:r>
              <w:rPr>
                <w:rFonts w:hint="default" w:ascii="黑体" w:hAnsi="黑体" w:eastAsia="黑体" w:cs="黑体"/>
                <w:i w:val="0"/>
                <w:iCs w:val="0"/>
                <w:color w:val="000000"/>
                <w:kern w:val="0"/>
                <w:sz w:val="18"/>
                <w:szCs w:val="18"/>
                <w:u w:val="none"/>
                <w:lang w:val="en-US" w:eastAsia="zh-CN" w:bidi="ar"/>
              </w:rPr>
              <w:t>项目负责人：周晓龙</w:t>
            </w:r>
          </w:p>
        </w:tc>
        <w:tc>
          <w:tcPr>
            <w:tcW w:w="0" w:type="auto"/>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7358748C">
            <w:pPr>
              <w:keepNext w:val="0"/>
              <w:keepLines w:val="0"/>
              <w:widowControl/>
              <w:suppressLineNumbers w:val="0"/>
              <w:jc w:val="center"/>
              <w:textAlignment w:val="center"/>
              <w:rPr>
                <w:rFonts w:hint="default" w:ascii="黑体" w:hAnsi="黑体" w:eastAsia="黑体" w:cs="黑体"/>
                <w:i w:val="0"/>
                <w:iCs w:val="0"/>
                <w:color w:val="000000"/>
                <w:sz w:val="18"/>
                <w:szCs w:val="18"/>
                <w:u w:val="none"/>
              </w:rPr>
            </w:pPr>
            <w:r>
              <w:rPr>
                <w:rFonts w:hint="default" w:ascii="黑体" w:hAnsi="黑体" w:eastAsia="黑体" w:cs="黑体"/>
                <w:i w:val="0"/>
                <w:iCs w:val="0"/>
                <w:color w:val="000000"/>
                <w:kern w:val="0"/>
                <w:sz w:val="18"/>
                <w:szCs w:val="18"/>
                <w:u w:val="none"/>
                <w:lang w:val="en-US" w:eastAsia="zh-CN" w:bidi="ar"/>
              </w:rPr>
              <w:t>财务负责人：杨琴琴</w:t>
            </w:r>
          </w:p>
        </w:tc>
      </w:tr>
      <w:tr w14:paraId="756367B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0" w:hRule="atLeast"/>
        </w:trPr>
        <w:tc>
          <w:tcPr>
            <w:tcW w:w="0" w:type="auto"/>
            <w:tcBorders>
              <w:top w:val="nil"/>
              <w:left w:val="nil"/>
              <w:bottom w:val="nil"/>
              <w:right w:val="nil"/>
            </w:tcBorders>
            <w:shd w:val="clear" w:color="auto" w:fill="auto"/>
            <w:vAlign w:val="center"/>
          </w:tcPr>
          <w:p w14:paraId="36C1D54A">
            <w:pPr>
              <w:rPr>
                <w:rFonts w:hint="eastAsia" w:ascii="宋体" w:hAnsi="宋体" w:eastAsia="宋体" w:cs="宋体"/>
                <w:i w:val="0"/>
                <w:iCs w:val="0"/>
                <w:color w:val="000000"/>
                <w:sz w:val="18"/>
                <w:szCs w:val="18"/>
                <w:u w:val="none"/>
              </w:rPr>
            </w:pPr>
          </w:p>
        </w:tc>
        <w:tc>
          <w:tcPr>
            <w:tcW w:w="0" w:type="auto"/>
            <w:tcBorders>
              <w:top w:val="nil"/>
              <w:left w:val="nil"/>
              <w:bottom w:val="nil"/>
              <w:right w:val="nil"/>
            </w:tcBorders>
            <w:shd w:val="clear" w:color="auto" w:fill="auto"/>
            <w:vAlign w:val="center"/>
          </w:tcPr>
          <w:p w14:paraId="66BC11B3">
            <w:pPr>
              <w:rPr>
                <w:rFonts w:hint="eastAsia" w:ascii="宋体" w:hAnsi="宋体" w:eastAsia="宋体" w:cs="宋体"/>
                <w:i w:val="0"/>
                <w:iCs w:val="0"/>
                <w:color w:val="000000"/>
                <w:sz w:val="18"/>
                <w:szCs w:val="18"/>
                <w:u w:val="none"/>
              </w:rPr>
            </w:pPr>
          </w:p>
        </w:tc>
        <w:tc>
          <w:tcPr>
            <w:tcW w:w="0" w:type="auto"/>
            <w:tcBorders>
              <w:top w:val="nil"/>
              <w:left w:val="nil"/>
              <w:bottom w:val="nil"/>
              <w:right w:val="nil"/>
            </w:tcBorders>
            <w:shd w:val="clear" w:color="auto" w:fill="auto"/>
            <w:vAlign w:val="center"/>
          </w:tcPr>
          <w:p w14:paraId="488CB240">
            <w:pPr>
              <w:jc w:val="center"/>
              <w:rPr>
                <w:rFonts w:hint="eastAsia" w:ascii="宋体" w:hAnsi="宋体" w:eastAsia="宋体" w:cs="宋体"/>
                <w:i w:val="0"/>
                <w:iCs w:val="0"/>
                <w:color w:val="000000"/>
                <w:sz w:val="18"/>
                <w:szCs w:val="18"/>
                <w:u w:val="none"/>
              </w:rPr>
            </w:pPr>
          </w:p>
        </w:tc>
        <w:tc>
          <w:tcPr>
            <w:tcW w:w="0" w:type="auto"/>
            <w:tcBorders>
              <w:top w:val="nil"/>
              <w:left w:val="nil"/>
              <w:bottom w:val="nil"/>
              <w:right w:val="nil"/>
            </w:tcBorders>
            <w:shd w:val="clear" w:color="auto" w:fill="auto"/>
            <w:vAlign w:val="center"/>
          </w:tcPr>
          <w:p w14:paraId="14A85DE2">
            <w:pPr>
              <w:jc w:val="center"/>
              <w:rPr>
                <w:rFonts w:hint="eastAsia" w:ascii="宋体" w:hAnsi="宋体" w:eastAsia="宋体" w:cs="宋体"/>
                <w:i w:val="0"/>
                <w:iCs w:val="0"/>
                <w:color w:val="000000"/>
                <w:sz w:val="18"/>
                <w:szCs w:val="18"/>
                <w:u w:val="none"/>
              </w:rPr>
            </w:pPr>
          </w:p>
        </w:tc>
        <w:tc>
          <w:tcPr>
            <w:tcW w:w="0" w:type="auto"/>
            <w:tcBorders>
              <w:top w:val="nil"/>
              <w:left w:val="nil"/>
              <w:bottom w:val="nil"/>
              <w:right w:val="nil"/>
            </w:tcBorders>
            <w:shd w:val="clear" w:color="auto" w:fill="auto"/>
            <w:vAlign w:val="center"/>
          </w:tcPr>
          <w:p w14:paraId="76B6406C">
            <w:pPr>
              <w:jc w:val="center"/>
              <w:rPr>
                <w:rFonts w:hint="eastAsia" w:ascii="宋体" w:hAnsi="宋体" w:eastAsia="宋体" w:cs="宋体"/>
                <w:i w:val="0"/>
                <w:iCs w:val="0"/>
                <w:color w:val="000000"/>
                <w:sz w:val="18"/>
                <w:szCs w:val="18"/>
                <w:u w:val="none"/>
              </w:rPr>
            </w:pPr>
          </w:p>
        </w:tc>
        <w:tc>
          <w:tcPr>
            <w:tcW w:w="0" w:type="auto"/>
            <w:tcBorders>
              <w:top w:val="nil"/>
              <w:left w:val="nil"/>
              <w:bottom w:val="nil"/>
              <w:right w:val="nil"/>
            </w:tcBorders>
            <w:shd w:val="clear" w:color="auto" w:fill="auto"/>
            <w:vAlign w:val="center"/>
          </w:tcPr>
          <w:p w14:paraId="179F46BA">
            <w:pPr>
              <w:jc w:val="center"/>
              <w:rPr>
                <w:rFonts w:hint="eastAsia" w:ascii="宋体" w:hAnsi="宋体" w:eastAsia="宋体" w:cs="宋体"/>
                <w:i w:val="0"/>
                <w:iCs w:val="0"/>
                <w:color w:val="000000"/>
                <w:sz w:val="18"/>
                <w:szCs w:val="18"/>
                <w:u w:val="none"/>
              </w:rPr>
            </w:pPr>
          </w:p>
        </w:tc>
        <w:tc>
          <w:tcPr>
            <w:tcW w:w="0" w:type="auto"/>
            <w:tcBorders>
              <w:top w:val="nil"/>
              <w:left w:val="nil"/>
              <w:bottom w:val="nil"/>
              <w:right w:val="nil"/>
            </w:tcBorders>
            <w:shd w:val="clear" w:color="auto" w:fill="auto"/>
            <w:vAlign w:val="center"/>
          </w:tcPr>
          <w:p w14:paraId="3C55E32D">
            <w:pPr>
              <w:jc w:val="center"/>
              <w:rPr>
                <w:rFonts w:hint="eastAsia" w:ascii="宋体" w:hAnsi="宋体" w:eastAsia="宋体" w:cs="宋体"/>
                <w:i w:val="0"/>
                <w:iCs w:val="0"/>
                <w:color w:val="000000"/>
                <w:sz w:val="18"/>
                <w:szCs w:val="18"/>
                <w:u w:val="none"/>
              </w:rPr>
            </w:pPr>
          </w:p>
        </w:tc>
        <w:tc>
          <w:tcPr>
            <w:tcW w:w="0" w:type="auto"/>
            <w:tcBorders>
              <w:top w:val="nil"/>
              <w:left w:val="nil"/>
              <w:bottom w:val="nil"/>
              <w:right w:val="nil"/>
            </w:tcBorders>
            <w:shd w:val="clear" w:color="auto" w:fill="auto"/>
            <w:vAlign w:val="center"/>
          </w:tcPr>
          <w:p w14:paraId="07178AFD">
            <w:pPr>
              <w:jc w:val="center"/>
              <w:rPr>
                <w:rFonts w:hint="eastAsia" w:ascii="宋体" w:hAnsi="宋体" w:eastAsia="宋体" w:cs="宋体"/>
                <w:i w:val="0"/>
                <w:iCs w:val="0"/>
                <w:color w:val="000000"/>
                <w:sz w:val="18"/>
                <w:szCs w:val="18"/>
                <w:u w:val="none"/>
              </w:rPr>
            </w:pPr>
          </w:p>
        </w:tc>
        <w:tc>
          <w:tcPr>
            <w:tcW w:w="0" w:type="auto"/>
            <w:tcBorders>
              <w:top w:val="nil"/>
              <w:left w:val="nil"/>
              <w:bottom w:val="nil"/>
              <w:right w:val="nil"/>
            </w:tcBorders>
            <w:shd w:val="clear" w:color="auto" w:fill="auto"/>
            <w:vAlign w:val="center"/>
          </w:tcPr>
          <w:p w14:paraId="5A2C40BA">
            <w:pPr>
              <w:jc w:val="center"/>
              <w:rPr>
                <w:rFonts w:hint="eastAsia" w:ascii="宋体" w:hAnsi="宋体" w:eastAsia="宋体" w:cs="宋体"/>
                <w:i w:val="0"/>
                <w:iCs w:val="0"/>
                <w:color w:val="000000"/>
                <w:sz w:val="18"/>
                <w:szCs w:val="18"/>
                <w:u w:val="none"/>
              </w:rPr>
            </w:pPr>
          </w:p>
        </w:tc>
        <w:tc>
          <w:tcPr>
            <w:tcW w:w="0" w:type="auto"/>
            <w:tcBorders>
              <w:top w:val="nil"/>
              <w:left w:val="nil"/>
              <w:bottom w:val="nil"/>
              <w:right w:val="nil"/>
            </w:tcBorders>
            <w:shd w:val="clear" w:color="auto" w:fill="auto"/>
            <w:vAlign w:val="center"/>
          </w:tcPr>
          <w:p w14:paraId="7998C98F">
            <w:pPr>
              <w:jc w:val="center"/>
              <w:rPr>
                <w:rFonts w:hint="eastAsia" w:ascii="宋体" w:hAnsi="宋体" w:eastAsia="宋体" w:cs="宋体"/>
                <w:i w:val="0"/>
                <w:iCs w:val="0"/>
                <w:color w:val="000000"/>
                <w:sz w:val="18"/>
                <w:szCs w:val="18"/>
                <w:u w:val="none"/>
              </w:rPr>
            </w:pPr>
          </w:p>
        </w:tc>
        <w:tc>
          <w:tcPr>
            <w:tcW w:w="0" w:type="auto"/>
            <w:tcBorders>
              <w:top w:val="nil"/>
              <w:left w:val="nil"/>
              <w:bottom w:val="nil"/>
              <w:right w:val="nil"/>
            </w:tcBorders>
            <w:shd w:val="clear" w:color="auto" w:fill="auto"/>
            <w:vAlign w:val="center"/>
          </w:tcPr>
          <w:p w14:paraId="438D3260">
            <w:pPr>
              <w:rPr>
                <w:rFonts w:hint="eastAsia" w:ascii="宋体" w:hAnsi="宋体" w:eastAsia="宋体" w:cs="宋体"/>
                <w:i w:val="0"/>
                <w:iCs w:val="0"/>
                <w:color w:val="000000"/>
                <w:sz w:val="18"/>
                <w:szCs w:val="18"/>
                <w:u w:val="none"/>
              </w:rPr>
            </w:pPr>
          </w:p>
        </w:tc>
      </w:tr>
      <w:tr w14:paraId="6BDDBD5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00" w:hRule="atLeast"/>
        </w:trPr>
        <w:tc>
          <w:tcPr>
            <w:tcW w:w="0" w:type="auto"/>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5FC1D9C0">
            <w:pPr>
              <w:keepNext w:val="0"/>
              <w:keepLines w:val="0"/>
              <w:widowControl/>
              <w:suppressLineNumbers w:val="0"/>
              <w:jc w:val="center"/>
              <w:textAlignment w:val="center"/>
              <w:rPr>
                <w:rFonts w:hint="eastAsia"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部门预算项目支出绩效自评表（2024年度）</w:t>
            </w:r>
          </w:p>
        </w:tc>
      </w:tr>
      <w:tr w14:paraId="217ADAB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0" w:type="auto"/>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5A5E6AC">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0" w:type="auto"/>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4E27FC8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51320022T000000341759-电子政务运行维护及档案数字化建设经费</w:t>
            </w:r>
          </w:p>
        </w:tc>
      </w:tr>
      <w:tr w14:paraId="48BCCD9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2" w:hRule="atLeast"/>
        </w:trPr>
        <w:tc>
          <w:tcPr>
            <w:tcW w:w="0" w:type="auto"/>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9EB6208">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0" w:type="auto"/>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3E7D25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州民政局部门</w:t>
            </w:r>
          </w:p>
        </w:tc>
        <w:tc>
          <w:tcPr>
            <w:tcW w:w="0" w:type="auto"/>
            <w:tcBorders>
              <w:top w:val="nil"/>
              <w:left w:val="nil"/>
              <w:bottom w:val="nil"/>
              <w:right w:val="nil"/>
            </w:tcBorders>
            <w:shd w:val="clear" w:color="auto" w:fill="auto"/>
            <w:vAlign w:val="center"/>
          </w:tcPr>
          <w:p w14:paraId="272ECF79">
            <w:pPr>
              <w:keepNext w:val="0"/>
              <w:keepLines w:val="0"/>
              <w:widowControl/>
              <w:suppressLineNumbers w:val="0"/>
              <w:jc w:val="center"/>
              <w:textAlignment w:val="center"/>
              <w:rPr>
                <w:rFonts w:hint="default" w:ascii="黑体" w:hAnsi="黑体" w:eastAsia="黑体" w:cs="黑体"/>
                <w:i w:val="0"/>
                <w:iCs w:val="0"/>
                <w:color w:val="000000"/>
                <w:sz w:val="18"/>
                <w:szCs w:val="18"/>
                <w:u w:val="none"/>
              </w:rPr>
            </w:pPr>
            <w:r>
              <w:rPr>
                <w:rFonts w:hint="default" w:ascii="黑体" w:hAnsi="黑体" w:eastAsia="黑体" w:cs="黑体"/>
                <w:i w:val="0"/>
                <w:iCs w:val="0"/>
                <w:color w:val="000000"/>
                <w:kern w:val="0"/>
                <w:sz w:val="18"/>
                <w:szCs w:val="18"/>
                <w:u w:val="none"/>
                <w:lang w:val="en-US" w:eastAsia="zh-CN" w:bidi="ar"/>
              </w:rPr>
              <w:t>实施单位 （盖章）</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448E9D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州民政局</w:t>
            </w:r>
          </w:p>
        </w:tc>
      </w:tr>
      <w:tr w14:paraId="64250EC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80" w:hRule="atLeast"/>
        </w:trPr>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8EC2271">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D755A94">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0" w:type="auto"/>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D71A00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0" w:type="auto"/>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76083B1A">
            <w:pPr>
              <w:keepNext w:val="0"/>
              <w:keepLines w:val="0"/>
              <w:widowControl/>
              <w:suppressLineNumbers w:val="0"/>
              <w:jc w:val="center"/>
              <w:textAlignment w:val="center"/>
              <w:rPr>
                <w:rFonts w:hint="default" w:ascii="黑体" w:hAnsi="黑体" w:eastAsia="黑体" w:cs="黑体"/>
                <w:i w:val="0"/>
                <w:iCs w:val="0"/>
                <w:color w:val="000000"/>
                <w:sz w:val="18"/>
                <w:szCs w:val="18"/>
                <w:u w:val="none"/>
              </w:rPr>
            </w:pPr>
            <w:r>
              <w:rPr>
                <w:rFonts w:hint="default" w:ascii="黑体" w:hAnsi="黑体" w:eastAsia="黑体" w:cs="黑体"/>
                <w:i w:val="0"/>
                <w:iCs w:val="0"/>
                <w:color w:val="000000"/>
                <w:kern w:val="0"/>
                <w:sz w:val="18"/>
                <w:szCs w:val="18"/>
                <w:u w:val="none"/>
                <w:lang w:val="en-US" w:eastAsia="zh-CN" w:bidi="ar"/>
              </w:rPr>
              <w:t>年度目标完成情况</w:t>
            </w:r>
          </w:p>
        </w:tc>
      </w:tr>
      <w:tr w14:paraId="42866CE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8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8BD899A">
            <w:pPr>
              <w:rPr>
                <w:rFonts w:hint="eastAsia" w:ascii="宋体" w:hAnsi="宋体" w:eastAsia="宋体" w:cs="宋体"/>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7EEBAB1">
            <w:pPr>
              <w:rPr>
                <w:rFonts w:hint="eastAsia" w:ascii="宋体" w:hAnsi="宋体" w:eastAsia="宋体" w:cs="宋体"/>
                <w:i w:val="0"/>
                <w:iCs w:val="0"/>
                <w:color w:val="000000"/>
                <w:sz w:val="18"/>
                <w:szCs w:val="18"/>
                <w:u w:val="none"/>
              </w:rPr>
            </w:pPr>
          </w:p>
        </w:tc>
        <w:tc>
          <w:tcPr>
            <w:tcW w:w="0" w:type="auto"/>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4E955EC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保证民政会议系统、门户网站维护、电子政务运行网络费及档案数字化建设.</w:t>
            </w:r>
          </w:p>
        </w:tc>
        <w:tc>
          <w:tcPr>
            <w:tcW w:w="0" w:type="auto"/>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2026B34D">
            <w:pPr>
              <w:keepNext w:val="0"/>
              <w:keepLines w:val="0"/>
              <w:widowControl/>
              <w:suppressLineNumbers w:val="0"/>
              <w:jc w:val="center"/>
              <w:textAlignment w:val="center"/>
              <w:rPr>
                <w:rFonts w:hint="default" w:ascii="黑体" w:hAnsi="黑体" w:eastAsia="黑体" w:cs="黑体"/>
                <w:i w:val="0"/>
                <w:iCs w:val="0"/>
                <w:color w:val="000000"/>
                <w:sz w:val="18"/>
                <w:szCs w:val="18"/>
                <w:u w:val="none"/>
              </w:rPr>
            </w:pPr>
            <w:r>
              <w:rPr>
                <w:rFonts w:hint="default" w:ascii="黑体" w:hAnsi="黑体" w:eastAsia="黑体" w:cs="黑体"/>
                <w:i w:val="0"/>
                <w:iCs w:val="0"/>
                <w:color w:val="000000"/>
                <w:kern w:val="0"/>
                <w:sz w:val="18"/>
                <w:szCs w:val="18"/>
                <w:u w:val="none"/>
                <w:lang w:val="en-US" w:eastAsia="zh-CN" w:bidi="ar"/>
              </w:rPr>
              <w:t>按期完成了民政会议系统、门户网站维护、电子政务运行网络费及档案数字化建设。</w:t>
            </w:r>
          </w:p>
        </w:tc>
      </w:tr>
      <w:tr w14:paraId="729DE7B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8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CF856C8">
            <w:pP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C0EDBC9">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0" w:type="auto"/>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507B5FF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保证民政会议系统、门户网站维护、电子政务运行网络费及档案数字化建设，共完成维护系统及网站数量4套，有效提升了民政服务能力。</w:t>
            </w:r>
          </w:p>
        </w:tc>
      </w:tr>
      <w:tr w14:paraId="1FC9183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1" w:hRule="atLeast"/>
        </w:trPr>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127EB0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C34153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307E3E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7E86BE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07CAFA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BB48F9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8E949E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21A23B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FD9757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14:paraId="102AD3D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BE1593B">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EA900D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88037C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25.00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160F06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20.34</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F369DD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20.34</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2DAC9E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D25802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35E860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161FE43">
            <w:pPr>
              <w:keepNext w:val="0"/>
              <w:keepLines w:val="0"/>
              <w:widowControl/>
              <w:suppressLineNumbers w:val="0"/>
              <w:jc w:val="left"/>
              <w:textAlignment w:val="center"/>
              <w:rPr>
                <w:rFonts w:hint="default" w:ascii="黑体" w:hAnsi="黑体" w:eastAsia="黑体" w:cs="黑体"/>
                <w:i/>
                <w:iCs/>
                <w:color w:val="000000"/>
                <w:sz w:val="18"/>
                <w:szCs w:val="18"/>
                <w:u w:val="none"/>
              </w:rPr>
            </w:pPr>
            <w:r>
              <w:rPr>
                <w:rFonts w:hint="default" w:ascii="黑体" w:hAnsi="黑体" w:eastAsia="黑体" w:cs="黑体"/>
                <w:i/>
                <w:iCs/>
                <w:color w:val="000000"/>
                <w:kern w:val="0"/>
                <w:sz w:val="18"/>
                <w:szCs w:val="18"/>
                <w:u w:val="none"/>
                <w:lang w:val="en-US" w:eastAsia="zh-CN" w:bidi="ar"/>
              </w:rPr>
              <w:t>该项目预算执行率高于90%，预算调整原因：年底根据项目实际情况，调整收回净结余资金。</w:t>
            </w:r>
          </w:p>
        </w:tc>
      </w:tr>
      <w:tr w14:paraId="22C6C89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F3B5CC0">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30140D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DB6910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25.00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62DF5A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20.34</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2BD4CD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20.34</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A503F7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2D9288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A42BFB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07525AA">
            <w:pPr>
              <w:rPr>
                <w:rFonts w:hint="default" w:ascii="黑体" w:hAnsi="黑体" w:eastAsia="黑体" w:cs="黑体"/>
                <w:i/>
                <w:iCs/>
                <w:color w:val="000000"/>
                <w:sz w:val="18"/>
                <w:szCs w:val="18"/>
                <w:u w:val="none"/>
              </w:rPr>
            </w:pPr>
          </w:p>
        </w:tc>
      </w:tr>
      <w:tr w14:paraId="309DCFD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A8992C7">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0C2B45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89AA4F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65E95A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7D3AB7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368676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21F40C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4836B1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DF9F2C4">
            <w:pPr>
              <w:rPr>
                <w:rFonts w:hint="default" w:ascii="黑体" w:hAnsi="黑体" w:eastAsia="黑体" w:cs="黑体"/>
                <w:i/>
                <w:iCs/>
                <w:color w:val="000000"/>
                <w:sz w:val="18"/>
                <w:szCs w:val="18"/>
                <w:u w:val="none"/>
              </w:rPr>
            </w:pPr>
          </w:p>
        </w:tc>
      </w:tr>
      <w:tr w14:paraId="30F7143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3310D19">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827980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23C253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6E77A1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41B744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B739ED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94E384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165F07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79A412B">
            <w:pPr>
              <w:rPr>
                <w:rFonts w:hint="default" w:ascii="黑体" w:hAnsi="黑体" w:eastAsia="黑体" w:cs="黑体"/>
                <w:i/>
                <w:iCs/>
                <w:color w:val="000000"/>
                <w:sz w:val="18"/>
                <w:szCs w:val="18"/>
                <w:u w:val="none"/>
              </w:rPr>
            </w:pPr>
          </w:p>
        </w:tc>
      </w:tr>
      <w:tr w14:paraId="5B0FD19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5AFB55C">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6E7EB4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1F16701">
            <w:pPr>
              <w:jc w:val="center"/>
              <w:rPr>
                <w:rFonts w:hint="default" w:ascii="微软雅黑" w:hAnsi="微软雅黑" w:eastAsia="微软雅黑" w:cs="微软雅黑"/>
                <w:i/>
                <w:iCs/>
                <w:color w:val="000000"/>
                <w:sz w:val="16"/>
                <w:szCs w:val="16"/>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361AAFE">
            <w:pPr>
              <w:jc w:val="center"/>
              <w:rPr>
                <w:rFonts w:hint="default" w:ascii="微软雅黑" w:hAnsi="微软雅黑" w:eastAsia="微软雅黑" w:cs="微软雅黑"/>
                <w:i/>
                <w:iCs/>
                <w:color w:val="000000"/>
                <w:sz w:val="16"/>
                <w:szCs w:val="16"/>
                <w:u w:val="none"/>
              </w:rPr>
            </w:pP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CC5788B">
            <w:pPr>
              <w:jc w:val="center"/>
              <w:rPr>
                <w:rFonts w:hint="default" w:ascii="微软雅黑" w:hAnsi="微软雅黑" w:eastAsia="微软雅黑" w:cs="微软雅黑"/>
                <w:i/>
                <w:iCs/>
                <w:color w:val="000000"/>
                <w:sz w:val="16"/>
                <w:szCs w:val="16"/>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FF79CFE">
            <w:pPr>
              <w:jc w:val="center"/>
              <w:rPr>
                <w:rFonts w:hint="default" w:ascii="微软雅黑" w:hAnsi="微软雅黑" w:eastAsia="微软雅黑" w:cs="微软雅黑"/>
                <w:i/>
                <w:iCs/>
                <w:color w:val="000000"/>
                <w:sz w:val="16"/>
                <w:szCs w:val="16"/>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128E98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9EF1B1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EDADA2B">
            <w:pPr>
              <w:rPr>
                <w:rFonts w:hint="default" w:ascii="黑体" w:hAnsi="黑体" w:eastAsia="黑体" w:cs="黑体"/>
                <w:i/>
                <w:iCs/>
                <w:color w:val="000000"/>
                <w:sz w:val="18"/>
                <w:szCs w:val="18"/>
                <w:u w:val="none"/>
              </w:rPr>
            </w:pPr>
          </w:p>
        </w:tc>
      </w:tr>
      <w:tr w14:paraId="00FB577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0" w:hRule="atLeast"/>
        </w:trPr>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D109D0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58FE8F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37D76A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387C6C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248A41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5EF2AD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09E70F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049B01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FC3FBF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AFAAF4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938192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14:paraId="3D520CA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721C9B4">
            <w:pPr>
              <w:jc w:val="center"/>
              <w:rPr>
                <w:rFonts w:hint="eastAsia" w:ascii="宋体" w:hAnsi="宋体" w:eastAsia="宋体" w:cs="宋体"/>
                <w:i w:val="0"/>
                <w:iCs w:val="0"/>
                <w:color w:val="000000"/>
                <w:sz w:val="18"/>
                <w:szCs w:val="18"/>
                <w:u w:val="none"/>
              </w:rPr>
            </w:pP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2309D0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1F09F2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2CD600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维护系统及网站数量</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A16329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7C7411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016D7A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套</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A0337E5">
            <w:pPr>
              <w:keepNext w:val="0"/>
              <w:keepLines w:val="0"/>
              <w:widowControl/>
              <w:suppressLineNumbers w:val="0"/>
              <w:jc w:val="center"/>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4</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BB3F06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A90411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63B6310">
            <w:pPr>
              <w:jc w:val="center"/>
              <w:rPr>
                <w:rFonts w:hint="default" w:ascii="微软雅黑" w:hAnsi="微软雅黑" w:eastAsia="微软雅黑" w:cs="微软雅黑"/>
                <w:i/>
                <w:iCs/>
                <w:color w:val="000000"/>
                <w:sz w:val="16"/>
                <w:szCs w:val="16"/>
                <w:u w:val="none"/>
              </w:rPr>
            </w:pPr>
          </w:p>
        </w:tc>
      </w:tr>
      <w:tr w14:paraId="22825E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562EB12">
            <w:pPr>
              <w:jc w:val="center"/>
              <w:rPr>
                <w:rFonts w:hint="eastAsia" w:ascii="宋体" w:hAnsi="宋体" w:eastAsia="宋体" w:cs="宋体"/>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A7A8565">
            <w:pPr>
              <w:jc w:val="center"/>
              <w:rPr>
                <w:rFonts w:hint="eastAsia" w:ascii="宋体" w:hAnsi="宋体" w:eastAsia="宋体" w:cs="宋体"/>
                <w:i w:val="0"/>
                <w:iCs w:val="0"/>
                <w:color w:val="000000"/>
                <w:sz w:val="18"/>
                <w:szCs w:val="18"/>
                <w:u w:val="none"/>
              </w:rPr>
            </w:pP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FAB415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质量指标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B270CA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维护系统网站数量通过率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06E976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定性</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375971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95</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AED655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1F4743D">
            <w:pPr>
              <w:keepNext w:val="0"/>
              <w:keepLines w:val="0"/>
              <w:widowControl/>
              <w:suppressLineNumbers w:val="0"/>
              <w:jc w:val="center"/>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95</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696163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E08FDD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FFABAE3">
            <w:pPr>
              <w:jc w:val="center"/>
              <w:rPr>
                <w:rFonts w:hint="default" w:ascii="微软雅黑" w:hAnsi="微软雅黑" w:eastAsia="微软雅黑" w:cs="微软雅黑"/>
                <w:i/>
                <w:iCs/>
                <w:color w:val="000000"/>
                <w:sz w:val="16"/>
                <w:szCs w:val="16"/>
                <w:u w:val="none"/>
              </w:rPr>
            </w:pPr>
          </w:p>
        </w:tc>
      </w:tr>
      <w:tr w14:paraId="1642AD6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D8782CC">
            <w:pPr>
              <w:jc w:val="center"/>
              <w:rPr>
                <w:rFonts w:hint="eastAsia" w:ascii="宋体" w:hAnsi="宋体" w:eastAsia="宋体" w:cs="宋体"/>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B384A36">
            <w:pPr>
              <w:jc w:val="center"/>
              <w:rPr>
                <w:rFonts w:hint="eastAsia" w:ascii="宋体" w:hAnsi="宋体" w:eastAsia="宋体" w:cs="宋体"/>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6B849AD">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7189BA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电子信息化建设通过率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953B00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387FEF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97</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F586FC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BF40A49">
            <w:pPr>
              <w:keepNext w:val="0"/>
              <w:keepLines w:val="0"/>
              <w:widowControl/>
              <w:suppressLineNumbers w:val="0"/>
              <w:jc w:val="center"/>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98</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404FEF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15</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302FE7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15</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A60DB87">
            <w:pPr>
              <w:jc w:val="center"/>
              <w:rPr>
                <w:rFonts w:hint="default" w:ascii="微软雅黑" w:hAnsi="微软雅黑" w:eastAsia="微软雅黑" w:cs="微软雅黑"/>
                <w:i/>
                <w:iCs/>
                <w:color w:val="000000"/>
                <w:sz w:val="16"/>
                <w:szCs w:val="16"/>
                <w:u w:val="none"/>
              </w:rPr>
            </w:pPr>
          </w:p>
        </w:tc>
      </w:tr>
      <w:tr w14:paraId="472B361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FB9E5CC">
            <w:pPr>
              <w:jc w:val="center"/>
              <w:rPr>
                <w:rFonts w:hint="eastAsia" w:ascii="宋体" w:hAnsi="宋体" w:eastAsia="宋体" w:cs="宋体"/>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AEA9F36">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D3C891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时效指标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CF740B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项目完成时间</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F23834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定性</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E376FD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2024年12月</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728B966">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CA210BD">
            <w:pPr>
              <w:keepNext w:val="0"/>
              <w:keepLines w:val="0"/>
              <w:widowControl/>
              <w:suppressLineNumbers w:val="0"/>
              <w:jc w:val="center"/>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按时完成</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7F16C4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15</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E39765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15</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777D9DC">
            <w:pPr>
              <w:jc w:val="center"/>
              <w:rPr>
                <w:rFonts w:hint="default" w:ascii="微软雅黑" w:hAnsi="微软雅黑" w:eastAsia="微软雅黑" w:cs="微软雅黑"/>
                <w:i/>
                <w:iCs/>
                <w:color w:val="000000"/>
                <w:sz w:val="16"/>
                <w:szCs w:val="16"/>
                <w:u w:val="none"/>
              </w:rPr>
            </w:pPr>
          </w:p>
        </w:tc>
      </w:tr>
      <w:tr w14:paraId="6BCAD7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64985B8">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FB042D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EB2A71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4528CA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提升民政服务能力</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296D05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定性</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279FAC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95</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01E8C5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A534710">
            <w:pPr>
              <w:keepNext w:val="0"/>
              <w:keepLines w:val="0"/>
              <w:widowControl/>
              <w:suppressLineNumbers w:val="0"/>
              <w:jc w:val="center"/>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96</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27B0A0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3167B6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26DFE8F">
            <w:pPr>
              <w:jc w:val="center"/>
              <w:rPr>
                <w:rFonts w:hint="default" w:ascii="微软雅黑" w:hAnsi="微软雅黑" w:eastAsia="微软雅黑" w:cs="微软雅黑"/>
                <w:i/>
                <w:iCs/>
                <w:color w:val="000000"/>
                <w:sz w:val="16"/>
                <w:szCs w:val="16"/>
                <w:u w:val="none"/>
              </w:rPr>
            </w:pPr>
          </w:p>
        </w:tc>
      </w:tr>
      <w:tr w14:paraId="4991A6A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5D36BF1">
            <w:pPr>
              <w:jc w:val="center"/>
              <w:rPr>
                <w:rFonts w:hint="eastAsia" w:ascii="宋体" w:hAnsi="宋体" w:eastAsia="宋体" w:cs="宋体"/>
                <w:i w:val="0"/>
                <w:iCs w:val="0"/>
                <w:color w:val="000000"/>
                <w:sz w:val="18"/>
                <w:szCs w:val="18"/>
                <w:u w:val="none"/>
              </w:rPr>
            </w:pP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FECBE3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438D00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服务对象满意度指标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01B371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工作人员满意度</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55BC7A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A8F0D6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95</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F792A9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C350673">
            <w:pPr>
              <w:keepNext w:val="0"/>
              <w:keepLines w:val="0"/>
              <w:widowControl/>
              <w:suppressLineNumbers w:val="0"/>
              <w:jc w:val="center"/>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98</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A74E21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338955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A3ECE31">
            <w:pPr>
              <w:jc w:val="center"/>
              <w:rPr>
                <w:rFonts w:hint="default" w:ascii="微软雅黑" w:hAnsi="微软雅黑" w:eastAsia="微软雅黑" w:cs="微软雅黑"/>
                <w:i/>
                <w:iCs/>
                <w:color w:val="000000"/>
                <w:sz w:val="16"/>
                <w:szCs w:val="16"/>
                <w:u w:val="none"/>
              </w:rPr>
            </w:pPr>
          </w:p>
        </w:tc>
      </w:tr>
      <w:tr w14:paraId="369779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46E393A">
            <w:pPr>
              <w:jc w:val="center"/>
              <w:rPr>
                <w:rFonts w:hint="eastAsia" w:ascii="宋体" w:hAnsi="宋体" w:eastAsia="宋体" w:cs="宋体"/>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423B37D">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A0F6B3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58DC6A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服务对象满意度</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E71C4B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067CFF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95</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3E6DCA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5A48A47">
            <w:pPr>
              <w:keepNext w:val="0"/>
              <w:keepLines w:val="0"/>
              <w:widowControl/>
              <w:suppressLineNumbers w:val="0"/>
              <w:jc w:val="center"/>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98</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9D4351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F3DC7C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A6F13E7">
            <w:pPr>
              <w:jc w:val="center"/>
              <w:rPr>
                <w:rFonts w:hint="default" w:ascii="微软雅黑" w:hAnsi="微软雅黑" w:eastAsia="微软雅黑" w:cs="微软雅黑"/>
                <w:i/>
                <w:iCs/>
                <w:color w:val="000000"/>
                <w:sz w:val="16"/>
                <w:szCs w:val="16"/>
                <w:u w:val="none"/>
              </w:rPr>
            </w:pPr>
          </w:p>
        </w:tc>
      </w:tr>
      <w:tr w14:paraId="6977103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0" w:hRule="atLeast"/>
        </w:trPr>
        <w:tc>
          <w:tcPr>
            <w:tcW w:w="0" w:type="auto"/>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282664C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3B709C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846EAC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98</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69DCCA4">
            <w:pPr>
              <w:rPr>
                <w:rFonts w:hint="eastAsia" w:ascii="宋体" w:hAnsi="宋体" w:eastAsia="宋体" w:cs="宋体"/>
                <w:i w:val="0"/>
                <w:iCs w:val="0"/>
                <w:color w:val="000000"/>
                <w:sz w:val="18"/>
                <w:szCs w:val="18"/>
                <w:u w:val="none"/>
              </w:rPr>
            </w:pPr>
          </w:p>
        </w:tc>
      </w:tr>
      <w:tr w14:paraId="75D1BDD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3"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41A488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0" w:type="auto"/>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267DEBD3">
            <w:pPr>
              <w:keepNext w:val="0"/>
              <w:keepLines w:val="0"/>
              <w:widowControl/>
              <w:suppressLineNumbers w:val="0"/>
              <w:jc w:val="left"/>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电子政务运行维护和档案数字化升级显著提高了政府机构的工作效率，以更快地处理事务，更有效地管理档案，以及更便捷地提供服务。电子政务运行维护和档案数字化升级增强了信息的安全性。电子政务运行维护和档案数字化升级使得信息检索更加方便。电子政务运行维护和档案数字化升级一定程度上赋能了环保节能。</w:t>
            </w:r>
          </w:p>
        </w:tc>
      </w:tr>
      <w:tr w14:paraId="2221EC4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09DB54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0" w:type="auto"/>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756B2F65">
            <w:pPr>
              <w:keepNext w:val="0"/>
              <w:keepLines w:val="0"/>
              <w:widowControl/>
              <w:suppressLineNumbers w:val="0"/>
              <w:jc w:val="left"/>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年初预算执行率未达100%，侧面反映了预算能力有待提升。</w:t>
            </w:r>
          </w:p>
        </w:tc>
      </w:tr>
      <w:tr w14:paraId="6A9C2D6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33"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0CCA08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0" w:type="auto"/>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05DDA2F3">
            <w:pPr>
              <w:keepNext w:val="0"/>
              <w:keepLines w:val="0"/>
              <w:widowControl/>
              <w:suppressLineNumbers w:val="0"/>
              <w:jc w:val="left"/>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加大对预算测算依据的把控，进一步提升预算的精确的，避免预算资金剩余闲置。</w:t>
            </w:r>
          </w:p>
        </w:tc>
      </w:tr>
      <w:tr w14:paraId="0C8B64C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0" w:type="auto"/>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F586766">
            <w:pPr>
              <w:keepNext w:val="0"/>
              <w:keepLines w:val="0"/>
              <w:widowControl/>
              <w:suppressLineNumbers w:val="0"/>
              <w:jc w:val="left"/>
              <w:textAlignment w:val="center"/>
              <w:rPr>
                <w:rFonts w:hint="default" w:ascii="黑体" w:hAnsi="黑体" w:eastAsia="黑体" w:cs="黑体"/>
                <w:i w:val="0"/>
                <w:iCs w:val="0"/>
                <w:color w:val="000000"/>
                <w:sz w:val="18"/>
                <w:szCs w:val="18"/>
                <w:u w:val="none"/>
              </w:rPr>
            </w:pPr>
            <w:r>
              <w:rPr>
                <w:rFonts w:hint="default" w:ascii="黑体" w:hAnsi="黑体" w:eastAsia="黑体" w:cs="黑体"/>
                <w:i w:val="0"/>
                <w:iCs w:val="0"/>
                <w:color w:val="000000"/>
                <w:kern w:val="0"/>
                <w:sz w:val="18"/>
                <w:szCs w:val="18"/>
                <w:u w:val="none"/>
                <w:lang w:val="en-US" w:eastAsia="zh-CN" w:bidi="ar"/>
              </w:rPr>
              <w:t>项目负责人：周晓龙</w:t>
            </w:r>
          </w:p>
        </w:tc>
        <w:tc>
          <w:tcPr>
            <w:tcW w:w="0" w:type="auto"/>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20D69732">
            <w:pPr>
              <w:keepNext w:val="0"/>
              <w:keepLines w:val="0"/>
              <w:widowControl/>
              <w:suppressLineNumbers w:val="0"/>
              <w:jc w:val="center"/>
              <w:textAlignment w:val="center"/>
              <w:rPr>
                <w:rFonts w:hint="default" w:ascii="黑体" w:hAnsi="黑体" w:eastAsia="黑体" w:cs="黑体"/>
                <w:i w:val="0"/>
                <w:iCs w:val="0"/>
                <w:color w:val="000000"/>
                <w:sz w:val="18"/>
                <w:szCs w:val="18"/>
                <w:u w:val="none"/>
              </w:rPr>
            </w:pPr>
            <w:r>
              <w:rPr>
                <w:rFonts w:hint="default" w:ascii="黑体" w:hAnsi="黑体" w:eastAsia="黑体" w:cs="黑体"/>
                <w:i w:val="0"/>
                <w:iCs w:val="0"/>
                <w:color w:val="000000"/>
                <w:kern w:val="0"/>
                <w:sz w:val="18"/>
                <w:szCs w:val="18"/>
                <w:u w:val="none"/>
                <w:lang w:val="en-US" w:eastAsia="zh-CN" w:bidi="ar"/>
              </w:rPr>
              <w:t>财务负责人：杨琴琴</w:t>
            </w:r>
          </w:p>
        </w:tc>
      </w:tr>
      <w:tr w14:paraId="48B1E53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20" w:hRule="atLeast"/>
        </w:trPr>
        <w:tc>
          <w:tcPr>
            <w:tcW w:w="0" w:type="auto"/>
            <w:tcBorders>
              <w:top w:val="nil"/>
              <w:left w:val="nil"/>
              <w:bottom w:val="nil"/>
              <w:right w:val="nil"/>
            </w:tcBorders>
            <w:shd w:val="clear" w:color="auto" w:fill="auto"/>
            <w:vAlign w:val="center"/>
          </w:tcPr>
          <w:p w14:paraId="3320B119">
            <w:pPr>
              <w:rPr>
                <w:rFonts w:hint="eastAsia" w:ascii="宋体" w:hAnsi="宋体" w:eastAsia="宋体" w:cs="宋体"/>
                <w:i w:val="0"/>
                <w:iCs w:val="0"/>
                <w:color w:val="000000"/>
                <w:sz w:val="18"/>
                <w:szCs w:val="18"/>
                <w:u w:val="none"/>
              </w:rPr>
            </w:pPr>
          </w:p>
        </w:tc>
        <w:tc>
          <w:tcPr>
            <w:tcW w:w="0" w:type="auto"/>
            <w:tcBorders>
              <w:top w:val="nil"/>
              <w:left w:val="nil"/>
              <w:bottom w:val="nil"/>
              <w:right w:val="nil"/>
            </w:tcBorders>
            <w:shd w:val="clear" w:color="auto" w:fill="auto"/>
            <w:vAlign w:val="center"/>
          </w:tcPr>
          <w:p w14:paraId="4047D4B7">
            <w:pPr>
              <w:rPr>
                <w:rFonts w:hint="eastAsia" w:ascii="宋体" w:hAnsi="宋体" w:eastAsia="宋体" w:cs="宋体"/>
                <w:i w:val="0"/>
                <w:iCs w:val="0"/>
                <w:color w:val="000000"/>
                <w:sz w:val="18"/>
                <w:szCs w:val="18"/>
                <w:u w:val="none"/>
              </w:rPr>
            </w:pPr>
          </w:p>
        </w:tc>
        <w:tc>
          <w:tcPr>
            <w:tcW w:w="0" w:type="auto"/>
            <w:tcBorders>
              <w:top w:val="nil"/>
              <w:left w:val="nil"/>
              <w:bottom w:val="nil"/>
              <w:right w:val="nil"/>
            </w:tcBorders>
            <w:shd w:val="clear" w:color="auto" w:fill="auto"/>
            <w:vAlign w:val="center"/>
          </w:tcPr>
          <w:p w14:paraId="12C316CC">
            <w:pPr>
              <w:jc w:val="center"/>
              <w:rPr>
                <w:rFonts w:hint="eastAsia" w:ascii="宋体" w:hAnsi="宋体" w:eastAsia="宋体" w:cs="宋体"/>
                <w:i w:val="0"/>
                <w:iCs w:val="0"/>
                <w:color w:val="000000"/>
                <w:sz w:val="18"/>
                <w:szCs w:val="18"/>
                <w:u w:val="none"/>
              </w:rPr>
            </w:pPr>
          </w:p>
        </w:tc>
        <w:tc>
          <w:tcPr>
            <w:tcW w:w="0" w:type="auto"/>
            <w:tcBorders>
              <w:top w:val="nil"/>
              <w:left w:val="nil"/>
              <w:bottom w:val="nil"/>
              <w:right w:val="nil"/>
            </w:tcBorders>
            <w:shd w:val="clear" w:color="auto" w:fill="auto"/>
            <w:vAlign w:val="center"/>
          </w:tcPr>
          <w:p w14:paraId="267D4A87">
            <w:pPr>
              <w:jc w:val="center"/>
              <w:rPr>
                <w:rFonts w:hint="eastAsia" w:ascii="宋体" w:hAnsi="宋体" w:eastAsia="宋体" w:cs="宋体"/>
                <w:i w:val="0"/>
                <w:iCs w:val="0"/>
                <w:color w:val="000000"/>
                <w:sz w:val="18"/>
                <w:szCs w:val="18"/>
                <w:u w:val="none"/>
              </w:rPr>
            </w:pPr>
          </w:p>
        </w:tc>
        <w:tc>
          <w:tcPr>
            <w:tcW w:w="0" w:type="auto"/>
            <w:tcBorders>
              <w:top w:val="nil"/>
              <w:left w:val="nil"/>
              <w:bottom w:val="nil"/>
              <w:right w:val="nil"/>
            </w:tcBorders>
            <w:shd w:val="clear" w:color="auto" w:fill="auto"/>
            <w:vAlign w:val="center"/>
          </w:tcPr>
          <w:p w14:paraId="4ED317A1">
            <w:pPr>
              <w:jc w:val="center"/>
              <w:rPr>
                <w:rFonts w:hint="eastAsia" w:ascii="宋体" w:hAnsi="宋体" w:eastAsia="宋体" w:cs="宋体"/>
                <w:i w:val="0"/>
                <w:iCs w:val="0"/>
                <w:color w:val="000000"/>
                <w:sz w:val="18"/>
                <w:szCs w:val="18"/>
                <w:u w:val="none"/>
              </w:rPr>
            </w:pPr>
          </w:p>
        </w:tc>
        <w:tc>
          <w:tcPr>
            <w:tcW w:w="0" w:type="auto"/>
            <w:tcBorders>
              <w:top w:val="nil"/>
              <w:left w:val="nil"/>
              <w:bottom w:val="nil"/>
              <w:right w:val="nil"/>
            </w:tcBorders>
            <w:shd w:val="clear" w:color="auto" w:fill="auto"/>
            <w:vAlign w:val="center"/>
          </w:tcPr>
          <w:p w14:paraId="449215A8">
            <w:pPr>
              <w:jc w:val="center"/>
              <w:rPr>
                <w:rFonts w:hint="eastAsia" w:ascii="宋体" w:hAnsi="宋体" w:eastAsia="宋体" w:cs="宋体"/>
                <w:i w:val="0"/>
                <w:iCs w:val="0"/>
                <w:color w:val="000000"/>
                <w:sz w:val="18"/>
                <w:szCs w:val="18"/>
                <w:u w:val="none"/>
              </w:rPr>
            </w:pPr>
          </w:p>
        </w:tc>
        <w:tc>
          <w:tcPr>
            <w:tcW w:w="0" w:type="auto"/>
            <w:tcBorders>
              <w:top w:val="nil"/>
              <w:left w:val="nil"/>
              <w:bottom w:val="nil"/>
              <w:right w:val="nil"/>
            </w:tcBorders>
            <w:shd w:val="clear" w:color="auto" w:fill="auto"/>
            <w:vAlign w:val="center"/>
          </w:tcPr>
          <w:p w14:paraId="0101B944">
            <w:pPr>
              <w:jc w:val="center"/>
              <w:rPr>
                <w:rFonts w:hint="eastAsia" w:ascii="宋体" w:hAnsi="宋体" w:eastAsia="宋体" w:cs="宋体"/>
                <w:i w:val="0"/>
                <w:iCs w:val="0"/>
                <w:color w:val="000000"/>
                <w:sz w:val="18"/>
                <w:szCs w:val="18"/>
                <w:u w:val="none"/>
              </w:rPr>
            </w:pPr>
          </w:p>
        </w:tc>
        <w:tc>
          <w:tcPr>
            <w:tcW w:w="0" w:type="auto"/>
            <w:tcBorders>
              <w:top w:val="nil"/>
              <w:left w:val="nil"/>
              <w:bottom w:val="nil"/>
              <w:right w:val="nil"/>
            </w:tcBorders>
            <w:shd w:val="clear" w:color="auto" w:fill="auto"/>
            <w:vAlign w:val="center"/>
          </w:tcPr>
          <w:p w14:paraId="6ED3BF36">
            <w:pPr>
              <w:jc w:val="center"/>
              <w:rPr>
                <w:rFonts w:hint="eastAsia" w:ascii="宋体" w:hAnsi="宋体" w:eastAsia="宋体" w:cs="宋体"/>
                <w:i w:val="0"/>
                <w:iCs w:val="0"/>
                <w:color w:val="000000"/>
                <w:sz w:val="18"/>
                <w:szCs w:val="18"/>
                <w:u w:val="none"/>
              </w:rPr>
            </w:pPr>
          </w:p>
        </w:tc>
        <w:tc>
          <w:tcPr>
            <w:tcW w:w="0" w:type="auto"/>
            <w:tcBorders>
              <w:top w:val="nil"/>
              <w:left w:val="nil"/>
              <w:bottom w:val="nil"/>
              <w:right w:val="nil"/>
            </w:tcBorders>
            <w:shd w:val="clear" w:color="auto" w:fill="auto"/>
            <w:vAlign w:val="center"/>
          </w:tcPr>
          <w:p w14:paraId="2AF6CE59">
            <w:pPr>
              <w:jc w:val="center"/>
              <w:rPr>
                <w:rFonts w:hint="eastAsia" w:ascii="宋体" w:hAnsi="宋体" w:eastAsia="宋体" w:cs="宋体"/>
                <w:i w:val="0"/>
                <w:iCs w:val="0"/>
                <w:color w:val="000000"/>
                <w:sz w:val="18"/>
                <w:szCs w:val="18"/>
                <w:u w:val="none"/>
              </w:rPr>
            </w:pPr>
          </w:p>
        </w:tc>
        <w:tc>
          <w:tcPr>
            <w:tcW w:w="0" w:type="auto"/>
            <w:tcBorders>
              <w:top w:val="nil"/>
              <w:left w:val="nil"/>
              <w:bottom w:val="nil"/>
              <w:right w:val="nil"/>
            </w:tcBorders>
            <w:shd w:val="clear" w:color="auto" w:fill="auto"/>
            <w:vAlign w:val="center"/>
          </w:tcPr>
          <w:p w14:paraId="508BDC3E">
            <w:pPr>
              <w:jc w:val="center"/>
              <w:rPr>
                <w:rFonts w:hint="eastAsia" w:ascii="宋体" w:hAnsi="宋体" w:eastAsia="宋体" w:cs="宋体"/>
                <w:i w:val="0"/>
                <w:iCs w:val="0"/>
                <w:color w:val="000000"/>
                <w:sz w:val="18"/>
                <w:szCs w:val="18"/>
                <w:u w:val="none"/>
              </w:rPr>
            </w:pPr>
          </w:p>
        </w:tc>
        <w:tc>
          <w:tcPr>
            <w:tcW w:w="0" w:type="auto"/>
            <w:tcBorders>
              <w:top w:val="nil"/>
              <w:left w:val="nil"/>
              <w:bottom w:val="nil"/>
              <w:right w:val="nil"/>
            </w:tcBorders>
            <w:shd w:val="clear" w:color="auto" w:fill="auto"/>
            <w:vAlign w:val="center"/>
          </w:tcPr>
          <w:p w14:paraId="651BA9A4">
            <w:pPr>
              <w:rPr>
                <w:rFonts w:hint="eastAsia" w:ascii="宋体" w:hAnsi="宋体" w:eastAsia="宋体" w:cs="宋体"/>
                <w:i w:val="0"/>
                <w:iCs w:val="0"/>
                <w:color w:val="000000"/>
                <w:sz w:val="18"/>
                <w:szCs w:val="18"/>
                <w:u w:val="none"/>
              </w:rPr>
            </w:pPr>
          </w:p>
        </w:tc>
      </w:tr>
      <w:tr w14:paraId="6E23714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060" w:hRule="atLeast"/>
        </w:trPr>
        <w:tc>
          <w:tcPr>
            <w:tcW w:w="0" w:type="auto"/>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64073C94">
            <w:pPr>
              <w:keepNext w:val="0"/>
              <w:keepLines w:val="0"/>
              <w:widowControl/>
              <w:suppressLineNumbers w:val="0"/>
              <w:jc w:val="center"/>
              <w:textAlignment w:val="center"/>
              <w:rPr>
                <w:rFonts w:hint="eastAsia"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部门预算项目支出绩效自评表（2024年度）</w:t>
            </w:r>
          </w:p>
        </w:tc>
      </w:tr>
      <w:tr w14:paraId="5D65EB3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0" w:type="auto"/>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1ED5360">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0" w:type="auto"/>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0A2CF00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51320022T000004704282-州慈善总会办公室专项经费</w:t>
            </w:r>
          </w:p>
        </w:tc>
      </w:tr>
      <w:tr w14:paraId="50D5C66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2" w:hRule="atLeast"/>
        </w:trPr>
        <w:tc>
          <w:tcPr>
            <w:tcW w:w="0" w:type="auto"/>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530963A">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0" w:type="auto"/>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40D1B1C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州民政局部门</w:t>
            </w:r>
          </w:p>
        </w:tc>
        <w:tc>
          <w:tcPr>
            <w:tcW w:w="0" w:type="auto"/>
            <w:tcBorders>
              <w:top w:val="nil"/>
              <w:left w:val="nil"/>
              <w:bottom w:val="nil"/>
              <w:right w:val="nil"/>
            </w:tcBorders>
            <w:shd w:val="clear" w:color="auto" w:fill="auto"/>
            <w:vAlign w:val="center"/>
          </w:tcPr>
          <w:p w14:paraId="416602EF">
            <w:pPr>
              <w:keepNext w:val="0"/>
              <w:keepLines w:val="0"/>
              <w:widowControl/>
              <w:suppressLineNumbers w:val="0"/>
              <w:jc w:val="center"/>
              <w:textAlignment w:val="center"/>
              <w:rPr>
                <w:rFonts w:hint="default" w:ascii="黑体" w:hAnsi="黑体" w:eastAsia="黑体" w:cs="黑体"/>
                <w:i w:val="0"/>
                <w:iCs w:val="0"/>
                <w:color w:val="000000"/>
                <w:sz w:val="18"/>
                <w:szCs w:val="18"/>
                <w:u w:val="none"/>
              </w:rPr>
            </w:pPr>
            <w:r>
              <w:rPr>
                <w:rFonts w:hint="default" w:ascii="黑体" w:hAnsi="黑体" w:eastAsia="黑体" w:cs="黑体"/>
                <w:i w:val="0"/>
                <w:iCs w:val="0"/>
                <w:color w:val="000000"/>
                <w:kern w:val="0"/>
                <w:sz w:val="18"/>
                <w:szCs w:val="18"/>
                <w:u w:val="none"/>
                <w:lang w:val="en-US" w:eastAsia="zh-CN" w:bidi="ar"/>
              </w:rPr>
              <w:t>实施单位 （盖章）</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0C492E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州民政局</w:t>
            </w:r>
          </w:p>
        </w:tc>
      </w:tr>
      <w:tr w14:paraId="1E13497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D116FD4">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800AE7C">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0" w:type="auto"/>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47452B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0" w:type="auto"/>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76C2DF0E">
            <w:pPr>
              <w:keepNext w:val="0"/>
              <w:keepLines w:val="0"/>
              <w:widowControl/>
              <w:suppressLineNumbers w:val="0"/>
              <w:jc w:val="center"/>
              <w:textAlignment w:val="center"/>
              <w:rPr>
                <w:rFonts w:hint="default" w:ascii="黑体" w:hAnsi="黑体" w:eastAsia="黑体" w:cs="黑体"/>
                <w:i w:val="0"/>
                <w:iCs w:val="0"/>
                <w:color w:val="000000"/>
                <w:sz w:val="18"/>
                <w:szCs w:val="18"/>
                <w:u w:val="none"/>
              </w:rPr>
            </w:pPr>
            <w:r>
              <w:rPr>
                <w:rFonts w:hint="default" w:ascii="黑体" w:hAnsi="黑体" w:eastAsia="黑体" w:cs="黑体"/>
                <w:i w:val="0"/>
                <w:iCs w:val="0"/>
                <w:color w:val="000000"/>
                <w:kern w:val="0"/>
                <w:sz w:val="18"/>
                <w:szCs w:val="18"/>
                <w:u w:val="none"/>
                <w:lang w:val="en-US" w:eastAsia="zh-CN" w:bidi="ar"/>
              </w:rPr>
              <w:t>年度目标完成情况</w:t>
            </w:r>
          </w:p>
        </w:tc>
      </w:tr>
      <w:tr w14:paraId="1454A66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61"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42BB9DA">
            <w:pPr>
              <w:rPr>
                <w:rFonts w:hint="eastAsia" w:ascii="宋体" w:hAnsi="宋体" w:eastAsia="宋体" w:cs="宋体"/>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25D520C">
            <w:pPr>
              <w:rPr>
                <w:rFonts w:hint="eastAsia" w:ascii="宋体" w:hAnsi="宋体" w:eastAsia="宋体" w:cs="宋体"/>
                <w:i w:val="0"/>
                <w:iCs w:val="0"/>
                <w:color w:val="000000"/>
                <w:sz w:val="18"/>
                <w:szCs w:val="18"/>
                <w:u w:val="none"/>
              </w:rPr>
            </w:pPr>
          </w:p>
        </w:tc>
        <w:tc>
          <w:tcPr>
            <w:tcW w:w="0" w:type="auto"/>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AC4BEF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按照2024年工作计划安排，初步制定以下工作目标：第一，完成省慈善总会下达的各项工作任务，主要包括各慈善项目的申请、执行、整理、上报。第二，督促茂县、九寨沟县慈善会“6.24”茂县叠溪山体滑坡及“8.8”九寨沟地震灾后重建省慈善捐赠资金项目剩余结余资金完成；第二，加强与浙江省慈善组织的交流和协作；第三，完成日常慈善捐赠物资的接收和使用工作；第四，在疫情稳定期间组织全州慈善会业务人员外地先进慈善会进行交流学习，并就《中华人民共和国慈善法》等相关法律、法规和制度以及业务能力提升的相关内容进行培训；第五，加强与慈善组织的交流和协作，大力宣传慈善爱心文化，让慈善理念深入人心；第六，召开阿坝州慈善总会第四次会员代表大会暨第四届理事会。</w:t>
            </w:r>
          </w:p>
        </w:tc>
        <w:tc>
          <w:tcPr>
            <w:tcW w:w="0" w:type="auto"/>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2878C972">
            <w:pPr>
              <w:keepNext w:val="0"/>
              <w:keepLines w:val="0"/>
              <w:widowControl/>
              <w:suppressLineNumbers w:val="0"/>
              <w:jc w:val="center"/>
              <w:textAlignment w:val="center"/>
              <w:rPr>
                <w:rFonts w:hint="default" w:ascii="黑体" w:hAnsi="黑体" w:eastAsia="黑体" w:cs="黑体"/>
                <w:i w:val="0"/>
                <w:iCs w:val="0"/>
                <w:color w:val="000000"/>
                <w:sz w:val="18"/>
                <w:szCs w:val="18"/>
                <w:u w:val="none"/>
              </w:rPr>
            </w:pPr>
            <w:r>
              <w:rPr>
                <w:rFonts w:hint="default" w:ascii="黑体" w:hAnsi="黑体" w:eastAsia="黑体" w:cs="黑体"/>
                <w:i w:val="0"/>
                <w:iCs w:val="0"/>
                <w:color w:val="000000"/>
                <w:kern w:val="0"/>
                <w:sz w:val="18"/>
                <w:szCs w:val="18"/>
                <w:u w:val="none"/>
                <w:lang w:val="en-US" w:eastAsia="zh-CN" w:bidi="ar"/>
              </w:rPr>
              <w:t>按照2024年工作计划安排完成了相应年度目标</w:t>
            </w:r>
          </w:p>
        </w:tc>
      </w:tr>
      <w:tr w14:paraId="0FC11FF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3"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01D6A12">
            <w:pP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F5D7815">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0" w:type="auto"/>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7C4081D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赋能推动各县（市）慈善会发展，以慈善事业高质量发展为牵引，带动全州慈善发展取得更大突破，服务中心大局、增进民生福祉慈善事业。</w:t>
            </w:r>
          </w:p>
        </w:tc>
      </w:tr>
      <w:tr w14:paraId="34976A8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75019D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FFE23D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71E2FA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0CDC44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E2C396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487425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0B3C6B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5306FC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46BBE2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14:paraId="0C9EF76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DB5F7EA">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2124C4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C57E01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DD0022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19.94</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58D254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19.94</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3A5D45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8CB5EB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B37443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868DA50">
            <w:pPr>
              <w:keepNext w:val="0"/>
              <w:keepLines w:val="0"/>
              <w:widowControl/>
              <w:suppressLineNumbers w:val="0"/>
              <w:jc w:val="left"/>
              <w:textAlignment w:val="center"/>
              <w:rPr>
                <w:rFonts w:hint="default" w:ascii="黑体" w:hAnsi="黑体" w:eastAsia="黑体" w:cs="黑体"/>
                <w:i/>
                <w:iCs/>
                <w:color w:val="000000"/>
                <w:sz w:val="18"/>
                <w:szCs w:val="18"/>
                <w:u w:val="none"/>
              </w:rPr>
            </w:pPr>
            <w:r>
              <w:rPr>
                <w:rFonts w:hint="default" w:ascii="黑体" w:hAnsi="黑体" w:eastAsia="黑体" w:cs="黑体"/>
                <w:i/>
                <w:iCs/>
                <w:color w:val="000000"/>
                <w:kern w:val="0"/>
                <w:sz w:val="18"/>
                <w:szCs w:val="18"/>
                <w:u w:val="none"/>
                <w:lang w:val="en-US" w:eastAsia="zh-CN" w:bidi="ar"/>
              </w:rPr>
              <w:t>该项目预算执行率高于90%，预算调整原因：年底根据项目实际情况，调整收回净结余资金。</w:t>
            </w:r>
          </w:p>
        </w:tc>
      </w:tr>
      <w:tr w14:paraId="4776DE1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193F402">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2323D5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60DF81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982FD9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19.94</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0107A7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19.94</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16C7CA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E1D2D3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E9B21A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E5F7511">
            <w:pPr>
              <w:rPr>
                <w:rFonts w:hint="default" w:ascii="黑体" w:hAnsi="黑体" w:eastAsia="黑体" w:cs="黑体"/>
                <w:i/>
                <w:iCs/>
                <w:color w:val="000000"/>
                <w:sz w:val="18"/>
                <w:szCs w:val="18"/>
                <w:u w:val="none"/>
              </w:rPr>
            </w:pPr>
          </w:p>
        </w:tc>
      </w:tr>
      <w:tr w14:paraId="66F08CE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619F2E0">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D7168C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80CA30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0CB246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CB711B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C88374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99BAFA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3CB9CA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7464923">
            <w:pPr>
              <w:rPr>
                <w:rFonts w:hint="default" w:ascii="黑体" w:hAnsi="黑体" w:eastAsia="黑体" w:cs="黑体"/>
                <w:i/>
                <w:iCs/>
                <w:color w:val="000000"/>
                <w:sz w:val="18"/>
                <w:szCs w:val="18"/>
                <w:u w:val="none"/>
              </w:rPr>
            </w:pPr>
          </w:p>
        </w:tc>
      </w:tr>
      <w:tr w14:paraId="31D0681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2938DE2">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D101B3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8D311A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C711F9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E3CD70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E1A48C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66A68D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F463C2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0B72879">
            <w:pPr>
              <w:rPr>
                <w:rFonts w:hint="default" w:ascii="黑体" w:hAnsi="黑体" w:eastAsia="黑体" w:cs="黑体"/>
                <w:i/>
                <w:iCs/>
                <w:color w:val="000000"/>
                <w:sz w:val="18"/>
                <w:szCs w:val="18"/>
                <w:u w:val="none"/>
              </w:rPr>
            </w:pPr>
          </w:p>
        </w:tc>
      </w:tr>
      <w:tr w14:paraId="59F0F44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AD44567">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2354B8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CD20D69">
            <w:pPr>
              <w:jc w:val="center"/>
              <w:rPr>
                <w:rFonts w:hint="default" w:ascii="微软雅黑" w:hAnsi="微软雅黑" w:eastAsia="微软雅黑" w:cs="微软雅黑"/>
                <w:i/>
                <w:iCs/>
                <w:color w:val="000000"/>
                <w:sz w:val="16"/>
                <w:szCs w:val="16"/>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EB83AE7">
            <w:pPr>
              <w:jc w:val="center"/>
              <w:rPr>
                <w:rFonts w:hint="default" w:ascii="微软雅黑" w:hAnsi="微软雅黑" w:eastAsia="微软雅黑" w:cs="微软雅黑"/>
                <w:i/>
                <w:iCs/>
                <w:color w:val="000000"/>
                <w:sz w:val="16"/>
                <w:szCs w:val="16"/>
                <w:u w:val="none"/>
              </w:rPr>
            </w:pP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9A5E37A">
            <w:pPr>
              <w:jc w:val="center"/>
              <w:rPr>
                <w:rFonts w:hint="default" w:ascii="微软雅黑" w:hAnsi="微软雅黑" w:eastAsia="微软雅黑" w:cs="微软雅黑"/>
                <w:i/>
                <w:iCs/>
                <w:color w:val="000000"/>
                <w:sz w:val="16"/>
                <w:szCs w:val="16"/>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0BA38DB">
            <w:pPr>
              <w:jc w:val="center"/>
              <w:rPr>
                <w:rFonts w:hint="default" w:ascii="微软雅黑" w:hAnsi="微软雅黑" w:eastAsia="微软雅黑" w:cs="微软雅黑"/>
                <w:i/>
                <w:iCs/>
                <w:color w:val="000000"/>
                <w:sz w:val="16"/>
                <w:szCs w:val="16"/>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D6FE53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7E16C5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3543C54">
            <w:pPr>
              <w:rPr>
                <w:rFonts w:hint="default" w:ascii="黑体" w:hAnsi="黑体" w:eastAsia="黑体" w:cs="黑体"/>
                <w:i/>
                <w:iCs/>
                <w:color w:val="000000"/>
                <w:sz w:val="18"/>
                <w:szCs w:val="18"/>
                <w:u w:val="none"/>
              </w:rPr>
            </w:pPr>
          </w:p>
        </w:tc>
      </w:tr>
      <w:tr w14:paraId="4DF7F8A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C4FE57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DFB833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1663BA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A1F5D0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9DB337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145D2F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7F8F44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20820C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E65213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891680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37B223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14:paraId="5C04E93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764C953">
            <w:pPr>
              <w:jc w:val="center"/>
              <w:rPr>
                <w:rFonts w:hint="eastAsia" w:ascii="宋体" w:hAnsi="宋体" w:eastAsia="宋体" w:cs="宋体"/>
                <w:i w:val="0"/>
                <w:iCs w:val="0"/>
                <w:color w:val="000000"/>
                <w:sz w:val="18"/>
                <w:szCs w:val="18"/>
                <w:u w:val="none"/>
              </w:rPr>
            </w:pP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40D147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E4EB5A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815078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慈善工作完成率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E555BA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0F0F1B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95</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8B80C9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6FA6B02">
            <w:pPr>
              <w:keepNext w:val="0"/>
              <w:keepLines w:val="0"/>
              <w:widowControl/>
              <w:suppressLineNumbers w:val="0"/>
              <w:jc w:val="center"/>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98</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A738E8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15</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9987FD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15</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793DE85">
            <w:pPr>
              <w:jc w:val="center"/>
              <w:rPr>
                <w:rFonts w:hint="default" w:ascii="微软雅黑" w:hAnsi="微软雅黑" w:eastAsia="微软雅黑" w:cs="微软雅黑"/>
                <w:i/>
                <w:iCs/>
                <w:color w:val="000000"/>
                <w:sz w:val="16"/>
                <w:szCs w:val="16"/>
                <w:u w:val="none"/>
              </w:rPr>
            </w:pPr>
          </w:p>
        </w:tc>
      </w:tr>
      <w:tr w14:paraId="28E2E26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489153B">
            <w:pPr>
              <w:jc w:val="center"/>
              <w:rPr>
                <w:rFonts w:hint="eastAsia" w:ascii="宋体" w:hAnsi="宋体" w:eastAsia="宋体" w:cs="宋体"/>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F983249">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4A46F3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质量指标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E91F62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慈善工作质量通过率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10E8F6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2AB754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95</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3CF69D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23C5C8E">
            <w:pPr>
              <w:keepNext w:val="0"/>
              <w:keepLines w:val="0"/>
              <w:widowControl/>
              <w:suppressLineNumbers w:val="0"/>
              <w:jc w:val="center"/>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100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FC6BE0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15</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E48513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15</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20287CE">
            <w:pPr>
              <w:jc w:val="center"/>
              <w:rPr>
                <w:rFonts w:hint="default" w:ascii="微软雅黑" w:hAnsi="微软雅黑" w:eastAsia="微软雅黑" w:cs="微软雅黑"/>
                <w:i/>
                <w:iCs/>
                <w:color w:val="000000"/>
                <w:sz w:val="16"/>
                <w:szCs w:val="16"/>
                <w:u w:val="none"/>
              </w:rPr>
            </w:pPr>
          </w:p>
        </w:tc>
      </w:tr>
      <w:tr w14:paraId="402B9B3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6CB579E">
            <w:pPr>
              <w:jc w:val="center"/>
              <w:rPr>
                <w:rFonts w:hint="eastAsia" w:ascii="宋体" w:hAnsi="宋体" w:eastAsia="宋体" w:cs="宋体"/>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4289467">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DE240E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时效指标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53EC20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2024年12月31日之前完成率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663CCB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A36385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95</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E1CFED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C230474">
            <w:pPr>
              <w:keepNext w:val="0"/>
              <w:keepLines w:val="0"/>
              <w:widowControl/>
              <w:suppressLineNumbers w:val="0"/>
              <w:jc w:val="center"/>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100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1F960C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15</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6642EA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15</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4DB4DF4">
            <w:pPr>
              <w:jc w:val="center"/>
              <w:rPr>
                <w:rFonts w:hint="default" w:ascii="微软雅黑" w:hAnsi="微软雅黑" w:eastAsia="微软雅黑" w:cs="微软雅黑"/>
                <w:i/>
                <w:iCs/>
                <w:color w:val="000000"/>
                <w:sz w:val="16"/>
                <w:szCs w:val="16"/>
                <w:u w:val="none"/>
              </w:rPr>
            </w:pPr>
          </w:p>
        </w:tc>
      </w:tr>
      <w:tr w14:paraId="2645175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6EE51A">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F2A273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ED514A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FCB8C2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贫困率下降</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0A070E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定性</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525634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显著下降</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061B638">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C17E19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有效下降</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CB3EAD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BDB83F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74A3AA7">
            <w:pPr>
              <w:jc w:val="center"/>
              <w:rPr>
                <w:rFonts w:hint="default" w:ascii="微软雅黑" w:hAnsi="微软雅黑" w:eastAsia="微软雅黑" w:cs="微软雅黑"/>
                <w:i/>
                <w:iCs/>
                <w:color w:val="000000"/>
                <w:sz w:val="16"/>
                <w:szCs w:val="16"/>
                <w:u w:val="none"/>
              </w:rPr>
            </w:pPr>
          </w:p>
        </w:tc>
      </w:tr>
      <w:tr w14:paraId="0DFB007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A5C35F5">
            <w:pPr>
              <w:jc w:val="center"/>
              <w:rPr>
                <w:rFonts w:hint="eastAsia" w:ascii="宋体" w:hAnsi="宋体" w:eastAsia="宋体" w:cs="宋体"/>
                <w:i w:val="0"/>
                <w:iCs w:val="0"/>
                <w:color w:val="000000"/>
                <w:sz w:val="18"/>
                <w:szCs w:val="18"/>
                <w:u w:val="none"/>
              </w:rPr>
            </w:pP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9FECAE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8688C6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服务对象满意度指标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792640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受助对象满意度</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7CB8E8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3AA539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479BCB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8A73D7B">
            <w:pPr>
              <w:keepNext w:val="0"/>
              <w:keepLines w:val="0"/>
              <w:widowControl/>
              <w:suppressLineNumbers w:val="0"/>
              <w:jc w:val="center"/>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95</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141FE2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EC6406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A2FA602">
            <w:pPr>
              <w:jc w:val="center"/>
              <w:rPr>
                <w:rFonts w:hint="default" w:ascii="微软雅黑" w:hAnsi="微软雅黑" w:eastAsia="微软雅黑" w:cs="微软雅黑"/>
                <w:i/>
                <w:iCs/>
                <w:color w:val="000000"/>
                <w:sz w:val="16"/>
                <w:szCs w:val="16"/>
                <w:u w:val="none"/>
              </w:rPr>
            </w:pPr>
          </w:p>
        </w:tc>
      </w:tr>
      <w:tr w14:paraId="7EE7C2E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13B1303">
            <w:pPr>
              <w:jc w:val="center"/>
              <w:rPr>
                <w:rFonts w:hint="eastAsia" w:ascii="宋体" w:hAnsi="宋体" w:eastAsia="宋体" w:cs="宋体"/>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07F090A">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854F13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897BD4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群众满意度</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7A412A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4C98AC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99</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85CEC1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B60398A">
            <w:pPr>
              <w:keepNext w:val="0"/>
              <w:keepLines w:val="0"/>
              <w:widowControl/>
              <w:suppressLineNumbers w:val="0"/>
              <w:jc w:val="center"/>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99</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4004B5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372D6F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DDBF663">
            <w:pPr>
              <w:jc w:val="center"/>
              <w:rPr>
                <w:rFonts w:hint="default" w:ascii="微软雅黑" w:hAnsi="微软雅黑" w:eastAsia="微软雅黑" w:cs="微软雅黑"/>
                <w:i/>
                <w:iCs/>
                <w:color w:val="000000"/>
                <w:sz w:val="16"/>
                <w:szCs w:val="16"/>
                <w:u w:val="none"/>
              </w:rPr>
            </w:pPr>
          </w:p>
        </w:tc>
      </w:tr>
      <w:tr w14:paraId="7D146ED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C7E9529">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00DB9E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成本指标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B42F47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经济成本指标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CBED67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成本控制率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944E6D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074DE9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98</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809320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130BB07">
            <w:pPr>
              <w:keepNext w:val="0"/>
              <w:keepLines w:val="0"/>
              <w:widowControl/>
              <w:suppressLineNumbers w:val="0"/>
              <w:jc w:val="center"/>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98</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980A84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15</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8FC66E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15</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C3EFEE7">
            <w:pPr>
              <w:jc w:val="center"/>
              <w:rPr>
                <w:rFonts w:hint="default" w:ascii="微软雅黑" w:hAnsi="微软雅黑" w:eastAsia="微软雅黑" w:cs="微软雅黑"/>
                <w:i/>
                <w:iCs/>
                <w:color w:val="000000"/>
                <w:sz w:val="16"/>
                <w:szCs w:val="16"/>
                <w:u w:val="none"/>
              </w:rPr>
            </w:pPr>
          </w:p>
        </w:tc>
      </w:tr>
      <w:tr w14:paraId="417D2A9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0" w:type="auto"/>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4064C2C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83A7C2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15B9E0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99</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ECFFFF1">
            <w:pPr>
              <w:rPr>
                <w:rFonts w:hint="eastAsia" w:ascii="宋体" w:hAnsi="宋体" w:eastAsia="宋体" w:cs="宋体"/>
                <w:i w:val="0"/>
                <w:iCs w:val="0"/>
                <w:color w:val="000000"/>
                <w:sz w:val="18"/>
                <w:szCs w:val="18"/>
                <w:u w:val="none"/>
              </w:rPr>
            </w:pPr>
          </w:p>
        </w:tc>
      </w:tr>
      <w:tr w14:paraId="4E9F30C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F058FA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0" w:type="auto"/>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5F7183AB">
            <w:pPr>
              <w:keepNext w:val="0"/>
              <w:keepLines w:val="0"/>
              <w:widowControl/>
              <w:suppressLineNumbers w:val="0"/>
              <w:jc w:val="left"/>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赋能推动各县（市）慈善会发展，以慈善事业高质量发展为牵引，带动全州慈善发展取得更大突破，服务中心大局、增进民生福祉慈善事业。</w:t>
            </w:r>
          </w:p>
        </w:tc>
      </w:tr>
      <w:tr w14:paraId="1958115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265523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0" w:type="auto"/>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6E414CE2">
            <w:pPr>
              <w:keepNext w:val="0"/>
              <w:keepLines w:val="0"/>
              <w:widowControl/>
              <w:suppressLineNumbers w:val="0"/>
              <w:jc w:val="left"/>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年初预算执行率未达100%，侧面反映了预算能力有待提升。</w:t>
            </w:r>
          </w:p>
        </w:tc>
      </w:tr>
      <w:tr w14:paraId="176ED83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207146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0" w:type="auto"/>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2A689038">
            <w:pPr>
              <w:keepNext w:val="0"/>
              <w:keepLines w:val="0"/>
              <w:widowControl/>
              <w:suppressLineNumbers w:val="0"/>
              <w:jc w:val="left"/>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加大对预算测算依据的把控，进一步提升预算的精确的，避免预算资金剩余闲置。</w:t>
            </w:r>
          </w:p>
        </w:tc>
      </w:tr>
      <w:tr w14:paraId="05E48EB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0" w:type="auto"/>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2D66B7F">
            <w:pPr>
              <w:keepNext w:val="0"/>
              <w:keepLines w:val="0"/>
              <w:widowControl/>
              <w:suppressLineNumbers w:val="0"/>
              <w:jc w:val="left"/>
              <w:textAlignment w:val="center"/>
              <w:rPr>
                <w:rFonts w:hint="default" w:ascii="黑体" w:hAnsi="黑体" w:eastAsia="黑体" w:cs="黑体"/>
                <w:i w:val="0"/>
                <w:iCs w:val="0"/>
                <w:color w:val="000000"/>
                <w:sz w:val="18"/>
                <w:szCs w:val="18"/>
                <w:u w:val="none"/>
              </w:rPr>
            </w:pPr>
            <w:r>
              <w:rPr>
                <w:rFonts w:hint="default" w:ascii="黑体" w:hAnsi="黑体" w:eastAsia="黑体" w:cs="黑体"/>
                <w:i w:val="0"/>
                <w:iCs w:val="0"/>
                <w:color w:val="000000"/>
                <w:kern w:val="0"/>
                <w:sz w:val="18"/>
                <w:szCs w:val="18"/>
                <w:u w:val="none"/>
                <w:lang w:val="en-US" w:eastAsia="zh-CN" w:bidi="ar"/>
              </w:rPr>
              <w:t>项目负责人：泽晓欢</w:t>
            </w:r>
          </w:p>
        </w:tc>
        <w:tc>
          <w:tcPr>
            <w:tcW w:w="0" w:type="auto"/>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48D0FCDD">
            <w:pPr>
              <w:keepNext w:val="0"/>
              <w:keepLines w:val="0"/>
              <w:widowControl/>
              <w:suppressLineNumbers w:val="0"/>
              <w:jc w:val="center"/>
              <w:textAlignment w:val="center"/>
              <w:rPr>
                <w:rFonts w:hint="default" w:ascii="黑体" w:hAnsi="黑体" w:eastAsia="黑体" w:cs="黑体"/>
                <w:i w:val="0"/>
                <w:iCs w:val="0"/>
                <w:color w:val="000000"/>
                <w:sz w:val="18"/>
                <w:szCs w:val="18"/>
                <w:u w:val="none"/>
              </w:rPr>
            </w:pPr>
            <w:r>
              <w:rPr>
                <w:rFonts w:hint="default" w:ascii="黑体" w:hAnsi="黑体" w:eastAsia="黑体" w:cs="黑体"/>
                <w:i w:val="0"/>
                <w:iCs w:val="0"/>
                <w:color w:val="000000"/>
                <w:kern w:val="0"/>
                <w:sz w:val="18"/>
                <w:szCs w:val="18"/>
                <w:u w:val="none"/>
                <w:lang w:val="en-US" w:eastAsia="zh-CN" w:bidi="ar"/>
              </w:rPr>
              <w:t>财务负责人：杨琴琴</w:t>
            </w:r>
          </w:p>
        </w:tc>
      </w:tr>
      <w:tr w14:paraId="1931581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20" w:hRule="atLeast"/>
        </w:trPr>
        <w:tc>
          <w:tcPr>
            <w:tcW w:w="0" w:type="auto"/>
            <w:tcBorders>
              <w:top w:val="nil"/>
              <w:left w:val="nil"/>
              <w:bottom w:val="nil"/>
              <w:right w:val="nil"/>
            </w:tcBorders>
            <w:shd w:val="clear" w:color="auto" w:fill="auto"/>
            <w:vAlign w:val="center"/>
          </w:tcPr>
          <w:p w14:paraId="52D2D9C8">
            <w:pPr>
              <w:rPr>
                <w:rFonts w:hint="eastAsia" w:ascii="宋体" w:hAnsi="宋体" w:eastAsia="宋体" w:cs="宋体"/>
                <w:i w:val="0"/>
                <w:iCs w:val="0"/>
                <w:color w:val="000000"/>
                <w:sz w:val="18"/>
                <w:szCs w:val="18"/>
                <w:u w:val="none"/>
              </w:rPr>
            </w:pPr>
          </w:p>
        </w:tc>
        <w:tc>
          <w:tcPr>
            <w:tcW w:w="0" w:type="auto"/>
            <w:tcBorders>
              <w:top w:val="nil"/>
              <w:left w:val="nil"/>
              <w:bottom w:val="nil"/>
              <w:right w:val="nil"/>
            </w:tcBorders>
            <w:shd w:val="clear" w:color="auto" w:fill="auto"/>
            <w:vAlign w:val="center"/>
          </w:tcPr>
          <w:p w14:paraId="59DDCB24">
            <w:pPr>
              <w:rPr>
                <w:rFonts w:hint="eastAsia" w:ascii="宋体" w:hAnsi="宋体" w:eastAsia="宋体" w:cs="宋体"/>
                <w:i w:val="0"/>
                <w:iCs w:val="0"/>
                <w:color w:val="000000"/>
                <w:sz w:val="18"/>
                <w:szCs w:val="18"/>
                <w:u w:val="none"/>
              </w:rPr>
            </w:pPr>
          </w:p>
        </w:tc>
        <w:tc>
          <w:tcPr>
            <w:tcW w:w="0" w:type="auto"/>
            <w:tcBorders>
              <w:top w:val="nil"/>
              <w:left w:val="nil"/>
              <w:bottom w:val="nil"/>
              <w:right w:val="nil"/>
            </w:tcBorders>
            <w:shd w:val="clear" w:color="auto" w:fill="auto"/>
            <w:vAlign w:val="center"/>
          </w:tcPr>
          <w:p w14:paraId="796C11A9">
            <w:pPr>
              <w:jc w:val="center"/>
              <w:rPr>
                <w:rFonts w:hint="eastAsia" w:ascii="宋体" w:hAnsi="宋体" w:eastAsia="宋体" w:cs="宋体"/>
                <w:i w:val="0"/>
                <w:iCs w:val="0"/>
                <w:color w:val="000000"/>
                <w:sz w:val="18"/>
                <w:szCs w:val="18"/>
                <w:u w:val="none"/>
              </w:rPr>
            </w:pPr>
          </w:p>
        </w:tc>
        <w:tc>
          <w:tcPr>
            <w:tcW w:w="0" w:type="auto"/>
            <w:tcBorders>
              <w:top w:val="nil"/>
              <w:left w:val="nil"/>
              <w:bottom w:val="nil"/>
              <w:right w:val="nil"/>
            </w:tcBorders>
            <w:shd w:val="clear" w:color="auto" w:fill="auto"/>
            <w:vAlign w:val="center"/>
          </w:tcPr>
          <w:p w14:paraId="35D60187">
            <w:pPr>
              <w:jc w:val="center"/>
              <w:rPr>
                <w:rFonts w:hint="eastAsia" w:ascii="宋体" w:hAnsi="宋体" w:eastAsia="宋体" w:cs="宋体"/>
                <w:i w:val="0"/>
                <w:iCs w:val="0"/>
                <w:color w:val="000000"/>
                <w:sz w:val="18"/>
                <w:szCs w:val="18"/>
                <w:u w:val="none"/>
              </w:rPr>
            </w:pPr>
          </w:p>
        </w:tc>
        <w:tc>
          <w:tcPr>
            <w:tcW w:w="0" w:type="auto"/>
            <w:tcBorders>
              <w:top w:val="nil"/>
              <w:left w:val="nil"/>
              <w:bottom w:val="nil"/>
              <w:right w:val="nil"/>
            </w:tcBorders>
            <w:shd w:val="clear" w:color="auto" w:fill="auto"/>
            <w:vAlign w:val="center"/>
          </w:tcPr>
          <w:p w14:paraId="3824906F">
            <w:pPr>
              <w:jc w:val="center"/>
              <w:rPr>
                <w:rFonts w:hint="eastAsia" w:ascii="宋体" w:hAnsi="宋体" w:eastAsia="宋体" w:cs="宋体"/>
                <w:i w:val="0"/>
                <w:iCs w:val="0"/>
                <w:color w:val="000000"/>
                <w:sz w:val="18"/>
                <w:szCs w:val="18"/>
                <w:u w:val="none"/>
              </w:rPr>
            </w:pPr>
          </w:p>
        </w:tc>
        <w:tc>
          <w:tcPr>
            <w:tcW w:w="0" w:type="auto"/>
            <w:tcBorders>
              <w:top w:val="nil"/>
              <w:left w:val="nil"/>
              <w:bottom w:val="nil"/>
              <w:right w:val="nil"/>
            </w:tcBorders>
            <w:shd w:val="clear" w:color="auto" w:fill="auto"/>
            <w:vAlign w:val="center"/>
          </w:tcPr>
          <w:p w14:paraId="491488F3">
            <w:pPr>
              <w:jc w:val="center"/>
              <w:rPr>
                <w:rFonts w:hint="eastAsia" w:ascii="宋体" w:hAnsi="宋体" w:eastAsia="宋体" w:cs="宋体"/>
                <w:i w:val="0"/>
                <w:iCs w:val="0"/>
                <w:color w:val="000000"/>
                <w:sz w:val="18"/>
                <w:szCs w:val="18"/>
                <w:u w:val="none"/>
              </w:rPr>
            </w:pPr>
          </w:p>
        </w:tc>
        <w:tc>
          <w:tcPr>
            <w:tcW w:w="0" w:type="auto"/>
            <w:tcBorders>
              <w:top w:val="nil"/>
              <w:left w:val="nil"/>
              <w:bottom w:val="nil"/>
              <w:right w:val="nil"/>
            </w:tcBorders>
            <w:shd w:val="clear" w:color="auto" w:fill="auto"/>
            <w:vAlign w:val="center"/>
          </w:tcPr>
          <w:p w14:paraId="69B5AB8D">
            <w:pPr>
              <w:jc w:val="center"/>
              <w:rPr>
                <w:rFonts w:hint="eastAsia" w:ascii="宋体" w:hAnsi="宋体" w:eastAsia="宋体" w:cs="宋体"/>
                <w:i w:val="0"/>
                <w:iCs w:val="0"/>
                <w:color w:val="000000"/>
                <w:sz w:val="18"/>
                <w:szCs w:val="18"/>
                <w:u w:val="none"/>
              </w:rPr>
            </w:pPr>
          </w:p>
        </w:tc>
        <w:tc>
          <w:tcPr>
            <w:tcW w:w="0" w:type="auto"/>
            <w:tcBorders>
              <w:top w:val="nil"/>
              <w:left w:val="nil"/>
              <w:bottom w:val="nil"/>
              <w:right w:val="nil"/>
            </w:tcBorders>
            <w:shd w:val="clear" w:color="auto" w:fill="auto"/>
            <w:vAlign w:val="center"/>
          </w:tcPr>
          <w:p w14:paraId="3861B10D">
            <w:pPr>
              <w:jc w:val="center"/>
              <w:rPr>
                <w:rFonts w:hint="eastAsia" w:ascii="宋体" w:hAnsi="宋体" w:eastAsia="宋体" w:cs="宋体"/>
                <w:i w:val="0"/>
                <w:iCs w:val="0"/>
                <w:color w:val="000000"/>
                <w:sz w:val="18"/>
                <w:szCs w:val="18"/>
                <w:u w:val="none"/>
              </w:rPr>
            </w:pPr>
          </w:p>
        </w:tc>
        <w:tc>
          <w:tcPr>
            <w:tcW w:w="0" w:type="auto"/>
            <w:tcBorders>
              <w:top w:val="nil"/>
              <w:left w:val="nil"/>
              <w:bottom w:val="nil"/>
              <w:right w:val="nil"/>
            </w:tcBorders>
            <w:shd w:val="clear" w:color="auto" w:fill="auto"/>
            <w:vAlign w:val="center"/>
          </w:tcPr>
          <w:p w14:paraId="7922EE3C">
            <w:pPr>
              <w:jc w:val="center"/>
              <w:rPr>
                <w:rFonts w:hint="eastAsia" w:ascii="宋体" w:hAnsi="宋体" w:eastAsia="宋体" w:cs="宋体"/>
                <w:i w:val="0"/>
                <w:iCs w:val="0"/>
                <w:color w:val="000000"/>
                <w:sz w:val="18"/>
                <w:szCs w:val="18"/>
                <w:u w:val="none"/>
              </w:rPr>
            </w:pPr>
          </w:p>
        </w:tc>
        <w:tc>
          <w:tcPr>
            <w:tcW w:w="0" w:type="auto"/>
            <w:tcBorders>
              <w:top w:val="nil"/>
              <w:left w:val="nil"/>
              <w:bottom w:val="nil"/>
              <w:right w:val="nil"/>
            </w:tcBorders>
            <w:shd w:val="clear" w:color="auto" w:fill="auto"/>
            <w:vAlign w:val="center"/>
          </w:tcPr>
          <w:p w14:paraId="11697CFD">
            <w:pPr>
              <w:jc w:val="center"/>
              <w:rPr>
                <w:rFonts w:hint="eastAsia" w:ascii="宋体" w:hAnsi="宋体" w:eastAsia="宋体" w:cs="宋体"/>
                <w:i w:val="0"/>
                <w:iCs w:val="0"/>
                <w:color w:val="000000"/>
                <w:sz w:val="18"/>
                <w:szCs w:val="18"/>
                <w:u w:val="none"/>
              </w:rPr>
            </w:pPr>
          </w:p>
        </w:tc>
        <w:tc>
          <w:tcPr>
            <w:tcW w:w="0" w:type="auto"/>
            <w:tcBorders>
              <w:top w:val="nil"/>
              <w:left w:val="nil"/>
              <w:bottom w:val="nil"/>
              <w:right w:val="nil"/>
            </w:tcBorders>
            <w:shd w:val="clear" w:color="auto" w:fill="auto"/>
            <w:vAlign w:val="center"/>
          </w:tcPr>
          <w:p w14:paraId="2C69DDB7">
            <w:pPr>
              <w:rPr>
                <w:rFonts w:hint="eastAsia" w:ascii="宋体" w:hAnsi="宋体" w:eastAsia="宋体" w:cs="宋体"/>
                <w:i w:val="0"/>
                <w:iCs w:val="0"/>
                <w:color w:val="000000"/>
                <w:sz w:val="18"/>
                <w:szCs w:val="18"/>
                <w:u w:val="none"/>
              </w:rPr>
            </w:pPr>
          </w:p>
        </w:tc>
      </w:tr>
      <w:tr w14:paraId="4524917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220" w:hRule="atLeast"/>
        </w:trPr>
        <w:tc>
          <w:tcPr>
            <w:tcW w:w="0" w:type="auto"/>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2BEEBB8D">
            <w:pPr>
              <w:keepNext w:val="0"/>
              <w:keepLines w:val="0"/>
              <w:widowControl/>
              <w:suppressLineNumbers w:val="0"/>
              <w:jc w:val="center"/>
              <w:textAlignment w:val="center"/>
              <w:rPr>
                <w:rFonts w:hint="eastAsia"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部门预算项目支出绩效自评表（2024年度）</w:t>
            </w:r>
          </w:p>
        </w:tc>
      </w:tr>
      <w:tr w14:paraId="72C9BAE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trPr>
        <w:tc>
          <w:tcPr>
            <w:tcW w:w="0" w:type="auto"/>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2D66267">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0" w:type="auto"/>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0A810E2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51320022T000004704366-养老服务及儿童福利（未成年人）专项经费</w:t>
            </w:r>
          </w:p>
        </w:tc>
      </w:tr>
      <w:tr w14:paraId="0240D34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2" w:hRule="atLeast"/>
        </w:trPr>
        <w:tc>
          <w:tcPr>
            <w:tcW w:w="0" w:type="auto"/>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87B0623">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0" w:type="auto"/>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864D6A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州民政局部门</w:t>
            </w:r>
          </w:p>
        </w:tc>
        <w:tc>
          <w:tcPr>
            <w:tcW w:w="0" w:type="auto"/>
            <w:tcBorders>
              <w:top w:val="nil"/>
              <w:left w:val="nil"/>
              <w:bottom w:val="nil"/>
              <w:right w:val="nil"/>
            </w:tcBorders>
            <w:shd w:val="clear" w:color="auto" w:fill="auto"/>
            <w:vAlign w:val="center"/>
          </w:tcPr>
          <w:p w14:paraId="3E6AC22E">
            <w:pPr>
              <w:keepNext w:val="0"/>
              <w:keepLines w:val="0"/>
              <w:widowControl/>
              <w:suppressLineNumbers w:val="0"/>
              <w:jc w:val="center"/>
              <w:textAlignment w:val="center"/>
              <w:rPr>
                <w:rFonts w:hint="default" w:ascii="黑体" w:hAnsi="黑体" w:eastAsia="黑体" w:cs="黑体"/>
                <w:i w:val="0"/>
                <w:iCs w:val="0"/>
                <w:color w:val="000000"/>
                <w:sz w:val="18"/>
                <w:szCs w:val="18"/>
                <w:u w:val="none"/>
              </w:rPr>
            </w:pPr>
            <w:r>
              <w:rPr>
                <w:rFonts w:hint="default" w:ascii="黑体" w:hAnsi="黑体" w:eastAsia="黑体" w:cs="黑体"/>
                <w:i w:val="0"/>
                <w:iCs w:val="0"/>
                <w:color w:val="000000"/>
                <w:kern w:val="0"/>
                <w:sz w:val="18"/>
                <w:szCs w:val="18"/>
                <w:u w:val="none"/>
                <w:lang w:val="en-US" w:eastAsia="zh-CN" w:bidi="ar"/>
              </w:rPr>
              <w:t>实施单位 （盖章）</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1E19A4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州民政局</w:t>
            </w:r>
          </w:p>
        </w:tc>
      </w:tr>
      <w:tr w14:paraId="466B054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trPr>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66C9145">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FBBD72F">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0" w:type="auto"/>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88A5EE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0" w:type="auto"/>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3F57D0DA">
            <w:pPr>
              <w:keepNext w:val="0"/>
              <w:keepLines w:val="0"/>
              <w:widowControl/>
              <w:suppressLineNumbers w:val="0"/>
              <w:jc w:val="center"/>
              <w:textAlignment w:val="center"/>
              <w:rPr>
                <w:rFonts w:hint="default" w:ascii="黑体" w:hAnsi="黑体" w:eastAsia="黑体" w:cs="黑体"/>
                <w:i w:val="0"/>
                <w:iCs w:val="0"/>
                <w:color w:val="000000"/>
                <w:sz w:val="18"/>
                <w:szCs w:val="18"/>
                <w:u w:val="none"/>
              </w:rPr>
            </w:pPr>
            <w:r>
              <w:rPr>
                <w:rFonts w:hint="default" w:ascii="黑体" w:hAnsi="黑体" w:eastAsia="黑体" w:cs="黑体"/>
                <w:i w:val="0"/>
                <w:iCs w:val="0"/>
                <w:color w:val="000000"/>
                <w:kern w:val="0"/>
                <w:sz w:val="18"/>
                <w:szCs w:val="18"/>
                <w:u w:val="none"/>
                <w:lang w:val="en-US" w:eastAsia="zh-CN" w:bidi="ar"/>
              </w:rPr>
              <w:t>年度目标完成情况</w:t>
            </w:r>
          </w:p>
        </w:tc>
      </w:tr>
      <w:tr w14:paraId="18905DE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4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6E65F22">
            <w:pPr>
              <w:rPr>
                <w:rFonts w:hint="eastAsia" w:ascii="宋体" w:hAnsi="宋体" w:eastAsia="宋体" w:cs="宋体"/>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3F764EE">
            <w:pPr>
              <w:rPr>
                <w:rFonts w:hint="eastAsia" w:ascii="宋体" w:hAnsi="宋体" w:eastAsia="宋体" w:cs="宋体"/>
                <w:i w:val="0"/>
                <w:iCs w:val="0"/>
                <w:color w:val="000000"/>
                <w:sz w:val="18"/>
                <w:szCs w:val="18"/>
                <w:u w:val="none"/>
              </w:rPr>
            </w:pPr>
          </w:p>
        </w:tc>
        <w:tc>
          <w:tcPr>
            <w:tcW w:w="0" w:type="auto"/>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8A19C9A">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 xml:space="preserve">  1、根据《</w:t>
            </w:r>
            <w:bookmarkStart w:id="79" w:name="_GoBack"/>
            <w:bookmarkEnd w:id="79"/>
            <w:r>
              <w:rPr>
                <w:rFonts w:ascii="宋体" w:hAnsi="宋体" w:eastAsia="宋体" w:cs="宋体"/>
                <w:i w:val="0"/>
                <w:iCs w:val="0"/>
                <w:color w:val="000000"/>
                <w:kern w:val="0"/>
                <w:sz w:val="18"/>
                <w:szCs w:val="18"/>
                <w:u w:val="none"/>
                <w:lang w:val="en-US" w:eastAsia="zh-CN" w:bidi="ar"/>
              </w:rPr>
              <w:t>中华人民共和国未成年人保护法》《阿坝州未成年人保护工作领导小组工作规则》、“县级以上人民政府应当将未成年人保护工作纳入国民经济和社会发展规划，相关经费纳入本级政府预算”，“领导小组办公室具体工作经费由州民政局承担，纳入州民政局部门预算”等规定，为顺利开展2024年度未成年人保护各项活动、宣传、培训等工作，拟申报经费15万元。                                                                                                                                          2、阿坝州人民政府议事纪要议定，按照（阿府函〔2007〕33号）《阿坝州人民政府关于增加州县老龄事业经费的批复》和（阿州财社〔2002〕43号）《关于提高老龄工作经费的通知》的精神，根据民政部门职能调整，原老龄办相关老龄工作由民政部门实施，结合我州实际，进一步加大对养老事业的发展，为开展养老服务工作提供保障。全州60岁以上老年总人口数计算，每人每年1元的标准纳入州财政预算。2023年养老服务工作经费14万元</w:t>
            </w:r>
          </w:p>
        </w:tc>
        <w:tc>
          <w:tcPr>
            <w:tcW w:w="0" w:type="auto"/>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57920CFC">
            <w:pPr>
              <w:keepNext w:val="0"/>
              <w:keepLines w:val="0"/>
              <w:widowControl/>
              <w:suppressLineNumbers w:val="0"/>
              <w:jc w:val="center"/>
              <w:textAlignment w:val="center"/>
              <w:rPr>
                <w:rFonts w:hint="default" w:ascii="黑体" w:hAnsi="黑体" w:eastAsia="黑体" w:cs="黑体"/>
                <w:i w:val="0"/>
                <w:iCs w:val="0"/>
                <w:color w:val="000000"/>
                <w:sz w:val="18"/>
                <w:szCs w:val="18"/>
                <w:u w:val="none"/>
              </w:rPr>
            </w:pPr>
            <w:r>
              <w:rPr>
                <w:rFonts w:hint="default" w:ascii="黑体" w:hAnsi="黑体" w:eastAsia="黑体" w:cs="黑体"/>
                <w:i w:val="0"/>
                <w:iCs w:val="0"/>
                <w:color w:val="000000"/>
                <w:kern w:val="0"/>
                <w:sz w:val="18"/>
                <w:szCs w:val="18"/>
                <w:u w:val="none"/>
                <w:lang w:val="en-US" w:eastAsia="zh-CN" w:bidi="ar"/>
              </w:rPr>
              <w:t>顺利开展了2024年度未成年人保护各项活动、宣传、培训等工作，并对进一步加大对养老事业的发展，开展养老服务工作提供了保障。</w:t>
            </w:r>
          </w:p>
        </w:tc>
      </w:tr>
      <w:tr w14:paraId="0719C45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222AA07">
            <w:pP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6AECBDE">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0" w:type="auto"/>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185F12E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按时完成了未成年人保护和养老事业发展保障的各项工作。</w:t>
            </w:r>
          </w:p>
        </w:tc>
      </w:tr>
      <w:tr w14:paraId="29B07A5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0" w:hRule="atLeast"/>
        </w:trPr>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A30647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03521B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8E69C0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784181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4EBB18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C4E790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F3D2C2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F6A4CC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A79C44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14:paraId="38B978A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EB6097A">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DD065E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8EC6EC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0FCB45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DE2BF2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12D9C1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125DC8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6AF920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FC28D6C">
            <w:pPr>
              <w:keepNext w:val="0"/>
              <w:keepLines w:val="0"/>
              <w:widowControl/>
              <w:suppressLineNumbers w:val="0"/>
              <w:jc w:val="left"/>
              <w:textAlignment w:val="center"/>
              <w:rPr>
                <w:rFonts w:hint="default" w:ascii="黑体" w:hAnsi="黑体" w:eastAsia="黑体" w:cs="黑体"/>
                <w:i/>
                <w:iCs/>
                <w:color w:val="000000"/>
                <w:sz w:val="18"/>
                <w:szCs w:val="18"/>
                <w:u w:val="none"/>
              </w:rPr>
            </w:pPr>
            <w:r>
              <w:rPr>
                <w:rFonts w:hint="default" w:ascii="黑体" w:hAnsi="黑体" w:eastAsia="黑体" w:cs="黑体"/>
                <w:i/>
                <w:iCs/>
                <w:color w:val="000000"/>
                <w:kern w:val="0"/>
                <w:sz w:val="18"/>
                <w:szCs w:val="18"/>
                <w:u w:val="none"/>
                <w:lang w:val="en-US" w:eastAsia="zh-CN" w:bidi="ar"/>
              </w:rPr>
              <w:t>该项目预算执行率高于90%，无预算调整。</w:t>
            </w:r>
          </w:p>
        </w:tc>
      </w:tr>
      <w:tr w14:paraId="25483C8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06495AE">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0FDAE2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5F72B9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237547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CE38CF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FFDBC8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831D73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AE918D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C3E604B">
            <w:pPr>
              <w:rPr>
                <w:rFonts w:hint="default" w:ascii="黑体" w:hAnsi="黑体" w:eastAsia="黑体" w:cs="黑体"/>
                <w:i/>
                <w:iCs/>
                <w:color w:val="000000"/>
                <w:sz w:val="18"/>
                <w:szCs w:val="18"/>
                <w:u w:val="none"/>
              </w:rPr>
            </w:pPr>
          </w:p>
        </w:tc>
      </w:tr>
      <w:tr w14:paraId="766FEE0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3838F75">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FA1656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5CCC13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F7B023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451913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74D586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999D01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B4D0BF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A6FC922">
            <w:pPr>
              <w:rPr>
                <w:rFonts w:hint="default" w:ascii="黑体" w:hAnsi="黑体" w:eastAsia="黑体" w:cs="黑体"/>
                <w:i/>
                <w:iCs/>
                <w:color w:val="000000"/>
                <w:sz w:val="18"/>
                <w:szCs w:val="18"/>
                <w:u w:val="none"/>
              </w:rPr>
            </w:pPr>
          </w:p>
        </w:tc>
      </w:tr>
      <w:tr w14:paraId="7E44EE9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FDF56A2">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989474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BD1C2C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6CACD0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450CB4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864419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55471F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810842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5186FFA">
            <w:pPr>
              <w:rPr>
                <w:rFonts w:hint="default" w:ascii="黑体" w:hAnsi="黑体" w:eastAsia="黑体" w:cs="黑体"/>
                <w:i/>
                <w:iCs/>
                <w:color w:val="000000"/>
                <w:sz w:val="18"/>
                <w:szCs w:val="18"/>
                <w:u w:val="none"/>
              </w:rPr>
            </w:pPr>
          </w:p>
        </w:tc>
      </w:tr>
      <w:tr w14:paraId="7833008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226072A">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8FA9BC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392C420">
            <w:pPr>
              <w:jc w:val="center"/>
              <w:rPr>
                <w:rFonts w:hint="default" w:ascii="微软雅黑" w:hAnsi="微软雅黑" w:eastAsia="微软雅黑" w:cs="微软雅黑"/>
                <w:i/>
                <w:iCs/>
                <w:color w:val="000000"/>
                <w:sz w:val="16"/>
                <w:szCs w:val="16"/>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3F02E9F">
            <w:pPr>
              <w:jc w:val="center"/>
              <w:rPr>
                <w:rFonts w:hint="default" w:ascii="微软雅黑" w:hAnsi="微软雅黑" w:eastAsia="微软雅黑" w:cs="微软雅黑"/>
                <w:i/>
                <w:iCs/>
                <w:color w:val="000000"/>
                <w:sz w:val="16"/>
                <w:szCs w:val="16"/>
                <w:u w:val="none"/>
              </w:rPr>
            </w:pP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1F54112">
            <w:pPr>
              <w:jc w:val="center"/>
              <w:rPr>
                <w:rFonts w:hint="default" w:ascii="微软雅黑" w:hAnsi="微软雅黑" w:eastAsia="微软雅黑" w:cs="微软雅黑"/>
                <w:i/>
                <w:iCs/>
                <w:color w:val="000000"/>
                <w:sz w:val="16"/>
                <w:szCs w:val="16"/>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B6C12A1">
            <w:pPr>
              <w:jc w:val="center"/>
              <w:rPr>
                <w:rFonts w:hint="default" w:ascii="微软雅黑" w:hAnsi="微软雅黑" w:eastAsia="微软雅黑" w:cs="微软雅黑"/>
                <w:i/>
                <w:iCs/>
                <w:color w:val="000000"/>
                <w:sz w:val="16"/>
                <w:szCs w:val="16"/>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D9285E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675F42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54EA4CA">
            <w:pPr>
              <w:rPr>
                <w:rFonts w:hint="default" w:ascii="黑体" w:hAnsi="黑体" w:eastAsia="黑体" w:cs="黑体"/>
                <w:i/>
                <w:iCs/>
                <w:color w:val="000000"/>
                <w:sz w:val="18"/>
                <w:szCs w:val="18"/>
                <w:u w:val="none"/>
              </w:rPr>
            </w:pPr>
          </w:p>
        </w:tc>
      </w:tr>
      <w:tr w14:paraId="5C9CDBC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0" w:hRule="atLeast"/>
        </w:trPr>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46F329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E3E2C2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CEF55F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05C2DF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7A50C1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49EEFD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DDAA04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B49385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775A10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B53B50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F13C9F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14:paraId="35A87AC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202EE60">
            <w:pPr>
              <w:jc w:val="center"/>
              <w:rPr>
                <w:rFonts w:hint="eastAsia" w:ascii="宋体" w:hAnsi="宋体" w:eastAsia="宋体" w:cs="宋体"/>
                <w:i w:val="0"/>
                <w:iCs w:val="0"/>
                <w:color w:val="000000"/>
                <w:sz w:val="18"/>
                <w:szCs w:val="18"/>
                <w:u w:val="none"/>
              </w:rPr>
            </w:pP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1630B4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4FF6AD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AEC39E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相关工作完成率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847826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A2ACAE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DA7BBF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30FEBBD">
            <w:pPr>
              <w:keepNext w:val="0"/>
              <w:keepLines w:val="0"/>
              <w:widowControl/>
              <w:suppressLineNumbers w:val="0"/>
              <w:jc w:val="center"/>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100%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8C9E0A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629D38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E61078C">
            <w:pPr>
              <w:jc w:val="center"/>
              <w:rPr>
                <w:rFonts w:hint="default" w:ascii="微软雅黑" w:hAnsi="微软雅黑" w:eastAsia="微软雅黑" w:cs="微软雅黑"/>
                <w:i/>
                <w:iCs/>
                <w:color w:val="000000"/>
                <w:sz w:val="16"/>
                <w:szCs w:val="16"/>
                <w:u w:val="none"/>
              </w:rPr>
            </w:pPr>
          </w:p>
        </w:tc>
      </w:tr>
      <w:tr w14:paraId="1C7140E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7FD0D8F">
            <w:pPr>
              <w:jc w:val="center"/>
              <w:rPr>
                <w:rFonts w:hint="eastAsia" w:ascii="宋体" w:hAnsi="宋体" w:eastAsia="宋体" w:cs="宋体"/>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ABE5760">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A4DFED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质量指标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1B1F05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各项工作合格率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05274A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4A029D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C0A4B0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230C1AF">
            <w:pPr>
              <w:keepNext w:val="0"/>
              <w:keepLines w:val="0"/>
              <w:widowControl/>
              <w:suppressLineNumbers w:val="0"/>
              <w:jc w:val="center"/>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100%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F0A809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199EB7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1ACCCF5">
            <w:pPr>
              <w:jc w:val="center"/>
              <w:rPr>
                <w:rFonts w:hint="default" w:ascii="微软雅黑" w:hAnsi="微软雅黑" w:eastAsia="微软雅黑" w:cs="微软雅黑"/>
                <w:i/>
                <w:iCs/>
                <w:color w:val="000000"/>
                <w:sz w:val="16"/>
                <w:szCs w:val="16"/>
                <w:u w:val="none"/>
              </w:rPr>
            </w:pPr>
          </w:p>
        </w:tc>
      </w:tr>
      <w:tr w14:paraId="16B4167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92AF30B">
            <w:pPr>
              <w:jc w:val="center"/>
              <w:rPr>
                <w:rFonts w:hint="eastAsia" w:ascii="宋体" w:hAnsi="宋体" w:eastAsia="宋体" w:cs="宋体"/>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9C0CF50">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AF3112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时效指标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CBCFCB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2024年12月31日前完成</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16544D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定性</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01A45B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5F632D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EE3E039">
            <w:pPr>
              <w:keepNext w:val="0"/>
              <w:keepLines w:val="0"/>
              <w:widowControl/>
              <w:suppressLineNumbers w:val="0"/>
              <w:jc w:val="center"/>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100%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2254F5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153DE4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713E575">
            <w:pPr>
              <w:jc w:val="center"/>
              <w:rPr>
                <w:rFonts w:hint="default" w:ascii="微软雅黑" w:hAnsi="微软雅黑" w:eastAsia="微软雅黑" w:cs="微软雅黑"/>
                <w:i/>
                <w:iCs/>
                <w:color w:val="000000"/>
                <w:sz w:val="16"/>
                <w:szCs w:val="16"/>
                <w:u w:val="none"/>
              </w:rPr>
            </w:pPr>
          </w:p>
        </w:tc>
      </w:tr>
      <w:tr w14:paraId="2899AE2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F51E609">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AB7783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1CE238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3BC940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提升养老及儿童工作效果</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EB3EAD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定性</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62D70A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明显</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53673B8">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DFACEAA">
            <w:pPr>
              <w:keepNext w:val="0"/>
              <w:keepLines w:val="0"/>
              <w:widowControl/>
              <w:suppressLineNumbers w:val="0"/>
              <w:jc w:val="center"/>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100%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8A6586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01A1ED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AE9990B">
            <w:pPr>
              <w:jc w:val="center"/>
              <w:rPr>
                <w:rFonts w:hint="default" w:ascii="微软雅黑" w:hAnsi="微软雅黑" w:eastAsia="微软雅黑" w:cs="微软雅黑"/>
                <w:i/>
                <w:iCs/>
                <w:color w:val="000000"/>
                <w:sz w:val="16"/>
                <w:szCs w:val="16"/>
                <w:u w:val="none"/>
              </w:rPr>
            </w:pPr>
          </w:p>
        </w:tc>
      </w:tr>
      <w:tr w14:paraId="1EE5C1D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EEAF582">
            <w:pPr>
              <w:jc w:val="center"/>
              <w:rPr>
                <w:rFonts w:hint="eastAsia" w:ascii="宋体" w:hAnsi="宋体" w:eastAsia="宋体" w:cs="宋体"/>
                <w:i w:val="0"/>
                <w:iCs w:val="0"/>
                <w:color w:val="000000"/>
                <w:sz w:val="18"/>
                <w:szCs w:val="18"/>
                <w:u w:val="none"/>
              </w:rPr>
            </w:pP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937E20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B86026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服务对象满意度指标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D1E058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工作人员满意度</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6D4F68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FCCF67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5B4E0E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0412F5F">
            <w:pPr>
              <w:keepNext w:val="0"/>
              <w:keepLines w:val="0"/>
              <w:widowControl/>
              <w:suppressLineNumbers w:val="0"/>
              <w:jc w:val="center"/>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90%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345403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EF59CC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49B394F">
            <w:pPr>
              <w:jc w:val="center"/>
              <w:rPr>
                <w:rFonts w:hint="default" w:ascii="微软雅黑" w:hAnsi="微软雅黑" w:eastAsia="微软雅黑" w:cs="微软雅黑"/>
                <w:i/>
                <w:iCs/>
                <w:color w:val="000000"/>
                <w:sz w:val="16"/>
                <w:szCs w:val="16"/>
                <w:u w:val="none"/>
              </w:rPr>
            </w:pPr>
          </w:p>
        </w:tc>
      </w:tr>
      <w:tr w14:paraId="14B9222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7226BD4">
            <w:pPr>
              <w:jc w:val="center"/>
              <w:rPr>
                <w:rFonts w:hint="eastAsia" w:ascii="宋体" w:hAnsi="宋体" w:eastAsia="宋体" w:cs="宋体"/>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908C226">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4E38FE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6B4718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救助养老满意度</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F2E1DF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C3403D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068767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77D0C65">
            <w:pPr>
              <w:keepNext w:val="0"/>
              <w:keepLines w:val="0"/>
              <w:widowControl/>
              <w:suppressLineNumbers w:val="0"/>
              <w:jc w:val="center"/>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98%</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6BF89C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10CBDA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B479B7D">
            <w:pPr>
              <w:jc w:val="center"/>
              <w:rPr>
                <w:rFonts w:hint="default" w:ascii="微软雅黑" w:hAnsi="微软雅黑" w:eastAsia="微软雅黑" w:cs="微软雅黑"/>
                <w:i/>
                <w:iCs/>
                <w:color w:val="000000"/>
                <w:sz w:val="16"/>
                <w:szCs w:val="16"/>
                <w:u w:val="none"/>
              </w:rPr>
            </w:pPr>
          </w:p>
        </w:tc>
      </w:tr>
      <w:tr w14:paraId="777B9D2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AC19CA4">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5543F8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成本指标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EA4C23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社会成本指标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4FFD03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降低行政运行成本</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4566BC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定性</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1D3B2A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95</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9C77D76">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3F28CD2">
            <w:pPr>
              <w:keepNext w:val="0"/>
              <w:keepLines w:val="0"/>
              <w:widowControl/>
              <w:suppressLineNumbers w:val="0"/>
              <w:jc w:val="center"/>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100%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495420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0785AE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3248AAC">
            <w:pPr>
              <w:jc w:val="center"/>
              <w:rPr>
                <w:rFonts w:hint="default" w:ascii="微软雅黑" w:hAnsi="微软雅黑" w:eastAsia="微软雅黑" w:cs="微软雅黑"/>
                <w:i/>
                <w:iCs/>
                <w:color w:val="000000"/>
                <w:sz w:val="16"/>
                <w:szCs w:val="16"/>
                <w:u w:val="none"/>
              </w:rPr>
            </w:pPr>
          </w:p>
        </w:tc>
      </w:tr>
      <w:tr w14:paraId="461FC5A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0" w:hRule="atLeast"/>
        </w:trPr>
        <w:tc>
          <w:tcPr>
            <w:tcW w:w="0" w:type="auto"/>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5C5E172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625ADC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CC5EE4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99</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5698FD0">
            <w:pPr>
              <w:rPr>
                <w:rFonts w:hint="eastAsia" w:ascii="宋体" w:hAnsi="宋体" w:eastAsia="宋体" w:cs="宋体"/>
                <w:i w:val="0"/>
                <w:iCs w:val="0"/>
                <w:color w:val="000000"/>
                <w:sz w:val="18"/>
                <w:szCs w:val="18"/>
                <w:u w:val="none"/>
              </w:rPr>
            </w:pPr>
          </w:p>
        </w:tc>
      </w:tr>
      <w:tr w14:paraId="0BD86F1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E0DF0C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0" w:type="auto"/>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235AA0AE">
            <w:pPr>
              <w:keepNext w:val="0"/>
              <w:keepLines w:val="0"/>
              <w:widowControl/>
              <w:suppressLineNumbers w:val="0"/>
              <w:jc w:val="left"/>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顺利开展了2024年度未成年人保护各项活动、宣传、培训等工作，并对进一步加大对养老事业的发展，开展养老服务工作提供了保障。</w:t>
            </w:r>
          </w:p>
        </w:tc>
      </w:tr>
      <w:tr w14:paraId="321C1B3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7C58BC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0" w:type="auto"/>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75B7F36C">
            <w:pPr>
              <w:keepNext w:val="0"/>
              <w:keepLines w:val="0"/>
              <w:widowControl/>
              <w:suppressLineNumbers w:val="0"/>
              <w:jc w:val="left"/>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无</w:t>
            </w:r>
          </w:p>
        </w:tc>
      </w:tr>
      <w:tr w14:paraId="42BF7D2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D37611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0" w:type="auto"/>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57175B45">
            <w:pPr>
              <w:keepNext w:val="0"/>
              <w:keepLines w:val="0"/>
              <w:widowControl/>
              <w:suppressLineNumbers w:val="0"/>
              <w:jc w:val="left"/>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无</w:t>
            </w:r>
          </w:p>
        </w:tc>
      </w:tr>
      <w:tr w14:paraId="66F8F95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0" w:hRule="atLeast"/>
        </w:trPr>
        <w:tc>
          <w:tcPr>
            <w:tcW w:w="0" w:type="auto"/>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68C68A2">
            <w:pPr>
              <w:keepNext w:val="0"/>
              <w:keepLines w:val="0"/>
              <w:widowControl/>
              <w:suppressLineNumbers w:val="0"/>
              <w:jc w:val="left"/>
              <w:textAlignment w:val="center"/>
              <w:rPr>
                <w:rFonts w:hint="default" w:ascii="黑体" w:hAnsi="黑体" w:eastAsia="黑体" w:cs="黑体"/>
                <w:i w:val="0"/>
                <w:iCs w:val="0"/>
                <w:color w:val="000000"/>
                <w:sz w:val="18"/>
                <w:szCs w:val="18"/>
                <w:u w:val="none"/>
              </w:rPr>
            </w:pPr>
            <w:r>
              <w:rPr>
                <w:rFonts w:hint="default" w:ascii="黑体" w:hAnsi="黑体" w:eastAsia="黑体" w:cs="黑体"/>
                <w:i w:val="0"/>
                <w:iCs w:val="0"/>
                <w:color w:val="000000"/>
                <w:kern w:val="0"/>
                <w:sz w:val="18"/>
                <w:szCs w:val="18"/>
                <w:u w:val="none"/>
                <w:lang w:val="en-US" w:eastAsia="zh-CN" w:bidi="ar"/>
              </w:rPr>
              <w:t>项目负责人：彭闰、刘胜寒</w:t>
            </w:r>
          </w:p>
        </w:tc>
        <w:tc>
          <w:tcPr>
            <w:tcW w:w="0" w:type="auto"/>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4F5B57F6">
            <w:pPr>
              <w:keepNext w:val="0"/>
              <w:keepLines w:val="0"/>
              <w:widowControl/>
              <w:suppressLineNumbers w:val="0"/>
              <w:jc w:val="center"/>
              <w:textAlignment w:val="center"/>
              <w:rPr>
                <w:rFonts w:hint="default" w:ascii="黑体" w:hAnsi="黑体" w:eastAsia="黑体" w:cs="黑体"/>
                <w:i w:val="0"/>
                <w:iCs w:val="0"/>
                <w:color w:val="000000"/>
                <w:sz w:val="18"/>
                <w:szCs w:val="18"/>
                <w:u w:val="none"/>
              </w:rPr>
            </w:pPr>
            <w:r>
              <w:rPr>
                <w:rFonts w:hint="default" w:ascii="黑体" w:hAnsi="黑体" w:eastAsia="黑体" w:cs="黑体"/>
                <w:i w:val="0"/>
                <w:iCs w:val="0"/>
                <w:color w:val="000000"/>
                <w:kern w:val="0"/>
                <w:sz w:val="18"/>
                <w:szCs w:val="18"/>
                <w:u w:val="none"/>
                <w:lang w:val="en-US" w:eastAsia="zh-CN" w:bidi="ar"/>
              </w:rPr>
              <w:t>财务负责人：杨琴琴</w:t>
            </w:r>
          </w:p>
        </w:tc>
      </w:tr>
      <w:tr w14:paraId="5FB345E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80" w:hRule="atLeast"/>
        </w:trPr>
        <w:tc>
          <w:tcPr>
            <w:tcW w:w="0" w:type="auto"/>
            <w:tcBorders>
              <w:top w:val="nil"/>
              <w:left w:val="nil"/>
              <w:bottom w:val="nil"/>
              <w:right w:val="nil"/>
            </w:tcBorders>
            <w:shd w:val="clear" w:color="auto" w:fill="auto"/>
            <w:vAlign w:val="center"/>
          </w:tcPr>
          <w:p w14:paraId="7076D015">
            <w:pPr>
              <w:rPr>
                <w:rFonts w:hint="eastAsia" w:ascii="宋体" w:hAnsi="宋体" w:eastAsia="宋体" w:cs="宋体"/>
                <w:i w:val="0"/>
                <w:iCs w:val="0"/>
                <w:color w:val="000000"/>
                <w:sz w:val="18"/>
                <w:szCs w:val="18"/>
                <w:u w:val="none"/>
              </w:rPr>
            </w:pPr>
          </w:p>
        </w:tc>
        <w:tc>
          <w:tcPr>
            <w:tcW w:w="0" w:type="auto"/>
            <w:tcBorders>
              <w:top w:val="nil"/>
              <w:left w:val="nil"/>
              <w:bottom w:val="nil"/>
              <w:right w:val="nil"/>
            </w:tcBorders>
            <w:shd w:val="clear" w:color="auto" w:fill="auto"/>
            <w:vAlign w:val="center"/>
          </w:tcPr>
          <w:p w14:paraId="080393BE">
            <w:pPr>
              <w:rPr>
                <w:rFonts w:hint="eastAsia" w:ascii="宋体" w:hAnsi="宋体" w:eastAsia="宋体" w:cs="宋体"/>
                <w:i w:val="0"/>
                <w:iCs w:val="0"/>
                <w:color w:val="000000"/>
                <w:sz w:val="18"/>
                <w:szCs w:val="18"/>
                <w:u w:val="none"/>
              </w:rPr>
            </w:pPr>
          </w:p>
        </w:tc>
        <w:tc>
          <w:tcPr>
            <w:tcW w:w="0" w:type="auto"/>
            <w:tcBorders>
              <w:top w:val="nil"/>
              <w:left w:val="nil"/>
              <w:bottom w:val="nil"/>
              <w:right w:val="nil"/>
            </w:tcBorders>
            <w:shd w:val="clear" w:color="auto" w:fill="auto"/>
            <w:vAlign w:val="center"/>
          </w:tcPr>
          <w:p w14:paraId="56169AC1">
            <w:pPr>
              <w:jc w:val="center"/>
              <w:rPr>
                <w:rFonts w:hint="eastAsia" w:ascii="宋体" w:hAnsi="宋体" w:eastAsia="宋体" w:cs="宋体"/>
                <w:i w:val="0"/>
                <w:iCs w:val="0"/>
                <w:color w:val="000000"/>
                <w:sz w:val="18"/>
                <w:szCs w:val="18"/>
                <w:u w:val="none"/>
              </w:rPr>
            </w:pPr>
          </w:p>
        </w:tc>
        <w:tc>
          <w:tcPr>
            <w:tcW w:w="0" w:type="auto"/>
            <w:tcBorders>
              <w:top w:val="nil"/>
              <w:left w:val="nil"/>
              <w:bottom w:val="nil"/>
              <w:right w:val="nil"/>
            </w:tcBorders>
            <w:shd w:val="clear" w:color="auto" w:fill="auto"/>
            <w:vAlign w:val="center"/>
          </w:tcPr>
          <w:p w14:paraId="57A2247C">
            <w:pPr>
              <w:jc w:val="center"/>
              <w:rPr>
                <w:rFonts w:hint="eastAsia" w:ascii="宋体" w:hAnsi="宋体" w:eastAsia="宋体" w:cs="宋体"/>
                <w:i w:val="0"/>
                <w:iCs w:val="0"/>
                <w:color w:val="000000"/>
                <w:sz w:val="18"/>
                <w:szCs w:val="18"/>
                <w:u w:val="none"/>
              </w:rPr>
            </w:pPr>
          </w:p>
        </w:tc>
        <w:tc>
          <w:tcPr>
            <w:tcW w:w="0" w:type="auto"/>
            <w:tcBorders>
              <w:top w:val="nil"/>
              <w:left w:val="nil"/>
              <w:bottom w:val="nil"/>
              <w:right w:val="nil"/>
            </w:tcBorders>
            <w:shd w:val="clear" w:color="auto" w:fill="auto"/>
            <w:vAlign w:val="center"/>
          </w:tcPr>
          <w:p w14:paraId="20C500AC">
            <w:pPr>
              <w:jc w:val="center"/>
              <w:rPr>
                <w:rFonts w:hint="eastAsia" w:ascii="宋体" w:hAnsi="宋体" w:eastAsia="宋体" w:cs="宋体"/>
                <w:i w:val="0"/>
                <w:iCs w:val="0"/>
                <w:color w:val="000000"/>
                <w:sz w:val="18"/>
                <w:szCs w:val="18"/>
                <w:u w:val="none"/>
              </w:rPr>
            </w:pPr>
          </w:p>
        </w:tc>
        <w:tc>
          <w:tcPr>
            <w:tcW w:w="0" w:type="auto"/>
            <w:tcBorders>
              <w:top w:val="nil"/>
              <w:left w:val="nil"/>
              <w:bottom w:val="nil"/>
              <w:right w:val="nil"/>
            </w:tcBorders>
            <w:shd w:val="clear" w:color="auto" w:fill="auto"/>
            <w:vAlign w:val="center"/>
          </w:tcPr>
          <w:p w14:paraId="4FB070C0">
            <w:pPr>
              <w:jc w:val="center"/>
              <w:rPr>
                <w:rFonts w:hint="eastAsia" w:ascii="宋体" w:hAnsi="宋体" w:eastAsia="宋体" w:cs="宋体"/>
                <w:i w:val="0"/>
                <w:iCs w:val="0"/>
                <w:color w:val="000000"/>
                <w:sz w:val="18"/>
                <w:szCs w:val="18"/>
                <w:u w:val="none"/>
              </w:rPr>
            </w:pPr>
          </w:p>
        </w:tc>
        <w:tc>
          <w:tcPr>
            <w:tcW w:w="0" w:type="auto"/>
            <w:tcBorders>
              <w:top w:val="nil"/>
              <w:left w:val="nil"/>
              <w:bottom w:val="nil"/>
              <w:right w:val="nil"/>
            </w:tcBorders>
            <w:shd w:val="clear" w:color="auto" w:fill="auto"/>
            <w:vAlign w:val="center"/>
          </w:tcPr>
          <w:p w14:paraId="3A33D4AB">
            <w:pPr>
              <w:jc w:val="center"/>
              <w:rPr>
                <w:rFonts w:hint="eastAsia" w:ascii="宋体" w:hAnsi="宋体" w:eastAsia="宋体" w:cs="宋体"/>
                <w:i w:val="0"/>
                <w:iCs w:val="0"/>
                <w:color w:val="000000"/>
                <w:sz w:val="18"/>
                <w:szCs w:val="18"/>
                <w:u w:val="none"/>
              </w:rPr>
            </w:pPr>
          </w:p>
        </w:tc>
        <w:tc>
          <w:tcPr>
            <w:tcW w:w="0" w:type="auto"/>
            <w:tcBorders>
              <w:top w:val="nil"/>
              <w:left w:val="nil"/>
              <w:bottom w:val="nil"/>
              <w:right w:val="nil"/>
            </w:tcBorders>
            <w:shd w:val="clear" w:color="auto" w:fill="auto"/>
            <w:vAlign w:val="center"/>
          </w:tcPr>
          <w:p w14:paraId="00319594">
            <w:pPr>
              <w:jc w:val="center"/>
              <w:rPr>
                <w:rFonts w:hint="eastAsia" w:ascii="宋体" w:hAnsi="宋体" w:eastAsia="宋体" w:cs="宋体"/>
                <w:i w:val="0"/>
                <w:iCs w:val="0"/>
                <w:color w:val="000000"/>
                <w:sz w:val="18"/>
                <w:szCs w:val="18"/>
                <w:u w:val="none"/>
              </w:rPr>
            </w:pPr>
          </w:p>
        </w:tc>
        <w:tc>
          <w:tcPr>
            <w:tcW w:w="0" w:type="auto"/>
            <w:tcBorders>
              <w:top w:val="nil"/>
              <w:left w:val="nil"/>
              <w:bottom w:val="nil"/>
              <w:right w:val="nil"/>
            </w:tcBorders>
            <w:shd w:val="clear" w:color="auto" w:fill="auto"/>
            <w:vAlign w:val="center"/>
          </w:tcPr>
          <w:p w14:paraId="6C59ADF1">
            <w:pPr>
              <w:jc w:val="center"/>
              <w:rPr>
                <w:rFonts w:hint="eastAsia" w:ascii="宋体" w:hAnsi="宋体" w:eastAsia="宋体" w:cs="宋体"/>
                <w:i w:val="0"/>
                <w:iCs w:val="0"/>
                <w:color w:val="000000"/>
                <w:sz w:val="18"/>
                <w:szCs w:val="18"/>
                <w:u w:val="none"/>
              </w:rPr>
            </w:pPr>
          </w:p>
        </w:tc>
        <w:tc>
          <w:tcPr>
            <w:tcW w:w="0" w:type="auto"/>
            <w:tcBorders>
              <w:top w:val="nil"/>
              <w:left w:val="nil"/>
              <w:bottom w:val="nil"/>
              <w:right w:val="nil"/>
            </w:tcBorders>
            <w:shd w:val="clear" w:color="auto" w:fill="auto"/>
            <w:vAlign w:val="center"/>
          </w:tcPr>
          <w:p w14:paraId="338B1AC7">
            <w:pPr>
              <w:jc w:val="center"/>
              <w:rPr>
                <w:rFonts w:hint="eastAsia" w:ascii="宋体" w:hAnsi="宋体" w:eastAsia="宋体" w:cs="宋体"/>
                <w:i w:val="0"/>
                <w:iCs w:val="0"/>
                <w:color w:val="000000"/>
                <w:sz w:val="18"/>
                <w:szCs w:val="18"/>
                <w:u w:val="none"/>
              </w:rPr>
            </w:pPr>
          </w:p>
        </w:tc>
        <w:tc>
          <w:tcPr>
            <w:tcW w:w="0" w:type="auto"/>
            <w:tcBorders>
              <w:top w:val="nil"/>
              <w:left w:val="nil"/>
              <w:bottom w:val="nil"/>
              <w:right w:val="nil"/>
            </w:tcBorders>
            <w:shd w:val="clear" w:color="auto" w:fill="auto"/>
            <w:vAlign w:val="center"/>
          </w:tcPr>
          <w:p w14:paraId="0A2CAA2A">
            <w:pPr>
              <w:rPr>
                <w:rFonts w:hint="eastAsia" w:ascii="宋体" w:hAnsi="宋体" w:eastAsia="宋体" w:cs="宋体"/>
                <w:i w:val="0"/>
                <w:iCs w:val="0"/>
                <w:color w:val="000000"/>
                <w:sz w:val="18"/>
                <w:szCs w:val="18"/>
                <w:u w:val="none"/>
              </w:rPr>
            </w:pPr>
          </w:p>
        </w:tc>
      </w:tr>
      <w:tr w14:paraId="33B2A89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060" w:hRule="atLeast"/>
        </w:trPr>
        <w:tc>
          <w:tcPr>
            <w:tcW w:w="0" w:type="auto"/>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07B0DDA7">
            <w:pPr>
              <w:keepNext w:val="0"/>
              <w:keepLines w:val="0"/>
              <w:widowControl/>
              <w:suppressLineNumbers w:val="0"/>
              <w:jc w:val="center"/>
              <w:textAlignment w:val="center"/>
              <w:rPr>
                <w:rFonts w:hint="eastAsia"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部门预算项目支出绩效自评表（2024年度）</w:t>
            </w:r>
          </w:p>
        </w:tc>
      </w:tr>
      <w:tr w14:paraId="3300A2F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40" w:hRule="atLeast"/>
        </w:trPr>
        <w:tc>
          <w:tcPr>
            <w:tcW w:w="0" w:type="auto"/>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75562E9">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0" w:type="auto"/>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5CEAF51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51320022T000004704424-社会组织建设专项及行政审批专项经费</w:t>
            </w:r>
          </w:p>
        </w:tc>
      </w:tr>
      <w:tr w14:paraId="1FEB4BE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2" w:hRule="atLeast"/>
        </w:trPr>
        <w:tc>
          <w:tcPr>
            <w:tcW w:w="0" w:type="auto"/>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E5F4EA2">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0" w:type="auto"/>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F72D98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州民政局部门</w:t>
            </w:r>
          </w:p>
        </w:tc>
        <w:tc>
          <w:tcPr>
            <w:tcW w:w="0" w:type="auto"/>
            <w:tcBorders>
              <w:top w:val="nil"/>
              <w:left w:val="nil"/>
              <w:bottom w:val="nil"/>
              <w:right w:val="nil"/>
            </w:tcBorders>
            <w:shd w:val="clear" w:color="auto" w:fill="auto"/>
            <w:vAlign w:val="center"/>
          </w:tcPr>
          <w:p w14:paraId="41AFBCCE">
            <w:pPr>
              <w:keepNext w:val="0"/>
              <w:keepLines w:val="0"/>
              <w:widowControl/>
              <w:suppressLineNumbers w:val="0"/>
              <w:jc w:val="center"/>
              <w:textAlignment w:val="center"/>
              <w:rPr>
                <w:rFonts w:hint="default" w:ascii="黑体" w:hAnsi="黑体" w:eastAsia="黑体" w:cs="黑体"/>
                <w:i w:val="0"/>
                <w:iCs w:val="0"/>
                <w:color w:val="000000"/>
                <w:sz w:val="18"/>
                <w:szCs w:val="18"/>
                <w:u w:val="none"/>
              </w:rPr>
            </w:pPr>
            <w:r>
              <w:rPr>
                <w:rFonts w:hint="default" w:ascii="黑体" w:hAnsi="黑体" w:eastAsia="黑体" w:cs="黑体"/>
                <w:i w:val="0"/>
                <w:iCs w:val="0"/>
                <w:color w:val="000000"/>
                <w:kern w:val="0"/>
                <w:sz w:val="18"/>
                <w:szCs w:val="18"/>
                <w:u w:val="none"/>
                <w:lang w:val="en-US" w:eastAsia="zh-CN" w:bidi="ar"/>
              </w:rPr>
              <w:t>实施单位 （盖章）</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A9A2CD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州民政局</w:t>
            </w:r>
          </w:p>
        </w:tc>
      </w:tr>
      <w:tr w14:paraId="71CE65B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0" w:hRule="atLeast"/>
        </w:trPr>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ACE14C6">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54B963D">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0" w:type="auto"/>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446F95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0" w:type="auto"/>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5ABF9064">
            <w:pPr>
              <w:keepNext w:val="0"/>
              <w:keepLines w:val="0"/>
              <w:widowControl/>
              <w:suppressLineNumbers w:val="0"/>
              <w:jc w:val="center"/>
              <w:textAlignment w:val="center"/>
              <w:rPr>
                <w:rFonts w:hint="default" w:ascii="黑体" w:hAnsi="黑体" w:eastAsia="黑体" w:cs="黑体"/>
                <w:i w:val="0"/>
                <w:iCs w:val="0"/>
                <w:color w:val="000000"/>
                <w:sz w:val="18"/>
                <w:szCs w:val="18"/>
                <w:u w:val="none"/>
              </w:rPr>
            </w:pPr>
            <w:r>
              <w:rPr>
                <w:rFonts w:hint="default" w:ascii="黑体" w:hAnsi="黑体" w:eastAsia="黑体" w:cs="黑体"/>
                <w:i w:val="0"/>
                <w:iCs w:val="0"/>
                <w:color w:val="000000"/>
                <w:kern w:val="0"/>
                <w:sz w:val="18"/>
                <w:szCs w:val="18"/>
                <w:u w:val="none"/>
                <w:lang w:val="en-US" w:eastAsia="zh-CN" w:bidi="ar"/>
              </w:rPr>
              <w:t>年度目标完成情况</w:t>
            </w:r>
          </w:p>
        </w:tc>
      </w:tr>
      <w:tr w14:paraId="780DF38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8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D9E250D">
            <w:pPr>
              <w:rPr>
                <w:rFonts w:hint="eastAsia" w:ascii="宋体" w:hAnsi="宋体" w:eastAsia="宋体" w:cs="宋体"/>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1FA26F5">
            <w:pPr>
              <w:rPr>
                <w:rFonts w:hint="eastAsia" w:ascii="宋体" w:hAnsi="宋体" w:eastAsia="宋体" w:cs="宋体"/>
                <w:i w:val="0"/>
                <w:iCs w:val="0"/>
                <w:color w:val="000000"/>
                <w:sz w:val="18"/>
                <w:szCs w:val="18"/>
                <w:u w:val="none"/>
              </w:rPr>
            </w:pPr>
          </w:p>
        </w:tc>
        <w:tc>
          <w:tcPr>
            <w:tcW w:w="0" w:type="auto"/>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5DF7B2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开展社会组织培训及评估,促进社会组织健康有序发展，开展社会组织评估，健全操作规范、运转协调的评估工作机制，通过“以评促建、以评促管、以评促创”激励社会组织对照评估标准加强自身建设,发展一批服务有特色、能力强、公信力高、影响力大的社会组织品牌。加大对品牌社会组织的宣传力度，推广其成功做法和经验，引导我州各类社会组织整体健康有序发展。根据四川省民政厅关于印发《四川社会工领军人才培养工程实施意见的通知》（川民法﹝2020﹞105号）、四川省民政厅关于印发《社会工作专业人才万人培养工程实施意见》的通知（川民法﹝2020﹞105号），《四川省民政厅四川省财政厅四川省人力资源和社会保障厅关于组织实施新冠疫情社区排查防控社工岗项目的通知》（川民发〔2022〕85号）》加强我州社会工作及人才队伍建设，培养招募社工岗人员及社会工作专业人员，加大对社会工作的宣传和调研。聘请法律顾问,促进依法决策、科学决策,发挥法律顾问在民政法治建设中的参谋助手作用，开展政策法规宣传等有效保障民政法治政府建设工作的顺利开展。根据《四川省民政厅关于印发&lt;四川省《婚姻登记工作规范》实施细则&gt;的通知》(川民发〔2019〕44号)通过开展婚姻登记培训、线上婚姻家庭辅导、婚姻政策法规宣传加强婚姻法律法规政策宣传教育，普及法律知识，提升婚姻登记队伍能力，强化婚姻文化建设，引导婚姻登记当事人树立健康、文明、向上的婚姻理念。</w:t>
            </w:r>
          </w:p>
        </w:tc>
        <w:tc>
          <w:tcPr>
            <w:tcW w:w="0" w:type="auto"/>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0A8BB64F">
            <w:pPr>
              <w:keepNext w:val="0"/>
              <w:keepLines w:val="0"/>
              <w:widowControl/>
              <w:suppressLineNumbers w:val="0"/>
              <w:jc w:val="center"/>
              <w:textAlignment w:val="center"/>
              <w:rPr>
                <w:rFonts w:hint="default" w:ascii="黑体" w:hAnsi="黑体" w:eastAsia="黑体" w:cs="黑体"/>
                <w:i w:val="0"/>
                <w:iCs w:val="0"/>
                <w:color w:val="000000"/>
                <w:sz w:val="18"/>
                <w:szCs w:val="18"/>
                <w:u w:val="none"/>
              </w:rPr>
            </w:pPr>
            <w:r>
              <w:rPr>
                <w:rFonts w:hint="default" w:ascii="黑体" w:hAnsi="黑体" w:eastAsia="黑体" w:cs="黑体"/>
                <w:i w:val="0"/>
                <w:iCs w:val="0"/>
                <w:color w:val="000000"/>
                <w:kern w:val="0"/>
                <w:sz w:val="18"/>
                <w:szCs w:val="18"/>
                <w:u w:val="none"/>
                <w:lang w:val="en-US" w:eastAsia="zh-CN" w:bidi="ar"/>
              </w:rPr>
              <w:t>保质保量的完成了项目年度目标</w:t>
            </w:r>
          </w:p>
        </w:tc>
      </w:tr>
      <w:tr w14:paraId="5F67253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2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3DBDD94">
            <w:pP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B614773">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0" w:type="auto"/>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0C3EDC8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开展了婚姻登记培训、线上婚姻家庭辅导、婚姻政策法规宣传、婚姻法律法规政策宣传教育、普及法律知识。</w:t>
            </w:r>
          </w:p>
        </w:tc>
      </w:tr>
      <w:tr w14:paraId="2771F6B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636BB5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D37FEE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E4515D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B0C4ED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3CA8A8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345B56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63D936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D09D75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1EDAB7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14:paraId="30540F3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935B8EB">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FB3B76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322B0F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7C419E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9.22</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21EDA0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9.22</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1C6347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34223F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53456B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E9EBF35">
            <w:pPr>
              <w:keepNext w:val="0"/>
              <w:keepLines w:val="0"/>
              <w:widowControl/>
              <w:suppressLineNumbers w:val="0"/>
              <w:jc w:val="left"/>
              <w:textAlignment w:val="center"/>
              <w:rPr>
                <w:rFonts w:hint="default" w:ascii="黑体" w:hAnsi="黑体" w:eastAsia="黑体" w:cs="黑体"/>
                <w:i/>
                <w:iCs/>
                <w:color w:val="000000"/>
                <w:sz w:val="18"/>
                <w:szCs w:val="18"/>
                <w:u w:val="none"/>
              </w:rPr>
            </w:pPr>
            <w:r>
              <w:rPr>
                <w:rFonts w:hint="default" w:ascii="黑体" w:hAnsi="黑体" w:eastAsia="黑体" w:cs="黑体"/>
                <w:i/>
                <w:iCs/>
                <w:color w:val="000000"/>
                <w:kern w:val="0"/>
                <w:sz w:val="18"/>
                <w:szCs w:val="18"/>
                <w:u w:val="none"/>
                <w:lang w:val="en-US" w:eastAsia="zh-CN" w:bidi="ar"/>
              </w:rPr>
              <w:t>该项目预算执行率高于90%，预算调整原因：年底根据项目实际情况，调整收回净结余资金。</w:t>
            </w:r>
          </w:p>
        </w:tc>
      </w:tr>
      <w:tr w14:paraId="4433C71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C8E18BC">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67A6B4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6A7E1F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299793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9.22</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DA5E6F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9.22</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432291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CA3324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6EEBCA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CD00EB2">
            <w:pPr>
              <w:rPr>
                <w:rFonts w:hint="default" w:ascii="黑体" w:hAnsi="黑体" w:eastAsia="黑体" w:cs="黑体"/>
                <w:i/>
                <w:iCs/>
                <w:color w:val="000000"/>
                <w:sz w:val="18"/>
                <w:szCs w:val="18"/>
                <w:u w:val="none"/>
              </w:rPr>
            </w:pPr>
          </w:p>
        </w:tc>
      </w:tr>
      <w:tr w14:paraId="1A7D0E1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13FFA34">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68CFF6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186767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3D5755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A7992F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54FAF1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4B8538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94FB23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81C8D37">
            <w:pPr>
              <w:rPr>
                <w:rFonts w:hint="default" w:ascii="黑体" w:hAnsi="黑体" w:eastAsia="黑体" w:cs="黑体"/>
                <w:i/>
                <w:iCs/>
                <w:color w:val="000000"/>
                <w:sz w:val="18"/>
                <w:szCs w:val="18"/>
                <w:u w:val="none"/>
              </w:rPr>
            </w:pPr>
          </w:p>
        </w:tc>
      </w:tr>
      <w:tr w14:paraId="16F5090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EF89D84">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05326A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97B19C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FF7688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F8A28F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5BBDC8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9FF6DE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DC7073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477FB9E">
            <w:pPr>
              <w:rPr>
                <w:rFonts w:hint="default" w:ascii="黑体" w:hAnsi="黑体" w:eastAsia="黑体" w:cs="黑体"/>
                <w:i/>
                <w:iCs/>
                <w:color w:val="000000"/>
                <w:sz w:val="18"/>
                <w:szCs w:val="18"/>
                <w:u w:val="none"/>
              </w:rPr>
            </w:pPr>
          </w:p>
        </w:tc>
      </w:tr>
      <w:tr w14:paraId="7CDC1E4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E48DA09">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83B99D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9312305">
            <w:pPr>
              <w:jc w:val="center"/>
              <w:rPr>
                <w:rFonts w:hint="default" w:ascii="微软雅黑" w:hAnsi="微软雅黑" w:eastAsia="微软雅黑" w:cs="微软雅黑"/>
                <w:i/>
                <w:iCs/>
                <w:color w:val="000000"/>
                <w:sz w:val="16"/>
                <w:szCs w:val="16"/>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40A4A44">
            <w:pPr>
              <w:jc w:val="center"/>
              <w:rPr>
                <w:rFonts w:hint="default" w:ascii="微软雅黑" w:hAnsi="微软雅黑" w:eastAsia="微软雅黑" w:cs="微软雅黑"/>
                <w:i/>
                <w:iCs/>
                <w:color w:val="000000"/>
                <w:sz w:val="16"/>
                <w:szCs w:val="16"/>
                <w:u w:val="none"/>
              </w:rPr>
            </w:pP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77274F1">
            <w:pPr>
              <w:jc w:val="center"/>
              <w:rPr>
                <w:rFonts w:hint="default" w:ascii="微软雅黑" w:hAnsi="微软雅黑" w:eastAsia="微软雅黑" w:cs="微软雅黑"/>
                <w:i/>
                <w:iCs/>
                <w:color w:val="000000"/>
                <w:sz w:val="16"/>
                <w:szCs w:val="16"/>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4E771CD">
            <w:pPr>
              <w:jc w:val="center"/>
              <w:rPr>
                <w:rFonts w:hint="default" w:ascii="微软雅黑" w:hAnsi="微软雅黑" w:eastAsia="微软雅黑" w:cs="微软雅黑"/>
                <w:i/>
                <w:iCs/>
                <w:color w:val="000000"/>
                <w:sz w:val="16"/>
                <w:szCs w:val="16"/>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427852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2C620A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9981EE5">
            <w:pPr>
              <w:rPr>
                <w:rFonts w:hint="default" w:ascii="黑体" w:hAnsi="黑体" w:eastAsia="黑体" w:cs="黑体"/>
                <w:i/>
                <w:iCs/>
                <w:color w:val="000000"/>
                <w:sz w:val="18"/>
                <w:szCs w:val="18"/>
                <w:u w:val="none"/>
              </w:rPr>
            </w:pPr>
          </w:p>
        </w:tc>
      </w:tr>
      <w:tr w14:paraId="2BC6998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6E4EF4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C2B3DF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3A41E3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88CD22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294B86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298A91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2AC572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23F440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023A7E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057CE1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AD656D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14:paraId="2F6C966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6F551E6">
            <w:pPr>
              <w:jc w:val="center"/>
              <w:rPr>
                <w:rFonts w:hint="eastAsia" w:ascii="宋体" w:hAnsi="宋体" w:eastAsia="宋体" w:cs="宋体"/>
                <w:i w:val="0"/>
                <w:iCs w:val="0"/>
                <w:color w:val="000000"/>
                <w:sz w:val="18"/>
                <w:szCs w:val="18"/>
                <w:u w:val="none"/>
              </w:rPr>
            </w:pP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E647E6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D41D7C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D93430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社会组织评估各项工作完成率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7FDBFC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FC6D80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987FBE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099DFDA">
            <w:pPr>
              <w:keepNext w:val="0"/>
              <w:keepLines w:val="0"/>
              <w:widowControl/>
              <w:suppressLineNumbers w:val="0"/>
              <w:jc w:val="center"/>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90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0DE223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31CFF2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21981C3">
            <w:pPr>
              <w:jc w:val="center"/>
              <w:rPr>
                <w:rFonts w:hint="default" w:ascii="微软雅黑" w:hAnsi="微软雅黑" w:eastAsia="微软雅黑" w:cs="微软雅黑"/>
                <w:i/>
                <w:iCs/>
                <w:color w:val="000000"/>
                <w:sz w:val="16"/>
                <w:szCs w:val="16"/>
                <w:u w:val="none"/>
              </w:rPr>
            </w:pPr>
          </w:p>
        </w:tc>
      </w:tr>
      <w:tr w14:paraId="003DAB0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F1DA240">
            <w:pPr>
              <w:jc w:val="center"/>
              <w:rPr>
                <w:rFonts w:hint="eastAsia" w:ascii="宋体" w:hAnsi="宋体" w:eastAsia="宋体" w:cs="宋体"/>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8C7A590">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86B1F8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质量指标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1C3C35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开展社会工作质量通过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A5C61B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定性</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A88175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95</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20DC3E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9A02578">
            <w:pPr>
              <w:keepNext w:val="0"/>
              <w:keepLines w:val="0"/>
              <w:widowControl/>
              <w:suppressLineNumbers w:val="0"/>
              <w:jc w:val="center"/>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96</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2A8569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C3C60A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3BF626D">
            <w:pPr>
              <w:jc w:val="center"/>
              <w:rPr>
                <w:rFonts w:hint="default" w:ascii="微软雅黑" w:hAnsi="微软雅黑" w:eastAsia="微软雅黑" w:cs="微软雅黑"/>
                <w:i/>
                <w:iCs/>
                <w:color w:val="000000"/>
                <w:sz w:val="16"/>
                <w:szCs w:val="16"/>
                <w:u w:val="none"/>
              </w:rPr>
            </w:pPr>
          </w:p>
        </w:tc>
      </w:tr>
      <w:tr w14:paraId="6D61540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585495A">
            <w:pPr>
              <w:jc w:val="center"/>
              <w:rPr>
                <w:rFonts w:hint="eastAsia" w:ascii="宋体" w:hAnsi="宋体" w:eastAsia="宋体" w:cs="宋体"/>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660B3FB">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F19B79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时效指标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92901A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项目完成时间</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19F32C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定性</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65529B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2024年12月</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506325B">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8785116">
            <w:pPr>
              <w:keepNext w:val="0"/>
              <w:keepLines w:val="0"/>
              <w:widowControl/>
              <w:suppressLineNumbers w:val="0"/>
              <w:jc w:val="center"/>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2024年12月</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FAA4ED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EA5FC5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9FC0CD8">
            <w:pPr>
              <w:jc w:val="center"/>
              <w:rPr>
                <w:rFonts w:hint="default" w:ascii="微软雅黑" w:hAnsi="微软雅黑" w:eastAsia="微软雅黑" w:cs="微软雅黑"/>
                <w:i/>
                <w:iCs/>
                <w:color w:val="000000"/>
                <w:sz w:val="16"/>
                <w:szCs w:val="16"/>
                <w:u w:val="none"/>
              </w:rPr>
            </w:pPr>
          </w:p>
        </w:tc>
      </w:tr>
      <w:tr w14:paraId="477F01C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932F477">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AA4E7B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1B4D42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850235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促进社会健康发展</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F2226F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AFB4D9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98</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EFB5FF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E8DF55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98</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398807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05E1B0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19</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FA421AB">
            <w:pPr>
              <w:jc w:val="center"/>
              <w:rPr>
                <w:rFonts w:hint="default" w:ascii="微软雅黑" w:hAnsi="微软雅黑" w:eastAsia="微软雅黑" w:cs="微软雅黑"/>
                <w:i/>
                <w:iCs/>
                <w:color w:val="000000"/>
                <w:sz w:val="16"/>
                <w:szCs w:val="16"/>
                <w:u w:val="none"/>
              </w:rPr>
            </w:pPr>
          </w:p>
        </w:tc>
      </w:tr>
      <w:tr w14:paraId="32AB38A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6A07A1A">
            <w:pPr>
              <w:jc w:val="center"/>
              <w:rPr>
                <w:rFonts w:hint="eastAsia" w:ascii="宋体" w:hAnsi="宋体" w:eastAsia="宋体" w:cs="宋体"/>
                <w:i w:val="0"/>
                <w:iCs w:val="0"/>
                <w:color w:val="000000"/>
                <w:sz w:val="18"/>
                <w:szCs w:val="18"/>
                <w:u w:val="none"/>
              </w:rPr>
            </w:pP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8C070E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FA13A3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服务对象满意度指标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8A7E82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服务对象满意度</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F20519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A6143A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02EAF8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49EA55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BA9412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0B5D42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695E052">
            <w:pPr>
              <w:jc w:val="center"/>
              <w:rPr>
                <w:rFonts w:hint="default" w:ascii="微软雅黑" w:hAnsi="微软雅黑" w:eastAsia="微软雅黑" w:cs="微软雅黑"/>
                <w:i/>
                <w:iCs/>
                <w:color w:val="000000"/>
                <w:sz w:val="16"/>
                <w:szCs w:val="16"/>
                <w:u w:val="none"/>
              </w:rPr>
            </w:pPr>
          </w:p>
        </w:tc>
      </w:tr>
      <w:tr w14:paraId="4B570F4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0EF9B14">
            <w:pPr>
              <w:jc w:val="center"/>
              <w:rPr>
                <w:rFonts w:hint="eastAsia" w:ascii="宋体" w:hAnsi="宋体" w:eastAsia="宋体" w:cs="宋体"/>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B237627">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DF956B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62D83E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群众满意度</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1A865E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5A7B8D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95</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F87BC5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23B8D1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96</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559E97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53D068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DF0A7B2">
            <w:pPr>
              <w:jc w:val="center"/>
              <w:rPr>
                <w:rFonts w:hint="default" w:ascii="微软雅黑" w:hAnsi="微软雅黑" w:eastAsia="微软雅黑" w:cs="微软雅黑"/>
                <w:i/>
                <w:iCs/>
                <w:color w:val="000000"/>
                <w:sz w:val="16"/>
                <w:szCs w:val="16"/>
                <w:u w:val="none"/>
              </w:rPr>
            </w:pPr>
          </w:p>
        </w:tc>
      </w:tr>
      <w:tr w14:paraId="40745F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59CF2F6">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412E10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成本指标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F74B70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经济成本指标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BF9D58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经济成本控制率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9D9C0E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9F0D96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98</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EFDE89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7325A5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98</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73A956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943E7A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05AF13B">
            <w:pPr>
              <w:jc w:val="center"/>
              <w:rPr>
                <w:rFonts w:hint="default" w:ascii="微软雅黑" w:hAnsi="微软雅黑" w:eastAsia="微软雅黑" w:cs="微软雅黑"/>
                <w:i/>
                <w:iCs/>
                <w:color w:val="000000"/>
                <w:sz w:val="16"/>
                <w:szCs w:val="16"/>
                <w:u w:val="none"/>
              </w:rPr>
            </w:pPr>
          </w:p>
        </w:tc>
      </w:tr>
      <w:tr w14:paraId="1691FFB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0" w:type="auto"/>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15DD082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0BF60F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0E3121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98</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3AB548F">
            <w:pPr>
              <w:rPr>
                <w:rFonts w:hint="eastAsia" w:ascii="宋体" w:hAnsi="宋体" w:eastAsia="宋体" w:cs="宋体"/>
                <w:i w:val="0"/>
                <w:iCs w:val="0"/>
                <w:color w:val="000000"/>
                <w:sz w:val="18"/>
                <w:szCs w:val="18"/>
                <w:u w:val="none"/>
              </w:rPr>
            </w:pPr>
          </w:p>
        </w:tc>
      </w:tr>
      <w:tr w14:paraId="798A83C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7CE376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0" w:type="auto"/>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39F88C99">
            <w:pPr>
              <w:keepNext w:val="0"/>
              <w:keepLines w:val="0"/>
              <w:widowControl/>
              <w:suppressLineNumbers w:val="0"/>
              <w:jc w:val="left"/>
              <w:textAlignment w:val="center"/>
              <w:rPr>
                <w:rFonts w:hint="default" w:ascii="微软雅黑" w:hAnsi="微软雅黑" w:eastAsia="微软雅黑" w:cs="微软雅黑"/>
                <w:i w:val="0"/>
                <w:iCs w:val="0"/>
                <w:color w:val="000000"/>
                <w:sz w:val="16"/>
                <w:szCs w:val="16"/>
                <w:u w:val="none"/>
              </w:rPr>
            </w:pPr>
            <w:r>
              <w:rPr>
                <w:rFonts w:hint="default" w:ascii="微软雅黑" w:hAnsi="微软雅黑" w:eastAsia="微软雅黑" w:cs="微软雅黑"/>
                <w:i w:val="0"/>
                <w:iCs w:val="0"/>
                <w:color w:val="000000"/>
                <w:kern w:val="0"/>
                <w:sz w:val="16"/>
                <w:szCs w:val="16"/>
                <w:u w:val="none"/>
                <w:lang w:val="en-US" w:eastAsia="zh-CN" w:bidi="ar"/>
              </w:rPr>
              <w:t>该项目的实施提升了婚姻登记队伍能力，组织开展培训会分别就婚姻登记政策、婚姻家庭辅导、婚姻登记信息系统、婚姻登记实务进行专题授课，采用课堂讲解、交流互动、提问答疑等方式，将政策解读、工作实操融为一体，对参训婚姻登记员进行业务考核，实现了婚姻登记员持证上岗全覆盖，进一步健全工作制度，落实政务公开、一次性告知、限时办结等服务制度。印发《关于推进社区社会组织培育发展工作的通知》，明确目标、任务和具体措施，通过建基地、育主体等方式培育发展社区社会组织，自通知下发以来，督促指导各县（市）备案社区社会组织277个。</w:t>
            </w:r>
          </w:p>
        </w:tc>
      </w:tr>
      <w:tr w14:paraId="1530DDB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CAA4BA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0" w:type="auto"/>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66C05F97">
            <w:pPr>
              <w:keepNext w:val="0"/>
              <w:keepLines w:val="0"/>
              <w:widowControl/>
              <w:suppressLineNumbers w:val="0"/>
              <w:jc w:val="left"/>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年初预算执行率未达100%，侧面反映了预算能力有待提升。</w:t>
            </w:r>
          </w:p>
        </w:tc>
      </w:tr>
      <w:tr w14:paraId="7038D85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372A9B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0" w:type="auto"/>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08A11411">
            <w:pPr>
              <w:keepNext w:val="0"/>
              <w:keepLines w:val="0"/>
              <w:widowControl/>
              <w:suppressLineNumbers w:val="0"/>
              <w:jc w:val="left"/>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加大对预算测算依据的把控，进一步提升预算的精确的，避免预算资金剩余闲置。</w:t>
            </w:r>
          </w:p>
        </w:tc>
      </w:tr>
      <w:tr w14:paraId="6718E3B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0" w:type="auto"/>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1345F9C">
            <w:pPr>
              <w:keepNext w:val="0"/>
              <w:keepLines w:val="0"/>
              <w:widowControl/>
              <w:suppressLineNumbers w:val="0"/>
              <w:jc w:val="left"/>
              <w:textAlignment w:val="center"/>
              <w:rPr>
                <w:rFonts w:hint="default" w:ascii="黑体" w:hAnsi="黑体" w:eastAsia="黑体" w:cs="黑体"/>
                <w:i w:val="0"/>
                <w:iCs w:val="0"/>
                <w:color w:val="000000"/>
                <w:sz w:val="18"/>
                <w:szCs w:val="18"/>
                <w:u w:val="none"/>
              </w:rPr>
            </w:pPr>
            <w:r>
              <w:rPr>
                <w:rFonts w:hint="default" w:ascii="黑体" w:hAnsi="黑体" w:eastAsia="黑体" w:cs="黑体"/>
                <w:i w:val="0"/>
                <w:iCs w:val="0"/>
                <w:color w:val="000000"/>
                <w:kern w:val="0"/>
                <w:sz w:val="18"/>
                <w:szCs w:val="18"/>
                <w:u w:val="none"/>
                <w:lang w:val="en-US" w:eastAsia="zh-CN" w:bidi="ar"/>
              </w:rPr>
              <w:t>项目负责人：秦岭</w:t>
            </w:r>
          </w:p>
        </w:tc>
        <w:tc>
          <w:tcPr>
            <w:tcW w:w="0" w:type="auto"/>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0F913AEC">
            <w:pPr>
              <w:keepNext w:val="0"/>
              <w:keepLines w:val="0"/>
              <w:widowControl/>
              <w:suppressLineNumbers w:val="0"/>
              <w:jc w:val="center"/>
              <w:textAlignment w:val="center"/>
              <w:rPr>
                <w:rFonts w:hint="default" w:ascii="黑体" w:hAnsi="黑体" w:eastAsia="黑体" w:cs="黑体"/>
                <w:i w:val="0"/>
                <w:iCs w:val="0"/>
                <w:color w:val="000000"/>
                <w:sz w:val="18"/>
                <w:szCs w:val="18"/>
                <w:u w:val="none"/>
              </w:rPr>
            </w:pPr>
            <w:r>
              <w:rPr>
                <w:rFonts w:hint="default" w:ascii="黑体" w:hAnsi="黑体" w:eastAsia="黑体" w:cs="黑体"/>
                <w:i w:val="0"/>
                <w:iCs w:val="0"/>
                <w:color w:val="000000"/>
                <w:kern w:val="0"/>
                <w:sz w:val="18"/>
                <w:szCs w:val="18"/>
                <w:u w:val="none"/>
                <w:lang w:val="en-US" w:eastAsia="zh-CN" w:bidi="ar"/>
              </w:rPr>
              <w:t>财务负责人：杨琴琴</w:t>
            </w:r>
          </w:p>
        </w:tc>
      </w:tr>
      <w:tr w14:paraId="0B925B3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0" w:type="auto"/>
            <w:tcBorders>
              <w:top w:val="nil"/>
              <w:left w:val="nil"/>
              <w:bottom w:val="nil"/>
              <w:right w:val="nil"/>
            </w:tcBorders>
            <w:shd w:val="clear" w:color="auto" w:fill="auto"/>
            <w:vAlign w:val="center"/>
          </w:tcPr>
          <w:p w14:paraId="58B30B99">
            <w:pPr>
              <w:rPr>
                <w:rFonts w:hint="eastAsia" w:ascii="宋体" w:hAnsi="宋体" w:eastAsia="宋体" w:cs="宋体"/>
                <w:i w:val="0"/>
                <w:iCs w:val="0"/>
                <w:color w:val="000000"/>
                <w:sz w:val="18"/>
                <w:szCs w:val="18"/>
                <w:u w:val="none"/>
              </w:rPr>
            </w:pPr>
          </w:p>
        </w:tc>
        <w:tc>
          <w:tcPr>
            <w:tcW w:w="0" w:type="auto"/>
            <w:tcBorders>
              <w:top w:val="nil"/>
              <w:left w:val="nil"/>
              <w:bottom w:val="nil"/>
              <w:right w:val="nil"/>
            </w:tcBorders>
            <w:shd w:val="clear" w:color="auto" w:fill="auto"/>
            <w:vAlign w:val="center"/>
          </w:tcPr>
          <w:p w14:paraId="75F1F2E3">
            <w:pPr>
              <w:rPr>
                <w:rFonts w:hint="eastAsia" w:ascii="宋体" w:hAnsi="宋体" w:eastAsia="宋体" w:cs="宋体"/>
                <w:i w:val="0"/>
                <w:iCs w:val="0"/>
                <w:color w:val="000000"/>
                <w:sz w:val="18"/>
                <w:szCs w:val="18"/>
                <w:u w:val="none"/>
              </w:rPr>
            </w:pPr>
          </w:p>
        </w:tc>
        <w:tc>
          <w:tcPr>
            <w:tcW w:w="0" w:type="auto"/>
            <w:tcBorders>
              <w:top w:val="nil"/>
              <w:left w:val="nil"/>
              <w:bottom w:val="nil"/>
              <w:right w:val="nil"/>
            </w:tcBorders>
            <w:shd w:val="clear" w:color="auto" w:fill="auto"/>
            <w:vAlign w:val="center"/>
          </w:tcPr>
          <w:p w14:paraId="7A7201EF">
            <w:pPr>
              <w:jc w:val="center"/>
              <w:rPr>
                <w:rFonts w:hint="eastAsia" w:ascii="宋体" w:hAnsi="宋体" w:eastAsia="宋体" w:cs="宋体"/>
                <w:i w:val="0"/>
                <w:iCs w:val="0"/>
                <w:color w:val="000000"/>
                <w:sz w:val="18"/>
                <w:szCs w:val="18"/>
                <w:u w:val="none"/>
              </w:rPr>
            </w:pPr>
          </w:p>
        </w:tc>
        <w:tc>
          <w:tcPr>
            <w:tcW w:w="0" w:type="auto"/>
            <w:tcBorders>
              <w:top w:val="nil"/>
              <w:left w:val="nil"/>
              <w:bottom w:val="nil"/>
              <w:right w:val="nil"/>
            </w:tcBorders>
            <w:shd w:val="clear" w:color="auto" w:fill="auto"/>
            <w:vAlign w:val="center"/>
          </w:tcPr>
          <w:p w14:paraId="03C9F16E">
            <w:pPr>
              <w:jc w:val="center"/>
              <w:rPr>
                <w:rFonts w:hint="eastAsia" w:ascii="宋体" w:hAnsi="宋体" w:eastAsia="宋体" w:cs="宋体"/>
                <w:i w:val="0"/>
                <w:iCs w:val="0"/>
                <w:color w:val="000000"/>
                <w:sz w:val="18"/>
                <w:szCs w:val="18"/>
                <w:u w:val="none"/>
              </w:rPr>
            </w:pPr>
          </w:p>
        </w:tc>
        <w:tc>
          <w:tcPr>
            <w:tcW w:w="0" w:type="auto"/>
            <w:tcBorders>
              <w:top w:val="nil"/>
              <w:left w:val="nil"/>
              <w:bottom w:val="nil"/>
              <w:right w:val="nil"/>
            </w:tcBorders>
            <w:shd w:val="clear" w:color="auto" w:fill="auto"/>
            <w:vAlign w:val="center"/>
          </w:tcPr>
          <w:p w14:paraId="21F197D1">
            <w:pPr>
              <w:jc w:val="center"/>
              <w:rPr>
                <w:rFonts w:hint="eastAsia" w:ascii="宋体" w:hAnsi="宋体" w:eastAsia="宋体" w:cs="宋体"/>
                <w:i w:val="0"/>
                <w:iCs w:val="0"/>
                <w:color w:val="000000"/>
                <w:sz w:val="18"/>
                <w:szCs w:val="18"/>
                <w:u w:val="none"/>
              </w:rPr>
            </w:pPr>
          </w:p>
        </w:tc>
        <w:tc>
          <w:tcPr>
            <w:tcW w:w="0" w:type="auto"/>
            <w:tcBorders>
              <w:top w:val="nil"/>
              <w:left w:val="nil"/>
              <w:bottom w:val="nil"/>
              <w:right w:val="nil"/>
            </w:tcBorders>
            <w:shd w:val="clear" w:color="auto" w:fill="auto"/>
            <w:vAlign w:val="center"/>
          </w:tcPr>
          <w:p w14:paraId="16953F94">
            <w:pPr>
              <w:jc w:val="center"/>
              <w:rPr>
                <w:rFonts w:hint="eastAsia" w:ascii="宋体" w:hAnsi="宋体" w:eastAsia="宋体" w:cs="宋体"/>
                <w:i w:val="0"/>
                <w:iCs w:val="0"/>
                <w:color w:val="000000"/>
                <w:sz w:val="18"/>
                <w:szCs w:val="18"/>
                <w:u w:val="none"/>
              </w:rPr>
            </w:pPr>
          </w:p>
        </w:tc>
        <w:tc>
          <w:tcPr>
            <w:tcW w:w="0" w:type="auto"/>
            <w:tcBorders>
              <w:top w:val="nil"/>
              <w:left w:val="nil"/>
              <w:bottom w:val="nil"/>
              <w:right w:val="nil"/>
            </w:tcBorders>
            <w:shd w:val="clear" w:color="auto" w:fill="auto"/>
            <w:vAlign w:val="center"/>
          </w:tcPr>
          <w:p w14:paraId="496328E1">
            <w:pPr>
              <w:jc w:val="center"/>
              <w:rPr>
                <w:rFonts w:hint="eastAsia" w:ascii="宋体" w:hAnsi="宋体" w:eastAsia="宋体" w:cs="宋体"/>
                <w:i w:val="0"/>
                <w:iCs w:val="0"/>
                <w:color w:val="000000"/>
                <w:sz w:val="18"/>
                <w:szCs w:val="18"/>
                <w:u w:val="none"/>
              </w:rPr>
            </w:pPr>
          </w:p>
        </w:tc>
        <w:tc>
          <w:tcPr>
            <w:tcW w:w="0" w:type="auto"/>
            <w:tcBorders>
              <w:top w:val="nil"/>
              <w:left w:val="nil"/>
              <w:bottom w:val="nil"/>
              <w:right w:val="nil"/>
            </w:tcBorders>
            <w:shd w:val="clear" w:color="auto" w:fill="auto"/>
            <w:vAlign w:val="center"/>
          </w:tcPr>
          <w:p w14:paraId="4792FAE4">
            <w:pPr>
              <w:jc w:val="center"/>
              <w:rPr>
                <w:rFonts w:hint="eastAsia" w:ascii="宋体" w:hAnsi="宋体" w:eastAsia="宋体" w:cs="宋体"/>
                <w:i w:val="0"/>
                <w:iCs w:val="0"/>
                <w:color w:val="000000"/>
                <w:sz w:val="18"/>
                <w:szCs w:val="18"/>
                <w:u w:val="none"/>
              </w:rPr>
            </w:pPr>
          </w:p>
        </w:tc>
        <w:tc>
          <w:tcPr>
            <w:tcW w:w="0" w:type="auto"/>
            <w:tcBorders>
              <w:top w:val="nil"/>
              <w:left w:val="nil"/>
              <w:bottom w:val="nil"/>
              <w:right w:val="nil"/>
            </w:tcBorders>
            <w:shd w:val="clear" w:color="auto" w:fill="auto"/>
            <w:vAlign w:val="center"/>
          </w:tcPr>
          <w:p w14:paraId="1F677658">
            <w:pPr>
              <w:jc w:val="center"/>
              <w:rPr>
                <w:rFonts w:hint="eastAsia" w:ascii="宋体" w:hAnsi="宋体" w:eastAsia="宋体" w:cs="宋体"/>
                <w:i w:val="0"/>
                <w:iCs w:val="0"/>
                <w:color w:val="000000"/>
                <w:sz w:val="18"/>
                <w:szCs w:val="18"/>
                <w:u w:val="none"/>
              </w:rPr>
            </w:pPr>
          </w:p>
        </w:tc>
        <w:tc>
          <w:tcPr>
            <w:tcW w:w="0" w:type="auto"/>
            <w:tcBorders>
              <w:top w:val="nil"/>
              <w:left w:val="nil"/>
              <w:bottom w:val="nil"/>
              <w:right w:val="nil"/>
            </w:tcBorders>
            <w:shd w:val="clear" w:color="auto" w:fill="auto"/>
            <w:vAlign w:val="center"/>
          </w:tcPr>
          <w:p w14:paraId="705482CB">
            <w:pPr>
              <w:jc w:val="center"/>
              <w:rPr>
                <w:rFonts w:hint="eastAsia" w:ascii="宋体" w:hAnsi="宋体" w:eastAsia="宋体" w:cs="宋体"/>
                <w:i w:val="0"/>
                <w:iCs w:val="0"/>
                <w:color w:val="000000"/>
                <w:sz w:val="18"/>
                <w:szCs w:val="18"/>
                <w:u w:val="none"/>
              </w:rPr>
            </w:pPr>
          </w:p>
        </w:tc>
        <w:tc>
          <w:tcPr>
            <w:tcW w:w="0" w:type="auto"/>
            <w:tcBorders>
              <w:top w:val="nil"/>
              <w:left w:val="nil"/>
              <w:bottom w:val="nil"/>
              <w:right w:val="nil"/>
            </w:tcBorders>
            <w:shd w:val="clear" w:color="auto" w:fill="auto"/>
            <w:vAlign w:val="center"/>
          </w:tcPr>
          <w:p w14:paraId="29A0DD15">
            <w:pPr>
              <w:rPr>
                <w:rFonts w:hint="eastAsia" w:ascii="宋体" w:hAnsi="宋体" w:eastAsia="宋体" w:cs="宋体"/>
                <w:i w:val="0"/>
                <w:iCs w:val="0"/>
                <w:color w:val="000000"/>
                <w:sz w:val="18"/>
                <w:szCs w:val="18"/>
                <w:u w:val="none"/>
              </w:rPr>
            </w:pPr>
          </w:p>
        </w:tc>
      </w:tr>
      <w:tr w14:paraId="6AAD619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300" w:hRule="atLeast"/>
        </w:trPr>
        <w:tc>
          <w:tcPr>
            <w:tcW w:w="0" w:type="auto"/>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33992D4B">
            <w:pPr>
              <w:keepNext w:val="0"/>
              <w:keepLines w:val="0"/>
              <w:widowControl/>
              <w:suppressLineNumbers w:val="0"/>
              <w:jc w:val="center"/>
              <w:textAlignment w:val="center"/>
              <w:rPr>
                <w:rFonts w:hint="eastAsia"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部门预算项目支出绩效自评表（2024年度）</w:t>
            </w:r>
          </w:p>
        </w:tc>
      </w:tr>
      <w:tr w14:paraId="14CB597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0" w:hRule="atLeast"/>
        </w:trPr>
        <w:tc>
          <w:tcPr>
            <w:tcW w:w="0" w:type="auto"/>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EC19A73">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0" w:type="auto"/>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62BB131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51320022T000006150947-两项改革“后半篇”文章专项资金</w:t>
            </w:r>
          </w:p>
        </w:tc>
      </w:tr>
      <w:tr w14:paraId="0FADB22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80" w:hRule="atLeast"/>
        </w:trPr>
        <w:tc>
          <w:tcPr>
            <w:tcW w:w="0" w:type="auto"/>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CDBA951">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0" w:type="auto"/>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32D98C0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州民政局部门</w:t>
            </w:r>
          </w:p>
        </w:tc>
        <w:tc>
          <w:tcPr>
            <w:tcW w:w="0" w:type="auto"/>
            <w:tcBorders>
              <w:top w:val="nil"/>
              <w:left w:val="nil"/>
              <w:bottom w:val="nil"/>
              <w:right w:val="nil"/>
            </w:tcBorders>
            <w:shd w:val="clear" w:color="auto" w:fill="auto"/>
            <w:vAlign w:val="center"/>
          </w:tcPr>
          <w:p w14:paraId="517D8AE9">
            <w:pPr>
              <w:keepNext w:val="0"/>
              <w:keepLines w:val="0"/>
              <w:widowControl/>
              <w:suppressLineNumbers w:val="0"/>
              <w:jc w:val="center"/>
              <w:textAlignment w:val="center"/>
              <w:rPr>
                <w:rFonts w:hint="default" w:ascii="黑体" w:hAnsi="黑体" w:eastAsia="黑体" w:cs="黑体"/>
                <w:i w:val="0"/>
                <w:iCs w:val="0"/>
                <w:color w:val="000000"/>
                <w:sz w:val="18"/>
                <w:szCs w:val="18"/>
                <w:u w:val="none"/>
              </w:rPr>
            </w:pPr>
            <w:r>
              <w:rPr>
                <w:rFonts w:hint="default" w:ascii="黑体" w:hAnsi="黑体" w:eastAsia="黑体" w:cs="黑体"/>
                <w:i w:val="0"/>
                <w:iCs w:val="0"/>
                <w:color w:val="000000"/>
                <w:kern w:val="0"/>
                <w:sz w:val="18"/>
                <w:szCs w:val="18"/>
                <w:u w:val="none"/>
                <w:lang w:val="en-US" w:eastAsia="zh-CN" w:bidi="ar"/>
              </w:rPr>
              <w:t>实施单位 （盖章）</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2C514E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州民政局</w:t>
            </w:r>
          </w:p>
        </w:tc>
      </w:tr>
      <w:tr w14:paraId="7395826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80" w:hRule="atLeast"/>
        </w:trPr>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E33EED9">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7DF3A3E">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0" w:type="auto"/>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B3C390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0" w:type="auto"/>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477E8FB0">
            <w:pPr>
              <w:keepNext w:val="0"/>
              <w:keepLines w:val="0"/>
              <w:widowControl/>
              <w:suppressLineNumbers w:val="0"/>
              <w:jc w:val="center"/>
              <w:textAlignment w:val="center"/>
              <w:rPr>
                <w:rFonts w:hint="default" w:ascii="黑体" w:hAnsi="黑体" w:eastAsia="黑体" w:cs="黑体"/>
                <w:i w:val="0"/>
                <w:iCs w:val="0"/>
                <w:color w:val="000000"/>
                <w:sz w:val="18"/>
                <w:szCs w:val="18"/>
                <w:u w:val="none"/>
              </w:rPr>
            </w:pPr>
            <w:r>
              <w:rPr>
                <w:rFonts w:hint="default" w:ascii="黑体" w:hAnsi="黑体" w:eastAsia="黑体" w:cs="黑体"/>
                <w:i w:val="0"/>
                <w:iCs w:val="0"/>
                <w:color w:val="000000"/>
                <w:kern w:val="0"/>
                <w:sz w:val="18"/>
                <w:szCs w:val="18"/>
                <w:u w:val="none"/>
                <w:lang w:val="en-US" w:eastAsia="zh-CN" w:bidi="ar"/>
              </w:rPr>
              <w:t>年度目标完成情况</w:t>
            </w:r>
          </w:p>
        </w:tc>
      </w:tr>
      <w:tr w14:paraId="5086BEF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14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83F3736">
            <w:pPr>
              <w:rPr>
                <w:rFonts w:hint="eastAsia" w:ascii="宋体" w:hAnsi="宋体" w:eastAsia="宋体" w:cs="宋体"/>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B03E3A2">
            <w:pPr>
              <w:rPr>
                <w:rFonts w:hint="eastAsia" w:ascii="宋体" w:hAnsi="宋体" w:eastAsia="宋体" w:cs="宋体"/>
                <w:i w:val="0"/>
                <w:iCs w:val="0"/>
                <w:color w:val="000000"/>
                <w:sz w:val="18"/>
                <w:szCs w:val="18"/>
                <w:u w:val="none"/>
              </w:rPr>
            </w:pPr>
          </w:p>
        </w:tc>
        <w:tc>
          <w:tcPr>
            <w:tcW w:w="0" w:type="auto"/>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4A1A7E3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开展全省两项改革“后半篇”工作及州委重点工作部署延伸，按照省委、州委总体部署安排和州委2024年初部署的专项工作（属于两项改革“后半篇”的延伸工作，州委主要领导多次就相关工作作出重要批示），制定2025年重点项目和重点任务，建立州级巡回督导组适时开展督查检查，积极向上争取汇报，确保年底完成省级2025年度目标任务。具有相应的质量检查、验收等必要的控制措施或手段，有针对突发事件或未知风险的应急措施等。按照2024年度资金使用情况分析，两项改革“后半篇”及州委专项工作涉及两项改革“后半篇”的延伸资金主要用于：报送资料的打印、复印资料经费、采购办公及相关设施设备经费、专项业务经费、差旅费用、业务用车支出、会议费用、其他相关项目经费及其他省、州要求的相关图纸制作经费，绩效目标和绩效指标已量化可考核，并纳入年度省州县三级目标绩效考核内容，符合政策要求，与省级2021年至2025年规划一致，全面完成省州既定目标。</w:t>
            </w:r>
          </w:p>
        </w:tc>
        <w:tc>
          <w:tcPr>
            <w:tcW w:w="0" w:type="auto"/>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0301D04E">
            <w:pPr>
              <w:keepNext w:val="0"/>
              <w:keepLines w:val="0"/>
              <w:widowControl/>
              <w:suppressLineNumbers w:val="0"/>
              <w:jc w:val="center"/>
              <w:textAlignment w:val="center"/>
              <w:rPr>
                <w:rFonts w:hint="default" w:ascii="黑体" w:hAnsi="黑体" w:eastAsia="黑体" w:cs="黑体"/>
                <w:i w:val="0"/>
                <w:iCs w:val="0"/>
                <w:color w:val="000000"/>
                <w:sz w:val="18"/>
                <w:szCs w:val="18"/>
                <w:u w:val="none"/>
              </w:rPr>
            </w:pPr>
            <w:r>
              <w:rPr>
                <w:rFonts w:hint="default" w:ascii="黑体" w:hAnsi="黑体" w:eastAsia="黑体" w:cs="黑体"/>
                <w:i w:val="0"/>
                <w:iCs w:val="0"/>
                <w:color w:val="000000"/>
                <w:kern w:val="0"/>
                <w:sz w:val="18"/>
                <w:szCs w:val="18"/>
                <w:u w:val="none"/>
                <w:lang w:val="en-US" w:eastAsia="zh-CN" w:bidi="ar"/>
              </w:rPr>
              <w:t>全面完成省委省政府目标任务，全州考核未造成扣分事项</w:t>
            </w:r>
          </w:p>
        </w:tc>
      </w:tr>
      <w:tr w14:paraId="577AAAF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8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85D40C1">
            <w:pP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C665E07">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0" w:type="auto"/>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369B1E2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 xml:space="preserve"> 按照计划开展工作检查，制作相关资料，对照要求开展中期评估。</w:t>
            </w:r>
          </w:p>
        </w:tc>
      </w:tr>
      <w:tr w14:paraId="0D4CECD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80" w:hRule="atLeast"/>
        </w:trPr>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67934C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A88D01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D274DC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398E58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0E88CB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C893C9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D32282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C0233D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BFFC94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14:paraId="5C57527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8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F0FB4DA">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68E76E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8B58CE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60.00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6C4573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47.28</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D623F4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47.28</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A98C72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08621B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B38693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E48902A">
            <w:pPr>
              <w:keepNext w:val="0"/>
              <w:keepLines w:val="0"/>
              <w:widowControl/>
              <w:suppressLineNumbers w:val="0"/>
              <w:jc w:val="left"/>
              <w:textAlignment w:val="center"/>
              <w:rPr>
                <w:rFonts w:hint="default" w:ascii="黑体" w:hAnsi="黑体" w:eastAsia="黑体" w:cs="黑体"/>
                <w:i/>
                <w:iCs/>
                <w:color w:val="000000"/>
                <w:sz w:val="18"/>
                <w:szCs w:val="18"/>
                <w:u w:val="none"/>
              </w:rPr>
            </w:pPr>
            <w:r>
              <w:rPr>
                <w:rFonts w:hint="default" w:ascii="黑体" w:hAnsi="黑体" w:eastAsia="黑体" w:cs="黑体"/>
                <w:i/>
                <w:iCs/>
                <w:color w:val="000000"/>
                <w:kern w:val="0"/>
                <w:sz w:val="18"/>
                <w:szCs w:val="18"/>
                <w:u w:val="none"/>
                <w:lang w:val="en-US" w:eastAsia="zh-CN" w:bidi="ar"/>
              </w:rPr>
              <w:t>该项目预算执行率高于90%，预算调整原因：年底根据项目实际情况，调整收回净结余资金。</w:t>
            </w:r>
          </w:p>
        </w:tc>
      </w:tr>
      <w:tr w14:paraId="0AAA233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8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21A14A4">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91163D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D78FCE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60.00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6D8558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47.28</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C92FB8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47.28</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D11CC9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66F3F4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BFC58D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CEC3406">
            <w:pPr>
              <w:rPr>
                <w:rFonts w:hint="default" w:ascii="黑体" w:hAnsi="黑体" w:eastAsia="黑体" w:cs="黑体"/>
                <w:i/>
                <w:iCs/>
                <w:color w:val="000000"/>
                <w:sz w:val="18"/>
                <w:szCs w:val="18"/>
                <w:u w:val="none"/>
              </w:rPr>
            </w:pPr>
          </w:p>
        </w:tc>
      </w:tr>
      <w:tr w14:paraId="4FCDA2C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8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F4BF279">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103516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8F2682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5BFDEF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D06D16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B761AD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653F4B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0CAABD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3EA42C8">
            <w:pPr>
              <w:rPr>
                <w:rFonts w:hint="default" w:ascii="黑体" w:hAnsi="黑体" w:eastAsia="黑体" w:cs="黑体"/>
                <w:i/>
                <w:iCs/>
                <w:color w:val="000000"/>
                <w:sz w:val="18"/>
                <w:szCs w:val="18"/>
                <w:u w:val="none"/>
              </w:rPr>
            </w:pPr>
          </w:p>
        </w:tc>
      </w:tr>
      <w:tr w14:paraId="47393F0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8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41BC72D">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7D5A0D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D906AC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AD66A4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43CDD7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AC6B2A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7896FC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5D70A5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571F73B">
            <w:pPr>
              <w:rPr>
                <w:rFonts w:hint="default" w:ascii="黑体" w:hAnsi="黑体" w:eastAsia="黑体" w:cs="黑体"/>
                <w:i/>
                <w:iCs/>
                <w:color w:val="000000"/>
                <w:sz w:val="18"/>
                <w:szCs w:val="18"/>
                <w:u w:val="none"/>
              </w:rPr>
            </w:pPr>
          </w:p>
        </w:tc>
      </w:tr>
      <w:tr w14:paraId="47BDAA7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8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694EBC6">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790B0C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03A8BFC">
            <w:pPr>
              <w:jc w:val="center"/>
              <w:rPr>
                <w:rFonts w:hint="default" w:ascii="微软雅黑" w:hAnsi="微软雅黑" w:eastAsia="微软雅黑" w:cs="微软雅黑"/>
                <w:i/>
                <w:iCs/>
                <w:color w:val="000000"/>
                <w:sz w:val="16"/>
                <w:szCs w:val="16"/>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93A7186">
            <w:pPr>
              <w:jc w:val="center"/>
              <w:rPr>
                <w:rFonts w:hint="default" w:ascii="微软雅黑" w:hAnsi="微软雅黑" w:eastAsia="微软雅黑" w:cs="微软雅黑"/>
                <w:i/>
                <w:iCs/>
                <w:color w:val="000000"/>
                <w:sz w:val="16"/>
                <w:szCs w:val="16"/>
                <w:u w:val="none"/>
              </w:rPr>
            </w:pP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D0E96FC">
            <w:pPr>
              <w:jc w:val="center"/>
              <w:rPr>
                <w:rFonts w:hint="default" w:ascii="微软雅黑" w:hAnsi="微软雅黑" w:eastAsia="微软雅黑" w:cs="微软雅黑"/>
                <w:i/>
                <w:iCs/>
                <w:color w:val="000000"/>
                <w:sz w:val="16"/>
                <w:szCs w:val="16"/>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EE96DFC">
            <w:pPr>
              <w:jc w:val="center"/>
              <w:rPr>
                <w:rFonts w:hint="default" w:ascii="微软雅黑" w:hAnsi="微软雅黑" w:eastAsia="微软雅黑" w:cs="微软雅黑"/>
                <w:i/>
                <w:iCs/>
                <w:color w:val="000000"/>
                <w:sz w:val="16"/>
                <w:szCs w:val="16"/>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E45759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222B67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2B433F7">
            <w:pPr>
              <w:rPr>
                <w:rFonts w:hint="default" w:ascii="黑体" w:hAnsi="黑体" w:eastAsia="黑体" w:cs="黑体"/>
                <w:i/>
                <w:iCs/>
                <w:color w:val="000000"/>
                <w:sz w:val="18"/>
                <w:szCs w:val="18"/>
                <w:u w:val="none"/>
              </w:rPr>
            </w:pPr>
          </w:p>
        </w:tc>
      </w:tr>
      <w:tr w14:paraId="44DCC32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80" w:hRule="atLeast"/>
        </w:trPr>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AB52DE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9CD982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14783D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131E6A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F05C81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3DD5CF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AEF034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0AF2BF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E48CF3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54847E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97DC96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14:paraId="3838AAD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8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E143F1C">
            <w:pPr>
              <w:jc w:val="center"/>
              <w:rPr>
                <w:rFonts w:hint="eastAsia" w:ascii="宋体" w:hAnsi="宋体" w:eastAsia="宋体" w:cs="宋体"/>
                <w:i w:val="0"/>
                <w:iCs w:val="0"/>
                <w:color w:val="000000"/>
                <w:sz w:val="18"/>
                <w:szCs w:val="18"/>
                <w:u w:val="none"/>
              </w:rPr>
            </w:pP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D9517F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29047B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20C8FB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开展两项改革工作完成率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3637B1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1C7E82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2A32A2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F02137B">
            <w:pPr>
              <w:keepNext w:val="0"/>
              <w:keepLines w:val="0"/>
              <w:widowControl/>
              <w:suppressLineNumbers w:val="0"/>
              <w:jc w:val="center"/>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100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94AB86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15</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945ABE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15</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BE4EE16">
            <w:pPr>
              <w:jc w:val="center"/>
              <w:rPr>
                <w:rFonts w:hint="default" w:ascii="微软雅黑" w:hAnsi="微软雅黑" w:eastAsia="微软雅黑" w:cs="微软雅黑"/>
                <w:i/>
                <w:iCs/>
                <w:color w:val="000000"/>
                <w:sz w:val="16"/>
                <w:szCs w:val="16"/>
                <w:u w:val="none"/>
              </w:rPr>
            </w:pPr>
          </w:p>
        </w:tc>
      </w:tr>
      <w:tr w14:paraId="6F73663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8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E851D85">
            <w:pPr>
              <w:jc w:val="center"/>
              <w:rPr>
                <w:rFonts w:hint="eastAsia" w:ascii="宋体" w:hAnsi="宋体" w:eastAsia="宋体" w:cs="宋体"/>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E280B3D">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59A31B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质量指标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C20DA8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两项改革申报通过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9F4AD3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049832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CB57AD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1780A4C">
            <w:pPr>
              <w:keepNext w:val="0"/>
              <w:keepLines w:val="0"/>
              <w:widowControl/>
              <w:suppressLineNumbers w:val="0"/>
              <w:jc w:val="center"/>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100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368475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15</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480A92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15</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9BCE9E2">
            <w:pPr>
              <w:jc w:val="center"/>
              <w:rPr>
                <w:rFonts w:hint="default" w:ascii="微软雅黑" w:hAnsi="微软雅黑" w:eastAsia="微软雅黑" w:cs="微软雅黑"/>
                <w:i/>
                <w:iCs/>
                <w:color w:val="000000"/>
                <w:sz w:val="16"/>
                <w:szCs w:val="16"/>
                <w:u w:val="none"/>
              </w:rPr>
            </w:pPr>
          </w:p>
        </w:tc>
      </w:tr>
      <w:tr w14:paraId="2F43AB4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8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0C60C61">
            <w:pPr>
              <w:jc w:val="center"/>
              <w:rPr>
                <w:rFonts w:hint="eastAsia" w:ascii="宋体" w:hAnsi="宋体" w:eastAsia="宋体" w:cs="宋体"/>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807D854">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FDDFE9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时效指标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44D26A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2024年12月31日之前完成</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F4C72E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定性</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4F5B93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98</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B3C8AB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BFFB870">
            <w:pPr>
              <w:keepNext w:val="0"/>
              <w:keepLines w:val="0"/>
              <w:widowControl/>
              <w:suppressLineNumbers w:val="0"/>
              <w:jc w:val="center"/>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按时完成</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478980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69E1B7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CA64B00">
            <w:pPr>
              <w:jc w:val="center"/>
              <w:rPr>
                <w:rFonts w:hint="default" w:ascii="微软雅黑" w:hAnsi="微软雅黑" w:eastAsia="微软雅黑" w:cs="微软雅黑"/>
                <w:i/>
                <w:iCs/>
                <w:color w:val="000000"/>
                <w:sz w:val="16"/>
                <w:szCs w:val="16"/>
                <w:u w:val="none"/>
              </w:rPr>
            </w:pPr>
          </w:p>
        </w:tc>
      </w:tr>
      <w:tr w14:paraId="2846901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8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DE3F76B">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88E9F6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1B0234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52200A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0A3603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定性</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EA80A5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良</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89CA8A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6A3F8C3">
            <w:pPr>
              <w:jc w:val="center"/>
              <w:rPr>
                <w:rFonts w:hint="default" w:ascii="微软雅黑" w:hAnsi="微软雅黑" w:eastAsia="微软雅黑" w:cs="微软雅黑"/>
                <w:i/>
                <w:iCs/>
                <w:color w:val="000000"/>
                <w:sz w:val="16"/>
                <w:szCs w:val="16"/>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45F6D9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69A988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298BD1A">
            <w:pPr>
              <w:jc w:val="center"/>
              <w:rPr>
                <w:rFonts w:hint="default" w:ascii="微软雅黑" w:hAnsi="微软雅黑" w:eastAsia="微软雅黑" w:cs="微软雅黑"/>
                <w:i/>
                <w:iCs/>
                <w:color w:val="000000"/>
                <w:sz w:val="16"/>
                <w:szCs w:val="16"/>
                <w:u w:val="none"/>
              </w:rPr>
            </w:pPr>
          </w:p>
        </w:tc>
      </w:tr>
      <w:tr w14:paraId="7E5A15D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8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AFC4911">
            <w:pPr>
              <w:jc w:val="center"/>
              <w:rPr>
                <w:rFonts w:hint="eastAsia" w:ascii="宋体" w:hAnsi="宋体" w:eastAsia="宋体" w:cs="宋体"/>
                <w:i w:val="0"/>
                <w:iCs w:val="0"/>
                <w:color w:val="000000"/>
                <w:sz w:val="18"/>
                <w:szCs w:val="18"/>
                <w:u w:val="none"/>
              </w:rPr>
            </w:pP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F0EB1A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1ABC03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服务对象满意度指标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7CBFD3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服务对象满意度</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BCCB53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374166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95</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961915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693214F">
            <w:pPr>
              <w:keepNext w:val="0"/>
              <w:keepLines w:val="0"/>
              <w:widowControl/>
              <w:suppressLineNumbers w:val="0"/>
              <w:jc w:val="center"/>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98</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7970CB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5DF0B1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0967E94">
            <w:pPr>
              <w:jc w:val="center"/>
              <w:rPr>
                <w:rFonts w:hint="default" w:ascii="微软雅黑" w:hAnsi="微软雅黑" w:eastAsia="微软雅黑" w:cs="微软雅黑"/>
                <w:i/>
                <w:iCs/>
                <w:color w:val="000000"/>
                <w:sz w:val="16"/>
                <w:szCs w:val="16"/>
                <w:u w:val="none"/>
              </w:rPr>
            </w:pPr>
          </w:p>
        </w:tc>
      </w:tr>
      <w:tr w14:paraId="4383914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8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4DEEB60">
            <w:pPr>
              <w:jc w:val="center"/>
              <w:rPr>
                <w:rFonts w:hint="eastAsia" w:ascii="宋体" w:hAnsi="宋体" w:eastAsia="宋体" w:cs="宋体"/>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9EDC933">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BCE9DB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53F119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工作人员满意度</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570F92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9BF632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95</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E9CBE0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967D694">
            <w:pPr>
              <w:keepNext w:val="0"/>
              <w:keepLines w:val="0"/>
              <w:widowControl/>
              <w:suppressLineNumbers w:val="0"/>
              <w:jc w:val="center"/>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98</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7E2675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02FF09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713C09C">
            <w:pPr>
              <w:jc w:val="center"/>
              <w:rPr>
                <w:rFonts w:hint="default" w:ascii="微软雅黑" w:hAnsi="微软雅黑" w:eastAsia="微软雅黑" w:cs="微软雅黑"/>
                <w:i/>
                <w:iCs/>
                <w:color w:val="000000"/>
                <w:sz w:val="16"/>
                <w:szCs w:val="16"/>
                <w:u w:val="none"/>
              </w:rPr>
            </w:pPr>
          </w:p>
        </w:tc>
      </w:tr>
      <w:tr w14:paraId="72D8BB7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8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DC002AD">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AA1490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成本指标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BCE0C5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经济成本指标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56110E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资料印刷费</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41AD1B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E0A5AD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C802A5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万元</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2CA8469">
            <w:pPr>
              <w:keepNext w:val="0"/>
              <w:keepLines w:val="0"/>
              <w:widowControl/>
              <w:suppressLineNumbers w:val="0"/>
              <w:jc w:val="center"/>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1.75</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4DE18D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12C06C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5C8E6C5">
            <w:pPr>
              <w:keepNext w:val="0"/>
              <w:keepLines w:val="0"/>
              <w:widowControl/>
              <w:suppressLineNumbers w:val="0"/>
              <w:jc w:val="center"/>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厉行节约</w:t>
            </w:r>
          </w:p>
        </w:tc>
      </w:tr>
      <w:tr w14:paraId="0C6A024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80" w:hRule="atLeast"/>
        </w:trPr>
        <w:tc>
          <w:tcPr>
            <w:tcW w:w="0" w:type="auto"/>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7E9288B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046A5F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ECFB33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98</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B9A6EED">
            <w:pPr>
              <w:rPr>
                <w:rFonts w:hint="eastAsia" w:ascii="宋体" w:hAnsi="宋体" w:eastAsia="宋体" w:cs="宋体"/>
                <w:i w:val="0"/>
                <w:iCs w:val="0"/>
                <w:color w:val="000000"/>
                <w:sz w:val="18"/>
                <w:szCs w:val="18"/>
                <w:u w:val="none"/>
              </w:rPr>
            </w:pPr>
          </w:p>
        </w:tc>
      </w:tr>
      <w:tr w14:paraId="4B3DA26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8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B7A8D3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0" w:type="auto"/>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65FF20D3">
            <w:pPr>
              <w:keepNext w:val="0"/>
              <w:keepLines w:val="0"/>
              <w:widowControl/>
              <w:suppressLineNumbers w:val="0"/>
              <w:jc w:val="left"/>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划分全州五大类65个乡镇片区，2024年全面片区国土空间规划，对片区名称、功能、范围等基础信息进行全面审核，全面推动片区空间规划落地落实。我局结合两项改革工作，统筹州县投入资金8亿元，以国土空间规划为抓手，推进片区发展，助力中心集镇打造，进一步明确发展定位，有序推动产业发展，积极优化乡村生产力布局和公共资源配置。</w:t>
            </w:r>
          </w:p>
        </w:tc>
      </w:tr>
      <w:tr w14:paraId="44F4610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8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4CD1BB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0" w:type="auto"/>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604FBCE2">
            <w:pPr>
              <w:keepNext w:val="0"/>
              <w:keepLines w:val="0"/>
              <w:widowControl/>
              <w:suppressLineNumbers w:val="0"/>
              <w:jc w:val="left"/>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年初预算执行率未达100%，侧面反映了预算能力有待提升。</w:t>
            </w:r>
          </w:p>
        </w:tc>
      </w:tr>
      <w:tr w14:paraId="08E86AB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8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8D0381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0" w:type="auto"/>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7FB45D5C">
            <w:pPr>
              <w:keepNext w:val="0"/>
              <w:keepLines w:val="0"/>
              <w:widowControl/>
              <w:suppressLineNumbers w:val="0"/>
              <w:jc w:val="left"/>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加大对预算测算依据的把控，进一步提升预算的精确的，避免预算资金剩余闲置。</w:t>
            </w:r>
          </w:p>
        </w:tc>
      </w:tr>
      <w:tr w14:paraId="40914AE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80" w:hRule="atLeast"/>
        </w:trPr>
        <w:tc>
          <w:tcPr>
            <w:tcW w:w="0" w:type="auto"/>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97C23F4">
            <w:pPr>
              <w:keepNext w:val="0"/>
              <w:keepLines w:val="0"/>
              <w:widowControl/>
              <w:suppressLineNumbers w:val="0"/>
              <w:jc w:val="left"/>
              <w:textAlignment w:val="center"/>
              <w:rPr>
                <w:rFonts w:hint="default" w:ascii="黑体" w:hAnsi="黑体" w:eastAsia="黑体" w:cs="黑体"/>
                <w:i w:val="0"/>
                <w:iCs w:val="0"/>
                <w:color w:val="000000"/>
                <w:sz w:val="18"/>
                <w:szCs w:val="18"/>
                <w:u w:val="none"/>
              </w:rPr>
            </w:pPr>
            <w:r>
              <w:rPr>
                <w:rFonts w:hint="default" w:ascii="黑体" w:hAnsi="黑体" w:eastAsia="黑体" w:cs="黑体"/>
                <w:i w:val="0"/>
                <w:iCs w:val="0"/>
                <w:color w:val="000000"/>
                <w:kern w:val="0"/>
                <w:sz w:val="18"/>
                <w:szCs w:val="18"/>
                <w:u w:val="none"/>
                <w:lang w:val="en-US" w:eastAsia="zh-CN" w:bidi="ar"/>
              </w:rPr>
              <w:t>项目负责人：周晓龙</w:t>
            </w:r>
          </w:p>
        </w:tc>
        <w:tc>
          <w:tcPr>
            <w:tcW w:w="0" w:type="auto"/>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6C328044">
            <w:pPr>
              <w:keepNext w:val="0"/>
              <w:keepLines w:val="0"/>
              <w:widowControl/>
              <w:suppressLineNumbers w:val="0"/>
              <w:jc w:val="center"/>
              <w:textAlignment w:val="center"/>
              <w:rPr>
                <w:rFonts w:hint="default" w:ascii="黑体" w:hAnsi="黑体" w:eastAsia="黑体" w:cs="黑体"/>
                <w:i w:val="0"/>
                <w:iCs w:val="0"/>
                <w:color w:val="000000"/>
                <w:sz w:val="18"/>
                <w:szCs w:val="18"/>
                <w:u w:val="none"/>
              </w:rPr>
            </w:pPr>
            <w:r>
              <w:rPr>
                <w:rFonts w:hint="default" w:ascii="黑体" w:hAnsi="黑体" w:eastAsia="黑体" w:cs="黑体"/>
                <w:i w:val="0"/>
                <w:iCs w:val="0"/>
                <w:color w:val="000000"/>
                <w:kern w:val="0"/>
                <w:sz w:val="18"/>
                <w:szCs w:val="18"/>
                <w:u w:val="none"/>
                <w:lang w:val="en-US" w:eastAsia="zh-CN" w:bidi="ar"/>
              </w:rPr>
              <w:t>财务负责人：杨琴琴</w:t>
            </w:r>
          </w:p>
        </w:tc>
      </w:tr>
      <w:tr w14:paraId="3A95541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20" w:hRule="atLeast"/>
        </w:trPr>
        <w:tc>
          <w:tcPr>
            <w:tcW w:w="0" w:type="auto"/>
            <w:tcBorders>
              <w:top w:val="nil"/>
              <w:left w:val="nil"/>
              <w:bottom w:val="nil"/>
              <w:right w:val="nil"/>
            </w:tcBorders>
            <w:shd w:val="clear" w:color="auto" w:fill="auto"/>
            <w:vAlign w:val="center"/>
          </w:tcPr>
          <w:p w14:paraId="3C11765A">
            <w:pPr>
              <w:rPr>
                <w:rFonts w:hint="eastAsia" w:ascii="宋体" w:hAnsi="宋体" w:eastAsia="宋体" w:cs="宋体"/>
                <w:i w:val="0"/>
                <w:iCs w:val="0"/>
                <w:color w:val="000000"/>
                <w:sz w:val="18"/>
                <w:szCs w:val="18"/>
                <w:u w:val="none"/>
              </w:rPr>
            </w:pPr>
          </w:p>
        </w:tc>
        <w:tc>
          <w:tcPr>
            <w:tcW w:w="0" w:type="auto"/>
            <w:tcBorders>
              <w:top w:val="nil"/>
              <w:left w:val="nil"/>
              <w:bottom w:val="nil"/>
              <w:right w:val="nil"/>
            </w:tcBorders>
            <w:shd w:val="clear" w:color="auto" w:fill="auto"/>
            <w:vAlign w:val="center"/>
          </w:tcPr>
          <w:p w14:paraId="64B6F0D7">
            <w:pPr>
              <w:rPr>
                <w:rFonts w:hint="eastAsia" w:ascii="宋体" w:hAnsi="宋体" w:eastAsia="宋体" w:cs="宋体"/>
                <w:i w:val="0"/>
                <w:iCs w:val="0"/>
                <w:color w:val="000000"/>
                <w:sz w:val="18"/>
                <w:szCs w:val="18"/>
                <w:u w:val="none"/>
              </w:rPr>
            </w:pPr>
          </w:p>
        </w:tc>
        <w:tc>
          <w:tcPr>
            <w:tcW w:w="0" w:type="auto"/>
            <w:tcBorders>
              <w:top w:val="nil"/>
              <w:left w:val="nil"/>
              <w:bottom w:val="nil"/>
              <w:right w:val="nil"/>
            </w:tcBorders>
            <w:shd w:val="clear" w:color="auto" w:fill="auto"/>
            <w:vAlign w:val="center"/>
          </w:tcPr>
          <w:p w14:paraId="2DAD55E0">
            <w:pPr>
              <w:jc w:val="center"/>
              <w:rPr>
                <w:rFonts w:hint="eastAsia" w:ascii="宋体" w:hAnsi="宋体" w:eastAsia="宋体" w:cs="宋体"/>
                <w:i w:val="0"/>
                <w:iCs w:val="0"/>
                <w:color w:val="000000"/>
                <w:sz w:val="18"/>
                <w:szCs w:val="18"/>
                <w:u w:val="none"/>
              </w:rPr>
            </w:pPr>
          </w:p>
        </w:tc>
        <w:tc>
          <w:tcPr>
            <w:tcW w:w="0" w:type="auto"/>
            <w:tcBorders>
              <w:top w:val="nil"/>
              <w:left w:val="nil"/>
              <w:bottom w:val="nil"/>
              <w:right w:val="nil"/>
            </w:tcBorders>
            <w:shd w:val="clear" w:color="auto" w:fill="auto"/>
            <w:vAlign w:val="center"/>
          </w:tcPr>
          <w:p w14:paraId="5D227E19">
            <w:pPr>
              <w:jc w:val="center"/>
              <w:rPr>
                <w:rFonts w:hint="eastAsia" w:ascii="宋体" w:hAnsi="宋体" w:eastAsia="宋体" w:cs="宋体"/>
                <w:i w:val="0"/>
                <w:iCs w:val="0"/>
                <w:color w:val="000000"/>
                <w:sz w:val="18"/>
                <w:szCs w:val="18"/>
                <w:u w:val="none"/>
              </w:rPr>
            </w:pPr>
          </w:p>
        </w:tc>
        <w:tc>
          <w:tcPr>
            <w:tcW w:w="0" w:type="auto"/>
            <w:tcBorders>
              <w:top w:val="nil"/>
              <w:left w:val="nil"/>
              <w:bottom w:val="nil"/>
              <w:right w:val="nil"/>
            </w:tcBorders>
            <w:shd w:val="clear" w:color="auto" w:fill="auto"/>
            <w:vAlign w:val="center"/>
          </w:tcPr>
          <w:p w14:paraId="3AF62204">
            <w:pPr>
              <w:jc w:val="center"/>
              <w:rPr>
                <w:rFonts w:hint="eastAsia" w:ascii="宋体" w:hAnsi="宋体" w:eastAsia="宋体" w:cs="宋体"/>
                <w:i w:val="0"/>
                <w:iCs w:val="0"/>
                <w:color w:val="000000"/>
                <w:sz w:val="18"/>
                <w:szCs w:val="18"/>
                <w:u w:val="none"/>
              </w:rPr>
            </w:pPr>
          </w:p>
        </w:tc>
        <w:tc>
          <w:tcPr>
            <w:tcW w:w="0" w:type="auto"/>
            <w:tcBorders>
              <w:top w:val="nil"/>
              <w:left w:val="nil"/>
              <w:bottom w:val="nil"/>
              <w:right w:val="nil"/>
            </w:tcBorders>
            <w:shd w:val="clear" w:color="auto" w:fill="auto"/>
            <w:vAlign w:val="center"/>
          </w:tcPr>
          <w:p w14:paraId="24B12AD1">
            <w:pPr>
              <w:jc w:val="center"/>
              <w:rPr>
                <w:rFonts w:hint="eastAsia" w:ascii="宋体" w:hAnsi="宋体" w:eastAsia="宋体" w:cs="宋体"/>
                <w:i w:val="0"/>
                <w:iCs w:val="0"/>
                <w:color w:val="000000"/>
                <w:sz w:val="18"/>
                <w:szCs w:val="18"/>
                <w:u w:val="none"/>
              </w:rPr>
            </w:pPr>
          </w:p>
        </w:tc>
        <w:tc>
          <w:tcPr>
            <w:tcW w:w="0" w:type="auto"/>
            <w:tcBorders>
              <w:top w:val="nil"/>
              <w:left w:val="nil"/>
              <w:bottom w:val="nil"/>
              <w:right w:val="nil"/>
            </w:tcBorders>
            <w:shd w:val="clear" w:color="auto" w:fill="auto"/>
            <w:vAlign w:val="center"/>
          </w:tcPr>
          <w:p w14:paraId="4BD6F948">
            <w:pPr>
              <w:jc w:val="center"/>
              <w:rPr>
                <w:rFonts w:hint="eastAsia" w:ascii="宋体" w:hAnsi="宋体" w:eastAsia="宋体" w:cs="宋体"/>
                <w:i w:val="0"/>
                <w:iCs w:val="0"/>
                <w:color w:val="000000"/>
                <w:sz w:val="18"/>
                <w:szCs w:val="18"/>
                <w:u w:val="none"/>
              </w:rPr>
            </w:pPr>
          </w:p>
        </w:tc>
        <w:tc>
          <w:tcPr>
            <w:tcW w:w="0" w:type="auto"/>
            <w:tcBorders>
              <w:top w:val="nil"/>
              <w:left w:val="nil"/>
              <w:bottom w:val="nil"/>
              <w:right w:val="nil"/>
            </w:tcBorders>
            <w:shd w:val="clear" w:color="auto" w:fill="auto"/>
            <w:vAlign w:val="center"/>
          </w:tcPr>
          <w:p w14:paraId="24CF15AD">
            <w:pPr>
              <w:jc w:val="center"/>
              <w:rPr>
                <w:rFonts w:hint="eastAsia" w:ascii="宋体" w:hAnsi="宋体" w:eastAsia="宋体" w:cs="宋体"/>
                <w:i w:val="0"/>
                <w:iCs w:val="0"/>
                <w:color w:val="000000"/>
                <w:sz w:val="18"/>
                <w:szCs w:val="18"/>
                <w:u w:val="none"/>
              </w:rPr>
            </w:pPr>
          </w:p>
        </w:tc>
        <w:tc>
          <w:tcPr>
            <w:tcW w:w="0" w:type="auto"/>
            <w:tcBorders>
              <w:top w:val="nil"/>
              <w:left w:val="nil"/>
              <w:bottom w:val="nil"/>
              <w:right w:val="nil"/>
            </w:tcBorders>
            <w:shd w:val="clear" w:color="auto" w:fill="auto"/>
            <w:vAlign w:val="center"/>
          </w:tcPr>
          <w:p w14:paraId="14F7269B">
            <w:pPr>
              <w:jc w:val="center"/>
              <w:rPr>
                <w:rFonts w:hint="eastAsia" w:ascii="宋体" w:hAnsi="宋体" w:eastAsia="宋体" w:cs="宋体"/>
                <w:i w:val="0"/>
                <w:iCs w:val="0"/>
                <w:color w:val="000000"/>
                <w:sz w:val="18"/>
                <w:szCs w:val="18"/>
                <w:u w:val="none"/>
              </w:rPr>
            </w:pPr>
          </w:p>
        </w:tc>
        <w:tc>
          <w:tcPr>
            <w:tcW w:w="0" w:type="auto"/>
            <w:tcBorders>
              <w:top w:val="nil"/>
              <w:left w:val="nil"/>
              <w:bottom w:val="nil"/>
              <w:right w:val="nil"/>
            </w:tcBorders>
            <w:shd w:val="clear" w:color="auto" w:fill="auto"/>
            <w:vAlign w:val="center"/>
          </w:tcPr>
          <w:p w14:paraId="6AB983FD">
            <w:pPr>
              <w:jc w:val="center"/>
              <w:rPr>
                <w:rFonts w:hint="eastAsia" w:ascii="宋体" w:hAnsi="宋体" w:eastAsia="宋体" w:cs="宋体"/>
                <w:i w:val="0"/>
                <w:iCs w:val="0"/>
                <w:color w:val="000000"/>
                <w:sz w:val="18"/>
                <w:szCs w:val="18"/>
                <w:u w:val="none"/>
              </w:rPr>
            </w:pPr>
          </w:p>
        </w:tc>
        <w:tc>
          <w:tcPr>
            <w:tcW w:w="0" w:type="auto"/>
            <w:tcBorders>
              <w:top w:val="nil"/>
              <w:left w:val="nil"/>
              <w:bottom w:val="nil"/>
              <w:right w:val="nil"/>
            </w:tcBorders>
            <w:shd w:val="clear" w:color="auto" w:fill="auto"/>
            <w:vAlign w:val="center"/>
          </w:tcPr>
          <w:p w14:paraId="44F06918">
            <w:pPr>
              <w:rPr>
                <w:rFonts w:hint="eastAsia" w:ascii="宋体" w:hAnsi="宋体" w:eastAsia="宋体" w:cs="宋体"/>
                <w:i w:val="0"/>
                <w:iCs w:val="0"/>
                <w:color w:val="000000"/>
                <w:sz w:val="18"/>
                <w:szCs w:val="18"/>
                <w:u w:val="none"/>
              </w:rPr>
            </w:pPr>
          </w:p>
        </w:tc>
      </w:tr>
      <w:tr w14:paraId="1DD9FB1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60" w:hRule="atLeast"/>
        </w:trPr>
        <w:tc>
          <w:tcPr>
            <w:tcW w:w="0" w:type="auto"/>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49CD807A">
            <w:pPr>
              <w:keepNext w:val="0"/>
              <w:keepLines w:val="0"/>
              <w:widowControl/>
              <w:suppressLineNumbers w:val="0"/>
              <w:jc w:val="center"/>
              <w:textAlignment w:val="center"/>
              <w:rPr>
                <w:rFonts w:hint="eastAsia"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部门预算项目支出绩效自评表（2024年度）</w:t>
            </w:r>
          </w:p>
        </w:tc>
      </w:tr>
      <w:tr w14:paraId="4E528DF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0" w:type="auto"/>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3C05D1D">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0" w:type="auto"/>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77AD1E7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51320023T000007892134-阿坝州社会组织孵化园运营经费</w:t>
            </w:r>
          </w:p>
        </w:tc>
      </w:tr>
      <w:tr w14:paraId="2ABE3BE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2" w:hRule="atLeast"/>
        </w:trPr>
        <w:tc>
          <w:tcPr>
            <w:tcW w:w="0" w:type="auto"/>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9F4F672">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0" w:type="auto"/>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46DF77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州民政局部门</w:t>
            </w:r>
          </w:p>
        </w:tc>
        <w:tc>
          <w:tcPr>
            <w:tcW w:w="0" w:type="auto"/>
            <w:tcBorders>
              <w:top w:val="nil"/>
              <w:left w:val="nil"/>
              <w:bottom w:val="nil"/>
              <w:right w:val="nil"/>
            </w:tcBorders>
            <w:shd w:val="clear" w:color="auto" w:fill="auto"/>
            <w:vAlign w:val="center"/>
          </w:tcPr>
          <w:p w14:paraId="0377F8DD">
            <w:pPr>
              <w:keepNext w:val="0"/>
              <w:keepLines w:val="0"/>
              <w:widowControl/>
              <w:suppressLineNumbers w:val="0"/>
              <w:jc w:val="center"/>
              <w:textAlignment w:val="center"/>
              <w:rPr>
                <w:rFonts w:hint="default" w:ascii="黑体" w:hAnsi="黑体" w:eastAsia="黑体" w:cs="黑体"/>
                <w:i w:val="0"/>
                <w:iCs w:val="0"/>
                <w:color w:val="000000"/>
                <w:sz w:val="18"/>
                <w:szCs w:val="18"/>
                <w:u w:val="none"/>
              </w:rPr>
            </w:pPr>
            <w:r>
              <w:rPr>
                <w:rFonts w:hint="default" w:ascii="黑体" w:hAnsi="黑体" w:eastAsia="黑体" w:cs="黑体"/>
                <w:i w:val="0"/>
                <w:iCs w:val="0"/>
                <w:color w:val="000000"/>
                <w:kern w:val="0"/>
                <w:sz w:val="18"/>
                <w:szCs w:val="18"/>
                <w:u w:val="none"/>
                <w:lang w:val="en-US" w:eastAsia="zh-CN" w:bidi="ar"/>
              </w:rPr>
              <w:t>实施单位 （盖章）</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1B1528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州民政局</w:t>
            </w:r>
          </w:p>
        </w:tc>
      </w:tr>
      <w:tr w14:paraId="38051E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89FB9F7">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D916488">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0" w:type="auto"/>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AE4666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0" w:type="auto"/>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79C2B221">
            <w:pPr>
              <w:keepNext w:val="0"/>
              <w:keepLines w:val="0"/>
              <w:widowControl/>
              <w:suppressLineNumbers w:val="0"/>
              <w:jc w:val="center"/>
              <w:textAlignment w:val="center"/>
              <w:rPr>
                <w:rFonts w:hint="default" w:ascii="黑体" w:hAnsi="黑体" w:eastAsia="黑体" w:cs="黑体"/>
                <w:i w:val="0"/>
                <w:iCs w:val="0"/>
                <w:color w:val="000000"/>
                <w:sz w:val="18"/>
                <w:szCs w:val="18"/>
                <w:u w:val="none"/>
              </w:rPr>
            </w:pPr>
            <w:r>
              <w:rPr>
                <w:rFonts w:hint="default" w:ascii="黑体" w:hAnsi="黑体" w:eastAsia="黑体" w:cs="黑体"/>
                <w:i w:val="0"/>
                <w:iCs w:val="0"/>
                <w:color w:val="000000"/>
                <w:kern w:val="0"/>
                <w:sz w:val="18"/>
                <w:szCs w:val="18"/>
                <w:u w:val="none"/>
                <w:lang w:val="en-US" w:eastAsia="zh-CN" w:bidi="ar"/>
              </w:rPr>
              <w:t>年度目标完成情况</w:t>
            </w:r>
          </w:p>
        </w:tc>
      </w:tr>
      <w:tr w14:paraId="729D7B2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8"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66065C8">
            <w:pPr>
              <w:rPr>
                <w:rFonts w:hint="eastAsia" w:ascii="宋体" w:hAnsi="宋体" w:eastAsia="宋体" w:cs="宋体"/>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AA050A9">
            <w:pPr>
              <w:rPr>
                <w:rFonts w:hint="eastAsia" w:ascii="宋体" w:hAnsi="宋体" w:eastAsia="宋体" w:cs="宋体"/>
                <w:i w:val="0"/>
                <w:iCs w:val="0"/>
                <w:color w:val="000000"/>
                <w:sz w:val="18"/>
                <w:szCs w:val="18"/>
                <w:u w:val="none"/>
              </w:rPr>
            </w:pPr>
          </w:p>
        </w:tc>
        <w:tc>
          <w:tcPr>
            <w:tcW w:w="0" w:type="auto"/>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2B85C9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按照《四川省民政厅关于印发市（州）社会组织孵化园建设指导方案的通知》（川民发[2021]23号）文件要求，2021年建成阿坝州社会组织孵化园，省级无配套运营经费，根据测算，需配套州级福彩公益金30万元保障正常运营。</w:t>
            </w:r>
          </w:p>
        </w:tc>
        <w:tc>
          <w:tcPr>
            <w:tcW w:w="0" w:type="auto"/>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6B280E7C">
            <w:pPr>
              <w:keepNext w:val="0"/>
              <w:keepLines w:val="0"/>
              <w:widowControl/>
              <w:suppressLineNumbers w:val="0"/>
              <w:jc w:val="center"/>
              <w:textAlignment w:val="center"/>
              <w:rPr>
                <w:rFonts w:hint="default" w:ascii="黑体" w:hAnsi="黑体" w:eastAsia="黑体" w:cs="黑体"/>
                <w:i w:val="0"/>
                <w:iCs w:val="0"/>
                <w:color w:val="000000"/>
                <w:sz w:val="18"/>
                <w:szCs w:val="18"/>
                <w:u w:val="none"/>
              </w:rPr>
            </w:pPr>
            <w:r>
              <w:rPr>
                <w:rFonts w:hint="default" w:ascii="黑体" w:hAnsi="黑体" w:eastAsia="黑体" w:cs="黑体"/>
                <w:i w:val="0"/>
                <w:iCs w:val="0"/>
                <w:color w:val="000000"/>
                <w:kern w:val="0"/>
                <w:sz w:val="18"/>
                <w:szCs w:val="18"/>
                <w:u w:val="none"/>
                <w:lang w:val="en-US" w:eastAsia="zh-CN" w:bidi="ar"/>
              </w:rPr>
              <w:t>对照年度目标，说明相关任务目标的完成情况（100字以内）</w:t>
            </w:r>
          </w:p>
        </w:tc>
      </w:tr>
      <w:tr w14:paraId="34C98CB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93"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77FF9F8">
            <w:pP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9CC79DD">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0" w:type="auto"/>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2A36A826">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 xml:space="preserve">  根据《四川省民政厅关于印发市（州）社会组织孵化园建设指导方案的通知》（川民发〔2021〕23号）要求，阿坝州民政局于2022年12月通过竞争性磋商方式（项目编号：SCFCJG-20221101）开展阿坝州社会组织孵化园运行委托方采购，确定阿坝州友邦社会工作服务中心为运营单位。阿坝州社会组织孵化园成立阿坝州社会组织孵化园专家库，自主组建管理服务团队5人，包括行政综合部、党建引领部、财务管理部、孵化培育部、资源衔接部及督导，建立安全管理制度，组织开展消防安全培训2次，运行以来园区无安全事故。以专业化、多样化服务提供为目标，利用自身优势整合各类专业服务资源，建立优化服务体系。</w:t>
            </w:r>
          </w:p>
        </w:tc>
      </w:tr>
      <w:tr w14:paraId="70B9AC4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F0D463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CD0AF1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4D434C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FD5C71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4355CC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0CDBC8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7E45B4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016614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50313C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14:paraId="5EFB686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1AB027F">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42197A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75B12C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6D034E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28.90</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94DCC9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28.90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989163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61E2F6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5730A6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806EBC7">
            <w:pPr>
              <w:keepNext w:val="0"/>
              <w:keepLines w:val="0"/>
              <w:widowControl/>
              <w:suppressLineNumbers w:val="0"/>
              <w:jc w:val="left"/>
              <w:textAlignment w:val="center"/>
              <w:rPr>
                <w:rFonts w:hint="default" w:ascii="黑体" w:hAnsi="黑体" w:eastAsia="黑体" w:cs="黑体"/>
                <w:i/>
                <w:iCs/>
                <w:color w:val="000000"/>
                <w:sz w:val="18"/>
                <w:szCs w:val="18"/>
                <w:u w:val="none"/>
              </w:rPr>
            </w:pPr>
            <w:r>
              <w:rPr>
                <w:rFonts w:hint="default" w:ascii="黑体" w:hAnsi="黑体" w:eastAsia="黑体" w:cs="黑体"/>
                <w:i/>
                <w:iCs/>
                <w:color w:val="000000"/>
                <w:kern w:val="0"/>
                <w:sz w:val="18"/>
                <w:szCs w:val="18"/>
                <w:u w:val="none"/>
                <w:lang w:val="en-US" w:eastAsia="zh-CN" w:bidi="ar"/>
              </w:rPr>
              <w:t>该项目预算执行率高于90%，无预算调整。</w:t>
            </w:r>
          </w:p>
        </w:tc>
      </w:tr>
      <w:tr w14:paraId="0ED38E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C2D49F1">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43106B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A749C2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0BB1F1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28.90</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ABC391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28.90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F53045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3A987E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39F7F9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99C92D5">
            <w:pPr>
              <w:rPr>
                <w:rFonts w:hint="default" w:ascii="黑体" w:hAnsi="黑体" w:eastAsia="黑体" w:cs="黑体"/>
                <w:i/>
                <w:iCs/>
                <w:color w:val="000000"/>
                <w:sz w:val="18"/>
                <w:szCs w:val="18"/>
                <w:u w:val="none"/>
              </w:rPr>
            </w:pPr>
          </w:p>
        </w:tc>
      </w:tr>
      <w:tr w14:paraId="17C93A5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9832253">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5BF02A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C36BB7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99BEA1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FF21B9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6CDF22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6C3C06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0A0BBE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24B96C7">
            <w:pPr>
              <w:rPr>
                <w:rFonts w:hint="default" w:ascii="黑体" w:hAnsi="黑体" w:eastAsia="黑体" w:cs="黑体"/>
                <w:i/>
                <w:iCs/>
                <w:color w:val="000000"/>
                <w:sz w:val="18"/>
                <w:szCs w:val="18"/>
                <w:u w:val="none"/>
              </w:rPr>
            </w:pPr>
          </w:p>
        </w:tc>
      </w:tr>
      <w:tr w14:paraId="78C820A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5A9EE48">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357688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69D1C5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B88046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AC2E91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0F05FC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C99D73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6AE435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C471411">
            <w:pPr>
              <w:rPr>
                <w:rFonts w:hint="default" w:ascii="黑体" w:hAnsi="黑体" w:eastAsia="黑体" w:cs="黑体"/>
                <w:i/>
                <w:iCs/>
                <w:color w:val="000000"/>
                <w:sz w:val="18"/>
                <w:szCs w:val="18"/>
                <w:u w:val="none"/>
              </w:rPr>
            </w:pPr>
          </w:p>
        </w:tc>
      </w:tr>
      <w:tr w14:paraId="6658869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5850F86">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2C3C3A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6FF1855">
            <w:pPr>
              <w:jc w:val="center"/>
              <w:rPr>
                <w:rFonts w:hint="default" w:ascii="微软雅黑" w:hAnsi="微软雅黑" w:eastAsia="微软雅黑" w:cs="微软雅黑"/>
                <w:i/>
                <w:iCs/>
                <w:color w:val="000000"/>
                <w:sz w:val="16"/>
                <w:szCs w:val="16"/>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3F8C49A">
            <w:pPr>
              <w:jc w:val="center"/>
              <w:rPr>
                <w:rFonts w:hint="default" w:ascii="微软雅黑" w:hAnsi="微软雅黑" w:eastAsia="微软雅黑" w:cs="微软雅黑"/>
                <w:i/>
                <w:iCs/>
                <w:color w:val="000000"/>
                <w:sz w:val="16"/>
                <w:szCs w:val="16"/>
                <w:u w:val="none"/>
              </w:rPr>
            </w:pP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D2824A1">
            <w:pPr>
              <w:jc w:val="center"/>
              <w:rPr>
                <w:rFonts w:hint="default" w:ascii="微软雅黑" w:hAnsi="微软雅黑" w:eastAsia="微软雅黑" w:cs="微软雅黑"/>
                <w:i/>
                <w:iCs/>
                <w:color w:val="000000"/>
                <w:sz w:val="16"/>
                <w:szCs w:val="16"/>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E0E5FA2">
            <w:pPr>
              <w:jc w:val="center"/>
              <w:rPr>
                <w:rFonts w:hint="default" w:ascii="微软雅黑" w:hAnsi="微软雅黑" w:eastAsia="微软雅黑" w:cs="微软雅黑"/>
                <w:i/>
                <w:iCs/>
                <w:color w:val="000000"/>
                <w:sz w:val="16"/>
                <w:szCs w:val="16"/>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DEA17E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FFFAC9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1BD112D">
            <w:pPr>
              <w:rPr>
                <w:rFonts w:hint="default" w:ascii="黑体" w:hAnsi="黑体" w:eastAsia="黑体" w:cs="黑体"/>
                <w:i/>
                <w:iCs/>
                <w:color w:val="000000"/>
                <w:sz w:val="18"/>
                <w:szCs w:val="18"/>
                <w:u w:val="none"/>
              </w:rPr>
            </w:pPr>
          </w:p>
        </w:tc>
      </w:tr>
      <w:tr w14:paraId="4253B28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9897F7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CDCB0F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F8D4B2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C0158E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43DBCB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41B363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7DBAB7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6F7B24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74BCB0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3102F5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08D6FA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14:paraId="42F9824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C22939D">
            <w:pPr>
              <w:jc w:val="center"/>
              <w:rPr>
                <w:rFonts w:hint="eastAsia" w:ascii="宋体" w:hAnsi="宋体" w:eastAsia="宋体" w:cs="宋体"/>
                <w:i w:val="0"/>
                <w:iCs w:val="0"/>
                <w:color w:val="000000"/>
                <w:sz w:val="18"/>
                <w:szCs w:val="18"/>
                <w:u w:val="none"/>
              </w:rPr>
            </w:pP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E7F99A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8EC695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BA623A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社会组织孵化园数</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E18A94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19E6E4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B1FDA0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个</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AC5B6F6">
            <w:pPr>
              <w:keepNext w:val="0"/>
              <w:keepLines w:val="0"/>
              <w:widowControl/>
              <w:suppressLineNumbers w:val="0"/>
              <w:jc w:val="center"/>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B458E0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15</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5BCC7F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15</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C300925">
            <w:pPr>
              <w:jc w:val="center"/>
              <w:rPr>
                <w:rFonts w:hint="default" w:ascii="微软雅黑" w:hAnsi="微软雅黑" w:eastAsia="微软雅黑" w:cs="微软雅黑"/>
                <w:i/>
                <w:iCs/>
                <w:color w:val="000000"/>
                <w:sz w:val="16"/>
                <w:szCs w:val="16"/>
                <w:u w:val="none"/>
              </w:rPr>
            </w:pPr>
          </w:p>
        </w:tc>
      </w:tr>
      <w:tr w14:paraId="7CFEC20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CE4A46C">
            <w:pPr>
              <w:jc w:val="center"/>
              <w:rPr>
                <w:rFonts w:hint="eastAsia" w:ascii="宋体" w:hAnsi="宋体" w:eastAsia="宋体" w:cs="宋体"/>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07C973C">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6659B4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质量指标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90E165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社工服务质量提升率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24A68F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E94E7E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0E101A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E2B1CE0">
            <w:pPr>
              <w:keepNext w:val="0"/>
              <w:keepLines w:val="0"/>
              <w:widowControl/>
              <w:suppressLineNumbers w:val="0"/>
              <w:jc w:val="center"/>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90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AF6B2A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AA92EC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4C54D80">
            <w:pPr>
              <w:jc w:val="center"/>
              <w:rPr>
                <w:rFonts w:hint="default" w:ascii="微软雅黑" w:hAnsi="微软雅黑" w:eastAsia="微软雅黑" w:cs="微软雅黑"/>
                <w:i/>
                <w:iCs/>
                <w:color w:val="000000"/>
                <w:sz w:val="16"/>
                <w:szCs w:val="16"/>
                <w:u w:val="none"/>
              </w:rPr>
            </w:pPr>
          </w:p>
        </w:tc>
      </w:tr>
      <w:tr w14:paraId="5772AB3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E0E9C88">
            <w:pPr>
              <w:jc w:val="center"/>
              <w:rPr>
                <w:rFonts w:hint="eastAsia" w:ascii="宋体" w:hAnsi="宋体" w:eastAsia="宋体" w:cs="宋体"/>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2767D8B">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5CF5B6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时效指标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496BED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项目完成时间</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A3ED7A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定性</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196C11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2024年12月</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99BD2A4">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0BAAA8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2024年12月</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5FAF93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15</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96D507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15</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146B048">
            <w:pPr>
              <w:jc w:val="center"/>
              <w:rPr>
                <w:rFonts w:hint="default" w:ascii="微软雅黑" w:hAnsi="微软雅黑" w:eastAsia="微软雅黑" w:cs="微软雅黑"/>
                <w:i/>
                <w:iCs/>
                <w:color w:val="000000"/>
                <w:sz w:val="16"/>
                <w:szCs w:val="16"/>
                <w:u w:val="none"/>
              </w:rPr>
            </w:pPr>
          </w:p>
        </w:tc>
      </w:tr>
      <w:tr w14:paraId="5B597C7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B525108">
            <w:pPr>
              <w:jc w:val="center"/>
              <w:rPr>
                <w:rFonts w:hint="eastAsia" w:ascii="宋体" w:hAnsi="宋体" w:eastAsia="宋体" w:cs="宋体"/>
                <w:i w:val="0"/>
                <w:iCs w:val="0"/>
                <w:color w:val="000000"/>
                <w:sz w:val="18"/>
                <w:szCs w:val="18"/>
                <w:u w:val="none"/>
              </w:rPr>
            </w:pP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367AA6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05324B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57EA60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社工就业率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F2D2C3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5DC345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37B2B7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9A3B3B1">
            <w:pPr>
              <w:keepNext w:val="0"/>
              <w:keepLines w:val="0"/>
              <w:widowControl/>
              <w:suppressLineNumbers w:val="0"/>
              <w:jc w:val="center"/>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85</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31B438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0E8622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E850498">
            <w:pPr>
              <w:jc w:val="center"/>
              <w:rPr>
                <w:rFonts w:hint="default" w:ascii="微软雅黑" w:hAnsi="微软雅黑" w:eastAsia="微软雅黑" w:cs="微软雅黑"/>
                <w:i/>
                <w:iCs/>
                <w:color w:val="000000"/>
                <w:sz w:val="16"/>
                <w:szCs w:val="16"/>
                <w:u w:val="none"/>
              </w:rPr>
            </w:pPr>
          </w:p>
        </w:tc>
      </w:tr>
      <w:tr w14:paraId="37629F3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7EC0592">
            <w:pPr>
              <w:jc w:val="center"/>
              <w:rPr>
                <w:rFonts w:hint="eastAsia" w:ascii="宋体" w:hAnsi="宋体" w:eastAsia="宋体" w:cs="宋体"/>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5B02C58">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053DCB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可持续影响指标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4398D0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加快社会组织发展</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3ED65A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定性</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038B3E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优</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7E16774">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9664C61">
            <w:pPr>
              <w:keepNext w:val="0"/>
              <w:keepLines w:val="0"/>
              <w:widowControl/>
              <w:suppressLineNumbers w:val="0"/>
              <w:jc w:val="center"/>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优</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2142CC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55A3C7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7439D6C">
            <w:pPr>
              <w:jc w:val="center"/>
              <w:rPr>
                <w:rFonts w:hint="default" w:ascii="微软雅黑" w:hAnsi="微软雅黑" w:eastAsia="微软雅黑" w:cs="微软雅黑"/>
                <w:i/>
                <w:iCs/>
                <w:color w:val="000000"/>
                <w:sz w:val="16"/>
                <w:szCs w:val="16"/>
                <w:u w:val="none"/>
              </w:rPr>
            </w:pPr>
          </w:p>
        </w:tc>
      </w:tr>
      <w:tr w14:paraId="7B47A15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7C341D9">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2FD465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B1F11B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服务对象满意度指标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CA3784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社工服务对象满意度</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5D3368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B400A8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9FD84A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DE03E98">
            <w:pPr>
              <w:keepNext w:val="0"/>
              <w:keepLines w:val="0"/>
              <w:widowControl/>
              <w:suppressLineNumbers w:val="0"/>
              <w:jc w:val="center"/>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95</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613844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9624A1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3CEFF5C">
            <w:pPr>
              <w:jc w:val="center"/>
              <w:rPr>
                <w:rFonts w:hint="default" w:ascii="微软雅黑" w:hAnsi="微软雅黑" w:eastAsia="微软雅黑" w:cs="微软雅黑"/>
                <w:i/>
                <w:iCs/>
                <w:color w:val="000000"/>
                <w:sz w:val="16"/>
                <w:szCs w:val="16"/>
                <w:u w:val="none"/>
              </w:rPr>
            </w:pPr>
          </w:p>
        </w:tc>
      </w:tr>
      <w:tr w14:paraId="7E28F00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A616032">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57F13D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成本指标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EF9E91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经济成本指标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AC1CD7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成本控制率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9B2102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20DAA5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10DE1D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C5DE5B0">
            <w:pPr>
              <w:keepNext w:val="0"/>
              <w:keepLines w:val="0"/>
              <w:widowControl/>
              <w:suppressLineNumbers w:val="0"/>
              <w:jc w:val="center"/>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1FBC82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C2D813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19</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3D348EF">
            <w:pPr>
              <w:jc w:val="center"/>
              <w:rPr>
                <w:rFonts w:hint="default" w:ascii="微软雅黑" w:hAnsi="微软雅黑" w:eastAsia="微软雅黑" w:cs="微软雅黑"/>
                <w:i/>
                <w:iCs/>
                <w:color w:val="000000"/>
                <w:sz w:val="16"/>
                <w:szCs w:val="16"/>
                <w:u w:val="none"/>
              </w:rPr>
            </w:pPr>
          </w:p>
        </w:tc>
      </w:tr>
      <w:tr w14:paraId="476F50D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0" w:type="auto"/>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1934F4C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989A99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7AEA85F">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C3821DA">
            <w:pPr>
              <w:rPr>
                <w:rFonts w:hint="eastAsia" w:ascii="宋体" w:hAnsi="宋体" w:eastAsia="宋体" w:cs="宋体"/>
                <w:i w:val="0"/>
                <w:iCs w:val="0"/>
                <w:color w:val="000000"/>
                <w:sz w:val="18"/>
                <w:szCs w:val="18"/>
                <w:u w:val="none"/>
              </w:rPr>
            </w:pPr>
          </w:p>
        </w:tc>
      </w:tr>
      <w:tr w14:paraId="2F980B0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5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8D02D7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0" w:type="auto"/>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216AAEAD">
            <w:pPr>
              <w:keepNext w:val="0"/>
              <w:keepLines w:val="0"/>
              <w:widowControl/>
              <w:suppressLineNumbers w:val="0"/>
              <w:jc w:val="left"/>
              <w:textAlignment w:val="center"/>
              <w:rPr>
                <w:rFonts w:hint="default" w:ascii="微软雅黑" w:hAnsi="微软雅黑" w:eastAsia="微软雅黑" w:cs="微软雅黑"/>
                <w:i w:val="0"/>
                <w:iCs w:val="0"/>
                <w:color w:val="000000"/>
                <w:sz w:val="16"/>
                <w:szCs w:val="16"/>
                <w:u w:val="none"/>
              </w:rPr>
            </w:pPr>
            <w:r>
              <w:rPr>
                <w:rFonts w:hint="default" w:ascii="宋体" w:hAnsi="宋体" w:eastAsia="宋体" w:cs="宋体"/>
                <w:i w:val="0"/>
                <w:iCs w:val="0"/>
                <w:color w:val="000000"/>
                <w:kern w:val="0"/>
                <w:sz w:val="18"/>
                <w:szCs w:val="18"/>
                <w:u w:val="none"/>
                <w:lang w:val="en-US" w:eastAsia="zh-CN" w:bidi="ar"/>
              </w:rPr>
              <w:fldChar w:fldCharType="begin"/>
            </w:r>
            <w:r>
              <w:rPr>
                <w:rFonts w:hint="default" w:ascii="宋体" w:hAnsi="宋体" w:eastAsia="宋体" w:cs="宋体"/>
                <w:i w:val="0"/>
                <w:iCs w:val="0"/>
                <w:color w:val="000000"/>
                <w:kern w:val="0"/>
                <w:sz w:val="18"/>
                <w:szCs w:val="18"/>
                <w:u w:val="none"/>
                <w:lang w:val="en-US" w:eastAsia="zh-CN" w:bidi="ar"/>
              </w:rPr>
              <w:instrText xml:space="preserve"> HYPERLINK "http://www.baidu.com" </w:instrText>
            </w:r>
            <w:r>
              <w:rPr>
                <w:rFonts w:hint="default" w:ascii="宋体" w:hAnsi="宋体" w:eastAsia="宋体" w:cs="宋体"/>
                <w:i w:val="0"/>
                <w:iCs w:val="0"/>
                <w:color w:val="000000"/>
                <w:kern w:val="0"/>
                <w:sz w:val="18"/>
                <w:szCs w:val="18"/>
                <w:u w:val="none"/>
                <w:lang w:val="en-US" w:eastAsia="zh-CN" w:bidi="ar"/>
              </w:rPr>
              <w:fldChar w:fldCharType="separate"/>
            </w:r>
            <w:r>
              <w:rPr>
                <w:rFonts w:hint="default" w:ascii="宋体" w:hAnsi="宋体" w:eastAsia="宋体" w:cs="宋体"/>
                <w:i w:val="0"/>
                <w:iCs w:val="0"/>
                <w:color w:val="000000"/>
                <w:kern w:val="0"/>
                <w:sz w:val="18"/>
                <w:szCs w:val="18"/>
                <w:u w:val="none"/>
                <w:lang w:val="en-US" w:eastAsia="zh-CN" w:bidi="ar"/>
              </w:rPr>
              <w:t>一是培育孵化目标明确，拓展资源成效明显。指导州心理咨询师协会完成核名、场地落实等筹备工作，联合妇联、工会等开展心理健康讲座及助学活动；推动州图书馆协会举办"书香润童心"等馆校主题活动，组织社会实践活动，并融入双拥工作。二是丰富培训载体建设，提升能力绩效水平。开展年报年检、党建、财务管理等5类专题培训，覆盖200余家社会组织；举办社工师考前辅导，强化专业化能力。三是加强组织协作配合，强化资源共享衔接。争取企业捐赠8000元学习物资，组织跨区域交流座谈及公益论坛；开展关爱儿童、困难妇女等9项志愿服务，联动高校开展宣传技能培训。四是积极引导多方组织，参与社区治理服务。推动社会组织参与母婴健康、禁毒宣传、军属关爱等活动；支持茂县开展婚俗改革项目，吸引40名青年参与文明婚恋活动。五是畅通规范运行服务。通过政策咨询、数据建档及"线上+线下"指导，解决社会组织疑难问题28起，优化注册登记与年检流程。</w:t>
            </w:r>
            <w:r>
              <w:rPr>
                <w:rFonts w:hint="default" w:ascii="宋体" w:hAnsi="宋体" w:eastAsia="宋体" w:cs="宋体"/>
                <w:i w:val="0"/>
                <w:iCs w:val="0"/>
                <w:color w:val="000000"/>
                <w:kern w:val="0"/>
                <w:sz w:val="18"/>
                <w:szCs w:val="18"/>
                <w:u w:val="none"/>
                <w:lang w:val="en-US" w:eastAsia="zh-CN" w:bidi="ar"/>
              </w:rPr>
              <w:fldChar w:fldCharType="end"/>
            </w:r>
          </w:p>
        </w:tc>
      </w:tr>
      <w:tr w14:paraId="4252F85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81BB13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0" w:type="auto"/>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4D5E71D8">
            <w:pPr>
              <w:keepNext w:val="0"/>
              <w:keepLines w:val="0"/>
              <w:widowControl/>
              <w:suppressLineNumbers w:val="0"/>
              <w:jc w:val="left"/>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结合自评情况，分析存在的问题及原因。（200字以内）</w:t>
            </w:r>
          </w:p>
        </w:tc>
      </w:tr>
      <w:tr w14:paraId="20A8701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36FA42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0" w:type="auto"/>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5D6779AC">
            <w:pPr>
              <w:keepNext w:val="0"/>
              <w:keepLines w:val="0"/>
              <w:widowControl/>
              <w:suppressLineNumbers w:val="0"/>
              <w:jc w:val="left"/>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针对项目自评中发现的问题，提出下一步改进完善的意见及有关政策性建议。（200字以内）</w:t>
            </w:r>
          </w:p>
        </w:tc>
      </w:tr>
      <w:tr w14:paraId="164CA36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0" w:type="auto"/>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4FBE2507">
            <w:pPr>
              <w:keepNext w:val="0"/>
              <w:keepLines w:val="0"/>
              <w:widowControl/>
              <w:suppressLineNumbers w:val="0"/>
              <w:jc w:val="left"/>
              <w:textAlignment w:val="center"/>
              <w:rPr>
                <w:rFonts w:hint="default" w:ascii="黑体" w:hAnsi="黑体" w:eastAsia="黑体" w:cs="黑体"/>
                <w:i w:val="0"/>
                <w:iCs w:val="0"/>
                <w:color w:val="000000"/>
                <w:sz w:val="18"/>
                <w:szCs w:val="18"/>
                <w:u w:val="none"/>
              </w:rPr>
            </w:pPr>
            <w:r>
              <w:rPr>
                <w:rFonts w:hint="default" w:ascii="黑体" w:hAnsi="黑体" w:eastAsia="黑体" w:cs="黑体"/>
                <w:i w:val="0"/>
                <w:iCs w:val="0"/>
                <w:color w:val="000000"/>
                <w:kern w:val="0"/>
                <w:sz w:val="18"/>
                <w:szCs w:val="18"/>
                <w:u w:val="none"/>
                <w:lang w:val="en-US" w:eastAsia="zh-CN" w:bidi="ar"/>
              </w:rPr>
              <w:t>项目负责人：秦岭</w:t>
            </w:r>
          </w:p>
        </w:tc>
        <w:tc>
          <w:tcPr>
            <w:tcW w:w="0" w:type="auto"/>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47A78039">
            <w:pPr>
              <w:keepNext w:val="0"/>
              <w:keepLines w:val="0"/>
              <w:widowControl/>
              <w:suppressLineNumbers w:val="0"/>
              <w:jc w:val="center"/>
              <w:textAlignment w:val="center"/>
              <w:rPr>
                <w:rFonts w:hint="default" w:ascii="黑体" w:hAnsi="黑体" w:eastAsia="黑体" w:cs="黑体"/>
                <w:i w:val="0"/>
                <w:iCs w:val="0"/>
                <w:color w:val="000000"/>
                <w:sz w:val="18"/>
                <w:szCs w:val="18"/>
                <w:u w:val="none"/>
              </w:rPr>
            </w:pPr>
            <w:r>
              <w:rPr>
                <w:rFonts w:hint="default" w:ascii="黑体" w:hAnsi="黑体" w:eastAsia="黑体" w:cs="黑体"/>
                <w:i w:val="0"/>
                <w:iCs w:val="0"/>
                <w:color w:val="000000"/>
                <w:kern w:val="0"/>
                <w:sz w:val="18"/>
                <w:szCs w:val="18"/>
                <w:u w:val="none"/>
                <w:lang w:val="en-US" w:eastAsia="zh-CN" w:bidi="ar"/>
              </w:rPr>
              <w:t>财务负责人：杨琴琴</w:t>
            </w:r>
          </w:p>
        </w:tc>
      </w:tr>
      <w:tr w14:paraId="28A6A1B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0" w:type="auto"/>
            <w:tcBorders>
              <w:top w:val="nil"/>
              <w:left w:val="nil"/>
              <w:bottom w:val="nil"/>
              <w:right w:val="nil"/>
            </w:tcBorders>
            <w:shd w:val="clear" w:color="auto" w:fill="auto"/>
            <w:vAlign w:val="center"/>
          </w:tcPr>
          <w:p w14:paraId="1905715D">
            <w:pPr>
              <w:rPr>
                <w:rFonts w:hint="eastAsia" w:ascii="宋体" w:hAnsi="宋体" w:eastAsia="宋体" w:cs="宋体"/>
                <w:i w:val="0"/>
                <w:iCs w:val="0"/>
                <w:color w:val="000000"/>
                <w:sz w:val="18"/>
                <w:szCs w:val="18"/>
                <w:u w:val="none"/>
              </w:rPr>
            </w:pPr>
          </w:p>
        </w:tc>
        <w:tc>
          <w:tcPr>
            <w:tcW w:w="0" w:type="auto"/>
            <w:tcBorders>
              <w:top w:val="nil"/>
              <w:left w:val="nil"/>
              <w:bottom w:val="nil"/>
              <w:right w:val="nil"/>
            </w:tcBorders>
            <w:shd w:val="clear" w:color="auto" w:fill="auto"/>
            <w:vAlign w:val="center"/>
          </w:tcPr>
          <w:p w14:paraId="477506F2">
            <w:pPr>
              <w:rPr>
                <w:rFonts w:hint="eastAsia" w:ascii="宋体" w:hAnsi="宋体" w:eastAsia="宋体" w:cs="宋体"/>
                <w:i w:val="0"/>
                <w:iCs w:val="0"/>
                <w:color w:val="000000"/>
                <w:sz w:val="18"/>
                <w:szCs w:val="18"/>
                <w:u w:val="none"/>
              </w:rPr>
            </w:pPr>
          </w:p>
        </w:tc>
        <w:tc>
          <w:tcPr>
            <w:tcW w:w="0" w:type="auto"/>
            <w:tcBorders>
              <w:top w:val="nil"/>
              <w:left w:val="nil"/>
              <w:bottom w:val="nil"/>
              <w:right w:val="nil"/>
            </w:tcBorders>
            <w:shd w:val="clear" w:color="auto" w:fill="auto"/>
            <w:vAlign w:val="center"/>
          </w:tcPr>
          <w:p w14:paraId="2DEA8B2E">
            <w:pPr>
              <w:jc w:val="center"/>
              <w:rPr>
                <w:rFonts w:hint="eastAsia" w:ascii="宋体" w:hAnsi="宋体" w:eastAsia="宋体" w:cs="宋体"/>
                <w:i w:val="0"/>
                <w:iCs w:val="0"/>
                <w:color w:val="000000"/>
                <w:sz w:val="18"/>
                <w:szCs w:val="18"/>
                <w:u w:val="none"/>
              </w:rPr>
            </w:pPr>
          </w:p>
        </w:tc>
        <w:tc>
          <w:tcPr>
            <w:tcW w:w="0" w:type="auto"/>
            <w:tcBorders>
              <w:top w:val="nil"/>
              <w:left w:val="nil"/>
              <w:bottom w:val="nil"/>
              <w:right w:val="nil"/>
            </w:tcBorders>
            <w:shd w:val="clear" w:color="auto" w:fill="auto"/>
            <w:vAlign w:val="center"/>
          </w:tcPr>
          <w:p w14:paraId="7AA7FAD4">
            <w:pPr>
              <w:jc w:val="center"/>
              <w:rPr>
                <w:rFonts w:hint="eastAsia" w:ascii="宋体" w:hAnsi="宋体" w:eastAsia="宋体" w:cs="宋体"/>
                <w:i w:val="0"/>
                <w:iCs w:val="0"/>
                <w:color w:val="000000"/>
                <w:sz w:val="18"/>
                <w:szCs w:val="18"/>
                <w:u w:val="none"/>
              </w:rPr>
            </w:pPr>
          </w:p>
        </w:tc>
        <w:tc>
          <w:tcPr>
            <w:tcW w:w="0" w:type="auto"/>
            <w:tcBorders>
              <w:top w:val="nil"/>
              <w:left w:val="nil"/>
              <w:bottom w:val="nil"/>
              <w:right w:val="nil"/>
            </w:tcBorders>
            <w:shd w:val="clear" w:color="auto" w:fill="auto"/>
            <w:vAlign w:val="center"/>
          </w:tcPr>
          <w:p w14:paraId="40797019">
            <w:pPr>
              <w:jc w:val="center"/>
              <w:rPr>
                <w:rFonts w:hint="eastAsia" w:ascii="宋体" w:hAnsi="宋体" w:eastAsia="宋体" w:cs="宋体"/>
                <w:i w:val="0"/>
                <w:iCs w:val="0"/>
                <w:color w:val="000000"/>
                <w:sz w:val="18"/>
                <w:szCs w:val="18"/>
                <w:u w:val="none"/>
              </w:rPr>
            </w:pPr>
          </w:p>
        </w:tc>
        <w:tc>
          <w:tcPr>
            <w:tcW w:w="0" w:type="auto"/>
            <w:tcBorders>
              <w:top w:val="nil"/>
              <w:left w:val="nil"/>
              <w:bottom w:val="nil"/>
              <w:right w:val="nil"/>
            </w:tcBorders>
            <w:shd w:val="clear" w:color="auto" w:fill="auto"/>
            <w:vAlign w:val="center"/>
          </w:tcPr>
          <w:p w14:paraId="203640CB">
            <w:pPr>
              <w:jc w:val="center"/>
              <w:rPr>
                <w:rFonts w:hint="eastAsia" w:ascii="宋体" w:hAnsi="宋体" w:eastAsia="宋体" w:cs="宋体"/>
                <w:i w:val="0"/>
                <w:iCs w:val="0"/>
                <w:color w:val="000000"/>
                <w:sz w:val="18"/>
                <w:szCs w:val="18"/>
                <w:u w:val="none"/>
              </w:rPr>
            </w:pPr>
          </w:p>
        </w:tc>
        <w:tc>
          <w:tcPr>
            <w:tcW w:w="0" w:type="auto"/>
            <w:tcBorders>
              <w:top w:val="nil"/>
              <w:left w:val="nil"/>
              <w:bottom w:val="nil"/>
              <w:right w:val="nil"/>
            </w:tcBorders>
            <w:shd w:val="clear" w:color="auto" w:fill="auto"/>
            <w:vAlign w:val="center"/>
          </w:tcPr>
          <w:p w14:paraId="6F77E2E2">
            <w:pPr>
              <w:jc w:val="center"/>
              <w:rPr>
                <w:rFonts w:hint="eastAsia" w:ascii="宋体" w:hAnsi="宋体" w:eastAsia="宋体" w:cs="宋体"/>
                <w:i w:val="0"/>
                <w:iCs w:val="0"/>
                <w:color w:val="000000"/>
                <w:sz w:val="18"/>
                <w:szCs w:val="18"/>
                <w:u w:val="none"/>
              </w:rPr>
            </w:pPr>
          </w:p>
        </w:tc>
        <w:tc>
          <w:tcPr>
            <w:tcW w:w="0" w:type="auto"/>
            <w:tcBorders>
              <w:top w:val="nil"/>
              <w:left w:val="nil"/>
              <w:bottom w:val="nil"/>
              <w:right w:val="nil"/>
            </w:tcBorders>
            <w:shd w:val="clear" w:color="auto" w:fill="auto"/>
            <w:vAlign w:val="center"/>
          </w:tcPr>
          <w:p w14:paraId="73084E0E">
            <w:pPr>
              <w:jc w:val="center"/>
              <w:rPr>
                <w:rFonts w:hint="eastAsia" w:ascii="宋体" w:hAnsi="宋体" w:eastAsia="宋体" w:cs="宋体"/>
                <w:i w:val="0"/>
                <w:iCs w:val="0"/>
                <w:color w:val="000000"/>
                <w:sz w:val="18"/>
                <w:szCs w:val="18"/>
                <w:u w:val="none"/>
              </w:rPr>
            </w:pPr>
          </w:p>
        </w:tc>
        <w:tc>
          <w:tcPr>
            <w:tcW w:w="0" w:type="auto"/>
            <w:tcBorders>
              <w:top w:val="nil"/>
              <w:left w:val="nil"/>
              <w:bottom w:val="nil"/>
              <w:right w:val="nil"/>
            </w:tcBorders>
            <w:shd w:val="clear" w:color="auto" w:fill="auto"/>
            <w:vAlign w:val="center"/>
          </w:tcPr>
          <w:p w14:paraId="7CE7EB99">
            <w:pPr>
              <w:jc w:val="center"/>
              <w:rPr>
                <w:rFonts w:hint="eastAsia" w:ascii="宋体" w:hAnsi="宋体" w:eastAsia="宋体" w:cs="宋体"/>
                <w:i w:val="0"/>
                <w:iCs w:val="0"/>
                <w:color w:val="000000"/>
                <w:sz w:val="18"/>
                <w:szCs w:val="18"/>
                <w:u w:val="none"/>
              </w:rPr>
            </w:pPr>
          </w:p>
        </w:tc>
        <w:tc>
          <w:tcPr>
            <w:tcW w:w="0" w:type="auto"/>
            <w:tcBorders>
              <w:top w:val="nil"/>
              <w:left w:val="nil"/>
              <w:bottom w:val="nil"/>
              <w:right w:val="nil"/>
            </w:tcBorders>
            <w:shd w:val="clear" w:color="auto" w:fill="auto"/>
            <w:vAlign w:val="center"/>
          </w:tcPr>
          <w:p w14:paraId="6BD51EE7">
            <w:pPr>
              <w:jc w:val="center"/>
              <w:rPr>
                <w:rFonts w:hint="eastAsia" w:ascii="宋体" w:hAnsi="宋体" w:eastAsia="宋体" w:cs="宋体"/>
                <w:i w:val="0"/>
                <w:iCs w:val="0"/>
                <w:color w:val="000000"/>
                <w:sz w:val="18"/>
                <w:szCs w:val="18"/>
                <w:u w:val="none"/>
              </w:rPr>
            </w:pPr>
          </w:p>
        </w:tc>
        <w:tc>
          <w:tcPr>
            <w:tcW w:w="0" w:type="auto"/>
            <w:tcBorders>
              <w:top w:val="nil"/>
              <w:left w:val="nil"/>
              <w:bottom w:val="nil"/>
              <w:right w:val="nil"/>
            </w:tcBorders>
            <w:shd w:val="clear" w:color="auto" w:fill="auto"/>
            <w:vAlign w:val="center"/>
          </w:tcPr>
          <w:p w14:paraId="68BE9B19">
            <w:pPr>
              <w:rPr>
                <w:rFonts w:hint="eastAsia" w:ascii="宋体" w:hAnsi="宋体" w:eastAsia="宋体" w:cs="宋体"/>
                <w:i w:val="0"/>
                <w:iCs w:val="0"/>
                <w:color w:val="000000"/>
                <w:sz w:val="18"/>
                <w:szCs w:val="18"/>
                <w:u w:val="none"/>
              </w:rPr>
            </w:pPr>
          </w:p>
        </w:tc>
      </w:tr>
      <w:tr w14:paraId="3C0B100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60" w:hRule="atLeast"/>
        </w:trPr>
        <w:tc>
          <w:tcPr>
            <w:tcW w:w="0" w:type="auto"/>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45AD1BDD">
            <w:pPr>
              <w:keepNext w:val="0"/>
              <w:keepLines w:val="0"/>
              <w:widowControl/>
              <w:suppressLineNumbers w:val="0"/>
              <w:jc w:val="center"/>
              <w:textAlignment w:val="center"/>
              <w:rPr>
                <w:rFonts w:hint="eastAsia"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部门预算项目支出绩效自评表（2024年度）</w:t>
            </w:r>
          </w:p>
        </w:tc>
      </w:tr>
      <w:tr w14:paraId="76939EB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0" w:type="auto"/>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F6C679D">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0" w:type="auto"/>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774FF3A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51320023T000007892225-福彩帮困助学项目</w:t>
            </w:r>
          </w:p>
        </w:tc>
      </w:tr>
      <w:tr w14:paraId="57EC139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0" w:hRule="atLeast"/>
        </w:trPr>
        <w:tc>
          <w:tcPr>
            <w:tcW w:w="0" w:type="auto"/>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7A13815">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0" w:type="auto"/>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A5FCBF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州民政局部门</w:t>
            </w:r>
          </w:p>
        </w:tc>
        <w:tc>
          <w:tcPr>
            <w:tcW w:w="0" w:type="auto"/>
            <w:tcBorders>
              <w:top w:val="nil"/>
              <w:left w:val="nil"/>
              <w:bottom w:val="nil"/>
              <w:right w:val="nil"/>
            </w:tcBorders>
            <w:shd w:val="clear" w:color="auto" w:fill="auto"/>
            <w:vAlign w:val="center"/>
          </w:tcPr>
          <w:p w14:paraId="48AEFD21">
            <w:pPr>
              <w:keepNext w:val="0"/>
              <w:keepLines w:val="0"/>
              <w:widowControl/>
              <w:suppressLineNumbers w:val="0"/>
              <w:jc w:val="center"/>
              <w:textAlignment w:val="center"/>
              <w:rPr>
                <w:rFonts w:hint="default" w:ascii="黑体" w:hAnsi="黑体" w:eastAsia="黑体" w:cs="黑体"/>
                <w:i w:val="0"/>
                <w:iCs w:val="0"/>
                <w:color w:val="000000"/>
                <w:sz w:val="18"/>
                <w:szCs w:val="18"/>
                <w:u w:val="none"/>
              </w:rPr>
            </w:pPr>
            <w:r>
              <w:rPr>
                <w:rFonts w:hint="default" w:ascii="黑体" w:hAnsi="黑体" w:eastAsia="黑体" w:cs="黑体"/>
                <w:i w:val="0"/>
                <w:iCs w:val="0"/>
                <w:color w:val="000000"/>
                <w:kern w:val="0"/>
                <w:sz w:val="18"/>
                <w:szCs w:val="18"/>
                <w:u w:val="none"/>
                <w:lang w:val="en-US" w:eastAsia="zh-CN" w:bidi="ar"/>
              </w:rPr>
              <w:t>实施单位 （盖章）</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95F282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州民政局</w:t>
            </w:r>
          </w:p>
        </w:tc>
      </w:tr>
      <w:tr w14:paraId="7DB56DF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905D814">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B3ABA64">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0" w:type="auto"/>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332E81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0" w:type="auto"/>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3887596C">
            <w:pPr>
              <w:keepNext w:val="0"/>
              <w:keepLines w:val="0"/>
              <w:widowControl/>
              <w:suppressLineNumbers w:val="0"/>
              <w:jc w:val="center"/>
              <w:textAlignment w:val="center"/>
              <w:rPr>
                <w:rFonts w:hint="default" w:ascii="黑体" w:hAnsi="黑体" w:eastAsia="黑体" w:cs="黑体"/>
                <w:i w:val="0"/>
                <w:iCs w:val="0"/>
                <w:color w:val="000000"/>
                <w:sz w:val="18"/>
                <w:szCs w:val="18"/>
                <w:u w:val="none"/>
              </w:rPr>
            </w:pPr>
            <w:r>
              <w:rPr>
                <w:rFonts w:hint="default" w:ascii="黑体" w:hAnsi="黑体" w:eastAsia="黑体" w:cs="黑体"/>
                <w:i w:val="0"/>
                <w:iCs w:val="0"/>
                <w:color w:val="000000"/>
                <w:kern w:val="0"/>
                <w:sz w:val="18"/>
                <w:szCs w:val="18"/>
                <w:u w:val="none"/>
                <w:lang w:val="en-US" w:eastAsia="zh-CN" w:bidi="ar"/>
              </w:rPr>
              <w:t>年度目标完成情况</w:t>
            </w:r>
          </w:p>
        </w:tc>
      </w:tr>
      <w:tr w14:paraId="24EE3D7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2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A8575C4">
            <w:pPr>
              <w:rPr>
                <w:rFonts w:hint="eastAsia" w:ascii="宋体" w:hAnsi="宋体" w:eastAsia="宋体" w:cs="宋体"/>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21B2837">
            <w:pPr>
              <w:rPr>
                <w:rFonts w:hint="eastAsia" w:ascii="宋体" w:hAnsi="宋体" w:eastAsia="宋体" w:cs="宋体"/>
                <w:i w:val="0"/>
                <w:iCs w:val="0"/>
                <w:color w:val="000000"/>
                <w:sz w:val="18"/>
                <w:szCs w:val="18"/>
                <w:u w:val="none"/>
              </w:rPr>
            </w:pPr>
          </w:p>
        </w:tc>
        <w:tc>
          <w:tcPr>
            <w:tcW w:w="0" w:type="auto"/>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39C7050">
            <w:pPr>
              <w:keepNext w:val="0"/>
              <w:keepLines w:val="0"/>
              <w:widowControl/>
              <w:suppressLineNumbers w:val="0"/>
              <w:jc w:val="center"/>
              <w:textAlignment w:val="center"/>
              <w:rPr>
                <w:rFonts w:hint="default" w:ascii="黑体" w:hAnsi="黑体" w:eastAsia="黑体" w:cs="黑体"/>
                <w:i w:val="0"/>
                <w:iCs w:val="0"/>
                <w:color w:val="000000"/>
                <w:sz w:val="18"/>
                <w:szCs w:val="18"/>
                <w:u w:val="none"/>
              </w:rPr>
            </w:pPr>
            <w:r>
              <w:rPr>
                <w:rFonts w:hint="default" w:ascii="黑体" w:hAnsi="黑体" w:eastAsia="黑体" w:cs="黑体"/>
                <w:i w:val="0"/>
                <w:iCs w:val="0"/>
                <w:color w:val="000000"/>
                <w:kern w:val="0"/>
                <w:sz w:val="18"/>
                <w:szCs w:val="18"/>
                <w:u w:val="none"/>
                <w:lang w:val="en-US" w:eastAsia="zh-CN" w:bidi="ar"/>
              </w:rPr>
              <w:t>1.贫困学生50名，每人资助5000元。2，被省内外大专及以上院校录取的贫困家庭学生；低保户、脱贫户、孤儿（含事实孤儿）、贫困烈（军）属子女、贫困残疾人子女、贫困见义勇为者子女和丧失主要劳动力的贫困家庭学生优先资助。</w:t>
            </w:r>
          </w:p>
        </w:tc>
        <w:tc>
          <w:tcPr>
            <w:tcW w:w="0" w:type="auto"/>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65BCC5DD">
            <w:pPr>
              <w:keepNext w:val="0"/>
              <w:keepLines w:val="0"/>
              <w:widowControl/>
              <w:suppressLineNumbers w:val="0"/>
              <w:jc w:val="center"/>
              <w:textAlignment w:val="center"/>
              <w:rPr>
                <w:rFonts w:hint="default" w:ascii="黑体" w:hAnsi="黑体" w:eastAsia="黑体" w:cs="黑体"/>
                <w:i w:val="0"/>
                <w:iCs w:val="0"/>
                <w:color w:val="000000"/>
                <w:sz w:val="18"/>
                <w:szCs w:val="18"/>
                <w:u w:val="none"/>
              </w:rPr>
            </w:pPr>
            <w:r>
              <w:rPr>
                <w:rFonts w:hint="default" w:ascii="黑体" w:hAnsi="黑体" w:eastAsia="黑体" w:cs="黑体"/>
                <w:i w:val="0"/>
                <w:iCs w:val="0"/>
                <w:color w:val="000000"/>
                <w:kern w:val="0"/>
                <w:sz w:val="18"/>
                <w:szCs w:val="18"/>
                <w:u w:val="none"/>
                <w:lang w:val="en-US" w:eastAsia="zh-CN" w:bidi="ar"/>
              </w:rPr>
              <w:t>完成了贫困学资助计划</w:t>
            </w:r>
          </w:p>
        </w:tc>
      </w:tr>
      <w:tr w14:paraId="7400A60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2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6919FFC">
            <w:pP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5BAC86D">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0" w:type="auto"/>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3FA0950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今年帮困助学活动围绕“高质量推进资助工作，促进学生全面发展”为主题，继续对家庭经济困难学生实施资助，帮助他们梦圆大学。项目由省、州两级福利彩票公益金对2024年考入大学的家庭困难新生一次性助学资助进行资助，资助资金合计25万元。州级福彩助学项目。项目由州级福利彩票公益金支持25万元。资助大学生50名，共25万元。各县（市）慈善会按分配的助学名额推荐2024年考入大学（本科、专科）的家庭经济困难新生，资助标准5000元/人/年。</w:t>
            </w:r>
          </w:p>
        </w:tc>
      </w:tr>
      <w:tr w14:paraId="16EB391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80" w:hRule="atLeast"/>
        </w:trPr>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1034F6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C458E5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B9D78F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A72510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8487EE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9B99A5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05CF84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55DA18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9F3605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14:paraId="0996258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8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2105760">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D76CA1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C90027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B99FD5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25.00</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CF0E0E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25.00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A301E7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737DC0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4F621E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5585DA2">
            <w:pPr>
              <w:rPr>
                <w:rFonts w:hint="default" w:ascii="黑体" w:hAnsi="黑体" w:eastAsia="黑体" w:cs="黑体"/>
                <w:i/>
                <w:iCs/>
                <w:color w:val="000000"/>
                <w:sz w:val="18"/>
                <w:szCs w:val="18"/>
                <w:u w:val="none"/>
              </w:rPr>
            </w:pPr>
          </w:p>
        </w:tc>
      </w:tr>
      <w:tr w14:paraId="29D5370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8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2B16CCE">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6E022B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45014F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C13D89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25.00</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8E3A7D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25.00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D6ADA9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B30C62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7B843D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9B0F06A">
            <w:pPr>
              <w:rPr>
                <w:rFonts w:hint="default" w:ascii="黑体" w:hAnsi="黑体" w:eastAsia="黑体" w:cs="黑体"/>
                <w:i/>
                <w:iCs/>
                <w:color w:val="000000"/>
                <w:sz w:val="18"/>
                <w:szCs w:val="18"/>
                <w:u w:val="none"/>
              </w:rPr>
            </w:pPr>
          </w:p>
        </w:tc>
      </w:tr>
      <w:tr w14:paraId="15A7725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8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585D201">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439734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D4CDAB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099DFB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6220B8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82130B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D5EC0F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4AD025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2F28BA4">
            <w:pPr>
              <w:rPr>
                <w:rFonts w:hint="default" w:ascii="黑体" w:hAnsi="黑体" w:eastAsia="黑体" w:cs="黑体"/>
                <w:i/>
                <w:iCs/>
                <w:color w:val="000000"/>
                <w:sz w:val="18"/>
                <w:szCs w:val="18"/>
                <w:u w:val="none"/>
              </w:rPr>
            </w:pPr>
          </w:p>
        </w:tc>
      </w:tr>
      <w:tr w14:paraId="706D44A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8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0660A7F">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15081C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2FA579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7B46C6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9C9DD9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2D4539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DA5BDD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C1AADF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FC71F88">
            <w:pPr>
              <w:rPr>
                <w:rFonts w:hint="default" w:ascii="黑体" w:hAnsi="黑体" w:eastAsia="黑体" w:cs="黑体"/>
                <w:i/>
                <w:iCs/>
                <w:color w:val="000000"/>
                <w:sz w:val="18"/>
                <w:szCs w:val="18"/>
                <w:u w:val="none"/>
              </w:rPr>
            </w:pPr>
          </w:p>
        </w:tc>
      </w:tr>
      <w:tr w14:paraId="59B4D91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8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99F41B9">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4C33AA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D21FE67">
            <w:pPr>
              <w:jc w:val="center"/>
              <w:rPr>
                <w:rFonts w:hint="default" w:ascii="微软雅黑" w:hAnsi="微软雅黑" w:eastAsia="微软雅黑" w:cs="微软雅黑"/>
                <w:i/>
                <w:iCs/>
                <w:color w:val="000000"/>
                <w:sz w:val="16"/>
                <w:szCs w:val="16"/>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0B00403">
            <w:pPr>
              <w:jc w:val="center"/>
              <w:rPr>
                <w:rFonts w:hint="default" w:ascii="微软雅黑" w:hAnsi="微软雅黑" w:eastAsia="微软雅黑" w:cs="微软雅黑"/>
                <w:i/>
                <w:iCs/>
                <w:color w:val="000000"/>
                <w:sz w:val="16"/>
                <w:szCs w:val="16"/>
                <w:u w:val="none"/>
              </w:rPr>
            </w:pP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C77E2AB">
            <w:pPr>
              <w:jc w:val="center"/>
              <w:rPr>
                <w:rFonts w:hint="default" w:ascii="微软雅黑" w:hAnsi="微软雅黑" w:eastAsia="微软雅黑" w:cs="微软雅黑"/>
                <w:i/>
                <w:iCs/>
                <w:color w:val="000000"/>
                <w:sz w:val="16"/>
                <w:szCs w:val="16"/>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5260014">
            <w:pPr>
              <w:jc w:val="center"/>
              <w:rPr>
                <w:rFonts w:hint="default" w:ascii="微软雅黑" w:hAnsi="微软雅黑" w:eastAsia="微软雅黑" w:cs="微软雅黑"/>
                <w:i/>
                <w:iCs/>
                <w:color w:val="000000"/>
                <w:sz w:val="16"/>
                <w:szCs w:val="16"/>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E497B4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9178C3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0FAA1A6">
            <w:pPr>
              <w:rPr>
                <w:rFonts w:hint="default" w:ascii="黑体" w:hAnsi="黑体" w:eastAsia="黑体" w:cs="黑体"/>
                <w:i/>
                <w:iCs/>
                <w:color w:val="000000"/>
                <w:sz w:val="18"/>
                <w:szCs w:val="18"/>
                <w:u w:val="none"/>
              </w:rPr>
            </w:pPr>
          </w:p>
        </w:tc>
      </w:tr>
      <w:tr w14:paraId="560E64C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80" w:hRule="atLeast"/>
        </w:trPr>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D039EC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53EA54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E00F1A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5F4C06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9A1BCD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86479D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E9A536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C21725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2CB03E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9F67BB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59E06F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14:paraId="312A3E6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8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02F4F36">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6889E1">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产出指标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1AF941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时效指标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857B85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助学工作按时完成率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AE311E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48E439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478027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845C1B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B6E376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37C120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7AF1E0C">
            <w:pPr>
              <w:jc w:val="center"/>
              <w:rPr>
                <w:rFonts w:hint="eastAsia" w:ascii="宋体" w:hAnsi="宋体" w:eastAsia="宋体" w:cs="宋体"/>
                <w:i w:val="0"/>
                <w:iCs w:val="0"/>
                <w:color w:val="000000"/>
                <w:sz w:val="18"/>
                <w:szCs w:val="18"/>
                <w:u w:val="none"/>
              </w:rPr>
            </w:pPr>
          </w:p>
        </w:tc>
      </w:tr>
      <w:tr w14:paraId="4FAFD2E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8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E1B1D99">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007618">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产出指标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CA1B47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数量指标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4DDCE4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帮困学生数</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387065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51A80C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806A0D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人</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C7F1FD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DF7205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864CF8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B9BA7EE">
            <w:pPr>
              <w:jc w:val="center"/>
              <w:rPr>
                <w:rFonts w:hint="eastAsia" w:ascii="宋体" w:hAnsi="宋体" w:eastAsia="宋体" w:cs="宋体"/>
                <w:i w:val="0"/>
                <w:iCs w:val="0"/>
                <w:color w:val="000000"/>
                <w:sz w:val="18"/>
                <w:szCs w:val="18"/>
                <w:u w:val="none"/>
              </w:rPr>
            </w:pPr>
          </w:p>
        </w:tc>
      </w:tr>
      <w:tr w14:paraId="5671FFB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8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981D7BF">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8BE64C">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产出指标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ED591E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时效指标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72FD7E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项目完成时间</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1EF602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定性</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7920B4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2024年12月</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1D3DF76">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BC2561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已按时完成</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244658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C30C19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58DAB4F">
            <w:pPr>
              <w:jc w:val="center"/>
              <w:rPr>
                <w:rFonts w:hint="eastAsia" w:ascii="宋体" w:hAnsi="宋体" w:eastAsia="宋体" w:cs="宋体"/>
                <w:i w:val="0"/>
                <w:iCs w:val="0"/>
                <w:color w:val="000000"/>
                <w:sz w:val="18"/>
                <w:szCs w:val="18"/>
                <w:u w:val="none"/>
              </w:rPr>
            </w:pPr>
          </w:p>
        </w:tc>
      </w:tr>
      <w:tr w14:paraId="5991180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8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430FDBD">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03A740">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效益指标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A59DDF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社会效益指标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979C68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社会影响</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99B5CB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定性</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98823C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助学帮扶,提高困难学生帮扶</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DEEE001">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A4821F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助学帮扶,提高困难学生帮扶</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29ECDD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AE6052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FA75F73">
            <w:pPr>
              <w:jc w:val="center"/>
              <w:rPr>
                <w:rFonts w:hint="eastAsia" w:ascii="宋体" w:hAnsi="宋体" w:eastAsia="宋体" w:cs="宋体"/>
                <w:i w:val="0"/>
                <w:iCs w:val="0"/>
                <w:color w:val="000000"/>
                <w:sz w:val="18"/>
                <w:szCs w:val="18"/>
                <w:u w:val="none"/>
              </w:rPr>
            </w:pPr>
          </w:p>
        </w:tc>
      </w:tr>
      <w:tr w14:paraId="40F7C51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8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C83AC68">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66410D">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效益指标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BB7CE1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可持续影响指标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67FF24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教育成果改善</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E01F3E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定性</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67B52B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学生学习成果持续上升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D2B7891">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39F45B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学生学习成果持续上升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FA75F5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DC4FBE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59FFC96">
            <w:pPr>
              <w:jc w:val="center"/>
              <w:rPr>
                <w:rFonts w:hint="eastAsia" w:ascii="宋体" w:hAnsi="宋体" w:eastAsia="宋体" w:cs="宋体"/>
                <w:i w:val="0"/>
                <w:iCs w:val="0"/>
                <w:color w:val="000000"/>
                <w:sz w:val="18"/>
                <w:szCs w:val="18"/>
                <w:u w:val="none"/>
              </w:rPr>
            </w:pPr>
          </w:p>
        </w:tc>
      </w:tr>
      <w:tr w14:paraId="7E7F11A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8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4C4A75A">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40A0EB">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满意度指标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FB4E0B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帮扶对象满意度指标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F960DC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帮困学生满意度</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4B2FCA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BE1DE9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75EAEC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人/户</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093D45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BD104D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BD9082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0620E48">
            <w:pPr>
              <w:jc w:val="center"/>
              <w:rPr>
                <w:rFonts w:hint="eastAsia" w:ascii="宋体" w:hAnsi="宋体" w:eastAsia="宋体" w:cs="宋体"/>
                <w:i w:val="0"/>
                <w:iCs w:val="0"/>
                <w:color w:val="000000"/>
                <w:sz w:val="18"/>
                <w:szCs w:val="18"/>
                <w:u w:val="none"/>
              </w:rPr>
            </w:pPr>
          </w:p>
        </w:tc>
      </w:tr>
      <w:tr w14:paraId="7F78A72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8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FBB2860">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64049D">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成本指标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9F72FD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经济成本指标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57A065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人均资助标准</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5BA7ED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578365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5000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A0EB91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元</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7B806A4">
            <w:pPr>
              <w:keepNext w:val="0"/>
              <w:keepLines w:val="0"/>
              <w:widowControl/>
              <w:suppressLineNumbers w:val="0"/>
              <w:jc w:val="center"/>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5000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5DFF8F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BEFF1E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5C536FD">
            <w:pPr>
              <w:jc w:val="center"/>
              <w:rPr>
                <w:rFonts w:hint="default" w:ascii="微软雅黑" w:hAnsi="微软雅黑" w:eastAsia="微软雅黑" w:cs="微软雅黑"/>
                <w:i/>
                <w:iCs/>
                <w:color w:val="000000"/>
                <w:sz w:val="16"/>
                <w:szCs w:val="16"/>
                <w:u w:val="none"/>
              </w:rPr>
            </w:pPr>
          </w:p>
        </w:tc>
      </w:tr>
      <w:tr w14:paraId="7848FF0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80" w:hRule="atLeast"/>
        </w:trPr>
        <w:tc>
          <w:tcPr>
            <w:tcW w:w="0" w:type="auto"/>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2B0A2BC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3C0B4E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AB3D3C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98</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F02FE78">
            <w:pPr>
              <w:rPr>
                <w:rFonts w:hint="eastAsia" w:ascii="宋体" w:hAnsi="宋体" w:eastAsia="宋体" w:cs="宋体"/>
                <w:i w:val="0"/>
                <w:iCs w:val="0"/>
                <w:color w:val="000000"/>
                <w:sz w:val="18"/>
                <w:szCs w:val="18"/>
                <w:u w:val="none"/>
              </w:rPr>
            </w:pPr>
          </w:p>
        </w:tc>
      </w:tr>
      <w:tr w14:paraId="6D29A0E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8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D67108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0" w:type="auto"/>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704D6AF4">
            <w:pPr>
              <w:keepNext w:val="0"/>
              <w:keepLines w:val="0"/>
              <w:widowControl/>
              <w:suppressLineNumbers w:val="0"/>
              <w:jc w:val="left"/>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完成了贫困学资助50名，达到了助学帮扶,提高困难学生帮扶，学生学习成果持续上升的效果。</w:t>
            </w:r>
          </w:p>
        </w:tc>
      </w:tr>
      <w:tr w14:paraId="45D6596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8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B9241C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0" w:type="auto"/>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1241FA51">
            <w:pPr>
              <w:keepNext w:val="0"/>
              <w:keepLines w:val="0"/>
              <w:widowControl/>
              <w:suppressLineNumbers w:val="0"/>
              <w:jc w:val="left"/>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无</w:t>
            </w:r>
          </w:p>
        </w:tc>
      </w:tr>
      <w:tr w14:paraId="462FD2F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8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9D1D44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0" w:type="auto"/>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3996C237">
            <w:pPr>
              <w:keepNext w:val="0"/>
              <w:keepLines w:val="0"/>
              <w:widowControl/>
              <w:suppressLineNumbers w:val="0"/>
              <w:jc w:val="left"/>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无</w:t>
            </w:r>
          </w:p>
        </w:tc>
      </w:tr>
      <w:tr w14:paraId="23D8832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80" w:hRule="atLeast"/>
        </w:trPr>
        <w:tc>
          <w:tcPr>
            <w:tcW w:w="0" w:type="auto"/>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920E6BC">
            <w:pPr>
              <w:keepNext w:val="0"/>
              <w:keepLines w:val="0"/>
              <w:widowControl/>
              <w:suppressLineNumbers w:val="0"/>
              <w:jc w:val="left"/>
              <w:textAlignment w:val="center"/>
              <w:rPr>
                <w:rFonts w:hint="default" w:ascii="黑体" w:hAnsi="黑体" w:eastAsia="黑体" w:cs="黑体"/>
                <w:i w:val="0"/>
                <w:iCs w:val="0"/>
                <w:color w:val="000000"/>
                <w:sz w:val="18"/>
                <w:szCs w:val="18"/>
                <w:u w:val="none"/>
              </w:rPr>
            </w:pPr>
            <w:r>
              <w:rPr>
                <w:rFonts w:hint="default" w:ascii="黑体" w:hAnsi="黑体" w:eastAsia="黑体" w:cs="黑体"/>
                <w:i w:val="0"/>
                <w:iCs w:val="0"/>
                <w:color w:val="000000"/>
                <w:kern w:val="0"/>
                <w:sz w:val="18"/>
                <w:szCs w:val="18"/>
                <w:u w:val="none"/>
                <w:lang w:val="en-US" w:eastAsia="zh-CN" w:bidi="ar"/>
              </w:rPr>
              <w:t>项目负责人：泽晓欢</w:t>
            </w:r>
          </w:p>
        </w:tc>
        <w:tc>
          <w:tcPr>
            <w:tcW w:w="0" w:type="auto"/>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217883F5">
            <w:pPr>
              <w:keepNext w:val="0"/>
              <w:keepLines w:val="0"/>
              <w:widowControl/>
              <w:suppressLineNumbers w:val="0"/>
              <w:jc w:val="center"/>
              <w:textAlignment w:val="center"/>
              <w:rPr>
                <w:rFonts w:hint="default" w:ascii="黑体" w:hAnsi="黑体" w:eastAsia="黑体" w:cs="黑体"/>
                <w:i w:val="0"/>
                <w:iCs w:val="0"/>
                <w:color w:val="000000"/>
                <w:sz w:val="18"/>
                <w:szCs w:val="18"/>
                <w:u w:val="none"/>
              </w:rPr>
            </w:pPr>
            <w:r>
              <w:rPr>
                <w:rFonts w:hint="default" w:ascii="黑体" w:hAnsi="黑体" w:eastAsia="黑体" w:cs="黑体"/>
                <w:i w:val="0"/>
                <w:iCs w:val="0"/>
                <w:color w:val="000000"/>
                <w:kern w:val="0"/>
                <w:sz w:val="18"/>
                <w:szCs w:val="18"/>
                <w:u w:val="none"/>
                <w:lang w:val="en-US" w:eastAsia="zh-CN" w:bidi="ar"/>
              </w:rPr>
              <w:t>财务负责人：杨琴琴</w:t>
            </w:r>
          </w:p>
        </w:tc>
      </w:tr>
      <w:tr w14:paraId="4C45367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0" w:type="auto"/>
            <w:tcBorders>
              <w:top w:val="nil"/>
              <w:left w:val="nil"/>
              <w:bottom w:val="nil"/>
              <w:right w:val="nil"/>
            </w:tcBorders>
            <w:shd w:val="clear" w:color="auto" w:fill="auto"/>
            <w:vAlign w:val="center"/>
          </w:tcPr>
          <w:p w14:paraId="6F76B4D0">
            <w:pPr>
              <w:rPr>
                <w:rFonts w:hint="eastAsia" w:ascii="宋体" w:hAnsi="宋体" w:eastAsia="宋体" w:cs="宋体"/>
                <w:i w:val="0"/>
                <w:iCs w:val="0"/>
                <w:color w:val="000000"/>
                <w:sz w:val="18"/>
                <w:szCs w:val="18"/>
                <w:u w:val="none"/>
              </w:rPr>
            </w:pPr>
          </w:p>
        </w:tc>
        <w:tc>
          <w:tcPr>
            <w:tcW w:w="0" w:type="auto"/>
            <w:tcBorders>
              <w:top w:val="nil"/>
              <w:left w:val="nil"/>
              <w:bottom w:val="nil"/>
              <w:right w:val="nil"/>
            </w:tcBorders>
            <w:shd w:val="clear" w:color="auto" w:fill="auto"/>
            <w:vAlign w:val="center"/>
          </w:tcPr>
          <w:p w14:paraId="607DCE7F">
            <w:pPr>
              <w:rPr>
                <w:rFonts w:hint="eastAsia" w:ascii="宋体" w:hAnsi="宋体" w:eastAsia="宋体" w:cs="宋体"/>
                <w:i w:val="0"/>
                <w:iCs w:val="0"/>
                <w:color w:val="000000"/>
                <w:sz w:val="18"/>
                <w:szCs w:val="18"/>
                <w:u w:val="none"/>
              </w:rPr>
            </w:pPr>
          </w:p>
        </w:tc>
        <w:tc>
          <w:tcPr>
            <w:tcW w:w="0" w:type="auto"/>
            <w:tcBorders>
              <w:top w:val="nil"/>
              <w:left w:val="nil"/>
              <w:bottom w:val="nil"/>
              <w:right w:val="nil"/>
            </w:tcBorders>
            <w:shd w:val="clear" w:color="auto" w:fill="auto"/>
            <w:vAlign w:val="center"/>
          </w:tcPr>
          <w:p w14:paraId="3F3C010F">
            <w:pPr>
              <w:jc w:val="center"/>
              <w:rPr>
                <w:rFonts w:hint="eastAsia" w:ascii="宋体" w:hAnsi="宋体" w:eastAsia="宋体" w:cs="宋体"/>
                <w:i w:val="0"/>
                <w:iCs w:val="0"/>
                <w:color w:val="000000"/>
                <w:sz w:val="18"/>
                <w:szCs w:val="18"/>
                <w:u w:val="none"/>
              </w:rPr>
            </w:pPr>
          </w:p>
        </w:tc>
        <w:tc>
          <w:tcPr>
            <w:tcW w:w="0" w:type="auto"/>
            <w:tcBorders>
              <w:top w:val="nil"/>
              <w:left w:val="nil"/>
              <w:bottom w:val="nil"/>
              <w:right w:val="nil"/>
            </w:tcBorders>
            <w:shd w:val="clear" w:color="auto" w:fill="auto"/>
            <w:vAlign w:val="center"/>
          </w:tcPr>
          <w:p w14:paraId="4207AA06">
            <w:pPr>
              <w:jc w:val="center"/>
              <w:rPr>
                <w:rFonts w:hint="eastAsia" w:ascii="宋体" w:hAnsi="宋体" w:eastAsia="宋体" w:cs="宋体"/>
                <w:i w:val="0"/>
                <w:iCs w:val="0"/>
                <w:color w:val="000000"/>
                <w:sz w:val="18"/>
                <w:szCs w:val="18"/>
                <w:u w:val="none"/>
              </w:rPr>
            </w:pPr>
          </w:p>
        </w:tc>
        <w:tc>
          <w:tcPr>
            <w:tcW w:w="0" w:type="auto"/>
            <w:tcBorders>
              <w:top w:val="nil"/>
              <w:left w:val="nil"/>
              <w:bottom w:val="nil"/>
              <w:right w:val="nil"/>
            </w:tcBorders>
            <w:shd w:val="clear" w:color="auto" w:fill="auto"/>
            <w:vAlign w:val="center"/>
          </w:tcPr>
          <w:p w14:paraId="608490BF">
            <w:pPr>
              <w:jc w:val="center"/>
              <w:rPr>
                <w:rFonts w:hint="eastAsia" w:ascii="宋体" w:hAnsi="宋体" w:eastAsia="宋体" w:cs="宋体"/>
                <w:i w:val="0"/>
                <w:iCs w:val="0"/>
                <w:color w:val="000000"/>
                <w:sz w:val="18"/>
                <w:szCs w:val="18"/>
                <w:u w:val="none"/>
              </w:rPr>
            </w:pPr>
          </w:p>
        </w:tc>
        <w:tc>
          <w:tcPr>
            <w:tcW w:w="0" w:type="auto"/>
            <w:tcBorders>
              <w:top w:val="nil"/>
              <w:left w:val="nil"/>
              <w:bottom w:val="nil"/>
              <w:right w:val="nil"/>
            </w:tcBorders>
            <w:shd w:val="clear" w:color="auto" w:fill="auto"/>
            <w:vAlign w:val="center"/>
          </w:tcPr>
          <w:p w14:paraId="3786CB4D">
            <w:pPr>
              <w:jc w:val="center"/>
              <w:rPr>
                <w:rFonts w:hint="eastAsia" w:ascii="宋体" w:hAnsi="宋体" w:eastAsia="宋体" w:cs="宋体"/>
                <w:i w:val="0"/>
                <w:iCs w:val="0"/>
                <w:color w:val="000000"/>
                <w:sz w:val="18"/>
                <w:szCs w:val="18"/>
                <w:u w:val="none"/>
              </w:rPr>
            </w:pPr>
          </w:p>
        </w:tc>
        <w:tc>
          <w:tcPr>
            <w:tcW w:w="0" w:type="auto"/>
            <w:tcBorders>
              <w:top w:val="nil"/>
              <w:left w:val="nil"/>
              <w:bottom w:val="nil"/>
              <w:right w:val="nil"/>
            </w:tcBorders>
            <w:shd w:val="clear" w:color="auto" w:fill="auto"/>
            <w:vAlign w:val="center"/>
          </w:tcPr>
          <w:p w14:paraId="21CAE317">
            <w:pPr>
              <w:jc w:val="center"/>
              <w:rPr>
                <w:rFonts w:hint="eastAsia" w:ascii="宋体" w:hAnsi="宋体" w:eastAsia="宋体" w:cs="宋体"/>
                <w:i w:val="0"/>
                <w:iCs w:val="0"/>
                <w:color w:val="000000"/>
                <w:sz w:val="18"/>
                <w:szCs w:val="18"/>
                <w:u w:val="none"/>
              </w:rPr>
            </w:pPr>
          </w:p>
        </w:tc>
        <w:tc>
          <w:tcPr>
            <w:tcW w:w="0" w:type="auto"/>
            <w:tcBorders>
              <w:top w:val="nil"/>
              <w:left w:val="nil"/>
              <w:bottom w:val="nil"/>
              <w:right w:val="nil"/>
            </w:tcBorders>
            <w:shd w:val="clear" w:color="auto" w:fill="auto"/>
            <w:vAlign w:val="center"/>
          </w:tcPr>
          <w:p w14:paraId="1596B2CE">
            <w:pPr>
              <w:jc w:val="center"/>
              <w:rPr>
                <w:rFonts w:hint="eastAsia" w:ascii="宋体" w:hAnsi="宋体" w:eastAsia="宋体" w:cs="宋体"/>
                <w:i w:val="0"/>
                <w:iCs w:val="0"/>
                <w:color w:val="000000"/>
                <w:sz w:val="18"/>
                <w:szCs w:val="18"/>
                <w:u w:val="none"/>
              </w:rPr>
            </w:pPr>
          </w:p>
        </w:tc>
        <w:tc>
          <w:tcPr>
            <w:tcW w:w="0" w:type="auto"/>
            <w:tcBorders>
              <w:top w:val="nil"/>
              <w:left w:val="nil"/>
              <w:bottom w:val="nil"/>
              <w:right w:val="nil"/>
            </w:tcBorders>
            <w:shd w:val="clear" w:color="auto" w:fill="auto"/>
            <w:vAlign w:val="center"/>
          </w:tcPr>
          <w:p w14:paraId="4915E3B5">
            <w:pPr>
              <w:jc w:val="center"/>
              <w:rPr>
                <w:rFonts w:hint="eastAsia" w:ascii="宋体" w:hAnsi="宋体" w:eastAsia="宋体" w:cs="宋体"/>
                <w:i w:val="0"/>
                <w:iCs w:val="0"/>
                <w:color w:val="000000"/>
                <w:sz w:val="18"/>
                <w:szCs w:val="18"/>
                <w:u w:val="none"/>
              </w:rPr>
            </w:pPr>
          </w:p>
        </w:tc>
        <w:tc>
          <w:tcPr>
            <w:tcW w:w="0" w:type="auto"/>
            <w:tcBorders>
              <w:top w:val="nil"/>
              <w:left w:val="nil"/>
              <w:bottom w:val="nil"/>
              <w:right w:val="nil"/>
            </w:tcBorders>
            <w:shd w:val="clear" w:color="auto" w:fill="auto"/>
            <w:vAlign w:val="center"/>
          </w:tcPr>
          <w:p w14:paraId="10B9D9F8">
            <w:pPr>
              <w:jc w:val="center"/>
              <w:rPr>
                <w:rFonts w:hint="eastAsia" w:ascii="宋体" w:hAnsi="宋体" w:eastAsia="宋体" w:cs="宋体"/>
                <w:i w:val="0"/>
                <w:iCs w:val="0"/>
                <w:color w:val="000000"/>
                <w:sz w:val="18"/>
                <w:szCs w:val="18"/>
                <w:u w:val="none"/>
              </w:rPr>
            </w:pPr>
          </w:p>
        </w:tc>
        <w:tc>
          <w:tcPr>
            <w:tcW w:w="0" w:type="auto"/>
            <w:tcBorders>
              <w:top w:val="nil"/>
              <w:left w:val="nil"/>
              <w:bottom w:val="nil"/>
              <w:right w:val="nil"/>
            </w:tcBorders>
            <w:shd w:val="clear" w:color="auto" w:fill="auto"/>
            <w:vAlign w:val="center"/>
          </w:tcPr>
          <w:p w14:paraId="50793443">
            <w:pPr>
              <w:rPr>
                <w:rFonts w:hint="eastAsia" w:ascii="宋体" w:hAnsi="宋体" w:eastAsia="宋体" w:cs="宋体"/>
                <w:i w:val="0"/>
                <w:iCs w:val="0"/>
                <w:color w:val="000000"/>
                <w:sz w:val="18"/>
                <w:szCs w:val="18"/>
                <w:u w:val="none"/>
              </w:rPr>
            </w:pPr>
          </w:p>
        </w:tc>
      </w:tr>
      <w:tr w14:paraId="43054AA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40" w:hRule="atLeast"/>
        </w:trPr>
        <w:tc>
          <w:tcPr>
            <w:tcW w:w="0" w:type="auto"/>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69E56E6D">
            <w:pPr>
              <w:keepNext w:val="0"/>
              <w:keepLines w:val="0"/>
              <w:widowControl/>
              <w:suppressLineNumbers w:val="0"/>
              <w:jc w:val="center"/>
              <w:textAlignment w:val="center"/>
              <w:rPr>
                <w:rFonts w:hint="eastAsia"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部门预算项目支出绩效自评表（2024年度）</w:t>
            </w:r>
          </w:p>
        </w:tc>
      </w:tr>
      <w:tr w14:paraId="28395A3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80" w:hRule="atLeast"/>
        </w:trPr>
        <w:tc>
          <w:tcPr>
            <w:tcW w:w="0" w:type="auto"/>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AE9ECF3">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0" w:type="auto"/>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35AB767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51320024T000010711845-国产电脑更新</w:t>
            </w:r>
          </w:p>
        </w:tc>
      </w:tr>
      <w:tr w14:paraId="53732BA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2" w:hRule="atLeast"/>
        </w:trPr>
        <w:tc>
          <w:tcPr>
            <w:tcW w:w="0" w:type="auto"/>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CB9A56B">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0" w:type="auto"/>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C932E0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州民政局部门</w:t>
            </w:r>
          </w:p>
        </w:tc>
        <w:tc>
          <w:tcPr>
            <w:tcW w:w="0" w:type="auto"/>
            <w:tcBorders>
              <w:top w:val="nil"/>
              <w:left w:val="nil"/>
              <w:bottom w:val="nil"/>
              <w:right w:val="nil"/>
            </w:tcBorders>
            <w:shd w:val="clear" w:color="auto" w:fill="auto"/>
            <w:vAlign w:val="center"/>
          </w:tcPr>
          <w:p w14:paraId="21147921">
            <w:pPr>
              <w:keepNext w:val="0"/>
              <w:keepLines w:val="0"/>
              <w:widowControl/>
              <w:suppressLineNumbers w:val="0"/>
              <w:jc w:val="center"/>
              <w:textAlignment w:val="center"/>
              <w:rPr>
                <w:rFonts w:hint="default" w:ascii="黑体" w:hAnsi="黑体" w:eastAsia="黑体" w:cs="黑体"/>
                <w:i w:val="0"/>
                <w:iCs w:val="0"/>
                <w:color w:val="000000"/>
                <w:sz w:val="18"/>
                <w:szCs w:val="18"/>
                <w:u w:val="none"/>
              </w:rPr>
            </w:pPr>
            <w:r>
              <w:rPr>
                <w:rFonts w:hint="default" w:ascii="黑体" w:hAnsi="黑体" w:eastAsia="黑体" w:cs="黑体"/>
                <w:i w:val="0"/>
                <w:iCs w:val="0"/>
                <w:color w:val="000000"/>
                <w:kern w:val="0"/>
                <w:sz w:val="18"/>
                <w:szCs w:val="18"/>
                <w:u w:val="none"/>
                <w:lang w:val="en-US" w:eastAsia="zh-CN" w:bidi="ar"/>
              </w:rPr>
              <w:t>实施单位 （盖章）</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B8BD27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州民政局</w:t>
            </w:r>
          </w:p>
        </w:tc>
      </w:tr>
      <w:tr w14:paraId="53612C1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D1023F0">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EA59F71">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0" w:type="auto"/>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4E43BFE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0" w:type="auto"/>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02FDD7CE">
            <w:pPr>
              <w:keepNext w:val="0"/>
              <w:keepLines w:val="0"/>
              <w:widowControl/>
              <w:suppressLineNumbers w:val="0"/>
              <w:jc w:val="center"/>
              <w:textAlignment w:val="center"/>
              <w:rPr>
                <w:rFonts w:hint="default" w:ascii="黑体" w:hAnsi="黑体" w:eastAsia="黑体" w:cs="黑体"/>
                <w:i w:val="0"/>
                <w:iCs w:val="0"/>
                <w:color w:val="000000"/>
                <w:sz w:val="18"/>
                <w:szCs w:val="18"/>
                <w:u w:val="none"/>
              </w:rPr>
            </w:pPr>
            <w:r>
              <w:rPr>
                <w:rFonts w:hint="default" w:ascii="黑体" w:hAnsi="黑体" w:eastAsia="黑体" w:cs="黑体"/>
                <w:i w:val="0"/>
                <w:iCs w:val="0"/>
                <w:color w:val="000000"/>
                <w:kern w:val="0"/>
                <w:sz w:val="18"/>
                <w:szCs w:val="18"/>
                <w:u w:val="none"/>
                <w:lang w:val="en-US" w:eastAsia="zh-CN" w:bidi="ar"/>
              </w:rPr>
              <w:t>年度目标完成情况</w:t>
            </w:r>
          </w:p>
        </w:tc>
      </w:tr>
      <w:tr w14:paraId="16CB5D2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8"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FB3781A">
            <w:pPr>
              <w:rPr>
                <w:rFonts w:hint="eastAsia" w:ascii="宋体" w:hAnsi="宋体" w:eastAsia="宋体" w:cs="宋体"/>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6501AA2">
            <w:pPr>
              <w:rPr>
                <w:rFonts w:hint="eastAsia" w:ascii="宋体" w:hAnsi="宋体" w:eastAsia="宋体" w:cs="宋体"/>
                <w:i w:val="0"/>
                <w:iCs w:val="0"/>
                <w:color w:val="000000"/>
                <w:sz w:val="18"/>
                <w:szCs w:val="18"/>
                <w:u w:val="none"/>
              </w:rPr>
            </w:pPr>
          </w:p>
        </w:tc>
        <w:tc>
          <w:tcPr>
            <w:tcW w:w="0" w:type="auto"/>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1E96AF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近年来，为保障网络安全，进行电脑国产化替代工程，前期安可办集中替换的均为台式机，计划购置便携式国产替代机。</w:t>
            </w:r>
          </w:p>
        </w:tc>
        <w:tc>
          <w:tcPr>
            <w:tcW w:w="0" w:type="auto"/>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088D5BC7">
            <w:pPr>
              <w:keepNext w:val="0"/>
              <w:keepLines w:val="0"/>
              <w:widowControl/>
              <w:suppressLineNumbers w:val="0"/>
              <w:jc w:val="center"/>
              <w:textAlignment w:val="center"/>
              <w:rPr>
                <w:rFonts w:hint="default" w:ascii="黑体" w:hAnsi="黑体" w:eastAsia="黑体" w:cs="黑体"/>
                <w:i w:val="0"/>
                <w:iCs w:val="0"/>
                <w:color w:val="000000"/>
                <w:sz w:val="18"/>
                <w:szCs w:val="18"/>
                <w:u w:val="none"/>
              </w:rPr>
            </w:pPr>
            <w:r>
              <w:rPr>
                <w:rFonts w:hint="default" w:ascii="黑体" w:hAnsi="黑体" w:eastAsia="黑体" w:cs="黑体"/>
                <w:i w:val="0"/>
                <w:iCs w:val="0"/>
                <w:color w:val="000000"/>
                <w:kern w:val="0"/>
                <w:sz w:val="18"/>
                <w:szCs w:val="18"/>
                <w:u w:val="none"/>
                <w:lang w:val="en-US" w:eastAsia="zh-CN" w:bidi="ar"/>
              </w:rPr>
              <w:t>完成了电脑国产化替代进程</w:t>
            </w:r>
          </w:p>
        </w:tc>
      </w:tr>
      <w:tr w14:paraId="7AF66F6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3"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F7411D4">
            <w:pP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999B2C7">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0" w:type="auto"/>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722B1A4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按照采购领导小组的部署进行采购，符合内控要求，在一体化平台进行采购</w:t>
            </w:r>
          </w:p>
        </w:tc>
      </w:tr>
      <w:tr w14:paraId="3B13839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60" w:hRule="atLeast"/>
        </w:trPr>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AB5E5C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D5DDDD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02AA27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D14658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A43726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A43033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51584D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C2E3EC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6F698C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14:paraId="099E90E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6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3E5808A">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BC4B9D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139F32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12.00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EF2DBD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9.79</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61427D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9.79</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F69C47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456907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569FED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593EAC5">
            <w:pPr>
              <w:keepNext w:val="0"/>
              <w:keepLines w:val="0"/>
              <w:widowControl/>
              <w:suppressLineNumbers w:val="0"/>
              <w:jc w:val="left"/>
              <w:textAlignment w:val="center"/>
              <w:rPr>
                <w:rFonts w:hint="default" w:ascii="黑体" w:hAnsi="黑体" w:eastAsia="黑体" w:cs="黑体"/>
                <w:i/>
                <w:iCs/>
                <w:color w:val="000000"/>
                <w:sz w:val="18"/>
                <w:szCs w:val="18"/>
                <w:u w:val="none"/>
              </w:rPr>
            </w:pPr>
            <w:r>
              <w:rPr>
                <w:rFonts w:hint="default" w:ascii="黑体" w:hAnsi="黑体" w:eastAsia="黑体" w:cs="黑体"/>
                <w:i/>
                <w:iCs/>
                <w:color w:val="000000"/>
                <w:kern w:val="0"/>
                <w:sz w:val="18"/>
                <w:szCs w:val="18"/>
                <w:u w:val="none"/>
                <w:lang w:val="en-US" w:eastAsia="zh-CN" w:bidi="ar"/>
              </w:rPr>
              <w:t>该项目预算执行率高于90%，预算调整原因：年底根据项目实际情况，调整收回净结余资金。</w:t>
            </w:r>
          </w:p>
        </w:tc>
      </w:tr>
      <w:tr w14:paraId="6A96429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6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CF8F0C9">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60C707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905834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12.00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BC4079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9.79</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B7561D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9.79</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4EE995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45BFEB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C78B6F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C859408">
            <w:pPr>
              <w:rPr>
                <w:rFonts w:hint="default" w:ascii="黑体" w:hAnsi="黑体" w:eastAsia="黑体" w:cs="黑体"/>
                <w:i/>
                <w:iCs/>
                <w:color w:val="000000"/>
                <w:sz w:val="18"/>
                <w:szCs w:val="18"/>
                <w:u w:val="none"/>
              </w:rPr>
            </w:pPr>
          </w:p>
        </w:tc>
      </w:tr>
      <w:tr w14:paraId="0049217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6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376DC3F">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07C546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C98565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E7D868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6300E2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C6B4A1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54B3F7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575F11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B36F142">
            <w:pPr>
              <w:rPr>
                <w:rFonts w:hint="default" w:ascii="黑体" w:hAnsi="黑体" w:eastAsia="黑体" w:cs="黑体"/>
                <w:i/>
                <w:iCs/>
                <w:color w:val="000000"/>
                <w:sz w:val="18"/>
                <w:szCs w:val="18"/>
                <w:u w:val="none"/>
              </w:rPr>
            </w:pPr>
          </w:p>
        </w:tc>
      </w:tr>
      <w:tr w14:paraId="564E793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6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F0A9F08">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FE0B8A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029CA7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C7542F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3177EA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C46341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A6EFAA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FD34C0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276E294">
            <w:pPr>
              <w:rPr>
                <w:rFonts w:hint="default" w:ascii="黑体" w:hAnsi="黑体" w:eastAsia="黑体" w:cs="黑体"/>
                <w:i/>
                <w:iCs/>
                <w:color w:val="000000"/>
                <w:sz w:val="18"/>
                <w:szCs w:val="18"/>
                <w:u w:val="none"/>
              </w:rPr>
            </w:pPr>
          </w:p>
        </w:tc>
      </w:tr>
      <w:tr w14:paraId="7D5ECFC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6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F142A1D">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34AB36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D50D596">
            <w:pPr>
              <w:jc w:val="center"/>
              <w:rPr>
                <w:rFonts w:hint="default" w:ascii="微软雅黑" w:hAnsi="微软雅黑" w:eastAsia="微软雅黑" w:cs="微软雅黑"/>
                <w:i/>
                <w:iCs/>
                <w:color w:val="000000"/>
                <w:sz w:val="16"/>
                <w:szCs w:val="16"/>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F6D6ECC">
            <w:pPr>
              <w:jc w:val="center"/>
              <w:rPr>
                <w:rFonts w:hint="default" w:ascii="微软雅黑" w:hAnsi="微软雅黑" w:eastAsia="微软雅黑" w:cs="微软雅黑"/>
                <w:i/>
                <w:iCs/>
                <w:color w:val="000000"/>
                <w:sz w:val="16"/>
                <w:szCs w:val="16"/>
                <w:u w:val="none"/>
              </w:rPr>
            </w:pP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7A88E44">
            <w:pPr>
              <w:jc w:val="center"/>
              <w:rPr>
                <w:rFonts w:hint="default" w:ascii="微软雅黑" w:hAnsi="微软雅黑" w:eastAsia="微软雅黑" w:cs="微软雅黑"/>
                <w:i/>
                <w:iCs/>
                <w:color w:val="000000"/>
                <w:sz w:val="16"/>
                <w:szCs w:val="16"/>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45C0350">
            <w:pPr>
              <w:jc w:val="center"/>
              <w:rPr>
                <w:rFonts w:hint="default" w:ascii="微软雅黑" w:hAnsi="微软雅黑" w:eastAsia="微软雅黑" w:cs="微软雅黑"/>
                <w:i/>
                <w:iCs/>
                <w:color w:val="000000"/>
                <w:sz w:val="16"/>
                <w:szCs w:val="16"/>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0EEE14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58304D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001393F">
            <w:pPr>
              <w:rPr>
                <w:rFonts w:hint="default" w:ascii="黑体" w:hAnsi="黑体" w:eastAsia="黑体" w:cs="黑体"/>
                <w:i/>
                <w:iCs/>
                <w:color w:val="000000"/>
                <w:sz w:val="18"/>
                <w:szCs w:val="18"/>
                <w:u w:val="none"/>
              </w:rPr>
            </w:pPr>
          </w:p>
        </w:tc>
      </w:tr>
      <w:tr w14:paraId="4167744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60" w:hRule="atLeast"/>
        </w:trPr>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F89BF5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89897E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8540A9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ACA8C4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EEA951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494D22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FE9664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3CBD6E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DBAB03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E39CF3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41731F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14:paraId="20C53CB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6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75B5854">
            <w:pPr>
              <w:jc w:val="center"/>
              <w:rPr>
                <w:rFonts w:hint="eastAsia" w:ascii="宋体" w:hAnsi="宋体" w:eastAsia="宋体" w:cs="宋体"/>
                <w:i w:val="0"/>
                <w:iCs w:val="0"/>
                <w:color w:val="000000"/>
                <w:sz w:val="18"/>
                <w:szCs w:val="18"/>
                <w:u w:val="none"/>
              </w:rPr>
            </w:pP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91C1FC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8ADDD1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质量指标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DEA85D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国产电脑验收通过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AB8CF9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定性</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FD79ED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98</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33FC74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8177489">
            <w:pPr>
              <w:keepNext w:val="0"/>
              <w:keepLines w:val="0"/>
              <w:widowControl/>
              <w:suppressLineNumbers w:val="0"/>
              <w:jc w:val="center"/>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100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8A11EF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2B97E6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43B860B">
            <w:pPr>
              <w:jc w:val="center"/>
              <w:rPr>
                <w:rFonts w:hint="default" w:ascii="微软雅黑" w:hAnsi="微软雅黑" w:eastAsia="微软雅黑" w:cs="微软雅黑"/>
                <w:i/>
                <w:iCs/>
                <w:color w:val="000000"/>
                <w:sz w:val="16"/>
                <w:szCs w:val="16"/>
                <w:u w:val="none"/>
              </w:rPr>
            </w:pPr>
          </w:p>
        </w:tc>
      </w:tr>
      <w:tr w14:paraId="3D112BA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3D4A2CE">
            <w:pPr>
              <w:jc w:val="center"/>
              <w:rPr>
                <w:rFonts w:hint="eastAsia" w:ascii="宋体" w:hAnsi="宋体" w:eastAsia="宋体" w:cs="宋体"/>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DC50F5F">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C42FED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时效指标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30C4E7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2024年12月31日完成</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736194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定性</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522F96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99</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AC1144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7A97A83">
            <w:pPr>
              <w:keepNext w:val="0"/>
              <w:keepLines w:val="0"/>
              <w:widowControl/>
              <w:suppressLineNumbers w:val="0"/>
              <w:jc w:val="center"/>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100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18454E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73A638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68492AB">
            <w:pPr>
              <w:jc w:val="center"/>
              <w:rPr>
                <w:rFonts w:hint="default" w:ascii="微软雅黑" w:hAnsi="微软雅黑" w:eastAsia="微软雅黑" w:cs="微软雅黑"/>
                <w:i/>
                <w:iCs/>
                <w:color w:val="000000"/>
                <w:sz w:val="16"/>
                <w:szCs w:val="16"/>
                <w:u w:val="none"/>
              </w:rPr>
            </w:pPr>
          </w:p>
        </w:tc>
      </w:tr>
      <w:tr w14:paraId="2861F82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6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56965A6">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DFF82F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115AF7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8DD53D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落实国家政策</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70F170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CD9608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95</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FEE654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4B06E74">
            <w:pPr>
              <w:keepNext w:val="0"/>
              <w:keepLines w:val="0"/>
              <w:widowControl/>
              <w:suppressLineNumbers w:val="0"/>
              <w:jc w:val="center"/>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96</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715606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645183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1792FCA">
            <w:pPr>
              <w:jc w:val="center"/>
              <w:rPr>
                <w:rFonts w:hint="default" w:ascii="微软雅黑" w:hAnsi="微软雅黑" w:eastAsia="微软雅黑" w:cs="微软雅黑"/>
                <w:i/>
                <w:iCs/>
                <w:color w:val="000000"/>
                <w:sz w:val="16"/>
                <w:szCs w:val="16"/>
                <w:u w:val="none"/>
              </w:rPr>
            </w:pPr>
          </w:p>
        </w:tc>
      </w:tr>
      <w:tr w14:paraId="11A2D46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6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05C46BF">
            <w:pPr>
              <w:jc w:val="center"/>
              <w:rPr>
                <w:rFonts w:hint="eastAsia" w:ascii="宋体" w:hAnsi="宋体" w:eastAsia="宋体" w:cs="宋体"/>
                <w:i w:val="0"/>
                <w:iCs w:val="0"/>
                <w:color w:val="000000"/>
                <w:sz w:val="18"/>
                <w:szCs w:val="18"/>
                <w:u w:val="none"/>
              </w:rPr>
            </w:pP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B16B37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6B6CF2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服务对象满意度指标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DE659E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服务对象满意度</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302612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3DBD4C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95</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13F465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AA2789C">
            <w:pPr>
              <w:keepNext w:val="0"/>
              <w:keepLines w:val="0"/>
              <w:widowControl/>
              <w:suppressLineNumbers w:val="0"/>
              <w:jc w:val="center"/>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96</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F876E8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E7561D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8D3590F">
            <w:pPr>
              <w:jc w:val="center"/>
              <w:rPr>
                <w:rFonts w:hint="default" w:ascii="微软雅黑" w:hAnsi="微软雅黑" w:eastAsia="微软雅黑" w:cs="微软雅黑"/>
                <w:i/>
                <w:iCs/>
                <w:color w:val="000000"/>
                <w:sz w:val="16"/>
                <w:szCs w:val="16"/>
                <w:u w:val="none"/>
              </w:rPr>
            </w:pPr>
          </w:p>
        </w:tc>
      </w:tr>
      <w:tr w14:paraId="35E4617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6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DCAE0AA">
            <w:pPr>
              <w:jc w:val="center"/>
              <w:rPr>
                <w:rFonts w:hint="eastAsia" w:ascii="宋体" w:hAnsi="宋体" w:eastAsia="宋体" w:cs="宋体"/>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0FB8F23">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7CF49F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67103B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职工满意度</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A69D2F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5C309A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95</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A172EA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473441D">
            <w:pPr>
              <w:keepNext w:val="0"/>
              <w:keepLines w:val="0"/>
              <w:widowControl/>
              <w:suppressLineNumbers w:val="0"/>
              <w:jc w:val="center"/>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96</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CC721E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DCD231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7B04B2B">
            <w:pPr>
              <w:jc w:val="center"/>
              <w:rPr>
                <w:rFonts w:hint="default" w:ascii="微软雅黑" w:hAnsi="微软雅黑" w:eastAsia="微软雅黑" w:cs="微软雅黑"/>
                <w:i/>
                <w:iCs/>
                <w:color w:val="000000"/>
                <w:sz w:val="16"/>
                <w:szCs w:val="16"/>
                <w:u w:val="none"/>
              </w:rPr>
            </w:pPr>
          </w:p>
        </w:tc>
      </w:tr>
      <w:tr w14:paraId="35F77D1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6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F4625B8">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D748C6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成本指标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F57BC1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经济成本指标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0C2EFA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成本控制率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211314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A3C467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95</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DFDEA3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9C33CBF">
            <w:pPr>
              <w:keepNext w:val="0"/>
              <w:keepLines w:val="0"/>
              <w:widowControl/>
              <w:suppressLineNumbers w:val="0"/>
              <w:jc w:val="center"/>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96</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F09B77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337FC7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5142ECD">
            <w:pPr>
              <w:jc w:val="center"/>
              <w:rPr>
                <w:rFonts w:hint="default" w:ascii="微软雅黑" w:hAnsi="微软雅黑" w:eastAsia="微软雅黑" w:cs="微软雅黑"/>
                <w:i/>
                <w:iCs/>
                <w:color w:val="000000"/>
                <w:sz w:val="16"/>
                <w:szCs w:val="16"/>
                <w:u w:val="none"/>
              </w:rPr>
            </w:pPr>
          </w:p>
        </w:tc>
      </w:tr>
      <w:tr w14:paraId="412C95D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0" w:hRule="atLeast"/>
        </w:trPr>
        <w:tc>
          <w:tcPr>
            <w:tcW w:w="0" w:type="auto"/>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546426C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91B8E5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C87CD0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98</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20092BD">
            <w:pPr>
              <w:rPr>
                <w:rFonts w:hint="eastAsia" w:ascii="宋体" w:hAnsi="宋体" w:eastAsia="宋体" w:cs="宋体"/>
                <w:i w:val="0"/>
                <w:iCs w:val="0"/>
                <w:color w:val="000000"/>
                <w:sz w:val="18"/>
                <w:szCs w:val="18"/>
                <w:u w:val="none"/>
              </w:rPr>
            </w:pPr>
          </w:p>
        </w:tc>
      </w:tr>
      <w:tr w14:paraId="60C1A55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025D8D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0" w:type="auto"/>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239128FD">
            <w:pPr>
              <w:keepNext w:val="0"/>
              <w:keepLines w:val="0"/>
              <w:widowControl/>
              <w:suppressLineNumbers w:val="0"/>
              <w:jc w:val="left"/>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国产电脑的价格相对较低，能够降低政府和企业的信息设备采购成本，并提高信息安全水平，进而提高了国家安全水平。</w:t>
            </w:r>
          </w:p>
        </w:tc>
      </w:tr>
      <w:tr w14:paraId="639E234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DE6D6E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0" w:type="auto"/>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7AB3FD80">
            <w:pPr>
              <w:keepNext w:val="0"/>
              <w:keepLines w:val="0"/>
              <w:widowControl/>
              <w:suppressLineNumbers w:val="0"/>
              <w:jc w:val="left"/>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年初预算执行率未达100%，侧面反映了预算能力有待提升。</w:t>
            </w:r>
          </w:p>
        </w:tc>
      </w:tr>
      <w:tr w14:paraId="3DFCB5A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6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D282F5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0" w:type="auto"/>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0E98682B">
            <w:pPr>
              <w:keepNext w:val="0"/>
              <w:keepLines w:val="0"/>
              <w:widowControl/>
              <w:suppressLineNumbers w:val="0"/>
              <w:jc w:val="left"/>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加大对预算测算依据的把控，进一步提升预算的精确的，避免预算资金剩余闲置。</w:t>
            </w:r>
          </w:p>
        </w:tc>
      </w:tr>
      <w:tr w14:paraId="52D8CFB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60" w:hRule="atLeast"/>
        </w:trPr>
        <w:tc>
          <w:tcPr>
            <w:tcW w:w="0" w:type="auto"/>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65E067F">
            <w:pPr>
              <w:keepNext w:val="0"/>
              <w:keepLines w:val="0"/>
              <w:widowControl/>
              <w:suppressLineNumbers w:val="0"/>
              <w:jc w:val="left"/>
              <w:textAlignment w:val="center"/>
              <w:rPr>
                <w:rFonts w:hint="default" w:ascii="黑体" w:hAnsi="黑体" w:eastAsia="黑体" w:cs="黑体"/>
                <w:i w:val="0"/>
                <w:iCs w:val="0"/>
                <w:color w:val="000000"/>
                <w:sz w:val="18"/>
                <w:szCs w:val="18"/>
                <w:u w:val="none"/>
              </w:rPr>
            </w:pPr>
            <w:r>
              <w:rPr>
                <w:rFonts w:hint="default" w:ascii="黑体" w:hAnsi="黑体" w:eastAsia="黑体" w:cs="黑体"/>
                <w:i w:val="0"/>
                <w:iCs w:val="0"/>
                <w:color w:val="000000"/>
                <w:kern w:val="0"/>
                <w:sz w:val="18"/>
                <w:szCs w:val="18"/>
                <w:u w:val="none"/>
                <w:lang w:val="en-US" w:eastAsia="zh-CN" w:bidi="ar"/>
              </w:rPr>
              <w:t>项目负责人：周晓龙</w:t>
            </w:r>
          </w:p>
        </w:tc>
        <w:tc>
          <w:tcPr>
            <w:tcW w:w="0" w:type="auto"/>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4EF25020">
            <w:pPr>
              <w:keepNext w:val="0"/>
              <w:keepLines w:val="0"/>
              <w:widowControl/>
              <w:suppressLineNumbers w:val="0"/>
              <w:jc w:val="center"/>
              <w:textAlignment w:val="center"/>
              <w:rPr>
                <w:rFonts w:hint="default" w:ascii="黑体" w:hAnsi="黑体" w:eastAsia="黑体" w:cs="黑体"/>
                <w:i w:val="0"/>
                <w:iCs w:val="0"/>
                <w:color w:val="000000"/>
                <w:sz w:val="18"/>
                <w:szCs w:val="18"/>
                <w:u w:val="none"/>
              </w:rPr>
            </w:pPr>
            <w:r>
              <w:rPr>
                <w:rFonts w:hint="default" w:ascii="黑体" w:hAnsi="黑体" w:eastAsia="黑体" w:cs="黑体"/>
                <w:i w:val="0"/>
                <w:iCs w:val="0"/>
                <w:color w:val="000000"/>
                <w:kern w:val="0"/>
                <w:sz w:val="18"/>
                <w:szCs w:val="18"/>
                <w:u w:val="none"/>
                <w:lang w:val="en-US" w:eastAsia="zh-CN" w:bidi="ar"/>
              </w:rPr>
              <w:t>财务负责人：杨琴琴</w:t>
            </w:r>
          </w:p>
        </w:tc>
      </w:tr>
      <w:tr w14:paraId="0BE4BA1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0" w:hRule="atLeast"/>
        </w:trPr>
        <w:tc>
          <w:tcPr>
            <w:tcW w:w="0" w:type="auto"/>
            <w:tcBorders>
              <w:top w:val="nil"/>
              <w:left w:val="nil"/>
              <w:bottom w:val="nil"/>
              <w:right w:val="nil"/>
            </w:tcBorders>
            <w:shd w:val="clear" w:color="auto" w:fill="auto"/>
            <w:vAlign w:val="center"/>
          </w:tcPr>
          <w:p w14:paraId="402116F2">
            <w:pPr>
              <w:rPr>
                <w:rFonts w:hint="eastAsia" w:ascii="宋体" w:hAnsi="宋体" w:eastAsia="宋体" w:cs="宋体"/>
                <w:i w:val="0"/>
                <w:iCs w:val="0"/>
                <w:color w:val="000000"/>
                <w:sz w:val="18"/>
                <w:szCs w:val="18"/>
                <w:u w:val="none"/>
              </w:rPr>
            </w:pPr>
          </w:p>
        </w:tc>
        <w:tc>
          <w:tcPr>
            <w:tcW w:w="0" w:type="auto"/>
            <w:tcBorders>
              <w:top w:val="nil"/>
              <w:left w:val="nil"/>
              <w:bottom w:val="nil"/>
              <w:right w:val="nil"/>
            </w:tcBorders>
            <w:shd w:val="clear" w:color="auto" w:fill="auto"/>
            <w:vAlign w:val="center"/>
          </w:tcPr>
          <w:p w14:paraId="3BF1154A">
            <w:pPr>
              <w:rPr>
                <w:rFonts w:hint="eastAsia" w:ascii="宋体" w:hAnsi="宋体" w:eastAsia="宋体" w:cs="宋体"/>
                <w:i w:val="0"/>
                <w:iCs w:val="0"/>
                <w:color w:val="000000"/>
                <w:sz w:val="18"/>
                <w:szCs w:val="18"/>
                <w:u w:val="none"/>
              </w:rPr>
            </w:pPr>
          </w:p>
        </w:tc>
        <w:tc>
          <w:tcPr>
            <w:tcW w:w="0" w:type="auto"/>
            <w:tcBorders>
              <w:top w:val="nil"/>
              <w:left w:val="nil"/>
              <w:bottom w:val="nil"/>
              <w:right w:val="nil"/>
            </w:tcBorders>
            <w:shd w:val="clear" w:color="auto" w:fill="auto"/>
            <w:vAlign w:val="center"/>
          </w:tcPr>
          <w:p w14:paraId="38D74952">
            <w:pPr>
              <w:jc w:val="center"/>
              <w:rPr>
                <w:rFonts w:hint="eastAsia" w:ascii="宋体" w:hAnsi="宋体" w:eastAsia="宋体" w:cs="宋体"/>
                <w:i w:val="0"/>
                <w:iCs w:val="0"/>
                <w:color w:val="000000"/>
                <w:sz w:val="18"/>
                <w:szCs w:val="18"/>
                <w:u w:val="none"/>
              </w:rPr>
            </w:pPr>
          </w:p>
        </w:tc>
        <w:tc>
          <w:tcPr>
            <w:tcW w:w="0" w:type="auto"/>
            <w:tcBorders>
              <w:top w:val="nil"/>
              <w:left w:val="nil"/>
              <w:bottom w:val="nil"/>
              <w:right w:val="nil"/>
            </w:tcBorders>
            <w:shd w:val="clear" w:color="auto" w:fill="auto"/>
            <w:vAlign w:val="center"/>
          </w:tcPr>
          <w:p w14:paraId="0574F5E1">
            <w:pPr>
              <w:jc w:val="center"/>
              <w:rPr>
                <w:rFonts w:hint="eastAsia" w:ascii="宋体" w:hAnsi="宋体" w:eastAsia="宋体" w:cs="宋体"/>
                <w:i w:val="0"/>
                <w:iCs w:val="0"/>
                <w:color w:val="000000"/>
                <w:sz w:val="18"/>
                <w:szCs w:val="18"/>
                <w:u w:val="none"/>
              </w:rPr>
            </w:pPr>
          </w:p>
        </w:tc>
        <w:tc>
          <w:tcPr>
            <w:tcW w:w="0" w:type="auto"/>
            <w:tcBorders>
              <w:top w:val="nil"/>
              <w:left w:val="nil"/>
              <w:bottom w:val="nil"/>
              <w:right w:val="nil"/>
            </w:tcBorders>
            <w:shd w:val="clear" w:color="auto" w:fill="auto"/>
            <w:vAlign w:val="center"/>
          </w:tcPr>
          <w:p w14:paraId="53836271">
            <w:pPr>
              <w:jc w:val="center"/>
              <w:rPr>
                <w:rFonts w:hint="eastAsia" w:ascii="宋体" w:hAnsi="宋体" w:eastAsia="宋体" w:cs="宋体"/>
                <w:i w:val="0"/>
                <w:iCs w:val="0"/>
                <w:color w:val="000000"/>
                <w:sz w:val="18"/>
                <w:szCs w:val="18"/>
                <w:u w:val="none"/>
              </w:rPr>
            </w:pPr>
          </w:p>
        </w:tc>
        <w:tc>
          <w:tcPr>
            <w:tcW w:w="0" w:type="auto"/>
            <w:tcBorders>
              <w:top w:val="nil"/>
              <w:left w:val="nil"/>
              <w:bottom w:val="nil"/>
              <w:right w:val="nil"/>
            </w:tcBorders>
            <w:shd w:val="clear" w:color="auto" w:fill="auto"/>
            <w:vAlign w:val="center"/>
          </w:tcPr>
          <w:p w14:paraId="2138393B">
            <w:pPr>
              <w:jc w:val="center"/>
              <w:rPr>
                <w:rFonts w:hint="eastAsia" w:ascii="宋体" w:hAnsi="宋体" w:eastAsia="宋体" w:cs="宋体"/>
                <w:i w:val="0"/>
                <w:iCs w:val="0"/>
                <w:color w:val="000000"/>
                <w:sz w:val="18"/>
                <w:szCs w:val="18"/>
                <w:u w:val="none"/>
              </w:rPr>
            </w:pPr>
          </w:p>
        </w:tc>
        <w:tc>
          <w:tcPr>
            <w:tcW w:w="0" w:type="auto"/>
            <w:tcBorders>
              <w:top w:val="nil"/>
              <w:left w:val="nil"/>
              <w:bottom w:val="nil"/>
              <w:right w:val="nil"/>
            </w:tcBorders>
            <w:shd w:val="clear" w:color="auto" w:fill="auto"/>
            <w:vAlign w:val="center"/>
          </w:tcPr>
          <w:p w14:paraId="3D171C8A">
            <w:pPr>
              <w:jc w:val="center"/>
              <w:rPr>
                <w:rFonts w:hint="eastAsia" w:ascii="宋体" w:hAnsi="宋体" w:eastAsia="宋体" w:cs="宋体"/>
                <w:i w:val="0"/>
                <w:iCs w:val="0"/>
                <w:color w:val="000000"/>
                <w:sz w:val="18"/>
                <w:szCs w:val="18"/>
                <w:u w:val="none"/>
              </w:rPr>
            </w:pPr>
          </w:p>
        </w:tc>
        <w:tc>
          <w:tcPr>
            <w:tcW w:w="0" w:type="auto"/>
            <w:tcBorders>
              <w:top w:val="nil"/>
              <w:left w:val="nil"/>
              <w:bottom w:val="nil"/>
              <w:right w:val="nil"/>
            </w:tcBorders>
            <w:shd w:val="clear" w:color="auto" w:fill="auto"/>
            <w:vAlign w:val="center"/>
          </w:tcPr>
          <w:p w14:paraId="6133C6B7">
            <w:pPr>
              <w:jc w:val="center"/>
              <w:rPr>
                <w:rFonts w:hint="eastAsia" w:ascii="宋体" w:hAnsi="宋体" w:eastAsia="宋体" w:cs="宋体"/>
                <w:i w:val="0"/>
                <w:iCs w:val="0"/>
                <w:color w:val="000000"/>
                <w:sz w:val="18"/>
                <w:szCs w:val="18"/>
                <w:u w:val="none"/>
              </w:rPr>
            </w:pPr>
          </w:p>
        </w:tc>
        <w:tc>
          <w:tcPr>
            <w:tcW w:w="0" w:type="auto"/>
            <w:tcBorders>
              <w:top w:val="nil"/>
              <w:left w:val="nil"/>
              <w:bottom w:val="nil"/>
              <w:right w:val="nil"/>
            </w:tcBorders>
            <w:shd w:val="clear" w:color="auto" w:fill="auto"/>
            <w:vAlign w:val="center"/>
          </w:tcPr>
          <w:p w14:paraId="3D2FC97D">
            <w:pPr>
              <w:jc w:val="center"/>
              <w:rPr>
                <w:rFonts w:hint="eastAsia" w:ascii="宋体" w:hAnsi="宋体" w:eastAsia="宋体" w:cs="宋体"/>
                <w:i w:val="0"/>
                <w:iCs w:val="0"/>
                <w:color w:val="000000"/>
                <w:sz w:val="18"/>
                <w:szCs w:val="18"/>
                <w:u w:val="none"/>
              </w:rPr>
            </w:pPr>
          </w:p>
        </w:tc>
        <w:tc>
          <w:tcPr>
            <w:tcW w:w="0" w:type="auto"/>
            <w:tcBorders>
              <w:top w:val="nil"/>
              <w:left w:val="nil"/>
              <w:bottom w:val="nil"/>
              <w:right w:val="nil"/>
            </w:tcBorders>
            <w:shd w:val="clear" w:color="auto" w:fill="auto"/>
            <w:vAlign w:val="center"/>
          </w:tcPr>
          <w:p w14:paraId="09B60BB4">
            <w:pPr>
              <w:jc w:val="center"/>
              <w:rPr>
                <w:rFonts w:hint="eastAsia" w:ascii="宋体" w:hAnsi="宋体" w:eastAsia="宋体" w:cs="宋体"/>
                <w:i w:val="0"/>
                <w:iCs w:val="0"/>
                <w:color w:val="000000"/>
                <w:sz w:val="18"/>
                <w:szCs w:val="18"/>
                <w:u w:val="none"/>
              </w:rPr>
            </w:pPr>
          </w:p>
        </w:tc>
        <w:tc>
          <w:tcPr>
            <w:tcW w:w="0" w:type="auto"/>
            <w:tcBorders>
              <w:top w:val="nil"/>
              <w:left w:val="nil"/>
              <w:bottom w:val="nil"/>
              <w:right w:val="nil"/>
            </w:tcBorders>
            <w:shd w:val="clear" w:color="auto" w:fill="auto"/>
            <w:vAlign w:val="center"/>
          </w:tcPr>
          <w:p w14:paraId="413BCD56">
            <w:pPr>
              <w:rPr>
                <w:rFonts w:hint="eastAsia" w:ascii="宋体" w:hAnsi="宋体" w:eastAsia="宋体" w:cs="宋体"/>
                <w:i w:val="0"/>
                <w:iCs w:val="0"/>
                <w:color w:val="000000"/>
                <w:sz w:val="18"/>
                <w:szCs w:val="18"/>
                <w:u w:val="none"/>
              </w:rPr>
            </w:pPr>
          </w:p>
        </w:tc>
      </w:tr>
      <w:tr w14:paraId="14C8DE5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00" w:hRule="atLeast"/>
        </w:trPr>
        <w:tc>
          <w:tcPr>
            <w:tcW w:w="0" w:type="auto"/>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3D13767B">
            <w:pPr>
              <w:keepNext w:val="0"/>
              <w:keepLines w:val="0"/>
              <w:widowControl/>
              <w:suppressLineNumbers w:val="0"/>
              <w:jc w:val="center"/>
              <w:textAlignment w:val="center"/>
              <w:rPr>
                <w:rFonts w:hint="eastAsia"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部门预算项目支出绩效自评表（2024年度）</w:t>
            </w:r>
          </w:p>
        </w:tc>
      </w:tr>
      <w:tr w14:paraId="7499943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40" w:hRule="atLeast"/>
        </w:trPr>
        <w:tc>
          <w:tcPr>
            <w:tcW w:w="0" w:type="auto"/>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E3F2DCA">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0" w:type="auto"/>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10C7F67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51320024T000010910635-低收入监测平台运维费</w:t>
            </w:r>
          </w:p>
        </w:tc>
      </w:tr>
      <w:tr w14:paraId="7307CBE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40" w:hRule="atLeast"/>
        </w:trPr>
        <w:tc>
          <w:tcPr>
            <w:tcW w:w="0" w:type="auto"/>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B23F015">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0" w:type="auto"/>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01D4A0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州民政局部门</w:t>
            </w:r>
          </w:p>
        </w:tc>
        <w:tc>
          <w:tcPr>
            <w:tcW w:w="0" w:type="auto"/>
            <w:tcBorders>
              <w:top w:val="nil"/>
              <w:left w:val="nil"/>
              <w:bottom w:val="nil"/>
              <w:right w:val="nil"/>
            </w:tcBorders>
            <w:shd w:val="clear" w:color="auto" w:fill="auto"/>
            <w:vAlign w:val="center"/>
          </w:tcPr>
          <w:p w14:paraId="5EC9D795">
            <w:pPr>
              <w:keepNext w:val="0"/>
              <w:keepLines w:val="0"/>
              <w:widowControl/>
              <w:suppressLineNumbers w:val="0"/>
              <w:jc w:val="center"/>
              <w:textAlignment w:val="center"/>
              <w:rPr>
                <w:rFonts w:hint="default" w:ascii="黑体" w:hAnsi="黑体" w:eastAsia="黑体" w:cs="黑体"/>
                <w:i w:val="0"/>
                <w:iCs w:val="0"/>
                <w:color w:val="000000"/>
                <w:sz w:val="18"/>
                <w:szCs w:val="18"/>
                <w:u w:val="none"/>
              </w:rPr>
            </w:pPr>
            <w:r>
              <w:rPr>
                <w:rFonts w:hint="default" w:ascii="黑体" w:hAnsi="黑体" w:eastAsia="黑体" w:cs="黑体"/>
                <w:i w:val="0"/>
                <w:iCs w:val="0"/>
                <w:color w:val="000000"/>
                <w:kern w:val="0"/>
                <w:sz w:val="18"/>
                <w:szCs w:val="18"/>
                <w:u w:val="none"/>
                <w:lang w:val="en-US" w:eastAsia="zh-CN" w:bidi="ar"/>
              </w:rPr>
              <w:t>实施单位 （盖章）</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5A1B31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州民政局</w:t>
            </w:r>
          </w:p>
        </w:tc>
      </w:tr>
      <w:tr w14:paraId="7CC0883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80" w:hRule="atLeast"/>
        </w:trPr>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1D0DA47">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B9A2248">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0" w:type="auto"/>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4E2C013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0" w:type="auto"/>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456B252E">
            <w:pPr>
              <w:keepNext w:val="0"/>
              <w:keepLines w:val="0"/>
              <w:widowControl/>
              <w:suppressLineNumbers w:val="0"/>
              <w:jc w:val="center"/>
              <w:textAlignment w:val="center"/>
              <w:rPr>
                <w:rFonts w:hint="default" w:ascii="黑体" w:hAnsi="黑体" w:eastAsia="黑体" w:cs="黑体"/>
                <w:i w:val="0"/>
                <w:iCs w:val="0"/>
                <w:color w:val="000000"/>
                <w:sz w:val="18"/>
                <w:szCs w:val="18"/>
                <w:u w:val="none"/>
              </w:rPr>
            </w:pPr>
            <w:r>
              <w:rPr>
                <w:rFonts w:hint="default" w:ascii="黑体" w:hAnsi="黑体" w:eastAsia="黑体" w:cs="黑体"/>
                <w:i w:val="0"/>
                <w:iCs w:val="0"/>
                <w:color w:val="000000"/>
                <w:kern w:val="0"/>
                <w:sz w:val="18"/>
                <w:szCs w:val="18"/>
                <w:u w:val="none"/>
                <w:lang w:val="en-US" w:eastAsia="zh-CN" w:bidi="ar"/>
              </w:rPr>
              <w:t>年度目标完成情况</w:t>
            </w:r>
          </w:p>
        </w:tc>
      </w:tr>
      <w:tr w14:paraId="2A29478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2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9C65AA4">
            <w:pPr>
              <w:rPr>
                <w:rFonts w:hint="eastAsia" w:ascii="宋体" w:hAnsi="宋体" w:eastAsia="宋体" w:cs="宋体"/>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4ADDD9B">
            <w:pPr>
              <w:rPr>
                <w:rFonts w:hint="eastAsia" w:ascii="宋体" w:hAnsi="宋体" w:eastAsia="宋体" w:cs="宋体"/>
                <w:i w:val="0"/>
                <w:iCs w:val="0"/>
                <w:color w:val="000000"/>
                <w:sz w:val="18"/>
                <w:szCs w:val="18"/>
                <w:u w:val="none"/>
              </w:rPr>
            </w:pPr>
          </w:p>
        </w:tc>
        <w:tc>
          <w:tcPr>
            <w:tcW w:w="0" w:type="auto"/>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B1C9B3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 xml:space="preserve"> 软件运维服务内容：1.基础支撑中心阿坝分站；2.社会救助综合服务阿坝分站；3.低收入人口监测预警平台阿坝分站;4.社会救助大数据应用中心；5.数据共享交换中心；6.全市低收入人口信息库；系统运维日常内容：1.系统BUG修复、系统故障处理；2.数据维护：对系统数据导入导出、数据上报、数据维护工作；3.硬件维护：对本系统使用的高拍仪及相关辅助设备进行日常配置及调试；4.日常巡检服务：要求每季度不低于1次系统巡检，及时发现和排查安全隐患；本地化需求调整系统功能，调整范围包括：1.根据甲方要求对本系统中政策调整、业务流程、系统角色菜单功能进行维护；2.对本系统中相关报表进行维护支持，根据甲方实际业务需求进行调优；3.对系统新接口对接、现有接口日常维护及相关故障进行检测、排查处理；4.其他不涉及系统架构变更或新增业务模块的系统功能调整。        系统培训：根据甲方需求每年开展一次集中系统操作培训，使工作人员熟练掌握使用。应急响应：对于出现突发情况，服务电话30分钟内响应，1小时给出应急解决方案，24小时内到场支持。 对以上所有系统进行维护，根据甲方需求每年开展一次集中系统操作培训，使工作人员熟练掌握使用。</w:t>
            </w:r>
          </w:p>
        </w:tc>
        <w:tc>
          <w:tcPr>
            <w:tcW w:w="0" w:type="auto"/>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7C1FA327">
            <w:pPr>
              <w:keepNext w:val="0"/>
              <w:keepLines w:val="0"/>
              <w:widowControl/>
              <w:suppressLineNumbers w:val="0"/>
              <w:jc w:val="center"/>
              <w:textAlignment w:val="center"/>
              <w:rPr>
                <w:rFonts w:hint="default" w:ascii="黑体" w:hAnsi="黑体" w:eastAsia="黑体" w:cs="黑体"/>
                <w:i w:val="0"/>
                <w:iCs w:val="0"/>
                <w:color w:val="000000"/>
                <w:sz w:val="18"/>
                <w:szCs w:val="18"/>
                <w:u w:val="none"/>
              </w:rPr>
            </w:pPr>
            <w:r>
              <w:rPr>
                <w:rFonts w:hint="default" w:ascii="黑体" w:hAnsi="黑体" w:eastAsia="黑体" w:cs="黑体"/>
                <w:i w:val="0"/>
                <w:iCs w:val="0"/>
                <w:color w:val="000000"/>
                <w:kern w:val="0"/>
                <w:sz w:val="18"/>
                <w:szCs w:val="18"/>
                <w:u w:val="none"/>
                <w:lang w:val="en-US" w:eastAsia="zh-CN" w:bidi="ar"/>
              </w:rPr>
              <w:t>1）售后服务：根据系统售后服务群（1-5群）收集全州、区/县、街道/乡镇日常反馈的系统BUG，提交修复和系统故障处理，服务阿坝州客户人群超400人以上，每日解答问题约100条以上，年度解答问题约1.2万条次左右；2）数据维护：系统数据每日全量备份1次，每3天删除前面2天备份数据，保留最新数据，年度备份次数约360次；每月上报民政部数据1次，年度上报12次；配合州局及县区数据导入、清洗等维护工作，年度维护约10次。3）服务器加固：因操作系统存在问题或技术缺陷，操作系统产品提供商通常会定期对已知漏洞发布补丁程序，年度约更新漏洞补丁5次。4）硬件维护：对本系统使用的4台云服务器、全州3级民政机构的台式机约30台以上、高拍仪约200台以上、电子签章设备约200套等设备进行日常配置、调试和售后服务问题解答。5）日常巡检服务：每月不低于4次系统和云服务器巡检，及时发现和排查安全隐患。</w:t>
            </w:r>
          </w:p>
        </w:tc>
      </w:tr>
      <w:tr w14:paraId="695C6AB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ACBFC00">
            <w:pP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B11E373">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0" w:type="auto"/>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51F3532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系统日常维护、本地化需求调整系统功能、系统培训、应急响应。</w:t>
            </w:r>
          </w:p>
        </w:tc>
      </w:tr>
      <w:tr w14:paraId="016798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E87836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120770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E7CC37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8F6232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93DF69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D84C83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A3E442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25ED0C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6D7F0F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14:paraId="2BDF2E5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3FE9E70">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DE96CB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CAB2A8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5.16</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86B631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5.16</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044117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5.16</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D7A638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694DBD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3FD20E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1EB2039">
            <w:pPr>
              <w:keepNext w:val="0"/>
              <w:keepLines w:val="0"/>
              <w:widowControl/>
              <w:suppressLineNumbers w:val="0"/>
              <w:jc w:val="left"/>
              <w:textAlignment w:val="center"/>
              <w:rPr>
                <w:rFonts w:hint="default" w:ascii="黑体" w:hAnsi="黑体" w:eastAsia="黑体" w:cs="黑体"/>
                <w:i/>
                <w:iCs/>
                <w:color w:val="000000"/>
                <w:sz w:val="18"/>
                <w:szCs w:val="18"/>
                <w:u w:val="none"/>
              </w:rPr>
            </w:pPr>
            <w:r>
              <w:rPr>
                <w:rFonts w:hint="default" w:ascii="黑体" w:hAnsi="黑体" w:eastAsia="黑体" w:cs="黑体"/>
                <w:i/>
                <w:iCs/>
                <w:color w:val="000000"/>
                <w:kern w:val="0"/>
                <w:sz w:val="18"/>
                <w:szCs w:val="18"/>
                <w:u w:val="none"/>
                <w:lang w:val="en-US" w:eastAsia="zh-CN" w:bidi="ar"/>
              </w:rPr>
              <w:t>该项目预算执行率高于90%，无预算调整。</w:t>
            </w:r>
          </w:p>
        </w:tc>
      </w:tr>
      <w:tr w14:paraId="0233F35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24109E2">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024D3D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4FE842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5.16</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91E3DE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5.16</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FBBE8E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5.16</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65236A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D8A32E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C6AACB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020F07B">
            <w:pPr>
              <w:rPr>
                <w:rFonts w:hint="default" w:ascii="黑体" w:hAnsi="黑体" w:eastAsia="黑体" w:cs="黑体"/>
                <w:i/>
                <w:iCs/>
                <w:color w:val="000000"/>
                <w:sz w:val="18"/>
                <w:szCs w:val="18"/>
                <w:u w:val="none"/>
              </w:rPr>
            </w:pPr>
          </w:p>
        </w:tc>
      </w:tr>
      <w:tr w14:paraId="29ABDFB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90C31AD">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14E26B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49082C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80ED1C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CD8F66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CAE791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DFCB23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1EF570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4582E5A">
            <w:pPr>
              <w:rPr>
                <w:rFonts w:hint="default" w:ascii="黑体" w:hAnsi="黑体" w:eastAsia="黑体" w:cs="黑体"/>
                <w:i/>
                <w:iCs/>
                <w:color w:val="000000"/>
                <w:sz w:val="18"/>
                <w:szCs w:val="18"/>
                <w:u w:val="none"/>
              </w:rPr>
            </w:pPr>
          </w:p>
        </w:tc>
      </w:tr>
      <w:tr w14:paraId="0F87A7A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33095B9">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D23A65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052C34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6BB114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0C2FE8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610437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2F5672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E38F4C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86714E7">
            <w:pPr>
              <w:rPr>
                <w:rFonts w:hint="default" w:ascii="黑体" w:hAnsi="黑体" w:eastAsia="黑体" w:cs="黑体"/>
                <w:i/>
                <w:iCs/>
                <w:color w:val="000000"/>
                <w:sz w:val="18"/>
                <w:szCs w:val="18"/>
                <w:u w:val="none"/>
              </w:rPr>
            </w:pPr>
          </w:p>
        </w:tc>
      </w:tr>
      <w:tr w14:paraId="3D1EDB7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D21C200">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0305E3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B9DD648">
            <w:pPr>
              <w:jc w:val="center"/>
              <w:rPr>
                <w:rFonts w:hint="default" w:ascii="微软雅黑" w:hAnsi="微软雅黑" w:eastAsia="微软雅黑" w:cs="微软雅黑"/>
                <w:i/>
                <w:iCs/>
                <w:color w:val="000000"/>
                <w:sz w:val="16"/>
                <w:szCs w:val="16"/>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43ABD45">
            <w:pPr>
              <w:jc w:val="center"/>
              <w:rPr>
                <w:rFonts w:hint="default" w:ascii="微软雅黑" w:hAnsi="微软雅黑" w:eastAsia="微软雅黑" w:cs="微软雅黑"/>
                <w:i/>
                <w:iCs/>
                <w:color w:val="000000"/>
                <w:sz w:val="16"/>
                <w:szCs w:val="16"/>
                <w:u w:val="none"/>
              </w:rPr>
            </w:pP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593600A">
            <w:pPr>
              <w:jc w:val="center"/>
              <w:rPr>
                <w:rFonts w:hint="default" w:ascii="微软雅黑" w:hAnsi="微软雅黑" w:eastAsia="微软雅黑" w:cs="微软雅黑"/>
                <w:i/>
                <w:iCs/>
                <w:color w:val="000000"/>
                <w:sz w:val="16"/>
                <w:szCs w:val="16"/>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0183A73">
            <w:pPr>
              <w:jc w:val="center"/>
              <w:rPr>
                <w:rFonts w:hint="default" w:ascii="微软雅黑" w:hAnsi="微软雅黑" w:eastAsia="微软雅黑" w:cs="微软雅黑"/>
                <w:i/>
                <w:iCs/>
                <w:color w:val="000000"/>
                <w:sz w:val="16"/>
                <w:szCs w:val="16"/>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061CC2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372730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D120D89">
            <w:pPr>
              <w:rPr>
                <w:rFonts w:hint="default" w:ascii="黑体" w:hAnsi="黑体" w:eastAsia="黑体" w:cs="黑体"/>
                <w:i/>
                <w:iCs/>
                <w:color w:val="000000"/>
                <w:sz w:val="18"/>
                <w:szCs w:val="18"/>
                <w:u w:val="none"/>
              </w:rPr>
            </w:pPr>
          </w:p>
        </w:tc>
      </w:tr>
      <w:tr w14:paraId="61C8040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BCCBE3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57F1EB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44C4CF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EF278A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44E759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669CF6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30980D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B2E135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BEEE29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881883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FF8F41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14:paraId="6AAD98A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E09423B">
            <w:pPr>
              <w:jc w:val="center"/>
              <w:rPr>
                <w:rFonts w:hint="eastAsia" w:ascii="宋体" w:hAnsi="宋体" w:eastAsia="宋体" w:cs="宋体"/>
                <w:i w:val="0"/>
                <w:iCs w:val="0"/>
                <w:color w:val="000000"/>
                <w:sz w:val="18"/>
                <w:szCs w:val="18"/>
                <w:u w:val="none"/>
              </w:rPr>
            </w:pP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751245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F9BAC4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B8C3AC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软件运营数量</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5C7C80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33D4F9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093678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045C7C0">
            <w:pPr>
              <w:keepNext w:val="0"/>
              <w:keepLines w:val="0"/>
              <w:widowControl/>
              <w:suppressLineNumbers w:val="0"/>
              <w:jc w:val="center"/>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6</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5E6ACF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13</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166AF7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13</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E76BF51">
            <w:pPr>
              <w:jc w:val="center"/>
              <w:rPr>
                <w:rFonts w:hint="default" w:ascii="微软雅黑" w:hAnsi="微软雅黑" w:eastAsia="微软雅黑" w:cs="微软雅黑"/>
                <w:i/>
                <w:iCs/>
                <w:color w:val="000000"/>
                <w:sz w:val="16"/>
                <w:szCs w:val="16"/>
                <w:u w:val="none"/>
              </w:rPr>
            </w:pPr>
          </w:p>
        </w:tc>
      </w:tr>
      <w:tr w14:paraId="2218551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DE25B48">
            <w:pPr>
              <w:jc w:val="center"/>
              <w:rPr>
                <w:rFonts w:hint="eastAsia" w:ascii="宋体" w:hAnsi="宋体" w:eastAsia="宋体" w:cs="宋体"/>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587DB01">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1491A3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质量指标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9AE6A4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项目验收通过率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B3A236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D2A2B1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97</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C3DF56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DE8DFCD">
            <w:pPr>
              <w:keepNext w:val="0"/>
              <w:keepLines w:val="0"/>
              <w:widowControl/>
              <w:suppressLineNumbers w:val="0"/>
              <w:jc w:val="center"/>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100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A208C6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12</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C7CDD4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12</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581668C">
            <w:pPr>
              <w:jc w:val="center"/>
              <w:rPr>
                <w:rFonts w:hint="default" w:ascii="微软雅黑" w:hAnsi="微软雅黑" w:eastAsia="微软雅黑" w:cs="微软雅黑"/>
                <w:i/>
                <w:iCs/>
                <w:color w:val="000000"/>
                <w:sz w:val="16"/>
                <w:szCs w:val="16"/>
                <w:u w:val="none"/>
              </w:rPr>
            </w:pPr>
          </w:p>
        </w:tc>
      </w:tr>
      <w:tr w14:paraId="15C9809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29AE182">
            <w:pPr>
              <w:jc w:val="center"/>
              <w:rPr>
                <w:rFonts w:hint="eastAsia" w:ascii="宋体" w:hAnsi="宋体" w:eastAsia="宋体" w:cs="宋体"/>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EC86CEC">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CCE762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时效指标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F8F8D9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2024年12月31日之前完成</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15C92E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定性</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3E490D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99</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A2D2B6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6D08386">
            <w:pPr>
              <w:keepNext w:val="0"/>
              <w:keepLines w:val="0"/>
              <w:widowControl/>
              <w:suppressLineNumbers w:val="0"/>
              <w:jc w:val="center"/>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100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79CA0F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15</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CA00F0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15</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1FEBECA">
            <w:pPr>
              <w:jc w:val="center"/>
              <w:rPr>
                <w:rFonts w:hint="default" w:ascii="微软雅黑" w:hAnsi="微软雅黑" w:eastAsia="微软雅黑" w:cs="微软雅黑"/>
                <w:i/>
                <w:iCs/>
                <w:color w:val="000000"/>
                <w:sz w:val="16"/>
                <w:szCs w:val="16"/>
                <w:u w:val="none"/>
              </w:rPr>
            </w:pPr>
          </w:p>
        </w:tc>
      </w:tr>
      <w:tr w14:paraId="5177B54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8D2E393">
            <w:pPr>
              <w:jc w:val="center"/>
              <w:rPr>
                <w:rFonts w:hint="eastAsia" w:ascii="宋体" w:hAnsi="宋体" w:eastAsia="宋体" w:cs="宋体"/>
                <w:i w:val="0"/>
                <w:iCs w:val="0"/>
                <w:color w:val="000000"/>
                <w:sz w:val="18"/>
                <w:szCs w:val="18"/>
                <w:u w:val="none"/>
              </w:rPr>
            </w:pP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076C40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E5CA15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2208B4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人民幸福感提升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FE88BC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61CA47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F14D85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CB9F707">
            <w:pPr>
              <w:keepNext w:val="0"/>
              <w:keepLines w:val="0"/>
              <w:widowControl/>
              <w:suppressLineNumbers w:val="0"/>
              <w:jc w:val="center"/>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95</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98668E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95B018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1CD57E9">
            <w:pPr>
              <w:jc w:val="center"/>
              <w:rPr>
                <w:rFonts w:hint="default" w:ascii="微软雅黑" w:hAnsi="微软雅黑" w:eastAsia="微软雅黑" w:cs="微软雅黑"/>
                <w:i/>
                <w:iCs/>
                <w:color w:val="000000"/>
                <w:sz w:val="16"/>
                <w:szCs w:val="16"/>
                <w:u w:val="none"/>
              </w:rPr>
            </w:pPr>
          </w:p>
        </w:tc>
      </w:tr>
      <w:tr w14:paraId="7DD9732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F5FC6B9">
            <w:pPr>
              <w:jc w:val="center"/>
              <w:rPr>
                <w:rFonts w:hint="eastAsia" w:ascii="宋体" w:hAnsi="宋体" w:eastAsia="宋体" w:cs="宋体"/>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2C4A0C0">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84F8C3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可持续发展指标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8A891D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提升社会服务水平</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272637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定性</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42AD58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优良中低差</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1F85468">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CF9FC9E">
            <w:pPr>
              <w:jc w:val="center"/>
              <w:rPr>
                <w:rFonts w:hint="default" w:ascii="微软雅黑" w:hAnsi="微软雅黑" w:eastAsia="微软雅黑" w:cs="微软雅黑"/>
                <w:i/>
                <w:iCs/>
                <w:color w:val="000000"/>
                <w:sz w:val="16"/>
                <w:szCs w:val="16"/>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011152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65735B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E50A038">
            <w:pPr>
              <w:jc w:val="center"/>
              <w:rPr>
                <w:rFonts w:hint="default" w:ascii="微软雅黑" w:hAnsi="微软雅黑" w:eastAsia="微软雅黑" w:cs="微软雅黑"/>
                <w:i/>
                <w:iCs/>
                <w:color w:val="000000"/>
                <w:sz w:val="16"/>
                <w:szCs w:val="16"/>
                <w:u w:val="none"/>
              </w:rPr>
            </w:pPr>
          </w:p>
        </w:tc>
      </w:tr>
      <w:tr w14:paraId="79B63A3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9D3A174">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0E06FA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D65FD9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服务对象满意度指标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20CAEB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群众满意度</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44C83A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7464D2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95</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22C783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1D0F2BB">
            <w:pPr>
              <w:keepNext w:val="0"/>
              <w:keepLines w:val="0"/>
              <w:widowControl/>
              <w:suppressLineNumbers w:val="0"/>
              <w:jc w:val="center"/>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96</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748537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BABA75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F321F13">
            <w:pPr>
              <w:jc w:val="center"/>
              <w:rPr>
                <w:rFonts w:hint="default" w:ascii="微软雅黑" w:hAnsi="微软雅黑" w:eastAsia="微软雅黑" w:cs="微软雅黑"/>
                <w:i/>
                <w:iCs/>
                <w:color w:val="000000"/>
                <w:sz w:val="16"/>
                <w:szCs w:val="16"/>
                <w:u w:val="none"/>
              </w:rPr>
            </w:pPr>
          </w:p>
        </w:tc>
      </w:tr>
      <w:tr w14:paraId="76CCAAF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648B2BC">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AD7770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成本指标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4E63EE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经济成本指标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D16340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成本控制率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65EB4E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F219EE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95</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5AE5B4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3CA1B6A">
            <w:pPr>
              <w:keepNext w:val="0"/>
              <w:keepLines w:val="0"/>
              <w:widowControl/>
              <w:suppressLineNumbers w:val="0"/>
              <w:jc w:val="center"/>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96</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663096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D81428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6DD23E1">
            <w:pPr>
              <w:jc w:val="center"/>
              <w:rPr>
                <w:rFonts w:hint="default" w:ascii="微软雅黑" w:hAnsi="微软雅黑" w:eastAsia="微软雅黑" w:cs="微软雅黑"/>
                <w:i/>
                <w:iCs/>
                <w:color w:val="000000"/>
                <w:sz w:val="16"/>
                <w:szCs w:val="16"/>
                <w:u w:val="none"/>
              </w:rPr>
            </w:pPr>
          </w:p>
        </w:tc>
      </w:tr>
      <w:tr w14:paraId="7775196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0" w:type="auto"/>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6587A5F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F2F95D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60DB2F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CB959B6">
            <w:pPr>
              <w:rPr>
                <w:rFonts w:hint="eastAsia" w:ascii="宋体" w:hAnsi="宋体" w:eastAsia="宋体" w:cs="宋体"/>
                <w:i w:val="0"/>
                <w:iCs w:val="0"/>
                <w:color w:val="000000"/>
                <w:sz w:val="18"/>
                <w:szCs w:val="18"/>
                <w:u w:val="none"/>
              </w:rPr>
            </w:pPr>
          </w:p>
        </w:tc>
      </w:tr>
      <w:tr w14:paraId="6FD9420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BF50EF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0" w:type="auto"/>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41F5B86C">
            <w:pPr>
              <w:keepNext w:val="0"/>
              <w:keepLines w:val="0"/>
              <w:widowControl/>
              <w:suppressLineNumbers w:val="0"/>
              <w:jc w:val="left"/>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通过系统的维护保证系统能够正常运行，对工作人员进行培训，更好的节约了县（市）单独聘请三方机构进行维护及操作指导。</w:t>
            </w:r>
          </w:p>
        </w:tc>
      </w:tr>
      <w:tr w14:paraId="572A68C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F6BF5D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0" w:type="auto"/>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3E816822">
            <w:pPr>
              <w:keepNext w:val="0"/>
              <w:keepLines w:val="0"/>
              <w:widowControl/>
              <w:suppressLineNumbers w:val="0"/>
              <w:jc w:val="left"/>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无</w:t>
            </w:r>
          </w:p>
        </w:tc>
      </w:tr>
      <w:tr w14:paraId="7C5C07B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E94F58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0" w:type="auto"/>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3AED85AE">
            <w:pPr>
              <w:keepNext w:val="0"/>
              <w:keepLines w:val="0"/>
              <w:widowControl/>
              <w:suppressLineNumbers w:val="0"/>
              <w:jc w:val="left"/>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无</w:t>
            </w:r>
          </w:p>
        </w:tc>
      </w:tr>
      <w:tr w14:paraId="0BF6C32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0" w:type="auto"/>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84F09A5">
            <w:pPr>
              <w:keepNext w:val="0"/>
              <w:keepLines w:val="0"/>
              <w:widowControl/>
              <w:suppressLineNumbers w:val="0"/>
              <w:jc w:val="left"/>
              <w:textAlignment w:val="center"/>
              <w:rPr>
                <w:rFonts w:hint="default" w:ascii="黑体" w:hAnsi="黑体" w:eastAsia="黑体" w:cs="黑体"/>
                <w:i w:val="0"/>
                <w:iCs w:val="0"/>
                <w:color w:val="000000"/>
                <w:sz w:val="18"/>
                <w:szCs w:val="18"/>
                <w:u w:val="none"/>
              </w:rPr>
            </w:pPr>
            <w:r>
              <w:rPr>
                <w:rFonts w:hint="default" w:ascii="黑体" w:hAnsi="黑体" w:eastAsia="黑体" w:cs="黑体"/>
                <w:i w:val="0"/>
                <w:iCs w:val="0"/>
                <w:color w:val="000000"/>
                <w:kern w:val="0"/>
                <w:sz w:val="18"/>
                <w:szCs w:val="18"/>
                <w:u w:val="none"/>
                <w:lang w:val="en-US" w:eastAsia="zh-CN" w:bidi="ar"/>
              </w:rPr>
              <w:t>项目负责人：胡志才</w:t>
            </w:r>
          </w:p>
        </w:tc>
        <w:tc>
          <w:tcPr>
            <w:tcW w:w="0" w:type="auto"/>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525D4B67">
            <w:pPr>
              <w:keepNext w:val="0"/>
              <w:keepLines w:val="0"/>
              <w:widowControl/>
              <w:suppressLineNumbers w:val="0"/>
              <w:jc w:val="center"/>
              <w:textAlignment w:val="center"/>
              <w:rPr>
                <w:rFonts w:hint="default" w:ascii="黑体" w:hAnsi="黑体" w:eastAsia="黑体" w:cs="黑体"/>
                <w:i w:val="0"/>
                <w:iCs w:val="0"/>
                <w:color w:val="000000"/>
                <w:sz w:val="18"/>
                <w:szCs w:val="18"/>
                <w:u w:val="none"/>
              </w:rPr>
            </w:pPr>
            <w:r>
              <w:rPr>
                <w:rFonts w:hint="default" w:ascii="黑体" w:hAnsi="黑体" w:eastAsia="黑体" w:cs="黑体"/>
                <w:i w:val="0"/>
                <w:iCs w:val="0"/>
                <w:color w:val="000000"/>
                <w:kern w:val="0"/>
                <w:sz w:val="18"/>
                <w:szCs w:val="18"/>
                <w:u w:val="none"/>
                <w:lang w:val="en-US" w:eastAsia="zh-CN" w:bidi="ar"/>
              </w:rPr>
              <w:t>财务负责人：杨琴琴</w:t>
            </w:r>
          </w:p>
        </w:tc>
      </w:tr>
      <w:tr w14:paraId="0E640D0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60" w:hRule="atLeast"/>
        </w:trPr>
        <w:tc>
          <w:tcPr>
            <w:tcW w:w="0" w:type="auto"/>
            <w:tcBorders>
              <w:top w:val="nil"/>
              <w:left w:val="nil"/>
              <w:bottom w:val="nil"/>
              <w:right w:val="nil"/>
            </w:tcBorders>
            <w:shd w:val="clear" w:color="auto" w:fill="auto"/>
            <w:vAlign w:val="center"/>
          </w:tcPr>
          <w:p w14:paraId="5FE956D0">
            <w:pPr>
              <w:rPr>
                <w:rFonts w:hint="eastAsia" w:ascii="宋体" w:hAnsi="宋体" w:eastAsia="宋体" w:cs="宋体"/>
                <w:i w:val="0"/>
                <w:iCs w:val="0"/>
                <w:color w:val="000000"/>
                <w:sz w:val="18"/>
                <w:szCs w:val="18"/>
                <w:u w:val="none"/>
              </w:rPr>
            </w:pPr>
          </w:p>
        </w:tc>
        <w:tc>
          <w:tcPr>
            <w:tcW w:w="0" w:type="auto"/>
            <w:tcBorders>
              <w:top w:val="nil"/>
              <w:left w:val="nil"/>
              <w:bottom w:val="nil"/>
              <w:right w:val="nil"/>
            </w:tcBorders>
            <w:shd w:val="clear" w:color="auto" w:fill="auto"/>
            <w:vAlign w:val="center"/>
          </w:tcPr>
          <w:p w14:paraId="42BEFA3D">
            <w:pPr>
              <w:rPr>
                <w:rFonts w:hint="eastAsia" w:ascii="宋体" w:hAnsi="宋体" w:eastAsia="宋体" w:cs="宋体"/>
                <w:i w:val="0"/>
                <w:iCs w:val="0"/>
                <w:color w:val="000000"/>
                <w:sz w:val="18"/>
                <w:szCs w:val="18"/>
                <w:u w:val="none"/>
              </w:rPr>
            </w:pPr>
          </w:p>
        </w:tc>
        <w:tc>
          <w:tcPr>
            <w:tcW w:w="0" w:type="auto"/>
            <w:tcBorders>
              <w:top w:val="nil"/>
              <w:left w:val="nil"/>
              <w:bottom w:val="nil"/>
              <w:right w:val="nil"/>
            </w:tcBorders>
            <w:shd w:val="clear" w:color="auto" w:fill="auto"/>
            <w:vAlign w:val="center"/>
          </w:tcPr>
          <w:p w14:paraId="267CFCC6">
            <w:pPr>
              <w:jc w:val="center"/>
              <w:rPr>
                <w:rFonts w:hint="eastAsia" w:ascii="宋体" w:hAnsi="宋体" w:eastAsia="宋体" w:cs="宋体"/>
                <w:i w:val="0"/>
                <w:iCs w:val="0"/>
                <w:color w:val="000000"/>
                <w:sz w:val="18"/>
                <w:szCs w:val="18"/>
                <w:u w:val="none"/>
              </w:rPr>
            </w:pPr>
          </w:p>
        </w:tc>
        <w:tc>
          <w:tcPr>
            <w:tcW w:w="0" w:type="auto"/>
            <w:tcBorders>
              <w:top w:val="nil"/>
              <w:left w:val="nil"/>
              <w:bottom w:val="nil"/>
              <w:right w:val="nil"/>
            </w:tcBorders>
            <w:shd w:val="clear" w:color="auto" w:fill="auto"/>
            <w:vAlign w:val="center"/>
          </w:tcPr>
          <w:p w14:paraId="4ECA6412">
            <w:pPr>
              <w:jc w:val="center"/>
              <w:rPr>
                <w:rFonts w:hint="eastAsia" w:ascii="宋体" w:hAnsi="宋体" w:eastAsia="宋体" w:cs="宋体"/>
                <w:i w:val="0"/>
                <w:iCs w:val="0"/>
                <w:color w:val="000000"/>
                <w:sz w:val="18"/>
                <w:szCs w:val="18"/>
                <w:u w:val="none"/>
              </w:rPr>
            </w:pPr>
          </w:p>
        </w:tc>
        <w:tc>
          <w:tcPr>
            <w:tcW w:w="0" w:type="auto"/>
            <w:tcBorders>
              <w:top w:val="nil"/>
              <w:left w:val="nil"/>
              <w:bottom w:val="nil"/>
              <w:right w:val="nil"/>
            </w:tcBorders>
            <w:shd w:val="clear" w:color="auto" w:fill="auto"/>
            <w:vAlign w:val="center"/>
          </w:tcPr>
          <w:p w14:paraId="2BDC5380">
            <w:pPr>
              <w:jc w:val="center"/>
              <w:rPr>
                <w:rFonts w:hint="eastAsia" w:ascii="宋体" w:hAnsi="宋体" w:eastAsia="宋体" w:cs="宋体"/>
                <w:i w:val="0"/>
                <w:iCs w:val="0"/>
                <w:color w:val="000000"/>
                <w:sz w:val="18"/>
                <w:szCs w:val="18"/>
                <w:u w:val="none"/>
              </w:rPr>
            </w:pPr>
          </w:p>
        </w:tc>
        <w:tc>
          <w:tcPr>
            <w:tcW w:w="0" w:type="auto"/>
            <w:tcBorders>
              <w:top w:val="nil"/>
              <w:left w:val="nil"/>
              <w:bottom w:val="nil"/>
              <w:right w:val="nil"/>
            </w:tcBorders>
            <w:shd w:val="clear" w:color="auto" w:fill="auto"/>
            <w:vAlign w:val="center"/>
          </w:tcPr>
          <w:p w14:paraId="1D0D0236">
            <w:pPr>
              <w:jc w:val="center"/>
              <w:rPr>
                <w:rFonts w:hint="eastAsia" w:ascii="宋体" w:hAnsi="宋体" w:eastAsia="宋体" w:cs="宋体"/>
                <w:i w:val="0"/>
                <w:iCs w:val="0"/>
                <w:color w:val="000000"/>
                <w:sz w:val="18"/>
                <w:szCs w:val="18"/>
                <w:u w:val="none"/>
              </w:rPr>
            </w:pPr>
          </w:p>
        </w:tc>
        <w:tc>
          <w:tcPr>
            <w:tcW w:w="0" w:type="auto"/>
            <w:tcBorders>
              <w:top w:val="nil"/>
              <w:left w:val="nil"/>
              <w:bottom w:val="nil"/>
              <w:right w:val="nil"/>
            </w:tcBorders>
            <w:shd w:val="clear" w:color="auto" w:fill="auto"/>
            <w:vAlign w:val="center"/>
          </w:tcPr>
          <w:p w14:paraId="7DF9862B">
            <w:pPr>
              <w:jc w:val="center"/>
              <w:rPr>
                <w:rFonts w:hint="eastAsia" w:ascii="宋体" w:hAnsi="宋体" w:eastAsia="宋体" w:cs="宋体"/>
                <w:i w:val="0"/>
                <w:iCs w:val="0"/>
                <w:color w:val="000000"/>
                <w:sz w:val="18"/>
                <w:szCs w:val="18"/>
                <w:u w:val="none"/>
              </w:rPr>
            </w:pPr>
          </w:p>
        </w:tc>
        <w:tc>
          <w:tcPr>
            <w:tcW w:w="0" w:type="auto"/>
            <w:tcBorders>
              <w:top w:val="nil"/>
              <w:left w:val="nil"/>
              <w:bottom w:val="nil"/>
              <w:right w:val="nil"/>
            </w:tcBorders>
            <w:shd w:val="clear" w:color="auto" w:fill="auto"/>
            <w:vAlign w:val="center"/>
          </w:tcPr>
          <w:p w14:paraId="7CA4944D">
            <w:pPr>
              <w:jc w:val="center"/>
              <w:rPr>
                <w:rFonts w:hint="eastAsia" w:ascii="宋体" w:hAnsi="宋体" w:eastAsia="宋体" w:cs="宋体"/>
                <w:i w:val="0"/>
                <w:iCs w:val="0"/>
                <w:color w:val="000000"/>
                <w:sz w:val="18"/>
                <w:szCs w:val="18"/>
                <w:u w:val="none"/>
              </w:rPr>
            </w:pPr>
          </w:p>
        </w:tc>
        <w:tc>
          <w:tcPr>
            <w:tcW w:w="0" w:type="auto"/>
            <w:tcBorders>
              <w:top w:val="nil"/>
              <w:left w:val="nil"/>
              <w:bottom w:val="nil"/>
              <w:right w:val="nil"/>
            </w:tcBorders>
            <w:shd w:val="clear" w:color="auto" w:fill="auto"/>
            <w:vAlign w:val="center"/>
          </w:tcPr>
          <w:p w14:paraId="04E7C184">
            <w:pPr>
              <w:jc w:val="center"/>
              <w:rPr>
                <w:rFonts w:hint="eastAsia" w:ascii="宋体" w:hAnsi="宋体" w:eastAsia="宋体" w:cs="宋体"/>
                <w:i w:val="0"/>
                <w:iCs w:val="0"/>
                <w:color w:val="000000"/>
                <w:sz w:val="18"/>
                <w:szCs w:val="18"/>
                <w:u w:val="none"/>
              </w:rPr>
            </w:pPr>
          </w:p>
        </w:tc>
        <w:tc>
          <w:tcPr>
            <w:tcW w:w="0" w:type="auto"/>
            <w:tcBorders>
              <w:top w:val="nil"/>
              <w:left w:val="nil"/>
              <w:bottom w:val="nil"/>
              <w:right w:val="nil"/>
            </w:tcBorders>
            <w:shd w:val="clear" w:color="auto" w:fill="auto"/>
            <w:vAlign w:val="center"/>
          </w:tcPr>
          <w:p w14:paraId="17321789">
            <w:pPr>
              <w:jc w:val="center"/>
              <w:rPr>
                <w:rFonts w:hint="eastAsia" w:ascii="宋体" w:hAnsi="宋体" w:eastAsia="宋体" w:cs="宋体"/>
                <w:i w:val="0"/>
                <w:iCs w:val="0"/>
                <w:color w:val="000000"/>
                <w:sz w:val="18"/>
                <w:szCs w:val="18"/>
                <w:u w:val="none"/>
              </w:rPr>
            </w:pPr>
          </w:p>
        </w:tc>
        <w:tc>
          <w:tcPr>
            <w:tcW w:w="0" w:type="auto"/>
            <w:tcBorders>
              <w:top w:val="nil"/>
              <w:left w:val="nil"/>
              <w:bottom w:val="nil"/>
              <w:right w:val="nil"/>
            </w:tcBorders>
            <w:shd w:val="clear" w:color="auto" w:fill="auto"/>
            <w:vAlign w:val="center"/>
          </w:tcPr>
          <w:p w14:paraId="74B64F26">
            <w:pPr>
              <w:rPr>
                <w:rFonts w:hint="eastAsia" w:ascii="宋体" w:hAnsi="宋体" w:eastAsia="宋体" w:cs="宋体"/>
                <w:i w:val="0"/>
                <w:iCs w:val="0"/>
                <w:color w:val="000000"/>
                <w:sz w:val="18"/>
                <w:szCs w:val="18"/>
                <w:u w:val="none"/>
              </w:rPr>
            </w:pPr>
          </w:p>
        </w:tc>
      </w:tr>
      <w:tr w14:paraId="190B08F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0" w:hRule="atLeast"/>
        </w:trPr>
        <w:tc>
          <w:tcPr>
            <w:tcW w:w="0" w:type="auto"/>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5B682750">
            <w:pPr>
              <w:keepNext w:val="0"/>
              <w:keepLines w:val="0"/>
              <w:widowControl/>
              <w:suppressLineNumbers w:val="0"/>
              <w:jc w:val="center"/>
              <w:textAlignment w:val="center"/>
              <w:rPr>
                <w:rFonts w:hint="eastAsia"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部门预算项目支出绩效自评表（2024年度）</w:t>
            </w:r>
          </w:p>
        </w:tc>
      </w:tr>
      <w:tr w14:paraId="0B7C927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80" w:hRule="atLeast"/>
        </w:trPr>
        <w:tc>
          <w:tcPr>
            <w:tcW w:w="0" w:type="auto"/>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04276ED">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0" w:type="auto"/>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541E866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51320024T000011441152-阿坝州“康辅工程”项目</w:t>
            </w:r>
          </w:p>
        </w:tc>
      </w:tr>
      <w:tr w14:paraId="03F6D14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80" w:hRule="atLeast"/>
        </w:trPr>
        <w:tc>
          <w:tcPr>
            <w:tcW w:w="0" w:type="auto"/>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6385EB5">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0" w:type="auto"/>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10BEF7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州民政局部门</w:t>
            </w:r>
          </w:p>
        </w:tc>
        <w:tc>
          <w:tcPr>
            <w:tcW w:w="0" w:type="auto"/>
            <w:tcBorders>
              <w:top w:val="nil"/>
              <w:left w:val="nil"/>
              <w:bottom w:val="nil"/>
              <w:right w:val="nil"/>
            </w:tcBorders>
            <w:shd w:val="clear" w:color="auto" w:fill="auto"/>
            <w:vAlign w:val="center"/>
          </w:tcPr>
          <w:p w14:paraId="1EE8AA3D">
            <w:pPr>
              <w:keepNext w:val="0"/>
              <w:keepLines w:val="0"/>
              <w:widowControl/>
              <w:suppressLineNumbers w:val="0"/>
              <w:jc w:val="center"/>
              <w:textAlignment w:val="center"/>
              <w:rPr>
                <w:rFonts w:hint="default" w:ascii="黑体" w:hAnsi="黑体" w:eastAsia="黑体" w:cs="黑体"/>
                <w:i w:val="0"/>
                <w:iCs w:val="0"/>
                <w:color w:val="000000"/>
                <w:sz w:val="18"/>
                <w:szCs w:val="18"/>
                <w:u w:val="none"/>
              </w:rPr>
            </w:pPr>
            <w:r>
              <w:rPr>
                <w:rFonts w:hint="default" w:ascii="黑体" w:hAnsi="黑体" w:eastAsia="黑体" w:cs="黑体"/>
                <w:i w:val="0"/>
                <w:iCs w:val="0"/>
                <w:color w:val="000000"/>
                <w:kern w:val="0"/>
                <w:sz w:val="18"/>
                <w:szCs w:val="18"/>
                <w:u w:val="none"/>
                <w:lang w:val="en-US" w:eastAsia="zh-CN" w:bidi="ar"/>
              </w:rPr>
              <w:t>实施单位 （盖章）</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A1049C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州民政局</w:t>
            </w:r>
          </w:p>
        </w:tc>
      </w:tr>
      <w:tr w14:paraId="4B3E519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822EB49">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AF24FBE">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0" w:type="auto"/>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D04B6D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0" w:type="auto"/>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7247C8F4">
            <w:pPr>
              <w:keepNext w:val="0"/>
              <w:keepLines w:val="0"/>
              <w:widowControl/>
              <w:suppressLineNumbers w:val="0"/>
              <w:jc w:val="center"/>
              <w:textAlignment w:val="center"/>
              <w:rPr>
                <w:rFonts w:hint="default" w:ascii="黑体" w:hAnsi="黑体" w:eastAsia="黑体" w:cs="黑体"/>
                <w:i w:val="0"/>
                <w:iCs w:val="0"/>
                <w:color w:val="000000"/>
                <w:sz w:val="18"/>
                <w:szCs w:val="18"/>
                <w:u w:val="none"/>
              </w:rPr>
            </w:pPr>
            <w:r>
              <w:rPr>
                <w:rFonts w:hint="default" w:ascii="黑体" w:hAnsi="黑体" w:eastAsia="黑体" w:cs="黑体"/>
                <w:i w:val="0"/>
                <w:iCs w:val="0"/>
                <w:color w:val="000000"/>
                <w:kern w:val="0"/>
                <w:sz w:val="18"/>
                <w:szCs w:val="18"/>
                <w:u w:val="none"/>
                <w:lang w:val="en-US" w:eastAsia="zh-CN" w:bidi="ar"/>
              </w:rPr>
              <w:t>年度目标完成情况</w:t>
            </w:r>
          </w:p>
        </w:tc>
      </w:tr>
      <w:tr w14:paraId="083F926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8"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CC433F9">
            <w:pPr>
              <w:rPr>
                <w:rFonts w:hint="eastAsia" w:ascii="宋体" w:hAnsi="宋体" w:eastAsia="宋体" w:cs="宋体"/>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6B790F9">
            <w:pPr>
              <w:rPr>
                <w:rFonts w:hint="eastAsia" w:ascii="宋体" w:hAnsi="宋体" w:eastAsia="宋体" w:cs="宋体"/>
                <w:i w:val="0"/>
                <w:iCs w:val="0"/>
                <w:color w:val="000000"/>
                <w:sz w:val="18"/>
                <w:szCs w:val="18"/>
                <w:u w:val="none"/>
              </w:rPr>
            </w:pPr>
          </w:p>
        </w:tc>
        <w:tc>
          <w:tcPr>
            <w:tcW w:w="0" w:type="auto"/>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16E67D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通过提供免费假肢、矫形器等康复辅助器具配置，满足阿坝州户籍的低保对象中的残疾人、特困人员中的残疾人、突发变故或事故的低收入家庭中的残疾人和困难家庭中的老年人的正常生活，大力提高其便利性和自主性。</w:t>
            </w:r>
          </w:p>
        </w:tc>
        <w:tc>
          <w:tcPr>
            <w:tcW w:w="0" w:type="auto"/>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16D59DE5">
            <w:pPr>
              <w:keepNext w:val="0"/>
              <w:keepLines w:val="0"/>
              <w:widowControl/>
              <w:suppressLineNumbers w:val="0"/>
              <w:jc w:val="center"/>
              <w:textAlignment w:val="center"/>
              <w:rPr>
                <w:rFonts w:hint="default" w:ascii="黑体" w:hAnsi="黑体" w:eastAsia="黑体" w:cs="黑体"/>
                <w:i w:val="0"/>
                <w:iCs w:val="0"/>
                <w:color w:val="000000"/>
                <w:sz w:val="18"/>
                <w:szCs w:val="18"/>
                <w:u w:val="none"/>
              </w:rPr>
            </w:pPr>
            <w:r>
              <w:rPr>
                <w:rFonts w:hint="default" w:ascii="黑体" w:hAnsi="黑体" w:eastAsia="黑体" w:cs="黑体"/>
                <w:i w:val="0"/>
                <w:iCs w:val="0"/>
                <w:color w:val="000000"/>
                <w:kern w:val="0"/>
                <w:sz w:val="18"/>
                <w:szCs w:val="18"/>
                <w:u w:val="none"/>
                <w:lang w:val="en-US" w:eastAsia="zh-CN" w:bidi="ar"/>
              </w:rPr>
              <w:t>为615名残疾人适配辅助器具</w:t>
            </w:r>
          </w:p>
        </w:tc>
      </w:tr>
      <w:tr w14:paraId="5883FEE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4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A529EC1">
            <w:pP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980C5DA">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0" w:type="auto"/>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2D62A47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现场适配发放助听器205只，受益203人，矫形器85具和假肢55具经过两个月的定制，已经于2024年9月6日发放完毕，受益人数分别为47人和55人。剩余资金35387.5元用于购买凳式拐杖113个受益人数113人，盲杖196个受益人数196个，轮椅1个受益人数一个，共计受益人数615人，目前辅具已经全部发放到位。</w:t>
            </w:r>
          </w:p>
        </w:tc>
      </w:tr>
      <w:tr w14:paraId="51A007A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0" w:hRule="atLeast"/>
        </w:trPr>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61652F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84E4B5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2BA666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09D5C5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8663F6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D997F7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01C625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9A1B41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2D4DFD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14:paraId="1543E34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2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FAADE59">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5F3270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8673D1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FB042B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200.00</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51219C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200.00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B56CAF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F89D1E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3407C1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14986A2">
            <w:pPr>
              <w:keepNext w:val="0"/>
              <w:keepLines w:val="0"/>
              <w:widowControl/>
              <w:suppressLineNumbers w:val="0"/>
              <w:jc w:val="left"/>
              <w:textAlignment w:val="center"/>
              <w:rPr>
                <w:rFonts w:hint="default" w:ascii="黑体" w:hAnsi="黑体" w:eastAsia="黑体" w:cs="黑体"/>
                <w:i/>
                <w:iCs/>
                <w:color w:val="000000"/>
                <w:sz w:val="18"/>
                <w:szCs w:val="18"/>
                <w:u w:val="none"/>
              </w:rPr>
            </w:pPr>
            <w:r>
              <w:rPr>
                <w:rFonts w:hint="default" w:ascii="黑体" w:hAnsi="黑体" w:eastAsia="黑体" w:cs="黑体"/>
                <w:i/>
                <w:iCs/>
                <w:color w:val="000000"/>
                <w:kern w:val="0"/>
                <w:sz w:val="18"/>
                <w:szCs w:val="18"/>
                <w:u w:val="none"/>
                <w:lang w:val="en-US" w:eastAsia="zh-CN" w:bidi="ar"/>
              </w:rPr>
              <w:t>该项目预算执行率高于90%，无预算调整。</w:t>
            </w:r>
          </w:p>
        </w:tc>
      </w:tr>
      <w:tr w14:paraId="22BBBF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8EC3A90">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0F0827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22365B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6422E1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200.00</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15C8EF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200.00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557817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B72B07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FD5E71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D74C9F4">
            <w:pPr>
              <w:rPr>
                <w:rFonts w:hint="default" w:ascii="黑体" w:hAnsi="黑体" w:eastAsia="黑体" w:cs="黑体"/>
                <w:i/>
                <w:iCs/>
                <w:color w:val="000000"/>
                <w:sz w:val="18"/>
                <w:szCs w:val="18"/>
                <w:u w:val="none"/>
              </w:rPr>
            </w:pPr>
          </w:p>
        </w:tc>
      </w:tr>
      <w:tr w14:paraId="491DFC1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DB817C8">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52B3D9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088BAD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6A2BF4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0CE600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46C4B0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53F3C9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ECB666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B821FBC">
            <w:pPr>
              <w:rPr>
                <w:rFonts w:hint="default" w:ascii="黑体" w:hAnsi="黑体" w:eastAsia="黑体" w:cs="黑体"/>
                <w:i/>
                <w:iCs/>
                <w:color w:val="000000"/>
                <w:sz w:val="18"/>
                <w:szCs w:val="18"/>
                <w:u w:val="none"/>
              </w:rPr>
            </w:pPr>
          </w:p>
        </w:tc>
      </w:tr>
      <w:tr w14:paraId="735A011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2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C50744C">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3D0A07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C27F2B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7AF828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73AF9E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914436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1E2CAD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59B550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FB6846F">
            <w:pPr>
              <w:rPr>
                <w:rFonts w:hint="default" w:ascii="黑体" w:hAnsi="黑体" w:eastAsia="黑体" w:cs="黑体"/>
                <w:i/>
                <w:iCs/>
                <w:color w:val="000000"/>
                <w:sz w:val="18"/>
                <w:szCs w:val="18"/>
                <w:u w:val="none"/>
              </w:rPr>
            </w:pPr>
          </w:p>
        </w:tc>
      </w:tr>
      <w:tr w14:paraId="552FB67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C382A91">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53FC5D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668160B">
            <w:pPr>
              <w:jc w:val="center"/>
              <w:rPr>
                <w:rFonts w:hint="default" w:ascii="微软雅黑" w:hAnsi="微软雅黑" w:eastAsia="微软雅黑" w:cs="微软雅黑"/>
                <w:i/>
                <w:iCs/>
                <w:color w:val="000000"/>
                <w:sz w:val="16"/>
                <w:szCs w:val="16"/>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ED732CB">
            <w:pPr>
              <w:jc w:val="center"/>
              <w:rPr>
                <w:rFonts w:hint="default" w:ascii="微软雅黑" w:hAnsi="微软雅黑" w:eastAsia="微软雅黑" w:cs="微软雅黑"/>
                <w:i/>
                <w:iCs/>
                <w:color w:val="000000"/>
                <w:sz w:val="16"/>
                <w:szCs w:val="16"/>
                <w:u w:val="none"/>
              </w:rPr>
            </w:pP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83CACE7">
            <w:pPr>
              <w:jc w:val="center"/>
              <w:rPr>
                <w:rFonts w:hint="default" w:ascii="微软雅黑" w:hAnsi="微软雅黑" w:eastAsia="微软雅黑" w:cs="微软雅黑"/>
                <w:i/>
                <w:iCs/>
                <w:color w:val="000000"/>
                <w:sz w:val="16"/>
                <w:szCs w:val="16"/>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7080018">
            <w:pPr>
              <w:jc w:val="center"/>
              <w:rPr>
                <w:rFonts w:hint="default" w:ascii="微软雅黑" w:hAnsi="微软雅黑" w:eastAsia="微软雅黑" w:cs="微软雅黑"/>
                <w:i/>
                <w:iCs/>
                <w:color w:val="000000"/>
                <w:sz w:val="16"/>
                <w:szCs w:val="16"/>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C5842F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7C8E76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9480BEF">
            <w:pPr>
              <w:rPr>
                <w:rFonts w:hint="default" w:ascii="黑体" w:hAnsi="黑体" w:eastAsia="黑体" w:cs="黑体"/>
                <w:i/>
                <w:iCs/>
                <w:color w:val="000000"/>
                <w:sz w:val="18"/>
                <w:szCs w:val="18"/>
                <w:u w:val="none"/>
              </w:rPr>
            </w:pPr>
          </w:p>
        </w:tc>
      </w:tr>
      <w:tr w14:paraId="7726F91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0" w:hRule="atLeast"/>
        </w:trPr>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63A807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F08BD3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A370B8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F5BABA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A7945B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98959F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40FA45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946AB9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BA5990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DC1887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D3803F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14:paraId="4426553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2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5D9F9C3">
            <w:pPr>
              <w:jc w:val="center"/>
              <w:rPr>
                <w:rFonts w:hint="eastAsia" w:ascii="宋体" w:hAnsi="宋体" w:eastAsia="宋体" w:cs="宋体"/>
                <w:i w:val="0"/>
                <w:iCs w:val="0"/>
                <w:color w:val="000000"/>
                <w:sz w:val="18"/>
                <w:szCs w:val="18"/>
                <w:u w:val="none"/>
              </w:rPr>
            </w:pP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155873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C566B4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2D4D79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为困难残疾人配置辅助器具数量（具）</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5185A4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BC0FC7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95</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F40F37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套</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B7D8B76">
            <w:pPr>
              <w:keepNext w:val="0"/>
              <w:keepLines w:val="0"/>
              <w:widowControl/>
              <w:suppressLineNumbers w:val="0"/>
              <w:jc w:val="center"/>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615</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18EA93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72653A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2A7BCB7">
            <w:pPr>
              <w:jc w:val="center"/>
              <w:rPr>
                <w:rFonts w:hint="default" w:ascii="微软雅黑" w:hAnsi="微软雅黑" w:eastAsia="微软雅黑" w:cs="微软雅黑"/>
                <w:i/>
                <w:iCs/>
                <w:color w:val="000000"/>
                <w:sz w:val="16"/>
                <w:szCs w:val="16"/>
                <w:u w:val="none"/>
              </w:rPr>
            </w:pPr>
          </w:p>
        </w:tc>
      </w:tr>
      <w:tr w14:paraId="209A4F4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A9FE7DD">
            <w:pPr>
              <w:jc w:val="center"/>
              <w:rPr>
                <w:rFonts w:hint="eastAsia" w:ascii="宋体" w:hAnsi="宋体" w:eastAsia="宋体" w:cs="宋体"/>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A08E32A">
            <w:pPr>
              <w:jc w:val="center"/>
              <w:rPr>
                <w:rFonts w:hint="eastAsia" w:ascii="宋体" w:hAnsi="宋体" w:eastAsia="宋体" w:cs="宋体"/>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FCCBA82">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255ACC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服务困难残疾人人数</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7C4835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199A0D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95</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ACE932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B1B91C0">
            <w:pPr>
              <w:keepNext w:val="0"/>
              <w:keepLines w:val="0"/>
              <w:widowControl/>
              <w:suppressLineNumbers w:val="0"/>
              <w:jc w:val="center"/>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98</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3A402C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EF4B13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F69CBFB">
            <w:pPr>
              <w:jc w:val="center"/>
              <w:rPr>
                <w:rFonts w:hint="default" w:ascii="微软雅黑" w:hAnsi="微软雅黑" w:eastAsia="微软雅黑" w:cs="微软雅黑"/>
                <w:i/>
                <w:iCs/>
                <w:color w:val="000000"/>
                <w:sz w:val="16"/>
                <w:szCs w:val="16"/>
                <w:u w:val="none"/>
              </w:rPr>
            </w:pPr>
          </w:p>
        </w:tc>
      </w:tr>
      <w:tr w14:paraId="1E6B753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2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82B73F7">
            <w:pPr>
              <w:jc w:val="center"/>
              <w:rPr>
                <w:rFonts w:hint="eastAsia" w:ascii="宋体" w:hAnsi="宋体" w:eastAsia="宋体" w:cs="宋体"/>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135FB17">
            <w:pPr>
              <w:jc w:val="center"/>
              <w:rPr>
                <w:rFonts w:hint="eastAsia" w:ascii="宋体" w:hAnsi="宋体" w:eastAsia="宋体" w:cs="宋体"/>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A828FE8">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8A0E18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服务困难残疾人人数（人次）</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0C8220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339A76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95</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0BD9E2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人/户</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744D8EC">
            <w:pPr>
              <w:keepNext w:val="0"/>
              <w:keepLines w:val="0"/>
              <w:widowControl/>
              <w:suppressLineNumbers w:val="0"/>
              <w:jc w:val="center"/>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700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01A0DE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604E54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A8726E1">
            <w:pPr>
              <w:jc w:val="center"/>
              <w:rPr>
                <w:rFonts w:hint="default" w:ascii="微软雅黑" w:hAnsi="微软雅黑" w:eastAsia="微软雅黑" w:cs="微软雅黑"/>
                <w:i/>
                <w:iCs/>
                <w:color w:val="000000"/>
                <w:sz w:val="16"/>
                <w:szCs w:val="16"/>
                <w:u w:val="none"/>
              </w:rPr>
            </w:pPr>
          </w:p>
        </w:tc>
      </w:tr>
      <w:tr w14:paraId="7FC2402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7B00A3E">
            <w:pPr>
              <w:jc w:val="center"/>
              <w:rPr>
                <w:rFonts w:hint="eastAsia" w:ascii="宋体" w:hAnsi="宋体" w:eastAsia="宋体" w:cs="宋体"/>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540766A">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64A8BD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质量指标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7EA018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假肢和辅助器具验收合格率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21AF5B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42B9FE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95</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28D224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套</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788CBF1">
            <w:pPr>
              <w:keepNext w:val="0"/>
              <w:keepLines w:val="0"/>
              <w:widowControl/>
              <w:suppressLineNumbers w:val="0"/>
              <w:jc w:val="center"/>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100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3B62F8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25B39F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FF045B4">
            <w:pPr>
              <w:jc w:val="center"/>
              <w:rPr>
                <w:rFonts w:hint="default" w:ascii="微软雅黑" w:hAnsi="微软雅黑" w:eastAsia="微软雅黑" w:cs="微软雅黑"/>
                <w:i/>
                <w:iCs/>
                <w:color w:val="000000"/>
                <w:sz w:val="16"/>
                <w:szCs w:val="16"/>
                <w:u w:val="none"/>
              </w:rPr>
            </w:pPr>
          </w:p>
        </w:tc>
      </w:tr>
      <w:tr w14:paraId="5F2BC2C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2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2D9A108">
            <w:pPr>
              <w:jc w:val="center"/>
              <w:rPr>
                <w:rFonts w:hint="eastAsia" w:ascii="宋体" w:hAnsi="宋体" w:eastAsia="宋体" w:cs="宋体"/>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CDE1D75">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0678D7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时效指标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02CC65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2024年12月31日之前完成</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5F12D8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定性</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7A6FCF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98</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DF718B6">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08AB70C">
            <w:pPr>
              <w:keepNext w:val="0"/>
              <w:keepLines w:val="0"/>
              <w:widowControl/>
              <w:suppressLineNumbers w:val="0"/>
              <w:jc w:val="center"/>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100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E6E5AD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91F5A6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84D008B">
            <w:pPr>
              <w:jc w:val="center"/>
              <w:rPr>
                <w:rFonts w:hint="default" w:ascii="微软雅黑" w:hAnsi="微软雅黑" w:eastAsia="微软雅黑" w:cs="微软雅黑"/>
                <w:i/>
                <w:iCs/>
                <w:color w:val="000000"/>
                <w:sz w:val="16"/>
                <w:szCs w:val="16"/>
                <w:u w:val="none"/>
              </w:rPr>
            </w:pPr>
          </w:p>
        </w:tc>
      </w:tr>
      <w:tr w14:paraId="6BAE23D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F10C834">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10F46B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8803E1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5FA4F1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提高老年人幸福度</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059725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9C548C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95</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E2C736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4D8E0C5">
            <w:pPr>
              <w:keepNext w:val="0"/>
              <w:keepLines w:val="0"/>
              <w:widowControl/>
              <w:suppressLineNumbers w:val="0"/>
              <w:jc w:val="center"/>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98</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8DF8CE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34C663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86B4721">
            <w:pPr>
              <w:jc w:val="center"/>
              <w:rPr>
                <w:rFonts w:hint="default" w:ascii="微软雅黑" w:hAnsi="微软雅黑" w:eastAsia="微软雅黑" w:cs="微软雅黑"/>
                <w:i/>
                <w:iCs/>
                <w:color w:val="000000"/>
                <w:sz w:val="16"/>
                <w:szCs w:val="16"/>
                <w:u w:val="none"/>
              </w:rPr>
            </w:pPr>
          </w:p>
        </w:tc>
      </w:tr>
      <w:tr w14:paraId="3E9AC0D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2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CA1A254">
            <w:pPr>
              <w:jc w:val="center"/>
              <w:rPr>
                <w:rFonts w:hint="eastAsia" w:ascii="宋体" w:hAnsi="宋体" w:eastAsia="宋体" w:cs="宋体"/>
                <w:i w:val="0"/>
                <w:iCs w:val="0"/>
                <w:color w:val="000000"/>
                <w:sz w:val="18"/>
                <w:szCs w:val="18"/>
                <w:u w:val="none"/>
              </w:rPr>
            </w:pP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6CBFC4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FD1677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服务对象满意度指标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9E1B18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接受服务的困难残疾人对“康辅工程”项目的满意度</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2191C5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DE3F5D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95</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FC6E7E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频率（频道）次</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1F24052">
            <w:pPr>
              <w:keepNext w:val="0"/>
              <w:keepLines w:val="0"/>
              <w:widowControl/>
              <w:suppressLineNumbers w:val="0"/>
              <w:jc w:val="center"/>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96</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308516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B37D51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6084419">
            <w:pPr>
              <w:jc w:val="center"/>
              <w:rPr>
                <w:rFonts w:hint="default" w:ascii="微软雅黑" w:hAnsi="微软雅黑" w:eastAsia="微软雅黑" w:cs="微软雅黑"/>
                <w:i/>
                <w:iCs/>
                <w:color w:val="000000"/>
                <w:sz w:val="16"/>
                <w:szCs w:val="16"/>
                <w:u w:val="none"/>
              </w:rPr>
            </w:pPr>
          </w:p>
        </w:tc>
      </w:tr>
      <w:tr w14:paraId="5083F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B6CB89B">
            <w:pPr>
              <w:jc w:val="center"/>
              <w:rPr>
                <w:rFonts w:hint="eastAsia" w:ascii="宋体" w:hAnsi="宋体" w:eastAsia="宋体" w:cs="宋体"/>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BEE940F">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4D8A20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2A3EE2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工作人员满意度</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52E6BC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定性</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81D3D9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95</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771721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B96A155">
            <w:pPr>
              <w:keepNext w:val="0"/>
              <w:keepLines w:val="0"/>
              <w:widowControl/>
              <w:suppressLineNumbers w:val="0"/>
              <w:jc w:val="center"/>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98</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7D5893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C8B7E8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57CEA80">
            <w:pPr>
              <w:jc w:val="center"/>
              <w:rPr>
                <w:rFonts w:hint="default" w:ascii="微软雅黑" w:hAnsi="微软雅黑" w:eastAsia="微软雅黑" w:cs="微软雅黑"/>
                <w:i/>
                <w:iCs/>
                <w:color w:val="000000"/>
                <w:sz w:val="16"/>
                <w:szCs w:val="16"/>
                <w:u w:val="none"/>
              </w:rPr>
            </w:pPr>
          </w:p>
        </w:tc>
      </w:tr>
      <w:tr w14:paraId="0FD6681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0" w:hRule="atLeast"/>
        </w:trPr>
        <w:tc>
          <w:tcPr>
            <w:tcW w:w="0" w:type="auto"/>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0CBE8CC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2CE3B2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0D5232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DB6A790">
            <w:pPr>
              <w:rPr>
                <w:rFonts w:hint="eastAsia" w:ascii="宋体" w:hAnsi="宋体" w:eastAsia="宋体" w:cs="宋体"/>
                <w:i w:val="0"/>
                <w:iCs w:val="0"/>
                <w:color w:val="000000"/>
                <w:sz w:val="18"/>
                <w:szCs w:val="18"/>
                <w:u w:val="none"/>
              </w:rPr>
            </w:pPr>
          </w:p>
        </w:tc>
      </w:tr>
      <w:tr w14:paraId="565F20C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2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6C0122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0" w:type="auto"/>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56D41DB7">
            <w:pPr>
              <w:keepNext w:val="0"/>
              <w:keepLines w:val="0"/>
              <w:widowControl/>
              <w:suppressLineNumbers w:val="0"/>
              <w:jc w:val="left"/>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通过该项目的实施，满足了阿坝州户籍的低保对象中的残疾人、特困人员中的残疾人、突发变故或事故的低收入家庭中的残疾人和困难家庭中的老年人的正常生活，大力提高其便利性和自主性，并提高了幸福指数。</w:t>
            </w:r>
          </w:p>
        </w:tc>
      </w:tr>
      <w:tr w14:paraId="1101115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D61155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0" w:type="auto"/>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24AA9DEF">
            <w:pPr>
              <w:keepNext w:val="0"/>
              <w:keepLines w:val="0"/>
              <w:widowControl/>
              <w:suppressLineNumbers w:val="0"/>
              <w:jc w:val="left"/>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无</w:t>
            </w:r>
          </w:p>
        </w:tc>
      </w:tr>
      <w:tr w14:paraId="4629D89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2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DAEC1B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0" w:type="auto"/>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609240CE">
            <w:pPr>
              <w:keepNext w:val="0"/>
              <w:keepLines w:val="0"/>
              <w:widowControl/>
              <w:suppressLineNumbers w:val="0"/>
              <w:jc w:val="left"/>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无</w:t>
            </w:r>
          </w:p>
        </w:tc>
      </w:tr>
      <w:tr w14:paraId="4202FD4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20" w:hRule="atLeast"/>
        </w:trPr>
        <w:tc>
          <w:tcPr>
            <w:tcW w:w="0" w:type="auto"/>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D5B7E30">
            <w:pPr>
              <w:keepNext w:val="0"/>
              <w:keepLines w:val="0"/>
              <w:widowControl/>
              <w:suppressLineNumbers w:val="0"/>
              <w:jc w:val="left"/>
              <w:textAlignment w:val="center"/>
              <w:rPr>
                <w:rFonts w:hint="default" w:ascii="黑体" w:hAnsi="黑体" w:eastAsia="黑体" w:cs="黑体"/>
                <w:i w:val="0"/>
                <w:iCs w:val="0"/>
                <w:color w:val="000000"/>
                <w:sz w:val="18"/>
                <w:szCs w:val="18"/>
                <w:u w:val="none"/>
              </w:rPr>
            </w:pPr>
            <w:r>
              <w:rPr>
                <w:rFonts w:hint="default" w:ascii="黑体" w:hAnsi="黑体" w:eastAsia="黑体" w:cs="黑体"/>
                <w:i w:val="0"/>
                <w:iCs w:val="0"/>
                <w:color w:val="000000"/>
                <w:kern w:val="0"/>
                <w:sz w:val="18"/>
                <w:szCs w:val="18"/>
                <w:u w:val="none"/>
                <w:lang w:val="en-US" w:eastAsia="zh-CN" w:bidi="ar"/>
              </w:rPr>
              <w:t>项目负责人：胡志才</w:t>
            </w:r>
          </w:p>
        </w:tc>
        <w:tc>
          <w:tcPr>
            <w:tcW w:w="0" w:type="auto"/>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06195A3B">
            <w:pPr>
              <w:keepNext w:val="0"/>
              <w:keepLines w:val="0"/>
              <w:widowControl/>
              <w:suppressLineNumbers w:val="0"/>
              <w:jc w:val="center"/>
              <w:textAlignment w:val="center"/>
              <w:rPr>
                <w:rFonts w:hint="default" w:ascii="黑体" w:hAnsi="黑体" w:eastAsia="黑体" w:cs="黑体"/>
                <w:i w:val="0"/>
                <w:iCs w:val="0"/>
                <w:color w:val="000000"/>
                <w:sz w:val="18"/>
                <w:szCs w:val="18"/>
                <w:u w:val="none"/>
              </w:rPr>
            </w:pPr>
            <w:r>
              <w:rPr>
                <w:rFonts w:hint="default" w:ascii="黑体" w:hAnsi="黑体" w:eastAsia="黑体" w:cs="黑体"/>
                <w:i w:val="0"/>
                <w:iCs w:val="0"/>
                <w:color w:val="000000"/>
                <w:kern w:val="0"/>
                <w:sz w:val="18"/>
                <w:szCs w:val="18"/>
                <w:u w:val="none"/>
                <w:lang w:val="en-US" w:eastAsia="zh-CN" w:bidi="ar"/>
              </w:rPr>
              <w:t>财务负责人：杨琴琴</w:t>
            </w:r>
          </w:p>
        </w:tc>
      </w:tr>
      <w:tr w14:paraId="1E5CFE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40" w:hRule="atLeast"/>
        </w:trPr>
        <w:tc>
          <w:tcPr>
            <w:tcW w:w="0" w:type="auto"/>
            <w:tcBorders>
              <w:top w:val="nil"/>
              <w:left w:val="nil"/>
              <w:bottom w:val="nil"/>
              <w:right w:val="nil"/>
            </w:tcBorders>
            <w:shd w:val="clear" w:color="auto" w:fill="auto"/>
            <w:vAlign w:val="center"/>
          </w:tcPr>
          <w:p w14:paraId="4C7BD63F">
            <w:pPr>
              <w:rPr>
                <w:rFonts w:hint="eastAsia" w:ascii="宋体" w:hAnsi="宋体" w:eastAsia="宋体" w:cs="宋体"/>
                <w:i w:val="0"/>
                <w:iCs w:val="0"/>
                <w:color w:val="000000"/>
                <w:sz w:val="18"/>
                <w:szCs w:val="18"/>
                <w:u w:val="none"/>
              </w:rPr>
            </w:pPr>
          </w:p>
        </w:tc>
        <w:tc>
          <w:tcPr>
            <w:tcW w:w="0" w:type="auto"/>
            <w:tcBorders>
              <w:top w:val="nil"/>
              <w:left w:val="nil"/>
              <w:bottom w:val="nil"/>
              <w:right w:val="nil"/>
            </w:tcBorders>
            <w:shd w:val="clear" w:color="auto" w:fill="auto"/>
            <w:vAlign w:val="center"/>
          </w:tcPr>
          <w:p w14:paraId="2F922705">
            <w:pPr>
              <w:rPr>
                <w:rFonts w:hint="eastAsia" w:ascii="宋体" w:hAnsi="宋体" w:eastAsia="宋体" w:cs="宋体"/>
                <w:i w:val="0"/>
                <w:iCs w:val="0"/>
                <w:color w:val="000000"/>
                <w:sz w:val="18"/>
                <w:szCs w:val="18"/>
                <w:u w:val="none"/>
              </w:rPr>
            </w:pPr>
          </w:p>
        </w:tc>
        <w:tc>
          <w:tcPr>
            <w:tcW w:w="0" w:type="auto"/>
            <w:tcBorders>
              <w:top w:val="nil"/>
              <w:left w:val="nil"/>
              <w:bottom w:val="nil"/>
              <w:right w:val="nil"/>
            </w:tcBorders>
            <w:shd w:val="clear" w:color="auto" w:fill="auto"/>
            <w:vAlign w:val="center"/>
          </w:tcPr>
          <w:p w14:paraId="22D2104E">
            <w:pPr>
              <w:jc w:val="center"/>
              <w:rPr>
                <w:rFonts w:hint="eastAsia" w:ascii="宋体" w:hAnsi="宋体" w:eastAsia="宋体" w:cs="宋体"/>
                <w:i w:val="0"/>
                <w:iCs w:val="0"/>
                <w:color w:val="000000"/>
                <w:sz w:val="18"/>
                <w:szCs w:val="18"/>
                <w:u w:val="none"/>
              </w:rPr>
            </w:pPr>
          </w:p>
        </w:tc>
        <w:tc>
          <w:tcPr>
            <w:tcW w:w="0" w:type="auto"/>
            <w:tcBorders>
              <w:top w:val="nil"/>
              <w:left w:val="nil"/>
              <w:bottom w:val="nil"/>
              <w:right w:val="nil"/>
            </w:tcBorders>
            <w:shd w:val="clear" w:color="auto" w:fill="auto"/>
            <w:vAlign w:val="center"/>
          </w:tcPr>
          <w:p w14:paraId="2AC8AFD6">
            <w:pPr>
              <w:jc w:val="center"/>
              <w:rPr>
                <w:rFonts w:hint="eastAsia" w:ascii="宋体" w:hAnsi="宋体" w:eastAsia="宋体" w:cs="宋体"/>
                <w:i w:val="0"/>
                <w:iCs w:val="0"/>
                <w:color w:val="000000"/>
                <w:sz w:val="18"/>
                <w:szCs w:val="18"/>
                <w:u w:val="none"/>
              </w:rPr>
            </w:pPr>
          </w:p>
        </w:tc>
        <w:tc>
          <w:tcPr>
            <w:tcW w:w="0" w:type="auto"/>
            <w:tcBorders>
              <w:top w:val="nil"/>
              <w:left w:val="nil"/>
              <w:bottom w:val="nil"/>
              <w:right w:val="nil"/>
            </w:tcBorders>
            <w:shd w:val="clear" w:color="auto" w:fill="auto"/>
            <w:vAlign w:val="center"/>
          </w:tcPr>
          <w:p w14:paraId="5C3B6768">
            <w:pPr>
              <w:jc w:val="center"/>
              <w:rPr>
                <w:rFonts w:hint="eastAsia" w:ascii="宋体" w:hAnsi="宋体" w:eastAsia="宋体" w:cs="宋体"/>
                <w:i w:val="0"/>
                <w:iCs w:val="0"/>
                <w:color w:val="000000"/>
                <w:sz w:val="18"/>
                <w:szCs w:val="18"/>
                <w:u w:val="none"/>
              </w:rPr>
            </w:pPr>
          </w:p>
        </w:tc>
        <w:tc>
          <w:tcPr>
            <w:tcW w:w="0" w:type="auto"/>
            <w:tcBorders>
              <w:top w:val="nil"/>
              <w:left w:val="nil"/>
              <w:bottom w:val="nil"/>
              <w:right w:val="nil"/>
            </w:tcBorders>
            <w:shd w:val="clear" w:color="auto" w:fill="auto"/>
            <w:vAlign w:val="center"/>
          </w:tcPr>
          <w:p w14:paraId="75BD0469">
            <w:pPr>
              <w:jc w:val="center"/>
              <w:rPr>
                <w:rFonts w:hint="eastAsia" w:ascii="宋体" w:hAnsi="宋体" w:eastAsia="宋体" w:cs="宋体"/>
                <w:i w:val="0"/>
                <w:iCs w:val="0"/>
                <w:color w:val="000000"/>
                <w:sz w:val="18"/>
                <w:szCs w:val="18"/>
                <w:u w:val="none"/>
              </w:rPr>
            </w:pPr>
          </w:p>
        </w:tc>
        <w:tc>
          <w:tcPr>
            <w:tcW w:w="0" w:type="auto"/>
            <w:tcBorders>
              <w:top w:val="nil"/>
              <w:left w:val="nil"/>
              <w:bottom w:val="nil"/>
              <w:right w:val="nil"/>
            </w:tcBorders>
            <w:shd w:val="clear" w:color="auto" w:fill="auto"/>
            <w:vAlign w:val="center"/>
          </w:tcPr>
          <w:p w14:paraId="37EACB3B">
            <w:pPr>
              <w:jc w:val="center"/>
              <w:rPr>
                <w:rFonts w:hint="eastAsia" w:ascii="宋体" w:hAnsi="宋体" w:eastAsia="宋体" w:cs="宋体"/>
                <w:i w:val="0"/>
                <w:iCs w:val="0"/>
                <w:color w:val="000000"/>
                <w:sz w:val="18"/>
                <w:szCs w:val="18"/>
                <w:u w:val="none"/>
              </w:rPr>
            </w:pPr>
          </w:p>
        </w:tc>
        <w:tc>
          <w:tcPr>
            <w:tcW w:w="0" w:type="auto"/>
            <w:tcBorders>
              <w:top w:val="nil"/>
              <w:left w:val="nil"/>
              <w:bottom w:val="nil"/>
              <w:right w:val="nil"/>
            </w:tcBorders>
            <w:shd w:val="clear" w:color="auto" w:fill="auto"/>
            <w:vAlign w:val="center"/>
          </w:tcPr>
          <w:p w14:paraId="64ACF180">
            <w:pPr>
              <w:jc w:val="center"/>
              <w:rPr>
                <w:rFonts w:hint="eastAsia" w:ascii="宋体" w:hAnsi="宋体" w:eastAsia="宋体" w:cs="宋体"/>
                <w:i w:val="0"/>
                <w:iCs w:val="0"/>
                <w:color w:val="000000"/>
                <w:sz w:val="18"/>
                <w:szCs w:val="18"/>
                <w:u w:val="none"/>
              </w:rPr>
            </w:pPr>
          </w:p>
        </w:tc>
        <w:tc>
          <w:tcPr>
            <w:tcW w:w="0" w:type="auto"/>
            <w:tcBorders>
              <w:top w:val="nil"/>
              <w:left w:val="nil"/>
              <w:bottom w:val="nil"/>
              <w:right w:val="nil"/>
            </w:tcBorders>
            <w:shd w:val="clear" w:color="auto" w:fill="auto"/>
            <w:vAlign w:val="center"/>
          </w:tcPr>
          <w:p w14:paraId="2B9574FA">
            <w:pPr>
              <w:jc w:val="center"/>
              <w:rPr>
                <w:rFonts w:hint="eastAsia" w:ascii="宋体" w:hAnsi="宋体" w:eastAsia="宋体" w:cs="宋体"/>
                <w:i w:val="0"/>
                <w:iCs w:val="0"/>
                <w:color w:val="000000"/>
                <w:sz w:val="18"/>
                <w:szCs w:val="18"/>
                <w:u w:val="none"/>
              </w:rPr>
            </w:pPr>
          </w:p>
        </w:tc>
        <w:tc>
          <w:tcPr>
            <w:tcW w:w="0" w:type="auto"/>
            <w:tcBorders>
              <w:top w:val="nil"/>
              <w:left w:val="nil"/>
              <w:bottom w:val="nil"/>
              <w:right w:val="nil"/>
            </w:tcBorders>
            <w:shd w:val="clear" w:color="auto" w:fill="auto"/>
            <w:vAlign w:val="center"/>
          </w:tcPr>
          <w:p w14:paraId="3CD73BE9">
            <w:pPr>
              <w:jc w:val="center"/>
              <w:rPr>
                <w:rFonts w:hint="eastAsia" w:ascii="宋体" w:hAnsi="宋体" w:eastAsia="宋体" w:cs="宋体"/>
                <w:i w:val="0"/>
                <w:iCs w:val="0"/>
                <w:color w:val="000000"/>
                <w:sz w:val="18"/>
                <w:szCs w:val="18"/>
                <w:u w:val="none"/>
              </w:rPr>
            </w:pPr>
          </w:p>
        </w:tc>
        <w:tc>
          <w:tcPr>
            <w:tcW w:w="0" w:type="auto"/>
            <w:tcBorders>
              <w:top w:val="nil"/>
              <w:left w:val="nil"/>
              <w:bottom w:val="nil"/>
              <w:right w:val="nil"/>
            </w:tcBorders>
            <w:shd w:val="clear" w:color="auto" w:fill="auto"/>
            <w:vAlign w:val="center"/>
          </w:tcPr>
          <w:p w14:paraId="2CF01D2F">
            <w:pPr>
              <w:rPr>
                <w:rFonts w:hint="eastAsia" w:ascii="宋体" w:hAnsi="宋体" w:eastAsia="宋体" w:cs="宋体"/>
                <w:i w:val="0"/>
                <w:iCs w:val="0"/>
                <w:color w:val="000000"/>
                <w:sz w:val="18"/>
                <w:szCs w:val="18"/>
                <w:u w:val="none"/>
              </w:rPr>
            </w:pPr>
          </w:p>
        </w:tc>
      </w:tr>
      <w:tr w14:paraId="60745F1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80" w:hRule="atLeast"/>
        </w:trPr>
        <w:tc>
          <w:tcPr>
            <w:tcW w:w="0" w:type="auto"/>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1CE1CC39">
            <w:pPr>
              <w:keepNext w:val="0"/>
              <w:keepLines w:val="0"/>
              <w:widowControl/>
              <w:suppressLineNumbers w:val="0"/>
              <w:jc w:val="center"/>
              <w:textAlignment w:val="center"/>
              <w:rPr>
                <w:rFonts w:hint="eastAsia"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部门预算项目支出绩效自评表（2024年度）</w:t>
            </w:r>
          </w:p>
        </w:tc>
      </w:tr>
      <w:tr w14:paraId="352032A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0" w:hRule="atLeast"/>
        </w:trPr>
        <w:tc>
          <w:tcPr>
            <w:tcW w:w="0" w:type="auto"/>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A916A80">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0" w:type="auto"/>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742788C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51320025T000012176753-"索玛花开"专项经费</w:t>
            </w:r>
          </w:p>
        </w:tc>
      </w:tr>
      <w:tr w14:paraId="17EAB89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40" w:hRule="atLeast"/>
        </w:trPr>
        <w:tc>
          <w:tcPr>
            <w:tcW w:w="0" w:type="auto"/>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77AB277">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0" w:type="auto"/>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B2FFFA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州民政局部门</w:t>
            </w:r>
          </w:p>
        </w:tc>
        <w:tc>
          <w:tcPr>
            <w:tcW w:w="0" w:type="auto"/>
            <w:tcBorders>
              <w:top w:val="nil"/>
              <w:left w:val="nil"/>
              <w:bottom w:val="nil"/>
              <w:right w:val="nil"/>
            </w:tcBorders>
            <w:shd w:val="clear" w:color="auto" w:fill="auto"/>
            <w:vAlign w:val="center"/>
          </w:tcPr>
          <w:p w14:paraId="589CBAC4">
            <w:pPr>
              <w:keepNext w:val="0"/>
              <w:keepLines w:val="0"/>
              <w:widowControl/>
              <w:suppressLineNumbers w:val="0"/>
              <w:jc w:val="center"/>
              <w:textAlignment w:val="center"/>
              <w:rPr>
                <w:rFonts w:hint="default" w:ascii="黑体" w:hAnsi="黑体" w:eastAsia="黑体" w:cs="黑体"/>
                <w:i w:val="0"/>
                <w:iCs w:val="0"/>
                <w:color w:val="000000"/>
                <w:sz w:val="18"/>
                <w:szCs w:val="18"/>
                <w:u w:val="none"/>
              </w:rPr>
            </w:pPr>
            <w:r>
              <w:rPr>
                <w:rFonts w:hint="default" w:ascii="黑体" w:hAnsi="黑体" w:eastAsia="黑体" w:cs="黑体"/>
                <w:i w:val="0"/>
                <w:iCs w:val="0"/>
                <w:color w:val="000000"/>
                <w:kern w:val="0"/>
                <w:sz w:val="18"/>
                <w:szCs w:val="18"/>
                <w:u w:val="none"/>
                <w:lang w:val="en-US" w:eastAsia="zh-CN" w:bidi="ar"/>
              </w:rPr>
              <w:t>实施单位 （盖章）</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F536BF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州民政局</w:t>
            </w:r>
          </w:p>
        </w:tc>
      </w:tr>
      <w:tr w14:paraId="605E7C9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0" w:hRule="atLeast"/>
        </w:trPr>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E85B741">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46B1DFE">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0" w:type="auto"/>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ED8688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0" w:type="auto"/>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647026A4">
            <w:pPr>
              <w:keepNext w:val="0"/>
              <w:keepLines w:val="0"/>
              <w:widowControl/>
              <w:suppressLineNumbers w:val="0"/>
              <w:jc w:val="center"/>
              <w:textAlignment w:val="center"/>
              <w:rPr>
                <w:rFonts w:hint="default" w:ascii="黑体" w:hAnsi="黑体" w:eastAsia="黑体" w:cs="黑体"/>
                <w:i w:val="0"/>
                <w:iCs w:val="0"/>
                <w:color w:val="000000"/>
                <w:sz w:val="18"/>
                <w:szCs w:val="18"/>
                <w:u w:val="none"/>
              </w:rPr>
            </w:pPr>
            <w:r>
              <w:rPr>
                <w:rFonts w:hint="default" w:ascii="黑体" w:hAnsi="黑体" w:eastAsia="黑体" w:cs="黑体"/>
                <w:i w:val="0"/>
                <w:iCs w:val="0"/>
                <w:color w:val="000000"/>
                <w:kern w:val="0"/>
                <w:sz w:val="18"/>
                <w:szCs w:val="18"/>
                <w:u w:val="none"/>
                <w:lang w:val="en-US" w:eastAsia="zh-CN" w:bidi="ar"/>
              </w:rPr>
              <w:t>年度目标完成情况</w:t>
            </w:r>
          </w:p>
        </w:tc>
      </w:tr>
      <w:tr w14:paraId="2531E0B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4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E1C78E6">
            <w:pPr>
              <w:rPr>
                <w:rFonts w:hint="eastAsia" w:ascii="宋体" w:hAnsi="宋体" w:eastAsia="宋体" w:cs="宋体"/>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4E9A705">
            <w:pPr>
              <w:rPr>
                <w:rFonts w:hint="eastAsia" w:ascii="宋体" w:hAnsi="宋体" w:eastAsia="宋体" w:cs="宋体"/>
                <w:i w:val="0"/>
                <w:iCs w:val="0"/>
                <w:color w:val="000000"/>
                <w:sz w:val="18"/>
                <w:szCs w:val="18"/>
                <w:u w:val="none"/>
              </w:rPr>
            </w:pPr>
          </w:p>
        </w:tc>
        <w:tc>
          <w:tcPr>
            <w:tcW w:w="0" w:type="auto"/>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6ECF56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为改善阿坝州城、乡户籍（民政服务对象）及城乡困难家庭的白内障患者生活水平和质量，共享经济社会文明成果，共建和谐社会。为具有阿坝州城、乡户籍（民政服务对象）及城乡困难家庭的白内障患者免费治疗。</w:t>
            </w:r>
          </w:p>
        </w:tc>
        <w:tc>
          <w:tcPr>
            <w:tcW w:w="0" w:type="auto"/>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539C4D4B">
            <w:pPr>
              <w:keepNext w:val="0"/>
              <w:keepLines w:val="0"/>
              <w:widowControl/>
              <w:suppressLineNumbers w:val="0"/>
              <w:jc w:val="center"/>
              <w:textAlignment w:val="center"/>
              <w:rPr>
                <w:rFonts w:hint="default" w:ascii="黑体" w:hAnsi="黑体" w:eastAsia="黑体" w:cs="黑体"/>
                <w:i w:val="0"/>
                <w:iCs w:val="0"/>
                <w:color w:val="000000"/>
                <w:sz w:val="18"/>
                <w:szCs w:val="18"/>
                <w:u w:val="none"/>
              </w:rPr>
            </w:pPr>
            <w:r>
              <w:rPr>
                <w:rFonts w:hint="default" w:ascii="黑体" w:hAnsi="黑体" w:eastAsia="黑体" w:cs="黑体"/>
                <w:i w:val="0"/>
                <w:iCs w:val="0"/>
                <w:color w:val="000000"/>
                <w:kern w:val="0"/>
                <w:sz w:val="18"/>
                <w:szCs w:val="18"/>
                <w:u w:val="none"/>
                <w:lang w:val="en-US" w:eastAsia="zh-CN" w:bidi="ar"/>
              </w:rPr>
              <w:t>2025年8月底前为200人白内障患者免费进行手术治疗，目前已经实施188例，时间多半，任务完成94%。</w:t>
            </w:r>
          </w:p>
        </w:tc>
      </w:tr>
      <w:tr w14:paraId="2D7CEB8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6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4339875">
            <w:pP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0795501">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0" w:type="auto"/>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35DD8B6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根据四川省民政厅关于《索玛花开》项目相关要求，2024年9月1日-2025年8月31日，在我州投入40万元为阿坝州城、乡户籍（民政服务对象）及城乡困难家庭的200名白内障患者进行复明手术，符合《索玛花开》白内障手术项目补助条件的，在我州指定合作医院中手术的病员，完成医保报销后，享受患者人均2000元的补助，确保救治患者免费治疗。患者自费部分不足2000元的实报实销，超过2000元的需经过定点医院医务部审批进行报销。</w:t>
            </w:r>
          </w:p>
        </w:tc>
      </w:tr>
      <w:tr w14:paraId="2DA61FC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4F601C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E59369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22AA20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2CD00D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D7CA13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3B9C15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C888FE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DFF69F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6F3E7A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14:paraId="58CB8CA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E5F58DE">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2CCA8E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81BE4B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D70E31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40.00</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369F56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40.00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0F5F6C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706895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B77134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F9E444B">
            <w:pPr>
              <w:keepNext w:val="0"/>
              <w:keepLines w:val="0"/>
              <w:widowControl/>
              <w:suppressLineNumbers w:val="0"/>
              <w:jc w:val="left"/>
              <w:textAlignment w:val="center"/>
              <w:rPr>
                <w:rFonts w:hint="default" w:ascii="黑体" w:hAnsi="黑体" w:eastAsia="黑体" w:cs="黑体"/>
                <w:i/>
                <w:iCs/>
                <w:color w:val="000000"/>
                <w:sz w:val="18"/>
                <w:szCs w:val="18"/>
                <w:u w:val="none"/>
              </w:rPr>
            </w:pPr>
            <w:r>
              <w:rPr>
                <w:rFonts w:hint="default" w:ascii="黑体" w:hAnsi="黑体" w:eastAsia="黑体" w:cs="黑体"/>
                <w:i/>
                <w:iCs/>
                <w:color w:val="000000"/>
                <w:kern w:val="0"/>
                <w:sz w:val="18"/>
                <w:szCs w:val="18"/>
                <w:u w:val="none"/>
                <w:lang w:val="en-US" w:eastAsia="zh-CN" w:bidi="ar"/>
              </w:rPr>
              <w:t>该项目预算执行率高于90%，无预算调整。</w:t>
            </w:r>
          </w:p>
        </w:tc>
      </w:tr>
      <w:tr w14:paraId="54DE9EE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1D97A7D">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37F6CF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C2D74E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56D9ED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40.00</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223969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40.00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BD1BD7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54B7B4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8B6779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235F5E7">
            <w:pPr>
              <w:rPr>
                <w:rFonts w:hint="default" w:ascii="黑体" w:hAnsi="黑体" w:eastAsia="黑体" w:cs="黑体"/>
                <w:i/>
                <w:iCs/>
                <w:color w:val="000000"/>
                <w:sz w:val="18"/>
                <w:szCs w:val="18"/>
                <w:u w:val="none"/>
              </w:rPr>
            </w:pPr>
          </w:p>
        </w:tc>
      </w:tr>
      <w:tr w14:paraId="1D18FD7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56B0DF0">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7CDE44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ECE033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DF6CE1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55F5B0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C76380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AA4902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A77D09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FF54542">
            <w:pPr>
              <w:rPr>
                <w:rFonts w:hint="default" w:ascii="黑体" w:hAnsi="黑体" w:eastAsia="黑体" w:cs="黑体"/>
                <w:i/>
                <w:iCs/>
                <w:color w:val="000000"/>
                <w:sz w:val="18"/>
                <w:szCs w:val="18"/>
                <w:u w:val="none"/>
              </w:rPr>
            </w:pPr>
          </w:p>
        </w:tc>
      </w:tr>
      <w:tr w14:paraId="277A4BA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74B5A39">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A0DE5C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3868A9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11565B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AF7828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583E6D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A8BD49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7EECFB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F23C8DB">
            <w:pPr>
              <w:rPr>
                <w:rFonts w:hint="default" w:ascii="黑体" w:hAnsi="黑体" w:eastAsia="黑体" w:cs="黑体"/>
                <w:i/>
                <w:iCs/>
                <w:color w:val="000000"/>
                <w:sz w:val="18"/>
                <w:szCs w:val="18"/>
                <w:u w:val="none"/>
              </w:rPr>
            </w:pPr>
          </w:p>
        </w:tc>
      </w:tr>
      <w:tr w14:paraId="220C918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88CC16F">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3D5D9F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88030F0">
            <w:pPr>
              <w:jc w:val="center"/>
              <w:rPr>
                <w:rFonts w:hint="default" w:ascii="微软雅黑" w:hAnsi="微软雅黑" w:eastAsia="微软雅黑" w:cs="微软雅黑"/>
                <w:i/>
                <w:iCs/>
                <w:color w:val="000000"/>
                <w:sz w:val="16"/>
                <w:szCs w:val="16"/>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C1BE2CE">
            <w:pPr>
              <w:jc w:val="center"/>
              <w:rPr>
                <w:rFonts w:hint="default" w:ascii="微软雅黑" w:hAnsi="微软雅黑" w:eastAsia="微软雅黑" w:cs="微软雅黑"/>
                <w:i/>
                <w:iCs/>
                <w:color w:val="000000"/>
                <w:sz w:val="16"/>
                <w:szCs w:val="16"/>
                <w:u w:val="none"/>
              </w:rPr>
            </w:pP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1FC8B6F">
            <w:pPr>
              <w:jc w:val="center"/>
              <w:rPr>
                <w:rFonts w:hint="default" w:ascii="微软雅黑" w:hAnsi="微软雅黑" w:eastAsia="微软雅黑" w:cs="微软雅黑"/>
                <w:i/>
                <w:iCs/>
                <w:color w:val="000000"/>
                <w:sz w:val="16"/>
                <w:szCs w:val="16"/>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E13A0C9">
            <w:pPr>
              <w:jc w:val="center"/>
              <w:rPr>
                <w:rFonts w:hint="default" w:ascii="微软雅黑" w:hAnsi="微软雅黑" w:eastAsia="微软雅黑" w:cs="微软雅黑"/>
                <w:i/>
                <w:iCs/>
                <w:color w:val="000000"/>
                <w:sz w:val="16"/>
                <w:szCs w:val="16"/>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C243E0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12750D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AFFA0F3">
            <w:pPr>
              <w:rPr>
                <w:rFonts w:hint="default" w:ascii="黑体" w:hAnsi="黑体" w:eastAsia="黑体" w:cs="黑体"/>
                <w:i/>
                <w:iCs/>
                <w:color w:val="000000"/>
                <w:sz w:val="18"/>
                <w:szCs w:val="18"/>
                <w:u w:val="none"/>
              </w:rPr>
            </w:pPr>
          </w:p>
        </w:tc>
      </w:tr>
      <w:tr w14:paraId="0A5460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A24963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E7EBCA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AA9CBF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051E4C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1B0FF9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1A82E3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587D5F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A951C9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7C938D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F6A468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40FFDD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14:paraId="1801DC8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2BB2B42">
            <w:pPr>
              <w:jc w:val="center"/>
              <w:rPr>
                <w:rFonts w:hint="eastAsia" w:ascii="宋体" w:hAnsi="宋体" w:eastAsia="宋体" w:cs="宋体"/>
                <w:i w:val="0"/>
                <w:iCs w:val="0"/>
                <w:color w:val="000000"/>
                <w:sz w:val="18"/>
                <w:szCs w:val="18"/>
                <w:u w:val="none"/>
              </w:rPr>
            </w:pP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BE1864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520B52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16D9D8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为大于等于200名白内障患者免费进行手术治疗。</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636220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614463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DCFD47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名</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F6EA5D1">
            <w:pPr>
              <w:keepNext w:val="0"/>
              <w:keepLines w:val="0"/>
              <w:widowControl/>
              <w:suppressLineNumbers w:val="0"/>
              <w:jc w:val="center"/>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188</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657399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DEE2F4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934236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项目实施时间过半</w:t>
            </w:r>
          </w:p>
        </w:tc>
      </w:tr>
      <w:tr w14:paraId="17CDD57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40243BC">
            <w:pPr>
              <w:jc w:val="center"/>
              <w:rPr>
                <w:rFonts w:hint="eastAsia" w:ascii="宋体" w:hAnsi="宋体" w:eastAsia="宋体" w:cs="宋体"/>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1DE429D">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E1EC42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质量指标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A6F3B0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提高患者生活质量</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3BFD85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定性</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E6EE28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高</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4E6CD6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名</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350CDCB">
            <w:pPr>
              <w:keepNext w:val="0"/>
              <w:keepLines w:val="0"/>
              <w:widowControl/>
              <w:suppressLineNumbers w:val="0"/>
              <w:jc w:val="center"/>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188</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880BFF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B88A8D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36D4AFB">
            <w:pPr>
              <w:jc w:val="center"/>
              <w:rPr>
                <w:rFonts w:hint="default" w:ascii="微软雅黑" w:hAnsi="微软雅黑" w:eastAsia="微软雅黑" w:cs="微软雅黑"/>
                <w:i/>
                <w:iCs/>
                <w:color w:val="000000"/>
                <w:sz w:val="16"/>
                <w:szCs w:val="16"/>
                <w:u w:val="none"/>
              </w:rPr>
            </w:pPr>
          </w:p>
        </w:tc>
      </w:tr>
      <w:tr w14:paraId="3309680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6C092F9">
            <w:pPr>
              <w:jc w:val="center"/>
              <w:rPr>
                <w:rFonts w:hint="eastAsia" w:ascii="宋体" w:hAnsi="宋体" w:eastAsia="宋体" w:cs="宋体"/>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BF1C34E">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23C3AE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时效指标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C19465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2024年9月1月-2025年8月31日</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7D1001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定性</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A16F6A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68F86F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53F5F95">
            <w:pPr>
              <w:keepNext w:val="0"/>
              <w:keepLines w:val="0"/>
              <w:widowControl/>
              <w:suppressLineNumbers w:val="0"/>
              <w:jc w:val="center"/>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BDC41B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3C0A64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721B4A8">
            <w:pPr>
              <w:jc w:val="center"/>
              <w:rPr>
                <w:rFonts w:hint="default" w:ascii="微软雅黑" w:hAnsi="微软雅黑" w:eastAsia="微软雅黑" w:cs="微软雅黑"/>
                <w:i/>
                <w:iCs/>
                <w:color w:val="000000"/>
                <w:sz w:val="16"/>
                <w:szCs w:val="16"/>
                <w:u w:val="none"/>
              </w:rPr>
            </w:pPr>
          </w:p>
        </w:tc>
      </w:tr>
      <w:tr w14:paraId="52A8D29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BA758DD">
            <w:pPr>
              <w:jc w:val="center"/>
              <w:rPr>
                <w:rFonts w:hint="eastAsia" w:ascii="宋体" w:hAnsi="宋体" w:eastAsia="宋体" w:cs="宋体"/>
                <w:i w:val="0"/>
                <w:iCs w:val="0"/>
                <w:color w:val="000000"/>
                <w:sz w:val="18"/>
                <w:szCs w:val="18"/>
                <w:u w:val="none"/>
              </w:rPr>
            </w:pP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160AC4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8AE6D4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经济效益指标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3ACAB0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让患者减轻经济负担</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012304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定性</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8F9B1A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ED02C2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万元</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CB8B7F5">
            <w:pPr>
              <w:keepNext w:val="0"/>
              <w:keepLines w:val="0"/>
              <w:widowControl/>
              <w:suppressLineNumbers w:val="0"/>
              <w:jc w:val="center"/>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40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53EF50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AF5F96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51363EE">
            <w:pPr>
              <w:jc w:val="center"/>
              <w:rPr>
                <w:rFonts w:hint="default" w:ascii="微软雅黑" w:hAnsi="微软雅黑" w:eastAsia="微软雅黑" w:cs="微软雅黑"/>
                <w:i/>
                <w:iCs/>
                <w:color w:val="000000"/>
                <w:sz w:val="16"/>
                <w:szCs w:val="16"/>
                <w:u w:val="none"/>
              </w:rPr>
            </w:pPr>
          </w:p>
        </w:tc>
      </w:tr>
      <w:tr w14:paraId="1AA4609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7D34135">
            <w:pPr>
              <w:jc w:val="center"/>
              <w:rPr>
                <w:rFonts w:hint="eastAsia" w:ascii="宋体" w:hAnsi="宋体" w:eastAsia="宋体" w:cs="宋体"/>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898BAD3">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C7A628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686536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共享经济社会文明成果，共建和谐社会。</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7B2FB8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定性</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2A23CF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高</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B7F239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名</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3006782">
            <w:pPr>
              <w:keepNext w:val="0"/>
              <w:keepLines w:val="0"/>
              <w:widowControl/>
              <w:suppressLineNumbers w:val="0"/>
              <w:jc w:val="center"/>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高</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832ACB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097869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D817904">
            <w:pPr>
              <w:jc w:val="center"/>
              <w:rPr>
                <w:rFonts w:hint="default" w:ascii="微软雅黑" w:hAnsi="微软雅黑" w:eastAsia="微软雅黑" w:cs="微软雅黑"/>
                <w:i/>
                <w:iCs/>
                <w:color w:val="000000"/>
                <w:sz w:val="16"/>
                <w:szCs w:val="16"/>
                <w:u w:val="none"/>
              </w:rPr>
            </w:pPr>
          </w:p>
        </w:tc>
      </w:tr>
      <w:tr w14:paraId="6E5D0F0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343B0D6">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68B08E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9F10ED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服务对象满意度指标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7DB13B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患者术后对生活质量满意度大大提升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330219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1B6C4C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85</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7F1655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425D11A">
            <w:pPr>
              <w:keepNext w:val="0"/>
              <w:keepLines w:val="0"/>
              <w:widowControl/>
              <w:suppressLineNumbers w:val="0"/>
              <w:jc w:val="center"/>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95</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7ED934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2DA478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ECA8CBC">
            <w:pPr>
              <w:jc w:val="center"/>
              <w:rPr>
                <w:rFonts w:hint="default" w:ascii="微软雅黑" w:hAnsi="微软雅黑" w:eastAsia="微软雅黑" w:cs="微软雅黑"/>
                <w:i/>
                <w:iCs/>
                <w:color w:val="000000"/>
                <w:sz w:val="16"/>
                <w:szCs w:val="16"/>
                <w:u w:val="none"/>
              </w:rPr>
            </w:pPr>
          </w:p>
        </w:tc>
      </w:tr>
      <w:tr w14:paraId="3155772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D682395">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B1E627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成本指标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83C572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社会成本指标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3DD60A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让患者重获光明，对生活充满向往，对社会满意</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5B22FE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定性</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88B846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DF4917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万元</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FF76286">
            <w:pPr>
              <w:keepNext w:val="0"/>
              <w:keepLines w:val="0"/>
              <w:widowControl/>
              <w:suppressLineNumbers w:val="0"/>
              <w:jc w:val="center"/>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40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89C2CE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D0F635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2D8D8DD">
            <w:pPr>
              <w:jc w:val="center"/>
              <w:rPr>
                <w:rFonts w:hint="default" w:ascii="微软雅黑" w:hAnsi="微软雅黑" w:eastAsia="微软雅黑" w:cs="微软雅黑"/>
                <w:i/>
                <w:iCs/>
                <w:color w:val="000000"/>
                <w:sz w:val="16"/>
                <w:szCs w:val="16"/>
                <w:u w:val="none"/>
              </w:rPr>
            </w:pPr>
          </w:p>
        </w:tc>
      </w:tr>
      <w:tr w14:paraId="50E8DCC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0" w:type="auto"/>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5AD5734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304FB9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FA8D25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63E922B">
            <w:pPr>
              <w:rPr>
                <w:rFonts w:hint="eastAsia" w:ascii="宋体" w:hAnsi="宋体" w:eastAsia="宋体" w:cs="宋体"/>
                <w:i w:val="0"/>
                <w:iCs w:val="0"/>
                <w:color w:val="000000"/>
                <w:sz w:val="18"/>
                <w:szCs w:val="18"/>
                <w:u w:val="none"/>
              </w:rPr>
            </w:pPr>
          </w:p>
        </w:tc>
      </w:tr>
      <w:tr w14:paraId="1667D85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5AE0D6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0" w:type="auto"/>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7D7AEAB6">
            <w:pPr>
              <w:keepNext w:val="0"/>
              <w:keepLines w:val="0"/>
              <w:widowControl/>
              <w:suppressLineNumbers w:val="0"/>
              <w:jc w:val="left"/>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改善了阿坝州城、乡户籍（民政服务对象）及城乡困难家庭的  个白内障患者生活水平和质量。</w:t>
            </w:r>
          </w:p>
        </w:tc>
      </w:tr>
      <w:tr w14:paraId="1040747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18571B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0" w:type="auto"/>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3FBDF112">
            <w:pPr>
              <w:keepNext w:val="0"/>
              <w:keepLines w:val="0"/>
              <w:widowControl/>
              <w:suppressLineNumbers w:val="0"/>
              <w:jc w:val="left"/>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无</w:t>
            </w:r>
          </w:p>
        </w:tc>
      </w:tr>
      <w:tr w14:paraId="7FD3C9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46077A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0" w:type="auto"/>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4AEB5E4F">
            <w:pPr>
              <w:keepNext w:val="0"/>
              <w:keepLines w:val="0"/>
              <w:widowControl/>
              <w:suppressLineNumbers w:val="0"/>
              <w:jc w:val="left"/>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无</w:t>
            </w:r>
          </w:p>
        </w:tc>
      </w:tr>
      <w:tr w14:paraId="5A8EC8D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0" w:hRule="atLeast"/>
        </w:trPr>
        <w:tc>
          <w:tcPr>
            <w:tcW w:w="0" w:type="auto"/>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A3FF84F">
            <w:pPr>
              <w:keepNext w:val="0"/>
              <w:keepLines w:val="0"/>
              <w:widowControl/>
              <w:suppressLineNumbers w:val="0"/>
              <w:jc w:val="left"/>
              <w:textAlignment w:val="center"/>
              <w:rPr>
                <w:rFonts w:hint="default" w:ascii="黑体" w:hAnsi="黑体" w:eastAsia="黑体" w:cs="黑体"/>
                <w:i w:val="0"/>
                <w:iCs w:val="0"/>
                <w:color w:val="000000"/>
                <w:sz w:val="18"/>
                <w:szCs w:val="18"/>
                <w:u w:val="none"/>
              </w:rPr>
            </w:pPr>
            <w:r>
              <w:rPr>
                <w:rFonts w:hint="default" w:ascii="黑体" w:hAnsi="黑体" w:eastAsia="黑体" w:cs="黑体"/>
                <w:i w:val="0"/>
                <w:iCs w:val="0"/>
                <w:color w:val="000000"/>
                <w:kern w:val="0"/>
                <w:sz w:val="18"/>
                <w:szCs w:val="18"/>
                <w:u w:val="none"/>
                <w:lang w:val="en-US" w:eastAsia="zh-CN" w:bidi="ar"/>
              </w:rPr>
              <w:t>项目负责人：胡志才</w:t>
            </w:r>
          </w:p>
        </w:tc>
        <w:tc>
          <w:tcPr>
            <w:tcW w:w="0" w:type="auto"/>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4DB07BC1">
            <w:pPr>
              <w:keepNext w:val="0"/>
              <w:keepLines w:val="0"/>
              <w:widowControl/>
              <w:suppressLineNumbers w:val="0"/>
              <w:jc w:val="center"/>
              <w:textAlignment w:val="center"/>
              <w:rPr>
                <w:rFonts w:hint="default" w:ascii="黑体" w:hAnsi="黑体" w:eastAsia="黑体" w:cs="黑体"/>
                <w:i w:val="0"/>
                <w:iCs w:val="0"/>
                <w:color w:val="000000"/>
                <w:sz w:val="18"/>
                <w:szCs w:val="18"/>
                <w:u w:val="none"/>
              </w:rPr>
            </w:pPr>
            <w:r>
              <w:rPr>
                <w:rFonts w:hint="default" w:ascii="黑体" w:hAnsi="黑体" w:eastAsia="黑体" w:cs="黑体"/>
                <w:i w:val="0"/>
                <w:iCs w:val="0"/>
                <w:color w:val="000000"/>
                <w:kern w:val="0"/>
                <w:sz w:val="18"/>
                <w:szCs w:val="18"/>
                <w:u w:val="none"/>
                <w:lang w:val="en-US" w:eastAsia="zh-CN" w:bidi="ar"/>
              </w:rPr>
              <w:t>财务负责人：杨琴琴</w:t>
            </w:r>
          </w:p>
        </w:tc>
      </w:tr>
      <w:tr w14:paraId="3EE05A8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40" w:hRule="atLeast"/>
        </w:trPr>
        <w:tc>
          <w:tcPr>
            <w:tcW w:w="0" w:type="auto"/>
            <w:tcBorders>
              <w:top w:val="nil"/>
              <w:left w:val="nil"/>
              <w:bottom w:val="nil"/>
              <w:right w:val="nil"/>
            </w:tcBorders>
            <w:shd w:val="clear" w:color="auto" w:fill="auto"/>
            <w:vAlign w:val="center"/>
          </w:tcPr>
          <w:p w14:paraId="2E9AE7AD">
            <w:pPr>
              <w:rPr>
                <w:rFonts w:hint="eastAsia" w:ascii="宋体" w:hAnsi="宋体" w:eastAsia="宋体" w:cs="宋体"/>
                <w:i w:val="0"/>
                <w:iCs w:val="0"/>
                <w:color w:val="000000"/>
                <w:sz w:val="18"/>
                <w:szCs w:val="18"/>
                <w:u w:val="none"/>
              </w:rPr>
            </w:pPr>
          </w:p>
        </w:tc>
        <w:tc>
          <w:tcPr>
            <w:tcW w:w="0" w:type="auto"/>
            <w:tcBorders>
              <w:top w:val="nil"/>
              <w:left w:val="nil"/>
              <w:bottom w:val="nil"/>
              <w:right w:val="nil"/>
            </w:tcBorders>
            <w:shd w:val="clear" w:color="auto" w:fill="auto"/>
            <w:vAlign w:val="center"/>
          </w:tcPr>
          <w:p w14:paraId="027C5796">
            <w:pPr>
              <w:rPr>
                <w:rFonts w:hint="eastAsia" w:ascii="宋体" w:hAnsi="宋体" w:eastAsia="宋体" w:cs="宋体"/>
                <w:i w:val="0"/>
                <w:iCs w:val="0"/>
                <w:color w:val="000000"/>
                <w:sz w:val="18"/>
                <w:szCs w:val="18"/>
                <w:u w:val="none"/>
              </w:rPr>
            </w:pPr>
          </w:p>
        </w:tc>
        <w:tc>
          <w:tcPr>
            <w:tcW w:w="0" w:type="auto"/>
            <w:tcBorders>
              <w:top w:val="nil"/>
              <w:left w:val="nil"/>
              <w:bottom w:val="nil"/>
              <w:right w:val="nil"/>
            </w:tcBorders>
            <w:shd w:val="clear" w:color="auto" w:fill="auto"/>
            <w:vAlign w:val="center"/>
          </w:tcPr>
          <w:p w14:paraId="708A5824">
            <w:pPr>
              <w:jc w:val="center"/>
              <w:rPr>
                <w:rFonts w:hint="eastAsia" w:ascii="宋体" w:hAnsi="宋体" w:eastAsia="宋体" w:cs="宋体"/>
                <w:i w:val="0"/>
                <w:iCs w:val="0"/>
                <w:color w:val="000000"/>
                <w:sz w:val="18"/>
                <w:szCs w:val="18"/>
                <w:u w:val="none"/>
              </w:rPr>
            </w:pPr>
          </w:p>
        </w:tc>
        <w:tc>
          <w:tcPr>
            <w:tcW w:w="0" w:type="auto"/>
            <w:tcBorders>
              <w:top w:val="nil"/>
              <w:left w:val="nil"/>
              <w:bottom w:val="nil"/>
              <w:right w:val="nil"/>
            </w:tcBorders>
            <w:shd w:val="clear" w:color="auto" w:fill="auto"/>
            <w:vAlign w:val="center"/>
          </w:tcPr>
          <w:p w14:paraId="3137E591">
            <w:pPr>
              <w:jc w:val="center"/>
              <w:rPr>
                <w:rFonts w:hint="eastAsia" w:ascii="宋体" w:hAnsi="宋体" w:eastAsia="宋体" w:cs="宋体"/>
                <w:i w:val="0"/>
                <w:iCs w:val="0"/>
                <w:color w:val="000000"/>
                <w:sz w:val="18"/>
                <w:szCs w:val="18"/>
                <w:u w:val="none"/>
              </w:rPr>
            </w:pPr>
          </w:p>
        </w:tc>
        <w:tc>
          <w:tcPr>
            <w:tcW w:w="0" w:type="auto"/>
            <w:tcBorders>
              <w:top w:val="nil"/>
              <w:left w:val="nil"/>
              <w:bottom w:val="nil"/>
              <w:right w:val="nil"/>
            </w:tcBorders>
            <w:shd w:val="clear" w:color="auto" w:fill="auto"/>
            <w:vAlign w:val="center"/>
          </w:tcPr>
          <w:p w14:paraId="315CB9D4">
            <w:pPr>
              <w:jc w:val="center"/>
              <w:rPr>
                <w:rFonts w:hint="eastAsia" w:ascii="宋体" w:hAnsi="宋体" w:eastAsia="宋体" w:cs="宋体"/>
                <w:i w:val="0"/>
                <w:iCs w:val="0"/>
                <w:color w:val="000000"/>
                <w:sz w:val="18"/>
                <w:szCs w:val="18"/>
                <w:u w:val="none"/>
              </w:rPr>
            </w:pPr>
          </w:p>
        </w:tc>
        <w:tc>
          <w:tcPr>
            <w:tcW w:w="0" w:type="auto"/>
            <w:tcBorders>
              <w:top w:val="nil"/>
              <w:left w:val="nil"/>
              <w:bottom w:val="nil"/>
              <w:right w:val="nil"/>
            </w:tcBorders>
            <w:shd w:val="clear" w:color="auto" w:fill="auto"/>
            <w:vAlign w:val="center"/>
          </w:tcPr>
          <w:p w14:paraId="52BC1B0C">
            <w:pPr>
              <w:jc w:val="center"/>
              <w:rPr>
                <w:rFonts w:hint="eastAsia" w:ascii="宋体" w:hAnsi="宋体" w:eastAsia="宋体" w:cs="宋体"/>
                <w:i w:val="0"/>
                <w:iCs w:val="0"/>
                <w:color w:val="000000"/>
                <w:sz w:val="18"/>
                <w:szCs w:val="18"/>
                <w:u w:val="none"/>
              </w:rPr>
            </w:pPr>
          </w:p>
        </w:tc>
        <w:tc>
          <w:tcPr>
            <w:tcW w:w="0" w:type="auto"/>
            <w:tcBorders>
              <w:top w:val="nil"/>
              <w:left w:val="nil"/>
              <w:bottom w:val="nil"/>
              <w:right w:val="nil"/>
            </w:tcBorders>
            <w:shd w:val="clear" w:color="auto" w:fill="auto"/>
            <w:vAlign w:val="center"/>
          </w:tcPr>
          <w:p w14:paraId="25DE6D5D">
            <w:pPr>
              <w:jc w:val="center"/>
              <w:rPr>
                <w:rFonts w:hint="eastAsia" w:ascii="宋体" w:hAnsi="宋体" w:eastAsia="宋体" w:cs="宋体"/>
                <w:i w:val="0"/>
                <w:iCs w:val="0"/>
                <w:color w:val="000000"/>
                <w:sz w:val="18"/>
                <w:szCs w:val="18"/>
                <w:u w:val="none"/>
              </w:rPr>
            </w:pPr>
          </w:p>
        </w:tc>
        <w:tc>
          <w:tcPr>
            <w:tcW w:w="0" w:type="auto"/>
            <w:tcBorders>
              <w:top w:val="nil"/>
              <w:left w:val="nil"/>
              <w:bottom w:val="nil"/>
              <w:right w:val="nil"/>
            </w:tcBorders>
            <w:shd w:val="clear" w:color="auto" w:fill="auto"/>
            <w:vAlign w:val="center"/>
          </w:tcPr>
          <w:p w14:paraId="08CAA31F">
            <w:pPr>
              <w:jc w:val="center"/>
              <w:rPr>
                <w:rFonts w:hint="eastAsia" w:ascii="宋体" w:hAnsi="宋体" w:eastAsia="宋体" w:cs="宋体"/>
                <w:i w:val="0"/>
                <w:iCs w:val="0"/>
                <w:color w:val="000000"/>
                <w:sz w:val="18"/>
                <w:szCs w:val="18"/>
                <w:u w:val="none"/>
              </w:rPr>
            </w:pPr>
          </w:p>
        </w:tc>
        <w:tc>
          <w:tcPr>
            <w:tcW w:w="0" w:type="auto"/>
            <w:tcBorders>
              <w:top w:val="nil"/>
              <w:left w:val="nil"/>
              <w:bottom w:val="nil"/>
              <w:right w:val="nil"/>
            </w:tcBorders>
            <w:shd w:val="clear" w:color="auto" w:fill="auto"/>
            <w:vAlign w:val="center"/>
          </w:tcPr>
          <w:p w14:paraId="007F28E3">
            <w:pPr>
              <w:jc w:val="center"/>
              <w:rPr>
                <w:rFonts w:hint="eastAsia" w:ascii="宋体" w:hAnsi="宋体" w:eastAsia="宋体" w:cs="宋体"/>
                <w:i w:val="0"/>
                <w:iCs w:val="0"/>
                <w:color w:val="000000"/>
                <w:sz w:val="18"/>
                <w:szCs w:val="18"/>
                <w:u w:val="none"/>
              </w:rPr>
            </w:pPr>
          </w:p>
        </w:tc>
        <w:tc>
          <w:tcPr>
            <w:tcW w:w="0" w:type="auto"/>
            <w:tcBorders>
              <w:top w:val="nil"/>
              <w:left w:val="nil"/>
              <w:bottom w:val="nil"/>
              <w:right w:val="nil"/>
            </w:tcBorders>
            <w:shd w:val="clear" w:color="auto" w:fill="auto"/>
            <w:vAlign w:val="center"/>
          </w:tcPr>
          <w:p w14:paraId="2CD82A5C">
            <w:pPr>
              <w:jc w:val="center"/>
              <w:rPr>
                <w:rFonts w:hint="eastAsia" w:ascii="宋体" w:hAnsi="宋体" w:eastAsia="宋体" w:cs="宋体"/>
                <w:i w:val="0"/>
                <w:iCs w:val="0"/>
                <w:color w:val="000000"/>
                <w:sz w:val="18"/>
                <w:szCs w:val="18"/>
                <w:u w:val="none"/>
              </w:rPr>
            </w:pPr>
          </w:p>
        </w:tc>
        <w:tc>
          <w:tcPr>
            <w:tcW w:w="0" w:type="auto"/>
            <w:tcBorders>
              <w:top w:val="nil"/>
              <w:left w:val="nil"/>
              <w:bottom w:val="nil"/>
              <w:right w:val="nil"/>
            </w:tcBorders>
            <w:shd w:val="clear" w:color="auto" w:fill="auto"/>
            <w:vAlign w:val="center"/>
          </w:tcPr>
          <w:p w14:paraId="0182D217">
            <w:pPr>
              <w:rPr>
                <w:rFonts w:hint="eastAsia" w:ascii="宋体" w:hAnsi="宋体" w:eastAsia="宋体" w:cs="宋体"/>
                <w:i w:val="0"/>
                <w:iCs w:val="0"/>
                <w:color w:val="000000"/>
                <w:sz w:val="18"/>
                <w:szCs w:val="18"/>
                <w:u w:val="none"/>
              </w:rPr>
            </w:pPr>
          </w:p>
        </w:tc>
      </w:tr>
      <w:tr w14:paraId="66466D0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240" w:hRule="atLeast"/>
        </w:trPr>
        <w:tc>
          <w:tcPr>
            <w:tcW w:w="0" w:type="auto"/>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11397A97">
            <w:pPr>
              <w:keepNext w:val="0"/>
              <w:keepLines w:val="0"/>
              <w:widowControl/>
              <w:suppressLineNumbers w:val="0"/>
              <w:jc w:val="center"/>
              <w:textAlignment w:val="center"/>
              <w:rPr>
                <w:rFonts w:hint="eastAsia"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部门预算项目支出绩效自评表（2024年度）</w:t>
            </w:r>
          </w:p>
        </w:tc>
      </w:tr>
      <w:tr w14:paraId="0C14544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40" w:hRule="atLeast"/>
        </w:trPr>
        <w:tc>
          <w:tcPr>
            <w:tcW w:w="0" w:type="auto"/>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4CCEA57">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0" w:type="auto"/>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5983ECE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51320025T000012190241-养老公共服务能力提升专项经费</w:t>
            </w:r>
          </w:p>
        </w:tc>
      </w:tr>
      <w:tr w14:paraId="3D9DC02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2" w:hRule="atLeast"/>
        </w:trPr>
        <w:tc>
          <w:tcPr>
            <w:tcW w:w="0" w:type="auto"/>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1FC2284">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0" w:type="auto"/>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CC5B69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州民政局部门</w:t>
            </w:r>
          </w:p>
        </w:tc>
        <w:tc>
          <w:tcPr>
            <w:tcW w:w="0" w:type="auto"/>
            <w:tcBorders>
              <w:top w:val="nil"/>
              <w:left w:val="nil"/>
              <w:bottom w:val="nil"/>
              <w:right w:val="nil"/>
            </w:tcBorders>
            <w:shd w:val="clear" w:color="auto" w:fill="auto"/>
            <w:vAlign w:val="center"/>
          </w:tcPr>
          <w:p w14:paraId="23D07014">
            <w:pPr>
              <w:keepNext w:val="0"/>
              <w:keepLines w:val="0"/>
              <w:widowControl/>
              <w:suppressLineNumbers w:val="0"/>
              <w:jc w:val="center"/>
              <w:textAlignment w:val="center"/>
              <w:rPr>
                <w:rFonts w:hint="default" w:ascii="黑体" w:hAnsi="黑体" w:eastAsia="黑体" w:cs="黑体"/>
                <w:i w:val="0"/>
                <w:iCs w:val="0"/>
                <w:color w:val="000000"/>
                <w:sz w:val="18"/>
                <w:szCs w:val="18"/>
                <w:u w:val="none"/>
              </w:rPr>
            </w:pPr>
            <w:r>
              <w:rPr>
                <w:rFonts w:hint="default" w:ascii="黑体" w:hAnsi="黑体" w:eastAsia="黑体" w:cs="黑体"/>
                <w:i w:val="0"/>
                <w:iCs w:val="0"/>
                <w:color w:val="000000"/>
                <w:kern w:val="0"/>
                <w:sz w:val="18"/>
                <w:szCs w:val="18"/>
                <w:u w:val="none"/>
                <w:lang w:val="en-US" w:eastAsia="zh-CN" w:bidi="ar"/>
              </w:rPr>
              <w:t>实施单位 （盖章）</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45B871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州民政局</w:t>
            </w:r>
          </w:p>
        </w:tc>
      </w:tr>
      <w:tr w14:paraId="36DFB31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0" w:hRule="atLeast"/>
        </w:trPr>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E864939">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8805093">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0" w:type="auto"/>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10CDBF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0" w:type="auto"/>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789DDB77">
            <w:pPr>
              <w:keepNext w:val="0"/>
              <w:keepLines w:val="0"/>
              <w:widowControl/>
              <w:suppressLineNumbers w:val="0"/>
              <w:jc w:val="center"/>
              <w:textAlignment w:val="center"/>
              <w:rPr>
                <w:rFonts w:hint="default" w:ascii="黑体" w:hAnsi="黑体" w:eastAsia="黑体" w:cs="黑体"/>
                <w:i w:val="0"/>
                <w:iCs w:val="0"/>
                <w:color w:val="000000"/>
                <w:sz w:val="18"/>
                <w:szCs w:val="18"/>
                <w:u w:val="none"/>
              </w:rPr>
            </w:pPr>
            <w:r>
              <w:rPr>
                <w:rFonts w:hint="default" w:ascii="黑体" w:hAnsi="黑体" w:eastAsia="黑体" w:cs="黑体"/>
                <w:i w:val="0"/>
                <w:iCs w:val="0"/>
                <w:color w:val="000000"/>
                <w:kern w:val="0"/>
                <w:sz w:val="18"/>
                <w:szCs w:val="18"/>
                <w:u w:val="none"/>
                <w:lang w:val="en-US" w:eastAsia="zh-CN" w:bidi="ar"/>
              </w:rPr>
              <w:t>年度目标完成情况</w:t>
            </w:r>
          </w:p>
        </w:tc>
      </w:tr>
      <w:tr w14:paraId="7FD8913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383B0C6">
            <w:pPr>
              <w:rPr>
                <w:rFonts w:hint="eastAsia" w:ascii="宋体" w:hAnsi="宋体" w:eastAsia="宋体" w:cs="宋体"/>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A1E2348">
            <w:pPr>
              <w:rPr>
                <w:rFonts w:hint="eastAsia" w:ascii="宋体" w:hAnsi="宋体" w:eastAsia="宋体" w:cs="宋体"/>
                <w:i w:val="0"/>
                <w:iCs w:val="0"/>
                <w:color w:val="000000"/>
                <w:sz w:val="18"/>
                <w:szCs w:val="18"/>
                <w:u w:val="none"/>
              </w:rPr>
            </w:pPr>
          </w:p>
        </w:tc>
        <w:tc>
          <w:tcPr>
            <w:tcW w:w="0" w:type="auto"/>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4C149C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阿坝州“数字护老”系统主要是通过建设与全州民政服务机构视频监控系统串联，建立24小时州对机构的互联互通系统。有效解决民政部门对养老机构的监管盲区和覆盖面问题。该系统的建立进一步降低对民政服务机构的监管成本，进一步提升对全州运营养老机构的监管能力。</w:t>
            </w:r>
          </w:p>
        </w:tc>
        <w:tc>
          <w:tcPr>
            <w:tcW w:w="0" w:type="auto"/>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0076E92F">
            <w:pPr>
              <w:keepNext w:val="0"/>
              <w:keepLines w:val="0"/>
              <w:widowControl/>
              <w:suppressLineNumbers w:val="0"/>
              <w:jc w:val="center"/>
              <w:textAlignment w:val="center"/>
              <w:rPr>
                <w:rFonts w:hint="default" w:ascii="黑体" w:hAnsi="黑体" w:eastAsia="黑体" w:cs="黑体"/>
                <w:i w:val="0"/>
                <w:iCs w:val="0"/>
                <w:color w:val="000000"/>
                <w:sz w:val="18"/>
                <w:szCs w:val="18"/>
                <w:u w:val="none"/>
              </w:rPr>
            </w:pPr>
            <w:r>
              <w:rPr>
                <w:rFonts w:hint="default" w:ascii="黑体" w:hAnsi="黑体" w:eastAsia="黑体" w:cs="黑体"/>
                <w:i w:val="0"/>
                <w:iCs w:val="0"/>
                <w:color w:val="000000"/>
                <w:kern w:val="0"/>
                <w:sz w:val="18"/>
                <w:szCs w:val="18"/>
                <w:u w:val="none"/>
                <w:lang w:val="en-US" w:eastAsia="zh-CN" w:bidi="ar"/>
              </w:rPr>
              <w:t>建成阿坝州“数字护老”系统，与全州民政服务机构视频监控系统串联，建立24小时州对机构的互联互通系统。</w:t>
            </w:r>
          </w:p>
        </w:tc>
      </w:tr>
      <w:tr w14:paraId="5379A45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4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443CAD">
            <w:pP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2237D1E">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0" w:type="auto"/>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33B6740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开发建成阿坝州“数字护老”系统，在全州20个公办养老机构安装视频系统，在州本级建立视频调度系统实现24小时州对机构的互联互通。</w:t>
            </w:r>
          </w:p>
        </w:tc>
      </w:tr>
      <w:tr w14:paraId="79A5A80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0" w:hRule="atLeast"/>
        </w:trPr>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0084F6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3ADE5B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DF257C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D492ED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3C2A75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6FFBC7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F24EA0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C3518A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52571C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14:paraId="46C2628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3E22728">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F5966A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558FBF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3DAFE4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83.90</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4DE436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83.90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E79B32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C46BBC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0F667E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5A408A2">
            <w:pPr>
              <w:keepNext w:val="0"/>
              <w:keepLines w:val="0"/>
              <w:widowControl/>
              <w:suppressLineNumbers w:val="0"/>
              <w:jc w:val="left"/>
              <w:textAlignment w:val="center"/>
              <w:rPr>
                <w:rFonts w:hint="default" w:ascii="黑体" w:hAnsi="黑体" w:eastAsia="黑体" w:cs="黑体"/>
                <w:i/>
                <w:iCs/>
                <w:color w:val="000000"/>
                <w:sz w:val="18"/>
                <w:szCs w:val="18"/>
                <w:u w:val="none"/>
              </w:rPr>
            </w:pPr>
            <w:r>
              <w:rPr>
                <w:rFonts w:hint="default" w:ascii="黑体" w:hAnsi="黑体" w:eastAsia="黑体" w:cs="黑体"/>
                <w:i/>
                <w:iCs/>
                <w:color w:val="000000"/>
                <w:kern w:val="0"/>
                <w:sz w:val="18"/>
                <w:szCs w:val="18"/>
                <w:u w:val="none"/>
                <w:lang w:val="en-US" w:eastAsia="zh-CN" w:bidi="ar"/>
              </w:rPr>
              <w:t>该项目预算执行率高于90%，无预算调整。</w:t>
            </w:r>
          </w:p>
        </w:tc>
      </w:tr>
      <w:tr w14:paraId="403472A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8AC3EB">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C1E408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27524D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399B87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83.90</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DD025D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83.90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567934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3D3473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711CC0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37AA497">
            <w:pPr>
              <w:rPr>
                <w:rFonts w:hint="default" w:ascii="黑体" w:hAnsi="黑体" w:eastAsia="黑体" w:cs="黑体"/>
                <w:i/>
                <w:iCs/>
                <w:color w:val="000000"/>
                <w:sz w:val="18"/>
                <w:szCs w:val="18"/>
                <w:u w:val="none"/>
              </w:rPr>
            </w:pPr>
          </w:p>
        </w:tc>
      </w:tr>
      <w:tr w14:paraId="64FCE03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958A9E2">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AEF7A7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2DDBC6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286FE9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F40960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EA9E3C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615C0B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51EE9B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9CE5165">
            <w:pPr>
              <w:rPr>
                <w:rFonts w:hint="default" w:ascii="黑体" w:hAnsi="黑体" w:eastAsia="黑体" w:cs="黑体"/>
                <w:i/>
                <w:iCs/>
                <w:color w:val="000000"/>
                <w:sz w:val="18"/>
                <w:szCs w:val="18"/>
                <w:u w:val="none"/>
              </w:rPr>
            </w:pPr>
          </w:p>
        </w:tc>
      </w:tr>
      <w:tr w14:paraId="4555CBE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1A781CD">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8B7D0E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5692A1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4902A2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1F0347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B62D4F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776156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939DE2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C218C48">
            <w:pPr>
              <w:rPr>
                <w:rFonts w:hint="default" w:ascii="黑体" w:hAnsi="黑体" w:eastAsia="黑体" w:cs="黑体"/>
                <w:i/>
                <w:iCs/>
                <w:color w:val="000000"/>
                <w:sz w:val="18"/>
                <w:szCs w:val="18"/>
                <w:u w:val="none"/>
              </w:rPr>
            </w:pPr>
          </w:p>
        </w:tc>
      </w:tr>
      <w:tr w14:paraId="762F658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C532B1A">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7342E8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3FEF23D">
            <w:pPr>
              <w:jc w:val="center"/>
              <w:rPr>
                <w:rFonts w:hint="default" w:ascii="微软雅黑" w:hAnsi="微软雅黑" w:eastAsia="微软雅黑" w:cs="微软雅黑"/>
                <w:i/>
                <w:iCs/>
                <w:color w:val="000000"/>
                <w:sz w:val="16"/>
                <w:szCs w:val="16"/>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C8999E9">
            <w:pPr>
              <w:jc w:val="center"/>
              <w:rPr>
                <w:rFonts w:hint="default" w:ascii="微软雅黑" w:hAnsi="微软雅黑" w:eastAsia="微软雅黑" w:cs="微软雅黑"/>
                <w:i/>
                <w:iCs/>
                <w:color w:val="000000"/>
                <w:sz w:val="16"/>
                <w:szCs w:val="16"/>
                <w:u w:val="none"/>
              </w:rPr>
            </w:pP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6F37062">
            <w:pPr>
              <w:jc w:val="center"/>
              <w:rPr>
                <w:rFonts w:hint="default" w:ascii="微软雅黑" w:hAnsi="微软雅黑" w:eastAsia="微软雅黑" w:cs="微软雅黑"/>
                <w:i/>
                <w:iCs/>
                <w:color w:val="000000"/>
                <w:sz w:val="16"/>
                <w:szCs w:val="16"/>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0237D6A">
            <w:pPr>
              <w:jc w:val="center"/>
              <w:rPr>
                <w:rFonts w:hint="default" w:ascii="微软雅黑" w:hAnsi="微软雅黑" w:eastAsia="微软雅黑" w:cs="微软雅黑"/>
                <w:i/>
                <w:iCs/>
                <w:color w:val="000000"/>
                <w:sz w:val="16"/>
                <w:szCs w:val="16"/>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0DC1B1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FFA6F9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12AD604">
            <w:pPr>
              <w:rPr>
                <w:rFonts w:hint="default" w:ascii="黑体" w:hAnsi="黑体" w:eastAsia="黑体" w:cs="黑体"/>
                <w:i/>
                <w:iCs/>
                <w:color w:val="000000"/>
                <w:sz w:val="18"/>
                <w:szCs w:val="18"/>
                <w:u w:val="none"/>
              </w:rPr>
            </w:pPr>
          </w:p>
        </w:tc>
      </w:tr>
      <w:tr w14:paraId="79BE6F1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0" w:hRule="atLeast"/>
        </w:trPr>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EA2A7F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6A84F9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95B467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843854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E5B5FD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21A1FF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6E894F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E9F93D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37AD30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A9E27E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3FCB03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14:paraId="057BE03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C8858BC">
            <w:pPr>
              <w:jc w:val="center"/>
              <w:rPr>
                <w:rFonts w:hint="eastAsia" w:ascii="宋体" w:hAnsi="宋体" w:eastAsia="宋体" w:cs="宋体"/>
                <w:i w:val="0"/>
                <w:iCs w:val="0"/>
                <w:color w:val="000000"/>
                <w:sz w:val="18"/>
                <w:szCs w:val="18"/>
                <w:u w:val="none"/>
              </w:rPr>
            </w:pP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977219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CF8A09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FDC560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建立1个州级调度系统</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09EBC6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F1B8C7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59404B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套</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0AEE84B">
            <w:pPr>
              <w:keepNext w:val="0"/>
              <w:keepLines w:val="0"/>
              <w:widowControl/>
              <w:suppressLineNumbers w:val="0"/>
              <w:jc w:val="center"/>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100%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C06107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EA2803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3AEF066">
            <w:pPr>
              <w:jc w:val="center"/>
              <w:rPr>
                <w:rFonts w:hint="default" w:ascii="微软雅黑" w:hAnsi="微软雅黑" w:eastAsia="微软雅黑" w:cs="微软雅黑"/>
                <w:i/>
                <w:iCs/>
                <w:color w:val="000000"/>
                <w:sz w:val="16"/>
                <w:szCs w:val="16"/>
                <w:u w:val="none"/>
              </w:rPr>
            </w:pPr>
          </w:p>
        </w:tc>
      </w:tr>
      <w:tr w14:paraId="712F58D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2072A5C">
            <w:pPr>
              <w:jc w:val="center"/>
              <w:rPr>
                <w:rFonts w:hint="eastAsia" w:ascii="宋体" w:hAnsi="宋体" w:eastAsia="宋体" w:cs="宋体"/>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F72FD41">
            <w:pPr>
              <w:jc w:val="center"/>
              <w:rPr>
                <w:rFonts w:hint="eastAsia" w:ascii="宋体" w:hAnsi="宋体" w:eastAsia="宋体" w:cs="宋体"/>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D541854">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FC708D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20个机构视频监控系统</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BF9D23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746DAD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896BF0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个</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67C2FB0">
            <w:pPr>
              <w:keepNext w:val="0"/>
              <w:keepLines w:val="0"/>
              <w:widowControl/>
              <w:suppressLineNumbers w:val="0"/>
              <w:jc w:val="center"/>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100%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40B10F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95416D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18</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F3B8B90">
            <w:pPr>
              <w:jc w:val="center"/>
              <w:rPr>
                <w:rFonts w:hint="default" w:ascii="微软雅黑" w:hAnsi="微软雅黑" w:eastAsia="微软雅黑" w:cs="微软雅黑"/>
                <w:i/>
                <w:iCs/>
                <w:color w:val="000000"/>
                <w:sz w:val="16"/>
                <w:szCs w:val="16"/>
                <w:u w:val="none"/>
              </w:rPr>
            </w:pPr>
          </w:p>
        </w:tc>
      </w:tr>
      <w:tr w14:paraId="4F49276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2D738B3">
            <w:pPr>
              <w:jc w:val="center"/>
              <w:rPr>
                <w:rFonts w:hint="eastAsia" w:ascii="宋体" w:hAnsi="宋体" w:eastAsia="宋体" w:cs="宋体"/>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A7C38DB">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45333D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时效指标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82E6CD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系统建立后可实现对20个机构24小时实时调度</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BBD3F9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426762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24</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8FEA99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小时</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7247BA5">
            <w:pPr>
              <w:keepNext w:val="0"/>
              <w:keepLines w:val="0"/>
              <w:widowControl/>
              <w:suppressLineNumbers w:val="0"/>
              <w:jc w:val="center"/>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100%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8333E1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CB6ED6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05EFD65">
            <w:pPr>
              <w:jc w:val="center"/>
              <w:rPr>
                <w:rFonts w:hint="default" w:ascii="微软雅黑" w:hAnsi="微软雅黑" w:eastAsia="微软雅黑" w:cs="微软雅黑"/>
                <w:i/>
                <w:iCs/>
                <w:color w:val="000000"/>
                <w:sz w:val="16"/>
                <w:szCs w:val="16"/>
                <w:u w:val="none"/>
              </w:rPr>
            </w:pPr>
          </w:p>
        </w:tc>
      </w:tr>
      <w:tr w14:paraId="55D6D73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946B799">
            <w:pPr>
              <w:jc w:val="center"/>
              <w:rPr>
                <w:rFonts w:hint="eastAsia" w:ascii="宋体" w:hAnsi="宋体" w:eastAsia="宋体" w:cs="宋体"/>
                <w:i w:val="0"/>
                <w:iCs w:val="0"/>
                <w:color w:val="000000"/>
                <w:sz w:val="18"/>
                <w:szCs w:val="18"/>
                <w:u w:val="none"/>
              </w:rPr>
            </w:pP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D4FE0B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0D694C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8D5030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建立平台后，对20个机构有效监管</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918DF2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定性</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75A3C9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优</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353224C">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0332D4A">
            <w:pPr>
              <w:keepNext w:val="0"/>
              <w:keepLines w:val="0"/>
              <w:widowControl/>
              <w:suppressLineNumbers w:val="0"/>
              <w:jc w:val="center"/>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100%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4473CC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DBE55C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A565B0D">
            <w:pPr>
              <w:jc w:val="center"/>
              <w:rPr>
                <w:rFonts w:hint="default" w:ascii="微软雅黑" w:hAnsi="微软雅黑" w:eastAsia="微软雅黑" w:cs="微软雅黑"/>
                <w:i/>
                <w:iCs/>
                <w:color w:val="000000"/>
                <w:sz w:val="16"/>
                <w:szCs w:val="16"/>
                <w:u w:val="none"/>
              </w:rPr>
            </w:pPr>
          </w:p>
        </w:tc>
      </w:tr>
      <w:tr w14:paraId="68EC47B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1BE8D7A">
            <w:pPr>
              <w:jc w:val="center"/>
              <w:rPr>
                <w:rFonts w:hint="eastAsia" w:ascii="宋体" w:hAnsi="宋体" w:eastAsia="宋体" w:cs="宋体"/>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6871FB1">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120DAB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可持续发展指标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738B72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平台的建立实现了阿坝州智慧养老”零”突破</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753837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定性</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A1C58C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优</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B8547C0">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1813905">
            <w:pPr>
              <w:keepNext w:val="0"/>
              <w:keepLines w:val="0"/>
              <w:widowControl/>
              <w:suppressLineNumbers w:val="0"/>
              <w:jc w:val="center"/>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100%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3F31AE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3D0381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8168B74">
            <w:pPr>
              <w:jc w:val="center"/>
              <w:rPr>
                <w:rFonts w:hint="default" w:ascii="微软雅黑" w:hAnsi="微软雅黑" w:eastAsia="微软雅黑" w:cs="微软雅黑"/>
                <w:i/>
                <w:iCs/>
                <w:color w:val="000000"/>
                <w:sz w:val="16"/>
                <w:szCs w:val="16"/>
                <w:u w:val="none"/>
              </w:rPr>
            </w:pPr>
          </w:p>
        </w:tc>
      </w:tr>
      <w:tr w14:paraId="1DD6EF0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613986F">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9702E5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606D47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AD517E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平台运行后，监管部门满意度</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73CBA9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1308FC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00966E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60BA979">
            <w:pPr>
              <w:keepNext w:val="0"/>
              <w:keepLines w:val="0"/>
              <w:widowControl/>
              <w:suppressLineNumbers w:val="0"/>
              <w:jc w:val="center"/>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90%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9DDBA3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D8F2CE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546F238">
            <w:pPr>
              <w:jc w:val="center"/>
              <w:rPr>
                <w:rFonts w:hint="default" w:ascii="微软雅黑" w:hAnsi="微软雅黑" w:eastAsia="微软雅黑" w:cs="微软雅黑"/>
                <w:i/>
                <w:iCs/>
                <w:color w:val="000000"/>
                <w:sz w:val="16"/>
                <w:szCs w:val="16"/>
                <w:u w:val="none"/>
              </w:rPr>
            </w:pPr>
          </w:p>
        </w:tc>
      </w:tr>
      <w:tr w14:paraId="4B8EC11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C260866">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767551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成本指标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284BF1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经济成本指标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33664D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建立平台后，可通过视频事实调度查看情况，减少到实地检查成本</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B84086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定性</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81F1E7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良</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EDF177C">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D350BB1">
            <w:pPr>
              <w:keepNext w:val="0"/>
              <w:keepLines w:val="0"/>
              <w:widowControl/>
              <w:suppressLineNumbers w:val="0"/>
              <w:jc w:val="center"/>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100%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274B2B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C95925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25CA293">
            <w:pPr>
              <w:jc w:val="center"/>
              <w:rPr>
                <w:rFonts w:hint="default" w:ascii="微软雅黑" w:hAnsi="微软雅黑" w:eastAsia="微软雅黑" w:cs="微软雅黑"/>
                <w:i/>
                <w:iCs/>
                <w:color w:val="000000"/>
                <w:sz w:val="16"/>
                <w:szCs w:val="16"/>
                <w:u w:val="none"/>
              </w:rPr>
            </w:pPr>
          </w:p>
        </w:tc>
      </w:tr>
      <w:tr w14:paraId="7F99E2B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0" w:hRule="atLeast"/>
        </w:trPr>
        <w:tc>
          <w:tcPr>
            <w:tcW w:w="0" w:type="auto"/>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56D22B1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16D607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D63F40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97</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6B0FE94">
            <w:pPr>
              <w:rPr>
                <w:rFonts w:hint="eastAsia" w:ascii="宋体" w:hAnsi="宋体" w:eastAsia="宋体" w:cs="宋体"/>
                <w:i w:val="0"/>
                <w:iCs w:val="0"/>
                <w:color w:val="000000"/>
                <w:sz w:val="18"/>
                <w:szCs w:val="18"/>
                <w:u w:val="none"/>
              </w:rPr>
            </w:pPr>
          </w:p>
        </w:tc>
      </w:tr>
      <w:tr w14:paraId="1B8325E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E32382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0" w:type="auto"/>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3F47B5A5">
            <w:pPr>
              <w:keepNext w:val="0"/>
              <w:keepLines w:val="0"/>
              <w:widowControl/>
              <w:suppressLineNumbers w:val="0"/>
              <w:jc w:val="left"/>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该系统的建立进一步降低了对民政服务机构的监管成本，进一步提升了对全州运营养老机构的监管能力。</w:t>
            </w:r>
          </w:p>
        </w:tc>
      </w:tr>
      <w:tr w14:paraId="7C483CC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F291C6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0" w:type="auto"/>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16CF077A">
            <w:pPr>
              <w:keepNext w:val="0"/>
              <w:keepLines w:val="0"/>
              <w:widowControl/>
              <w:suppressLineNumbers w:val="0"/>
              <w:jc w:val="left"/>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无</w:t>
            </w:r>
          </w:p>
        </w:tc>
      </w:tr>
      <w:tr w14:paraId="7871AD3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0A425C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0" w:type="auto"/>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7C4D84B2">
            <w:pPr>
              <w:keepNext w:val="0"/>
              <w:keepLines w:val="0"/>
              <w:widowControl/>
              <w:suppressLineNumbers w:val="0"/>
              <w:jc w:val="left"/>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无</w:t>
            </w:r>
          </w:p>
        </w:tc>
      </w:tr>
      <w:tr w14:paraId="572A263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0" w:type="auto"/>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668D162">
            <w:pPr>
              <w:keepNext w:val="0"/>
              <w:keepLines w:val="0"/>
              <w:widowControl/>
              <w:suppressLineNumbers w:val="0"/>
              <w:jc w:val="left"/>
              <w:textAlignment w:val="center"/>
              <w:rPr>
                <w:rFonts w:hint="default" w:ascii="黑体" w:hAnsi="黑体" w:eastAsia="黑体" w:cs="黑体"/>
                <w:i w:val="0"/>
                <w:iCs w:val="0"/>
                <w:color w:val="000000"/>
                <w:sz w:val="18"/>
                <w:szCs w:val="18"/>
                <w:u w:val="none"/>
              </w:rPr>
            </w:pPr>
            <w:r>
              <w:rPr>
                <w:rFonts w:hint="default" w:ascii="黑体" w:hAnsi="黑体" w:eastAsia="黑体" w:cs="黑体"/>
                <w:i w:val="0"/>
                <w:iCs w:val="0"/>
                <w:color w:val="000000"/>
                <w:kern w:val="0"/>
                <w:sz w:val="18"/>
                <w:szCs w:val="18"/>
                <w:u w:val="none"/>
                <w:lang w:val="en-US" w:eastAsia="zh-CN" w:bidi="ar"/>
              </w:rPr>
              <w:t>项目负责人：彭闰</w:t>
            </w:r>
          </w:p>
        </w:tc>
        <w:tc>
          <w:tcPr>
            <w:tcW w:w="0" w:type="auto"/>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5069C693">
            <w:pPr>
              <w:keepNext w:val="0"/>
              <w:keepLines w:val="0"/>
              <w:widowControl/>
              <w:suppressLineNumbers w:val="0"/>
              <w:jc w:val="center"/>
              <w:textAlignment w:val="center"/>
              <w:rPr>
                <w:rFonts w:hint="default" w:ascii="黑体" w:hAnsi="黑体" w:eastAsia="黑体" w:cs="黑体"/>
                <w:i w:val="0"/>
                <w:iCs w:val="0"/>
                <w:color w:val="000000"/>
                <w:sz w:val="18"/>
                <w:szCs w:val="18"/>
                <w:u w:val="none"/>
              </w:rPr>
            </w:pPr>
            <w:r>
              <w:rPr>
                <w:rFonts w:hint="default" w:ascii="黑体" w:hAnsi="黑体" w:eastAsia="黑体" w:cs="黑体"/>
                <w:i w:val="0"/>
                <w:iCs w:val="0"/>
                <w:color w:val="000000"/>
                <w:kern w:val="0"/>
                <w:sz w:val="18"/>
                <w:szCs w:val="18"/>
                <w:u w:val="none"/>
                <w:lang w:val="en-US" w:eastAsia="zh-CN" w:bidi="ar"/>
              </w:rPr>
              <w:t>财务负责人：杨琴琴</w:t>
            </w:r>
          </w:p>
        </w:tc>
      </w:tr>
      <w:tr w14:paraId="677342F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60" w:hRule="atLeast"/>
        </w:trPr>
        <w:tc>
          <w:tcPr>
            <w:tcW w:w="0" w:type="auto"/>
            <w:tcBorders>
              <w:top w:val="nil"/>
              <w:left w:val="nil"/>
              <w:bottom w:val="nil"/>
              <w:right w:val="nil"/>
            </w:tcBorders>
            <w:shd w:val="clear" w:color="auto" w:fill="auto"/>
            <w:vAlign w:val="center"/>
          </w:tcPr>
          <w:p w14:paraId="1C2D6017">
            <w:pPr>
              <w:rPr>
                <w:rFonts w:hint="eastAsia" w:ascii="宋体" w:hAnsi="宋体" w:eastAsia="宋体" w:cs="宋体"/>
                <w:i w:val="0"/>
                <w:iCs w:val="0"/>
                <w:color w:val="000000"/>
                <w:sz w:val="18"/>
                <w:szCs w:val="18"/>
                <w:u w:val="none"/>
              </w:rPr>
            </w:pPr>
          </w:p>
        </w:tc>
        <w:tc>
          <w:tcPr>
            <w:tcW w:w="0" w:type="auto"/>
            <w:tcBorders>
              <w:top w:val="nil"/>
              <w:left w:val="nil"/>
              <w:bottom w:val="nil"/>
              <w:right w:val="nil"/>
            </w:tcBorders>
            <w:shd w:val="clear" w:color="auto" w:fill="auto"/>
            <w:vAlign w:val="center"/>
          </w:tcPr>
          <w:p w14:paraId="61C80386">
            <w:pPr>
              <w:rPr>
                <w:rFonts w:hint="eastAsia" w:ascii="宋体" w:hAnsi="宋体" w:eastAsia="宋体" w:cs="宋体"/>
                <w:i w:val="0"/>
                <w:iCs w:val="0"/>
                <w:color w:val="000000"/>
                <w:sz w:val="18"/>
                <w:szCs w:val="18"/>
                <w:u w:val="none"/>
              </w:rPr>
            </w:pPr>
          </w:p>
        </w:tc>
        <w:tc>
          <w:tcPr>
            <w:tcW w:w="0" w:type="auto"/>
            <w:tcBorders>
              <w:top w:val="nil"/>
              <w:left w:val="nil"/>
              <w:bottom w:val="nil"/>
              <w:right w:val="nil"/>
            </w:tcBorders>
            <w:shd w:val="clear" w:color="auto" w:fill="auto"/>
            <w:vAlign w:val="center"/>
          </w:tcPr>
          <w:p w14:paraId="7A460613">
            <w:pPr>
              <w:jc w:val="center"/>
              <w:rPr>
                <w:rFonts w:hint="eastAsia" w:ascii="宋体" w:hAnsi="宋体" w:eastAsia="宋体" w:cs="宋体"/>
                <w:i w:val="0"/>
                <w:iCs w:val="0"/>
                <w:color w:val="000000"/>
                <w:sz w:val="18"/>
                <w:szCs w:val="18"/>
                <w:u w:val="none"/>
              </w:rPr>
            </w:pPr>
          </w:p>
        </w:tc>
        <w:tc>
          <w:tcPr>
            <w:tcW w:w="0" w:type="auto"/>
            <w:tcBorders>
              <w:top w:val="nil"/>
              <w:left w:val="nil"/>
              <w:bottom w:val="nil"/>
              <w:right w:val="nil"/>
            </w:tcBorders>
            <w:shd w:val="clear" w:color="auto" w:fill="auto"/>
            <w:vAlign w:val="center"/>
          </w:tcPr>
          <w:p w14:paraId="3A2C7BE4">
            <w:pPr>
              <w:jc w:val="center"/>
              <w:rPr>
                <w:rFonts w:hint="eastAsia" w:ascii="宋体" w:hAnsi="宋体" w:eastAsia="宋体" w:cs="宋体"/>
                <w:i w:val="0"/>
                <w:iCs w:val="0"/>
                <w:color w:val="000000"/>
                <w:sz w:val="18"/>
                <w:szCs w:val="18"/>
                <w:u w:val="none"/>
              </w:rPr>
            </w:pPr>
          </w:p>
        </w:tc>
        <w:tc>
          <w:tcPr>
            <w:tcW w:w="0" w:type="auto"/>
            <w:tcBorders>
              <w:top w:val="nil"/>
              <w:left w:val="nil"/>
              <w:bottom w:val="nil"/>
              <w:right w:val="nil"/>
            </w:tcBorders>
            <w:shd w:val="clear" w:color="auto" w:fill="auto"/>
            <w:vAlign w:val="center"/>
          </w:tcPr>
          <w:p w14:paraId="2E6827A7">
            <w:pPr>
              <w:jc w:val="center"/>
              <w:rPr>
                <w:rFonts w:hint="eastAsia" w:ascii="宋体" w:hAnsi="宋体" w:eastAsia="宋体" w:cs="宋体"/>
                <w:i w:val="0"/>
                <w:iCs w:val="0"/>
                <w:color w:val="000000"/>
                <w:sz w:val="18"/>
                <w:szCs w:val="18"/>
                <w:u w:val="none"/>
              </w:rPr>
            </w:pPr>
          </w:p>
        </w:tc>
        <w:tc>
          <w:tcPr>
            <w:tcW w:w="0" w:type="auto"/>
            <w:tcBorders>
              <w:top w:val="nil"/>
              <w:left w:val="nil"/>
              <w:bottom w:val="nil"/>
              <w:right w:val="nil"/>
            </w:tcBorders>
            <w:shd w:val="clear" w:color="auto" w:fill="auto"/>
            <w:vAlign w:val="center"/>
          </w:tcPr>
          <w:p w14:paraId="18D63116">
            <w:pPr>
              <w:jc w:val="center"/>
              <w:rPr>
                <w:rFonts w:hint="eastAsia" w:ascii="宋体" w:hAnsi="宋体" w:eastAsia="宋体" w:cs="宋体"/>
                <w:i w:val="0"/>
                <w:iCs w:val="0"/>
                <w:color w:val="000000"/>
                <w:sz w:val="18"/>
                <w:szCs w:val="18"/>
                <w:u w:val="none"/>
              </w:rPr>
            </w:pPr>
          </w:p>
        </w:tc>
        <w:tc>
          <w:tcPr>
            <w:tcW w:w="0" w:type="auto"/>
            <w:tcBorders>
              <w:top w:val="nil"/>
              <w:left w:val="nil"/>
              <w:bottom w:val="nil"/>
              <w:right w:val="nil"/>
            </w:tcBorders>
            <w:shd w:val="clear" w:color="auto" w:fill="auto"/>
            <w:vAlign w:val="center"/>
          </w:tcPr>
          <w:p w14:paraId="386EEF5C">
            <w:pPr>
              <w:jc w:val="center"/>
              <w:rPr>
                <w:rFonts w:hint="eastAsia" w:ascii="宋体" w:hAnsi="宋体" w:eastAsia="宋体" w:cs="宋体"/>
                <w:i w:val="0"/>
                <w:iCs w:val="0"/>
                <w:color w:val="000000"/>
                <w:sz w:val="18"/>
                <w:szCs w:val="18"/>
                <w:u w:val="none"/>
              </w:rPr>
            </w:pPr>
          </w:p>
        </w:tc>
        <w:tc>
          <w:tcPr>
            <w:tcW w:w="0" w:type="auto"/>
            <w:tcBorders>
              <w:top w:val="nil"/>
              <w:left w:val="nil"/>
              <w:bottom w:val="nil"/>
              <w:right w:val="nil"/>
            </w:tcBorders>
            <w:shd w:val="clear" w:color="auto" w:fill="auto"/>
            <w:vAlign w:val="center"/>
          </w:tcPr>
          <w:p w14:paraId="239A8C2D">
            <w:pPr>
              <w:jc w:val="center"/>
              <w:rPr>
                <w:rFonts w:hint="eastAsia" w:ascii="宋体" w:hAnsi="宋体" w:eastAsia="宋体" w:cs="宋体"/>
                <w:i w:val="0"/>
                <w:iCs w:val="0"/>
                <w:color w:val="000000"/>
                <w:sz w:val="18"/>
                <w:szCs w:val="18"/>
                <w:u w:val="none"/>
              </w:rPr>
            </w:pPr>
          </w:p>
        </w:tc>
        <w:tc>
          <w:tcPr>
            <w:tcW w:w="0" w:type="auto"/>
            <w:tcBorders>
              <w:top w:val="nil"/>
              <w:left w:val="nil"/>
              <w:bottom w:val="nil"/>
              <w:right w:val="nil"/>
            </w:tcBorders>
            <w:shd w:val="clear" w:color="auto" w:fill="auto"/>
            <w:vAlign w:val="center"/>
          </w:tcPr>
          <w:p w14:paraId="56B14375">
            <w:pPr>
              <w:jc w:val="center"/>
              <w:rPr>
                <w:rFonts w:hint="eastAsia" w:ascii="宋体" w:hAnsi="宋体" w:eastAsia="宋体" w:cs="宋体"/>
                <w:i w:val="0"/>
                <w:iCs w:val="0"/>
                <w:color w:val="000000"/>
                <w:sz w:val="18"/>
                <w:szCs w:val="18"/>
                <w:u w:val="none"/>
              </w:rPr>
            </w:pPr>
          </w:p>
        </w:tc>
        <w:tc>
          <w:tcPr>
            <w:tcW w:w="0" w:type="auto"/>
            <w:tcBorders>
              <w:top w:val="nil"/>
              <w:left w:val="nil"/>
              <w:bottom w:val="nil"/>
              <w:right w:val="nil"/>
            </w:tcBorders>
            <w:shd w:val="clear" w:color="auto" w:fill="auto"/>
            <w:vAlign w:val="center"/>
          </w:tcPr>
          <w:p w14:paraId="6AA51B9C">
            <w:pPr>
              <w:jc w:val="center"/>
              <w:rPr>
                <w:rFonts w:hint="eastAsia" w:ascii="宋体" w:hAnsi="宋体" w:eastAsia="宋体" w:cs="宋体"/>
                <w:i w:val="0"/>
                <w:iCs w:val="0"/>
                <w:color w:val="000000"/>
                <w:sz w:val="18"/>
                <w:szCs w:val="18"/>
                <w:u w:val="none"/>
              </w:rPr>
            </w:pPr>
          </w:p>
        </w:tc>
        <w:tc>
          <w:tcPr>
            <w:tcW w:w="0" w:type="auto"/>
            <w:tcBorders>
              <w:top w:val="nil"/>
              <w:left w:val="nil"/>
              <w:bottom w:val="nil"/>
              <w:right w:val="nil"/>
            </w:tcBorders>
            <w:shd w:val="clear" w:color="auto" w:fill="auto"/>
            <w:vAlign w:val="center"/>
          </w:tcPr>
          <w:p w14:paraId="5EBE3F70">
            <w:pPr>
              <w:rPr>
                <w:rFonts w:hint="eastAsia" w:ascii="宋体" w:hAnsi="宋体" w:eastAsia="宋体" w:cs="宋体"/>
                <w:i w:val="0"/>
                <w:iCs w:val="0"/>
                <w:color w:val="000000"/>
                <w:sz w:val="18"/>
                <w:szCs w:val="18"/>
                <w:u w:val="none"/>
              </w:rPr>
            </w:pPr>
          </w:p>
        </w:tc>
      </w:tr>
      <w:tr w14:paraId="2092FBB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060" w:hRule="atLeast"/>
        </w:trPr>
        <w:tc>
          <w:tcPr>
            <w:tcW w:w="0" w:type="auto"/>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1CCE20DF">
            <w:pPr>
              <w:keepNext w:val="0"/>
              <w:keepLines w:val="0"/>
              <w:widowControl/>
              <w:suppressLineNumbers w:val="0"/>
              <w:jc w:val="center"/>
              <w:textAlignment w:val="center"/>
              <w:rPr>
                <w:rFonts w:hint="eastAsia"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部门预算项目支出绩效自评表（2024年度）</w:t>
            </w:r>
          </w:p>
        </w:tc>
      </w:tr>
      <w:tr w14:paraId="334303A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80" w:hRule="atLeast"/>
        </w:trPr>
        <w:tc>
          <w:tcPr>
            <w:tcW w:w="0" w:type="auto"/>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CD6D925">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0" w:type="auto"/>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79F1DB6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51320025T000012798320-阿坝州区域性老年养护院建设项目</w:t>
            </w:r>
          </w:p>
        </w:tc>
      </w:tr>
      <w:tr w14:paraId="7081F8F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0" w:hRule="atLeast"/>
        </w:trPr>
        <w:tc>
          <w:tcPr>
            <w:tcW w:w="0" w:type="auto"/>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5AF9C9E">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0" w:type="auto"/>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AC5D41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州民政局部门</w:t>
            </w:r>
          </w:p>
        </w:tc>
        <w:tc>
          <w:tcPr>
            <w:tcW w:w="0" w:type="auto"/>
            <w:tcBorders>
              <w:top w:val="nil"/>
              <w:left w:val="nil"/>
              <w:bottom w:val="nil"/>
              <w:right w:val="nil"/>
            </w:tcBorders>
            <w:shd w:val="clear" w:color="auto" w:fill="auto"/>
            <w:vAlign w:val="center"/>
          </w:tcPr>
          <w:p w14:paraId="3D7D7AB9">
            <w:pPr>
              <w:keepNext w:val="0"/>
              <w:keepLines w:val="0"/>
              <w:widowControl/>
              <w:suppressLineNumbers w:val="0"/>
              <w:jc w:val="center"/>
              <w:textAlignment w:val="center"/>
              <w:rPr>
                <w:rFonts w:hint="default" w:ascii="黑体" w:hAnsi="黑体" w:eastAsia="黑体" w:cs="黑体"/>
                <w:i w:val="0"/>
                <w:iCs w:val="0"/>
                <w:color w:val="000000"/>
                <w:sz w:val="18"/>
                <w:szCs w:val="18"/>
                <w:u w:val="none"/>
              </w:rPr>
            </w:pPr>
            <w:r>
              <w:rPr>
                <w:rFonts w:hint="default" w:ascii="黑体" w:hAnsi="黑体" w:eastAsia="黑体" w:cs="黑体"/>
                <w:i w:val="0"/>
                <w:iCs w:val="0"/>
                <w:color w:val="000000"/>
                <w:kern w:val="0"/>
                <w:sz w:val="18"/>
                <w:szCs w:val="18"/>
                <w:u w:val="none"/>
                <w:lang w:val="en-US" w:eastAsia="zh-CN" w:bidi="ar"/>
              </w:rPr>
              <w:t>实施单位 （盖章）</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FD9099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州民政局</w:t>
            </w:r>
          </w:p>
        </w:tc>
      </w:tr>
      <w:tr w14:paraId="0290470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63EF329">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E172846">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0" w:type="auto"/>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5FE46C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0" w:type="auto"/>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7A292C36">
            <w:pPr>
              <w:keepNext w:val="0"/>
              <w:keepLines w:val="0"/>
              <w:widowControl/>
              <w:suppressLineNumbers w:val="0"/>
              <w:jc w:val="center"/>
              <w:textAlignment w:val="center"/>
              <w:rPr>
                <w:rFonts w:hint="default" w:ascii="黑体" w:hAnsi="黑体" w:eastAsia="黑体" w:cs="黑体"/>
                <w:i w:val="0"/>
                <w:iCs w:val="0"/>
                <w:color w:val="000000"/>
                <w:sz w:val="18"/>
                <w:szCs w:val="18"/>
                <w:u w:val="none"/>
              </w:rPr>
            </w:pPr>
            <w:r>
              <w:rPr>
                <w:rFonts w:hint="default" w:ascii="黑体" w:hAnsi="黑体" w:eastAsia="黑体" w:cs="黑体"/>
                <w:i w:val="0"/>
                <w:iCs w:val="0"/>
                <w:color w:val="000000"/>
                <w:kern w:val="0"/>
                <w:sz w:val="18"/>
                <w:szCs w:val="18"/>
                <w:u w:val="none"/>
                <w:lang w:val="en-US" w:eastAsia="zh-CN" w:bidi="ar"/>
              </w:rPr>
              <w:t>年度目标完成情况</w:t>
            </w:r>
          </w:p>
        </w:tc>
      </w:tr>
      <w:tr w14:paraId="084A2DF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8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C620100">
            <w:pPr>
              <w:rPr>
                <w:rFonts w:hint="eastAsia" w:ascii="宋体" w:hAnsi="宋体" w:eastAsia="宋体" w:cs="宋体"/>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758B3C3">
            <w:pPr>
              <w:rPr>
                <w:rFonts w:hint="eastAsia" w:ascii="宋体" w:hAnsi="宋体" w:eastAsia="宋体" w:cs="宋体"/>
                <w:i w:val="0"/>
                <w:iCs w:val="0"/>
                <w:color w:val="000000"/>
                <w:sz w:val="18"/>
                <w:szCs w:val="18"/>
                <w:u w:val="none"/>
              </w:rPr>
            </w:pPr>
          </w:p>
        </w:tc>
        <w:tc>
          <w:tcPr>
            <w:tcW w:w="0" w:type="auto"/>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1C8587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 xml:space="preserve"> 项目建设的主要内容：拟建总建筑面积：21250平米，新增床位：500张，总投资：10625万元。本项目建成后可覆盖阿坝州13县60岁及以上的老人共计11.78万人，根据《城企联动普惠养老专项行动实施方案（试行）》及《城镇老年人设施规划规范》（GB50437-2007）（2018年版），每千名老人不应少于40床。全州目前建成运营养老机构20个，运营养老床位2871张；现已有养老床位数量远不能满足中远期的养老需求。</w:t>
            </w:r>
          </w:p>
        </w:tc>
        <w:tc>
          <w:tcPr>
            <w:tcW w:w="0" w:type="auto"/>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6B44E2D7">
            <w:pPr>
              <w:keepNext w:val="0"/>
              <w:keepLines w:val="0"/>
              <w:widowControl/>
              <w:suppressLineNumbers w:val="0"/>
              <w:jc w:val="center"/>
              <w:textAlignment w:val="center"/>
              <w:rPr>
                <w:rFonts w:hint="default" w:ascii="黑体" w:hAnsi="黑体" w:eastAsia="黑体" w:cs="黑体"/>
                <w:i w:val="0"/>
                <w:iCs w:val="0"/>
                <w:color w:val="000000"/>
                <w:sz w:val="18"/>
                <w:szCs w:val="18"/>
                <w:u w:val="none"/>
              </w:rPr>
            </w:pPr>
            <w:r>
              <w:rPr>
                <w:rFonts w:hint="default" w:ascii="黑体" w:hAnsi="黑体" w:eastAsia="黑体" w:cs="黑体"/>
                <w:i w:val="0"/>
                <w:iCs w:val="0"/>
                <w:color w:val="000000"/>
                <w:kern w:val="0"/>
                <w:sz w:val="18"/>
                <w:szCs w:val="18"/>
                <w:u w:val="none"/>
                <w:lang w:val="en-US" w:eastAsia="zh-CN" w:bidi="ar"/>
              </w:rPr>
              <w:t>开展阿坝州区域性老年养护院项目可行性研究报告的编制工作，并送发改部门预审。</w:t>
            </w:r>
          </w:p>
        </w:tc>
      </w:tr>
      <w:tr w14:paraId="4FECC87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93"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F07CAA1">
            <w:pP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B124A8A">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0" w:type="auto"/>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052CC62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聘请专业机构开展阿坝州区域性老年养护院项目可行性研究报告编制工作。完成项目可研报告编制。</w:t>
            </w:r>
          </w:p>
        </w:tc>
      </w:tr>
      <w:tr w14:paraId="18C8C60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1A2C2B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AD7B7E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02CE1A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16963D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93176A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1F5E0C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5983AC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60C282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31AEAB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14:paraId="5C69521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1D8679D">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4B2C6B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A71AFB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CC75D0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8.90</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44E287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8.90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099453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4EB452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E1A965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6C8328B">
            <w:pPr>
              <w:keepNext w:val="0"/>
              <w:keepLines w:val="0"/>
              <w:widowControl/>
              <w:suppressLineNumbers w:val="0"/>
              <w:jc w:val="left"/>
              <w:textAlignment w:val="center"/>
              <w:rPr>
                <w:rFonts w:hint="default" w:ascii="黑体" w:hAnsi="黑体" w:eastAsia="黑体" w:cs="黑体"/>
                <w:i/>
                <w:iCs/>
                <w:color w:val="000000"/>
                <w:sz w:val="18"/>
                <w:szCs w:val="18"/>
                <w:u w:val="none"/>
              </w:rPr>
            </w:pPr>
            <w:r>
              <w:rPr>
                <w:rFonts w:hint="default" w:ascii="黑体" w:hAnsi="黑体" w:eastAsia="黑体" w:cs="黑体"/>
                <w:i/>
                <w:iCs/>
                <w:color w:val="000000"/>
                <w:kern w:val="0"/>
                <w:sz w:val="18"/>
                <w:szCs w:val="18"/>
                <w:u w:val="none"/>
                <w:lang w:val="en-US" w:eastAsia="zh-CN" w:bidi="ar"/>
              </w:rPr>
              <w:t>该项目预算执行率高于90%，无预算调整。</w:t>
            </w:r>
          </w:p>
        </w:tc>
      </w:tr>
      <w:tr w14:paraId="0BAD743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809A144">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B7C40F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7F85BF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889FC5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8.90</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3709D3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8.90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1F9FF0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24318F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50C49F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E86255E">
            <w:pPr>
              <w:rPr>
                <w:rFonts w:hint="default" w:ascii="黑体" w:hAnsi="黑体" w:eastAsia="黑体" w:cs="黑体"/>
                <w:i/>
                <w:iCs/>
                <w:color w:val="000000"/>
                <w:sz w:val="18"/>
                <w:szCs w:val="18"/>
                <w:u w:val="none"/>
              </w:rPr>
            </w:pPr>
          </w:p>
        </w:tc>
      </w:tr>
      <w:tr w14:paraId="4EFB82B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381ABE8">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32645A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15F84E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5EB66C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0EA60C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886A26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0F327B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324725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8E9F633">
            <w:pPr>
              <w:rPr>
                <w:rFonts w:hint="default" w:ascii="黑体" w:hAnsi="黑体" w:eastAsia="黑体" w:cs="黑体"/>
                <w:i/>
                <w:iCs/>
                <w:color w:val="000000"/>
                <w:sz w:val="18"/>
                <w:szCs w:val="18"/>
                <w:u w:val="none"/>
              </w:rPr>
            </w:pPr>
          </w:p>
        </w:tc>
      </w:tr>
      <w:tr w14:paraId="5CC261D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735EB78">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62B2EF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AC8FAE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0CDBA7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5F8C53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1C9B58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FA0C3A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649F7D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9F05B13">
            <w:pPr>
              <w:rPr>
                <w:rFonts w:hint="default" w:ascii="黑体" w:hAnsi="黑体" w:eastAsia="黑体" w:cs="黑体"/>
                <w:i/>
                <w:iCs/>
                <w:color w:val="000000"/>
                <w:sz w:val="18"/>
                <w:szCs w:val="18"/>
                <w:u w:val="none"/>
              </w:rPr>
            </w:pPr>
          </w:p>
        </w:tc>
      </w:tr>
      <w:tr w14:paraId="57697C7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7C1BA0E">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00E5D3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4127C2B">
            <w:pPr>
              <w:jc w:val="center"/>
              <w:rPr>
                <w:rFonts w:hint="default" w:ascii="微软雅黑" w:hAnsi="微软雅黑" w:eastAsia="微软雅黑" w:cs="微软雅黑"/>
                <w:i/>
                <w:iCs/>
                <w:color w:val="000000"/>
                <w:sz w:val="16"/>
                <w:szCs w:val="16"/>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14DA3F3">
            <w:pPr>
              <w:jc w:val="center"/>
              <w:rPr>
                <w:rFonts w:hint="default" w:ascii="微软雅黑" w:hAnsi="微软雅黑" w:eastAsia="微软雅黑" w:cs="微软雅黑"/>
                <w:i/>
                <w:iCs/>
                <w:color w:val="000000"/>
                <w:sz w:val="16"/>
                <w:szCs w:val="16"/>
                <w:u w:val="none"/>
              </w:rPr>
            </w:pP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5C425E4">
            <w:pPr>
              <w:jc w:val="center"/>
              <w:rPr>
                <w:rFonts w:hint="default" w:ascii="微软雅黑" w:hAnsi="微软雅黑" w:eastAsia="微软雅黑" w:cs="微软雅黑"/>
                <w:i/>
                <w:iCs/>
                <w:color w:val="000000"/>
                <w:sz w:val="16"/>
                <w:szCs w:val="16"/>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AA67135">
            <w:pPr>
              <w:jc w:val="center"/>
              <w:rPr>
                <w:rFonts w:hint="default" w:ascii="微软雅黑" w:hAnsi="微软雅黑" w:eastAsia="微软雅黑" w:cs="微软雅黑"/>
                <w:i/>
                <w:iCs/>
                <w:color w:val="000000"/>
                <w:sz w:val="16"/>
                <w:szCs w:val="16"/>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359B1C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6FE42E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AD6EB7C">
            <w:pPr>
              <w:rPr>
                <w:rFonts w:hint="default" w:ascii="黑体" w:hAnsi="黑体" w:eastAsia="黑体" w:cs="黑体"/>
                <w:i/>
                <w:iCs/>
                <w:color w:val="000000"/>
                <w:sz w:val="18"/>
                <w:szCs w:val="18"/>
                <w:u w:val="none"/>
              </w:rPr>
            </w:pPr>
          </w:p>
        </w:tc>
      </w:tr>
      <w:tr w14:paraId="567163C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4A357C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21107B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5237CC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5E30EC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0B05EF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89B3DE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218221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A4028F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AB03B2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2774EF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BD241A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14:paraId="1187979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37E120C">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0D5C2B">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产出指标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9FC8A5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质量指标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51AAA9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验收合格率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F18E8C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4A662A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410455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E43F4F8">
            <w:pPr>
              <w:keepNext w:val="0"/>
              <w:keepLines w:val="0"/>
              <w:widowControl/>
              <w:suppressLineNumbers w:val="0"/>
              <w:jc w:val="center"/>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100%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B9AA38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978681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0E77BC0">
            <w:pPr>
              <w:jc w:val="center"/>
              <w:rPr>
                <w:rFonts w:hint="eastAsia" w:ascii="宋体" w:hAnsi="宋体" w:eastAsia="宋体" w:cs="宋体"/>
                <w:i w:val="0"/>
                <w:iCs w:val="0"/>
                <w:color w:val="000000"/>
                <w:sz w:val="18"/>
                <w:szCs w:val="18"/>
                <w:u w:val="none"/>
              </w:rPr>
            </w:pPr>
          </w:p>
        </w:tc>
      </w:tr>
      <w:tr w14:paraId="6A421D0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44A15C3">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F164B8">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产出指标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F54862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时效指标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008646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项目完成时限</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AEC669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7DB599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C74441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年</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7AC90F0">
            <w:pPr>
              <w:keepNext w:val="0"/>
              <w:keepLines w:val="0"/>
              <w:widowControl/>
              <w:suppressLineNumbers w:val="0"/>
              <w:jc w:val="center"/>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100%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7C97D2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850ACD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10C3037">
            <w:pPr>
              <w:jc w:val="center"/>
              <w:rPr>
                <w:rFonts w:hint="eastAsia" w:ascii="宋体" w:hAnsi="宋体" w:eastAsia="宋体" w:cs="宋体"/>
                <w:i w:val="0"/>
                <w:iCs w:val="0"/>
                <w:color w:val="000000"/>
                <w:sz w:val="18"/>
                <w:szCs w:val="18"/>
                <w:u w:val="none"/>
              </w:rPr>
            </w:pPr>
          </w:p>
        </w:tc>
      </w:tr>
      <w:tr w14:paraId="06A6E67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6C0F9EC">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9E86BD">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产出指标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3B34CD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数量指标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10036D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老年养护院建成数</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F43361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088A35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1C383A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个</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BD369A1">
            <w:pPr>
              <w:keepNext w:val="0"/>
              <w:keepLines w:val="0"/>
              <w:widowControl/>
              <w:suppressLineNumbers w:val="0"/>
              <w:jc w:val="center"/>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100%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1F8D99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FC582A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43B6F3B">
            <w:pPr>
              <w:jc w:val="center"/>
              <w:rPr>
                <w:rFonts w:hint="eastAsia" w:ascii="宋体" w:hAnsi="宋体" w:eastAsia="宋体" w:cs="宋体"/>
                <w:i w:val="0"/>
                <w:iCs w:val="0"/>
                <w:color w:val="000000"/>
                <w:sz w:val="18"/>
                <w:szCs w:val="18"/>
                <w:u w:val="none"/>
              </w:rPr>
            </w:pPr>
          </w:p>
        </w:tc>
      </w:tr>
      <w:tr w14:paraId="0084B1B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72D3AAE">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052911">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效益指标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CADE0D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社会效益指标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8E9879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就业机会有效增加率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5FF980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ABFA51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80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A86C74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EAF7479">
            <w:pPr>
              <w:keepNext w:val="0"/>
              <w:keepLines w:val="0"/>
              <w:widowControl/>
              <w:suppressLineNumbers w:val="0"/>
              <w:jc w:val="center"/>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100%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6D321A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D99858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48E7D7C">
            <w:pPr>
              <w:jc w:val="center"/>
              <w:rPr>
                <w:rFonts w:hint="eastAsia" w:ascii="宋体" w:hAnsi="宋体" w:eastAsia="宋体" w:cs="宋体"/>
                <w:i w:val="0"/>
                <w:iCs w:val="0"/>
                <w:color w:val="000000"/>
                <w:sz w:val="18"/>
                <w:szCs w:val="18"/>
                <w:u w:val="none"/>
              </w:rPr>
            </w:pPr>
          </w:p>
        </w:tc>
      </w:tr>
      <w:tr w14:paraId="3A0ACA4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76357CF">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5013E2">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效益指标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3BC17E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经济效益指标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1FCE07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拉动老年养护院周边经济发展</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14879F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定性</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AF1F16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良</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03B8453">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CEAB34A">
            <w:pPr>
              <w:keepNext w:val="0"/>
              <w:keepLines w:val="0"/>
              <w:widowControl/>
              <w:suppressLineNumbers w:val="0"/>
              <w:jc w:val="center"/>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100%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017F45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542FCB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0DEBC42">
            <w:pPr>
              <w:jc w:val="center"/>
              <w:rPr>
                <w:rFonts w:hint="eastAsia" w:ascii="宋体" w:hAnsi="宋体" w:eastAsia="宋体" w:cs="宋体"/>
                <w:i w:val="0"/>
                <w:iCs w:val="0"/>
                <w:color w:val="000000"/>
                <w:sz w:val="18"/>
                <w:szCs w:val="18"/>
                <w:u w:val="none"/>
              </w:rPr>
            </w:pPr>
          </w:p>
        </w:tc>
      </w:tr>
      <w:tr w14:paraId="50D6CCD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A560CC3">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40D6AC">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满意度指标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3C4A6B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满意度指标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B0158B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阿坝州老年群体满意度</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0BE874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7D1D25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85</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DB2A57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065A217">
            <w:pPr>
              <w:keepNext w:val="0"/>
              <w:keepLines w:val="0"/>
              <w:widowControl/>
              <w:suppressLineNumbers w:val="0"/>
              <w:jc w:val="center"/>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85%</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B8615A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818281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1DC3E51">
            <w:pPr>
              <w:jc w:val="center"/>
              <w:rPr>
                <w:rFonts w:hint="eastAsia" w:ascii="宋体" w:hAnsi="宋体" w:eastAsia="宋体" w:cs="宋体"/>
                <w:i w:val="0"/>
                <w:iCs w:val="0"/>
                <w:color w:val="000000"/>
                <w:sz w:val="18"/>
                <w:szCs w:val="18"/>
                <w:u w:val="none"/>
              </w:rPr>
            </w:pPr>
          </w:p>
        </w:tc>
      </w:tr>
      <w:tr w14:paraId="19AE960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5B070DB">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2D5714">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成本指标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86BE50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经济成本指标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724E6A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项目前期经费</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31DCA5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20E882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65</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0A3478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万元</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AC078D6">
            <w:pPr>
              <w:keepNext w:val="0"/>
              <w:keepLines w:val="0"/>
              <w:widowControl/>
              <w:suppressLineNumbers w:val="0"/>
              <w:jc w:val="center"/>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100%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DD72C9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5B6BD9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18</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F98B926">
            <w:pPr>
              <w:jc w:val="center"/>
              <w:rPr>
                <w:rFonts w:hint="default" w:ascii="微软雅黑" w:hAnsi="微软雅黑" w:eastAsia="微软雅黑" w:cs="微软雅黑"/>
                <w:i/>
                <w:iCs/>
                <w:color w:val="000000"/>
                <w:sz w:val="16"/>
                <w:szCs w:val="16"/>
                <w:u w:val="none"/>
              </w:rPr>
            </w:pPr>
          </w:p>
        </w:tc>
      </w:tr>
      <w:tr w14:paraId="33A1CF8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0" w:type="auto"/>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0104FB2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B370A6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A32FD9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98</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A682A2E">
            <w:pPr>
              <w:rPr>
                <w:rFonts w:hint="eastAsia" w:ascii="宋体" w:hAnsi="宋体" w:eastAsia="宋体" w:cs="宋体"/>
                <w:i w:val="0"/>
                <w:iCs w:val="0"/>
                <w:color w:val="000000"/>
                <w:sz w:val="18"/>
                <w:szCs w:val="18"/>
                <w:u w:val="none"/>
              </w:rPr>
            </w:pPr>
          </w:p>
        </w:tc>
      </w:tr>
      <w:tr w14:paraId="38392B1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81F24B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0" w:type="auto"/>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372ABE72">
            <w:pPr>
              <w:keepNext w:val="0"/>
              <w:keepLines w:val="0"/>
              <w:widowControl/>
              <w:suppressLineNumbers w:val="0"/>
              <w:jc w:val="left"/>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开展“阿坝州区域性老年养护院”建设项目的可行性研究的制定和评审工作</w:t>
            </w:r>
          </w:p>
        </w:tc>
      </w:tr>
      <w:tr w14:paraId="29382BF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20A63C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0" w:type="auto"/>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229B6C53">
            <w:pPr>
              <w:keepNext w:val="0"/>
              <w:keepLines w:val="0"/>
              <w:widowControl/>
              <w:suppressLineNumbers w:val="0"/>
              <w:jc w:val="left"/>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无</w:t>
            </w:r>
          </w:p>
        </w:tc>
      </w:tr>
      <w:tr w14:paraId="2CC92B8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E9905A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0" w:type="auto"/>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503673D9">
            <w:pPr>
              <w:keepNext w:val="0"/>
              <w:keepLines w:val="0"/>
              <w:widowControl/>
              <w:suppressLineNumbers w:val="0"/>
              <w:jc w:val="left"/>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无</w:t>
            </w:r>
          </w:p>
        </w:tc>
      </w:tr>
      <w:tr w14:paraId="40A91DC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0" w:type="auto"/>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BC77D49">
            <w:pPr>
              <w:keepNext w:val="0"/>
              <w:keepLines w:val="0"/>
              <w:widowControl/>
              <w:suppressLineNumbers w:val="0"/>
              <w:jc w:val="left"/>
              <w:textAlignment w:val="center"/>
              <w:rPr>
                <w:rFonts w:hint="default" w:ascii="黑体" w:hAnsi="黑体" w:eastAsia="黑体" w:cs="黑体"/>
                <w:i w:val="0"/>
                <w:iCs w:val="0"/>
                <w:color w:val="000000"/>
                <w:sz w:val="18"/>
                <w:szCs w:val="18"/>
                <w:u w:val="none"/>
              </w:rPr>
            </w:pPr>
            <w:r>
              <w:rPr>
                <w:rFonts w:hint="default" w:ascii="黑体" w:hAnsi="黑体" w:eastAsia="黑体" w:cs="黑体"/>
                <w:i w:val="0"/>
                <w:iCs w:val="0"/>
                <w:color w:val="000000"/>
                <w:kern w:val="0"/>
                <w:sz w:val="18"/>
                <w:szCs w:val="18"/>
                <w:u w:val="none"/>
                <w:lang w:val="en-US" w:eastAsia="zh-CN" w:bidi="ar"/>
              </w:rPr>
              <w:t>项目负责人：彭闰</w:t>
            </w:r>
          </w:p>
        </w:tc>
        <w:tc>
          <w:tcPr>
            <w:tcW w:w="0" w:type="auto"/>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08DF85EC">
            <w:pPr>
              <w:keepNext w:val="0"/>
              <w:keepLines w:val="0"/>
              <w:widowControl/>
              <w:suppressLineNumbers w:val="0"/>
              <w:jc w:val="center"/>
              <w:textAlignment w:val="center"/>
              <w:rPr>
                <w:rFonts w:hint="default" w:ascii="黑体" w:hAnsi="黑体" w:eastAsia="黑体" w:cs="黑体"/>
                <w:i w:val="0"/>
                <w:iCs w:val="0"/>
                <w:color w:val="000000"/>
                <w:sz w:val="18"/>
                <w:szCs w:val="18"/>
                <w:u w:val="none"/>
              </w:rPr>
            </w:pPr>
            <w:r>
              <w:rPr>
                <w:rFonts w:hint="default" w:ascii="黑体" w:hAnsi="黑体" w:eastAsia="黑体" w:cs="黑体"/>
                <w:i w:val="0"/>
                <w:iCs w:val="0"/>
                <w:color w:val="000000"/>
                <w:kern w:val="0"/>
                <w:sz w:val="18"/>
                <w:szCs w:val="18"/>
                <w:u w:val="none"/>
                <w:lang w:val="en-US" w:eastAsia="zh-CN" w:bidi="ar"/>
              </w:rPr>
              <w:t>财务负责人：杨琴琴</w:t>
            </w:r>
          </w:p>
        </w:tc>
      </w:tr>
    </w:tbl>
    <w:p w14:paraId="46F700FC">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kern w:val="0"/>
          <w:position w:val="0"/>
          <w:sz w:val="32"/>
          <w:szCs w:val="32"/>
          <w:highlight w:val="none"/>
          <w:lang w:val="en-US" w:eastAsia="zh-CN" w:bidi="ar-SA"/>
        </w:rPr>
      </w:pPr>
    </w:p>
    <w:p w14:paraId="24CD3E22">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kern w:val="0"/>
          <w:position w:val="0"/>
          <w:sz w:val="32"/>
          <w:szCs w:val="32"/>
          <w:highlight w:val="none"/>
          <w:lang w:val="en-US" w:eastAsia="zh-CN" w:bidi="ar-SA"/>
        </w:rPr>
      </w:pPr>
    </w:p>
    <w:p w14:paraId="7E5E0B04">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kern w:val="0"/>
          <w:position w:val="0"/>
          <w:sz w:val="32"/>
          <w:szCs w:val="32"/>
          <w:highlight w:val="none"/>
          <w:lang w:val="en-US" w:eastAsia="zh-CN" w:bidi="ar-SA"/>
        </w:rPr>
      </w:pPr>
      <w:bookmarkStart w:id="64" w:name="_Toc15396618"/>
      <w:r>
        <w:rPr>
          <w:rFonts w:hint="eastAsia" w:ascii="Times New Roman" w:hAnsi="Times New Roman" w:eastAsia="仿宋_GB2312" w:cs="仿宋_GB2312"/>
          <w:b w:val="0"/>
          <w:bCs w:val="0"/>
          <w:kern w:val="0"/>
          <w:position w:val="0"/>
          <w:sz w:val="32"/>
          <w:szCs w:val="32"/>
          <w:highlight w:val="none"/>
          <w:lang w:val="en-US" w:eastAsia="zh-CN" w:bidi="ar-SA"/>
        </w:rPr>
        <w:br w:type="page"/>
      </w:r>
    </w:p>
    <w:p w14:paraId="0616A826">
      <w:pPr>
        <w:numPr>
          <w:ilvl w:val="0"/>
          <w:numId w:val="0"/>
        </w:numPr>
        <w:spacing w:line="600" w:lineRule="exact"/>
        <w:jc w:val="center"/>
        <w:outlineLvl w:val="0"/>
        <w:rPr>
          <w:rFonts w:hint="eastAsia" w:ascii="Times New Roman" w:hAnsi="Times New Roman" w:eastAsia="方正小标宋简体" w:cs="方正小标宋简体"/>
          <w:b w:val="0"/>
          <w:bCs/>
          <w:color w:val="000000" w:themeColor="text1"/>
          <w:kern w:val="44"/>
          <w:sz w:val="44"/>
          <w:szCs w:val="44"/>
          <w:highlight w:val="none"/>
          <w:lang w:eastAsia="zh-CN" w:bidi="ar-SA"/>
          <w14:textFill>
            <w14:solidFill>
              <w14:schemeClr w14:val="tx1"/>
            </w14:solidFill>
          </w14:textFill>
        </w:rPr>
      </w:pPr>
      <w:bookmarkStart w:id="65" w:name="_Toc1162307170"/>
      <w:r>
        <w:rPr>
          <w:rFonts w:hint="eastAsia" w:ascii="Times New Roman" w:hAnsi="Times New Roman" w:eastAsia="方正小标宋简体" w:cs="方正小标宋简体"/>
          <w:b w:val="0"/>
          <w:bCs/>
          <w:color w:val="000000" w:themeColor="text1"/>
          <w:kern w:val="44"/>
          <w:sz w:val="44"/>
          <w:szCs w:val="44"/>
          <w:highlight w:val="none"/>
          <w:lang w:eastAsia="zh-CN" w:bidi="ar-SA"/>
          <w14:textFill>
            <w14:solidFill>
              <w14:schemeClr w14:val="tx1"/>
            </w14:solidFill>
          </w14:textFill>
        </w:rPr>
        <w:t>第五部分 附表</w:t>
      </w:r>
      <w:bookmarkEnd w:id="63"/>
      <w:bookmarkEnd w:id="64"/>
      <w:bookmarkEnd w:id="65"/>
      <w:bookmarkStart w:id="66" w:name="_Toc15396619"/>
    </w:p>
    <w:p w14:paraId="3E45B111">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p>
    <w:bookmarkEnd w:id="66"/>
    <w:p w14:paraId="084B8A75">
      <w:pPr>
        <w:rPr>
          <w:rFonts w:hint="default" w:ascii="Times New Roman" w:hAnsi="Times New Roman" w:eastAsia="仿宋_GB2312" w:cs="仿宋_GB2312"/>
          <w:color w:val="auto"/>
          <w:kern w:val="2"/>
          <w:sz w:val="32"/>
          <w:szCs w:val="32"/>
          <w:highlight w:val="none"/>
          <w:lang w:eastAsia="zh-CN" w:bidi="ar-SA"/>
        </w:rPr>
      </w:pPr>
      <w:r>
        <w:rPr>
          <w:rFonts w:hint="eastAsia" w:ascii="Times New Roman" w:hAnsi="Times New Roman" w:eastAsia="仿宋_GB2312" w:cs="仿宋_GB2312"/>
          <w:color w:val="auto"/>
          <w:kern w:val="2"/>
          <w:sz w:val="32"/>
          <w:szCs w:val="32"/>
          <w:highlight w:val="none"/>
          <w:lang w:val="en-US" w:eastAsia="zh-CN" w:bidi="ar-SA"/>
        </w:rPr>
        <w:t>一、收入支出决算总表</w:t>
      </w:r>
      <w:r>
        <w:rPr>
          <w:rFonts w:hint="default" w:ascii="Times New Roman" w:hAnsi="Times New Roman" w:eastAsia="仿宋_GB2312" w:cs="仿宋_GB2312"/>
          <w:color w:val="auto"/>
          <w:kern w:val="2"/>
          <w:sz w:val="32"/>
          <w:szCs w:val="32"/>
          <w:highlight w:val="none"/>
          <w:lang w:eastAsia="zh-CN" w:bidi="ar-SA"/>
        </w:rPr>
        <w:t>（见附件）</w:t>
      </w:r>
    </w:p>
    <w:p w14:paraId="57A00315">
      <w:pPr>
        <w:rPr>
          <w:rFonts w:hint="eastAsia" w:ascii="Times New Roman" w:hAnsi="Times New Roman" w:eastAsia="仿宋_GB2312" w:cs="仿宋_GB2312"/>
          <w:color w:val="auto"/>
          <w:kern w:val="2"/>
          <w:sz w:val="32"/>
          <w:szCs w:val="32"/>
          <w:highlight w:val="none"/>
          <w:lang w:val="en-US" w:eastAsia="zh-CN" w:bidi="ar-SA"/>
        </w:rPr>
      </w:pPr>
      <w:bookmarkStart w:id="67" w:name="_Toc15396620"/>
      <w:r>
        <w:rPr>
          <w:rFonts w:hint="eastAsia" w:ascii="Times New Roman" w:hAnsi="Times New Roman" w:eastAsia="仿宋_GB2312" w:cs="仿宋_GB2312"/>
          <w:color w:val="auto"/>
          <w:kern w:val="2"/>
          <w:sz w:val="32"/>
          <w:szCs w:val="32"/>
          <w:highlight w:val="none"/>
          <w:lang w:val="en-US" w:eastAsia="zh-CN" w:bidi="ar-SA"/>
        </w:rPr>
        <w:t>二、收入决算表</w:t>
      </w:r>
      <w:bookmarkEnd w:id="67"/>
      <w:r>
        <w:rPr>
          <w:rFonts w:hint="default" w:ascii="Times New Roman" w:hAnsi="Times New Roman" w:eastAsia="仿宋_GB2312" w:cs="仿宋_GB2312"/>
          <w:color w:val="auto"/>
          <w:kern w:val="2"/>
          <w:sz w:val="32"/>
          <w:szCs w:val="32"/>
          <w:highlight w:val="none"/>
          <w:lang w:val="en-US" w:eastAsia="zh-CN" w:bidi="ar-SA"/>
        </w:rPr>
        <w:t>（见附件）</w:t>
      </w:r>
    </w:p>
    <w:p w14:paraId="34817FDB">
      <w:pPr>
        <w:rPr>
          <w:rFonts w:hint="eastAsia" w:ascii="Times New Roman" w:hAnsi="Times New Roman" w:eastAsia="仿宋_GB2312" w:cs="仿宋_GB2312"/>
          <w:color w:val="auto"/>
          <w:kern w:val="2"/>
          <w:sz w:val="32"/>
          <w:szCs w:val="32"/>
          <w:highlight w:val="none"/>
          <w:lang w:val="en-US" w:eastAsia="zh-CN" w:bidi="ar-SA"/>
        </w:rPr>
      </w:pPr>
      <w:bookmarkStart w:id="68" w:name="_Toc15396621"/>
      <w:r>
        <w:rPr>
          <w:rFonts w:hint="eastAsia" w:ascii="Times New Roman" w:hAnsi="Times New Roman" w:eastAsia="仿宋_GB2312" w:cs="仿宋_GB2312"/>
          <w:color w:val="auto"/>
          <w:kern w:val="2"/>
          <w:sz w:val="32"/>
          <w:szCs w:val="32"/>
          <w:highlight w:val="none"/>
          <w:lang w:val="en-US" w:eastAsia="zh-CN" w:bidi="ar-SA"/>
        </w:rPr>
        <w:t>三、支出决算表</w:t>
      </w:r>
      <w:bookmarkEnd w:id="68"/>
      <w:r>
        <w:rPr>
          <w:rFonts w:hint="default" w:ascii="Times New Roman" w:hAnsi="Times New Roman" w:eastAsia="仿宋_GB2312" w:cs="仿宋_GB2312"/>
          <w:color w:val="auto"/>
          <w:kern w:val="2"/>
          <w:sz w:val="32"/>
          <w:szCs w:val="32"/>
          <w:highlight w:val="none"/>
          <w:lang w:val="en-US" w:eastAsia="zh-CN" w:bidi="ar-SA"/>
        </w:rPr>
        <w:t>（见附件）</w:t>
      </w:r>
    </w:p>
    <w:p w14:paraId="062BE412">
      <w:pPr>
        <w:rPr>
          <w:rFonts w:hint="eastAsia" w:ascii="Times New Roman" w:hAnsi="Times New Roman" w:eastAsia="仿宋_GB2312" w:cs="仿宋_GB2312"/>
          <w:color w:val="auto"/>
          <w:kern w:val="2"/>
          <w:sz w:val="32"/>
          <w:szCs w:val="32"/>
          <w:highlight w:val="none"/>
          <w:lang w:val="en-US" w:eastAsia="zh-CN" w:bidi="ar-SA"/>
        </w:rPr>
      </w:pPr>
      <w:bookmarkStart w:id="69" w:name="_Toc15396622"/>
      <w:r>
        <w:rPr>
          <w:rFonts w:hint="eastAsia" w:ascii="Times New Roman" w:hAnsi="Times New Roman" w:eastAsia="仿宋_GB2312" w:cs="仿宋_GB2312"/>
          <w:color w:val="auto"/>
          <w:kern w:val="2"/>
          <w:sz w:val="32"/>
          <w:szCs w:val="32"/>
          <w:highlight w:val="none"/>
          <w:lang w:val="en-US" w:eastAsia="zh-CN" w:bidi="ar-SA"/>
        </w:rPr>
        <w:t>四、财政拨款收入支出决算总表</w:t>
      </w:r>
      <w:bookmarkEnd w:id="69"/>
      <w:r>
        <w:rPr>
          <w:rFonts w:hint="default" w:ascii="Times New Roman" w:hAnsi="Times New Roman" w:eastAsia="仿宋_GB2312" w:cs="仿宋_GB2312"/>
          <w:color w:val="auto"/>
          <w:kern w:val="2"/>
          <w:sz w:val="32"/>
          <w:szCs w:val="32"/>
          <w:highlight w:val="none"/>
          <w:lang w:val="en-US" w:eastAsia="zh-CN" w:bidi="ar-SA"/>
        </w:rPr>
        <w:t>（见附件）</w:t>
      </w:r>
    </w:p>
    <w:p w14:paraId="4679F993">
      <w:pPr>
        <w:rPr>
          <w:rFonts w:hint="eastAsia" w:ascii="Times New Roman" w:hAnsi="Times New Roman" w:eastAsia="仿宋_GB2312" w:cs="仿宋_GB2312"/>
          <w:color w:val="auto"/>
          <w:kern w:val="2"/>
          <w:sz w:val="32"/>
          <w:szCs w:val="32"/>
          <w:highlight w:val="none"/>
          <w:lang w:val="en-US" w:eastAsia="zh-CN" w:bidi="ar-SA"/>
        </w:rPr>
      </w:pPr>
      <w:bookmarkStart w:id="70" w:name="_Toc15396623"/>
      <w:r>
        <w:rPr>
          <w:rFonts w:hint="eastAsia" w:ascii="Times New Roman" w:hAnsi="Times New Roman" w:eastAsia="仿宋_GB2312" w:cs="仿宋_GB2312"/>
          <w:color w:val="auto"/>
          <w:kern w:val="2"/>
          <w:sz w:val="32"/>
          <w:szCs w:val="32"/>
          <w:highlight w:val="none"/>
          <w:lang w:val="en-US" w:eastAsia="zh-CN" w:bidi="ar-SA"/>
        </w:rPr>
        <w:t>五、财政拨款支出决算明细表</w:t>
      </w:r>
      <w:bookmarkEnd w:id="70"/>
      <w:bookmarkStart w:id="71" w:name="_Toc15396624"/>
      <w:r>
        <w:rPr>
          <w:rFonts w:hint="default" w:ascii="Times New Roman" w:hAnsi="Times New Roman" w:eastAsia="仿宋_GB2312" w:cs="仿宋_GB2312"/>
          <w:color w:val="auto"/>
          <w:kern w:val="2"/>
          <w:sz w:val="32"/>
          <w:szCs w:val="32"/>
          <w:highlight w:val="none"/>
          <w:lang w:val="en-US" w:eastAsia="zh-CN" w:bidi="ar-SA"/>
        </w:rPr>
        <w:t>（见附件）</w:t>
      </w:r>
    </w:p>
    <w:p w14:paraId="22A096AA">
      <w:pPr>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六、一般公共预算财政拨款支出决算表</w:t>
      </w:r>
      <w:bookmarkEnd w:id="71"/>
      <w:r>
        <w:rPr>
          <w:rFonts w:hint="default" w:ascii="Times New Roman" w:hAnsi="Times New Roman" w:eastAsia="仿宋_GB2312" w:cs="仿宋_GB2312"/>
          <w:color w:val="auto"/>
          <w:kern w:val="2"/>
          <w:sz w:val="32"/>
          <w:szCs w:val="32"/>
          <w:highlight w:val="none"/>
          <w:lang w:val="en-US" w:eastAsia="zh-CN" w:bidi="ar-SA"/>
        </w:rPr>
        <w:t>（见附件）</w:t>
      </w:r>
    </w:p>
    <w:p w14:paraId="0BB94163">
      <w:pPr>
        <w:rPr>
          <w:rFonts w:hint="eastAsia" w:ascii="Times New Roman" w:hAnsi="Times New Roman" w:eastAsia="仿宋_GB2312" w:cs="仿宋_GB2312"/>
          <w:color w:val="auto"/>
          <w:kern w:val="2"/>
          <w:sz w:val="32"/>
          <w:szCs w:val="32"/>
          <w:highlight w:val="none"/>
          <w:lang w:val="en-US" w:eastAsia="zh-CN" w:bidi="ar-SA"/>
        </w:rPr>
      </w:pPr>
      <w:bookmarkStart w:id="72" w:name="_Toc15396625"/>
      <w:r>
        <w:rPr>
          <w:rFonts w:hint="eastAsia" w:ascii="Times New Roman" w:hAnsi="Times New Roman" w:eastAsia="仿宋_GB2312" w:cs="仿宋_GB2312"/>
          <w:color w:val="auto"/>
          <w:kern w:val="2"/>
          <w:sz w:val="32"/>
          <w:szCs w:val="32"/>
          <w:highlight w:val="none"/>
          <w:lang w:val="en-US" w:eastAsia="zh-CN" w:bidi="ar-SA"/>
        </w:rPr>
        <w:t>七、一般公共预算财政拨款支出决算明细表</w:t>
      </w:r>
      <w:bookmarkEnd w:id="72"/>
      <w:r>
        <w:rPr>
          <w:rFonts w:hint="default" w:ascii="Times New Roman" w:hAnsi="Times New Roman" w:eastAsia="仿宋_GB2312" w:cs="仿宋_GB2312"/>
          <w:color w:val="auto"/>
          <w:kern w:val="2"/>
          <w:sz w:val="32"/>
          <w:szCs w:val="32"/>
          <w:highlight w:val="none"/>
          <w:lang w:val="en-US" w:eastAsia="zh-CN" w:bidi="ar-SA"/>
        </w:rPr>
        <w:t>（见附件）</w:t>
      </w:r>
    </w:p>
    <w:p w14:paraId="5906211B">
      <w:pPr>
        <w:rPr>
          <w:rFonts w:hint="eastAsia" w:ascii="Times New Roman" w:hAnsi="Times New Roman" w:eastAsia="仿宋_GB2312" w:cs="仿宋_GB2312"/>
          <w:color w:val="auto"/>
          <w:kern w:val="2"/>
          <w:sz w:val="32"/>
          <w:szCs w:val="32"/>
          <w:highlight w:val="none"/>
          <w:lang w:val="en-US" w:eastAsia="zh-CN" w:bidi="ar-SA"/>
        </w:rPr>
      </w:pPr>
      <w:bookmarkStart w:id="73" w:name="_Toc15396626"/>
      <w:r>
        <w:rPr>
          <w:rFonts w:hint="eastAsia" w:ascii="Times New Roman" w:hAnsi="Times New Roman" w:eastAsia="仿宋_GB2312" w:cs="仿宋_GB2312"/>
          <w:color w:val="auto"/>
          <w:kern w:val="2"/>
          <w:sz w:val="32"/>
          <w:szCs w:val="32"/>
          <w:highlight w:val="none"/>
          <w:lang w:val="en-US" w:eastAsia="zh-CN" w:bidi="ar-SA"/>
        </w:rPr>
        <w:t>八、一般公共预算财政拨款基本支出决算表</w:t>
      </w:r>
      <w:bookmarkEnd w:id="73"/>
      <w:r>
        <w:rPr>
          <w:rFonts w:hint="default" w:ascii="Times New Roman" w:hAnsi="Times New Roman" w:eastAsia="仿宋_GB2312" w:cs="仿宋_GB2312"/>
          <w:color w:val="auto"/>
          <w:kern w:val="2"/>
          <w:sz w:val="32"/>
          <w:szCs w:val="32"/>
          <w:highlight w:val="none"/>
          <w:lang w:val="en-US" w:eastAsia="zh-CN" w:bidi="ar-SA"/>
        </w:rPr>
        <w:t>（见附件）</w:t>
      </w:r>
    </w:p>
    <w:p w14:paraId="5AE3A3D8">
      <w:pPr>
        <w:rPr>
          <w:rFonts w:hint="eastAsia" w:ascii="Times New Roman" w:hAnsi="Times New Roman" w:eastAsia="仿宋_GB2312" w:cs="仿宋_GB2312"/>
          <w:color w:val="auto"/>
          <w:kern w:val="2"/>
          <w:sz w:val="32"/>
          <w:szCs w:val="32"/>
          <w:highlight w:val="none"/>
          <w:lang w:val="en-US" w:eastAsia="zh-CN" w:bidi="ar-SA"/>
        </w:rPr>
      </w:pPr>
      <w:bookmarkStart w:id="74" w:name="_Toc15396627"/>
      <w:r>
        <w:rPr>
          <w:rFonts w:hint="eastAsia" w:ascii="Times New Roman" w:hAnsi="Times New Roman" w:eastAsia="仿宋_GB2312" w:cs="仿宋_GB2312"/>
          <w:color w:val="auto"/>
          <w:kern w:val="2"/>
          <w:sz w:val="32"/>
          <w:szCs w:val="32"/>
          <w:highlight w:val="none"/>
          <w:lang w:val="en-US" w:eastAsia="zh-CN" w:bidi="ar-SA"/>
        </w:rPr>
        <w:t>九、一般公共预算财政拨款项目支出决算表</w:t>
      </w:r>
      <w:bookmarkEnd w:id="74"/>
      <w:r>
        <w:rPr>
          <w:rFonts w:hint="default" w:ascii="Times New Roman" w:hAnsi="Times New Roman" w:eastAsia="仿宋_GB2312" w:cs="仿宋_GB2312"/>
          <w:color w:val="auto"/>
          <w:kern w:val="2"/>
          <w:sz w:val="32"/>
          <w:szCs w:val="32"/>
          <w:highlight w:val="none"/>
          <w:lang w:val="en-US" w:eastAsia="zh-CN" w:bidi="ar-SA"/>
        </w:rPr>
        <w:t>（见附件）</w:t>
      </w:r>
    </w:p>
    <w:p w14:paraId="505AAFD8">
      <w:pPr>
        <w:rPr>
          <w:rFonts w:hint="eastAsia" w:ascii="Times New Roman" w:hAnsi="Times New Roman" w:eastAsia="仿宋_GB2312" w:cs="仿宋_GB2312"/>
          <w:color w:val="auto"/>
          <w:kern w:val="2"/>
          <w:sz w:val="32"/>
          <w:szCs w:val="32"/>
          <w:highlight w:val="none"/>
          <w:lang w:val="en-US" w:eastAsia="zh-CN" w:bidi="ar-SA"/>
        </w:rPr>
      </w:pPr>
      <w:bookmarkStart w:id="75" w:name="_Toc15396628"/>
      <w:r>
        <w:rPr>
          <w:rFonts w:hint="eastAsia" w:ascii="Times New Roman" w:hAnsi="Times New Roman" w:eastAsia="仿宋_GB2312" w:cs="仿宋_GB2312"/>
          <w:color w:val="auto"/>
          <w:kern w:val="2"/>
          <w:sz w:val="32"/>
          <w:szCs w:val="32"/>
          <w:highlight w:val="none"/>
          <w:lang w:val="en-US" w:eastAsia="zh-CN" w:bidi="ar-SA"/>
        </w:rPr>
        <w:t>十、</w:t>
      </w:r>
      <w:bookmarkEnd w:id="75"/>
      <w:r>
        <w:rPr>
          <w:rFonts w:hint="eastAsia" w:ascii="Times New Roman" w:hAnsi="Times New Roman" w:eastAsia="仿宋_GB2312" w:cs="仿宋_GB2312"/>
          <w:color w:val="auto"/>
          <w:kern w:val="2"/>
          <w:sz w:val="32"/>
          <w:szCs w:val="32"/>
          <w:highlight w:val="none"/>
          <w:lang w:val="en-US" w:eastAsia="zh-CN" w:bidi="ar-SA"/>
        </w:rPr>
        <w:t>政府性基金预算财政拨款收入支出决算表</w:t>
      </w:r>
      <w:r>
        <w:rPr>
          <w:rFonts w:hint="default" w:ascii="Times New Roman" w:hAnsi="Times New Roman" w:eastAsia="仿宋_GB2312" w:cs="仿宋_GB2312"/>
          <w:color w:val="auto"/>
          <w:kern w:val="2"/>
          <w:sz w:val="32"/>
          <w:szCs w:val="32"/>
          <w:highlight w:val="none"/>
          <w:lang w:val="en-US" w:eastAsia="zh-CN" w:bidi="ar-SA"/>
        </w:rPr>
        <w:t>（见附件）</w:t>
      </w:r>
    </w:p>
    <w:p w14:paraId="181F5893">
      <w:pPr>
        <w:rPr>
          <w:rFonts w:hint="eastAsia" w:ascii="Times New Roman" w:hAnsi="Times New Roman" w:eastAsia="仿宋_GB2312" w:cs="仿宋_GB2312"/>
          <w:color w:val="auto"/>
          <w:kern w:val="2"/>
          <w:sz w:val="32"/>
          <w:szCs w:val="32"/>
          <w:highlight w:val="none"/>
          <w:lang w:val="en-US" w:eastAsia="zh-CN" w:bidi="ar-SA"/>
        </w:rPr>
      </w:pPr>
      <w:bookmarkStart w:id="76" w:name="_Toc15396629"/>
      <w:r>
        <w:rPr>
          <w:rFonts w:hint="eastAsia" w:ascii="Times New Roman" w:hAnsi="Times New Roman" w:eastAsia="仿宋_GB2312" w:cs="仿宋_GB2312"/>
          <w:color w:val="auto"/>
          <w:kern w:val="2"/>
          <w:sz w:val="32"/>
          <w:szCs w:val="32"/>
          <w:highlight w:val="none"/>
          <w:lang w:val="en-US" w:eastAsia="zh-CN" w:bidi="ar-SA"/>
        </w:rPr>
        <w:t>十一、</w:t>
      </w:r>
      <w:bookmarkEnd w:id="76"/>
      <w:r>
        <w:rPr>
          <w:rFonts w:hint="eastAsia" w:ascii="Times New Roman" w:hAnsi="Times New Roman" w:eastAsia="仿宋_GB2312" w:cs="仿宋_GB2312"/>
          <w:color w:val="auto"/>
          <w:kern w:val="2"/>
          <w:sz w:val="32"/>
          <w:szCs w:val="32"/>
          <w:highlight w:val="none"/>
          <w:lang w:val="en-US" w:eastAsia="zh-CN" w:bidi="ar-SA"/>
        </w:rPr>
        <w:t>国有资本经营预算财政拨款收入支出决算表</w:t>
      </w:r>
      <w:r>
        <w:rPr>
          <w:rFonts w:hint="default" w:ascii="Times New Roman" w:hAnsi="Times New Roman" w:eastAsia="仿宋_GB2312" w:cs="仿宋_GB2312"/>
          <w:color w:val="auto"/>
          <w:kern w:val="2"/>
          <w:sz w:val="32"/>
          <w:szCs w:val="32"/>
          <w:highlight w:val="none"/>
          <w:lang w:val="en-US" w:eastAsia="zh-CN" w:bidi="ar-SA"/>
        </w:rPr>
        <w:t>（见附件）</w:t>
      </w:r>
    </w:p>
    <w:p w14:paraId="70CF3954">
      <w:pPr>
        <w:rPr>
          <w:rFonts w:hint="eastAsia" w:ascii="Times New Roman" w:hAnsi="Times New Roman" w:eastAsia="仿宋_GB2312" w:cs="仿宋_GB2312"/>
          <w:color w:val="auto"/>
          <w:kern w:val="2"/>
          <w:sz w:val="32"/>
          <w:szCs w:val="32"/>
          <w:highlight w:val="none"/>
          <w:lang w:val="en-US" w:eastAsia="zh-CN" w:bidi="ar-SA"/>
        </w:rPr>
      </w:pPr>
      <w:bookmarkStart w:id="77" w:name="_Toc15396630"/>
      <w:r>
        <w:rPr>
          <w:rFonts w:hint="eastAsia" w:ascii="Times New Roman" w:hAnsi="Times New Roman" w:eastAsia="仿宋_GB2312" w:cs="仿宋_GB2312"/>
          <w:color w:val="auto"/>
          <w:kern w:val="2"/>
          <w:sz w:val="32"/>
          <w:szCs w:val="32"/>
          <w:highlight w:val="none"/>
          <w:lang w:val="en-US" w:eastAsia="zh-CN" w:bidi="ar-SA"/>
        </w:rPr>
        <w:t>十二、</w:t>
      </w:r>
      <w:bookmarkEnd w:id="77"/>
      <w:r>
        <w:rPr>
          <w:rFonts w:hint="eastAsia" w:ascii="Times New Roman" w:hAnsi="Times New Roman" w:eastAsia="仿宋_GB2312" w:cs="仿宋_GB2312"/>
          <w:color w:val="auto"/>
          <w:kern w:val="2"/>
          <w:sz w:val="32"/>
          <w:szCs w:val="32"/>
          <w:highlight w:val="none"/>
          <w:lang w:val="en-US" w:eastAsia="zh-CN" w:bidi="ar-SA"/>
        </w:rPr>
        <w:t>国有资本经营预算财政拨款支出决算表</w:t>
      </w:r>
      <w:r>
        <w:rPr>
          <w:rFonts w:hint="default" w:ascii="Times New Roman" w:hAnsi="Times New Roman" w:eastAsia="仿宋_GB2312" w:cs="仿宋_GB2312"/>
          <w:color w:val="auto"/>
          <w:kern w:val="2"/>
          <w:sz w:val="32"/>
          <w:szCs w:val="32"/>
          <w:highlight w:val="none"/>
          <w:lang w:val="en-US" w:eastAsia="zh-CN" w:bidi="ar-SA"/>
        </w:rPr>
        <w:t>（见附件）</w:t>
      </w:r>
    </w:p>
    <w:p w14:paraId="53382E41">
      <w:pPr>
        <w:rPr>
          <w:rFonts w:hint="eastAsia" w:ascii="Times New Roman" w:hAnsi="Times New Roman" w:eastAsia="仿宋_GB2312" w:cs="仿宋_GB2312"/>
          <w:color w:val="auto"/>
          <w:kern w:val="2"/>
          <w:sz w:val="32"/>
          <w:szCs w:val="32"/>
          <w:highlight w:val="none"/>
          <w:lang w:val="en-US" w:eastAsia="zh-CN" w:bidi="ar-SA"/>
        </w:rPr>
      </w:pPr>
      <w:bookmarkStart w:id="78" w:name="_Toc15396631"/>
      <w:r>
        <w:rPr>
          <w:rFonts w:hint="eastAsia" w:ascii="Times New Roman" w:hAnsi="Times New Roman" w:eastAsia="仿宋_GB2312" w:cs="仿宋_GB2312"/>
          <w:color w:val="auto"/>
          <w:kern w:val="2"/>
          <w:sz w:val="32"/>
          <w:szCs w:val="32"/>
          <w:highlight w:val="none"/>
          <w:lang w:val="en-US" w:eastAsia="zh-CN" w:bidi="ar-SA"/>
        </w:rPr>
        <w:t>十三、</w:t>
      </w:r>
      <w:bookmarkEnd w:id="78"/>
      <w:r>
        <w:rPr>
          <w:rFonts w:hint="eastAsia" w:ascii="Times New Roman" w:hAnsi="Times New Roman" w:eastAsia="仿宋_GB2312" w:cs="仿宋_GB2312"/>
          <w:color w:val="auto"/>
          <w:kern w:val="2"/>
          <w:sz w:val="32"/>
          <w:szCs w:val="32"/>
          <w:highlight w:val="none"/>
          <w:lang w:val="en-US" w:eastAsia="zh-CN" w:bidi="ar-SA"/>
        </w:rPr>
        <w:t>财政拨款“三公”经费支出决算表</w:t>
      </w:r>
      <w:r>
        <w:rPr>
          <w:rFonts w:hint="default" w:ascii="Times New Roman" w:hAnsi="Times New Roman" w:eastAsia="仿宋_GB2312" w:cs="仿宋_GB2312"/>
          <w:color w:val="auto"/>
          <w:kern w:val="2"/>
          <w:sz w:val="32"/>
          <w:szCs w:val="32"/>
          <w:highlight w:val="none"/>
          <w:lang w:val="en-US" w:eastAsia="zh-CN" w:bidi="ar-SA"/>
        </w:rPr>
        <w:t>（见附件）</w:t>
      </w:r>
    </w:p>
    <w:p w14:paraId="19D02A19">
      <w:pPr>
        <w:rPr>
          <w:rFonts w:hint="eastAsia" w:ascii="Times New Roman" w:hAnsi="Times New Roman"/>
          <w:lang w:eastAsia="zh-CN"/>
        </w:rPr>
      </w:pPr>
    </w:p>
    <w:sectPr>
      <w:footerReference r:id="rId7" w:type="default"/>
      <w:pgSz w:w="11906" w:h="16838"/>
      <w:pgMar w:top="1440" w:right="1800" w:bottom="1440" w:left="1800" w:header="851" w:footer="992" w:gutter="0"/>
      <w:pgNumType w:fmt="decimal"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5E797FF6-C888-4421-88C5-C7445377D8FB}"/>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仿宋_GB2312">
    <w:panose1 w:val="02010609030101010101"/>
    <w:charset w:val="86"/>
    <w:family w:val="modern"/>
    <w:pitch w:val="default"/>
    <w:sig w:usb0="00000001" w:usb1="080E0000" w:usb2="00000000" w:usb3="00000000" w:csb0="00040000" w:csb1="00000000"/>
    <w:embedRegular r:id="rId2" w:fontKey="{3524D823-4939-4192-98F2-D27172225F60}"/>
  </w:font>
  <w:font w:name="仿宋">
    <w:panose1 w:val="02010609060101010101"/>
    <w:charset w:val="86"/>
    <w:family w:val="modern"/>
    <w:pitch w:val="default"/>
    <w:sig w:usb0="800002BF" w:usb1="38CF7CFA" w:usb2="00000016" w:usb3="00000000" w:csb0="00040001" w:csb1="00000000"/>
    <w:embedRegular r:id="rId3" w:fontKey="{5F43DC8D-4E04-4980-85A5-142BB41591FF}"/>
  </w:font>
  <w:font w:name="??">
    <w:altName w:val="仿宋"/>
    <w:panose1 w:val="00000000000000000000"/>
    <w:charset w:val="00"/>
    <w:family w:val="roman"/>
    <w:pitch w:val="default"/>
    <w:sig w:usb0="00000000" w:usb1="00000000" w:usb2="00000000" w:usb3="00000000" w:csb0="00000000" w:csb1="00000000"/>
  </w:font>
  <w:font w:name="方正小标宋简体">
    <w:panose1 w:val="02010601030101010101"/>
    <w:charset w:val="86"/>
    <w:family w:val="script"/>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embedRegular r:id="rId4" w:fontKey="{312A440A-EDF0-46BF-A591-42CFABC56758}"/>
  </w:font>
  <w:font w:name="方正仿宋_GB2312">
    <w:panose1 w:val="02000000000000000000"/>
    <w:charset w:val="86"/>
    <w:family w:val="auto"/>
    <w:pitch w:val="default"/>
    <w:sig w:usb0="A00002BF" w:usb1="184F6CFA" w:usb2="00000012" w:usb3="00000000" w:csb0="00040001" w:csb1="00000000"/>
    <w:embedRegular r:id="rId5" w:fontKey="{4F7577CA-72B1-4777-827D-E149A01AB0E6}"/>
  </w:font>
  <w:font w:name="微软雅黑">
    <w:panose1 w:val="020B0503020204020204"/>
    <w:charset w:val="86"/>
    <w:family w:val="auto"/>
    <w:pitch w:val="default"/>
    <w:sig w:usb0="80000287" w:usb1="2ACF3C50" w:usb2="00000016" w:usb3="00000000" w:csb0="0004001F" w:csb1="00000000"/>
    <w:embedRegular r:id="rId6" w:fontKey="{03A14219-3D9A-40D0-A592-8D659968C285}"/>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173E87B">
    <w:pPr>
      <w:pStyle w:val="10"/>
      <w:jc w:val="center"/>
    </w:pPr>
  </w:p>
  <w:p w14:paraId="3F160FF4">
    <w:pPr>
      <w:pStyle w:val="1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4420F24">
    <w:pPr>
      <w:pStyle w:val="10"/>
      <w:jc w:val="center"/>
    </w:pPr>
  </w:p>
  <w:p w14:paraId="457AFBA0">
    <w:pPr>
      <w:pStyle w:val="1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ED9516C">
    <w:pPr>
      <w:pStyle w:val="10"/>
    </w:pPr>
    <w:r>
      <w:rPr>
        <w:sz w:val="18"/>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15" name="文本框 1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B804D42">
                          <w:pPr>
                            <w:pStyle w:val="10"/>
                          </w:pPr>
                          <w:r>
                            <w:fldChar w:fldCharType="begin"/>
                          </w:r>
                          <w:r>
                            <w:instrText xml:space="preserve"> PAGE  \* MERGEFORMAT </w:instrText>
                          </w:r>
                          <w:r>
                            <w:fldChar w:fldCharType="separate"/>
                          </w:r>
                          <w:r>
                            <w:t>- 1 -</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GGthHIzAgAAYwQAAA4AAAAAAAAAAQAgAAAAHwEAAGRycy9lMm9Eb2MueG1sUEsF&#10;BgAAAAAGAAYAWQEAAMQFAAAAAA==&#10;">
              <v:fill on="f" focussize="0,0"/>
              <v:stroke on="f" weight="0.5pt"/>
              <v:imagedata o:title=""/>
              <o:lock v:ext="edit" aspectratio="f"/>
              <v:textbox inset="0mm,0mm,0mm,0mm" style="mso-fit-shape-to-text:t;">
                <w:txbxContent>
                  <w:p w14:paraId="7B804D42">
                    <w:pPr>
                      <w:pStyle w:val="10"/>
                    </w:pPr>
                    <w:r>
                      <w:fldChar w:fldCharType="begin"/>
                    </w:r>
                    <w:r>
                      <w:instrText xml:space="preserve"> PAGE  \* MERGEFORMAT </w:instrText>
                    </w:r>
                    <w:r>
                      <w:fldChar w:fldCharType="separate"/>
                    </w:r>
                    <w:r>
                      <w:t>- 1 -</w:t>
                    </w:r>
                    <w: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209626A">
    <w:pPr>
      <w:pStyle w:val="10"/>
      <w:jc w:val="center"/>
    </w:pPr>
    <w:r>
      <w:rPr>
        <w:sz w:val="18"/>
      </w:rPr>
      <mc:AlternateContent>
        <mc:Choice Requires="wps">
          <w:drawing>
            <wp:anchor distT="0" distB="0" distL="114300" distR="114300" simplePos="0" relativeHeight="251664384" behindDoc="0" locked="0" layoutInCell="1" allowOverlap="1">
              <wp:simplePos x="0" y="0"/>
              <wp:positionH relativeFrom="margin">
                <wp:align>center</wp:align>
              </wp:positionH>
              <wp:positionV relativeFrom="paragraph">
                <wp:posOffset>0</wp:posOffset>
              </wp:positionV>
              <wp:extent cx="1828800" cy="1828800"/>
              <wp:effectExtent l="0" t="0" r="0" b="0"/>
              <wp:wrapNone/>
              <wp:docPr id="17" name="文本框 1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1071ABB">
                          <w:pPr>
                            <w:pStyle w:val="10"/>
                          </w:pPr>
                          <w:r>
                            <w:fldChar w:fldCharType="begin"/>
                          </w:r>
                          <w:r>
                            <w:instrText xml:space="preserve"> PAGE  \* MERGEFORMAT </w:instrText>
                          </w:r>
                          <w:r>
                            <w:fldChar w:fldCharType="separate"/>
                          </w:r>
                          <w:r>
                            <w:t>- 2 -</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438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T72nYyAgAAYwQAAA4AAABkcnMvZTJvRG9jLnhtbK1UzY7TMBC+I/EO&#10;lu80aRFL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pPvadjICAABjBAAADgAAAAAAAAABACAAAAAfAQAAZHJzL2Uyb0RvYy54bWxQSwUG&#10;AAAAAAYABgBZAQAAwwUAAAAA&#10;">
              <v:fill on="f" focussize="0,0"/>
              <v:stroke on="f" weight="0.5pt"/>
              <v:imagedata o:title=""/>
              <o:lock v:ext="edit" aspectratio="f"/>
              <v:textbox inset="0mm,0mm,0mm,0mm" style="mso-fit-shape-to-text:t;">
                <w:txbxContent>
                  <w:p w14:paraId="41071ABB">
                    <w:pPr>
                      <w:pStyle w:val="10"/>
                    </w:pPr>
                    <w:r>
                      <w:fldChar w:fldCharType="begin"/>
                    </w:r>
                    <w:r>
                      <w:instrText xml:space="preserve"> PAGE  \* MERGEFORMAT </w:instrText>
                    </w:r>
                    <w:r>
                      <w:fldChar w:fldCharType="separate"/>
                    </w:r>
                    <w:r>
                      <w:t>- 2 -</w:t>
                    </w:r>
                    <w:r>
                      <w:fldChar w:fldCharType="end"/>
                    </w:r>
                  </w:p>
                </w:txbxContent>
              </v:textbox>
            </v:shape>
          </w:pict>
        </mc:Fallback>
      </mc:AlternateContent>
    </w:r>
  </w:p>
  <w:p w14:paraId="147EED52">
    <w:pPr>
      <w:pStyle w:val="10"/>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36A4D2E">
    <w:pPr>
      <w:pStyle w:val="11"/>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6FE8523"/>
    <w:multiLevelType w:val="singleLevel"/>
    <w:tmpl w:val="F6FE8523"/>
    <w:lvl w:ilvl="0" w:tentative="0">
      <w:start w:val="1"/>
      <w:numFmt w:val="chineseCounting"/>
      <w:suff w:val="nothing"/>
      <w:lvlText w:val="%1、"/>
      <w:lvlJc w:val="left"/>
      <w:rPr>
        <w:rFonts w:hint="eastAsia"/>
      </w:rPr>
    </w:lvl>
  </w:abstractNum>
  <w:abstractNum w:abstractNumId="1">
    <w:nsid w:val="7FDED434"/>
    <w:multiLevelType w:val="singleLevel"/>
    <w:tmpl w:val="7FDED434"/>
    <w:lvl w:ilvl="0" w:tentative="0">
      <w:start w:val="1"/>
      <w:numFmt w:val="decimal"/>
      <w:lvlText w:val="%1."/>
      <w:lvlJc w:val="left"/>
      <w:pPr>
        <w:tabs>
          <w:tab w:val="left" w:pos="312"/>
        </w:tabs>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1361C"/>
    <w:rsid w:val="000222C6"/>
    <w:rsid w:val="0002549F"/>
    <w:rsid w:val="000468DB"/>
    <w:rsid w:val="0006487A"/>
    <w:rsid w:val="00065F8F"/>
    <w:rsid w:val="00070A43"/>
    <w:rsid w:val="000768F2"/>
    <w:rsid w:val="0009184B"/>
    <w:rsid w:val="00094236"/>
    <w:rsid w:val="0009593C"/>
    <w:rsid w:val="00097322"/>
    <w:rsid w:val="000A6A92"/>
    <w:rsid w:val="000B047F"/>
    <w:rsid w:val="000B5923"/>
    <w:rsid w:val="000B5A48"/>
    <w:rsid w:val="000B6FF3"/>
    <w:rsid w:val="000C3467"/>
    <w:rsid w:val="000C3CA6"/>
    <w:rsid w:val="000D1267"/>
    <w:rsid w:val="000D1D50"/>
    <w:rsid w:val="000D5782"/>
    <w:rsid w:val="000E6613"/>
    <w:rsid w:val="000E7119"/>
    <w:rsid w:val="00114E9B"/>
    <w:rsid w:val="00142216"/>
    <w:rsid w:val="00144D6A"/>
    <w:rsid w:val="0014729F"/>
    <w:rsid w:val="00157BAB"/>
    <w:rsid w:val="001654D1"/>
    <w:rsid w:val="00174518"/>
    <w:rsid w:val="0018106D"/>
    <w:rsid w:val="001877A7"/>
    <w:rsid w:val="00191536"/>
    <w:rsid w:val="00196687"/>
    <w:rsid w:val="001C0962"/>
    <w:rsid w:val="001D7531"/>
    <w:rsid w:val="001E737D"/>
    <w:rsid w:val="001F0592"/>
    <w:rsid w:val="001F7506"/>
    <w:rsid w:val="002006CD"/>
    <w:rsid w:val="00202B36"/>
    <w:rsid w:val="00204B7A"/>
    <w:rsid w:val="00204CDE"/>
    <w:rsid w:val="0021101A"/>
    <w:rsid w:val="00220536"/>
    <w:rsid w:val="00235629"/>
    <w:rsid w:val="00260C38"/>
    <w:rsid w:val="002616C0"/>
    <w:rsid w:val="00265372"/>
    <w:rsid w:val="002662AA"/>
    <w:rsid w:val="00280496"/>
    <w:rsid w:val="00294DC9"/>
    <w:rsid w:val="00295495"/>
    <w:rsid w:val="002A31DE"/>
    <w:rsid w:val="002B2613"/>
    <w:rsid w:val="002D6D05"/>
    <w:rsid w:val="002F1818"/>
    <w:rsid w:val="002F567B"/>
    <w:rsid w:val="003216A9"/>
    <w:rsid w:val="00335A74"/>
    <w:rsid w:val="0036561B"/>
    <w:rsid w:val="0037013F"/>
    <w:rsid w:val="00380C92"/>
    <w:rsid w:val="003A484F"/>
    <w:rsid w:val="003A4883"/>
    <w:rsid w:val="003B0BE0"/>
    <w:rsid w:val="003B0C1B"/>
    <w:rsid w:val="003B688C"/>
    <w:rsid w:val="003C0291"/>
    <w:rsid w:val="003C39AE"/>
    <w:rsid w:val="003C7B60"/>
    <w:rsid w:val="003D0C0F"/>
    <w:rsid w:val="003D1FB2"/>
    <w:rsid w:val="003D66DA"/>
    <w:rsid w:val="003E1310"/>
    <w:rsid w:val="003E6F55"/>
    <w:rsid w:val="00406254"/>
    <w:rsid w:val="004223DE"/>
    <w:rsid w:val="00434489"/>
    <w:rsid w:val="00437085"/>
    <w:rsid w:val="00443880"/>
    <w:rsid w:val="004464F4"/>
    <w:rsid w:val="00471401"/>
    <w:rsid w:val="00473F31"/>
    <w:rsid w:val="0048263A"/>
    <w:rsid w:val="00487E5D"/>
    <w:rsid w:val="004A711F"/>
    <w:rsid w:val="004B199D"/>
    <w:rsid w:val="004B4690"/>
    <w:rsid w:val="004E0A2D"/>
    <w:rsid w:val="004E206B"/>
    <w:rsid w:val="004E6DF7"/>
    <w:rsid w:val="004F0FBD"/>
    <w:rsid w:val="00505A47"/>
    <w:rsid w:val="00512FDA"/>
    <w:rsid w:val="00520DA0"/>
    <w:rsid w:val="005664BB"/>
    <w:rsid w:val="00566FFA"/>
    <w:rsid w:val="0057481D"/>
    <w:rsid w:val="0058486E"/>
    <w:rsid w:val="00585B33"/>
    <w:rsid w:val="0059014D"/>
    <w:rsid w:val="005B5C64"/>
    <w:rsid w:val="005C5337"/>
    <w:rsid w:val="005C6BD0"/>
    <w:rsid w:val="005D1C8B"/>
    <w:rsid w:val="005D468D"/>
    <w:rsid w:val="005D5CED"/>
    <w:rsid w:val="005F1A4C"/>
    <w:rsid w:val="00605688"/>
    <w:rsid w:val="006070AF"/>
    <w:rsid w:val="00607E6C"/>
    <w:rsid w:val="006101B1"/>
    <w:rsid w:val="00614E44"/>
    <w:rsid w:val="0062270A"/>
    <w:rsid w:val="00622830"/>
    <w:rsid w:val="00623DA0"/>
    <w:rsid w:val="00630AEF"/>
    <w:rsid w:val="006325F8"/>
    <w:rsid w:val="00633463"/>
    <w:rsid w:val="00634C9A"/>
    <w:rsid w:val="006440E4"/>
    <w:rsid w:val="0066343B"/>
    <w:rsid w:val="00664777"/>
    <w:rsid w:val="006748A4"/>
    <w:rsid w:val="00681A31"/>
    <w:rsid w:val="00683E73"/>
    <w:rsid w:val="006A3141"/>
    <w:rsid w:val="006A5E34"/>
    <w:rsid w:val="006B2422"/>
    <w:rsid w:val="006B2B9A"/>
    <w:rsid w:val="006C1937"/>
    <w:rsid w:val="006F020C"/>
    <w:rsid w:val="007127B7"/>
    <w:rsid w:val="0071798E"/>
    <w:rsid w:val="007416B6"/>
    <w:rsid w:val="00746F48"/>
    <w:rsid w:val="0075404D"/>
    <w:rsid w:val="0076182A"/>
    <w:rsid w:val="00767B7E"/>
    <w:rsid w:val="007770C3"/>
    <w:rsid w:val="00784D24"/>
    <w:rsid w:val="00785FBA"/>
    <w:rsid w:val="00786E4A"/>
    <w:rsid w:val="007875EB"/>
    <w:rsid w:val="0079426B"/>
    <w:rsid w:val="007D1682"/>
    <w:rsid w:val="007D312A"/>
    <w:rsid w:val="007D3F19"/>
    <w:rsid w:val="007E23B0"/>
    <w:rsid w:val="007E23E5"/>
    <w:rsid w:val="007F1991"/>
    <w:rsid w:val="007F2C2F"/>
    <w:rsid w:val="007F55FC"/>
    <w:rsid w:val="007F5665"/>
    <w:rsid w:val="00800112"/>
    <w:rsid w:val="00813348"/>
    <w:rsid w:val="008253BB"/>
    <w:rsid w:val="0083706E"/>
    <w:rsid w:val="008408F6"/>
    <w:rsid w:val="008423A5"/>
    <w:rsid w:val="00850625"/>
    <w:rsid w:val="00853718"/>
    <w:rsid w:val="00855221"/>
    <w:rsid w:val="00860645"/>
    <w:rsid w:val="00871F71"/>
    <w:rsid w:val="00872FD8"/>
    <w:rsid w:val="00885AF4"/>
    <w:rsid w:val="008939CD"/>
    <w:rsid w:val="008B768C"/>
    <w:rsid w:val="008C4DB1"/>
    <w:rsid w:val="008C4EAF"/>
    <w:rsid w:val="008C5176"/>
    <w:rsid w:val="008C7FD0"/>
    <w:rsid w:val="008E1DE7"/>
    <w:rsid w:val="008E707C"/>
    <w:rsid w:val="00900B08"/>
    <w:rsid w:val="00902155"/>
    <w:rsid w:val="00902FA3"/>
    <w:rsid w:val="00923564"/>
    <w:rsid w:val="0092392E"/>
    <w:rsid w:val="009315F9"/>
    <w:rsid w:val="00933499"/>
    <w:rsid w:val="00935C98"/>
    <w:rsid w:val="00946945"/>
    <w:rsid w:val="00951248"/>
    <w:rsid w:val="0095152F"/>
    <w:rsid w:val="00954C49"/>
    <w:rsid w:val="00955E37"/>
    <w:rsid w:val="0097099F"/>
    <w:rsid w:val="00971997"/>
    <w:rsid w:val="00971FFC"/>
    <w:rsid w:val="0098660A"/>
    <w:rsid w:val="009931C3"/>
    <w:rsid w:val="009B2C43"/>
    <w:rsid w:val="009B4EAE"/>
    <w:rsid w:val="009B7573"/>
    <w:rsid w:val="009C22F4"/>
    <w:rsid w:val="009C2A4B"/>
    <w:rsid w:val="009C2E98"/>
    <w:rsid w:val="009D3447"/>
    <w:rsid w:val="009D4711"/>
    <w:rsid w:val="009F1185"/>
    <w:rsid w:val="009F18CD"/>
    <w:rsid w:val="009F2A13"/>
    <w:rsid w:val="009F7527"/>
    <w:rsid w:val="00A04EB0"/>
    <w:rsid w:val="00A13CC1"/>
    <w:rsid w:val="00A16847"/>
    <w:rsid w:val="00A237D8"/>
    <w:rsid w:val="00A268C4"/>
    <w:rsid w:val="00A307CD"/>
    <w:rsid w:val="00A331C8"/>
    <w:rsid w:val="00A40A00"/>
    <w:rsid w:val="00A4142F"/>
    <w:rsid w:val="00A422EB"/>
    <w:rsid w:val="00A45BB7"/>
    <w:rsid w:val="00A56DF2"/>
    <w:rsid w:val="00A56E6E"/>
    <w:rsid w:val="00A67AB5"/>
    <w:rsid w:val="00A733B2"/>
    <w:rsid w:val="00A741C2"/>
    <w:rsid w:val="00A91760"/>
    <w:rsid w:val="00A93B00"/>
    <w:rsid w:val="00A93C21"/>
    <w:rsid w:val="00AB64C9"/>
    <w:rsid w:val="00AC3C6A"/>
    <w:rsid w:val="00AD5620"/>
    <w:rsid w:val="00AD656B"/>
    <w:rsid w:val="00AD7C1B"/>
    <w:rsid w:val="00AE16BA"/>
    <w:rsid w:val="00AE1EBE"/>
    <w:rsid w:val="00B03C9D"/>
    <w:rsid w:val="00B060AE"/>
    <w:rsid w:val="00B10517"/>
    <w:rsid w:val="00B14E76"/>
    <w:rsid w:val="00B161B8"/>
    <w:rsid w:val="00B2048C"/>
    <w:rsid w:val="00B310B9"/>
    <w:rsid w:val="00B35F3F"/>
    <w:rsid w:val="00B36CBB"/>
    <w:rsid w:val="00B425E0"/>
    <w:rsid w:val="00B440AA"/>
    <w:rsid w:val="00B44B70"/>
    <w:rsid w:val="00B53C56"/>
    <w:rsid w:val="00B57DAF"/>
    <w:rsid w:val="00B77EA6"/>
    <w:rsid w:val="00B81598"/>
    <w:rsid w:val="00B841F1"/>
    <w:rsid w:val="00B944D6"/>
    <w:rsid w:val="00BB4DF0"/>
    <w:rsid w:val="00BC289F"/>
    <w:rsid w:val="00BC2D50"/>
    <w:rsid w:val="00BC5361"/>
    <w:rsid w:val="00BC5460"/>
    <w:rsid w:val="00BC6B50"/>
    <w:rsid w:val="00BD0E25"/>
    <w:rsid w:val="00BF5BD6"/>
    <w:rsid w:val="00C03E31"/>
    <w:rsid w:val="00C33E72"/>
    <w:rsid w:val="00C354B2"/>
    <w:rsid w:val="00C35554"/>
    <w:rsid w:val="00C42709"/>
    <w:rsid w:val="00C533CC"/>
    <w:rsid w:val="00C5751C"/>
    <w:rsid w:val="00C61BFC"/>
    <w:rsid w:val="00C62B85"/>
    <w:rsid w:val="00C65438"/>
    <w:rsid w:val="00C87FD8"/>
    <w:rsid w:val="00C91381"/>
    <w:rsid w:val="00C91CBB"/>
    <w:rsid w:val="00CB4E70"/>
    <w:rsid w:val="00CC09B6"/>
    <w:rsid w:val="00CC666F"/>
    <w:rsid w:val="00CD1E3F"/>
    <w:rsid w:val="00CE44F6"/>
    <w:rsid w:val="00CE49DA"/>
    <w:rsid w:val="00CE7B61"/>
    <w:rsid w:val="00D00095"/>
    <w:rsid w:val="00D114F0"/>
    <w:rsid w:val="00D20620"/>
    <w:rsid w:val="00D254F7"/>
    <w:rsid w:val="00D26091"/>
    <w:rsid w:val="00D2685C"/>
    <w:rsid w:val="00D34E7C"/>
    <w:rsid w:val="00D35489"/>
    <w:rsid w:val="00D36AFE"/>
    <w:rsid w:val="00D51276"/>
    <w:rsid w:val="00D7035F"/>
    <w:rsid w:val="00DA634F"/>
    <w:rsid w:val="00DA65AC"/>
    <w:rsid w:val="00DB1913"/>
    <w:rsid w:val="00DC410D"/>
    <w:rsid w:val="00DC5A81"/>
    <w:rsid w:val="00DC68CA"/>
    <w:rsid w:val="00DC7CBA"/>
    <w:rsid w:val="00DD73B7"/>
    <w:rsid w:val="00DF28BC"/>
    <w:rsid w:val="00DF34B9"/>
    <w:rsid w:val="00E01053"/>
    <w:rsid w:val="00E07ACF"/>
    <w:rsid w:val="00E331A1"/>
    <w:rsid w:val="00E33202"/>
    <w:rsid w:val="00E336A9"/>
    <w:rsid w:val="00E472B1"/>
    <w:rsid w:val="00E50624"/>
    <w:rsid w:val="00E54633"/>
    <w:rsid w:val="00E568DF"/>
    <w:rsid w:val="00E64269"/>
    <w:rsid w:val="00E82267"/>
    <w:rsid w:val="00E853CE"/>
    <w:rsid w:val="00E867B6"/>
    <w:rsid w:val="00EA010F"/>
    <w:rsid w:val="00ED1B63"/>
    <w:rsid w:val="00ED3C1F"/>
    <w:rsid w:val="00ED4085"/>
    <w:rsid w:val="00ED420E"/>
    <w:rsid w:val="00ED6FBE"/>
    <w:rsid w:val="00EE2F57"/>
    <w:rsid w:val="00EF4C34"/>
    <w:rsid w:val="00EF77C6"/>
    <w:rsid w:val="00F05438"/>
    <w:rsid w:val="00F1361C"/>
    <w:rsid w:val="00F156F0"/>
    <w:rsid w:val="00F160C7"/>
    <w:rsid w:val="00F2408F"/>
    <w:rsid w:val="00F240E9"/>
    <w:rsid w:val="00F36D8F"/>
    <w:rsid w:val="00F417B1"/>
    <w:rsid w:val="00F45853"/>
    <w:rsid w:val="00F602DF"/>
    <w:rsid w:val="00F754A1"/>
    <w:rsid w:val="00F81FD9"/>
    <w:rsid w:val="00F841AA"/>
    <w:rsid w:val="00F84A94"/>
    <w:rsid w:val="00F87E96"/>
    <w:rsid w:val="00FA23E8"/>
    <w:rsid w:val="00FD3CC1"/>
    <w:rsid w:val="00FF1E02"/>
    <w:rsid w:val="00FF30B4"/>
    <w:rsid w:val="012A5EC2"/>
    <w:rsid w:val="015975B8"/>
    <w:rsid w:val="02FEBE30"/>
    <w:rsid w:val="04916F1E"/>
    <w:rsid w:val="061E35DE"/>
    <w:rsid w:val="066E0107"/>
    <w:rsid w:val="07996F6E"/>
    <w:rsid w:val="07DFD8BA"/>
    <w:rsid w:val="09867E8F"/>
    <w:rsid w:val="0A2032A3"/>
    <w:rsid w:val="0CA8290A"/>
    <w:rsid w:val="0D35B1ED"/>
    <w:rsid w:val="0E254B6B"/>
    <w:rsid w:val="0F98263C"/>
    <w:rsid w:val="101860EC"/>
    <w:rsid w:val="101F47CC"/>
    <w:rsid w:val="10C055FF"/>
    <w:rsid w:val="11694EBD"/>
    <w:rsid w:val="11772AA4"/>
    <w:rsid w:val="118107EC"/>
    <w:rsid w:val="12E24EE2"/>
    <w:rsid w:val="13D50BC4"/>
    <w:rsid w:val="14B17F78"/>
    <w:rsid w:val="165E0673"/>
    <w:rsid w:val="16B831D5"/>
    <w:rsid w:val="16BB723D"/>
    <w:rsid w:val="17E50567"/>
    <w:rsid w:val="186504BB"/>
    <w:rsid w:val="19A445FC"/>
    <w:rsid w:val="1BE8440E"/>
    <w:rsid w:val="1D155CEE"/>
    <w:rsid w:val="1D1638FE"/>
    <w:rsid w:val="1E312DEB"/>
    <w:rsid w:val="1E740ACF"/>
    <w:rsid w:val="1FF35744"/>
    <w:rsid w:val="1FF6BC77"/>
    <w:rsid w:val="2186353C"/>
    <w:rsid w:val="23860B96"/>
    <w:rsid w:val="240371BF"/>
    <w:rsid w:val="244F3473"/>
    <w:rsid w:val="24C97D99"/>
    <w:rsid w:val="25A718F0"/>
    <w:rsid w:val="25BB59F6"/>
    <w:rsid w:val="260F557C"/>
    <w:rsid w:val="26970054"/>
    <w:rsid w:val="281408E2"/>
    <w:rsid w:val="29FD04D3"/>
    <w:rsid w:val="2BFD9134"/>
    <w:rsid w:val="2BFF7BC6"/>
    <w:rsid w:val="2C8A61B5"/>
    <w:rsid w:val="2DF04E50"/>
    <w:rsid w:val="2DFC2F04"/>
    <w:rsid w:val="2E586DFA"/>
    <w:rsid w:val="2F040D46"/>
    <w:rsid w:val="2F6B035B"/>
    <w:rsid w:val="2FAE5751"/>
    <w:rsid w:val="2FB1A395"/>
    <w:rsid w:val="2FD9A7D8"/>
    <w:rsid w:val="2FDBF714"/>
    <w:rsid w:val="30AB6865"/>
    <w:rsid w:val="319F7F4E"/>
    <w:rsid w:val="32BD1EF1"/>
    <w:rsid w:val="3304709D"/>
    <w:rsid w:val="33A773CB"/>
    <w:rsid w:val="349D6851"/>
    <w:rsid w:val="36AA5135"/>
    <w:rsid w:val="36BE0DA7"/>
    <w:rsid w:val="376B6AA6"/>
    <w:rsid w:val="376D39B2"/>
    <w:rsid w:val="377F880F"/>
    <w:rsid w:val="37E16F03"/>
    <w:rsid w:val="37F53A3B"/>
    <w:rsid w:val="389B6C89"/>
    <w:rsid w:val="38D469F0"/>
    <w:rsid w:val="39627CCD"/>
    <w:rsid w:val="397BAF1F"/>
    <w:rsid w:val="3AB79AF3"/>
    <w:rsid w:val="3AE834C0"/>
    <w:rsid w:val="3B7EF35A"/>
    <w:rsid w:val="3B9FDB6C"/>
    <w:rsid w:val="3BF5BC2F"/>
    <w:rsid w:val="3CEBA265"/>
    <w:rsid w:val="3D98207C"/>
    <w:rsid w:val="3DEE7CF3"/>
    <w:rsid w:val="3E740A63"/>
    <w:rsid w:val="3E78745D"/>
    <w:rsid w:val="3EE17838"/>
    <w:rsid w:val="3F55381A"/>
    <w:rsid w:val="3F7F7599"/>
    <w:rsid w:val="3FF4CAE0"/>
    <w:rsid w:val="3FF7B227"/>
    <w:rsid w:val="44E268DA"/>
    <w:rsid w:val="450D13D7"/>
    <w:rsid w:val="45506656"/>
    <w:rsid w:val="486A6C7A"/>
    <w:rsid w:val="4A627F82"/>
    <w:rsid w:val="4B0E749A"/>
    <w:rsid w:val="4B2477C4"/>
    <w:rsid w:val="4B4F25DA"/>
    <w:rsid w:val="4BE068DB"/>
    <w:rsid w:val="4D577224"/>
    <w:rsid w:val="4DBF1CEB"/>
    <w:rsid w:val="4DF0007C"/>
    <w:rsid w:val="4EAB630A"/>
    <w:rsid w:val="4ECE2238"/>
    <w:rsid w:val="4F833267"/>
    <w:rsid w:val="4FE9BD67"/>
    <w:rsid w:val="4FFB052F"/>
    <w:rsid w:val="537E6D0A"/>
    <w:rsid w:val="53F74C96"/>
    <w:rsid w:val="55170BA8"/>
    <w:rsid w:val="553218C9"/>
    <w:rsid w:val="567E1AA5"/>
    <w:rsid w:val="56E47B74"/>
    <w:rsid w:val="57175D52"/>
    <w:rsid w:val="57BD3DD4"/>
    <w:rsid w:val="59D20342"/>
    <w:rsid w:val="5ABD0677"/>
    <w:rsid w:val="5AF92295"/>
    <w:rsid w:val="5B250254"/>
    <w:rsid w:val="5BDD79E6"/>
    <w:rsid w:val="5BF561CA"/>
    <w:rsid w:val="5BFF5DFC"/>
    <w:rsid w:val="5CD71FC4"/>
    <w:rsid w:val="5D1F11B5"/>
    <w:rsid w:val="5D695134"/>
    <w:rsid w:val="5DAE1B18"/>
    <w:rsid w:val="5DE310A5"/>
    <w:rsid w:val="5DE7D9E5"/>
    <w:rsid w:val="5ECEC941"/>
    <w:rsid w:val="5F7BB1CE"/>
    <w:rsid w:val="5FBF9FF3"/>
    <w:rsid w:val="5FCD4E2C"/>
    <w:rsid w:val="5FEF394A"/>
    <w:rsid w:val="5FF67715"/>
    <w:rsid w:val="62BF3928"/>
    <w:rsid w:val="63B3701E"/>
    <w:rsid w:val="647F5392"/>
    <w:rsid w:val="65E66580"/>
    <w:rsid w:val="664B1D71"/>
    <w:rsid w:val="664B4E8E"/>
    <w:rsid w:val="67277B67"/>
    <w:rsid w:val="67AA3209"/>
    <w:rsid w:val="68F76DD0"/>
    <w:rsid w:val="698D0931"/>
    <w:rsid w:val="6A7FE5F3"/>
    <w:rsid w:val="6B053271"/>
    <w:rsid w:val="6BDD78B3"/>
    <w:rsid w:val="6C4A05C8"/>
    <w:rsid w:val="6C8742B8"/>
    <w:rsid w:val="6DBF5E93"/>
    <w:rsid w:val="6DFF077E"/>
    <w:rsid w:val="6E714EF0"/>
    <w:rsid w:val="6E7E3605"/>
    <w:rsid w:val="6E7FDCC7"/>
    <w:rsid w:val="6ED6A62E"/>
    <w:rsid w:val="6EE00B15"/>
    <w:rsid w:val="6F6FB3EB"/>
    <w:rsid w:val="6F8731EA"/>
    <w:rsid w:val="6FCE6052"/>
    <w:rsid w:val="6FD57C00"/>
    <w:rsid w:val="6FEFFFD8"/>
    <w:rsid w:val="6FF5CC65"/>
    <w:rsid w:val="6FFB47EC"/>
    <w:rsid w:val="6FFF034A"/>
    <w:rsid w:val="70484440"/>
    <w:rsid w:val="712A28F1"/>
    <w:rsid w:val="715C0E4B"/>
    <w:rsid w:val="718DAA61"/>
    <w:rsid w:val="71992E7C"/>
    <w:rsid w:val="72233669"/>
    <w:rsid w:val="72734D90"/>
    <w:rsid w:val="73160E6D"/>
    <w:rsid w:val="7332FE48"/>
    <w:rsid w:val="73AB61DA"/>
    <w:rsid w:val="73AD73D5"/>
    <w:rsid w:val="73B6EB34"/>
    <w:rsid w:val="73FA497D"/>
    <w:rsid w:val="744731E5"/>
    <w:rsid w:val="74BBD01D"/>
    <w:rsid w:val="74ED5379"/>
    <w:rsid w:val="757F8BE5"/>
    <w:rsid w:val="75DEEEC2"/>
    <w:rsid w:val="75E32345"/>
    <w:rsid w:val="7679EB1B"/>
    <w:rsid w:val="76BB2F5D"/>
    <w:rsid w:val="76E3355F"/>
    <w:rsid w:val="76FF5125"/>
    <w:rsid w:val="775EA4DD"/>
    <w:rsid w:val="776F6FFA"/>
    <w:rsid w:val="778769C8"/>
    <w:rsid w:val="77A75DCA"/>
    <w:rsid w:val="77DC22F5"/>
    <w:rsid w:val="77DFF790"/>
    <w:rsid w:val="77E93692"/>
    <w:rsid w:val="783E271A"/>
    <w:rsid w:val="78616DE9"/>
    <w:rsid w:val="78E875D7"/>
    <w:rsid w:val="78F7ED14"/>
    <w:rsid w:val="79086DAD"/>
    <w:rsid w:val="79D7FD79"/>
    <w:rsid w:val="79EE5BA4"/>
    <w:rsid w:val="7A894339"/>
    <w:rsid w:val="7AD284E8"/>
    <w:rsid w:val="7AFF7572"/>
    <w:rsid w:val="7B5E632F"/>
    <w:rsid w:val="7B6C7DFB"/>
    <w:rsid w:val="7BBFBED0"/>
    <w:rsid w:val="7BC3E394"/>
    <w:rsid w:val="7BC86F20"/>
    <w:rsid w:val="7C1F3737"/>
    <w:rsid w:val="7CBFC87B"/>
    <w:rsid w:val="7CFE0F48"/>
    <w:rsid w:val="7D272ABC"/>
    <w:rsid w:val="7D7EC23E"/>
    <w:rsid w:val="7DEBA139"/>
    <w:rsid w:val="7E8ADEBF"/>
    <w:rsid w:val="7EEF11D3"/>
    <w:rsid w:val="7EFE0D29"/>
    <w:rsid w:val="7EFE4840"/>
    <w:rsid w:val="7F0971A6"/>
    <w:rsid w:val="7F121D33"/>
    <w:rsid w:val="7F1D62E7"/>
    <w:rsid w:val="7F3F679B"/>
    <w:rsid w:val="7F4FC4EF"/>
    <w:rsid w:val="7F5E4D54"/>
    <w:rsid w:val="7F6E0135"/>
    <w:rsid w:val="7F79F205"/>
    <w:rsid w:val="7FA30C79"/>
    <w:rsid w:val="7FA79C44"/>
    <w:rsid w:val="7FAF8ABF"/>
    <w:rsid w:val="7FB7269E"/>
    <w:rsid w:val="7FC96657"/>
    <w:rsid w:val="7FDA9588"/>
    <w:rsid w:val="7FDF220F"/>
    <w:rsid w:val="7FEDC5F7"/>
    <w:rsid w:val="7FEDD9DE"/>
    <w:rsid w:val="7FEF20F3"/>
    <w:rsid w:val="7FF5890D"/>
    <w:rsid w:val="7FF93490"/>
    <w:rsid w:val="99FF2014"/>
    <w:rsid w:val="9E4EE02B"/>
    <w:rsid w:val="9F36FD47"/>
    <w:rsid w:val="A6DD0D7F"/>
    <w:rsid w:val="ACFF4FBB"/>
    <w:rsid w:val="ADC6F725"/>
    <w:rsid w:val="B7CF06AB"/>
    <w:rsid w:val="B7CFA926"/>
    <w:rsid w:val="B7F8786B"/>
    <w:rsid w:val="BA1A55AA"/>
    <w:rsid w:val="BABB6AA1"/>
    <w:rsid w:val="BB2F4199"/>
    <w:rsid w:val="BBBB1973"/>
    <w:rsid w:val="BCFFB442"/>
    <w:rsid w:val="BD079C78"/>
    <w:rsid w:val="BD733540"/>
    <w:rsid w:val="BDFF8CB2"/>
    <w:rsid w:val="BF3735D5"/>
    <w:rsid w:val="BF7F09AC"/>
    <w:rsid w:val="BFD475C3"/>
    <w:rsid w:val="BFDE5EA6"/>
    <w:rsid w:val="CF6FC6F3"/>
    <w:rsid w:val="CFD3D3D7"/>
    <w:rsid w:val="CFDF1009"/>
    <w:rsid w:val="CFFD1F47"/>
    <w:rsid w:val="D5DDAC9C"/>
    <w:rsid w:val="D7D7B16A"/>
    <w:rsid w:val="D8D6DB89"/>
    <w:rsid w:val="DB6EEFEA"/>
    <w:rsid w:val="DB6F4CAB"/>
    <w:rsid w:val="DB777682"/>
    <w:rsid w:val="DD1FB521"/>
    <w:rsid w:val="DEFBFEAE"/>
    <w:rsid w:val="DF1F3B80"/>
    <w:rsid w:val="DF6F9789"/>
    <w:rsid w:val="DFBDDAF9"/>
    <w:rsid w:val="DFD3349A"/>
    <w:rsid w:val="DFE9BE81"/>
    <w:rsid w:val="DFFFA9E8"/>
    <w:rsid w:val="E5F4E9DC"/>
    <w:rsid w:val="E70FE695"/>
    <w:rsid w:val="EB2E368B"/>
    <w:rsid w:val="ECFED1BC"/>
    <w:rsid w:val="ED1D69BB"/>
    <w:rsid w:val="ED7FD312"/>
    <w:rsid w:val="EF2E1AC6"/>
    <w:rsid w:val="EF53993F"/>
    <w:rsid w:val="EF6FD633"/>
    <w:rsid w:val="EF7E4AAC"/>
    <w:rsid w:val="EFBFB2F4"/>
    <w:rsid w:val="EFBFFA21"/>
    <w:rsid w:val="EFFB0BA5"/>
    <w:rsid w:val="F2BEBCB8"/>
    <w:rsid w:val="F36FB518"/>
    <w:rsid w:val="F3DE1A04"/>
    <w:rsid w:val="F3F722E5"/>
    <w:rsid w:val="F4FBCD07"/>
    <w:rsid w:val="F7DA0EBE"/>
    <w:rsid w:val="F7F3A2F0"/>
    <w:rsid w:val="FA5F1E70"/>
    <w:rsid w:val="FA5FDB97"/>
    <w:rsid w:val="FB7F486A"/>
    <w:rsid w:val="FB7F9F99"/>
    <w:rsid w:val="FBEFFE7E"/>
    <w:rsid w:val="FBFF5B2E"/>
    <w:rsid w:val="FD76791A"/>
    <w:rsid w:val="FD7FFE2B"/>
    <w:rsid w:val="FDB77BA3"/>
    <w:rsid w:val="FDEE196B"/>
    <w:rsid w:val="FDFE6575"/>
    <w:rsid w:val="FE7EF218"/>
    <w:rsid w:val="FEDFDDC2"/>
    <w:rsid w:val="FEED32F6"/>
    <w:rsid w:val="FEF781DD"/>
    <w:rsid w:val="FF3F7E3F"/>
    <w:rsid w:val="FFBA12D7"/>
    <w:rsid w:val="FFCBD314"/>
    <w:rsid w:val="FFDFF91C"/>
    <w:rsid w:val="FFDFFAEE"/>
    <w:rsid w:val="FFEF6777"/>
    <w:rsid w:val="FFEF8CBA"/>
    <w:rsid w:val="FFF62E1F"/>
    <w:rsid w:val="FFF9B57B"/>
    <w:rsid w:val="FFFBBBE4"/>
    <w:rsid w:val="FFFD61D9"/>
    <w:rsid w:val="FFFD8F59"/>
    <w:rsid w:val="FFFF2BB1"/>
    <w:rsid w:val="FFFFB04D"/>
    <w:rsid w:val="FFFFB082"/>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qFormat="1" w:unhideWhenUsed="0" w:uiPriority="0" w:semiHidden="0" w:name="toc 6"/>
    <w:lsdException w:uiPriority="39" w:name="toc 7"/>
    <w:lsdException w:uiPriority="39" w:name="toc 8"/>
    <w:lsdException w:uiPriority="39" w:name="toc 9"/>
    <w:lsdException w:uiPriority="99" w:name="Normal Indent"/>
    <w:lsdException w:qFormat="1" w:unhideWhenUsed="0" w:uiPriority="0" w:name="footnote text"/>
    <w:lsdException w:uiPriority="99" w:name="annotation text"/>
    <w:lsdException w:qFormat="1" w:unhideWhenUsed="0" w:uiPriority="99"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qFormat="1" w:unhideWhenUsed="0" w:uiPriority="99"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99"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link w:val="29"/>
    <w:qFormat/>
    <w:uiPriority w:val="9"/>
    <w:pPr>
      <w:keepNext/>
      <w:keepLines/>
      <w:spacing w:before="340" w:after="330" w:line="578" w:lineRule="auto"/>
      <w:outlineLvl w:val="0"/>
    </w:pPr>
    <w:rPr>
      <w:b/>
      <w:bCs/>
      <w:kern w:val="44"/>
      <w:sz w:val="44"/>
      <w:szCs w:val="44"/>
    </w:rPr>
  </w:style>
  <w:style w:type="paragraph" w:styleId="4">
    <w:name w:val="heading 2"/>
    <w:basedOn w:val="1"/>
    <w:next w:val="1"/>
    <w:link w:val="30"/>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5">
    <w:name w:val="heading 3"/>
    <w:basedOn w:val="1"/>
    <w:next w:val="1"/>
    <w:link w:val="33"/>
    <w:unhideWhenUsed/>
    <w:qFormat/>
    <w:uiPriority w:val="9"/>
    <w:pPr>
      <w:keepNext/>
      <w:keepLines/>
      <w:spacing w:before="260" w:after="260" w:line="416" w:lineRule="auto"/>
      <w:outlineLvl w:val="2"/>
    </w:pPr>
    <w:rPr>
      <w:b/>
      <w:bCs/>
      <w:sz w:val="32"/>
      <w:szCs w:val="32"/>
    </w:rPr>
  </w:style>
  <w:style w:type="character" w:default="1" w:styleId="17">
    <w:name w:val="Default Paragraph Font"/>
    <w:unhideWhenUsed/>
    <w:qFormat/>
    <w:uiPriority w:val="1"/>
  </w:style>
  <w:style w:type="table" w:default="1" w:styleId="16">
    <w:name w:val="Normal Table"/>
    <w:semiHidden/>
    <w:unhideWhenUsed/>
    <w:qFormat/>
    <w:uiPriority w:val="99"/>
    <w:tblPr>
      <w:tblCellMar>
        <w:top w:w="0" w:type="dxa"/>
        <w:left w:w="108" w:type="dxa"/>
        <w:bottom w:w="0" w:type="dxa"/>
        <w:right w:w="108" w:type="dxa"/>
      </w:tblCellMar>
    </w:tblPr>
  </w:style>
  <w:style w:type="paragraph" w:styleId="2">
    <w:name w:val="Body Text"/>
    <w:basedOn w:val="1"/>
    <w:next w:val="1"/>
    <w:link w:val="26"/>
    <w:qFormat/>
    <w:uiPriority w:val="99"/>
    <w:pPr>
      <w:spacing w:beforeLines="30"/>
    </w:pPr>
    <w:rPr>
      <w:rFonts w:ascii="仿宋_GB2312" w:eastAsia="仿宋_GB2312"/>
      <w:kern w:val="0"/>
      <w:sz w:val="30"/>
    </w:rPr>
  </w:style>
  <w:style w:type="paragraph" w:styleId="6">
    <w:name w:val="Body Text Indent"/>
    <w:basedOn w:val="1"/>
    <w:next w:val="7"/>
    <w:qFormat/>
    <w:uiPriority w:val="0"/>
    <w:pPr>
      <w:spacing w:after="120"/>
      <w:ind w:leftChars="200"/>
    </w:pPr>
    <w:rPr>
      <w:rFonts w:ascii="仿宋_GB2312"/>
      <w:szCs w:val="32"/>
    </w:rPr>
  </w:style>
  <w:style w:type="paragraph" w:styleId="7">
    <w:name w:val="Body Text First Indent 2"/>
    <w:basedOn w:val="6"/>
    <w:next w:val="1"/>
    <w:unhideWhenUsed/>
    <w:qFormat/>
    <w:uiPriority w:val="99"/>
    <w:pPr>
      <w:ind w:firstLine="420" w:firstLineChars="200"/>
    </w:pPr>
  </w:style>
  <w:style w:type="paragraph" w:styleId="8">
    <w:name w:val="toc 3"/>
    <w:basedOn w:val="1"/>
    <w:next w:val="1"/>
    <w:unhideWhenUsed/>
    <w:qFormat/>
    <w:uiPriority w:val="39"/>
    <w:pPr>
      <w:tabs>
        <w:tab w:val="right" w:leader="dot" w:pos="8296"/>
      </w:tabs>
      <w:ind w:left="840" w:leftChars="400"/>
    </w:pPr>
  </w:style>
  <w:style w:type="paragraph" w:styleId="9">
    <w:name w:val="Balloon Text"/>
    <w:basedOn w:val="1"/>
    <w:link w:val="32"/>
    <w:semiHidden/>
    <w:unhideWhenUsed/>
    <w:qFormat/>
    <w:uiPriority w:val="99"/>
    <w:rPr>
      <w:sz w:val="18"/>
      <w:szCs w:val="18"/>
    </w:rPr>
  </w:style>
  <w:style w:type="paragraph" w:styleId="10">
    <w:name w:val="footer"/>
    <w:basedOn w:val="1"/>
    <w:link w:val="24"/>
    <w:qFormat/>
    <w:uiPriority w:val="99"/>
    <w:pPr>
      <w:tabs>
        <w:tab w:val="center" w:pos="4153"/>
        <w:tab w:val="right" w:pos="8306"/>
      </w:tabs>
      <w:snapToGrid w:val="0"/>
      <w:jc w:val="left"/>
    </w:pPr>
    <w:rPr>
      <w:rFonts w:ascii="Calibri" w:hAnsi="Calibri"/>
      <w:kern w:val="0"/>
      <w:sz w:val="18"/>
      <w:szCs w:val="18"/>
    </w:rPr>
  </w:style>
  <w:style w:type="paragraph" w:styleId="11">
    <w:name w:val="header"/>
    <w:basedOn w:val="1"/>
    <w:link w:val="22"/>
    <w:semiHidden/>
    <w:qFormat/>
    <w:uiPriority w:val="99"/>
    <w:pPr>
      <w:pBdr>
        <w:bottom w:val="single" w:color="auto" w:sz="6" w:space="1"/>
      </w:pBdr>
      <w:tabs>
        <w:tab w:val="center" w:pos="4153"/>
        <w:tab w:val="right" w:pos="8306"/>
      </w:tabs>
      <w:snapToGrid w:val="0"/>
      <w:jc w:val="center"/>
    </w:pPr>
    <w:rPr>
      <w:rFonts w:ascii="Calibri" w:hAnsi="Calibri"/>
      <w:kern w:val="0"/>
      <w:sz w:val="18"/>
      <w:szCs w:val="18"/>
    </w:rPr>
  </w:style>
  <w:style w:type="paragraph" w:styleId="12">
    <w:name w:val="toc 1"/>
    <w:basedOn w:val="1"/>
    <w:next w:val="1"/>
    <w:unhideWhenUsed/>
    <w:qFormat/>
    <w:uiPriority w:val="39"/>
    <w:pPr>
      <w:tabs>
        <w:tab w:val="right" w:leader="dot" w:pos="8296"/>
      </w:tabs>
      <w:spacing w:before="93"/>
      <w:jc w:val="center"/>
    </w:pPr>
    <w:rPr>
      <w:rFonts w:ascii="仿宋" w:hAnsi="仿宋" w:eastAsia="仿宋"/>
      <w:sz w:val="28"/>
      <w:szCs w:val="28"/>
    </w:rPr>
  </w:style>
  <w:style w:type="paragraph" w:styleId="13">
    <w:name w:val="footnote text"/>
    <w:basedOn w:val="1"/>
    <w:next w:val="7"/>
    <w:semiHidden/>
    <w:qFormat/>
    <w:uiPriority w:val="0"/>
    <w:pPr>
      <w:snapToGrid w:val="0"/>
      <w:jc w:val="left"/>
    </w:pPr>
    <w:rPr>
      <w:sz w:val="18"/>
      <w:szCs w:val="18"/>
    </w:rPr>
  </w:style>
  <w:style w:type="paragraph" w:styleId="14">
    <w:name w:val="toc 6"/>
    <w:next w:val="1"/>
    <w:qFormat/>
    <w:uiPriority w:val="0"/>
    <w:pPr>
      <w:wordWrap w:val="0"/>
      <w:ind w:left="1700"/>
      <w:jc w:val="both"/>
    </w:pPr>
    <w:rPr>
      <w:rFonts w:ascii="Calibri" w:hAnsi="Calibri" w:eastAsia="宋体" w:cs="Calibri"/>
      <w:sz w:val="21"/>
      <w:szCs w:val="22"/>
      <w:lang w:val="en-US" w:eastAsia="zh-CN" w:bidi="ar-SA"/>
    </w:rPr>
  </w:style>
  <w:style w:type="paragraph" w:styleId="15">
    <w:name w:val="toc 2"/>
    <w:basedOn w:val="1"/>
    <w:next w:val="1"/>
    <w:unhideWhenUsed/>
    <w:qFormat/>
    <w:uiPriority w:val="39"/>
    <w:pPr>
      <w:tabs>
        <w:tab w:val="right" w:leader="dot" w:pos="8296"/>
      </w:tabs>
      <w:ind w:left="420" w:leftChars="200"/>
    </w:pPr>
  </w:style>
  <w:style w:type="character" w:styleId="18">
    <w:name w:val="Strong"/>
    <w:basedOn w:val="17"/>
    <w:qFormat/>
    <w:uiPriority w:val="99"/>
    <w:rPr>
      <w:b/>
    </w:rPr>
  </w:style>
  <w:style w:type="character" w:styleId="19">
    <w:name w:val="Hyperlink"/>
    <w:basedOn w:val="17"/>
    <w:unhideWhenUsed/>
    <w:qFormat/>
    <w:uiPriority w:val="99"/>
    <w:rPr>
      <w:color w:val="0000FF" w:themeColor="hyperlink"/>
      <w:u w:val="single"/>
      <w14:textFill>
        <w14:solidFill>
          <w14:schemeClr w14:val="hlink"/>
        </w14:solidFill>
      </w14:textFill>
    </w:rPr>
  </w:style>
  <w:style w:type="paragraph" w:customStyle="1" w:styleId="20">
    <w:name w:val="标题 5（有编号）（绿盟科技）"/>
    <w:next w:val="1"/>
    <w:qFormat/>
    <w:uiPriority w:val="99"/>
    <w:pPr>
      <w:keepNext/>
      <w:keepLines/>
      <w:widowControl w:val="0"/>
      <w:spacing w:before="280" w:after="156" w:line="377" w:lineRule="auto"/>
      <w:jc w:val="left"/>
      <w:outlineLvl w:val="4"/>
    </w:pPr>
    <w:rPr>
      <w:rFonts w:ascii="Arial" w:hAnsi="Arial" w:eastAsia="黑体" w:cs="Times New Roman"/>
      <w:b/>
      <w:kern w:val="2"/>
      <w:sz w:val="24"/>
      <w:szCs w:val="28"/>
      <w:lang w:val="en-US" w:eastAsia="zh-CN" w:bidi="ar-SA"/>
    </w:rPr>
  </w:style>
  <w:style w:type="character" w:customStyle="1" w:styleId="21">
    <w:name w:val="Header Char"/>
    <w:basedOn w:val="17"/>
    <w:semiHidden/>
    <w:qFormat/>
    <w:uiPriority w:val="99"/>
    <w:rPr>
      <w:rFonts w:ascii="Times New Roman" w:hAnsi="Times New Roman"/>
      <w:sz w:val="18"/>
      <w:szCs w:val="18"/>
    </w:rPr>
  </w:style>
  <w:style w:type="character" w:customStyle="1" w:styleId="22">
    <w:name w:val="页眉 Char"/>
    <w:link w:val="11"/>
    <w:semiHidden/>
    <w:qFormat/>
    <w:locked/>
    <w:uiPriority w:val="99"/>
    <w:rPr>
      <w:sz w:val="18"/>
    </w:rPr>
  </w:style>
  <w:style w:type="character" w:customStyle="1" w:styleId="23">
    <w:name w:val="Footer Char"/>
    <w:basedOn w:val="17"/>
    <w:semiHidden/>
    <w:qFormat/>
    <w:uiPriority w:val="99"/>
    <w:rPr>
      <w:rFonts w:ascii="Times New Roman" w:hAnsi="Times New Roman"/>
      <w:sz w:val="18"/>
      <w:szCs w:val="18"/>
    </w:rPr>
  </w:style>
  <w:style w:type="character" w:customStyle="1" w:styleId="24">
    <w:name w:val="页脚 Char"/>
    <w:link w:val="10"/>
    <w:qFormat/>
    <w:locked/>
    <w:uiPriority w:val="99"/>
    <w:rPr>
      <w:sz w:val="18"/>
    </w:rPr>
  </w:style>
  <w:style w:type="character" w:customStyle="1" w:styleId="25">
    <w:name w:val="Body Text Char"/>
    <w:basedOn w:val="17"/>
    <w:semiHidden/>
    <w:qFormat/>
    <w:uiPriority w:val="99"/>
    <w:rPr>
      <w:rFonts w:ascii="Times New Roman" w:hAnsi="Times New Roman"/>
      <w:szCs w:val="24"/>
    </w:rPr>
  </w:style>
  <w:style w:type="character" w:customStyle="1" w:styleId="26">
    <w:name w:val="正文文本 Char"/>
    <w:link w:val="2"/>
    <w:qFormat/>
    <w:locked/>
    <w:uiPriority w:val="99"/>
    <w:rPr>
      <w:rFonts w:ascii="仿宋_GB2312" w:hAnsi="Times New Roman" w:eastAsia="仿宋_GB2312"/>
      <w:sz w:val="24"/>
    </w:rPr>
  </w:style>
  <w:style w:type="paragraph" w:customStyle="1" w:styleId="27">
    <w:name w:val="Default"/>
    <w:qFormat/>
    <w:uiPriority w:val="99"/>
    <w:pPr>
      <w:widowControl w:val="0"/>
      <w:autoSpaceDE w:val="0"/>
      <w:autoSpaceDN w:val="0"/>
      <w:adjustRightInd w:val="0"/>
    </w:pPr>
    <w:rPr>
      <w:rFonts w:ascii="仿宋" w:hAnsi="Calibri" w:eastAsia="仿宋" w:cs="仿宋"/>
      <w:color w:val="000000"/>
      <w:sz w:val="24"/>
      <w:szCs w:val="24"/>
      <w:lang w:val="en-US" w:eastAsia="zh-CN" w:bidi="ar-SA"/>
    </w:rPr>
  </w:style>
  <w:style w:type="paragraph" w:styleId="28">
    <w:name w:val="List Paragraph"/>
    <w:basedOn w:val="1"/>
    <w:qFormat/>
    <w:uiPriority w:val="34"/>
    <w:pPr>
      <w:ind w:firstLine="420" w:firstLineChars="200"/>
    </w:pPr>
  </w:style>
  <w:style w:type="character" w:customStyle="1" w:styleId="29">
    <w:name w:val="标题 1 Char"/>
    <w:basedOn w:val="17"/>
    <w:link w:val="3"/>
    <w:qFormat/>
    <w:uiPriority w:val="9"/>
    <w:rPr>
      <w:rFonts w:ascii="Times New Roman" w:hAnsi="Times New Roman"/>
      <w:b/>
      <w:bCs/>
      <w:kern w:val="44"/>
      <w:sz w:val="44"/>
      <w:szCs w:val="44"/>
    </w:rPr>
  </w:style>
  <w:style w:type="character" w:customStyle="1" w:styleId="30">
    <w:name w:val="标题 2 Char"/>
    <w:basedOn w:val="17"/>
    <w:link w:val="4"/>
    <w:qFormat/>
    <w:uiPriority w:val="9"/>
    <w:rPr>
      <w:rFonts w:asciiTheme="majorHAnsi" w:hAnsiTheme="majorHAnsi" w:eastAsiaTheme="majorEastAsia" w:cstheme="majorBidi"/>
      <w:b/>
      <w:bCs/>
      <w:kern w:val="2"/>
      <w:sz w:val="32"/>
      <w:szCs w:val="32"/>
    </w:rPr>
  </w:style>
  <w:style w:type="paragraph" w:customStyle="1" w:styleId="31">
    <w:name w:val="TOC 标题1"/>
    <w:basedOn w:val="3"/>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character" w:customStyle="1" w:styleId="32">
    <w:name w:val="批注框文本 Char"/>
    <w:basedOn w:val="17"/>
    <w:link w:val="9"/>
    <w:semiHidden/>
    <w:qFormat/>
    <w:uiPriority w:val="99"/>
    <w:rPr>
      <w:rFonts w:ascii="Times New Roman" w:hAnsi="Times New Roman"/>
      <w:kern w:val="2"/>
      <w:sz w:val="18"/>
      <w:szCs w:val="18"/>
    </w:rPr>
  </w:style>
  <w:style w:type="character" w:customStyle="1" w:styleId="33">
    <w:name w:val="标题 3 Char"/>
    <w:basedOn w:val="17"/>
    <w:link w:val="5"/>
    <w:qFormat/>
    <w:uiPriority w:val="9"/>
    <w:rPr>
      <w:rFonts w:ascii="Times New Roman" w:hAnsi="Times New Roman"/>
      <w:b/>
      <w:bCs/>
      <w:kern w:val="2"/>
      <w:sz w:val="32"/>
      <w:szCs w:val="32"/>
    </w:rPr>
  </w:style>
  <w:style w:type="paragraph" w:customStyle="1" w:styleId="34">
    <w:name w:val="TOC Heading"/>
    <w:basedOn w:val="3"/>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paragraph" w:customStyle="1" w:styleId="35">
    <w:name w:val="四号正文"/>
    <w:basedOn w:val="1"/>
    <w:qFormat/>
    <w:uiPriority w:val="0"/>
    <w:pPr>
      <w:spacing w:line="360" w:lineRule="auto"/>
    </w:pPr>
    <w:rPr>
      <w:rFonts w:ascii="??" w:hAnsi="??" w:eastAsia="宋体"/>
      <w:color w:val="000000"/>
      <w:kern w:val="0"/>
      <w:sz w:val="28"/>
      <w:szCs w:val="21"/>
      <w:lang w:val="zh-CN" w:eastAsia="zh-CN"/>
    </w:rPr>
  </w:style>
  <w:style w:type="paragraph" w:customStyle="1" w:styleId="36">
    <w:name w:val="WPSOffice手动目录 1"/>
    <w:qFormat/>
    <w:uiPriority w:val="0"/>
    <w:pPr>
      <w:ind w:leftChars="0"/>
    </w:pPr>
    <w:rPr>
      <w:rFonts w:ascii="Times New Roman" w:hAnsi="Times New Roman" w:eastAsia="宋体" w:cs="Times New Roman"/>
      <w:sz w:val="24"/>
      <w:szCs w:val="20"/>
    </w:rPr>
  </w:style>
  <w:style w:type="paragraph" w:customStyle="1" w:styleId="37">
    <w:name w:val="WPSOffice手动目录 2"/>
    <w:qFormat/>
    <w:uiPriority w:val="0"/>
    <w:pPr>
      <w:spacing w:before="30" w:beforeLines="30"/>
      <w:ind w:leftChars="200"/>
    </w:pPr>
    <w:rPr>
      <w:rFonts w:ascii="Times New Roman" w:hAnsi="Times New Roman" w:eastAsia="宋体" w:cs="Times New Roman"/>
      <w:sz w:val="24"/>
      <w:szCs w:val="20"/>
    </w:rPr>
  </w:style>
  <w:style w:type="paragraph" w:customStyle="1" w:styleId="38">
    <w:name w:val="WPSOffice手动目录 3"/>
    <w:qFormat/>
    <w:uiPriority w:val="0"/>
    <w:pPr>
      <w:spacing w:before="50" w:beforeLines="50"/>
      <w:ind w:leftChars="400"/>
    </w:pPr>
    <w:rPr>
      <w:rFonts w:ascii="Times New Roman" w:hAnsi="Times New Roman" w:eastAsia="宋体" w:cs="Times New Roman"/>
      <w:sz w:val="24"/>
      <w:szCs w:val="20"/>
    </w:rPr>
  </w:style>
</w:styles>
</file>

<file path=word/_rels/document.xml.rels><?xml version="1.0" encoding="UTF-8" standalone="yes"?>
<Relationships xmlns="http://schemas.openxmlformats.org/package/2006/relationships"><Relationship Id="rId9" Type="http://schemas.openxmlformats.org/officeDocument/2006/relationships/chart" Target="charts/chart1.xml"/><Relationship Id="rId8" Type="http://schemas.openxmlformats.org/officeDocument/2006/relationships/theme" Target="theme/theme1.xml"/><Relationship Id="rId7" Type="http://schemas.openxmlformats.org/officeDocument/2006/relationships/footer" Target="footer4.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8" Type="http://schemas.openxmlformats.org/officeDocument/2006/relationships/fontTable" Target="fontTable.xml"/><Relationship Id="rId17" Type="http://schemas.openxmlformats.org/officeDocument/2006/relationships/numbering" Target="numbering.xml"/><Relationship Id="rId16" Type="http://schemas.openxmlformats.org/officeDocument/2006/relationships/customXml" Target="../customXml/item1.xml"/><Relationship Id="rId15" Type="http://schemas.openxmlformats.org/officeDocument/2006/relationships/chart" Target="charts/chart7.xml"/><Relationship Id="rId14" Type="http://schemas.openxmlformats.org/officeDocument/2006/relationships/chart" Target="charts/chart6.xml"/><Relationship Id="rId13" Type="http://schemas.openxmlformats.org/officeDocument/2006/relationships/chart" Target="charts/chart5.xml"/><Relationship Id="rId12" Type="http://schemas.openxmlformats.org/officeDocument/2006/relationships/chart" Target="charts/chart4.xml"/><Relationship Id="rId11" Type="http://schemas.openxmlformats.org/officeDocument/2006/relationships/chart" Target="charts/chart3.xml"/><Relationship Id="rId10" Type="http://schemas.openxmlformats.org/officeDocument/2006/relationships/chart" Target="charts/chart2.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charts/_rels/chart1.xml.rels><?xml version="1.0" encoding="UTF-8" standalone="yes"?>
<Relationships xmlns="http://schemas.openxmlformats.org/package/2006/relationships"><Relationship Id="rId1" Type="http://schemas.openxmlformats.org/officeDocument/2006/relationships/oleObject" Target="/home/user/Desktop/XLS%20&#24037;&#20316;&#34920;.xls" TargetMode="External"/></Relationships>
</file>

<file path=word/charts/_rels/chart2.xml.rels><?xml version="1.0" encoding="UTF-8" standalone="yes"?>
<Relationships xmlns="http://schemas.openxmlformats.org/package/2006/relationships"><Relationship Id="rId3" Type="http://schemas.microsoft.com/office/2011/relationships/chartColorStyle" Target="colors3.xml"/><Relationship Id="rId2" Type="http://schemas.microsoft.com/office/2011/relationships/chartStyle" Target="style3.xml"/><Relationship Id="rId1" Type="http://schemas.openxmlformats.org/officeDocument/2006/relationships/oleObject" Target="/home/user/Desktop/XLS%20&#24037;&#20316;&#34920;.xls" TargetMode="External"/></Relationships>
</file>

<file path=word/charts/_rels/chart3.xml.rels><?xml version="1.0" encoding="UTF-8" standalone="yes"?>
<Relationships xmlns="http://schemas.openxmlformats.org/package/2006/relationships"><Relationship Id="rId3" Type="http://schemas.microsoft.com/office/2011/relationships/chartColorStyle" Target="colors4.xml"/><Relationship Id="rId2" Type="http://schemas.microsoft.com/office/2011/relationships/chartStyle" Target="style4.xml"/><Relationship Id="rId1" Type="http://schemas.openxmlformats.org/officeDocument/2006/relationships/oleObject" Target="/home/user/Desktop/XLS%20&#24037;&#20316;&#34920;.xls" TargetMode="External"/></Relationships>
</file>

<file path=word/charts/_rels/chart4.xml.rels><?xml version="1.0" encoding="UTF-8" standalone="yes"?>
<Relationships xmlns="http://schemas.openxmlformats.org/package/2006/relationships"><Relationship Id="rId1" Type="http://schemas.openxmlformats.org/officeDocument/2006/relationships/oleObject" Target="/home/user/Desktop/XLS%20&#24037;&#20316;&#34920;.xls" TargetMode="External"/></Relationships>
</file>

<file path=word/charts/_rels/chart5.xml.rels><?xml version="1.0" encoding="UTF-8" standalone="yes"?>
<Relationships xmlns="http://schemas.openxmlformats.org/package/2006/relationships"><Relationship Id="rId1" Type="http://schemas.openxmlformats.org/officeDocument/2006/relationships/oleObject" Target="/home/user/Desktop/XLS%20&#24037;&#20316;&#34920;.xls" TargetMode="External"/></Relationships>
</file>

<file path=word/charts/_rels/chart6.xml.rels><?xml version="1.0" encoding="UTF-8" standalone="yes"?>
<Relationships xmlns="http://schemas.openxmlformats.org/package/2006/relationships"><Relationship Id="rId3" Type="http://schemas.microsoft.com/office/2011/relationships/chartColorStyle" Target="colors2.xml"/><Relationship Id="rId2" Type="http://schemas.microsoft.com/office/2011/relationships/chartStyle" Target="style2.xml"/><Relationship Id="rId1" Type="http://schemas.openxmlformats.org/officeDocument/2006/relationships/oleObject" Target="/home/user/Desktop/XLS%20&#24037;&#20316;&#34920;.xls" TargetMode="External"/></Relationships>
</file>

<file path=word/charts/_rels/chart7.xml.rels><?xml version="1.0" encoding="UTF-8" standalone="yes"?>
<Relationships xmlns="http://schemas.openxmlformats.org/package/2006/relationships"><Relationship Id="rId3" Type="http://schemas.microsoft.com/office/2011/relationships/chartColorStyle" Target="colors1.xml"/><Relationship Id="rId2" Type="http://schemas.microsoft.com/office/2011/relationships/chartStyle" Target="style1.xml"/><Relationship Id="rId1" Type="http://schemas.openxmlformats.org/officeDocument/2006/relationships/oleObject" Target="/home/user/Desktop/XLS%20&#24037;&#20316;&#34920;.xls"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收、支决算总计变动图</a:t>
            </a:r>
            <a:endParaRPr sz="1400" b="0" i="0" u="none" strike="noStrike" baseline="0">
              <a:solidFill>
                <a:srgbClr val="595959">
                  <a:alpha val="100000"/>
                </a:srgbClr>
              </a:solidFill>
              <a:latin typeface="宋体" panose="02010600030101010101" charset="-122"/>
              <a:ea typeface="宋体" panose="02010600030101010101" charset="-122"/>
              <a:cs typeface="宋体" panose="02010600030101010101" charset="-122"/>
            </a:endParaRPr>
          </a:p>
        </c:rich>
      </c:tx>
      <c:layout>
        <c:manualLayout>
          <c:xMode val="edge"/>
          <c:yMode val="edge"/>
          <c:x val="0.301348190947861"/>
          <c:y val="0.03147128245476"/>
        </c:manualLayout>
      </c:layout>
      <c:overlay val="0"/>
      <c:spPr>
        <a:noFill/>
        <a:ln>
          <a:noFill/>
        </a:ln>
        <a:effectLst/>
      </c:spPr>
    </c:title>
    <c:autoTitleDeleted val="0"/>
    <c:plotArea>
      <c:layout>
        <c:manualLayout>
          <c:layoutTarget val="inner"/>
          <c:xMode val="edge"/>
          <c:yMode val="edge"/>
          <c:x val="0.104636126014582"/>
          <c:y val="0.19669551534225"/>
          <c:w val="0.869913330581923"/>
          <c:h val="0.555048518227118"/>
        </c:manualLayout>
      </c:layout>
      <c:barChart>
        <c:barDir val="col"/>
        <c:grouping val="clustered"/>
        <c:varyColors val="0"/>
        <c:ser>
          <c:idx val="0"/>
          <c:order val="0"/>
          <c:tx>
            <c:strRef>
              <c:f>'[XLS 工作表.xls]Sheet1'!$A$11</c:f>
              <c:strCache>
                <c:ptCount val="1"/>
                <c:pt idx="0">
                  <c:v>2023年</c:v>
                </c:pt>
              </c:strCache>
            </c:strRef>
          </c:tx>
          <c:spPr>
            <a:solidFill>
              <a:schemeClr val="accent1"/>
            </a:solidFill>
            <a:ln>
              <a:noFill/>
            </a:ln>
            <a:effectLst/>
          </c:spPr>
          <c:invertIfNegative val="0"/>
          <c:dLbls>
            <c:numFmt formatCode="General" sourceLinked="1"/>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multiLvlStrRef>
              <c:f>'[XLS 工作表.xls]Sheet1'!$B$9:$C$10</c:f>
              <c:multiLvlStrCache>
                <c:ptCount val="2"/>
                <c:lvl>
                  <c:pt idx="0">
                    <c:v>收入</c:v>
                  </c:pt>
                  <c:pt idx="1">
                    <c:v>支出</c:v>
                  </c:pt>
                </c:lvl>
                <c:lvl/>
              </c:multiLvlStrCache>
            </c:multiLvlStrRef>
          </c:cat>
          <c:val>
            <c:numRef>
              <c:f>'[XLS 工作表.xls]Sheet1'!$B$11:$C$11</c:f>
              <c:numCache>
                <c:formatCode>General</c:formatCode>
                <c:ptCount val="2"/>
                <c:pt idx="0">
                  <c:v>1305.25</c:v>
                </c:pt>
                <c:pt idx="1">
                  <c:v>1305.25</c:v>
                </c:pt>
              </c:numCache>
            </c:numRef>
          </c:val>
        </c:ser>
        <c:ser>
          <c:idx val="1"/>
          <c:order val="1"/>
          <c:tx>
            <c:strRef>
              <c:f>'[XLS 工作表.xls]Sheet1'!$A$12</c:f>
              <c:strCache>
                <c:ptCount val="1"/>
                <c:pt idx="0">
                  <c:v>2024年</c:v>
                </c:pt>
              </c:strCache>
            </c:strRef>
          </c:tx>
          <c:spPr>
            <a:solidFill>
              <a:schemeClr val="accent2"/>
            </a:solidFill>
            <a:ln>
              <a:noFill/>
            </a:ln>
            <a:effectLst/>
          </c:spPr>
          <c:invertIfNegative val="0"/>
          <c:dLbls>
            <c:numFmt formatCode="General" sourceLinked="1"/>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multiLvlStrRef>
              <c:f>'[XLS 工作表.xls]Sheet1'!$B$9:$C$10</c:f>
              <c:multiLvlStrCache>
                <c:ptCount val="2"/>
                <c:lvl>
                  <c:pt idx="0">
                    <c:v>收入</c:v>
                  </c:pt>
                  <c:pt idx="1">
                    <c:v>支出</c:v>
                  </c:pt>
                </c:lvl>
                <c:lvl/>
              </c:multiLvlStrCache>
            </c:multiLvlStrRef>
          </c:cat>
          <c:val>
            <c:numRef>
              <c:f>'[XLS 工作表.xls]Sheet1'!$B$12:$C$12</c:f>
              <c:numCache>
                <c:formatCode>#,##0.00</c:formatCode>
                <c:ptCount val="2"/>
                <c:pt idx="0">
                  <c:v>1388.49</c:v>
                </c:pt>
                <c:pt idx="1">
                  <c:v>1388.49</c:v>
                </c:pt>
              </c:numCache>
            </c:numRef>
          </c:val>
        </c:ser>
        <c:dLbls>
          <c:showLegendKey val="0"/>
          <c:showVal val="0"/>
          <c:showCatName val="0"/>
          <c:showSerName val="0"/>
          <c:showPercent val="0"/>
          <c:showBubbleSize val="0"/>
        </c:dLbls>
        <c:gapWidth val="219"/>
        <c:overlap val="-27"/>
        <c:axId val="718476190"/>
        <c:axId val="229188183"/>
      </c:barChart>
      <c:catAx>
        <c:axId val="718476190"/>
        <c:scaling>
          <c:orientation val="minMax"/>
        </c:scaling>
        <c:delete val="0"/>
        <c:axPos val="b"/>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229188183"/>
        <c:crosses val="autoZero"/>
        <c:auto val="1"/>
        <c:lblAlgn val="ctr"/>
        <c:lblOffset val="100"/>
        <c:noMultiLvlLbl val="0"/>
      </c:catAx>
      <c:valAx>
        <c:axId val="229188183"/>
        <c:scaling>
          <c:orientation val="minMax"/>
        </c:scaling>
        <c:delete val="0"/>
        <c:axPos val="l"/>
        <c:majorGridlines>
          <c:spPr>
            <a:ln w="9525" cap="flat" cmpd="sng" algn="ctr">
              <a:solidFill>
                <a:schemeClr val="tx1">
                  <a:lumMod val="15000"/>
                  <a:lumOff val="85000"/>
                </a:schemeClr>
              </a:solidFill>
              <a:prstDash val="solid"/>
              <a:round/>
            </a:ln>
            <a:effectLst/>
          </c:spPr>
        </c:majorGridlines>
        <c:numFmt formatCode="General" sourceLinked="1"/>
        <c:majorTickMark val="none"/>
        <c:minorTickMark val="none"/>
        <c:tickLblPos val="nextTo"/>
        <c:spPr>
          <a:noFill/>
          <a:ln w="6350" cap="flat" cmpd="sng" algn="ctr">
            <a:no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718476190"/>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738a227b-dcd5-4ffa-bc4d-83b34ee87110}"/>
      </c:ext>
    </c:extLst>
  </c:chart>
  <c:spPr>
    <a:solidFill>
      <a:schemeClr val="bg1"/>
    </a:solidFill>
    <a:ln w="9525" cap="flat" cmpd="sng" algn="ctr">
      <a:solidFill>
        <a:schemeClr val="tx1">
          <a:lumMod val="15000"/>
          <a:lumOff val="85000"/>
        </a:schemeClr>
      </a:solidFill>
      <a:prstDash val="solid"/>
      <a:round/>
    </a:ln>
    <a:effectLst/>
  </c:spPr>
  <c:txPr>
    <a:bodyPr wrap="square"/>
    <a:lstStyle/>
    <a:p>
      <a:pPr>
        <a:defRPr lang="zh-CN"/>
      </a:pPr>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layout/>
      <c:overlay val="0"/>
      <c:spPr>
        <a:noFill/>
        <a:ln>
          <a:noFill/>
        </a:ln>
        <a:effectLst/>
      </c:spPr>
      <c:txPr>
        <a:bodyPr rot="0" spcFirstLastPara="0"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p>
      </c:txPr>
    </c:title>
    <c:autoTitleDeleted val="0"/>
    <c:plotArea>
      <c:layout/>
      <c:pieChart>
        <c:varyColors val="1"/>
        <c:ser>
          <c:idx val="0"/>
          <c:order val="0"/>
          <c:tx>
            <c:strRef>
              <c:f>'[XLS 工作表.xls]Sheet1'!$I$11</c:f>
              <c:strCache>
                <c:ptCount val="1"/>
                <c:pt idx="0">
                  <c:v>收入决算结构图</c:v>
                </c:pt>
              </c:strCache>
            </c:strRef>
          </c:tx>
          <c:spPr/>
          <c:explosion val="0"/>
          <c:dPt>
            <c:idx val="0"/>
            <c:bubble3D val="0"/>
            <c:spPr>
              <a:solidFill>
                <a:schemeClr val="accent1"/>
              </a:solidFill>
              <a:ln w="19050">
                <a:solidFill>
                  <a:schemeClr val="lt1"/>
                </a:solidFill>
              </a:ln>
              <a:effectLst/>
            </c:spPr>
          </c:dPt>
          <c:dPt>
            <c:idx val="1"/>
            <c:bubble3D val="0"/>
            <c:spPr>
              <a:solidFill>
                <a:schemeClr val="accent2"/>
              </a:solidFill>
              <a:ln w="19050">
                <a:solidFill>
                  <a:schemeClr val="lt1"/>
                </a:solidFill>
              </a:ln>
              <a:effectLst/>
            </c:spPr>
          </c:dPt>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bestFit"/>
            <c:showLegendKey val="0"/>
            <c:showVal val="1"/>
            <c:showCatName val="0"/>
            <c:showSerName val="0"/>
            <c:showPercent val="0"/>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'[XLS 工作表.xls]Sheet1'!$J$10:$K$10</c:f>
              <c:strCache>
                <c:ptCount val="2"/>
                <c:pt idx="0">
                  <c:v>一般公共预算收入</c:v>
                </c:pt>
                <c:pt idx="1">
                  <c:v>政府性基金</c:v>
                </c:pt>
              </c:strCache>
            </c:strRef>
          </c:cat>
          <c:val>
            <c:numRef>
              <c:f>'[XLS 工作表.xls]Sheet1'!$J$11:$K$11</c:f>
              <c:numCache>
                <c:formatCode>General</c:formatCode>
                <c:ptCount val="2"/>
                <c:pt idx="0">
                  <c:v>1035.16</c:v>
                </c:pt>
                <c:pt idx="1">
                  <c:v>353.33</c:v>
                </c:pt>
              </c:numCache>
            </c:numRef>
          </c:val>
        </c:ser>
        <c:dLbls>
          <c:showLegendKey val="0"/>
          <c:showVal val="1"/>
          <c:showCatName val="0"/>
          <c:showSerName val="0"/>
          <c:showPercent val="0"/>
          <c:showBubbleSize val="0"/>
          <c:showLeaderLines val="1"/>
        </c:dLbls>
        <c:firstSliceAng val="0"/>
      </c:pieChart>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60280f38-4404-424a-9da1-408684d2deed}"/>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layout/>
      <c:overlay val="0"/>
      <c:spPr>
        <a:noFill/>
        <a:ln>
          <a:noFill/>
        </a:ln>
        <a:effectLst/>
      </c:spPr>
      <c:txPr>
        <a:bodyPr rot="0" spcFirstLastPara="0"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p>
      </c:txPr>
    </c:title>
    <c:autoTitleDeleted val="0"/>
    <c:plotArea>
      <c:layout/>
      <c:pieChart>
        <c:varyColors val="1"/>
        <c:ser>
          <c:idx val="0"/>
          <c:order val="0"/>
          <c:tx>
            <c:strRef>
              <c:f>'[XLS 工作表.xls]Sheet1'!$O$11</c:f>
              <c:strCache>
                <c:ptCount val="1"/>
                <c:pt idx="0">
                  <c:v>支出决算结构图</c:v>
                </c:pt>
              </c:strCache>
            </c:strRef>
          </c:tx>
          <c:spPr/>
          <c:explosion val="0"/>
          <c:dPt>
            <c:idx val="0"/>
            <c:bubble3D val="0"/>
            <c:spPr>
              <a:solidFill>
                <a:schemeClr val="accent1"/>
              </a:solidFill>
              <a:ln w="19050">
                <a:solidFill>
                  <a:schemeClr val="lt1"/>
                </a:solidFill>
              </a:ln>
              <a:effectLst/>
            </c:spPr>
          </c:dPt>
          <c:dPt>
            <c:idx val="1"/>
            <c:bubble3D val="0"/>
            <c:spPr>
              <a:solidFill>
                <a:schemeClr val="accent2"/>
              </a:solidFill>
              <a:ln w="19050">
                <a:solidFill>
                  <a:schemeClr val="lt1"/>
                </a:solidFill>
              </a:ln>
              <a:effectLst/>
            </c:spPr>
          </c:dPt>
          <c:dLbls>
            <c:dLbl>
              <c:idx val="0"/>
              <c:layout>
                <c:manualLayout>
                  <c:x val="0.0654041858945256"/>
                  <c:y val="-0.265771554403693"/>
                </c:manualLayout>
              </c:layout>
              <c:dLblPos val="bestFit"/>
              <c:showLegendKey val="0"/>
              <c:showVal val="1"/>
              <c:showCatName val="0"/>
              <c:showSerName val="0"/>
              <c:showPercent val="0"/>
              <c:showBubbleSize val="0"/>
              <c:extLst>
                <c:ext xmlns:c15="http://schemas.microsoft.com/office/drawing/2012/chart" uri="{CE6537A1-D6FC-4f65-9D91-7224C49458BB}">
                  <c15:layout/>
                </c:ext>
              </c:extLst>
            </c:dLbl>
            <c:dLbl>
              <c:idx val="1"/>
              <c:layout>
                <c:manualLayout>
                  <c:x val="0.00597832793866191"/>
                  <c:y val="-0.0873205651657701"/>
                </c:manualLayout>
              </c:layout>
              <c:dLblPos val="bestFit"/>
              <c:showLegendKey val="0"/>
              <c:showVal val="1"/>
              <c:showCatName val="0"/>
              <c:showSerName val="0"/>
              <c:showPercent val="0"/>
              <c:showBubbleSize val="0"/>
              <c:extLst>
                <c:ext xmlns:c15="http://schemas.microsoft.com/office/drawing/2012/chart" uri="{CE6537A1-D6FC-4f65-9D91-7224C49458BB}">
                  <c15:layout>
                    <c:manualLayout>
                      <c:w val="0.103472222222222"/>
                      <c:h val="0.0638888888888889"/>
                    </c:manualLayout>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bestFit"/>
            <c:showLegendKey val="0"/>
            <c:showVal val="1"/>
            <c:showCatName val="0"/>
            <c:showSerName val="0"/>
            <c:showPercent val="0"/>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'[XLS 工作表.xls]Sheet1'!$P$10:$Q$10</c:f>
              <c:strCache>
                <c:ptCount val="2"/>
                <c:pt idx="0">
                  <c:v>基本支出</c:v>
                </c:pt>
                <c:pt idx="1">
                  <c:v>项目支出</c:v>
                </c:pt>
              </c:strCache>
            </c:strRef>
          </c:cat>
          <c:val>
            <c:numRef>
              <c:f>'[XLS 工作表.xls]Sheet1'!$P$11:$Q$11</c:f>
              <c:numCache>
                <c:formatCode>General</c:formatCode>
                <c:ptCount val="2"/>
                <c:pt idx="0">
                  <c:v>856.88</c:v>
                </c:pt>
                <c:pt idx="1">
                  <c:v>531.6</c:v>
                </c:pt>
              </c:numCache>
            </c:numRef>
          </c:val>
        </c:ser>
        <c:dLbls>
          <c:showLegendKey val="0"/>
          <c:showVal val="1"/>
          <c:showCatName val="0"/>
          <c:showSerName val="0"/>
          <c:showPercent val="0"/>
          <c:showBubbleSize val="0"/>
          <c:showLeaderLines val="1"/>
        </c:dLbls>
        <c:firstSliceAng val="0"/>
      </c:pieChart>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ee88afa6-f34a-49e0-925f-22dbb0cb04d7}"/>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财政拨款支出决算变动图 </a:t>
            </a:r>
            <a:endParaRPr sz="1400" b="0" i="0" u="none" strike="noStrike" baseline="0">
              <a:solidFill>
                <a:srgbClr val="595959">
                  <a:alpha val="100000"/>
                </a:srgbClr>
              </a:solidFill>
              <a:latin typeface="宋体" panose="02010600030101010101" charset="-122"/>
              <a:ea typeface="宋体" panose="02010600030101010101" charset="-122"/>
              <a:cs typeface="宋体" panose="02010600030101010101" charset="-122"/>
            </a:endParaRPr>
          </a:p>
        </c:rich>
      </c:tx>
      <c:layout>
        <c:manualLayout>
          <c:xMode val="edge"/>
          <c:yMode val="edge"/>
          <c:x val="0.201172333299423"/>
          <c:y val="0.00933997509339975"/>
        </c:manualLayout>
      </c:layout>
      <c:overlay val="0"/>
      <c:spPr>
        <a:noFill/>
        <a:ln>
          <a:noFill/>
        </a:ln>
        <a:effectLst/>
      </c:spPr>
    </c:title>
    <c:autoTitleDeleted val="0"/>
    <c:plotArea>
      <c:layout/>
      <c:barChart>
        <c:barDir val="col"/>
        <c:grouping val="clustered"/>
        <c:varyColors val="0"/>
        <c:ser>
          <c:idx val="0"/>
          <c:order val="0"/>
          <c:tx>
            <c:strRef>
              <c:f>'[XLS 工作表.xls]Sheet1'!$B$37:$B$38</c:f>
              <c:strCache>
                <c:ptCount val="1"/>
                <c:pt idx="0">
                  <c:v>一般公共预算财政拨款支出决算变动图
 支出</c:v>
                </c:pt>
              </c:strCache>
            </c:strRef>
          </c:tx>
          <c:spPr>
            <a:solidFill>
              <a:schemeClr val="accent1"/>
            </a:solidFill>
            <a:ln>
              <a:noFill/>
            </a:ln>
            <a:effectLst/>
          </c:spPr>
          <c:invertIfNegative val="0"/>
          <c:dLbls>
            <c:numFmt formatCode="General" sourceLinked="1"/>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'[XLS 工作表.xls]Sheet1'!$A$39:$A$40</c:f>
              <c:strCache>
                <c:ptCount val="2"/>
                <c:pt idx="0">
                  <c:v>2023年</c:v>
                </c:pt>
                <c:pt idx="1">
                  <c:v>2024年</c:v>
                </c:pt>
              </c:strCache>
            </c:strRef>
          </c:cat>
          <c:val>
            <c:numRef>
              <c:f>'[XLS 工作表.xls]Sheet1'!$B$39:$B$40</c:f>
              <c:numCache>
                <c:formatCode>General</c:formatCode>
                <c:ptCount val="2"/>
                <c:pt idx="0">
                  <c:v>1305.25</c:v>
                </c:pt>
                <c:pt idx="1">
                  <c:v>1388.49</c:v>
                </c:pt>
              </c:numCache>
            </c:numRef>
          </c:val>
        </c:ser>
        <c:dLbls>
          <c:showLegendKey val="0"/>
          <c:showVal val="0"/>
          <c:showCatName val="0"/>
          <c:showSerName val="0"/>
          <c:showPercent val="0"/>
          <c:showBubbleSize val="0"/>
        </c:dLbls>
        <c:gapWidth val="219"/>
        <c:overlap val="-27"/>
        <c:axId val="652596646"/>
        <c:axId val="252163491"/>
      </c:barChart>
      <c:catAx>
        <c:axId val="652596646"/>
        <c:scaling>
          <c:orientation val="minMax"/>
        </c:scaling>
        <c:delete val="0"/>
        <c:axPos val="b"/>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252163491"/>
        <c:crosses val="autoZero"/>
        <c:auto val="1"/>
        <c:lblAlgn val="ctr"/>
        <c:lblOffset val="100"/>
        <c:noMultiLvlLbl val="0"/>
      </c:catAx>
      <c:valAx>
        <c:axId val="252163491"/>
        <c:scaling>
          <c:orientation val="minMax"/>
        </c:scaling>
        <c:delete val="0"/>
        <c:axPos val="l"/>
        <c:majorGridlines>
          <c:spPr>
            <a:ln w="9525" cap="flat" cmpd="sng" algn="ctr">
              <a:solidFill>
                <a:schemeClr val="tx1">
                  <a:lumMod val="15000"/>
                  <a:lumOff val="85000"/>
                </a:schemeClr>
              </a:solidFill>
              <a:prstDash val="solid"/>
              <a:round/>
            </a:ln>
            <a:effectLst/>
          </c:spPr>
        </c:majorGridlines>
        <c:numFmt formatCode="General" sourceLinked="1"/>
        <c:majorTickMark val="none"/>
        <c:minorTickMark val="none"/>
        <c:tickLblPos val="nextTo"/>
        <c:spPr>
          <a:noFill/>
          <a:ln w="6350" cap="flat" cmpd="sng" algn="ctr">
            <a:no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652596646"/>
        <c:crosses val="autoZero"/>
        <c:crossBetween val="between"/>
      </c:valAx>
      <c:spPr>
        <a:noFill/>
        <a:ln>
          <a:noFill/>
        </a:ln>
        <a:effectLst/>
      </c:spPr>
    </c:plotArea>
    <c:plotVisOnly val="1"/>
    <c:dispBlanksAs val="gap"/>
    <c:showDLblsOverMax val="0"/>
    <c:extLst>
      <c:ext uri="{0b15fc19-7d7d-44ad-8c2d-2c3a37ce22c3}">
        <chartProps xmlns="https://web.wps.cn/et/2018/main" chartId="{b2eeb22e-3ce8-4009-93e4-26e3e8e054d3}"/>
      </c:ext>
    </c:extLst>
  </c:chart>
  <c:spPr>
    <a:solidFill>
      <a:schemeClr val="bg1"/>
    </a:solidFill>
    <a:ln w="9525" cap="flat" cmpd="sng" algn="ctr">
      <a:solidFill>
        <a:schemeClr val="tx1">
          <a:lumMod val="15000"/>
          <a:lumOff val="85000"/>
        </a:schemeClr>
      </a:solidFill>
      <a:prstDash val="solid"/>
      <a:round/>
    </a:ln>
    <a:effectLst/>
  </c:spPr>
  <c:txPr>
    <a:bodyPr wrap="square"/>
    <a:lstStyle/>
    <a:p>
      <a:pPr>
        <a:defRPr lang="zh-CN"/>
      </a:pPr>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一般公共预算财政拨款支出决算变动图 </a:t>
            </a:r>
            <a:endParaRPr sz="1400" b="0" i="0" u="none" strike="noStrike" baseline="0">
              <a:solidFill>
                <a:srgbClr val="595959">
                  <a:alpha val="100000"/>
                </a:srgbClr>
              </a:solidFill>
              <a:latin typeface="宋体" panose="02010600030101010101" charset="-122"/>
              <a:ea typeface="宋体" panose="02010600030101010101" charset="-122"/>
              <a:cs typeface="宋体" panose="02010600030101010101" charset="-122"/>
            </a:endParaRPr>
          </a:p>
        </c:rich>
      </c:tx>
      <c:layout>
        <c:manualLayout>
          <c:xMode val="edge"/>
          <c:yMode val="edge"/>
          <c:x val="0.124696050627593"/>
          <c:y val="0.0350633528265108"/>
        </c:manualLayout>
      </c:layout>
      <c:overlay val="0"/>
      <c:spPr>
        <a:noFill/>
        <a:ln>
          <a:noFill/>
        </a:ln>
        <a:effectLst/>
      </c:spPr>
    </c:title>
    <c:autoTitleDeleted val="0"/>
    <c:plotArea>
      <c:layout/>
      <c:barChart>
        <c:barDir val="col"/>
        <c:grouping val="clustered"/>
        <c:varyColors val="0"/>
        <c:ser>
          <c:idx val="0"/>
          <c:order val="0"/>
          <c:tx>
            <c:strRef>
              <c:f>'[XLS 工作表.xls]Sheet1'!$B$37:$B$38</c:f>
              <c:strCache>
                <c:ptCount val="1"/>
                <c:pt idx="0">
                  <c:v>一般公共预算财政拨款支出决算变动图
 支出</c:v>
                </c:pt>
              </c:strCache>
            </c:strRef>
          </c:tx>
          <c:spPr>
            <a:solidFill>
              <a:schemeClr val="accent1"/>
            </a:solidFill>
            <a:ln>
              <a:noFill/>
            </a:ln>
            <a:effectLst/>
          </c:spPr>
          <c:invertIfNegative val="0"/>
          <c:dLbls>
            <c:numFmt formatCode="General" sourceLinked="1"/>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'[XLS 工作表.xls]Sheet1'!$A$39:$A$40</c:f>
              <c:strCache>
                <c:ptCount val="2"/>
                <c:pt idx="0">
                  <c:v>2023年</c:v>
                </c:pt>
                <c:pt idx="1">
                  <c:v>2024年</c:v>
                </c:pt>
              </c:strCache>
            </c:strRef>
          </c:cat>
          <c:val>
            <c:numRef>
              <c:f>'[XLS 工作表.xls]Sheet1'!$B$39:$B$40</c:f>
              <c:numCache>
                <c:formatCode>General</c:formatCode>
                <c:ptCount val="2"/>
                <c:pt idx="0">
                  <c:v>1250.27</c:v>
                </c:pt>
                <c:pt idx="1" c:formatCode="#,##0.00">
                  <c:v>1035.16</c:v>
                </c:pt>
              </c:numCache>
            </c:numRef>
          </c:val>
        </c:ser>
        <c:dLbls>
          <c:showLegendKey val="0"/>
          <c:showVal val="0"/>
          <c:showCatName val="0"/>
          <c:showSerName val="0"/>
          <c:showPercent val="0"/>
          <c:showBubbleSize val="0"/>
        </c:dLbls>
        <c:gapWidth val="219"/>
        <c:overlap val="-27"/>
        <c:axId val="652596646"/>
        <c:axId val="252163491"/>
      </c:barChart>
      <c:catAx>
        <c:axId val="652596646"/>
        <c:scaling>
          <c:orientation val="minMax"/>
        </c:scaling>
        <c:delete val="0"/>
        <c:axPos val="b"/>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252163491"/>
        <c:crosses val="autoZero"/>
        <c:auto val="1"/>
        <c:lblAlgn val="ctr"/>
        <c:lblOffset val="100"/>
        <c:noMultiLvlLbl val="0"/>
      </c:catAx>
      <c:valAx>
        <c:axId val="252163491"/>
        <c:scaling>
          <c:orientation val="minMax"/>
        </c:scaling>
        <c:delete val="0"/>
        <c:axPos val="l"/>
        <c:majorGridlines>
          <c:spPr>
            <a:ln w="9525" cap="flat" cmpd="sng" algn="ctr">
              <a:solidFill>
                <a:schemeClr val="tx1">
                  <a:lumMod val="15000"/>
                  <a:lumOff val="85000"/>
                </a:schemeClr>
              </a:solidFill>
              <a:prstDash val="solid"/>
              <a:round/>
            </a:ln>
            <a:effectLst/>
          </c:spPr>
        </c:majorGridlines>
        <c:numFmt formatCode="General" sourceLinked="1"/>
        <c:majorTickMark val="none"/>
        <c:minorTickMark val="none"/>
        <c:tickLblPos val="nextTo"/>
        <c:spPr>
          <a:noFill/>
          <a:ln w="6350" cap="flat" cmpd="sng" algn="ctr">
            <a:no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652596646"/>
        <c:crosses val="autoZero"/>
        <c:crossBetween val="between"/>
      </c:valAx>
      <c:spPr>
        <a:noFill/>
        <a:ln>
          <a:noFill/>
        </a:ln>
        <a:effectLst/>
      </c:spPr>
    </c:plotArea>
    <c:plotVisOnly val="1"/>
    <c:dispBlanksAs val="gap"/>
    <c:showDLblsOverMax val="0"/>
    <c:extLst>
      <c:ext uri="{0b15fc19-7d7d-44ad-8c2d-2c3a37ce22c3}">
        <chartProps xmlns="https://web.wps.cn/et/2018/main" chartId="{f48930f1-a8bc-4101-90c6-5f97da706441}"/>
      </c:ext>
    </c:extLst>
  </c:chart>
  <c:spPr>
    <a:solidFill>
      <a:schemeClr val="bg1"/>
    </a:solidFill>
    <a:ln w="9525" cap="flat" cmpd="sng" algn="ctr">
      <a:solidFill>
        <a:schemeClr val="tx1">
          <a:lumMod val="15000"/>
          <a:lumOff val="85000"/>
        </a:schemeClr>
      </a:solidFill>
      <a:prstDash val="solid"/>
      <a:round/>
    </a:ln>
    <a:effectLst/>
  </c:spPr>
  <c:txPr>
    <a:bodyPr wrap="square"/>
    <a:lstStyle/>
    <a:p>
      <a:pPr>
        <a:defRPr lang="zh-CN"/>
      </a:pPr>
    </a:p>
  </c:tx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layout/>
      <c:overlay val="0"/>
      <c:spPr>
        <a:noFill/>
        <a:ln>
          <a:noFill/>
        </a:ln>
        <a:effectLst/>
      </c:spPr>
      <c:txPr>
        <a:bodyPr rot="0" spcFirstLastPara="0"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p>
      </c:txPr>
    </c:title>
    <c:autoTitleDeleted val="0"/>
    <c:plotArea>
      <c:layout/>
      <c:pieChart>
        <c:varyColors val="1"/>
        <c:ser>
          <c:idx val="0"/>
          <c:order val="0"/>
          <c:tx>
            <c:strRef>
              <c:f>'[XLS 工作表.xls]Sheet1'!$H$5</c:f>
              <c:strCache>
                <c:ptCount val="1"/>
                <c:pt idx="0">
                  <c:v>一般公共预算财政拨款支出决算结构</c:v>
                </c:pt>
              </c:strCache>
            </c:strRef>
          </c:tx>
          <c:spPr/>
          <c:explosion val="0"/>
          <c:dPt>
            <c:idx val="0"/>
            <c:bubble3D val="0"/>
            <c:spPr>
              <a:solidFill>
                <a:schemeClr val="accent1"/>
              </a:solidFill>
              <a:ln w="19050">
                <a:solidFill>
                  <a:schemeClr val="lt1"/>
                </a:solidFill>
              </a:ln>
              <a:effectLst/>
            </c:spPr>
          </c:dPt>
          <c:dPt>
            <c:idx val="1"/>
            <c:bubble3D val="0"/>
            <c:spPr>
              <a:solidFill>
                <a:schemeClr val="accent2"/>
              </a:solidFill>
              <a:ln w="19050">
                <a:solidFill>
                  <a:schemeClr val="lt1"/>
                </a:solidFill>
              </a:ln>
              <a:effectLst/>
            </c:spPr>
          </c:dPt>
          <c:dPt>
            <c:idx val="2"/>
            <c:bubble3D val="0"/>
            <c:spPr>
              <a:solidFill>
                <a:schemeClr val="accent3"/>
              </a:solidFill>
              <a:ln w="19050">
                <a:solidFill>
                  <a:schemeClr val="lt1"/>
                </a:solidFill>
              </a:ln>
              <a:effectLst/>
            </c:spPr>
          </c:dPt>
          <c:dLbls>
            <c:dLbl>
              <c:idx val="0"/>
              <c:layout>
                <c:manualLayout>
                  <c:x val="0.272081084706153"/>
                  <c:y val="-0.141988052369361"/>
                </c:manualLayout>
              </c:layout>
              <c:dLblPos val="bestFit"/>
              <c:showLegendKey val="0"/>
              <c:showVal val="1"/>
              <c:showCatName val="0"/>
              <c:showSerName val="0"/>
              <c:showPercent val="0"/>
              <c:showBubbleSize val="0"/>
              <c:extLst>
                <c:ext xmlns:c15="http://schemas.microsoft.com/office/drawing/2012/chart" uri="{CE6537A1-D6FC-4f65-9D91-7224C49458BB}">
                  <c15:layout/>
                </c:ext>
              </c:extLst>
            </c:dLbl>
            <c:dLbl>
              <c:idx val="1"/>
              <c:layout>
                <c:manualLayout>
                  <c:x val="-0.147292172740902"/>
                  <c:y val="-0.0126848838776101"/>
                </c:manualLayout>
              </c:layout>
              <c:dLblPos val="bestFit"/>
              <c:showLegendKey val="0"/>
              <c:showVal val="1"/>
              <c:showCatName val="0"/>
              <c:showSerName val="0"/>
              <c:showPercent val="0"/>
              <c:showBubbleSize val="0"/>
              <c:extLst>
                <c:ext xmlns:c15="http://schemas.microsoft.com/office/drawing/2012/chart" uri="{CE6537A1-D6FC-4f65-9D91-7224C49458BB}">
                  <c15:layout/>
                </c:ext>
              </c:extLst>
            </c:dLbl>
            <c:dLbl>
              <c:idx val="2"/>
              <c:layout>
                <c:manualLayout>
                  <c:x val="0.157981425044087"/>
                  <c:y val="-0.0159468126762784"/>
                </c:manualLayout>
              </c:layout>
              <c:dLblPos val="bestFit"/>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bestFit"/>
            <c:showLegendKey val="0"/>
            <c:showVal val="1"/>
            <c:showCatName val="0"/>
            <c:showSerName val="0"/>
            <c:showPercent val="0"/>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'[XLS 工作表.xls]Sheet1'!$I$4:$K$4</c:f>
              <c:strCache>
                <c:ptCount val="3"/>
                <c:pt idx="0">
                  <c:v>社会保障和就业支出</c:v>
                </c:pt>
                <c:pt idx="1">
                  <c:v>卫生健康支出</c:v>
                </c:pt>
                <c:pt idx="2">
                  <c:v>住房保障支出</c:v>
                </c:pt>
              </c:strCache>
            </c:strRef>
          </c:cat>
          <c:val>
            <c:numRef>
              <c:f>'[XLS 工作表.xls]Sheet1'!$I$5:$K$5</c:f>
              <c:numCache>
                <c:formatCode>General</c:formatCode>
                <c:ptCount val="3"/>
                <c:pt idx="0">
                  <c:v>938.46</c:v>
                </c:pt>
                <c:pt idx="1">
                  <c:v>49.53</c:v>
                </c:pt>
                <c:pt idx="2">
                  <c:v>47.16</c:v>
                </c:pt>
              </c:numCache>
            </c:numRef>
          </c:val>
        </c:ser>
        <c:dLbls>
          <c:showLegendKey val="0"/>
          <c:showVal val="1"/>
          <c:showCatName val="0"/>
          <c:showSerName val="0"/>
          <c:showPercent val="0"/>
          <c:showBubbleSize val="0"/>
          <c:showLeaderLines val="1"/>
        </c:dLbls>
        <c:firstSliceAng val="0"/>
      </c:pieChart>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b5f89741-722b-412d-ad82-4afb680ef010}"/>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layout/>
      <c:overlay val="0"/>
      <c:spPr>
        <a:noFill/>
        <a:ln>
          <a:noFill/>
        </a:ln>
        <a:effectLst/>
      </c:spPr>
      <c:txPr>
        <a:bodyPr rot="0" spcFirstLastPara="0"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p>
      </c:txPr>
    </c:title>
    <c:autoTitleDeleted val="0"/>
    <c:plotArea>
      <c:layout/>
      <c:pieChart>
        <c:varyColors val="1"/>
        <c:ser>
          <c:idx val="0"/>
          <c:order val="0"/>
          <c:tx>
            <c:strRef>
              <c:f>'[XLS 工作表.xls]Sheet1'!$O$34</c:f>
              <c:strCache>
                <c:ptCount val="1"/>
                <c:pt idx="0">
                  <c:v>“三公”经费财政拨款支出结构</c:v>
                </c:pt>
              </c:strCache>
            </c:strRef>
          </c:tx>
          <c:spPr>
            <a:ln w="19050">
              <a:solidFill>
                <a:schemeClr val="accent1"/>
              </a:solidFill>
            </a:ln>
          </c:spPr>
          <c:explosion val="0"/>
          <c:dPt>
            <c:idx val="0"/>
            <c:bubble3D val="0"/>
            <c:spPr>
              <a:solidFill>
                <a:schemeClr val="accent1"/>
              </a:solidFill>
              <a:ln w="19050">
                <a:solidFill>
                  <a:schemeClr val="accent1"/>
                </a:solidFill>
              </a:ln>
              <a:effectLst/>
            </c:spPr>
          </c:dPt>
          <c:dPt>
            <c:idx val="1"/>
            <c:bubble3D val="0"/>
            <c:spPr>
              <a:solidFill>
                <a:schemeClr val="accent2"/>
              </a:solidFill>
              <a:ln w="19050">
                <a:solidFill>
                  <a:schemeClr val="accent1"/>
                </a:solidFill>
              </a:ln>
              <a:effectLst/>
            </c:spPr>
          </c:dPt>
          <c:dPt>
            <c:idx val="2"/>
            <c:bubble3D val="0"/>
            <c:spPr>
              <a:solidFill>
                <a:schemeClr val="accent3"/>
              </a:solidFill>
              <a:ln w="19050">
                <a:solidFill>
                  <a:schemeClr val="accent1"/>
                </a:solidFill>
              </a:ln>
              <a:effectLst/>
            </c:spPr>
          </c:dPt>
          <c:dLbls>
            <c:dLbl>
              <c:idx val="0"/>
              <c:layout>
                <c:manualLayout>
                  <c:x val="0.18894323168155"/>
                  <c:y val="-0.251454479101407"/>
                </c:manualLayout>
              </c:layout>
              <c:tx>
                <c:rich>
                  <a:bodyPr rot="0" spcFirstLastPara="0" vertOverflow="ellipsis" vert="horz" wrap="square" lIns="38100" tIns="19050" rIns="38100" bIns="19050" anchor="ctr" anchorCtr="1"/>
                  <a:lstStyle/>
                  <a:p>
                    <a:pPr defTabSz="914400">
                      <a:defRPr lang="zh-CN" sz="900" b="0" i="0" u="none" strike="noStrike" kern="1200" baseline="0">
                        <a:solidFill>
                          <a:schemeClr val="tx1">
                            <a:lumMod val="75000"/>
                            <a:lumOff val="25000"/>
                          </a:schemeClr>
                        </a:solidFill>
                        <a:latin typeface="+mn-lt"/>
                        <a:ea typeface="+mn-ea"/>
                        <a:cs typeface="+mn-cs"/>
                      </a:defRPr>
                    </a:pPr>
                    <a:r>
                      <a:rPr b="1"/>
                      <a:t>公务用车运行维护费支出100%</a:t>
                    </a:r>
                    <a:endParaRPr b="1"/>
                  </a:p>
                </c:rich>
              </c:tx>
              <c:dLblPos val="bestFit"/>
              <c:showLegendKey val="0"/>
              <c:showVal val="0"/>
              <c:showCatName val="1"/>
              <c:showSerName val="0"/>
              <c:showPercent val="1"/>
              <c:showBubbleSize val="0"/>
              <c:separator>
</c:separator>
              <c:extLst>
                <c:ext xmlns:c15="http://schemas.microsoft.com/office/drawing/2012/chart" uri="{CE6537A1-D6FC-4f65-9D91-7224C49458BB}">
                  <c15:layout>
                    <c:manualLayout>
                      <c:w val="0.211476226039333"/>
                      <c:h val="0.3229657555765"/>
                    </c:manualLayout>
                  </c15:layout>
                </c:ext>
              </c:extLst>
            </c:dLbl>
            <c:dLbl>
              <c:idx val="1"/>
              <c:delete val="1"/>
            </c:dLbl>
            <c:dLbl>
              <c:idx val="2"/>
              <c:delete val="1"/>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inEnd"/>
            <c:showLegendKey val="0"/>
            <c:showVal val="0"/>
            <c:showCatName val="1"/>
            <c:showSerName val="0"/>
            <c:showPercent val="1"/>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'[XLS 工作表.xls]Sheet1'!$P$33:$R$33</c:f>
              <c:strCache>
                <c:ptCount val="3"/>
                <c:pt idx="0">
                  <c:v>公务用车购置及运行维护费支出</c:v>
                </c:pt>
                <c:pt idx="1">
                  <c:v>公务接待费支出</c:v>
                </c:pt>
                <c:pt idx="2">
                  <c:v>因公出国（境）费支出</c:v>
                </c:pt>
              </c:strCache>
            </c:strRef>
          </c:cat>
          <c:val>
            <c:numRef>
              <c:f>'[XLS 工作表.xls]Sheet1'!$P$34:$R$34</c:f>
              <c:numCache>
                <c:formatCode>General</c:formatCode>
                <c:ptCount val="3"/>
                <c:pt idx="0">
                  <c:v>45.53</c:v>
                </c:pt>
                <c:pt idx="1">
                  <c:v>0</c:v>
                </c:pt>
                <c:pt idx="2">
                  <c:v>0</c:v>
                </c:pt>
              </c:numCache>
            </c:numRef>
          </c:val>
        </c:ser>
        <c:dLbls>
          <c:showLegendKey val="0"/>
          <c:showVal val="0"/>
          <c:showCatName val="1"/>
          <c:showSerName val="0"/>
          <c:showPercent val="1"/>
          <c:showBubbleSize val="0"/>
          <c:showLeaderLines val="1"/>
        </c:dLbls>
        <c:firstSliceAng val="0"/>
      </c:pieChart>
      <c:spPr>
        <a:noFill/>
        <a:ln>
          <a:noFill/>
        </a:ln>
        <a:effectLst/>
      </c:spPr>
    </c:plotArea>
    <c:plotVisOnly val="1"/>
    <c:dispBlanksAs val="gap"/>
    <c:showDLblsOverMax val="0"/>
    <c:extLst>
      <c:ext uri="{0b15fc19-7d7d-44ad-8c2d-2c3a37ce22c3}">
        <chartProps xmlns="https://web.wps.cn/et/2018/main" chartId="{d8d7b540-f298-48d5-8f56-36bfcaa40772}"/>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四川省财政厅</Company>
  <Pages>46</Pages>
  <Words>4812</Words>
  <Characters>5294</Characters>
  <Lines>61</Lines>
  <Paragraphs>17</Paragraphs>
  <TotalTime>184</TotalTime>
  <ScaleCrop>false</ScaleCrop>
  <LinksUpToDate>false</LinksUpToDate>
  <CharactersWithSpaces>5393</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2020-08-11T09:49:00Z</dcterms:created>
  <dc:creator>曹颖</dc:creator>
  <cp:lastModifiedBy>一个笨蛋</cp:lastModifiedBy>
  <cp:lastPrinted>2025-09-20T02:11:00Z</cp:lastPrinted>
  <dcterms:modified xsi:type="dcterms:W3CDTF">2026-08-28T08:03:23Z</dcterms:modified>
  <dc:title>四川省***</dc:title>
  <cp:revision>32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04787F2533EB45DC91BCDE4AB213247F</vt:lpwstr>
  </property>
  <property fmtid="{D5CDD505-2E9C-101B-9397-08002B2CF9AE}" pid="4" name="KSOTemplateDocerSaveRecord">
    <vt:lpwstr>eyJoZGlkIjoiYjllZGNkZWEzYjg0NDNmNTQ5MjkzNjk0ODlhNmVkYzAiLCJ1c2VySWQiOiI0MTAxMDQ4MDkifQ==</vt:lpwstr>
  </property>
</Properties>
</file>