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eastAsia" w:ascii="Times New Roman" w:hAnsi="Times New Roman" w:eastAsia="方正小标宋简体" w:cs="Times New Roman"/>
          <w:color w:val="auto"/>
          <w:kern w:val="2"/>
          <w:sz w:val="72"/>
          <w:szCs w:val="72"/>
          <w:highlight w:val="none"/>
          <w:lang w:val="en-US" w:eastAsia="zh-CN" w:bidi="ar-SA"/>
        </w:rPr>
      </w:pPr>
      <w:bookmarkStart w:id="0" w:name="_Toc15378441"/>
      <w:bookmarkStart w:id="1" w:name="_Toc15396475"/>
      <w:bookmarkStart w:id="2" w:name="_Toc15377193"/>
      <w:bookmarkStart w:id="3" w:name="_Toc15306267"/>
      <w:bookmarkStart w:id="4" w:name="_Toc15377425"/>
      <w:bookmarkStart w:id="5" w:name="_Toc15396597"/>
    </w:p>
    <w:p>
      <w:pPr>
        <w:bidi w:val="0"/>
        <w:rPr>
          <w:rFonts w:hint="default"/>
          <w:lang w:val="en-US" w:eastAsia="zh-CN"/>
        </w:rPr>
      </w:pPr>
    </w:p>
    <w:p>
      <w:pPr>
        <w:pStyle w:val="2"/>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jc w:val="center"/>
        <w:rPr>
          <w:rFonts w:hint="eastAsia" w:ascii="方正小标宋简体" w:hAnsi="方正小标宋简体" w:eastAsia="方正小标宋简体" w:cs="方正小标宋简体"/>
          <w:sz w:val="72"/>
          <w:szCs w:val="72"/>
        </w:rPr>
      </w:pPr>
      <w:r>
        <w:rPr>
          <w:rFonts w:hint="default"/>
          <w:lang w:eastAsia="zh-CN"/>
        </w:rPr>
        <w:tab/>
      </w:r>
      <w:r>
        <w:rPr>
          <w:rFonts w:hint="eastAsia" w:ascii="方正小标宋简体" w:hAnsi="方正小标宋简体" w:eastAsia="方正小标宋简体" w:cs="方正小标宋简体"/>
          <w:sz w:val="72"/>
          <w:szCs w:val="72"/>
        </w:rPr>
        <w:t>2024年阿坝州</w:t>
      </w:r>
    </w:p>
    <w:p>
      <w:pPr>
        <w:jc w:val="center"/>
        <w:rPr>
          <w:rFonts w:hint="eastAsia"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低收入家庭认定指导中心决算公开</w:t>
      </w:r>
    </w:p>
    <w:p>
      <w:pPr>
        <w:pStyle w:val="2"/>
        <w:rPr>
          <w:rFonts w:hint="eastAsia" w:ascii="方正小标宋简体" w:hAnsi="方正小标宋简体" w:eastAsia="方正小标宋简体" w:cs="方正小标宋简体"/>
          <w:sz w:val="72"/>
          <w:szCs w:val="72"/>
        </w:rPr>
      </w:pPr>
    </w:p>
    <w:p>
      <w:pPr>
        <w:rPr>
          <w:rFonts w:hint="eastAsia" w:ascii="方正小标宋简体" w:hAnsi="方正小标宋简体" w:eastAsia="方正小标宋简体" w:cs="方正小标宋简体"/>
          <w:sz w:val="72"/>
          <w:szCs w:val="72"/>
        </w:rPr>
      </w:pPr>
    </w:p>
    <w:p>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w:t>
      </w:r>
      <w:r>
        <w:rPr>
          <w:rFonts w:hint="default" w:ascii="Times New Roman" w:hAnsi="Times New Roman" w:eastAsia="仿宋_GB2312" w:cs="仿宋_GB2312"/>
          <w:color w:val="auto"/>
          <w:sz w:val="32"/>
          <w:szCs w:val="32"/>
          <w:highlight w:val="none"/>
          <w:lang w:eastAsia="zh-CN"/>
        </w:rPr>
        <w:t>5</w:t>
      </w:r>
      <w:bookmarkStart w:id="85" w:name="_GoBack"/>
      <w:bookmarkEnd w:id="85"/>
      <w:r>
        <w:rPr>
          <w:rFonts w:hint="eastAsia" w:ascii="Times New Roman" w:hAnsi="Times New Roman" w:eastAsia="仿宋_GB2312" w:cs="仿宋_GB2312"/>
          <w:color w:val="auto"/>
          <w:sz w:val="32"/>
          <w:szCs w:val="32"/>
          <w:highlight w:val="none"/>
        </w:rPr>
        <w:t>年</w:t>
      </w:r>
      <w:r>
        <w:rPr>
          <w:rFonts w:hint="default" w:ascii="Times New Roman" w:hAnsi="Times New Roman" w:eastAsia="仿宋_GB2312" w:cs="仿宋_GB2312"/>
          <w:color w:val="auto"/>
          <w:sz w:val="32"/>
          <w:szCs w:val="32"/>
          <w:highlight w:val="none"/>
          <w:lang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w:t>
      </w:r>
      <w:r>
        <w:rPr>
          <w:rFonts w:hint="default" w:ascii="Times New Roman" w:hAnsi="Times New Roman" w:eastAsia="仿宋_GB2312" w:cs="仿宋_GB2312"/>
          <w:color w:val="auto"/>
          <w:sz w:val="32"/>
          <w:szCs w:val="32"/>
          <w:highlight w:val="none"/>
          <w:lang w:eastAsia="zh-CN"/>
        </w:rPr>
        <w:t>19</w:t>
      </w:r>
      <w:r>
        <w:rPr>
          <w:rFonts w:hint="eastAsia" w:ascii="Times New Roman" w:hAnsi="Times New Roman" w:eastAsia="仿宋_GB2312" w:cs="仿宋_GB2312"/>
          <w:color w:val="auto"/>
          <w:sz w:val="32"/>
          <w:szCs w:val="32"/>
          <w:highlight w:val="none"/>
        </w:rPr>
        <w:t>日</w:t>
      </w:r>
    </w:p>
    <w:p>
      <w:pPr>
        <w:tabs>
          <w:tab w:val="left" w:pos="1933"/>
        </w:tabs>
        <w:bidi w:val="0"/>
        <w:jc w:val="left"/>
        <w:rPr>
          <w:rFonts w:hint="default"/>
          <w:b/>
          <w:bCs/>
          <w:lang w:eastAsia="zh-CN"/>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bookmarkEnd w:id="0"/>
    <w:bookmarkEnd w:id="1"/>
    <w:bookmarkEnd w:id="2"/>
    <w:bookmarkEnd w:id="3"/>
    <w:bookmarkEnd w:id="4"/>
    <w:bookmarkEnd w:id="5"/>
    <w:p>
      <w:pPr>
        <w:spacing w:before="0" w:beforeLines="0" w:after="0" w:afterLines="0" w:line="240" w:lineRule="auto"/>
        <w:ind w:left="0" w:leftChars="0" w:right="0" w:rightChars="0" w:firstLine="0" w:firstLineChars="0"/>
        <w:jc w:val="center"/>
        <w:rPr>
          <w:rFonts w:ascii="宋体" w:hAnsi="宋体" w:eastAsia="宋体"/>
          <w:sz w:val="52"/>
          <w:szCs w:val="52"/>
        </w:rPr>
      </w:pPr>
      <w:r>
        <w:rPr>
          <w:rFonts w:ascii="宋体" w:hAnsi="宋体" w:eastAsia="宋体"/>
          <w:sz w:val="52"/>
          <w:szCs w:val="52"/>
        </w:rPr>
        <w:t>目录</w:t>
      </w:r>
    </w:p>
    <w:sdt>
      <w:sdtPr>
        <w:rPr>
          <w:rFonts w:ascii="宋体" w:hAnsi="宋体" w:eastAsia="宋体" w:cs="Times New Roman"/>
          <w:kern w:val="2"/>
          <w:sz w:val="21"/>
          <w:szCs w:val="24"/>
          <w:lang w:val="en-US" w:eastAsia="zh-CN" w:bidi="ar-SA"/>
        </w:rPr>
        <w:id w:val="510588735"/>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pPr>
            <w:spacing w:before="0" w:beforeLines="0" w:after="0" w:afterLines="0" w:line="240" w:lineRule="auto"/>
            <w:ind w:left="0" w:leftChars="0" w:right="0" w:rightChars="0" w:firstLine="0" w:firstLineChars="0"/>
            <w:jc w:val="center"/>
          </w:pPr>
        </w:p>
        <w:p>
          <w:pPr>
            <w:pStyle w:val="37"/>
            <w:tabs>
              <w:tab w:val="right" w:leader="dot" w:pos="8306"/>
            </w:tabs>
          </w:pPr>
          <w:r>
            <w:fldChar w:fldCharType="begin"/>
          </w:r>
          <w:r>
            <w:instrText xml:space="preserve">TOC \o "1-3" \h \u </w:instrText>
          </w:r>
          <w:r>
            <w:fldChar w:fldCharType="separate"/>
          </w:r>
          <w:r>
            <w:fldChar w:fldCharType="begin"/>
          </w:r>
          <w:r>
            <w:instrText xml:space="preserve"> HYPERLINK \l _Toc756611054 </w:instrText>
          </w:r>
          <w:r>
            <w:fldChar w:fldCharType="separate"/>
          </w:r>
          <w:r>
            <w:rPr>
              <w:rFonts w:hint="eastAsia" w:ascii="Times New Roman" w:hAnsi="Times New Roman" w:eastAsia="方正小标宋简体" w:cs="方正小标宋简体"/>
              <w:highlight w:val="none"/>
            </w:rPr>
            <w:t>第一部分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ascii="Times New Roman" w:hAnsi="Times New Roman" w:eastAsia="方正小标宋简体" w:cs="方正小标宋简体"/>
              <w:bCs w:val="0"/>
              <w:highlight w:val="none"/>
            </w:rPr>
            <w:t>部门概况</w:t>
          </w:r>
          <w:r>
            <w:tab/>
          </w:r>
          <w:r>
            <w:fldChar w:fldCharType="begin"/>
          </w:r>
          <w:r>
            <w:instrText xml:space="preserve"> PAGEREF _Toc756611054 \h </w:instrText>
          </w:r>
          <w:r>
            <w:fldChar w:fldCharType="separate"/>
          </w:r>
          <w:r>
            <w:t>- 2 -</w:t>
          </w:r>
          <w:r>
            <w:fldChar w:fldCharType="end"/>
          </w:r>
          <w:r>
            <w:fldChar w:fldCharType="end"/>
          </w:r>
        </w:p>
        <w:p>
          <w:pPr>
            <w:pStyle w:val="38"/>
            <w:tabs>
              <w:tab w:val="right" w:leader="dot" w:pos="8306"/>
            </w:tabs>
          </w:pPr>
          <w:r>
            <w:fldChar w:fldCharType="begin"/>
          </w:r>
          <w:r>
            <w:instrText xml:space="preserve"> HYPERLINK \l _Toc1087142373 </w:instrText>
          </w:r>
          <w:r>
            <w:fldChar w:fldCharType="separate"/>
          </w:r>
          <w:r>
            <w:rPr>
              <w:rFonts w:hint="eastAsia" w:ascii="Times New Roman" w:hAnsi="Times New Roman" w:eastAsia="黑体"/>
              <w:lang w:eastAsia="zh-CN"/>
            </w:rPr>
            <w:t xml:space="preserve">一、 </w:t>
          </w:r>
          <w:r>
            <w:rPr>
              <w:rFonts w:hint="default" w:ascii="Times New Roman" w:hAnsi="Times New Roman" w:eastAsia="黑体"/>
              <w:highlight w:val="none"/>
              <w:lang w:eastAsia="zh-CN"/>
            </w:rPr>
            <w:t>主要</w:t>
          </w:r>
          <w:r>
            <w:rPr>
              <w:rFonts w:hint="eastAsia" w:ascii="Times New Roman" w:hAnsi="Times New Roman" w:eastAsia="黑体"/>
              <w:highlight w:val="none"/>
              <w:lang w:eastAsia="zh-CN"/>
            </w:rPr>
            <w:t>职责</w:t>
          </w:r>
          <w:r>
            <w:tab/>
          </w:r>
          <w:r>
            <w:fldChar w:fldCharType="begin"/>
          </w:r>
          <w:r>
            <w:instrText xml:space="preserve"> PAGEREF _Toc1087142373 \h </w:instrText>
          </w:r>
          <w:r>
            <w:fldChar w:fldCharType="separate"/>
          </w:r>
          <w:r>
            <w:t>- 2 -</w:t>
          </w:r>
          <w:r>
            <w:fldChar w:fldCharType="end"/>
          </w:r>
          <w:r>
            <w:fldChar w:fldCharType="end"/>
          </w:r>
        </w:p>
        <w:p>
          <w:pPr>
            <w:pStyle w:val="38"/>
            <w:tabs>
              <w:tab w:val="right" w:leader="dot" w:pos="8306"/>
            </w:tabs>
          </w:pPr>
          <w:r>
            <w:fldChar w:fldCharType="begin"/>
          </w:r>
          <w:r>
            <w:instrText xml:space="preserve"> HYPERLINK \l _Toc1887098875 </w:instrText>
          </w:r>
          <w:r>
            <w:fldChar w:fldCharType="separate"/>
          </w:r>
          <w:r>
            <w:rPr>
              <w:rFonts w:hint="eastAsia" w:ascii="Times New Roman" w:hAnsi="Times New Roman" w:eastAsia="黑体"/>
              <w:highlight w:val="none"/>
            </w:rPr>
            <w:t>二、机</w:t>
          </w:r>
          <w:r>
            <w:rPr>
              <w:rFonts w:hint="eastAsia" w:ascii="Times New Roman" w:hAnsi="Times New Roman" w:eastAsia="黑体"/>
              <w:bCs w:val="0"/>
              <w:highlight w:val="none"/>
            </w:rPr>
            <w:t>构设置</w:t>
          </w:r>
          <w:r>
            <w:tab/>
          </w:r>
          <w:r>
            <w:fldChar w:fldCharType="begin"/>
          </w:r>
          <w:r>
            <w:instrText xml:space="preserve"> PAGEREF _Toc1887098875 \h </w:instrText>
          </w:r>
          <w:r>
            <w:fldChar w:fldCharType="separate"/>
          </w:r>
          <w:r>
            <w:t>- 3 -</w:t>
          </w:r>
          <w:r>
            <w:fldChar w:fldCharType="end"/>
          </w:r>
          <w:r>
            <w:fldChar w:fldCharType="end"/>
          </w:r>
        </w:p>
        <w:p>
          <w:pPr>
            <w:pStyle w:val="37"/>
            <w:tabs>
              <w:tab w:val="right" w:leader="dot" w:pos="8306"/>
            </w:tabs>
          </w:pPr>
          <w:r>
            <w:fldChar w:fldCharType="begin"/>
          </w:r>
          <w:r>
            <w:instrText xml:space="preserve"> HYPERLINK \l _Toc125551072 </w:instrText>
          </w:r>
          <w:r>
            <w:fldChar w:fldCharType="separate"/>
          </w:r>
          <w:r>
            <w:rPr>
              <w:rFonts w:hint="eastAsia" w:ascii="Times New Roman" w:hAnsi="Times New Roman" w:eastAsia="方正小标宋简体" w:cs="方正小标宋简体"/>
              <w:highlight w:val="none"/>
            </w:rPr>
            <w:t>第二部分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ascii="Times New Roman" w:hAnsi="Times New Roman" w:eastAsia="方正小标宋简体" w:cs="方正小标宋简体"/>
              <w:highlight w:val="none"/>
              <w:lang w:val="en-US" w:eastAsia="zh-CN"/>
            </w:rPr>
            <w:t>2024年度</w:t>
          </w:r>
          <w:r>
            <w:rPr>
              <w:rFonts w:hint="eastAsia" w:ascii="Times New Roman" w:hAnsi="Times New Roman" w:eastAsia="方正小标宋简体" w:cs="方正小标宋简体"/>
              <w:highlight w:val="none"/>
            </w:rPr>
            <w:t>部门决算情况说明</w:t>
          </w:r>
          <w:r>
            <w:tab/>
          </w:r>
          <w:r>
            <w:fldChar w:fldCharType="begin"/>
          </w:r>
          <w:r>
            <w:instrText xml:space="preserve"> PAGEREF _Toc125551072 \h </w:instrText>
          </w:r>
          <w:r>
            <w:fldChar w:fldCharType="separate"/>
          </w:r>
          <w:r>
            <w:t>- 3 -</w:t>
          </w:r>
          <w:r>
            <w:fldChar w:fldCharType="end"/>
          </w:r>
          <w:r>
            <w:fldChar w:fldCharType="end"/>
          </w:r>
        </w:p>
        <w:p>
          <w:pPr>
            <w:pStyle w:val="38"/>
            <w:tabs>
              <w:tab w:val="right" w:leader="dot" w:pos="8306"/>
            </w:tabs>
          </w:pPr>
          <w:r>
            <w:fldChar w:fldCharType="begin"/>
          </w:r>
          <w:r>
            <w:instrText xml:space="preserve"> HYPERLINK \l _Toc1391164388 </w:instrText>
          </w:r>
          <w:r>
            <w:fldChar w:fldCharType="separate"/>
          </w:r>
          <w:r>
            <w:rPr>
              <w:rFonts w:hint="eastAsia" w:ascii="Times New Roman" w:hAnsi="Times New Roman" w:eastAsia="黑体"/>
              <w:szCs w:val="32"/>
              <w:highlight w:val="none"/>
              <w:lang w:eastAsia="zh-CN"/>
            </w:rPr>
            <w:t>一、</w:t>
          </w:r>
          <w:r>
            <w:rPr>
              <w:rFonts w:hint="eastAsia" w:ascii="Times New Roman" w:hAnsi="Times New Roman" w:eastAsia="黑体"/>
              <w:szCs w:val="32"/>
              <w:highlight w:val="none"/>
            </w:rPr>
            <w:t>收</w:t>
          </w:r>
          <w:r>
            <w:rPr>
              <w:rFonts w:hint="eastAsia" w:ascii="Times New Roman" w:hAnsi="Times New Roman" w:eastAsia="黑体"/>
              <w:highlight w:val="none"/>
            </w:rPr>
            <w:t>入支出决算总体情况说明</w:t>
          </w:r>
          <w:r>
            <w:tab/>
          </w:r>
          <w:r>
            <w:fldChar w:fldCharType="begin"/>
          </w:r>
          <w:r>
            <w:instrText xml:space="preserve"> PAGEREF _Toc1391164388 \h </w:instrText>
          </w:r>
          <w:r>
            <w:fldChar w:fldCharType="separate"/>
          </w:r>
          <w:r>
            <w:t>- 3 -</w:t>
          </w:r>
          <w:r>
            <w:fldChar w:fldCharType="end"/>
          </w:r>
          <w:r>
            <w:fldChar w:fldCharType="end"/>
          </w:r>
        </w:p>
        <w:p>
          <w:pPr>
            <w:pStyle w:val="38"/>
            <w:tabs>
              <w:tab w:val="right" w:leader="dot" w:pos="8306"/>
            </w:tabs>
          </w:pPr>
          <w:r>
            <w:fldChar w:fldCharType="begin"/>
          </w:r>
          <w:r>
            <w:instrText xml:space="preserve"> HYPERLINK \l _Toc744853809 </w:instrText>
          </w:r>
          <w:r>
            <w:fldChar w:fldCharType="separate"/>
          </w:r>
          <w:r>
            <w:rPr>
              <w:rFonts w:hint="eastAsia" w:ascii="Times New Roman" w:hAnsi="Times New Roman" w:eastAsia="黑体"/>
              <w:szCs w:val="32"/>
              <w:highlight w:val="none"/>
              <w:lang w:eastAsia="zh-CN"/>
            </w:rPr>
            <w:t>二、收入决算情况说明</w:t>
          </w:r>
          <w:r>
            <w:tab/>
          </w:r>
          <w:r>
            <w:fldChar w:fldCharType="begin"/>
          </w:r>
          <w:r>
            <w:instrText xml:space="preserve"> PAGEREF _Toc744853809 \h </w:instrText>
          </w:r>
          <w:r>
            <w:fldChar w:fldCharType="separate"/>
          </w:r>
          <w:r>
            <w:t>- 4 -</w:t>
          </w:r>
          <w:r>
            <w:fldChar w:fldCharType="end"/>
          </w:r>
          <w:r>
            <w:fldChar w:fldCharType="end"/>
          </w:r>
        </w:p>
        <w:p>
          <w:pPr>
            <w:pStyle w:val="38"/>
            <w:tabs>
              <w:tab w:val="right" w:leader="dot" w:pos="8306"/>
            </w:tabs>
          </w:pPr>
          <w:r>
            <w:fldChar w:fldCharType="begin"/>
          </w:r>
          <w:r>
            <w:instrText xml:space="preserve"> HYPERLINK \l _Toc523421561 </w:instrText>
          </w:r>
          <w:r>
            <w:fldChar w:fldCharType="separate"/>
          </w:r>
          <w:r>
            <w:rPr>
              <w:rFonts w:hint="eastAsia" w:ascii="Times New Roman" w:hAnsi="Times New Roman" w:eastAsia="黑体"/>
              <w:szCs w:val="32"/>
              <w:highlight w:val="none"/>
              <w:lang w:eastAsia="zh-CN"/>
            </w:rPr>
            <w:t>三、</w:t>
          </w:r>
          <w:r>
            <w:rPr>
              <w:rFonts w:hint="eastAsia" w:ascii="Times New Roman" w:hAnsi="Times New Roman" w:eastAsia="黑体"/>
              <w:szCs w:val="32"/>
              <w:highlight w:val="none"/>
            </w:rPr>
            <w:t>支</w:t>
          </w:r>
          <w:r>
            <w:rPr>
              <w:rFonts w:hint="eastAsia" w:ascii="Times New Roman" w:hAnsi="Times New Roman" w:eastAsia="黑体"/>
              <w:highlight w:val="none"/>
            </w:rPr>
            <w:t>出决算情况说明</w:t>
          </w:r>
          <w:r>
            <w:tab/>
          </w:r>
          <w:r>
            <w:fldChar w:fldCharType="begin"/>
          </w:r>
          <w:r>
            <w:instrText xml:space="preserve"> PAGEREF _Toc523421561 \h </w:instrText>
          </w:r>
          <w:r>
            <w:fldChar w:fldCharType="separate"/>
          </w:r>
          <w:r>
            <w:t>- 4 -</w:t>
          </w:r>
          <w:r>
            <w:fldChar w:fldCharType="end"/>
          </w:r>
          <w:r>
            <w:fldChar w:fldCharType="end"/>
          </w:r>
        </w:p>
        <w:p>
          <w:pPr>
            <w:pStyle w:val="38"/>
            <w:tabs>
              <w:tab w:val="right" w:leader="dot" w:pos="8306"/>
            </w:tabs>
          </w:pPr>
          <w:r>
            <w:fldChar w:fldCharType="begin"/>
          </w:r>
          <w:r>
            <w:instrText xml:space="preserve"> HYPERLINK \l _Toc1302182683 </w:instrText>
          </w:r>
          <w:r>
            <w:fldChar w:fldCharType="separate"/>
          </w:r>
          <w:r>
            <w:rPr>
              <w:rFonts w:hint="eastAsia" w:ascii="Times New Roman" w:hAnsi="Times New Roman" w:eastAsia="黑体"/>
              <w:szCs w:val="32"/>
              <w:highlight w:val="none"/>
            </w:rPr>
            <w:t>四、财</w:t>
          </w:r>
          <w:r>
            <w:rPr>
              <w:rFonts w:hint="eastAsia" w:ascii="Times New Roman" w:hAnsi="Times New Roman" w:eastAsia="黑体"/>
              <w:highlight w:val="none"/>
            </w:rPr>
            <w:t>政拨款收入支出决算总体情况说明</w:t>
          </w:r>
          <w:r>
            <w:tab/>
          </w:r>
          <w:r>
            <w:fldChar w:fldCharType="begin"/>
          </w:r>
          <w:r>
            <w:instrText xml:space="preserve"> PAGEREF _Toc1302182683 \h </w:instrText>
          </w:r>
          <w:r>
            <w:fldChar w:fldCharType="separate"/>
          </w:r>
          <w:r>
            <w:t>- 4 -</w:t>
          </w:r>
          <w:r>
            <w:fldChar w:fldCharType="end"/>
          </w:r>
          <w:r>
            <w:fldChar w:fldCharType="end"/>
          </w:r>
        </w:p>
        <w:p>
          <w:pPr>
            <w:pStyle w:val="38"/>
            <w:tabs>
              <w:tab w:val="right" w:leader="dot" w:pos="8306"/>
            </w:tabs>
          </w:pPr>
          <w:r>
            <w:fldChar w:fldCharType="begin"/>
          </w:r>
          <w:r>
            <w:instrText xml:space="preserve"> HYPERLINK \l _Toc1196411026 </w:instrText>
          </w:r>
          <w:r>
            <w:fldChar w:fldCharType="separate"/>
          </w:r>
          <w:r>
            <w:rPr>
              <w:rFonts w:hint="eastAsia" w:ascii="Times New Roman" w:hAnsi="Times New Roman" w:eastAsia="黑体"/>
              <w:szCs w:val="32"/>
              <w:highlight w:val="none"/>
            </w:rPr>
            <w:t>五、一</w:t>
          </w:r>
          <w:r>
            <w:rPr>
              <w:rFonts w:hint="eastAsia" w:ascii="Times New Roman" w:hAnsi="Times New Roman" w:eastAsia="黑体"/>
              <w:highlight w:val="none"/>
            </w:rPr>
            <w:t>般公共预算财政拨款支出决算情况说明</w:t>
          </w:r>
          <w:r>
            <w:tab/>
          </w:r>
          <w:r>
            <w:fldChar w:fldCharType="begin"/>
          </w:r>
          <w:r>
            <w:instrText xml:space="preserve"> PAGEREF _Toc1196411026 \h </w:instrText>
          </w:r>
          <w:r>
            <w:fldChar w:fldCharType="separate"/>
          </w:r>
          <w:r>
            <w:t>- 5 -</w:t>
          </w:r>
          <w:r>
            <w:fldChar w:fldCharType="end"/>
          </w:r>
          <w:r>
            <w:fldChar w:fldCharType="end"/>
          </w:r>
        </w:p>
        <w:p>
          <w:pPr>
            <w:pStyle w:val="39"/>
            <w:tabs>
              <w:tab w:val="right" w:leader="dot" w:pos="8306"/>
            </w:tabs>
          </w:pPr>
          <w:r>
            <w:fldChar w:fldCharType="begin"/>
          </w:r>
          <w:r>
            <w:instrText xml:space="preserve"> HYPERLINK \l _Toc1492155463 </w:instrText>
          </w:r>
          <w:r>
            <w:fldChar w:fldCharType="separate"/>
          </w:r>
          <w:r>
            <w:rPr>
              <w:rFonts w:hint="eastAsia" w:ascii="Times New Roman" w:hAnsi="Times New Roman" w:eastAsia="楷体_GB2312" w:cs="楷体_GB2312"/>
              <w:szCs w:val="32"/>
              <w:highlight w:val="none"/>
            </w:rPr>
            <w:t>（一）一般公共预算财政拨款支出决算总体情况</w:t>
          </w:r>
          <w:r>
            <w:tab/>
          </w:r>
          <w:r>
            <w:fldChar w:fldCharType="begin"/>
          </w:r>
          <w:r>
            <w:instrText xml:space="preserve"> PAGEREF _Toc1492155463 \h </w:instrText>
          </w:r>
          <w:r>
            <w:fldChar w:fldCharType="separate"/>
          </w:r>
          <w:r>
            <w:t>- 5 -</w:t>
          </w:r>
          <w:r>
            <w:fldChar w:fldCharType="end"/>
          </w:r>
          <w:r>
            <w:fldChar w:fldCharType="end"/>
          </w:r>
        </w:p>
        <w:p>
          <w:pPr>
            <w:pStyle w:val="39"/>
            <w:tabs>
              <w:tab w:val="right" w:leader="dot" w:pos="8306"/>
            </w:tabs>
          </w:pPr>
          <w:r>
            <w:fldChar w:fldCharType="begin"/>
          </w:r>
          <w:r>
            <w:instrText xml:space="preserve"> HYPERLINK \l _Toc675750442 </w:instrText>
          </w:r>
          <w:r>
            <w:fldChar w:fldCharType="separate"/>
          </w:r>
          <w:r>
            <w:rPr>
              <w:rFonts w:hint="eastAsia" w:ascii="Times New Roman" w:hAnsi="Times New Roman" w:eastAsia="楷体_GB2312" w:cs="楷体_GB2312"/>
              <w:szCs w:val="32"/>
              <w:highlight w:val="none"/>
            </w:rPr>
            <w:t>（二）一般公共预算财政拨款支出决算结构情况</w:t>
          </w:r>
          <w:r>
            <w:tab/>
          </w:r>
          <w:r>
            <w:fldChar w:fldCharType="begin"/>
          </w:r>
          <w:r>
            <w:instrText xml:space="preserve"> PAGEREF _Toc675750442 \h </w:instrText>
          </w:r>
          <w:r>
            <w:fldChar w:fldCharType="separate"/>
          </w:r>
          <w:r>
            <w:t>- 6 -</w:t>
          </w:r>
          <w:r>
            <w:fldChar w:fldCharType="end"/>
          </w:r>
          <w:r>
            <w:fldChar w:fldCharType="end"/>
          </w:r>
        </w:p>
        <w:p>
          <w:pPr>
            <w:pStyle w:val="39"/>
            <w:tabs>
              <w:tab w:val="right" w:leader="dot" w:pos="8306"/>
            </w:tabs>
          </w:pPr>
          <w:r>
            <w:fldChar w:fldCharType="begin"/>
          </w:r>
          <w:r>
            <w:instrText xml:space="preserve"> HYPERLINK \l _Toc872406558 </w:instrText>
          </w:r>
          <w:r>
            <w:fldChar w:fldCharType="separate"/>
          </w:r>
          <w:r>
            <w:rPr>
              <w:rFonts w:hint="eastAsia" w:ascii="Times New Roman" w:hAnsi="Times New Roman" w:eastAsia="楷体_GB2312" w:cs="楷体_GB2312"/>
              <w:szCs w:val="32"/>
              <w:highlight w:val="none"/>
            </w:rPr>
            <w:t>（三）一般公共预算财政拨款支出决算具体情况</w:t>
          </w:r>
          <w:r>
            <w:tab/>
          </w:r>
          <w:r>
            <w:fldChar w:fldCharType="begin"/>
          </w:r>
          <w:r>
            <w:instrText xml:space="preserve"> PAGEREF _Toc872406558 \h </w:instrText>
          </w:r>
          <w:r>
            <w:fldChar w:fldCharType="separate"/>
          </w:r>
          <w:r>
            <w:t>- 6 -</w:t>
          </w:r>
          <w:r>
            <w:fldChar w:fldCharType="end"/>
          </w:r>
          <w:r>
            <w:fldChar w:fldCharType="end"/>
          </w:r>
        </w:p>
        <w:p>
          <w:pPr>
            <w:pStyle w:val="38"/>
            <w:tabs>
              <w:tab w:val="right" w:leader="dot" w:pos="8306"/>
            </w:tabs>
          </w:pPr>
          <w:r>
            <w:fldChar w:fldCharType="begin"/>
          </w:r>
          <w:r>
            <w:instrText xml:space="preserve"> HYPERLINK \l _Toc152075151 </w:instrText>
          </w:r>
          <w:r>
            <w:fldChar w:fldCharType="separate"/>
          </w:r>
          <w:r>
            <w:rPr>
              <w:rFonts w:hint="eastAsia" w:ascii="Times New Roman" w:hAnsi="Times New Roman" w:eastAsia="黑体"/>
              <w:szCs w:val="32"/>
              <w:highlight w:val="none"/>
            </w:rPr>
            <w:t>六、一</w:t>
          </w:r>
          <w:r>
            <w:rPr>
              <w:rFonts w:hint="eastAsia" w:ascii="Times New Roman" w:hAnsi="Times New Roman" w:eastAsia="黑体"/>
              <w:highlight w:val="none"/>
            </w:rPr>
            <w:t>般公共预算财政拨款基本支出决算情况说明</w:t>
          </w:r>
          <w:r>
            <w:tab/>
          </w:r>
          <w:r>
            <w:fldChar w:fldCharType="begin"/>
          </w:r>
          <w:r>
            <w:instrText xml:space="preserve"> PAGEREF _Toc152075151 \h </w:instrText>
          </w:r>
          <w:r>
            <w:fldChar w:fldCharType="separate"/>
          </w:r>
          <w:r>
            <w:t>- 7 -</w:t>
          </w:r>
          <w:r>
            <w:fldChar w:fldCharType="end"/>
          </w:r>
          <w:r>
            <w:fldChar w:fldCharType="end"/>
          </w:r>
        </w:p>
        <w:p>
          <w:pPr>
            <w:pStyle w:val="38"/>
            <w:tabs>
              <w:tab w:val="right" w:leader="dot" w:pos="8306"/>
            </w:tabs>
          </w:pPr>
          <w:r>
            <w:fldChar w:fldCharType="begin"/>
          </w:r>
          <w:r>
            <w:instrText xml:space="preserve"> HYPERLINK \l _Toc281684833 </w:instrText>
          </w:r>
          <w:r>
            <w:fldChar w:fldCharType="separate"/>
          </w:r>
          <w:r>
            <w:rPr>
              <w:rFonts w:hint="eastAsia" w:ascii="Times New Roman" w:hAnsi="Times New Roman" w:eastAsia="黑体"/>
              <w:szCs w:val="32"/>
              <w:highlight w:val="none"/>
            </w:rPr>
            <w:t>七、</w:t>
          </w:r>
          <w:r>
            <w:rPr>
              <w:rFonts w:hint="eastAsia" w:ascii="Times New Roman" w:hAnsi="Times New Roman" w:eastAsia="黑体"/>
              <w:highlight w:val="none"/>
            </w:rPr>
            <w:t>财政拨款“三公”经费支出决算情况说明</w:t>
          </w:r>
          <w:r>
            <w:tab/>
          </w:r>
          <w:r>
            <w:fldChar w:fldCharType="begin"/>
          </w:r>
          <w:r>
            <w:instrText xml:space="preserve"> PAGEREF _Toc281684833 \h </w:instrText>
          </w:r>
          <w:r>
            <w:fldChar w:fldCharType="separate"/>
          </w:r>
          <w:r>
            <w:t>- 7 -</w:t>
          </w:r>
          <w:r>
            <w:fldChar w:fldCharType="end"/>
          </w:r>
          <w:r>
            <w:fldChar w:fldCharType="end"/>
          </w:r>
        </w:p>
        <w:p>
          <w:pPr>
            <w:pStyle w:val="39"/>
            <w:tabs>
              <w:tab w:val="right" w:leader="dot" w:pos="8306"/>
            </w:tabs>
          </w:pPr>
          <w:r>
            <w:fldChar w:fldCharType="begin"/>
          </w:r>
          <w:r>
            <w:instrText xml:space="preserve"> HYPERLINK \l _Toc786636369 </w:instrText>
          </w:r>
          <w:r>
            <w:fldChar w:fldCharType="separate"/>
          </w:r>
          <w:r>
            <w:rPr>
              <w:rFonts w:hint="eastAsia" w:ascii="Times New Roman" w:hAnsi="Times New Roman" w:eastAsia="楷体_GB2312" w:cs="楷体_GB2312"/>
              <w:szCs w:val="32"/>
              <w:highlight w:val="none"/>
            </w:rPr>
            <w:t>（一）“三公”经费财政拨款支出决算总体情况说明</w:t>
          </w:r>
          <w:r>
            <w:tab/>
          </w:r>
          <w:r>
            <w:fldChar w:fldCharType="begin"/>
          </w:r>
          <w:r>
            <w:instrText xml:space="preserve"> PAGEREF _Toc786636369 \h </w:instrText>
          </w:r>
          <w:r>
            <w:fldChar w:fldCharType="separate"/>
          </w:r>
          <w:r>
            <w:t>- 7 -</w:t>
          </w:r>
          <w:r>
            <w:fldChar w:fldCharType="end"/>
          </w:r>
          <w:r>
            <w:fldChar w:fldCharType="end"/>
          </w:r>
        </w:p>
        <w:p>
          <w:pPr>
            <w:pStyle w:val="39"/>
            <w:tabs>
              <w:tab w:val="right" w:leader="dot" w:pos="8306"/>
            </w:tabs>
          </w:pPr>
          <w:r>
            <w:fldChar w:fldCharType="begin"/>
          </w:r>
          <w:r>
            <w:instrText xml:space="preserve"> HYPERLINK \l _Toc1578895551 </w:instrText>
          </w:r>
          <w:r>
            <w:fldChar w:fldCharType="separate"/>
          </w:r>
          <w:r>
            <w:rPr>
              <w:rFonts w:hint="eastAsia" w:ascii="Times New Roman" w:hAnsi="Times New Roman" w:eastAsia="楷体_GB2312" w:cs="楷体_GB2312"/>
              <w:szCs w:val="32"/>
              <w:highlight w:val="none"/>
            </w:rPr>
            <w:t>（二）“三公”经费财政拨款支出决算具体情况说明</w:t>
          </w:r>
          <w:r>
            <w:tab/>
          </w:r>
          <w:r>
            <w:fldChar w:fldCharType="begin"/>
          </w:r>
          <w:r>
            <w:instrText xml:space="preserve"> PAGEREF _Toc1578895551 \h </w:instrText>
          </w:r>
          <w:r>
            <w:fldChar w:fldCharType="separate"/>
          </w:r>
          <w:r>
            <w:t>- 7 -</w:t>
          </w:r>
          <w:r>
            <w:fldChar w:fldCharType="end"/>
          </w:r>
          <w:r>
            <w:fldChar w:fldCharType="end"/>
          </w:r>
        </w:p>
        <w:p>
          <w:pPr>
            <w:pStyle w:val="38"/>
            <w:tabs>
              <w:tab w:val="right" w:leader="dot" w:pos="8306"/>
            </w:tabs>
          </w:pPr>
          <w:r>
            <w:fldChar w:fldCharType="begin"/>
          </w:r>
          <w:r>
            <w:instrText xml:space="preserve"> HYPERLINK \l _Toc337849144 </w:instrText>
          </w:r>
          <w:r>
            <w:fldChar w:fldCharType="separate"/>
          </w:r>
          <w:r>
            <w:rPr>
              <w:rFonts w:hint="eastAsia" w:ascii="Times New Roman" w:hAnsi="Times New Roman" w:eastAsia="黑体"/>
              <w:szCs w:val="32"/>
              <w:highlight w:val="none"/>
            </w:rPr>
            <w:t>八、</w:t>
          </w:r>
          <w:r>
            <w:rPr>
              <w:rFonts w:hint="eastAsia" w:ascii="Times New Roman" w:hAnsi="Times New Roman" w:eastAsia="黑体"/>
              <w:highlight w:val="none"/>
            </w:rPr>
            <w:t>政府性基金预算支出决算情况说明</w:t>
          </w:r>
          <w:r>
            <w:tab/>
          </w:r>
          <w:r>
            <w:fldChar w:fldCharType="begin"/>
          </w:r>
          <w:r>
            <w:instrText xml:space="preserve"> PAGEREF _Toc337849144 \h </w:instrText>
          </w:r>
          <w:r>
            <w:fldChar w:fldCharType="separate"/>
          </w:r>
          <w:r>
            <w:t>- 8 -</w:t>
          </w:r>
          <w:r>
            <w:fldChar w:fldCharType="end"/>
          </w:r>
          <w:r>
            <w:fldChar w:fldCharType="end"/>
          </w:r>
        </w:p>
        <w:p>
          <w:pPr>
            <w:pStyle w:val="38"/>
            <w:tabs>
              <w:tab w:val="right" w:leader="dot" w:pos="8306"/>
            </w:tabs>
          </w:pPr>
          <w:r>
            <w:fldChar w:fldCharType="begin"/>
          </w:r>
          <w:r>
            <w:instrText xml:space="preserve"> HYPERLINK \l _Toc160444732 </w:instrText>
          </w:r>
          <w:r>
            <w:fldChar w:fldCharType="separate"/>
          </w:r>
          <w:r>
            <w:rPr>
              <w:rFonts w:hint="eastAsia" w:ascii="Times New Roman" w:hAnsi="Times New Roman" w:eastAsia="黑体"/>
              <w:highlight w:val="none"/>
              <w:lang w:eastAsia="zh-CN"/>
            </w:rPr>
            <w:t>九、</w:t>
          </w:r>
          <w:r>
            <w:rPr>
              <w:rFonts w:hint="eastAsia" w:ascii="Times New Roman" w:hAnsi="Times New Roman" w:eastAsia="黑体"/>
              <w:highlight w:val="none"/>
            </w:rPr>
            <w:t>国有资本经营预算支出决算情况说明</w:t>
          </w:r>
          <w:r>
            <w:tab/>
          </w:r>
          <w:r>
            <w:fldChar w:fldCharType="begin"/>
          </w:r>
          <w:r>
            <w:instrText xml:space="preserve"> PAGEREF _Toc160444732 \h </w:instrText>
          </w:r>
          <w:r>
            <w:fldChar w:fldCharType="separate"/>
          </w:r>
          <w:r>
            <w:t>- 8 -</w:t>
          </w:r>
          <w:r>
            <w:fldChar w:fldCharType="end"/>
          </w:r>
          <w:r>
            <w:fldChar w:fldCharType="end"/>
          </w:r>
        </w:p>
        <w:p>
          <w:pPr>
            <w:pStyle w:val="38"/>
            <w:tabs>
              <w:tab w:val="right" w:leader="dot" w:pos="8306"/>
            </w:tabs>
          </w:pPr>
          <w:r>
            <w:fldChar w:fldCharType="begin"/>
          </w:r>
          <w:r>
            <w:instrText xml:space="preserve"> HYPERLINK \l _Toc63272265 </w:instrText>
          </w:r>
          <w:r>
            <w:fldChar w:fldCharType="separate"/>
          </w:r>
          <w:r>
            <w:rPr>
              <w:rFonts w:hint="eastAsia" w:ascii="Times New Roman" w:hAnsi="Times New Roman" w:eastAsia="黑体"/>
              <w:highlight w:val="none"/>
              <w:lang w:eastAsia="zh-CN"/>
            </w:rPr>
            <w:t>十、</w:t>
          </w:r>
          <w:r>
            <w:rPr>
              <w:rFonts w:hint="eastAsia" w:ascii="Times New Roman" w:hAnsi="Times New Roman" w:eastAsia="黑体"/>
              <w:highlight w:val="none"/>
            </w:rPr>
            <w:t>其他重要事项的情况说明</w:t>
          </w:r>
          <w:r>
            <w:tab/>
          </w:r>
          <w:r>
            <w:fldChar w:fldCharType="begin"/>
          </w:r>
          <w:r>
            <w:instrText xml:space="preserve"> PAGEREF _Toc63272265 \h </w:instrText>
          </w:r>
          <w:r>
            <w:fldChar w:fldCharType="separate"/>
          </w:r>
          <w:r>
            <w:t>- 9 -</w:t>
          </w:r>
          <w:r>
            <w:fldChar w:fldCharType="end"/>
          </w:r>
          <w:r>
            <w:fldChar w:fldCharType="end"/>
          </w:r>
        </w:p>
        <w:p>
          <w:pPr>
            <w:pStyle w:val="39"/>
            <w:tabs>
              <w:tab w:val="right" w:leader="dot" w:pos="8306"/>
            </w:tabs>
          </w:pPr>
          <w:r>
            <w:fldChar w:fldCharType="begin"/>
          </w:r>
          <w:r>
            <w:instrText xml:space="preserve"> HYPERLINK \l _Toc1546433268 </w:instrText>
          </w:r>
          <w:r>
            <w:fldChar w:fldCharType="separate"/>
          </w:r>
          <w:r>
            <w:rPr>
              <w:rFonts w:hint="eastAsia" w:ascii="Times New Roman" w:hAnsi="Times New Roman" w:eastAsia="楷体_GB2312" w:cs="楷体_GB2312"/>
              <w:szCs w:val="32"/>
              <w:highlight w:val="none"/>
            </w:rPr>
            <w:t>（一）机关运行经费支出情况</w:t>
          </w:r>
          <w:r>
            <w:tab/>
          </w:r>
          <w:r>
            <w:fldChar w:fldCharType="begin"/>
          </w:r>
          <w:r>
            <w:instrText xml:space="preserve"> PAGEREF _Toc1546433268 \h </w:instrText>
          </w:r>
          <w:r>
            <w:fldChar w:fldCharType="separate"/>
          </w:r>
          <w:r>
            <w:t>- 9 -</w:t>
          </w:r>
          <w:r>
            <w:fldChar w:fldCharType="end"/>
          </w:r>
          <w:r>
            <w:fldChar w:fldCharType="end"/>
          </w:r>
        </w:p>
        <w:p>
          <w:pPr>
            <w:pStyle w:val="39"/>
            <w:tabs>
              <w:tab w:val="right" w:leader="dot" w:pos="8306"/>
            </w:tabs>
          </w:pPr>
          <w:r>
            <w:fldChar w:fldCharType="begin"/>
          </w:r>
          <w:r>
            <w:instrText xml:space="preserve"> HYPERLINK \l _Toc219535572 </w:instrText>
          </w:r>
          <w:r>
            <w:fldChar w:fldCharType="separate"/>
          </w:r>
          <w:r>
            <w:rPr>
              <w:rFonts w:hint="eastAsia" w:ascii="Times New Roman" w:hAnsi="Times New Roman" w:eastAsia="楷体_GB2312" w:cs="楷体_GB2312"/>
              <w:szCs w:val="32"/>
              <w:highlight w:val="none"/>
            </w:rPr>
            <w:t>（二）政府采购支出情况</w:t>
          </w:r>
          <w:r>
            <w:tab/>
          </w:r>
          <w:r>
            <w:fldChar w:fldCharType="begin"/>
          </w:r>
          <w:r>
            <w:instrText xml:space="preserve"> PAGEREF _Toc219535572 \h </w:instrText>
          </w:r>
          <w:r>
            <w:fldChar w:fldCharType="separate"/>
          </w:r>
          <w:r>
            <w:t>- 9 -</w:t>
          </w:r>
          <w:r>
            <w:fldChar w:fldCharType="end"/>
          </w:r>
          <w:r>
            <w:fldChar w:fldCharType="end"/>
          </w:r>
        </w:p>
        <w:p>
          <w:pPr>
            <w:pStyle w:val="39"/>
            <w:tabs>
              <w:tab w:val="right" w:leader="dot" w:pos="8306"/>
            </w:tabs>
          </w:pPr>
          <w:r>
            <w:fldChar w:fldCharType="begin"/>
          </w:r>
          <w:r>
            <w:instrText xml:space="preserve"> HYPERLINK \l _Toc653867180 </w:instrText>
          </w:r>
          <w:r>
            <w:fldChar w:fldCharType="separate"/>
          </w:r>
          <w:r>
            <w:rPr>
              <w:rFonts w:hint="eastAsia" w:ascii="Times New Roman" w:hAnsi="Times New Roman" w:eastAsia="楷体_GB2312" w:cs="楷体_GB2312"/>
              <w:szCs w:val="32"/>
              <w:highlight w:val="none"/>
            </w:rPr>
            <w:t>（三）国有资产占有使用情况</w:t>
          </w:r>
          <w:r>
            <w:tab/>
          </w:r>
          <w:r>
            <w:fldChar w:fldCharType="begin"/>
          </w:r>
          <w:r>
            <w:instrText xml:space="preserve"> PAGEREF _Toc653867180 \h </w:instrText>
          </w:r>
          <w:r>
            <w:fldChar w:fldCharType="separate"/>
          </w:r>
          <w:r>
            <w:t>- 9 -</w:t>
          </w:r>
          <w:r>
            <w:fldChar w:fldCharType="end"/>
          </w:r>
          <w:r>
            <w:fldChar w:fldCharType="end"/>
          </w:r>
        </w:p>
        <w:p>
          <w:pPr>
            <w:pStyle w:val="39"/>
            <w:tabs>
              <w:tab w:val="right" w:leader="dot" w:pos="8306"/>
            </w:tabs>
          </w:pPr>
          <w:r>
            <w:fldChar w:fldCharType="begin"/>
          </w:r>
          <w:r>
            <w:instrText xml:space="preserve"> HYPERLINK \l _Toc1099317545 </w:instrText>
          </w:r>
          <w:r>
            <w:fldChar w:fldCharType="separate"/>
          </w:r>
          <w:r>
            <w:rPr>
              <w:rFonts w:hint="eastAsia" w:ascii="Times New Roman" w:hAnsi="Times New Roman" w:eastAsia="楷体_GB2312" w:cs="楷体_GB2312"/>
              <w:szCs w:val="32"/>
              <w:highlight w:val="none"/>
            </w:rPr>
            <w:t>（四）预算绩效管理情况</w:t>
          </w:r>
          <w:r>
            <w:tab/>
          </w:r>
          <w:r>
            <w:fldChar w:fldCharType="begin"/>
          </w:r>
          <w:r>
            <w:instrText xml:space="preserve"> PAGEREF _Toc1099317545 \h </w:instrText>
          </w:r>
          <w:r>
            <w:fldChar w:fldCharType="separate"/>
          </w:r>
          <w:r>
            <w:t>- 9 -</w:t>
          </w:r>
          <w:r>
            <w:fldChar w:fldCharType="end"/>
          </w:r>
          <w:r>
            <w:fldChar w:fldCharType="end"/>
          </w:r>
        </w:p>
        <w:p>
          <w:pPr>
            <w:pStyle w:val="37"/>
            <w:tabs>
              <w:tab w:val="right" w:leader="dot" w:pos="8306"/>
            </w:tabs>
          </w:pPr>
        </w:p>
        <w:p>
          <w:pPr>
            <w:pStyle w:val="37"/>
            <w:tabs>
              <w:tab w:val="right" w:leader="dot" w:pos="8306"/>
            </w:tabs>
          </w:pPr>
          <w:r>
            <w:fldChar w:fldCharType="begin"/>
          </w:r>
          <w:r>
            <w:instrText xml:space="preserve"> HYPERLINK \l _Toc2103252857 </w:instrText>
          </w:r>
          <w:r>
            <w:fldChar w:fldCharType="separate"/>
          </w:r>
          <w:r>
            <w:rPr>
              <w:rFonts w:hint="eastAsia" w:ascii="Times New Roman" w:hAnsi="Times New Roman" w:eastAsia="黑体"/>
              <w:szCs w:val="44"/>
              <w:highlight w:val="none"/>
            </w:rPr>
            <w:t>第</w:t>
          </w:r>
          <w:r>
            <w:rPr>
              <w:rFonts w:hint="eastAsia" w:eastAsia="黑体"/>
              <w:szCs w:val="44"/>
              <w:highlight w:val="none"/>
              <w:lang w:eastAsia="zh-CN"/>
            </w:rPr>
            <w:t>三</w:t>
          </w:r>
          <w:r>
            <w:rPr>
              <w:rFonts w:hint="eastAsia" w:ascii="Times New Roman" w:hAnsi="Times New Roman" w:eastAsia="黑体"/>
              <w:szCs w:val="44"/>
              <w:highlight w:val="none"/>
            </w:rPr>
            <w:t>部分</w:t>
          </w:r>
          <w:r>
            <w:rPr>
              <w:rFonts w:hint="eastAsia" w:ascii="Times New Roman" w:hAnsi="Times New Roman" w:eastAsia="黑体"/>
              <w:szCs w:val="44"/>
              <w:highlight w:val="none"/>
              <w:lang w:val="en-US" w:eastAsia="zh-CN"/>
            </w:rPr>
            <w:t xml:space="preserve"> </w:t>
          </w:r>
          <w:r>
            <w:rPr>
              <w:rFonts w:hint="eastAsia" w:eastAsia="黑体"/>
              <w:szCs w:val="44"/>
              <w:highlight w:val="none"/>
              <w:lang w:val="en-US" w:eastAsia="zh-CN"/>
            </w:rPr>
            <w:t xml:space="preserve"> </w:t>
          </w:r>
          <w:r>
            <w:rPr>
              <w:rFonts w:hint="eastAsia" w:ascii="Times New Roman" w:hAnsi="Times New Roman" w:eastAsia="黑体"/>
              <w:szCs w:val="44"/>
              <w:highlight w:val="none"/>
            </w:rPr>
            <w:t>名词解释</w:t>
          </w:r>
          <w:r>
            <w:tab/>
          </w:r>
          <w:r>
            <w:fldChar w:fldCharType="begin"/>
          </w:r>
          <w:r>
            <w:instrText xml:space="preserve"> PAGEREF _Toc2103252857 \h </w:instrText>
          </w:r>
          <w:r>
            <w:fldChar w:fldCharType="separate"/>
          </w:r>
          <w:r>
            <w:t>- 9 -</w:t>
          </w:r>
          <w:r>
            <w:fldChar w:fldCharType="end"/>
          </w:r>
          <w:r>
            <w:fldChar w:fldCharType="end"/>
          </w:r>
        </w:p>
        <w:p>
          <w:pPr>
            <w:pStyle w:val="37"/>
            <w:tabs>
              <w:tab w:val="right" w:leader="dot" w:pos="8306"/>
            </w:tabs>
          </w:pPr>
        </w:p>
        <w:p>
          <w:pPr>
            <w:pStyle w:val="37"/>
            <w:tabs>
              <w:tab w:val="right" w:leader="dot" w:pos="8306"/>
            </w:tabs>
          </w:pPr>
          <w:r>
            <w:fldChar w:fldCharType="begin"/>
          </w:r>
          <w:r>
            <w:instrText xml:space="preserve"> HYPERLINK \l _Toc822198949 </w:instrText>
          </w:r>
          <w:r>
            <w:fldChar w:fldCharType="separate"/>
          </w:r>
          <w:r>
            <w:rPr>
              <w:rFonts w:hint="eastAsia" w:ascii="Times New Roman" w:hAnsi="Times New Roman" w:eastAsia="黑体"/>
              <w:szCs w:val="44"/>
              <w:highlight w:val="none"/>
            </w:rPr>
            <w:t>第四部分</w:t>
          </w:r>
          <w:r>
            <w:rPr>
              <w:rFonts w:hint="eastAsia" w:ascii="Times New Roman" w:hAnsi="Times New Roman" w:eastAsia="黑体"/>
              <w:szCs w:val="44"/>
              <w:highlight w:val="none"/>
              <w:lang w:val="en-US" w:eastAsia="zh-CN"/>
            </w:rPr>
            <w:t xml:space="preserve"> </w:t>
          </w:r>
          <w:r>
            <w:rPr>
              <w:rFonts w:hint="default" w:ascii="Times New Roman" w:hAnsi="Times New Roman" w:eastAsia="黑体"/>
              <w:szCs w:val="44"/>
              <w:highlight w:val="none"/>
              <w:lang w:eastAsia="zh-CN"/>
            </w:rPr>
            <w:t xml:space="preserve"> </w:t>
          </w:r>
          <w:r>
            <w:rPr>
              <w:rFonts w:hint="eastAsia" w:ascii="Times New Roman" w:hAnsi="Times New Roman" w:eastAsia="黑体"/>
              <w:szCs w:val="44"/>
              <w:highlight w:val="none"/>
            </w:rPr>
            <w:t>附件</w:t>
          </w:r>
          <w:r>
            <w:tab/>
          </w:r>
          <w:r>
            <w:fldChar w:fldCharType="begin"/>
          </w:r>
          <w:r>
            <w:instrText xml:space="preserve"> PAGEREF _Toc822198949 \h </w:instrText>
          </w:r>
          <w:r>
            <w:fldChar w:fldCharType="separate"/>
          </w:r>
          <w:r>
            <w:t>- 11 -</w:t>
          </w:r>
          <w:r>
            <w:fldChar w:fldCharType="end"/>
          </w:r>
          <w:r>
            <w:fldChar w:fldCharType="end"/>
          </w:r>
        </w:p>
        <w:p>
          <w:pPr>
            <w:pStyle w:val="37"/>
            <w:tabs>
              <w:tab w:val="right" w:leader="dot" w:pos="8306"/>
            </w:tabs>
          </w:pPr>
        </w:p>
        <w:p>
          <w:pPr>
            <w:pStyle w:val="37"/>
            <w:tabs>
              <w:tab w:val="right" w:leader="dot" w:pos="8306"/>
            </w:tabs>
          </w:pPr>
          <w:r>
            <w:fldChar w:fldCharType="begin"/>
          </w:r>
          <w:r>
            <w:instrText xml:space="preserve"> HYPERLINK \l _Toc704770686 </w:instrText>
          </w:r>
          <w:r>
            <w:fldChar w:fldCharType="separate"/>
          </w:r>
          <w:r>
            <w:rPr>
              <w:rFonts w:hint="eastAsia" w:ascii="Times New Roman" w:hAnsi="Times New Roman" w:eastAsia="黑体"/>
              <w:szCs w:val="44"/>
              <w:highlight w:val="none"/>
            </w:rPr>
            <w:t xml:space="preserve">第五部分 </w:t>
          </w:r>
          <w:r>
            <w:rPr>
              <w:rFonts w:hint="default" w:ascii="Times New Roman" w:hAnsi="Times New Roman" w:eastAsia="黑体"/>
              <w:szCs w:val="44"/>
              <w:highlight w:val="none"/>
            </w:rPr>
            <w:t xml:space="preserve"> </w:t>
          </w:r>
          <w:r>
            <w:rPr>
              <w:rFonts w:hint="eastAsia" w:ascii="Times New Roman" w:hAnsi="Times New Roman" w:eastAsia="黑体"/>
              <w:szCs w:val="44"/>
              <w:highlight w:val="none"/>
            </w:rPr>
            <w:t>附表</w:t>
          </w:r>
          <w:r>
            <w:tab/>
          </w:r>
          <w:r>
            <w:fldChar w:fldCharType="begin"/>
          </w:r>
          <w:r>
            <w:instrText xml:space="preserve"> PAGEREF _Toc704770686 \h </w:instrText>
          </w:r>
          <w:r>
            <w:fldChar w:fldCharType="separate"/>
          </w:r>
          <w:r>
            <w:t>- 12 -</w:t>
          </w:r>
          <w:r>
            <w:fldChar w:fldCharType="end"/>
          </w:r>
          <w:r>
            <w:fldChar w:fldCharType="end"/>
          </w:r>
        </w:p>
        <w:p>
          <w:r>
            <w:fldChar w:fldCharType="end"/>
          </w:r>
        </w:p>
      </w:sdtContent>
    </w:sdt>
    <w:p>
      <w:pPr>
        <w:pStyle w:val="3"/>
        <w:jc w:val="center"/>
        <w:rPr>
          <w:rStyle w:val="29"/>
          <w:rFonts w:hint="eastAsia" w:ascii="Times New Roman" w:hAnsi="Times New Roman" w:eastAsia="方正小标宋简体" w:cs="方正小标宋简体"/>
          <w:b/>
          <w:bCs w:val="0"/>
          <w:color w:val="auto"/>
          <w:highlight w:val="none"/>
        </w:rPr>
      </w:pPr>
      <w:bookmarkStart w:id="6" w:name="_Toc756611054"/>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6"/>
    </w:p>
    <w:p>
      <w:pPr>
        <w:widowControl/>
        <w:jc w:val="left"/>
        <w:rPr>
          <w:rFonts w:ascii="Times New Roman" w:hAnsi="Times New Roman" w:eastAsia="黑体"/>
          <w:color w:val="auto"/>
          <w:sz w:val="32"/>
          <w:szCs w:val="32"/>
          <w:highlight w:val="none"/>
        </w:rPr>
      </w:pPr>
    </w:p>
    <w:p>
      <w:pPr>
        <w:pStyle w:val="4"/>
        <w:numPr>
          <w:ilvl w:val="0"/>
          <w:numId w:val="1"/>
        </w:numPr>
        <w:rPr>
          <w:rFonts w:hint="eastAsia" w:ascii="Times New Roman" w:hAnsi="Times New Roman" w:eastAsia="黑体"/>
          <w:b w:val="0"/>
          <w:color w:val="auto"/>
          <w:highlight w:val="none"/>
          <w:lang w:eastAsia="zh-CN"/>
        </w:rPr>
      </w:pPr>
      <w:bookmarkStart w:id="7" w:name="_Toc1087142373"/>
      <w:r>
        <w:rPr>
          <w:rFonts w:hint="default" w:ascii="Times New Roman" w:hAnsi="Times New Roman" w:eastAsia="黑体"/>
          <w:b w:val="0"/>
          <w:color w:val="auto"/>
          <w:highlight w:val="none"/>
          <w:lang w:eastAsia="zh-CN"/>
        </w:rPr>
        <w:t>主要</w:t>
      </w:r>
      <w:r>
        <w:rPr>
          <w:rFonts w:hint="eastAsia" w:ascii="Times New Roman" w:hAnsi="Times New Roman" w:eastAsia="黑体"/>
          <w:b w:val="0"/>
          <w:color w:val="auto"/>
          <w:highlight w:val="none"/>
          <w:lang w:eastAsia="zh-CN"/>
        </w:rPr>
        <w:t>职责</w:t>
      </w:r>
      <w:bookmarkEnd w:id="7"/>
    </w:p>
    <w:p>
      <w:pPr>
        <w:snapToGrid w:val="0"/>
        <w:spacing w:line="520" w:lineRule="exact"/>
        <w:ind w:firstLine="640" w:firstLineChars="200"/>
        <w:rPr>
          <w:rFonts w:hint="eastAsia" w:ascii="方正仿宋_GB2312" w:eastAsia="方正仿宋_GB2312" w:cs="方正仿宋_GB2312"/>
          <w:bCs/>
          <w:color w:val="000000"/>
          <w:sz w:val="32"/>
          <w:szCs w:val="32"/>
          <w:lang w:bidi="ar-SA"/>
        </w:rPr>
      </w:pPr>
      <w:r>
        <w:rPr>
          <w:rFonts w:hint="eastAsia" w:ascii="方正仿宋_GB2312" w:eastAsia="方正仿宋_GB2312" w:cs="方正仿宋_GB2312"/>
          <w:bCs/>
          <w:color w:val="000000"/>
          <w:sz w:val="32"/>
          <w:szCs w:val="32"/>
          <w:lang w:bidi="ar-SA"/>
        </w:rPr>
        <w:t>阿坝州低收入家庭认定指导中心职能职责：根据《阿坝州编办关于州民政局成立低收入家庭认定指导中心请示的批复》（阿编办﹝2014﹞59号），一是负责对申请城乡低保、保障性住房等政府救助的城乡居民家庭收入和财产情况进行信息核对。二是负责全州低收入家庭经济状况核对信息数据库的建立、维护、查询、宣传交流等工作。</w:t>
      </w:r>
    </w:p>
    <w:p>
      <w:pPr>
        <w:snapToGrid w:val="0"/>
        <w:spacing w:line="520" w:lineRule="exact"/>
        <w:ind w:firstLine="640" w:firstLineChars="200"/>
        <w:rPr>
          <w:rFonts w:hint="eastAsia" w:ascii="方正仿宋_GB2312" w:hAnsi="仿宋" w:eastAsia="方正仿宋_GB2312"/>
          <w:sz w:val="32"/>
          <w:szCs w:val="32"/>
        </w:rPr>
      </w:pPr>
      <w:r>
        <w:rPr>
          <w:rFonts w:hint="eastAsia" w:ascii="方正仿宋_GB2312" w:eastAsia="方正仿宋_GB2312" w:cs="方正仿宋_GB2312"/>
          <w:bCs/>
          <w:color w:val="000000"/>
          <w:sz w:val="32"/>
          <w:szCs w:val="32"/>
          <w:lang w:bidi="ar-SA"/>
        </w:rPr>
        <w:t>州慈善总会办公室于2007年3月成立，核事业编制7名，科级职数3名。慈善办工作职能职责，坚持“立足民政、面向社会，以社会救助为中心”的工作方针。一是筹募善款。建立、筹募和管理中华慈善基金及各专项基金；接受自然人、法人及其他组织的捐赠；组织各种形式的募捐活动，为困难群体提供物质扶助和精神抚慰。二是赈灾救助。协助或受政府委托开展救灾赈济工作；接收、分配、调拨境内外通过本会捐赠的赈灾款物；接受政府委托并根据实际需要生产、储运、发放救灾物资；抚慰救灾勇士。三是扶贫济困。组织各种社会活动，扶助困难群体，开展扶贫救济工作。四是慈善救助。开展安老、抚孤、助残、助医、助学等各种慈善救助活动。五是公益援助。参加和推动文化、教育、卫生等其他社会慈善公益援助事业；组织热心支持和参与慈善事业的志愿者队伍，开展多种形式的慈善公益活动。六是交流与合作。总结交流经验，展示工作成就；加强同世界各国及国际公益机构的联系与合作，为在我国兴办慈善事业的人士、企业及各种机构提供帮助和服务；参与国际间的慈善援助活动。</w:t>
      </w:r>
    </w:p>
    <w:p>
      <w:pPr>
        <w:snapToGrid w:val="0"/>
        <w:spacing w:line="520" w:lineRule="exact"/>
        <w:ind w:firstLine="420" w:firstLineChars="200"/>
        <w:rPr>
          <w:rFonts w:hint="default"/>
          <w:lang w:eastAsia="zh-CN"/>
        </w:rPr>
      </w:pPr>
    </w:p>
    <w:p>
      <w:pPr>
        <w:pStyle w:val="4"/>
        <w:rPr>
          <w:rStyle w:val="30"/>
          <w:rFonts w:ascii="Times New Roman" w:hAnsi="Times New Roman"/>
          <w:b w:val="0"/>
          <w:bCs w:val="0"/>
          <w:color w:val="auto"/>
          <w:highlight w:val="none"/>
        </w:rPr>
      </w:pPr>
      <w:bookmarkStart w:id="8" w:name="_Toc15396601"/>
      <w:bookmarkStart w:id="9" w:name="_Toc1887098875"/>
      <w:bookmarkStart w:id="10" w:name="_Toc15377200"/>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8"/>
      <w:bookmarkEnd w:id="9"/>
      <w:bookmarkEnd w:id="10"/>
    </w:p>
    <w:p>
      <w:pPr>
        <w:numPr>
          <w:ilvl w:val="0"/>
          <w:numId w:val="0"/>
        </w:numPr>
        <w:snapToGrid w:val="0"/>
        <w:spacing w:line="520" w:lineRule="exact"/>
        <w:ind w:firstLine="640" w:firstLineChars="200"/>
        <w:rPr>
          <w:rFonts w:hint="eastAsia" w:ascii="方正仿宋_GB2312" w:hAnsi="Times New Roman" w:eastAsia="方正仿宋_GB2312" w:cs="方正仿宋_GB2312"/>
          <w:bCs/>
          <w:color w:val="000000"/>
          <w:sz w:val="32"/>
          <w:szCs w:val="32"/>
          <w:lang w:bidi="ar-SA"/>
        </w:rPr>
      </w:pPr>
      <w:r>
        <w:rPr>
          <w:rFonts w:hint="eastAsia" w:ascii="仿宋_GB2312" w:hAnsi="仿宋_GB2312" w:eastAsia="仿宋_GB2312" w:cs="仿宋_GB2312"/>
          <w:color w:val="auto"/>
          <w:sz w:val="32"/>
          <w:szCs w:val="32"/>
          <w:highlight w:val="none"/>
        </w:rPr>
        <w:t>阿坝</w:t>
      </w:r>
      <w:r>
        <w:rPr>
          <w:rFonts w:hint="eastAsia" w:ascii="方正仿宋_GB2312" w:hAnsi="Times New Roman" w:eastAsia="方正仿宋_GB2312" w:cs="方正仿宋_GB2312"/>
          <w:bCs/>
          <w:color w:val="000000"/>
          <w:sz w:val="32"/>
          <w:szCs w:val="32"/>
          <w:lang w:bidi="ar-SA"/>
        </w:rPr>
        <w:t>州低收入家庭认定指导中心包括</w:t>
      </w:r>
      <w:r>
        <w:rPr>
          <w:rFonts w:hint="eastAsia" w:ascii="方正仿宋_GB2312" w:hAnsi="Times New Roman" w:eastAsia="方正仿宋_GB2312" w:cs="方正仿宋_GB2312"/>
          <w:bCs/>
          <w:color w:val="000000"/>
          <w:sz w:val="32"/>
          <w:szCs w:val="32"/>
          <w:lang w:eastAsia="zh-CN" w:bidi="ar-SA"/>
        </w:rPr>
        <w:t>其他</w:t>
      </w:r>
      <w:r>
        <w:rPr>
          <w:rFonts w:hint="default" w:ascii="方正仿宋_GB2312" w:eastAsia="方正仿宋_GB2312" w:cs="方正仿宋_GB2312"/>
          <w:bCs/>
          <w:color w:val="000000"/>
          <w:sz w:val="32"/>
          <w:szCs w:val="32"/>
          <w:lang w:eastAsia="zh-CN" w:bidi="ar-SA"/>
        </w:rPr>
        <w:t>未</w:t>
      </w:r>
      <w:r>
        <w:rPr>
          <w:rFonts w:hint="eastAsia" w:ascii="方正仿宋_GB2312" w:hAnsi="Times New Roman" w:eastAsia="方正仿宋_GB2312" w:cs="方正仿宋_GB2312"/>
          <w:bCs/>
          <w:color w:val="000000"/>
          <w:sz w:val="32"/>
          <w:szCs w:val="32"/>
          <w:lang w:bidi="ar-SA"/>
        </w:rPr>
        <w:t>独立核算事业机构3个，</w:t>
      </w:r>
      <w:r>
        <w:rPr>
          <w:rFonts w:hint="default" w:ascii="方正仿宋_GB2312" w:eastAsia="方正仿宋_GB2312" w:cs="方正仿宋_GB2312"/>
          <w:bCs/>
          <w:color w:val="000000"/>
          <w:sz w:val="32"/>
          <w:szCs w:val="32"/>
          <w:lang w:bidi="ar-SA"/>
        </w:rPr>
        <w:t>其中：</w:t>
      </w:r>
      <w:r>
        <w:rPr>
          <w:rFonts w:hint="eastAsia" w:ascii="方正仿宋_GB2312" w:hAnsi="Times New Roman" w:eastAsia="方正仿宋_GB2312" w:cs="方正仿宋_GB2312"/>
          <w:bCs/>
          <w:color w:val="000000"/>
          <w:sz w:val="32"/>
          <w:szCs w:val="32"/>
          <w:lang w:bidi="ar-SA"/>
        </w:rPr>
        <w:t>阿坝州慈善事业服务中心1个，州马尔康地区老年大学服务中心1个，州低收入家庭认定指导中心1个。</w:t>
      </w:r>
    </w:p>
    <w:p>
      <w:pPr>
        <w:pStyle w:val="3"/>
        <w:jc w:val="center"/>
        <w:rPr>
          <w:rFonts w:hint="eastAsia" w:ascii="Times New Roman" w:hAnsi="Times New Roman" w:eastAsia="方正小标宋简体" w:cs="方正小标宋简体"/>
          <w:b w:val="0"/>
          <w:color w:val="auto"/>
          <w:highlight w:val="none"/>
        </w:rPr>
      </w:pPr>
      <w:bookmarkStart w:id="11" w:name="_Toc125551072"/>
      <w:bookmarkStart w:id="12" w:name="_Toc15396602"/>
      <w:bookmarkStart w:id="13"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2024年度</w:t>
      </w:r>
      <w:r>
        <w:rPr>
          <w:rFonts w:hint="eastAsia" w:ascii="Times New Roman" w:hAnsi="Times New Roman" w:eastAsia="方正小标宋简体" w:cs="方正小标宋简体"/>
          <w:b w:val="0"/>
          <w:color w:val="auto"/>
          <w:highlight w:val="none"/>
        </w:rPr>
        <w:t>部门决算情况说明</w:t>
      </w:r>
      <w:bookmarkEnd w:id="11"/>
      <w:bookmarkEnd w:id="12"/>
      <w:bookmarkEnd w:id="13"/>
    </w:p>
    <w:p>
      <w:pPr>
        <w:rPr>
          <w:rFonts w:ascii="Times New Roman" w:hAnsi="Times New Roman"/>
          <w:color w:val="auto"/>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4" w:name="_Toc15377205"/>
      <w:bookmarkStart w:id="15" w:name="_Toc15396603"/>
      <w:bookmarkStart w:id="16" w:name="_Toc1391164388"/>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4"/>
      <w:bookmarkEnd w:id="15"/>
      <w:bookmarkEnd w:id="16"/>
    </w:p>
    <w:p>
      <w:pPr>
        <w:ind w:firstLine="420" w:firstLineChars="200"/>
        <w:rPr>
          <w:rFonts w:hint="default" w:ascii="Times New Roman" w:hAnsi="Times New Roman" w:eastAsia="仿宋_GB2312" w:cs="仿宋_GB2312"/>
          <w:color w:val="auto"/>
          <w:sz w:val="32"/>
          <w:szCs w:val="32"/>
          <w:highlight w:val="none"/>
          <w:lang w:eastAsia="zh-CN"/>
        </w:rPr>
      </w:pPr>
      <w:r>
        <w:rPr>
          <w:sz w:val="21"/>
        </w:rPr>
        <mc:AlternateContent>
          <mc:Choice Requires="wps">
            <w:drawing>
              <wp:anchor distT="0" distB="0" distL="114300" distR="114300" simplePos="0" relativeHeight="251669504" behindDoc="0" locked="0" layoutInCell="1" allowOverlap="1">
                <wp:simplePos x="0" y="0"/>
                <wp:positionH relativeFrom="column">
                  <wp:posOffset>3882390</wp:posOffset>
                </wp:positionH>
                <wp:positionV relativeFrom="paragraph">
                  <wp:posOffset>1719580</wp:posOffset>
                </wp:positionV>
                <wp:extent cx="1003935" cy="307975"/>
                <wp:effectExtent l="4445" t="4445" r="20320" b="11430"/>
                <wp:wrapNone/>
                <wp:docPr id="13" name="文本框 13"/>
                <wp:cNvGraphicFramePr/>
                <a:graphic xmlns:a="http://schemas.openxmlformats.org/drawingml/2006/main">
                  <a:graphicData uri="http://schemas.microsoft.com/office/word/2010/wordprocessingShape">
                    <wps:wsp>
                      <wps:cNvSpPr txBox="1"/>
                      <wps:spPr>
                        <a:xfrm>
                          <a:off x="0" y="0"/>
                          <a:ext cx="1003935" cy="3079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default"/>
                              </w:rPr>
                            </w:pPr>
                            <w:r>
                              <w:t>单位：万元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5.7pt;margin-top:135.4pt;height:24.25pt;width:79.05pt;z-index:251669504;mso-width-relative:page;mso-height-relative:page;" fillcolor="#FFFFFF [3201]" filled="t" stroked="t" coordsize="21600,21600" o:gfxdata="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FgAAAGRy&#10;cy9QSwECFAAUAAAACACHTuJAa+1BaNgAAAALAQAADwAAAAAAAAABACAAAAA4AAAAZHJzL2Rvd25y&#10;ZXYueG1sUEsBAhQAFAAAAAgAh07iQBELdqpaAgAAuQQAAA4AAAAAAAAAAQAgAAAAPQEAAGRycy9l&#10;Mm9Eb2MueG1sUEsFBgAAAAAGAAYAWQEAAAkGAAAAAA==&#10;">
                <v:fill on="t" focussize="0,0"/>
                <v:stroke weight="0.5pt" color="#000000 [3204]" joinstyle="round"/>
                <v:imagedata o:title=""/>
                <o:lock v:ext="edit" aspectratio="f"/>
                <v:textbox>
                  <w:txbxContent>
                    <w:p>
                      <w:pPr>
                        <w:rPr>
                          <w:rFonts w:hint="default"/>
                        </w:rPr>
                      </w:pPr>
                      <w:r>
                        <w:t>单位：万元</w:t>
                      </w:r>
                    </w:p>
                  </w:txbxContent>
                </v:textbox>
              </v:shape>
            </w:pict>
          </mc:Fallback>
        </mc:AlternateContent>
      </w:r>
      <w:r>
        <w:drawing>
          <wp:anchor distT="0" distB="0" distL="114300" distR="114300" simplePos="0" relativeHeight="251667456" behindDoc="0" locked="0" layoutInCell="1" allowOverlap="1">
            <wp:simplePos x="0" y="0"/>
            <wp:positionH relativeFrom="column">
              <wp:posOffset>414020</wp:posOffset>
            </wp:positionH>
            <wp:positionV relativeFrom="paragraph">
              <wp:posOffset>1576070</wp:posOffset>
            </wp:positionV>
            <wp:extent cx="4572000" cy="2552700"/>
            <wp:effectExtent l="4445" t="4445" r="14605" b="14605"/>
            <wp:wrapTopAndBottom/>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ascii="Times New Roman" w:hAnsi="Times New Roman" w:eastAsia="仿宋_GB2312" w:cs="仿宋_GB2312"/>
          <w:color w:val="auto"/>
          <w:sz w:val="32"/>
          <w:szCs w:val="32"/>
          <w:highlight w:val="none"/>
          <w:lang w:eastAsia="zh-CN"/>
        </w:rPr>
        <w:t>2024年度收入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217.46</w:t>
      </w:r>
      <w:r>
        <w:rPr>
          <w:rFonts w:hint="eastAsia" w:ascii="Times New Roman" w:hAnsi="Times New Roman" w:eastAsia="仿宋_GB2312" w:cs="仿宋_GB2312"/>
          <w:color w:val="auto"/>
          <w:sz w:val="32"/>
          <w:szCs w:val="32"/>
          <w:highlight w:val="none"/>
        </w:rPr>
        <w:t>万元。与</w:t>
      </w:r>
      <w:r>
        <w:rPr>
          <w:rFonts w:hint="eastAsia" w:ascii="Times New Roman" w:hAnsi="Times New Roman" w:eastAsia="仿宋_GB2312" w:cs="仿宋_GB2312"/>
          <w:color w:val="auto"/>
          <w:sz w:val="32"/>
          <w:szCs w:val="32"/>
          <w:highlight w:val="none"/>
          <w:lang w:eastAsia="zh-CN"/>
        </w:rPr>
        <w:t>202</w:t>
      </w:r>
      <w:r>
        <w:rPr>
          <w:rFonts w:hint="eastAsia" w:ascii="Times New Roman" w:hAnsi="Times New Roman" w:eastAsia="仿宋_GB2312" w:cs="仿宋_GB2312"/>
          <w:color w:val="auto"/>
          <w:sz w:val="32"/>
          <w:szCs w:val="32"/>
          <w:highlight w:val="none"/>
          <w:lang w:val="en-US" w:eastAsia="zh-CN"/>
        </w:rPr>
        <w:t>3</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default" w:eastAsia="仿宋_GB2312" w:cs="仿宋_GB2312"/>
          <w:color w:val="auto"/>
          <w:sz w:val="32"/>
          <w:szCs w:val="32"/>
          <w:highlight w:val="none"/>
        </w:rPr>
        <w:t>13.4</w:t>
      </w:r>
      <w:r>
        <w:rPr>
          <w:rFonts w:hint="eastAsia" w:ascii="Times New Roman" w:hAnsi="Times New Roman" w:eastAsia="仿宋_GB2312" w:cs="仿宋_GB2312"/>
          <w:color w:val="auto"/>
          <w:sz w:val="32"/>
          <w:szCs w:val="32"/>
          <w:highlight w:val="none"/>
        </w:rPr>
        <w:t>万元，下降</w:t>
      </w:r>
      <w:r>
        <w:rPr>
          <w:rFonts w:hint="default" w:eastAsia="仿宋_GB2312" w:cs="仿宋_GB2312"/>
          <w:color w:val="auto"/>
          <w:sz w:val="32"/>
          <w:szCs w:val="32"/>
          <w:highlight w:val="none"/>
        </w:rPr>
        <w:t>5.8</w:t>
      </w:r>
      <w:r>
        <w:rPr>
          <w:rFonts w:hint="eastAsia" w:ascii="Times New Roman" w:hAnsi="Times New Roman" w:eastAsia="仿宋_GB2312" w:cs="仿宋_GB2312"/>
          <w:color w:val="auto"/>
          <w:sz w:val="32"/>
          <w:szCs w:val="32"/>
          <w:highlight w:val="none"/>
        </w:rPr>
        <w:t>%。主要变动原因是</w:t>
      </w:r>
      <w:r>
        <w:rPr>
          <w:rFonts w:hint="default" w:eastAsia="仿宋_GB2312" w:cs="仿宋_GB2312"/>
          <w:color w:val="auto"/>
          <w:sz w:val="32"/>
          <w:szCs w:val="32"/>
          <w:highlight w:val="none"/>
          <w:lang w:eastAsia="zh-CN"/>
        </w:rPr>
        <w:t>厉行节约，压减开支，减少预算支出。</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imes New Roman" w:hAnsi="Times New Roman" w:eastAsia="仿宋_GB2312" w:cs="仿宋_GB2312"/>
          <w:color w:val="auto"/>
          <w:sz w:val="32"/>
          <w:szCs w:val="32"/>
          <w:highlight w:val="none"/>
        </w:rPr>
      </w:pPr>
      <w:r>
        <w:rPr>
          <w:sz w:val="21"/>
        </w:rPr>
        <mc:AlternateContent>
          <mc:Choice Requires="wps">
            <w:drawing>
              <wp:anchor distT="0" distB="0" distL="114300" distR="114300" simplePos="0" relativeHeight="251668480" behindDoc="0" locked="0" layoutInCell="1" allowOverlap="1">
                <wp:simplePos x="0" y="0"/>
                <wp:positionH relativeFrom="column">
                  <wp:posOffset>3842385</wp:posOffset>
                </wp:positionH>
                <wp:positionV relativeFrom="paragraph">
                  <wp:posOffset>-2541270</wp:posOffset>
                </wp:positionV>
                <wp:extent cx="1003935" cy="307975"/>
                <wp:effectExtent l="4445" t="4445" r="20320" b="11430"/>
                <wp:wrapNone/>
                <wp:docPr id="11" name="文本框 11"/>
                <wp:cNvGraphicFramePr/>
                <a:graphic xmlns:a="http://schemas.openxmlformats.org/drawingml/2006/main">
                  <a:graphicData uri="http://schemas.microsoft.com/office/word/2010/wordprocessingShape">
                    <wps:wsp>
                      <wps:cNvSpPr txBox="1"/>
                      <wps:spPr>
                        <a:xfrm>
                          <a:off x="0" y="0"/>
                          <a:ext cx="1003935" cy="3079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default"/>
                              </w:rPr>
                            </w:pPr>
                            <w:r>
                              <w:t>单位：万元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2.55pt;margin-top:-200.1pt;height:24.25pt;width:79.05pt;z-index:251668480;mso-width-relative:page;mso-height-relative:page;" fillcolor="#FFFFFF [3201]" filled="t" stroked="t" coordsize="21600,21600" o:gfxdata="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FgAAAGRy&#10;cy9QSwECFAAUAAAACACHTuJAchImKNkAAAANAQAADwAAAAAAAAABACAAAAA4AAAAZHJzL2Rvd25y&#10;ZXYueG1sUEsBAhQAFAAAAAgAh07iQN16e0hZAgAAuQQAAA4AAAAAAAAAAQAgAAAAPgEAAGRycy9l&#10;Mm9Eb2MueG1sUEsFBgAAAAAGAAYAWQEAAAkGAAAAAA==&#10;">
                <v:fill on="t" focussize="0,0"/>
                <v:stroke weight="0.5pt" color="#000000 [3204]" joinstyle="round"/>
                <v:imagedata o:title=""/>
                <o:lock v:ext="edit" aspectratio="f"/>
                <v:textbox>
                  <w:txbxContent>
                    <w:p>
                      <w:pPr>
                        <w:rPr>
                          <w:rFonts w:hint="default"/>
                        </w:rPr>
                      </w:pPr>
                      <w:r>
                        <w:t>单位：万元</w:t>
                      </w:r>
                    </w:p>
                  </w:txbxContent>
                </v:textbox>
              </v:shape>
            </w:pict>
          </mc:Fallback>
        </mc:AlternateConten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7" w:name="_Toc744853809"/>
      <w:bookmarkStart w:id="18" w:name="_Toc15396604"/>
      <w:bookmarkStart w:id="19" w:name="_Toc15377206"/>
      <w:r>
        <w:rPr>
          <w:rFonts w:hint="eastAsia" w:ascii="Times New Roman" w:hAnsi="Times New Roman" w:eastAsia="黑体"/>
          <w:color w:val="auto"/>
          <w:sz w:val="32"/>
          <w:szCs w:val="32"/>
          <w:highlight w:val="none"/>
          <w:lang w:eastAsia="zh-CN"/>
        </w:rPr>
        <w:t>二、收入决算情况说明</w:t>
      </w:r>
      <w:bookmarkEnd w:id="17"/>
      <w:bookmarkEnd w:id="18"/>
      <w:bookmarkEnd w:id="19"/>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本年收入合计217.46万元，其中：一般公共预算财政拨款收入217.46万元，占100%；政府性基金预算财政拨款收入0万元，占0%%；国有资本经营预算财政拨款收入0万元，占0%；上级补助收入0万元，占0%；事业收入0万元，占0%；经营收入0万元，占0%；附属单位上缴收入0万元，占0%；其他收入0万元，占0%。</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0" w:name="_Toc523421561"/>
      <w:bookmarkStart w:id="21" w:name="_Toc15396605"/>
      <w:bookmarkStart w:id="22"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0"/>
      <w:bookmarkEnd w:id="21"/>
      <w:bookmarkEnd w:id="2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2024年度本年支出合计217.46万元，其中：基本支出217.46万元，占100%。</w:t>
      </w:r>
    </w:p>
    <w:p>
      <w:pPr>
        <w:ind w:firstLine="525" w:firstLineChars="250"/>
        <w:rPr>
          <w:rFonts w:hint="eastAsia" w:ascii="Times New Roman" w:hAnsi="Times New Roman" w:eastAsia="仿宋_GB2312" w:cs="仿宋_GB2312"/>
          <w:color w:val="auto"/>
          <w:sz w:val="32"/>
          <w:szCs w:val="32"/>
          <w:highlight w:val="none"/>
          <w:lang w:eastAsia="zh-CN"/>
        </w:rPr>
      </w:pPr>
      <w:r>
        <w:rPr>
          <w:sz w:val="21"/>
        </w:rPr>
        <mc:AlternateContent>
          <mc:Choice Requires="wps">
            <w:drawing>
              <wp:anchor distT="0" distB="0" distL="114300" distR="114300" simplePos="0" relativeHeight="251666432" behindDoc="0" locked="0" layoutInCell="1" allowOverlap="1">
                <wp:simplePos x="0" y="0"/>
                <wp:positionH relativeFrom="column">
                  <wp:posOffset>3796665</wp:posOffset>
                </wp:positionH>
                <wp:positionV relativeFrom="paragraph">
                  <wp:posOffset>283210</wp:posOffset>
                </wp:positionV>
                <wp:extent cx="1003935" cy="307975"/>
                <wp:effectExtent l="4445" t="4445" r="20320" b="11430"/>
                <wp:wrapNone/>
                <wp:docPr id="5" name="文本框 5"/>
                <wp:cNvGraphicFramePr/>
                <a:graphic xmlns:a="http://schemas.openxmlformats.org/drawingml/2006/main">
                  <a:graphicData uri="http://schemas.microsoft.com/office/word/2010/wordprocessingShape">
                    <wps:wsp>
                      <wps:cNvSpPr txBox="1"/>
                      <wps:spPr>
                        <a:xfrm>
                          <a:off x="0" y="0"/>
                          <a:ext cx="1003935" cy="3079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default"/>
                              </w:rPr>
                            </w:pPr>
                            <w:r>
                              <w:t>单位：万元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8.95pt;margin-top:22.3pt;height:24.25pt;width:79.05pt;z-index:251666432;mso-width-relative:page;mso-height-relative:page;" fillcolor="#FFFFFF [3201]" filled="t" stroked="t" coordsize="21600,21600" o:gfxdata="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WAAAAZHJz&#10;L1BLAQIUABQAAAAIAIdO4kDw3CU/1wAAAAkBAAAPAAAAAAAAAAEAIAAAADgAAABkcnMvZG93bnJl&#10;di54bWxQSwECFAAUAAAACACHTuJAOgnS51oCAAC3BAAADgAAAAAAAAABACAAAAA8AQAAZHJzL2Uy&#10;b0RvYy54bWxQSwUGAAAAAAYABgBZAQAACAYAAAAA&#10;">
                <v:fill on="t" focussize="0,0"/>
                <v:stroke weight="0.5pt" color="#000000 [3204]" joinstyle="round"/>
                <v:imagedata o:title=""/>
                <o:lock v:ext="edit" aspectratio="f"/>
                <v:textbox>
                  <w:txbxContent>
                    <w:p>
                      <w:pPr>
                        <w:rPr>
                          <w:rFonts w:hint="default"/>
                        </w:rPr>
                      </w:pPr>
                      <w:r>
                        <w:t>单位：万元</w:t>
                      </w:r>
                    </w:p>
                  </w:txbxContent>
                </v:textbox>
              </v:shape>
            </w:pict>
          </mc:Fallback>
        </mc:AlternateContent>
      </w:r>
      <w:r>
        <w:drawing>
          <wp:anchor distT="0" distB="0" distL="114300" distR="114300" simplePos="0" relativeHeight="251665408" behindDoc="0" locked="0" layoutInCell="1" allowOverlap="1">
            <wp:simplePos x="0" y="0"/>
            <wp:positionH relativeFrom="column">
              <wp:posOffset>337820</wp:posOffset>
            </wp:positionH>
            <wp:positionV relativeFrom="paragraph">
              <wp:posOffset>10160</wp:posOffset>
            </wp:positionV>
            <wp:extent cx="4572635" cy="2742565"/>
            <wp:effectExtent l="4445" t="4445" r="13970" b="15240"/>
            <wp:wrapTopAndBottom/>
            <wp:docPr id="1027"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spacing w:line="600" w:lineRule="exact"/>
        <w:ind w:firstLine="640" w:firstLineChars="200"/>
        <w:outlineLvl w:val="1"/>
        <w:rPr>
          <w:rStyle w:val="30"/>
          <w:rFonts w:ascii="Times New Roman" w:hAnsi="Times New Roman" w:eastAsia="黑体"/>
          <w:b w:val="0"/>
          <w:color w:val="auto"/>
          <w:highlight w:val="none"/>
        </w:rPr>
      </w:pPr>
      <w:bookmarkStart w:id="23" w:name="_Toc1302182683"/>
      <w:bookmarkStart w:id="24" w:name="_Toc15377208"/>
      <w:bookmarkStart w:id="25"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3"/>
      <w:bookmarkEnd w:id="24"/>
      <w:bookmarkEnd w:id="25"/>
    </w:p>
    <w:p>
      <w:pPr>
        <w:spacing w:line="600" w:lineRule="exact"/>
        <w:ind w:firstLine="640"/>
        <w:rPr>
          <w:rFonts w:hint="default" w:ascii="Times New Roman" w:hAnsi="Times New Roman" w:eastAsia="仿宋_GB2312" w:cs="仿宋_GB2312"/>
          <w:color w:val="auto"/>
          <w:kern w:val="2"/>
          <w:sz w:val="32"/>
          <w:szCs w:val="32"/>
          <w:highlight w:val="none"/>
          <w:lang w:eastAsia="zh-CN" w:bidi="ar-SA"/>
        </w:rPr>
      </w:pPr>
      <w:r>
        <w:rPr>
          <w:rFonts w:hint="eastAsia" w:ascii="Times New Roman" w:hAnsi="Times New Roman" w:eastAsia="仿宋_GB2312" w:cs="仿宋_GB2312"/>
          <w:color w:val="auto"/>
          <w:kern w:val="2"/>
          <w:sz w:val="32"/>
          <w:szCs w:val="32"/>
          <w:highlight w:val="none"/>
          <w:lang w:val="en-US" w:eastAsia="zh-CN" w:bidi="ar-SA"/>
        </w:rPr>
        <w:t>2024年度财政拨款收入、支出总计均为</w:t>
      </w:r>
      <w:r>
        <w:rPr>
          <w:rFonts w:hint="eastAsia" w:ascii="仿宋_GB2312" w:hAnsi="仿宋_GB2312" w:eastAsia="仿宋_GB2312" w:cs="仿宋_GB2312"/>
          <w:sz w:val="32"/>
          <w:szCs w:val="32"/>
        </w:rPr>
        <w:t>217.46</w:t>
      </w:r>
      <w:r>
        <w:rPr>
          <w:rFonts w:hint="eastAsia" w:ascii="Times New Roman" w:hAnsi="Times New Roman" w:eastAsia="仿宋_GB2312" w:cs="仿宋_GB2312"/>
          <w:color w:val="auto"/>
          <w:kern w:val="2"/>
          <w:sz w:val="32"/>
          <w:szCs w:val="32"/>
          <w:highlight w:val="none"/>
          <w:lang w:val="en-US" w:eastAsia="zh-CN" w:bidi="ar-SA"/>
        </w:rPr>
        <w:t>万元。与2023年度相比，财政拨款收入总计、支出总计各减少</w:t>
      </w:r>
      <w:r>
        <w:rPr>
          <w:rFonts w:hint="default" w:eastAsia="仿宋_GB2312" w:cs="仿宋_GB2312"/>
          <w:color w:val="auto"/>
          <w:kern w:val="2"/>
          <w:sz w:val="32"/>
          <w:szCs w:val="32"/>
          <w:highlight w:val="none"/>
          <w:lang w:eastAsia="zh-CN" w:bidi="ar-SA"/>
        </w:rPr>
        <w:t>13.4</w:t>
      </w:r>
      <w:r>
        <w:rPr>
          <w:rFonts w:hint="eastAsia" w:ascii="Times New Roman" w:hAnsi="Times New Roman" w:eastAsia="仿宋_GB2312" w:cs="仿宋_GB2312"/>
          <w:color w:val="auto"/>
          <w:kern w:val="2"/>
          <w:sz w:val="32"/>
          <w:szCs w:val="32"/>
          <w:highlight w:val="none"/>
          <w:lang w:val="en-US" w:eastAsia="zh-CN" w:bidi="ar-SA"/>
        </w:rPr>
        <w:t>万元，下降</w:t>
      </w:r>
      <w:r>
        <w:rPr>
          <w:rFonts w:hint="default" w:eastAsia="仿宋_GB2312" w:cs="仿宋_GB2312"/>
          <w:color w:val="auto"/>
          <w:kern w:val="2"/>
          <w:sz w:val="32"/>
          <w:szCs w:val="32"/>
          <w:highlight w:val="none"/>
          <w:lang w:eastAsia="zh-CN" w:bidi="ar-SA"/>
        </w:rPr>
        <w:t>5.8</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default" w:eastAsia="仿宋_GB2312" w:cs="仿宋_GB2312"/>
          <w:color w:val="auto"/>
          <w:sz w:val="32"/>
          <w:szCs w:val="32"/>
          <w:highlight w:val="none"/>
          <w:lang w:eastAsia="zh-CN"/>
        </w:rPr>
        <w:t>厉行节约，压减开支，减少预算支出。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sz w:val="21"/>
        </w:rPr>
        <mc:AlternateContent>
          <mc:Choice Requires="wps">
            <w:drawing>
              <wp:anchor distT="0" distB="0" distL="114300" distR="114300" simplePos="0" relativeHeight="251664384" behindDoc="0" locked="0" layoutInCell="1" allowOverlap="1">
                <wp:simplePos x="0" y="0"/>
                <wp:positionH relativeFrom="column">
                  <wp:posOffset>3707765</wp:posOffset>
                </wp:positionH>
                <wp:positionV relativeFrom="paragraph">
                  <wp:posOffset>457200</wp:posOffset>
                </wp:positionV>
                <wp:extent cx="1003935" cy="307975"/>
                <wp:effectExtent l="4445" t="4445" r="20320" b="11430"/>
                <wp:wrapNone/>
                <wp:docPr id="4" name="文本框 4"/>
                <wp:cNvGraphicFramePr/>
                <a:graphic xmlns:a="http://schemas.openxmlformats.org/drawingml/2006/main">
                  <a:graphicData uri="http://schemas.microsoft.com/office/word/2010/wordprocessingShape">
                    <wps:wsp>
                      <wps:cNvSpPr txBox="1"/>
                      <wps:spPr>
                        <a:xfrm>
                          <a:off x="0" y="0"/>
                          <a:ext cx="1003935" cy="3079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default"/>
                              </w:rPr>
                            </w:pPr>
                            <w:r>
                              <w:t>单位：万元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1.95pt;margin-top:36pt;height:24.25pt;width:79.05pt;z-index:251664384;mso-width-relative:page;mso-height-relative:page;" fillcolor="#FFFFFF [3201]" filled="t" stroked="t" coordsize="21600,21600" o:gfxdata="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BYAAABkcnMv&#10;UEsBAhQAFAAAAAgAh07iQGS2AALXAAAACgEAAA8AAAAAAAAAAQAgAAAAOAAAAGRycy9kb3ducmV2&#10;LnhtbFBLAQIUABQAAAAIAIdO4kA/FEosWQIAALcEAAAOAAAAAAAAAAEAIAAAADwBAABkcnMvZTJv&#10;RG9jLnhtbFBLBQYAAAAABgAGAFkBAAAHBgAAAAA=&#10;">
                <v:fill on="t" focussize="0,0"/>
                <v:stroke weight="0.5pt" color="#000000 [3204]" joinstyle="round"/>
                <v:imagedata o:title=""/>
                <o:lock v:ext="edit" aspectratio="f"/>
                <v:textbox>
                  <w:txbxContent>
                    <w:p>
                      <w:pPr>
                        <w:rPr>
                          <w:rFonts w:hint="default"/>
                        </w:rPr>
                      </w:pPr>
                      <w:r>
                        <w:t>单位：万元</w:t>
                      </w:r>
                    </w:p>
                  </w:txbxContent>
                </v:textbox>
              </v:shape>
            </w:pict>
          </mc:Fallback>
        </mc:AlternateContent>
      </w:r>
      <w:r>
        <w:drawing>
          <wp:anchor distT="0" distB="0" distL="114300" distR="114300" simplePos="0" relativeHeight="251660288" behindDoc="0" locked="0" layoutInCell="1" allowOverlap="1">
            <wp:simplePos x="0" y="0"/>
            <wp:positionH relativeFrom="column">
              <wp:posOffset>139700</wp:posOffset>
            </wp:positionH>
            <wp:positionV relativeFrom="paragraph">
              <wp:posOffset>211455</wp:posOffset>
            </wp:positionV>
            <wp:extent cx="4572000" cy="2743200"/>
            <wp:effectExtent l="4445" t="4445" r="14605" b="14605"/>
            <wp:wrapTopAndBottom/>
            <wp:docPr id="6"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spacing w:line="600" w:lineRule="exact"/>
        <w:outlineLvl w:val="1"/>
        <w:rPr>
          <w:rStyle w:val="30"/>
          <w:rFonts w:ascii="Times New Roman" w:hAnsi="Times New Roman" w:eastAsia="黑体"/>
          <w:b w:val="0"/>
          <w:color w:val="auto"/>
          <w:highlight w:val="none"/>
        </w:rPr>
      </w:pPr>
      <w:bookmarkStart w:id="26" w:name="_Toc15377209"/>
      <w:bookmarkStart w:id="27" w:name="_Toc15396607"/>
      <w:bookmarkStart w:id="28" w:name="_Toc1196411026"/>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6"/>
      <w:bookmarkEnd w:id="27"/>
      <w:bookmarkEnd w:id="28"/>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9" w:name="_Toc15377210"/>
      <w:bookmarkStart w:id="30" w:name="_Toc1492155463"/>
      <w:r>
        <w:rPr>
          <w:rFonts w:hint="eastAsia" w:ascii="Times New Roman" w:hAnsi="Times New Roman" w:eastAsia="楷体_GB2312" w:cs="楷体_GB2312"/>
          <w:b/>
          <w:color w:val="auto"/>
          <w:sz w:val="32"/>
          <w:szCs w:val="32"/>
          <w:highlight w:val="none"/>
        </w:rPr>
        <w:t>（一）一般公共预算财政拨款支出决算总体情况</w:t>
      </w:r>
      <w:bookmarkEnd w:id="29"/>
      <w:bookmarkEnd w:id="30"/>
    </w:p>
    <w:p>
      <w:pPr>
        <w:spacing w:line="600" w:lineRule="exact"/>
        <w:ind w:firstLine="640"/>
        <w:rPr>
          <w:rFonts w:hint="default" w:ascii="Times New Roman" w:hAnsi="Times New Roman" w:eastAsia="仿宋_GB2312" w:cs="仿宋_GB2312"/>
          <w:color w:val="auto"/>
          <w:sz w:val="32"/>
          <w:szCs w:val="32"/>
          <w:highlight w:val="none"/>
          <w:lang w:eastAsia="zh-CN"/>
        </w:rPr>
      </w:pPr>
      <w:r>
        <w:drawing>
          <wp:anchor distT="0" distB="0" distL="114300" distR="114300" simplePos="0" relativeHeight="251661312" behindDoc="0" locked="0" layoutInCell="1" allowOverlap="1">
            <wp:simplePos x="0" y="0"/>
            <wp:positionH relativeFrom="column">
              <wp:posOffset>254635</wp:posOffset>
            </wp:positionH>
            <wp:positionV relativeFrom="paragraph">
              <wp:posOffset>1793875</wp:posOffset>
            </wp:positionV>
            <wp:extent cx="4147820" cy="2550795"/>
            <wp:effectExtent l="4445" t="4445" r="19685" b="16510"/>
            <wp:wrapTopAndBottom/>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仿宋_GB2312" w:hAnsi="仿宋_GB2312" w:eastAsia="仿宋_GB2312" w:cs="仿宋_GB2312"/>
          <w:color w:val="auto"/>
          <w:kern w:val="2"/>
          <w:sz w:val="32"/>
          <w:szCs w:val="32"/>
          <w:highlight w:val="none"/>
          <w:lang w:val="en-US" w:eastAsia="zh-CN" w:bidi="ar-SA"/>
        </w:rPr>
        <w:t>2024年度一般公共预算财政拨款支出</w:t>
      </w:r>
      <w:r>
        <w:rPr>
          <w:rFonts w:hint="eastAsia" w:ascii="仿宋_GB2312" w:hAnsi="仿宋_GB2312" w:eastAsia="仿宋_GB2312" w:cs="仿宋_GB2312"/>
          <w:sz w:val="32"/>
          <w:szCs w:val="32"/>
        </w:rPr>
        <w:t>217.46</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%。与2023年度相比，一般公共预算财政拨款支出减少</w:t>
      </w:r>
      <w:r>
        <w:rPr>
          <w:rFonts w:hint="default" w:ascii="仿宋_GB2312" w:hAnsi="仿宋_GB2312" w:eastAsia="仿宋_GB2312" w:cs="仿宋_GB2312"/>
          <w:color w:val="auto"/>
          <w:kern w:val="2"/>
          <w:sz w:val="32"/>
          <w:szCs w:val="32"/>
          <w:highlight w:val="none"/>
          <w:lang w:eastAsia="zh-CN" w:bidi="ar-SA"/>
        </w:rPr>
        <w:t>13.4</w:t>
      </w:r>
      <w:r>
        <w:rPr>
          <w:rFonts w:hint="eastAsia" w:ascii="仿宋_GB2312" w:hAnsi="仿宋_GB2312" w:eastAsia="仿宋_GB2312" w:cs="仿宋_GB2312"/>
          <w:color w:val="auto"/>
          <w:kern w:val="2"/>
          <w:sz w:val="32"/>
          <w:szCs w:val="32"/>
          <w:highlight w:val="none"/>
          <w:lang w:val="en-US" w:eastAsia="zh-CN" w:bidi="ar-SA"/>
        </w:rPr>
        <w:t>万元，下降</w:t>
      </w:r>
      <w:r>
        <w:rPr>
          <w:rFonts w:hint="default" w:ascii="仿宋_GB2312" w:hAnsi="仿宋_GB2312" w:eastAsia="仿宋_GB2312" w:cs="仿宋_GB2312"/>
          <w:color w:val="auto"/>
          <w:kern w:val="2"/>
          <w:sz w:val="32"/>
          <w:szCs w:val="32"/>
          <w:highlight w:val="none"/>
          <w:lang w:eastAsia="zh-CN" w:bidi="ar-SA"/>
        </w:rPr>
        <w:t>5.8</w:t>
      </w:r>
      <w:r>
        <w:rPr>
          <w:rFonts w:hint="eastAsia" w:ascii="仿宋_GB2312" w:hAnsi="仿宋_GB2312" w:eastAsia="仿宋_GB2312" w:cs="仿宋_GB2312"/>
          <w:color w:val="auto"/>
          <w:kern w:val="2"/>
          <w:sz w:val="32"/>
          <w:szCs w:val="32"/>
          <w:highlight w:val="none"/>
          <w:lang w:val="en-US" w:eastAsia="zh-CN" w:bidi="ar-SA"/>
        </w:rPr>
        <w:t>%。主要变动原因是</w:t>
      </w:r>
      <w:r>
        <w:rPr>
          <w:rFonts w:hint="default" w:eastAsia="仿宋_GB2312" w:cs="仿宋_GB2312"/>
          <w:color w:val="auto"/>
          <w:sz w:val="32"/>
          <w:szCs w:val="32"/>
          <w:highlight w:val="none"/>
          <w:lang w:eastAsia="zh-CN"/>
        </w:rPr>
        <w:t>厉行节约，压减开支，减少预算支出。</w:t>
      </w:r>
    </w:p>
    <w:p>
      <w:pPr>
        <w:bidi w:val="0"/>
        <w:rPr>
          <w:rFonts w:hint="default" w:ascii="Times New Roman" w:hAnsi="Times New Roman" w:eastAsia="宋体" w:cs="Times New Roman"/>
          <w:kern w:val="2"/>
          <w:sz w:val="21"/>
          <w:szCs w:val="24"/>
          <w:lang w:val="en-US" w:eastAsia="zh-CN" w:bidi="ar-SA"/>
        </w:rPr>
      </w:pPr>
      <w:r>
        <w:rPr>
          <w:sz w:val="21"/>
        </w:rPr>
        <mc:AlternateContent>
          <mc:Choice Requires="wps">
            <w:drawing>
              <wp:anchor distT="0" distB="0" distL="114300" distR="114300" simplePos="0" relativeHeight="251662336" behindDoc="0" locked="0" layoutInCell="1" allowOverlap="1">
                <wp:simplePos x="0" y="0"/>
                <wp:positionH relativeFrom="column">
                  <wp:posOffset>3280410</wp:posOffset>
                </wp:positionH>
                <wp:positionV relativeFrom="paragraph">
                  <wp:posOffset>687070</wp:posOffset>
                </wp:positionV>
                <wp:extent cx="1003935" cy="307975"/>
                <wp:effectExtent l="4445" t="4445" r="20320" b="11430"/>
                <wp:wrapNone/>
                <wp:docPr id="8" name="文本框 8"/>
                <wp:cNvGraphicFramePr/>
                <a:graphic xmlns:a="http://schemas.openxmlformats.org/drawingml/2006/main">
                  <a:graphicData uri="http://schemas.microsoft.com/office/word/2010/wordprocessingShape">
                    <wps:wsp>
                      <wps:cNvSpPr txBox="1"/>
                      <wps:spPr>
                        <a:xfrm>
                          <a:off x="0" y="0"/>
                          <a:ext cx="1003935" cy="3079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default"/>
                              </w:rPr>
                            </w:pPr>
                            <w:r>
                              <w:t>单位：万元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8.3pt;margin-top:54.1pt;height:24.25pt;width:79.05pt;z-index:251662336;mso-width-relative:page;mso-height-relative:page;" fillcolor="#FFFFFF [3201]" filled="t" stroked="t" coordsize="21600,21600" o:gfxdata="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BYAAABkcnMv&#10;UEsBAhQAFAAAAAgAh07iQA5fdrPXAAAACwEAAA8AAAAAAAAAAQAgAAAAOAAAAGRycy9kb3ducmV2&#10;LnhtbFBLAQIUABQAAAAIAIdO4kDEm71eWQIAALcEAAAOAAAAAAAAAAEAIAAAADwBAABkcnMvZTJv&#10;RG9jLnhtbFBLBQYAAAAABgAGAFkBAAAHBgAAAAA=&#10;">
                <v:fill on="t" focussize="0,0"/>
                <v:stroke weight="0.5pt" color="#000000 [3204]" joinstyle="round"/>
                <v:imagedata o:title=""/>
                <o:lock v:ext="edit" aspectratio="f"/>
                <v:textbox>
                  <w:txbxContent>
                    <w:p>
                      <w:pPr>
                        <w:rPr>
                          <w:rFonts w:hint="default"/>
                        </w:rPr>
                      </w:pPr>
                      <w:r>
                        <w:t>单位：万元</w:t>
                      </w:r>
                    </w:p>
                  </w:txbxContent>
                </v:textbox>
              </v:shape>
            </w:pict>
          </mc:Fallback>
        </mc:AlternateConten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1" w:name="_Toc15377211"/>
      <w:bookmarkStart w:id="32" w:name="_Toc675750442"/>
      <w:r>
        <w:rPr>
          <w:rFonts w:hint="eastAsia" w:ascii="Times New Roman" w:hAnsi="Times New Roman" w:eastAsia="楷体_GB2312" w:cs="楷体_GB2312"/>
          <w:b/>
          <w:color w:val="auto"/>
          <w:sz w:val="32"/>
          <w:szCs w:val="32"/>
          <w:highlight w:val="none"/>
        </w:rPr>
        <w:t>（二）一般公共预算财政拨款支出决算结构情况</w:t>
      </w:r>
      <w:bookmarkEnd w:id="31"/>
      <w:bookmarkEnd w:id="32"/>
    </w:p>
    <w:p>
      <w:pPr>
        <w:spacing w:line="600" w:lineRule="exact"/>
        <w:ind w:firstLine="640"/>
        <w:rPr>
          <w:rFonts w:hint="eastAsia" w:ascii="Times New Roman" w:hAnsi="Times New Roman" w:eastAsia="楷体_GB2312" w:cs="楷体_GB2312"/>
          <w:b/>
          <w:color w:val="auto"/>
          <w:sz w:val="32"/>
          <w:szCs w:val="32"/>
          <w:highlight w:val="none"/>
        </w:rPr>
      </w:pPr>
      <w:r>
        <w:rPr>
          <w:highlight w:val="none"/>
        </w:rPr>
        <w:drawing>
          <wp:anchor distT="0" distB="0" distL="114300" distR="114300" simplePos="0" relativeHeight="251663360" behindDoc="0" locked="0" layoutInCell="1" allowOverlap="1">
            <wp:simplePos x="0" y="0"/>
            <wp:positionH relativeFrom="column">
              <wp:posOffset>83185</wp:posOffset>
            </wp:positionH>
            <wp:positionV relativeFrom="paragraph">
              <wp:posOffset>1535430</wp:posOffset>
            </wp:positionV>
            <wp:extent cx="4191000" cy="2005330"/>
            <wp:effectExtent l="4445" t="4445" r="14605" b="9525"/>
            <wp:wrapTopAndBottom/>
            <wp:docPr id="1031"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Times New Roman" w:hAnsi="Times New Roman" w:eastAsia="仿宋_GB2312" w:cs="仿宋_GB2312"/>
          <w:color w:val="auto"/>
          <w:kern w:val="2"/>
          <w:sz w:val="32"/>
          <w:szCs w:val="32"/>
          <w:highlight w:val="none"/>
          <w:lang w:val="en-US" w:eastAsia="zh-CN" w:bidi="ar-SA"/>
        </w:rPr>
        <w:t>2024年度一般公共预算财政拨款支出</w:t>
      </w:r>
      <w:r>
        <w:rPr>
          <w:rFonts w:hint="eastAsia" w:ascii="仿宋_GB2312" w:hAnsi="仿宋_GB2312" w:eastAsia="仿宋_GB2312" w:cs="仿宋_GB2312"/>
          <w:sz w:val="32"/>
          <w:szCs w:val="32"/>
          <w:highlight w:val="none"/>
        </w:rPr>
        <w:t>217.46</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w:t>
      </w:r>
      <w:r>
        <w:rPr>
          <w:rFonts w:hint="default" w:eastAsia="仿宋_GB2312" w:cs="仿宋_GB2312"/>
          <w:color w:val="auto"/>
          <w:kern w:val="2"/>
          <w:sz w:val="32"/>
          <w:szCs w:val="32"/>
          <w:highlight w:val="none"/>
          <w:lang w:eastAsia="zh-CN" w:bidi="ar-SA"/>
        </w:rPr>
        <w:t>社会保障就业支出217.46</w:t>
      </w:r>
      <w:r>
        <w:rPr>
          <w:rFonts w:hint="eastAsia" w:ascii="Times New Roman" w:hAnsi="Times New Roman" w:eastAsia="仿宋_GB2312" w:cs="仿宋_GB2312"/>
          <w:color w:val="auto"/>
          <w:kern w:val="2"/>
          <w:sz w:val="32"/>
          <w:szCs w:val="32"/>
          <w:highlight w:val="none"/>
          <w:lang w:val="en-US" w:eastAsia="zh-CN" w:bidi="ar-SA"/>
        </w:rPr>
        <w:t>万元，占</w:t>
      </w:r>
      <w:r>
        <w:rPr>
          <w:rFonts w:hint="default" w:eastAsia="仿宋_GB2312" w:cs="仿宋_GB2312"/>
          <w:color w:val="auto"/>
          <w:kern w:val="2"/>
          <w:sz w:val="32"/>
          <w:szCs w:val="32"/>
          <w:highlight w:val="none"/>
          <w:lang w:eastAsia="zh-CN" w:bidi="ar-SA"/>
        </w:rPr>
        <w:t>100</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default" w:eastAsia="仿宋_GB2312" w:cs="仿宋_GB2312"/>
          <w:color w:val="auto"/>
          <w:kern w:val="2"/>
          <w:sz w:val="32"/>
          <w:szCs w:val="32"/>
          <w:highlight w:val="none"/>
          <w:lang w:eastAsia="zh-CN" w:bidi="ar-SA"/>
        </w:rPr>
        <w:t>189.73</w:t>
      </w:r>
      <w:r>
        <w:rPr>
          <w:rFonts w:hint="eastAsia" w:ascii="Times New Roman" w:hAnsi="Times New Roman" w:eastAsia="仿宋_GB2312" w:cs="仿宋_GB2312"/>
          <w:color w:val="auto"/>
          <w:kern w:val="2"/>
          <w:sz w:val="32"/>
          <w:szCs w:val="32"/>
          <w:highlight w:val="none"/>
          <w:lang w:val="en-US" w:eastAsia="zh-CN" w:bidi="ar-SA"/>
        </w:rPr>
        <w:t>万元，占</w:t>
      </w:r>
      <w:r>
        <w:rPr>
          <w:rFonts w:hint="default" w:eastAsia="仿宋_GB2312" w:cs="仿宋_GB2312"/>
          <w:color w:val="auto"/>
          <w:kern w:val="2"/>
          <w:sz w:val="32"/>
          <w:szCs w:val="32"/>
          <w:highlight w:val="none"/>
          <w:lang w:eastAsia="zh-CN" w:bidi="ar-SA"/>
        </w:rPr>
        <w:t>87.25</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default" w:eastAsia="仿宋_GB2312" w:cs="仿宋_GB2312"/>
          <w:color w:val="auto"/>
          <w:kern w:val="2"/>
          <w:sz w:val="32"/>
          <w:szCs w:val="32"/>
          <w:highlight w:val="none"/>
          <w:lang w:eastAsia="zh-CN" w:bidi="ar-SA"/>
        </w:rPr>
        <w:t>7.66</w:t>
      </w:r>
      <w:r>
        <w:rPr>
          <w:rFonts w:hint="eastAsia" w:ascii="Times New Roman" w:hAnsi="Times New Roman" w:eastAsia="仿宋_GB2312" w:cs="仿宋_GB2312"/>
          <w:color w:val="auto"/>
          <w:kern w:val="2"/>
          <w:sz w:val="32"/>
          <w:szCs w:val="32"/>
          <w:highlight w:val="none"/>
          <w:lang w:val="en-US" w:eastAsia="zh-CN" w:bidi="ar-SA"/>
        </w:rPr>
        <w:t>万元，占</w:t>
      </w:r>
      <w:r>
        <w:rPr>
          <w:rFonts w:hint="default" w:eastAsia="仿宋_GB2312" w:cs="仿宋_GB2312"/>
          <w:color w:val="auto"/>
          <w:kern w:val="2"/>
          <w:sz w:val="32"/>
          <w:szCs w:val="32"/>
          <w:highlight w:val="none"/>
          <w:lang w:eastAsia="zh-CN" w:bidi="ar-SA"/>
        </w:rPr>
        <w:t>3.53</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default" w:eastAsia="仿宋_GB2312" w:cs="仿宋_GB2312"/>
          <w:color w:val="auto"/>
          <w:kern w:val="2"/>
          <w:sz w:val="32"/>
          <w:szCs w:val="32"/>
          <w:highlight w:val="none"/>
          <w:lang w:eastAsia="zh-CN" w:bidi="ar-SA"/>
        </w:rPr>
        <w:t>20.06</w:t>
      </w:r>
      <w:r>
        <w:rPr>
          <w:rFonts w:hint="eastAsia" w:ascii="Times New Roman" w:hAnsi="Times New Roman" w:eastAsia="仿宋_GB2312" w:cs="仿宋_GB2312"/>
          <w:color w:val="auto"/>
          <w:kern w:val="2"/>
          <w:sz w:val="32"/>
          <w:szCs w:val="32"/>
          <w:highlight w:val="none"/>
          <w:lang w:val="en-US" w:eastAsia="zh-CN" w:bidi="ar-SA"/>
        </w:rPr>
        <w:t>万元，占</w:t>
      </w:r>
      <w:r>
        <w:rPr>
          <w:rFonts w:hint="default" w:eastAsia="仿宋_GB2312" w:cs="仿宋_GB2312"/>
          <w:color w:val="auto"/>
          <w:kern w:val="2"/>
          <w:sz w:val="32"/>
          <w:szCs w:val="32"/>
          <w:highlight w:val="none"/>
          <w:lang w:eastAsia="zh-CN" w:bidi="ar-SA"/>
        </w:rPr>
        <w:t>9.22</w:t>
      </w:r>
      <w:r>
        <w:rPr>
          <w:rFonts w:hint="eastAsia" w:ascii="Times New Roman" w:hAnsi="Times New Roman" w:eastAsia="仿宋_GB2312" w:cs="仿宋_GB2312"/>
          <w:color w:val="auto"/>
          <w:kern w:val="2"/>
          <w:sz w:val="32"/>
          <w:szCs w:val="32"/>
          <w:highlight w:val="none"/>
          <w:lang w:val="en-US" w:eastAsia="zh-CN" w:bidi="ar-SA"/>
        </w:rPr>
        <w:t>%</w:t>
      </w:r>
      <w:r>
        <w:rPr>
          <w:rFonts w:hint="default" w:eastAsia="仿宋_GB2312" w:cs="仿宋_GB2312"/>
          <w:color w:val="auto"/>
          <w:kern w:val="2"/>
          <w:sz w:val="32"/>
          <w:szCs w:val="32"/>
          <w:highlight w:val="none"/>
          <w:lang w:eastAsia="zh-CN" w:bidi="ar-SA"/>
        </w:rPr>
        <w:t>。</w:t>
      </w:r>
      <w:bookmarkStart w:id="33" w:name="_Toc15377212"/>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4" w:name="_Toc872406558"/>
      <w:r>
        <w:rPr>
          <w:rFonts w:hint="eastAsia" w:ascii="Times New Roman" w:hAnsi="Times New Roman" w:eastAsia="楷体_GB2312" w:cs="楷体_GB2312"/>
          <w:b/>
          <w:color w:val="auto"/>
          <w:sz w:val="32"/>
          <w:szCs w:val="32"/>
          <w:highlight w:val="none"/>
        </w:rPr>
        <w:t>（三）一般公共预算财政拨款支出决算具体情况</w:t>
      </w:r>
      <w:bookmarkEnd w:id="33"/>
      <w:bookmarkEnd w:id="3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5" w:name="_Toc15377213"/>
      <w:bookmarkStart w:id="36" w:name="_Toc15378460"/>
      <w:bookmarkStart w:id="37" w:name="_Toc15377444"/>
      <w:r>
        <w:rPr>
          <w:rFonts w:hint="eastAsia" w:ascii="Times New Roman" w:hAnsi="Times New Roman" w:eastAsia="仿宋_GB2312" w:cs="仿宋_GB2312"/>
          <w:color w:val="auto"/>
          <w:kern w:val="2"/>
          <w:sz w:val="32"/>
          <w:szCs w:val="32"/>
          <w:highlight w:val="none"/>
          <w:lang w:val="en-US" w:eastAsia="zh-CN" w:bidi="ar-SA"/>
        </w:rPr>
        <w:t>2024年度一般公共预算财政拨款支出决算数为</w:t>
      </w:r>
      <w:r>
        <w:rPr>
          <w:rFonts w:hint="eastAsia" w:ascii="仿宋_GB2312" w:hAnsi="仿宋_GB2312" w:eastAsia="仿宋_GB2312" w:cs="仿宋_GB2312"/>
          <w:sz w:val="32"/>
          <w:szCs w:val="32"/>
        </w:rPr>
        <w:t>217.46</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default" w:eastAsia="仿宋_GB2312" w:cs="仿宋_GB2312"/>
          <w:color w:val="auto"/>
          <w:kern w:val="2"/>
          <w:sz w:val="32"/>
          <w:szCs w:val="32"/>
          <w:highlight w:val="none"/>
          <w:lang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5"/>
      <w:bookmarkEnd w:id="36"/>
      <w:bookmarkEnd w:id="37"/>
    </w:p>
    <w:p>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eastAsia="zh-CN" w:bidi="ar-SA"/>
        </w:rPr>
        <w:t>1.</w:t>
      </w:r>
      <w:r>
        <w:rPr>
          <w:rFonts w:hint="eastAsia" w:ascii="Times New Roman" w:hAnsi="Times New Roman" w:eastAsia="仿宋_GB2312" w:cs="仿宋_GB2312"/>
          <w:color w:val="auto"/>
          <w:kern w:val="2"/>
          <w:sz w:val="32"/>
          <w:szCs w:val="32"/>
          <w:highlight w:val="none"/>
          <w:lang w:val="en-US" w:eastAsia="zh-CN" w:bidi="ar-SA"/>
        </w:rPr>
        <w:t>社会保障和就业支出（类）</w:t>
      </w:r>
      <w:r>
        <w:rPr>
          <w:rFonts w:hint="default" w:ascii="Times New Roman" w:hAnsi="Times New Roman" w:eastAsia="仿宋_GB2312" w:cs="仿宋_GB2312"/>
          <w:color w:val="auto"/>
          <w:kern w:val="2"/>
          <w:sz w:val="32"/>
          <w:szCs w:val="32"/>
          <w:highlight w:val="none"/>
          <w:lang w:eastAsia="zh-CN" w:bidi="ar-SA"/>
        </w:rPr>
        <w:t>民政管理事务</w:t>
      </w:r>
      <w:r>
        <w:rPr>
          <w:rFonts w:hint="eastAsia" w:ascii="Times New Roman" w:hAnsi="Times New Roman" w:eastAsia="仿宋_GB2312" w:cs="仿宋_GB2312"/>
          <w:color w:val="auto"/>
          <w:kern w:val="2"/>
          <w:sz w:val="32"/>
          <w:szCs w:val="32"/>
          <w:highlight w:val="none"/>
          <w:lang w:val="en-US" w:eastAsia="zh-CN" w:bidi="ar-SA"/>
        </w:rPr>
        <w:t>（款）</w:t>
      </w:r>
      <w:r>
        <w:rPr>
          <w:rFonts w:hint="default" w:ascii="Times New Roman" w:hAnsi="Times New Roman" w:eastAsia="仿宋_GB2312" w:cs="仿宋_GB2312"/>
          <w:color w:val="auto"/>
          <w:kern w:val="2"/>
          <w:sz w:val="32"/>
          <w:szCs w:val="32"/>
          <w:highlight w:val="none"/>
          <w:lang w:eastAsia="zh-CN" w:bidi="ar-SA"/>
        </w:rPr>
        <w:t>其他民政事务管理支出</w:t>
      </w:r>
      <w:r>
        <w:rPr>
          <w:rFonts w:hint="eastAsia" w:ascii="Times New Roman" w:hAnsi="Times New Roman" w:eastAsia="仿宋_GB2312" w:cs="仿宋_GB2312"/>
          <w:color w:val="auto"/>
          <w:kern w:val="2"/>
          <w:sz w:val="32"/>
          <w:szCs w:val="32"/>
          <w:highlight w:val="none"/>
          <w:lang w:val="en-US" w:eastAsia="zh-CN" w:bidi="ar-SA"/>
        </w:rPr>
        <w:t>（项）:支出决算为</w:t>
      </w:r>
      <w:r>
        <w:rPr>
          <w:rFonts w:hint="default" w:ascii="Times New Roman" w:hAnsi="Times New Roman" w:eastAsia="仿宋_GB2312" w:cs="仿宋_GB2312"/>
          <w:color w:val="auto"/>
          <w:kern w:val="2"/>
          <w:sz w:val="32"/>
          <w:szCs w:val="32"/>
          <w:highlight w:val="none"/>
          <w:lang w:eastAsia="zh-CN" w:bidi="ar-SA"/>
        </w:rPr>
        <w:t>162.08</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pPr>
        <w:pStyle w:val="2"/>
        <w:numPr>
          <w:ilvl w:val="0"/>
          <w:numId w:val="0"/>
        </w:numPr>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cs="仿宋_GB2312"/>
          <w:color w:val="auto"/>
          <w:kern w:val="2"/>
          <w:sz w:val="32"/>
          <w:szCs w:val="32"/>
          <w:highlight w:val="none"/>
          <w:lang w:eastAsia="zh-CN" w:bidi="ar-SA"/>
        </w:rPr>
        <w:t>2.社</w:t>
      </w:r>
      <w:r>
        <w:rPr>
          <w:rFonts w:hint="eastAsia" w:ascii="Times New Roman" w:hAnsi="Times New Roman" w:eastAsia="仿宋_GB2312" w:cs="仿宋_GB2312"/>
          <w:color w:val="auto"/>
          <w:kern w:val="2"/>
          <w:sz w:val="32"/>
          <w:szCs w:val="32"/>
          <w:highlight w:val="none"/>
          <w:lang w:val="en-US" w:eastAsia="zh-CN" w:bidi="ar-SA"/>
        </w:rPr>
        <w:t>会保障和就业支出（类）行政事业单位养老支出（款）机关事业单位基本养老保险缴费支出（项）:支出决算为</w:t>
      </w:r>
      <w:r>
        <w:rPr>
          <w:rFonts w:hint="default" w:ascii="Times New Roman" w:hAnsi="Times New Roman" w:eastAsia="仿宋_GB2312" w:cs="仿宋_GB2312"/>
          <w:color w:val="auto"/>
          <w:kern w:val="2"/>
          <w:sz w:val="32"/>
          <w:szCs w:val="32"/>
          <w:highlight w:val="none"/>
          <w:lang w:eastAsia="zh-CN" w:bidi="ar-SA"/>
        </w:rPr>
        <w:t>18.54</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3.社会保障和就业支出（类）行政事业单位养老支出（款）机关事业单位职业年金缴费支出（项）:支出决算为</w:t>
      </w:r>
      <w:r>
        <w:rPr>
          <w:rFonts w:hint="default" w:eastAsia="仿宋_GB2312" w:cs="仿宋_GB2312"/>
          <w:color w:val="auto"/>
          <w:kern w:val="2"/>
          <w:sz w:val="32"/>
          <w:szCs w:val="32"/>
          <w:highlight w:val="none"/>
          <w:lang w:eastAsia="zh-CN" w:bidi="ar-SA"/>
        </w:rPr>
        <w:t>9.12</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4.卫生健康支出（类）行政事业单位医疗（款）事业单位医疗（项）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default" w:eastAsia="仿宋_GB2312" w:cs="仿宋_GB2312"/>
          <w:color w:val="auto"/>
          <w:kern w:val="2"/>
          <w:sz w:val="32"/>
          <w:szCs w:val="32"/>
          <w:highlight w:val="none"/>
          <w:lang w:eastAsia="zh-CN" w:bidi="ar-SA"/>
        </w:rPr>
        <w:t>7.66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default" w:eastAsia="仿宋_GB2312" w:cs="仿宋_GB2312"/>
          <w:color w:val="auto"/>
          <w:kern w:val="2"/>
          <w:sz w:val="32"/>
          <w:szCs w:val="32"/>
          <w:highlight w:val="none"/>
          <w:lang w:eastAsia="zh-CN" w:bidi="ar-SA"/>
        </w:rPr>
        <w:t>7.66</w:t>
      </w:r>
      <w:r>
        <w:rPr>
          <w:rFonts w:hint="eastAsia" w:ascii="Times New Roman" w:hAnsi="Times New Roman" w:eastAsia="仿宋_GB2312" w:cs="仿宋_GB2312"/>
          <w:color w:val="auto"/>
          <w:kern w:val="2"/>
          <w:sz w:val="32"/>
          <w:szCs w:val="32"/>
          <w:highlight w:val="none"/>
          <w:lang w:val="en-US" w:eastAsia="zh-CN" w:bidi="ar-SA"/>
        </w:rPr>
        <w:t>%，完成预算100%，决算数等于预算数。</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5.住房保障支出（类）住房改革支出（款）住房公积金（项）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default" w:eastAsia="仿宋_GB2312" w:cs="仿宋_GB2312"/>
          <w:color w:val="auto"/>
          <w:kern w:val="2"/>
          <w:sz w:val="32"/>
          <w:szCs w:val="32"/>
          <w:highlight w:val="none"/>
          <w:lang w:eastAsia="zh-CN" w:bidi="ar-SA"/>
        </w:rPr>
        <w:t>20.06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default" w:eastAsia="仿宋_GB2312" w:cs="仿宋_GB2312"/>
          <w:color w:val="auto"/>
          <w:kern w:val="2"/>
          <w:sz w:val="32"/>
          <w:szCs w:val="32"/>
          <w:highlight w:val="none"/>
          <w:lang w:eastAsia="zh-CN" w:bidi="ar-SA"/>
        </w:rPr>
        <w:t>100</w:t>
      </w:r>
      <w:r>
        <w:rPr>
          <w:rFonts w:hint="eastAsia" w:ascii="Times New Roman" w:hAnsi="Times New Roman" w:eastAsia="仿宋_GB2312" w:cs="仿宋_GB2312"/>
          <w:color w:val="auto"/>
          <w:kern w:val="2"/>
          <w:sz w:val="32"/>
          <w:szCs w:val="32"/>
          <w:highlight w:val="none"/>
          <w:lang w:val="en-US" w:eastAsia="zh-CN" w:bidi="ar-SA"/>
        </w:rPr>
        <w:t>%，完成预算100%，决算数等于预算数。</w:t>
      </w:r>
    </w:p>
    <w:p>
      <w:pPr>
        <w:tabs>
          <w:tab w:val="left" w:pos="1834"/>
        </w:tabs>
        <w:spacing w:line="600" w:lineRule="exact"/>
        <w:rPr>
          <w:rFonts w:hint="default" w:ascii="Times New Roman" w:hAnsi="Times New Roman" w:eastAsia="仿宋_GB2312" w:cs="仿宋_GB2312"/>
          <w:color w:val="auto"/>
          <w:kern w:val="2"/>
          <w:sz w:val="32"/>
          <w:szCs w:val="32"/>
          <w:highlight w:val="none"/>
          <w:lang w:eastAsia="zh-CN" w:bidi="ar-SA"/>
        </w:rPr>
      </w:pPr>
      <w:r>
        <w:rPr>
          <w:rFonts w:hint="default" w:eastAsia="仿宋_GB2312" w:cs="仿宋_GB2312"/>
          <w:color w:val="auto"/>
          <w:kern w:val="2"/>
          <w:sz w:val="32"/>
          <w:szCs w:val="32"/>
          <w:highlight w:val="none"/>
          <w:lang w:eastAsia="zh-CN" w:bidi="ar-SA"/>
        </w:rPr>
        <w:tab/>
      </w:r>
    </w:p>
    <w:p>
      <w:pPr>
        <w:tabs>
          <w:tab w:val="right" w:pos="8306"/>
        </w:tabs>
        <w:spacing w:line="600" w:lineRule="exact"/>
        <w:ind w:firstLine="640"/>
        <w:outlineLvl w:val="1"/>
        <w:rPr>
          <w:rStyle w:val="30"/>
          <w:rFonts w:ascii="Times New Roman" w:hAnsi="Times New Roman"/>
          <w:color w:val="auto"/>
          <w:highlight w:val="none"/>
        </w:rPr>
      </w:pPr>
      <w:bookmarkStart w:id="38" w:name="_Toc15377214"/>
      <w:bookmarkStart w:id="39" w:name="_Toc15396608"/>
      <w:bookmarkStart w:id="40" w:name="_Toc152075151"/>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38"/>
      <w:bookmarkEnd w:id="39"/>
      <w:bookmarkEnd w:id="40"/>
      <w:r>
        <w:rPr>
          <w:rStyle w:val="30"/>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2024年度一般公共预算财政拨款基本支出</w:t>
      </w:r>
      <w:r>
        <w:rPr>
          <w:rFonts w:hint="eastAsia" w:ascii="仿宋_GB2312" w:hAnsi="仿宋_GB2312" w:eastAsia="仿宋_GB2312" w:cs="仿宋_GB2312"/>
          <w:sz w:val="32"/>
          <w:szCs w:val="32"/>
        </w:rPr>
        <w:t>217.46</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204.05</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元，主要包括：基本工资、津贴补贴、奖金、伙食补助费、绩效工资、机关事业单位基本养老保险缴费、职业年金缴费、其他社会保障缴费</w:t>
      </w:r>
      <w:r>
        <w:rPr>
          <w:rFonts w:hint="default" w:eastAsia="仿宋_GB2312" w:cs="仿宋_GB2312"/>
          <w:color w:val="auto"/>
          <w:kern w:val="2"/>
          <w:sz w:val="32"/>
          <w:szCs w:val="32"/>
          <w:highlight w:val="none"/>
          <w:lang w:eastAsia="zh-CN" w:bidi="ar-SA"/>
        </w:rPr>
        <w:t>、</w:t>
      </w:r>
      <w:r>
        <w:rPr>
          <w:rFonts w:hint="eastAsia" w:ascii="Times New Roman" w:hAnsi="Times New Roman" w:eastAsia="仿宋_GB2312" w:cs="仿宋_GB2312"/>
          <w:color w:val="auto"/>
          <w:kern w:val="2"/>
          <w:sz w:val="32"/>
          <w:szCs w:val="32"/>
          <w:highlight w:val="none"/>
          <w:lang w:val="en-US" w:eastAsia="zh-CN" w:bidi="ar-SA"/>
        </w:rPr>
        <w:t>生活补助、医疗费补助、奖励金</w:t>
      </w:r>
      <w:r>
        <w:rPr>
          <w:rFonts w:hint="default" w:eastAsia="仿宋_GB2312" w:cs="仿宋_GB2312"/>
          <w:color w:val="auto"/>
          <w:kern w:val="2"/>
          <w:sz w:val="32"/>
          <w:szCs w:val="32"/>
          <w:highlight w:val="none"/>
          <w:lang w:eastAsia="zh-CN" w:bidi="ar-SA"/>
        </w:rPr>
        <w:t>、奖金</w:t>
      </w:r>
      <w:r>
        <w:rPr>
          <w:rFonts w:hint="eastAsia" w:ascii="Times New Roman" w:hAnsi="Times New Roman" w:eastAsia="仿宋_GB2312" w:cs="仿宋_GB2312"/>
          <w:color w:val="auto"/>
          <w:kern w:val="2"/>
          <w:sz w:val="32"/>
          <w:szCs w:val="32"/>
          <w:highlight w:val="none"/>
          <w:lang w:val="en-US" w:eastAsia="zh-CN" w:bidi="ar-SA"/>
        </w:rPr>
        <w:t>、住房公积金等。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13.41</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元，主要包括：办公费、差旅费、培训费</w:t>
      </w:r>
      <w:r>
        <w:rPr>
          <w:rFonts w:hint="default" w:eastAsia="仿宋_GB2312" w:cs="仿宋_GB2312"/>
          <w:color w:val="auto"/>
          <w:kern w:val="2"/>
          <w:sz w:val="32"/>
          <w:szCs w:val="32"/>
          <w:highlight w:val="none"/>
          <w:lang w:eastAsia="zh-CN" w:bidi="ar-SA"/>
        </w:rPr>
        <w:t>等</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outlineLvl w:val="1"/>
        <w:rPr>
          <w:rStyle w:val="30"/>
          <w:rFonts w:ascii="Times New Roman" w:hAnsi="Times New Roman" w:eastAsia="黑体"/>
          <w:b w:val="0"/>
          <w:color w:val="auto"/>
          <w:highlight w:val="none"/>
        </w:rPr>
      </w:pPr>
      <w:bookmarkStart w:id="41" w:name="_Toc15396609"/>
      <w:bookmarkStart w:id="42" w:name="_Toc15377215"/>
      <w:bookmarkStart w:id="43" w:name="_Toc281684833"/>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41"/>
      <w:bookmarkEnd w:id="42"/>
      <w:bookmarkEnd w:id="43"/>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4" w:name="_Toc15377216"/>
      <w:bookmarkStart w:id="45" w:name="_Toc786636369"/>
      <w:r>
        <w:rPr>
          <w:rFonts w:hint="eastAsia" w:ascii="Times New Roman" w:hAnsi="Times New Roman" w:eastAsia="楷体_GB2312" w:cs="楷体_GB2312"/>
          <w:b/>
          <w:color w:val="auto"/>
          <w:sz w:val="32"/>
          <w:szCs w:val="32"/>
          <w:highlight w:val="none"/>
        </w:rPr>
        <w:t>（一）“三公”经费财政拨款支出决算总体情况说明</w:t>
      </w:r>
      <w:bookmarkEnd w:id="44"/>
      <w:bookmarkEnd w:id="45"/>
    </w:p>
    <w:p>
      <w:pPr>
        <w:spacing w:line="600" w:lineRule="exact"/>
        <w:ind w:firstLine="640"/>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t>2024年度“三公”经费财政拨款支出决算为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default" w:eastAsia="仿宋_GB2312" w:cs="仿宋_GB2312"/>
          <w:color w:val="auto"/>
          <w:kern w:val="2"/>
          <w:sz w:val="32"/>
          <w:szCs w:val="32"/>
          <w:highlight w:val="none"/>
          <w:lang w:eastAsia="zh-CN" w:bidi="ar-SA"/>
        </w:rPr>
        <w:t>0.32</w:t>
      </w:r>
      <w:r>
        <w:rPr>
          <w:rFonts w:hint="eastAsia" w:ascii="Times New Roman" w:hAnsi="Times New Roman" w:eastAsia="仿宋_GB2312" w:cs="仿宋_GB2312"/>
          <w:color w:val="auto"/>
          <w:kern w:val="2"/>
          <w:sz w:val="32"/>
          <w:szCs w:val="32"/>
          <w:highlight w:val="none"/>
          <w:lang w:val="en-US" w:eastAsia="zh-CN" w:bidi="ar-SA"/>
        </w:rPr>
        <w:t>万元，下降</w:t>
      </w:r>
      <w:r>
        <w:rPr>
          <w:rFonts w:hint="default" w:eastAsia="仿宋_GB2312" w:cs="仿宋_GB2312"/>
          <w:color w:val="auto"/>
          <w:kern w:val="2"/>
          <w:sz w:val="32"/>
          <w:szCs w:val="32"/>
          <w:highlight w:val="none"/>
          <w:lang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Hans" w:bidi="ar-SA"/>
        </w:rPr>
        <w:t>主要原因</w:t>
      </w:r>
      <w:r>
        <w:rPr>
          <w:rFonts w:hint="default" w:ascii="Times New Roman" w:hAnsi="Times New Roman" w:eastAsia="仿宋_GB2312" w:cs="仿宋_GB2312"/>
          <w:color w:val="auto"/>
          <w:kern w:val="2"/>
          <w:sz w:val="32"/>
          <w:szCs w:val="32"/>
          <w:highlight w:val="none"/>
          <w:lang w:val="en-US" w:eastAsia="zh-Hans" w:bidi="ar-SA"/>
        </w:rPr>
        <w:t>是厉行节约，</w:t>
      </w:r>
      <w:r>
        <w:rPr>
          <w:rFonts w:hint="default" w:eastAsia="仿宋_GB2312" w:cs="仿宋_GB2312"/>
          <w:color w:val="auto"/>
          <w:kern w:val="2"/>
          <w:sz w:val="32"/>
          <w:szCs w:val="32"/>
          <w:highlight w:val="none"/>
          <w:lang w:eastAsia="zh-CN" w:bidi="ar-SA"/>
        </w:rPr>
        <w:t>无相关支出</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6" w:name="_Toc15377217"/>
      <w:bookmarkStart w:id="47" w:name="_Toc1578895551"/>
      <w:r>
        <w:rPr>
          <w:rFonts w:hint="eastAsia" w:ascii="Times New Roman" w:hAnsi="Times New Roman" w:eastAsia="楷体_GB2312" w:cs="楷体_GB2312"/>
          <w:b/>
          <w:color w:val="auto"/>
          <w:sz w:val="32"/>
          <w:szCs w:val="32"/>
          <w:highlight w:val="none"/>
        </w:rPr>
        <w:t>（二）“三公”经费财政拨款支出决算具体情况说明</w:t>
      </w:r>
      <w:bookmarkEnd w:id="46"/>
      <w:bookmarkEnd w:id="47"/>
    </w:p>
    <w:p>
      <w:pPr>
        <w:pStyle w:val="15"/>
        <w:keepNext w:val="0"/>
        <w:keepLines w:val="0"/>
        <w:pageBreakBefore w:val="0"/>
        <w:shd w:val="clear" w:color="auto" w:fill="FFFFFF"/>
        <w:kinsoku/>
        <w:wordWrap/>
        <w:overflowPunct/>
        <w:topLinePunct w:val="0"/>
        <w:bidi w:val="0"/>
        <w:spacing w:beforeAutospacing="0" w:after="0" w:afterAutospacing="0" w:line="560" w:lineRule="exact"/>
        <w:ind w:left="0" w:firstLine="640" w:firstLineChars="200"/>
        <w:jc w:val="both"/>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2024年度“三公”经费财政拨款支出决算中，因公出国（境）费支出决算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公务用车购置</w:t>
      </w:r>
      <w:r>
        <w:rPr>
          <w:rFonts w:hint="default" w:ascii="仿宋_GB2312" w:hAnsi="仿宋_GB2312" w:eastAsia="仿宋_GB2312" w:cs="仿宋_GB2312"/>
          <w:color w:val="auto"/>
          <w:kern w:val="2"/>
          <w:sz w:val="32"/>
          <w:szCs w:val="32"/>
          <w:highlight w:val="none"/>
          <w:lang w:eastAsia="zh-CN" w:bidi="ar-SA"/>
        </w:rPr>
        <w:t>费0万元、公务用车</w:t>
      </w:r>
      <w:r>
        <w:rPr>
          <w:rFonts w:hint="eastAsia" w:ascii="仿宋_GB2312" w:hAnsi="仿宋_GB2312" w:eastAsia="仿宋_GB2312" w:cs="仿宋_GB2312"/>
          <w:color w:val="auto"/>
          <w:kern w:val="2"/>
          <w:sz w:val="32"/>
          <w:szCs w:val="32"/>
          <w:highlight w:val="none"/>
          <w:lang w:val="en-US" w:eastAsia="zh-CN" w:bidi="ar-SA"/>
        </w:rPr>
        <w:t>运行维护费支出决算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万元。具体情况如下：</w:t>
      </w:r>
    </w:p>
    <w:p>
      <w:pPr>
        <w:numPr>
          <w:ilvl w:val="0"/>
          <w:numId w:val="0"/>
        </w:numPr>
        <w:spacing w:line="600" w:lineRule="exact"/>
        <w:ind w:firstLine="642" w:firstLineChars="200"/>
        <w:rPr>
          <w:rFonts w:hint="default" w:ascii="Times New Roman" w:hAnsi="Times New Roman" w:eastAsia="仿宋_GB2312" w:cs="仿宋_GB2312"/>
          <w:color w:val="auto"/>
          <w:kern w:val="2"/>
          <w:sz w:val="32"/>
          <w:szCs w:val="32"/>
          <w:highlight w:val="none"/>
          <w:lang w:val="en-US" w:eastAsia="zh-Hans" w:bidi="ar-SA"/>
        </w:rPr>
      </w:pPr>
      <w:r>
        <w:rPr>
          <w:rFonts w:hint="default" w:eastAsia="仿宋_GB2312" w:cs="仿宋_GB2312"/>
          <w:b/>
          <w:bCs/>
          <w:color w:val="auto"/>
          <w:kern w:val="2"/>
          <w:sz w:val="32"/>
          <w:szCs w:val="32"/>
          <w:highlight w:val="none"/>
          <w:lang w:eastAsia="zh-CN" w:bidi="ar-SA"/>
        </w:rPr>
        <w:t>1.</w:t>
      </w: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default" w:eastAsia="仿宋_GB2312" w:cs="仿宋_GB2312"/>
          <w:b/>
          <w:bCs/>
          <w:color w:val="auto"/>
          <w:kern w:val="2"/>
          <w:sz w:val="32"/>
          <w:szCs w:val="32"/>
          <w:highlight w:val="none"/>
          <w:lang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。因公出国（境）支出决算比2023年增加/减少</w:t>
      </w:r>
      <w:r>
        <w:rPr>
          <w:rFonts w:hint="default" w:eastAsia="仿宋_GB2312" w:cs="仿宋_GB2312"/>
          <w:color w:val="auto"/>
          <w:kern w:val="2"/>
          <w:sz w:val="32"/>
          <w:szCs w:val="32"/>
          <w:highlight w:val="none"/>
          <w:lang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方正仿宋_GB2312" w:eastAsia="方正仿宋_GB2312" w:cs="方正仿宋_GB2312"/>
          <w:sz w:val="32"/>
          <w:szCs w:val="32"/>
          <w:lang w:eastAsia="zh-CN" w:bidi="ar-SA"/>
        </w:rPr>
        <w:t>与上年相同</w:t>
      </w:r>
      <w:r>
        <w:rPr>
          <w:rFonts w:hint="eastAsia" w:ascii="Times New Roman" w:hAnsi="Times New Roman" w:eastAsia="仿宋_GB2312" w:cs="仿宋_GB2312"/>
          <w:color w:val="auto"/>
          <w:kern w:val="2"/>
          <w:sz w:val="32"/>
          <w:szCs w:val="32"/>
          <w:highlight w:val="none"/>
          <w:lang w:val="en-US" w:eastAsia="zh-Hans" w:bidi="ar-SA"/>
        </w:rPr>
        <w:t>，主要原因为无安排经费</w:t>
      </w:r>
      <w:r>
        <w:rPr>
          <w:rFonts w:hint="default" w:ascii="Times New Roman" w:hAnsi="Times New Roman" w:eastAsia="仿宋_GB2312" w:cs="仿宋_GB2312"/>
          <w:color w:val="auto"/>
          <w:kern w:val="2"/>
          <w:sz w:val="32"/>
          <w:szCs w:val="32"/>
          <w:highlight w:val="none"/>
          <w:lang w:val="en-US" w:eastAsia="zh-Hans" w:bidi="ar-SA"/>
        </w:rPr>
        <w:t>。</w:t>
      </w:r>
    </w:p>
    <w:p>
      <w:pPr>
        <w:numPr>
          <w:ilvl w:val="0"/>
          <w:numId w:val="0"/>
        </w:numPr>
        <w:spacing w:line="600" w:lineRule="exact"/>
        <w:ind w:firstLine="642" w:firstLineChars="20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2.公务用车运行维护费支出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方正仿宋_GB2312" w:eastAsia="方正仿宋_GB2312" w:cs="方正仿宋_GB2312"/>
          <w:sz w:val="32"/>
          <w:szCs w:val="32"/>
          <w:lang w:eastAsia="zh-CN" w:bidi="ar-SA"/>
        </w:rPr>
        <w:t>与上年相同</w:t>
      </w:r>
      <w:r>
        <w:rPr>
          <w:rFonts w:hint="eastAsia" w:ascii="Times New Roman" w:hAnsi="Times New Roman" w:eastAsia="仿宋_GB2312" w:cs="仿宋_GB2312"/>
          <w:color w:val="auto"/>
          <w:kern w:val="2"/>
          <w:sz w:val="32"/>
          <w:szCs w:val="32"/>
          <w:highlight w:val="none"/>
          <w:lang w:val="en-US" w:eastAsia="zh-Hans" w:bidi="ar-SA"/>
        </w:rPr>
        <w:t>，主要原因为无安排经费</w:t>
      </w:r>
      <w:r>
        <w:rPr>
          <w:rFonts w:hint="default" w:ascii="Times New Roman" w:hAnsi="Times New Roman" w:eastAsia="仿宋_GB2312" w:cs="仿宋_GB2312"/>
          <w:color w:val="auto"/>
          <w:kern w:val="2"/>
          <w:sz w:val="32"/>
          <w:szCs w:val="32"/>
          <w:highlight w:val="none"/>
          <w:lang w:val="en-US" w:eastAsia="zh-Hans"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default" w:eastAsia="仿宋_GB2312" w:cs="仿宋_GB2312"/>
          <w:color w:val="auto"/>
          <w:kern w:val="2"/>
          <w:sz w:val="32"/>
          <w:szCs w:val="32"/>
          <w:highlight w:val="none"/>
          <w:lang w:eastAsia="zh-CN" w:bidi="ar-SA"/>
        </w:rPr>
        <w:t>0</w:t>
      </w:r>
      <w:r>
        <w:rPr>
          <w:rFonts w:hint="eastAsia" w:ascii="Times New Roman" w:hAnsi="Times New Roman" w:eastAsia="仿宋_GB2312" w:cs="仿宋_GB2312"/>
          <w:color w:val="auto"/>
          <w:kern w:val="2"/>
          <w:sz w:val="32"/>
          <w:szCs w:val="32"/>
          <w:highlight w:val="none"/>
          <w:lang w:val="en-US" w:eastAsia="zh-CN" w:bidi="ar-SA"/>
        </w:rPr>
        <w:t>辆。截至2024年12月31日，单位共有公务用车</w:t>
      </w:r>
      <w:r>
        <w:rPr>
          <w:rFonts w:hint="default" w:eastAsia="仿宋_GB2312" w:cs="仿宋_GB2312"/>
          <w:color w:val="auto"/>
          <w:kern w:val="2"/>
          <w:sz w:val="32"/>
          <w:szCs w:val="32"/>
          <w:highlight w:val="none"/>
          <w:lang w:eastAsia="zh-CN" w:bidi="ar-SA"/>
        </w:rPr>
        <w:t>0</w:t>
      </w:r>
      <w:r>
        <w:rPr>
          <w:rFonts w:hint="eastAsia" w:ascii="Times New Roman" w:hAnsi="Times New Roman" w:eastAsia="仿宋_GB2312" w:cs="仿宋_GB2312"/>
          <w:color w:val="auto"/>
          <w:kern w:val="2"/>
          <w:sz w:val="32"/>
          <w:szCs w:val="32"/>
          <w:highlight w:val="none"/>
          <w:lang w:val="en-US" w:eastAsia="zh-CN" w:bidi="ar-SA"/>
        </w:rPr>
        <w:t>辆。公务用车运行维护费支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ascii="Times New Roman" w:hAnsi="Times New Roman" w:eastAsia="仿宋_GB2312" w:cs="仿宋_GB2312"/>
          <w:color w:val="auto"/>
          <w:kern w:val="2"/>
          <w:sz w:val="32"/>
          <w:szCs w:val="32"/>
          <w:highlight w:val="none"/>
          <w:lang w:val="en-US" w:eastAsia="zh-CN" w:bidi="ar-SA"/>
        </w:rPr>
        <w:t>公务接待费支出决算比2023年度减少</w:t>
      </w:r>
      <w:r>
        <w:rPr>
          <w:rFonts w:hint="default" w:eastAsia="仿宋_GB2312" w:cs="仿宋_GB2312"/>
          <w:color w:val="auto"/>
          <w:kern w:val="2"/>
          <w:sz w:val="32"/>
          <w:szCs w:val="32"/>
          <w:highlight w:val="none"/>
          <w:lang w:eastAsia="zh-CN" w:bidi="ar-SA"/>
        </w:rPr>
        <w:t>0.32</w:t>
      </w:r>
      <w:r>
        <w:rPr>
          <w:rFonts w:hint="eastAsia" w:ascii="Times New Roman" w:hAnsi="Times New Roman" w:eastAsia="仿宋_GB2312" w:cs="仿宋_GB2312"/>
          <w:color w:val="auto"/>
          <w:kern w:val="2"/>
          <w:sz w:val="32"/>
          <w:szCs w:val="32"/>
          <w:highlight w:val="none"/>
          <w:lang w:val="en-US" w:eastAsia="zh-CN" w:bidi="ar-SA"/>
        </w:rPr>
        <w:t>万元，下降</w:t>
      </w:r>
      <w:r>
        <w:rPr>
          <w:rFonts w:hint="default" w:eastAsia="仿宋_GB2312" w:cs="仿宋_GB2312"/>
          <w:color w:val="auto"/>
          <w:kern w:val="2"/>
          <w:sz w:val="32"/>
          <w:szCs w:val="32"/>
          <w:highlight w:val="none"/>
          <w:lang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Hans" w:bidi="ar-SA"/>
        </w:rPr>
        <w:t>主要原因为</w:t>
      </w:r>
      <w:r>
        <w:rPr>
          <w:rFonts w:hint="eastAsia" w:ascii="Times New Roman" w:hAnsi="Times New Roman" w:eastAsia="仿宋_GB2312" w:cs="仿宋_GB2312"/>
          <w:color w:val="auto"/>
          <w:kern w:val="2"/>
          <w:sz w:val="32"/>
          <w:szCs w:val="32"/>
          <w:highlight w:val="none"/>
          <w:lang w:val="en-US" w:eastAsia="zh-CN" w:bidi="ar-SA"/>
        </w:rPr>
        <w:t>本年度无公务接待支出</w:t>
      </w:r>
      <w:r>
        <w:rPr>
          <w:rFonts w:hint="default"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default" w:eastAsia="仿宋_GB2312" w:cs="仿宋_GB2312"/>
          <w:color w:val="auto"/>
          <w:kern w:val="2"/>
          <w:sz w:val="32"/>
          <w:szCs w:val="32"/>
          <w:highlight w:val="none"/>
          <w:lang w:eastAsia="zh-CN" w:bidi="ar-SA"/>
        </w:rPr>
        <w:t>，</w:t>
      </w: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8" w:name="_Toc15396610"/>
      <w:bookmarkStart w:id="49" w:name="_Toc15377218"/>
    </w:p>
    <w:p>
      <w:pPr>
        <w:spacing w:line="600" w:lineRule="exact"/>
        <w:ind w:firstLine="640"/>
        <w:outlineLvl w:val="1"/>
        <w:rPr>
          <w:rStyle w:val="30"/>
          <w:rFonts w:ascii="Times New Roman" w:hAnsi="Times New Roman" w:eastAsia="黑体"/>
          <w:color w:val="auto"/>
          <w:highlight w:val="none"/>
        </w:rPr>
      </w:pPr>
      <w:bookmarkStart w:id="50" w:name="_Toc337849144"/>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48"/>
      <w:bookmarkEnd w:id="49"/>
      <w:bookmarkEnd w:id="50"/>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2024年度政府性基金预算财政拨款支出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eastAsia="zh-CN" w:bidi="ar-SA"/>
        </w:rPr>
        <w:t>，</w:t>
      </w:r>
      <w:r>
        <w:rPr>
          <w:rFonts w:hint="eastAsia" w:ascii="仿宋_GB2312" w:hAnsi="仿宋_GB2312" w:eastAsia="仿宋_GB2312" w:cs="仿宋_GB2312"/>
          <w:color w:val="auto"/>
          <w:kern w:val="2"/>
          <w:sz w:val="32"/>
          <w:szCs w:val="32"/>
          <w:highlight w:val="none"/>
          <w:lang w:val="en-US" w:eastAsia="zh-CN" w:bidi="ar-SA"/>
        </w:rPr>
        <w:t>与上年持平</w:t>
      </w:r>
      <w:r>
        <w:rPr>
          <w:rFonts w:hint="default" w:ascii="仿宋_GB2312" w:hAnsi="仿宋_GB2312" w:eastAsia="仿宋_GB2312" w:cs="仿宋_GB2312"/>
          <w:color w:val="auto"/>
          <w:kern w:val="2"/>
          <w:sz w:val="32"/>
          <w:szCs w:val="32"/>
          <w:highlight w:val="none"/>
          <w:lang w:eastAsia="zh-CN" w:bidi="ar-SA"/>
        </w:rPr>
        <w:t>。</w:t>
      </w:r>
    </w:p>
    <w:p>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51" w:name="_Toc15396611"/>
      <w:bookmarkStart w:id="52" w:name="_Toc15377219"/>
      <w:bookmarkStart w:id="53" w:name="_Toc160444732"/>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51"/>
      <w:bookmarkEnd w:id="52"/>
      <w:bookmarkEnd w:id="53"/>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eastAsia="zh-CN" w:bidi="ar-SA"/>
        </w:rPr>
        <w:t>，</w:t>
      </w:r>
      <w:r>
        <w:rPr>
          <w:rFonts w:hint="eastAsia" w:ascii="Times New Roman" w:hAnsi="Times New Roman" w:eastAsia="仿宋_GB2312" w:cs="仿宋_GB2312"/>
          <w:b w:val="0"/>
          <w:bCs w:val="0"/>
          <w:color w:val="auto"/>
          <w:kern w:val="2"/>
          <w:sz w:val="32"/>
          <w:szCs w:val="32"/>
          <w:highlight w:val="none"/>
          <w:lang w:val="en-US" w:eastAsia="zh-CN" w:bidi="ar-SA"/>
        </w:rPr>
        <w:t>与上年持平</w:t>
      </w:r>
      <w:r>
        <w:rPr>
          <w:rFonts w:hint="default" w:eastAsia="仿宋_GB2312" w:cs="仿宋_GB2312"/>
          <w:b w:val="0"/>
          <w:bCs w:val="0"/>
          <w:color w:val="auto"/>
          <w:kern w:val="2"/>
          <w:sz w:val="32"/>
          <w:szCs w:val="32"/>
          <w:highlight w:val="none"/>
          <w:lang w:eastAsia="zh-CN" w:bidi="ar-SA"/>
        </w:rPr>
        <w:t>。</w:t>
      </w:r>
    </w:p>
    <w:p>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54" w:name="_Toc15377221"/>
      <w:bookmarkStart w:id="55" w:name="_Toc15396612"/>
      <w:bookmarkStart w:id="56" w:name="_Toc63272265"/>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54"/>
      <w:bookmarkEnd w:id="55"/>
      <w:bookmarkEnd w:id="56"/>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57" w:name="_Toc15377222"/>
      <w:bookmarkStart w:id="58" w:name="_Toc1546433268"/>
      <w:r>
        <w:rPr>
          <w:rFonts w:hint="eastAsia" w:ascii="Times New Roman" w:hAnsi="Times New Roman" w:eastAsia="楷体_GB2312" w:cs="楷体_GB2312"/>
          <w:b/>
          <w:color w:val="auto"/>
          <w:sz w:val="32"/>
          <w:szCs w:val="32"/>
          <w:highlight w:val="none"/>
        </w:rPr>
        <w:t>（一）机关运行经费支出情况</w:t>
      </w:r>
      <w:bookmarkEnd w:id="57"/>
      <w:bookmarkEnd w:id="58"/>
    </w:p>
    <w:p>
      <w:pPr>
        <w:spacing w:line="600" w:lineRule="exact"/>
        <w:ind w:firstLine="640"/>
        <w:rPr>
          <w:rFonts w:hint="default" w:ascii="Times New Roman" w:hAnsi="Times New Roman" w:eastAsia="仿宋_GB2312" w:cs="仿宋_GB2312"/>
          <w:color w:val="auto"/>
          <w:kern w:val="2"/>
          <w:sz w:val="32"/>
          <w:szCs w:val="32"/>
          <w:highlight w:val="none"/>
          <w:lang w:eastAsia="zh-CN" w:bidi="ar-SA"/>
        </w:rPr>
      </w:pPr>
      <w:r>
        <w:rPr>
          <w:rFonts w:hint="eastAsia" w:ascii="Times New Roman" w:hAnsi="Times New Roman" w:eastAsia="仿宋_GB2312" w:cs="仿宋_GB2312"/>
          <w:color w:val="auto"/>
          <w:kern w:val="2"/>
          <w:sz w:val="32"/>
          <w:szCs w:val="32"/>
          <w:highlight w:val="none"/>
          <w:lang w:val="en-US" w:eastAsia="zh-CN" w:bidi="ar-SA"/>
        </w:rPr>
        <w:t>2024年度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阿坝州低收入家庭认定指导中心</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default" w:ascii="仿宋_GB2312" w:hAnsi="仿宋_GB2312" w:eastAsia="仿宋_GB2312" w:cs="仿宋_GB2312"/>
          <w:sz w:val="32"/>
          <w:szCs w:val="32"/>
        </w:rPr>
        <w:t>13.41</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元，比2023年度减少</w:t>
      </w:r>
      <w:r>
        <w:rPr>
          <w:rFonts w:hint="default" w:eastAsia="仿宋_GB2312" w:cs="仿宋_GB2312"/>
          <w:color w:val="auto"/>
          <w:kern w:val="2"/>
          <w:sz w:val="32"/>
          <w:szCs w:val="32"/>
          <w:highlight w:val="none"/>
          <w:lang w:eastAsia="zh-CN" w:bidi="ar-SA"/>
        </w:rPr>
        <w:t>14.33</w:t>
      </w:r>
      <w:r>
        <w:rPr>
          <w:rFonts w:hint="eastAsia" w:ascii="Times New Roman" w:hAnsi="Times New Roman" w:eastAsia="仿宋_GB2312" w:cs="仿宋_GB2312"/>
          <w:color w:val="auto"/>
          <w:kern w:val="2"/>
          <w:sz w:val="32"/>
          <w:szCs w:val="32"/>
          <w:highlight w:val="none"/>
          <w:lang w:val="en-US" w:eastAsia="zh-CN" w:bidi="ar-SA"/>
        </w:rPr>
        <w:t>万元，下降</w:t>
      </w:r>
      <w:r>
        <w:rPr>
          <w:rFonts w:hint="default" w:eastAsia="仿宋_GB2312" w:cs="仿宋_GB2312"/>
          <w:color w:val="auto"/>
          <w:kern w:val="2"/>
          <w:sz w:val="32"/>
          <w:szCs w:val="32"/>
          <w:highlight w:val="none"/>
          <w:lang w:eastAsia="zh-CN" w:bidi="ar-SA"/>
        </w:rPr>
        <w:t>51.66</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default" w:eastAsia="仿宋_GB2312" w:cs="仿宋_GB2312"/>
          <w:color w:val="auto"/>
          <w:kern w:val="2"/>
          <w:sz w:val="32"/>
          <w:szCs w:val="32"/>
          <w:highlight w:val="none"/>
          <w:lang w:eastAsia="zh-CN" w:bidi="ar-SA"/>
        </w:rPr>
        <w:t>厉行节</w:t>
      </w:r>
      <w:r>
        <w:rPr>
          <w:rFonts w:hint="eastAsia" w:ascii="Times New Roman" w:hAnsi="Times New Roman" w:eastAsia="仿宋_GB2312" w:cs="仿宋_GB2312"/>
          <w:color w:val="auto"/>
          <w:sz w:val="32"/>
          <w:szCs w:val="32"/>
          <w:highlight w:val="none"/>
          <w:lang w:eastAsia="zh-CN"/>
        </w:rPr>
        <w:t>，压减开支，减少预算</w:t>
      </w:r>
      <w:r>
        <w:rPr>
          <w:rFonts w:hint="default" w:ascii="Times New Roman" w:hAnsi="Times New Roman" w:eastAsia="仿宋_GB2312" w:cs="仿宋_GB2312"/>
          <w:color w:val="auto"/>
          <w:sz w:val="32"/>
          <w:szCs w:val="32"/>
          <w:highlight w:val="none"/>
          <w:lang w:eastAsia="zh-CN"/>
        </w:rPr>
        <w:t>支出。</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59" w:name="_Toc15377223"/>
      <w:bookmarkStart w:id="60" w:name="_Toc219535572"/>
      <w:r>
        <w:rPr>
          <w:rFonts w:hint="eastAsia" w:ascii="Times New Roman" w:hAnsi="Times New Roman" w:eastAsia="楷体_GB2312" w:cs="楷体_GB2312"/>
          <w:b/>
          <w:color w:val="auto"/>
          <w:sz w:val="32"/>
          <w:szCs w:val="32"/>
          <w:highlight w:val="none"/>
        </w:rPr>
        <w:t>（二）政府采购支出情况</w:t>
      </w:r>
      <w:bookmarkEnd w:id="59"/>
      <w:bookmarkEnd w:id="60"/>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2024年度，</w:t>
      </w:r>
      <w:r>
        <w:rPr>
          <w:rFonts w:hint="eastAsia" w:ascii="仿宋_GB2312" w:hAnsi="仿宋_GB2312" w:eastAsia="仿宋_GB2312" w:cs="仿宋_GB2312"/>
          <w:sz w:val="32"/>
          <w:szCs w:val="32"/>
        </w:rPr>
        <w:t>阿坝州低收入家庭认定指导中心</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61" w:name="_Toc15377224"/>
      <w:bookmarkStart w:id="62" w:name="_Toc653867180"/>
      <w:r>
        <w:rPr>
          <w:rFonts w:hint="eastAsia" w:ascii="Times New Roman" w:hAnsi="Times New Roman" w:eastAsia="楷体_GB2312" w:cs="楷体_GB2312"/>
          <w:b/>
          <w:color w:val="auto"/>
          <w:sz w:val="32"/>
          <w:szCs w:val="32"/>
          <w:highlight w:val="none"/>
        </w:rPr>
        <w:t>（三）国有资产占有使用情况</w:t>
      </w:r>
      <w:bookmarkEnd w:id="61"/>
      <w:bookmarkEnd w:id="62"/>
    </w:p>
    <w:p>
      <w:pPr>
        <w:spacing w:line="600" w:lineRule="exact"/>
        <w:ind w:firstLine="640"/>
        <w:rPr>
          <w:rFonts w:hint="default"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截至2024年12月31日，</w:t>
      </w:r>
      <w:r>
        <w:rPr>
          <w:rFonts w:hint="eastAsia" w:ascii="仿宋_GB2312" w:hAnsi="仿宋_GB2312" w:eastAsia="仿宋_GB2312" w:cs="仿宋_GB2312"/>
          <w:sz w:val="32"/>
          <w:szCs w:val="32"/>
        </w:rPr>
        <w:t>阿坝州低收入家庭认定指导中心</w:t>
      </w:r>
      <w:r>
        <w:rPr>
          <w:rFonts w:hint="eastAsia" w:ascii="仿宋_GB2312" w:hAnsi="仿宋_GB2312" w:eastAsia="仿宋_GB2312" w:cs="仿宋_GB2312"/>
          <w:sz w:val="32"/>
          <w:szCs w:val="32"/>
          <w:lang w:val="en-US" w:eastAsia="zh-CN"/>
        </w:rPr>
        <w:t>共有车辆</w:t>
      </w:r>
      <w:r>
        <w:rPr>
          <w:rFonts w:hint="eastAsia" w:ascii="仿宋_GB2312" w:hAnsi="仿宋_GB2312" w:eastAsia="仿宋_GB2312" w:cs="仿宋_GB2312"/>
          <w:sz w:val="32"/>
          <w:szCs w:val="32"/>
        </w:rPr>
        <w:t>0</w:t>
      </w:r>
      <w:r>
        <w:rPr>
          <w:rFonts w:hint="eastAsia" w:ascii="仿宋_GB2312" w:hAnsi="仿宋_GB2312" w:eastAsia="仿宋_GB2312" w:cs="仿宋_GB2312"/>
          <w:sz w:val="32"/>
          <w:szCs w:val="32"/>
          <w:lang w:val="en-US" w:eastAsia="zh-CN"/>
        </w:rPr>
        <w:t>辆</w:t>
      </w:r>
      <w:r>
        <w:rPr>
          <w:rFonts w:hint="default" w:ascii="仿宋_GB2312" w:hAnsi="仿宋_GB2312" w:eastAsia="仿宋_GB2312" w:cs="仿宋_GB2312"/>
          <w:sz w:val="32"/>
          <w:szCs w:val="32"/>
          <w:lang w:eastAsia="zh-CN"/>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63" w:name="_Toc1099317545"/>
      <w:r>
        <w:rPr>
          <w:rFonts w:hint="eastAsia" w:ascii="Times New Roman" w:hAnsi="Times New Roman" w:eastAsia="楷体_GB2312" w:cs="楷体_GB2312"/>
          <w:b/>
          <w:color w:val="auto"/>
          <w:sz w:val="32"/>
          <w:szCs w:val="32"/>
          <w:highlight w:val="none"/>
        </w:rPr>
        <w:t>（四）预算绩效管理情况</w:t>
      </w:r>
      <w:bookmarkEnd w:id="63"/>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ascii="仿宋_GB2312" w:hAnsi="仿宋_GB2312" w:eastAsia="仿宋_GB2312" w:cs="仿宋_GB2312"/>
          <w:sz w:val="32"/>
          <w:szCs w:val="32"/>
        </w:rPr>
        <w:t>阿坝州低收入家庭认定指导中心</w:t>
      </w:r>
      <w:r>
        <w:rPr>
          <w:rFonts w:hint="eastAsia" w:ascii="Times New Roman" w:hAnsi="Times New Roman" w:eastAsia="仿宋_GB2312" w:cs="仿宋_GB2312"/>
          <w:color w:val="auto"/>
          <w:kern w:val="2"/>
          <w:sz w:val="32"/>
          <w:szCs w:val="32"/>
          <w:highlight w:val="none"/>
          <w:lang w:val="en-US" w:eastAsia="zh-CN" w:bidi="ar-SA"/>
        </w:rPr>
        <w:t>在2024年度</w:t>
      </w:r>
      <w:r>
        <w:rPr>
          <w:rFonts w:hint="default" w:eastAsia="仿宋_GB2312" w:cs="仿宋_GB2312"/>
          <w:color w:val="auto"/>
          <w:kern w:val="2"/>
          <w:sz w:val="32"/>
          <w:szCs w:val="32"/>
          <w:highlight w:val="none"/>
          <w:lang w:eastAsia="zh-CN" w:bidi="ar-SA"/>
        </w:rPr>
        <w:t>无特定目标项目。</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64" w:name="_Toc15377225"/>
      <w:bookmarkStart w:id="65" w:name="_Toc15396613"/>
      <w:bookmarkStart w:id="66" w:name="_Toc2103252857"/>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64"/>
      <w:bookmarkEnd w:id="65"/>
      <w:bookmarkEnd w:id="66"/>
    </w:p>
    <w:p>
      <w:pPr>
        <w:spacing w:line="600" w:lineRule="exact"/>
        <w:jc w:val="left"/>
        <w:rPr>
          <w:rFonts w:ascii="Times New Roman" w:hAnsi="Times New Roman"/>
          <w:b/>
          <w:color w:val="auto"/>
          <w:sz w:val="44"/>
          <w:szCs w:val="44"/>
          <w:highlight w:val="none"/>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pPr>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2</w:t>
      </w:r>
      <w:r>
        <w:rPr>
          <w:rFonts w:ascii="仿宋_GB2312" w:eastAsia="仿宋_GB2312"/>
          <w:color w:val="auto"/>
          <w:sz w:val="32"/>
          <w:szCs w:val="32"/>
          <w:highlight w:val="none"/>
        </w:rPr>
        <w:t>.</w:t>
      </w:r>
      <w:r>
        <w:rPr>
          <w:rFonts w:hint="eastAsia" w:ascii="仿宋_GB2312" w:eastAsia="仿宋_GB2312"/>
          <w:color w:val="auto"/>
          <w:sz w:val="32"/>
          <w:szCs w:val="32"/>
          <w:highlight w:val="none"/>
        </w:rPr>
        <w:t>社会保障和就业支出（类）行政事业单位养老支出（款）机关事业单位基本养老保险缴费支出（项）</w:t>
      </w:r>
      <w:r>
        <w:rPr>
          <w:rFonts w:hint="eastAsia" w:ascii="仿宋_GB2312" w:eastAsia="仿宋_GB2312"/>
          <w:color w:val="auto"/>
          <w:sz w:val="32"/>
          <w:szCs w:val="32"/>
          <w:highlight w:val="none"/>
          <w:lang w:val="en-US" w:eastAsia="zh-CN"/>
        </w:rPr>
        <w:t>:指</w:t>
      </w:r>
      <w:r>
        <w:rPr>
          <w:rFonts w:hint="eastAsia" w:ascii="仿宋_GB2312" w:eastAsia="仿宋_GB2312"/>
          <w:color w:val="auto"/>
          <w:sz w:val="32"/>
          <w:szCs w:val="32"/>
          <w:highlight w:val="none"/>
        </w:rPr>
        <w:t>反映机关事业单位实施养老保险制度由单位缴纳的基本养老保险费支出。</w:t>
      </w:r>
    </w:p>
    <w:p>
      <w:pPr>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3</w:t>
      </w:r>
      <w:r>
        <w:rPr>
          <w:rFonts w:hint="eastAsia" w:ascii="仿宋_GB2312" w:eastAsia="仿宋_GB2312"/>
          <w:color w:val="auto"/>
          <w:sz w:val="32"/>
          <w:szCs w:val="32"/>
          <w:highlight w:val="none"/>
        </w:rPr>
        <w:t>.社会保障和就业支出（类）行政事业单位养老支出（款）机关事业单位职业年金缴费支出（项）</w:t>
      </w:r>
      <w:r>
        <w:rPr>
          <w:rFonts w:hint="eastAsia" w:ascii="仿宋_GB2312" w:eastAsia="仿宋_GB2312"/>
          <w:color w:val="auto"/>
          <w:sz w:val="32"/>
          <w:szCs w:val="32"/>
          <w:highlight w:val="none"/>
          <w:lang w:val="en-US" w:eastAsia="zh-CN"/>
        </w:rPr>
        <w:t>:指反映机关事业单位实施养老保险制度由单位实际缴纳的职业年金支出</w:t>
      </w:r>
      <w:r>
        <w:rPr>
          <w:rFonts w:hint="eastAsia" w:ascii="仿宋_GB2312" w:eastAsia="仿宋_GB2312"/>
          <w:color w:val="auto"/>
          <w:sz w:val="32"/>
          <w:szCs w:val="32"/>
          <w:highlight w:val="none"/>
        </w:rPr>
        <w:t>。</w:t>
      </w:r>
    </w:p>
    <w:p>
      <w:pPr>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.卫生健康支出（类）行政事业单位医疗（款）事业单位医疗（项）</w:t>
      </w:r>
      <w:r>
        <w:rPr>
          <w:rFonts w:hint="eastAsia" w:ascii="仿宋_GB2312" w:eastAsia="仿宋_GB2312"/>
          <w:color w:val="auto"/>
          <w:sz w:val="32"/>
          <w:szCs w:val="32"/>
          <w:highlight w:val="none"/>
          <w:lang w:val="en-US" w:eastAsia="zh-CN"/>
        </w:rPr>
        <w:t>:指</w:t>
      </w:r>
      <w:r>
        <w:rPr>
          <w:rFonts w:hint="eastAsia" w:ascii="仿宋_GB2312" w:eastAsia="仿宋_GB2312"/>
          <w:color w:val="auto"/>
          <w:sz w:val="32"/>
          <w:szCs w:val="32"/>
          <w:highlight w:val="none"/>
        </w:rPr>
        <w:t>反映财政部门安排的事业单位基本医疗保险缴费经费，未参加医疗保险的事业单位的公费医疗经费，按国家规定享受离休人员待遇的医疗经费。</w:t>
      </w:r>
    </w:p>
    <w:p>
      <w:pPr>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.卫生健康支出（类）行政事业单位医疗（款）其他行政事业单位医疗支出（项）</w:t>
      </w:r>
      <w:r>
        <w:rPr>
          <w:rFonts w:hint="eastAsia" w:ascii="仿宋_GB2312" w:eastAsia="仿宋_GB2312"/>
          <w:color w:val="auto"/>
          <w:sz w:val="32"/>
          <w:szCs w:val="32"/>
          <w:highlight w:val="none"/>
          <w:lang w:val="en-US" w:eastAsia="zh-CN"/>
        </w:rPr>
        <w:t>:指</w:t>
      </w:r>
      <w:r>
        <w:rPr>
          <w:rFonts w:hint="eastAsia" w:ascii="仿宋_GB2312" w:eastAsia="仿宋_GB2312"/>
          <w:color w:val="auto"/>
          <w:sz w:val="32"/>
          <w:szCs w:val="32"/>
          <w:highlight w:val="none"/>
        </w:rPr>
        <w:t>反映除上述项目以外的其他用于行政事业单位医疗方面的支出。</w:t>
      </w:r>
    </w:p>
    <w:p>
      <w:pPr>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6.</w:t>
      </w:r>
      <w:r>
        <w:rPr>
          <w:rFonts w:hint="eastAsia" w:ascii="仿宋_GB2312" w:eastAsia="仿宋_GB2312"/>
          <w:color w:val="auto"/>
          <w:sz w:val="32"/>
          <w:szCs w:val="32"/>
          <w:highlight w:val="none"/>
        </w:rPr>
        <w:t>住房保障支出（类）住房改革支出（款）住房公积金（项）</w:t>
      </w:r>
      <w:r>
        <w:rPr>
          <w:rFonts w:hint="eastAsia" w:ascii="仿宋_GB2312" w:eastAsia="仿宋_GB2312"/>
          <w:color w:val="auto"/>
          <w:sz w:val="32"/>
          <w:szCs w:val="32"/>
          <w:highlight w:val="none"/>
          <w:lang w:val="en-US" w:eastAsia="zh-CN"/>
        </w:rPr>
        <w:t>:指</w:t>
      </w:r>
      <w:r>
        <w:rPr>
          <w:rFonts w:hint="eastAsia" w:ascii="仿宋_GB2312" w:eastAsia="仿宋_GB2312"/>
          <w:color w:val="auto"/>
          <w:sz w:val="32"/>
          <w:szCs w:val="32"/>
          <w:highlight w:val="none"/>
        </w:rPr>
        <w:t>反映行政事业单位按人力资源和社会保障部、财政部规定的基本工资和津贴补贴以及规定比例为职工缴纳的住房公积金。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7.基本支出：指为保障机构正常运转、完成日常工作任务而发生的人员支出和公用支出。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8.项目支出：指在基本支出之外为完成特定行政任务和事业发展目标所发生的支出。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9.经营支出：指事业单位在专业业务活动及其辅助活动之外开展非独立核算经营活动发生的支出。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default" w:eastAsia="仿宋_GB2312" w:cs="仿宋_GB2312"/>
          <w:color w:val="auto"/>
          <w:kern w:val="2"/>
          <w:sz w:val="32"/>
          <w:szCs w:val="32"/>
          <w:highlight w:val="none"/>
          <w:lang w:eastAsia="zh-CN" w:bidi="ar-SA"/>
        </w:rPr>
        <w:t>1</w:t>
      </w:r>
      <w:r>
        <w:rPr>
          <w:rFonts w:hint="eastAsia" w:ascii="Times New Roman" w:hAnsi="Times New Roman" w:eastAsia="仿宋_GB2312" w:cs="仿宋_GB2312"/>
          <w:color w:val="auto"/>
          <w:kern w:val="2"/>
          <w:sz w:val="32"/>
          <w:szCs w:val="32"/>
          <w:highlight w:val="none"/>
          <w:lang w:val="en-US" w:eastAsia="zh-CN" w:bidi="ar-SA"/>
        </w:rPr>
        <w:t>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default" w:eastAsia="仿宋_GB2312" w:cs="仿宋_GB2312"/>
          <w:color w:val="auto"/>
          <w:kern w:val="2"/>
          <w:sz w:val="32"/>
          <w:szCs w:val="32"/>
          <w:highlight w:val="none"/>
          <w:lang w:eastAsia="zh-CN" w:bidi="ar-SA"/>
        </w:rPr>
        <w:t>1</w:t>
      </w:r>
      <w:r>
        <w:rPr>
          <w:rFonts w:hint="eastAsia" w:ascii="Times New Roman" w:hAnsi="Times New Roman" w:eastAsia="仿宋_GB2312" w:cs="仿宋_GB2312"/>
          <w:color w:val="auto"/>
          <w:kern w:val="2"/>
          <w:sz w:val="32"/>
          <w:szCs w:val="32"/>
          <w:highlight w:val="none"/>
          <w:lang w:val="en-US" w:eastAsia="zh-CN" w:bidi="ar-SA"/>
        </w:rPr>
        <w:t>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2"/>
        <w:rPr>
          <w:rFonts w:hint="eastAsia" w:ascii="Times New Roman" w:hAnsi="Times New Roman" w:eastAsia="仿宋_GB2312" w:cs="仿宋_GB2312"/>
          <w:color w:val="auto"/>
          <w:kern w:val="2"/>
          <w:sz w:val="32"/>
          <w:szCs w:val="32"/>
          <w:highlight w:val="none"/>
          <w:lang w:val="en-US" w:eastAsia="zh-CN" w:bidi="ar-SA"/>
        </w:rPr>
      </w:pPr>
    </w:p>
    <w:p>
      <w:pPr>
        <w:rPr>
          <w:rFonts w:hint="eastAsia"/>
          <w:lang w:val="en-US" w:eastAsia="zh-CN"/>
        </w:rPr>
      </w:pPr>
    </w:p>
    <w:p>
      <w:pPr>
        <w:spacing w:line="600" w:lineRule="exact"/>
        <w:ind w:firstLine="1325" w:firstLineChars="300"/>
        <w:jc w:val="center"/>
        <w:rPr>
          <w:rStyle w:val="29"/>
          <w:rFonts w:hint="eastAsia"/>
        </w:rPr>
      </w:pPr>
      <w:bookmarkStart w:id="67" w:name="_Toc15396614"/>
      <w:bookmarkStart w:id="68" w:name="_Toc15377226"/>
    </w:p>
    <w:p>
      <w:pPr>
        <w:spacing w:line="600" w:lineRule="exact"/>
        <w:jc w:val="both"/>
        <w:rPr>
          <w:rStyle w:val="29"/>
          <w:rFonts w:hint="eastAsia"/>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69" w:name="_Toc822198949"/>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default" w:ascii="Times New Roman" w:hAnsi="Times New Roman" w:eastAsia="黑体"/>
          <w:color w:val="auto"/>
          <w:sz w:val="44"/>
          <w:szCs w:val="44"/>
          <w:highlight w:val="none"/>
          <w:lang w:eastAsia="zh-CN"/>
        </w:rPr>
        <w:t xml:space="preserve"> </w:t>
      </w:r>
      <w:r>
        <w:rPr>
          <w:rFonts w:hint="eastAsia" w:ascii="Times New Roman" w:hAnsi="Times New Roman" w:eastAsia="黑体"/>
          <w:color w:val="auto"/>
          <w:sz w:val="44"/>
          <w:szCs w:val="44"/>
          <w:highlight w:val="none"/>
        </w:rPr>
        <w:t>附件</w:t>
      </w:r>
      <w:bookmarkEnd w:id="67"/>
      <w:bookmarkEnd w:id="69"/>
    </w:p>
    <w:p>
      <w:pPr>
        <w:spacing w:line="600" w:lineRule="exact"/>
        <w:jc w:val="center"/>
        <w:rPr>
          <w:rFonts w:hint="eastAsia" w:ascii="Times New Roman" w:hAnsi="Times New Roman" w:eastAsia="仿宋_GB2312" w:cs="仿宋_GB2312"/>
          <w:color w:val="auto"/>
          <w:kern w:val="2"/>
          <w:sz w:val="32"/>
          <w:szCs w:val="32"/>
          <w:highlight w:val="none"/>
          <w:lang w:val="en-US" w:eastAsia="zh-CN" w:bidi="ar-SA"/>
        </w:rPr>
      </w:pPr>
    </w:p>
    <w:p>
      <w:pPr>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部门预算项目支出绩效自评表（2024年度）</w:t>
      </w:r>
      <w:r>
        <w:rPr>
          <w:rFonts w:hint="default"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本单位无项目预算，无开展预算事前绩效评估的项目。</w:t>
      </w: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lang w:val="en-US" w:eastAsia="zh-CN"/>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70" w:name="_Toc15396618"/>
      <w:bookmarkStart w:id="71" w:name="_Toc704770686"/>
      <w:r>
        <w:rPr>
          <w:rFonts w:hint="eastAsia" w:ascii="Times New Roman" w:hAnsi="Times New Roman" w:eastAsia="黑体"/>
          <w:color w:val="auto"/>
          <w:sz w:val="44"/>
          <w:szCs w:val="44"/>
          <w:highlight w:val="none"/>
        </w:rPr>
        <w:t xml:space="preserve">第五部分 </w:t>
      </w:r>
      <w:r>
        <w:rPr>
          <w:rFonts w:hint="default" w:ascii="Times New Roman" w:hAnsi="Times New Roman" w:eastAsia="黑体"/>
          <w:color w:val="auto"/>
          <w:sz w:val="44"/>
          <w:szCs w:val="44"/>
          <w:highlight w:val="none"/>
        </w:rPr>
        <w:t xml:space="preserve"> </w:t>
      </w:r>
      <w:r>
        <w:rPr>
          <w:rFonts w:hint="eastAsia" w:ascii="Times New Roman" w:hAnsi="Times New Roman" w:eastAsia="黑体"/>
          <w:color w:val="auto"/>
          <w:sz w:val="44"/>
          <w:szCs w:val="44"/>
          <w:highlight w:val="none"/>
        </w:rPr>
        <w:t>附表</w:t>
      </w:r>
      <w:bookmarkEnd w:id="68"/>
      <w:bookmarkEnd w:id="70"/>
      <w:bookmarkEnd w:id="71"/>
      <w:bookmarkStart w:id="72" w:name="_Toc1539661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bookmarkEnd w:id="72"/>
    <w:p>
      <w:pPr>
        <w:rPr>
          <w:rFonts w:hint="default" w:ascii="Times New Roman" w:hAnsi="Times New Roman" w:eastAsia="仿宋_GB2312" w:cs="仿宋_GB2312"/>
          <w:color w:val="auto"/>
          <w:kern w:val="2"/>
          <w:sz w:val="32"/>
          <w:szCs w:val="32"/>
          <w:highlight w:val="none"/>
          <w:lang w:eastAsia="zh-CN" w:bidi="ar-SA"/>
        </w:rPr>
      </w:pPr>
      <w:r>
        <w:rPr>
          <w:rFonts w:hint="eastAsia" w:ascii="Times New Roman" w:hAnsi="Times New Roman" w:eastAsia="仿宋_GB2312" w:cs="仿宋_GB2312"/>
          <w:color w:val="auto"/>
          <w:kern w:val="2"/>
          <w:sz w:val="32"/>
          <w:szCs w:val="32"/>
          <w:highlight w:val="none"/>
          <w:lang w:val="en-US" w:eastAsia="zh-CN" w:bidi="ar-SA"/>
        </w:rPr>
        <w:t>一、收入支出决算总表</w:t>
      </w:r>
      <w:r>
        <w:rPr>
          <w:rFonts w:hint="default" w:ascii="Times New Roman" w:hAnsi="Times New Roman" w:eastAsia="仿宋_GB2312" w:cs="仿宋_GB2312"/>
          <w:color w:val="auto"/>
          <w:kern w:val="2"/>
          <w:sz w:val="32"/>
          <w:szCs w:val="32"/>
          <w:highlight w:val="none"/>
          <w:lang w:eastAsia="zh-CN" w:bidi="ar-SA"/>
        </w:rPr>
        <w:t>（见附件）</w:t>
      </w:r>
    </w:p>
    <w:p>
      <w:pPr>
        <w:rPr>
          <w:rFonts w:hint="eastAsia" w:ascii="Times New Roman" w:hAnsi="Times New Roman" w:eastAsia="仿宋_GB2312" w:cs="仿宋_GB2312"/>
          <w:color w:val="auto"/>
          <w:kern w:val="2"/>
          <w:sz w:val="32"/>
          <w:szCs w:val="32"/>
          <w:highlight w:val="none"/>
          <w:lang w:val="en-US" w:eastAsia="zh-CN" w:bidi="ar-SA"/>
        </w:rPr>
      </w:pPr>
      <w:bookmarkStart w:id="73" w:name="_Toc15396620"/>
      <w:r>
        <w:rPr>
          <w:rFonts w:hint="eastAsia" w:ascii="Times New Roman" w:hAnsi="Times New Roman" w:eastAsia="仿宋_GB2312" w:cs="仿宋_GB2312"/>
          <w:color w:val="auto"/>
          <w:kern w:val="2"/>
          <w:sz w:val="32"/>
          <w:szCs w:val="32"/>
          <w:highlight w:val="none"/>
          <w:lang w:val="en-US" w:eastAsia="zh-CN" w:bidi="ar-SA"/>
        </w:rPr>
        <w:t>二、收入决算表</w:t>
      </w:r>
      <w:bookmarkEnd w:id="73"/>
      <w:r>
        <w:rPr>
          <w:rFonts w:hint="default" w:ascii="Times New Roman" w:hAnsi="Times New Roman" w:eastAsia="仿宋_GB2312" w:cs="仿宋_GB2312"/>
          <w:color w:val="auto"/>
          <w:kern w:val="2"/>
          <w:sz w:val="32"/>
          <w:szCs w:val="32"/>
          <w:highlight w:val="none"/>
          <w:lang w:val="en-US" w:eastAsia="zh-CN" w:bidi="ar-SA"/>
        </w:rPr>
        <w:t>（见附件）</w:t>
      </w:r>
    </w:p>
    <w:p>
      <w:pPr>
        <w:rPr>
          <w:rFonts w:hint="eastAsia" w:ascii="Times New Roman" w:hAnsi="Times New Roman" w:eastAsia="仿宋_GB2312" w:cs="仿宋_GB2312"/>
          <w:color w:val="auto"/>
          <w:kern w:val="2"/>
          <w:sz w:val="32"/>
          <w:szCs w:val="32"/>
          <w:highlight w:val="none"/>
          <w:lang w:val="en-US" w:eastAsia="zh-CN" w:bidi="ar-SA"/>
        </w:rPr>
      </w:pPr>
      <w:bookmarkStart w:id="74" w:name="_Toc15396621"/>
      <w:r>
        <w:rPr>
          <w:rFonts w:hint="eastAsia" w:ascii="Times New Roman" w:hAnsi="Times New Roman" w:eastAsia="仿宋_GB2312" w:cs="仿宋_GB2312"/>
          <w:color w:val="auto"/>
          <w:kern w:val="2"/>
          <w:sz w:val="32"/>
          <w:szCs w:val="32"/>
          <w:highlight w:val="none"/>
          <w:lang w:val="en-US" w:eastAsia="zh-CN" w:bidi="ar-SA"/>
        </w:rPr>
        <w:t>三、支出决算表</w:t>
      </w:r>
      <w:bookmarkEnd w:id="74"/>
      <w:r>
        <w:rPr>
          <w:rFonts w:hint="default" w:ascii="Times New Roman" w:hAnsi="Times New Roman" w:eastAsia="仿宋_GB2312" w:cs="仿宋_GB2312"/>
          <w:color w:val="auto"/>
          <w:kern w:val="2"/>
          <w:sz w:val="32"/>
          <w:szCs w:val="32"/>
          <w:highlight w:val="none"/>
          <w:lang w:val="en-US" w:eastAsia="zh-CN" w:bidi="ar-SA"/>
        </w:rPr>
        <w:t>（见附件）</w:t>
      </w:r>
    </w:p>
    <w:p>
      <w:pPr>
        <w:rPr>
          <w:rFonts w:hint="eastAsia" w:ascii="Times New Roman" w:hAnsi="Times New Roman" w:eastAsia="仿宋_GB2312" w:cs="仿宋_GB2312"/>
          <w:color w:val="auto"/>
          <w:kern w:val="2"/>
          <w:sz w:val="32"/>
          <w:szCs w:val="32"/>
          <w:highlight w:val="none"/>
          <w:lang w:val="en-US" w:eastAsia="zh-CN" w:bidi="ar-SA"/>
        </w:rPr>
      </w:pPr>
      <w:bookmarkStart w:id="75" w:name="_Toc15396622"/>
      <w:r>
        <w:rPr>
          <w:rFonts w:hint="eastAsia" w:ascii="Times New Roman" w:hAnsi="Times New Roman" w:eastAsia="仿宋_GB2312" w:cs="仿宋_GB2312"/>
          <w:color w:val="auto"/>
          <w:kern w:val="2"/>
          <w:sz w:val="32"/>
          <w:szCs w:val="32"/>
          <w:highlight w:val="none"/>
          <w:lang w:val="en-US" w:eastAsia="zh-CN" w:bidi="ar-SA"/>
        </w:rPr>
        <w:t>四、财政拨款收入支出决算总表</w:t>
      </w:r>
      <w:bookmarkEnd w:id="75"/>
      <w:r>
        <w:rPr>
          <w:rFonts w:hint="default" w:ascii="Times New Roman" w:hAnsi="Times New Roman" w:eastAsia="仿宋_GB2312" w:cs="仿宋_GB2312"/>
          <w:color w:val="auto"/>
          <w:kern w:val="2"/>
          <w:sz w:val="32"/>
          <w:szCs w:val="32"/>
          <w:highlight w:val="none"/>
          <w:lang w:val="en-US" w:eastAsia="zh-CN" w:bidi="ar-SA"/>
        </w:rPr>
        <w:t>（见附件）</w:t>
      </w:r>
    </w:p>
    <w:p>
      <w:pPr>
        <w:rPr>
          <w:rFonts w:hint="eastAsia" w:ascii="Times New Roman" w:hAnsi="Times New Roman" w:eastAsia="仿宋_GB2312" w:cs="仿宋_GB2312"/>
          <w:color w:val="auto"/>
          <w:kern w:val="2"/>
          <w:sz w:val="32"/>
          <w:szCs w:val="32"/>
          <w:highlight w:val="none"/>
          <w:lang w:val="en-US" w:eastAsia="zh-CN" w:bidi="ar-SA"/>
        </w:rPr>
      </w:pPr>
      <w:bookmarkStart w:id="76" w:name="_Toc15396623"/>
      <w:r>
        <w:rPr>
          <w:rFonts w:hint="eastAsia" w:ascii="Times New Roman" w:hAnsi="Times New Roman" w:eastAsia="仿宋_GB2312" w:cs="仿宋_GB2312"/>
          <w:color w:val="auto"/>
          <w:kern w:val="2"/>
          <w:sz w:val="32"/>
          <w:szCs w:val="32"/>
          <w:highlight w:val="none"/>
          <w:lang w:val="en-US" w:eastAsia="zh-CN" w:bidi="ar-SA"/>
        </w:rPr>
        <w:t>五、财政拨款支出决算明细表</w:t>
      </w:r>
      <w:bookmarkEnd w:id="76"/>
      <w:bookmarkStart w:id="77" w:name="_Toc15396624"/>
      <w:r>
        <w:rPr>
          <w:rFonts w:hint="default" w:ascii="Times New Roman" w:hAnsi="Times New Roman" w:eastAsia="仿宋_GB2312" w:cs="仿宋_GB2312"/>
          <w:color w:val="auto"/>
          <w:kern w:val="2"/>
          <w:sz w:val="32"/>
          <w:szCs w:val="32"/>
          <w:highlight w:val="none"/>
          <w:lang w:val="en-US" w:eastAsia="zh-CN" w:bidi="ar-SA"/>
        </w:rPr>
        <w:t>（见附件）</w:t>
      </w:r>
    </w:p>
    <w:p>
      <w:pP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六、一般公共预算财政拨款支出决算表</w:t>
      </w:r>
      <w:bookmarkEnd w:id="77"/>
      <w:r>
        <w:rPr>
          <w:rFonts w:hint="default" w:ascii="Times New Roman" w:hAnsi="Times New Roman" w:eastAsia="仿宋_GB2312" w:cs="仿宋_GB2312"/>
          <w:color w:val="auto"/>
          <w:kern w:val="2"/>
          <w:sz w:val="32"/>
          <w:szCs w:val="32"/>
          <w:highlight w:val="none"/>
          <w:lang w:val="en-US" w:eastAsia="zh-CN" w:bidi="ar-SA"/>
        </w:rPr>
        <w:t>（见附件）</w:t>
      </w:r>
    </w:p>
    <w:p>
      <w:pPr>
        <w:rPr>
          <w:rFonts w:hint="eastAsia" w:ascii="Times New Roman" w:hAnsi="Times New Roman" w:eastAsia="仿宋_GB2312" w:cs="仿宋_GB2312"/>
          <w:color w:val="auto"/>
          <w:kern w:val="2"/>
          <w:sz w:val="32"/>
          <w:szCs w:val="32"/>
          <w:highlight w:val="none"/>
          <w:lang w:val="en-US" w:eastAsia="zh-CN" w:bidi="ar-SA"/>
        </w:rPr>
      </w:pPr>
      <w:bookmarkStart w:id="78" w:name="_Toc15396625"/>
      <w:r>
        <w:rPr>
          <w:rFonts w:hint="eastAsia" w:ascii="Times New Roman" w:hAnsi="Times New Roman" w:eastAsia="仿宋_GB2312" w:cs="仿宋_GB2312"/>
          <w:color w:val="auto"/>
          <w:kern w:val="2"/>
          <w:sz w:val="32"/>
          <w:szCs w:val="32"/>
          <w:highlight w:val="none"/>
          <w:lang w:val="en-US" w:eastAsia="zh-CN" w:bidi="ar-SA"/>
        </w:rPr>
        <w:t>七、一般公共预算财政拨款支出决算明细表</w:t>
      </w:r>
      <w:bookmarkEnd w:id="78"/>
      <w:r>
        <w:rPr>
          <w:rFonts w:hint="default" w:ascii="Times New Roman" w:hAnsi="Times New Roman" w:eastAsia="仿宋_GB2312" w:cs="仿宋_GB2312"/>
          <w:color w:val="auto"/>
          <w:kern w:val="2"/>
          <w:sz w:val="32"/>
          <w:szCs w:val="32"/>
          <w:highlight w:val="none"/>
          <w:lang w:val="en-US" w:eastAsia="zh-CN" w:bidi="ar-SA"/>
        </w:rPr>
        <w:t>（见附件）</w:t>
      </w:r>
    </w:p>
    <w:p>
      <w:pPr>
        <w:rPr>
          <w:rFonts w:hint="eastAsia" w:ascii="Times New Roman" w:hAnsi="Times New Roman" w:eastAsia="仿宋_GB2312" w:cs="仿宋_GB2312"/>
          <w:color w:val="auto"/>
          <w:kern w:val="2"/>
          <w:sz w:val="32"/>
          <w:szCs w:val="32"/>
          <w:highlight w:val="none"/>
          <w:lang w:val="en-US" w:eastAsia="zh-CN" w:bidi="ar-SA"/>
        </w:rPr>
      </w:pPr>
      <w:bookmarkStart w:id="79" w:name="_Toc15396626"/>
      <w:r>
        <w:rPr>
          <w:rFonts w:hint="eastAsia" w:ascii="Times New Roman" w:hAnsi="Times New Roman" w:eastAsia="仿宋_GB2312" w:cs="仿宋_GB2312"/>
          <w:color w:val="auto"/>
          <w:kern w:val="2"/>
          <w:sz w:val="32"/>
          <w:szCs w:val="32"/>
          <w:highlight w:val="none"/>
          <w:lang w:val="en-US" w:eastAsia="zh-CN" w:bidi="ar-SA"/>
        </w:rPr>
        <w:t>八、一般公共预算财政拨款基本支出决算表</w:t>
      </w:r>
      <w:bookmarkEnd w:id="79"/>
      <w:r>
        <w:rPr>
          <w:rFonts w:hint="default" w:ascii="Times New Roman" w:hAnsi="Times New Roman" w:eastAsia="仿宋_GB2312" w:cs="仿宋_GB2312"/>
          <w:color w:val="auto"/>
          <w:kern w:val="2"/>
          <w:sz w:val="32"/>
          <w:szCs w:val="32"/>
          <w:highlight w:val="none"/>
          <w:lang w:val="en-US" w:eastAsia="zh-CN" w:bidi="ar-SA"/>
        </w:rPr>
        <w:t>（见附件）</w:t>
      </w:r>
    </w:p>
    <w:p>
      <w:pPr>
        <w:rPr>
          <w:rFonts w:hint="eastAsia" w:ascii="Times New Roman" w:hAnsi="Times New Roman" w:eastAsia="仿宋_GB2312" w:cs="仿宋_GB2312"/>
          <w:color w:val="auto"/>
          <w:kern w:val="2"/>
          <w:sz w:val="32"/>
          <w:szCs w:val="32"/>
          <w:highlight w:val="none"/>
          <w:lang w:val="en-US" w:eastAsia="zh-CN" w:bidi="ar-SA"/>
        </w:rPr>
      </w:pPr>
      <w:bookmarkStart w:id="80" w:name="_Toc15396627"/>
      <w:r>
        <w:rPr>
          <w:rFonts w:hint="eastAsia" w:ascii="Times New Roman" w:hAnsi="Times New Roman" w:eastAsia="仿宋_GB2312" w:cs="仿宋_GB2312"/>
          <w:color w:val="auto"/>
          <w:kern w:val="2"/>
          <w:sz w:val="32"/>
          <w:szCs w:val="32"/>
          <w:highlight w:val="none"/>
          <w:lang w:val="en-US" w:eastAsia="zh-CN" w:bidi="ar-SA"/>
        </w:rPr>
        <w:t>九、一般公共预算财政拨款项目支出决算表</w:t>
      </w:r>
      <w:bookmarkEnd w:id="80"/>
      <w:r>
        <w:rPr>
          <w:rFonts w:hint="default" w:ascii="Times New Roman" w:hAnsi="Times New Roman" w:eastAsia="仿宋_GB2312" w:cs="仿宋_GB2312"/>
          <w:color w:val="auto"/>
          <w:kern w:val="2"/>
          <w:sz w:val="32"/>
          <w:szCs w:val="32"/>
          <w:highlight w:val="none"/>
          <w:lang w:val="en-US" w:eastAsia="zh-CN" w:bidi="ar-SA"/>
        </w:rPr>
        <w:t>（见附件）</w:t>
      </w:r>
    </w:p>
    <w:p>
      <w:pPr>
        <w:rPr>
          <w:rFonts w:hint="eastAsia" w:ascii="Times New Roman" w:hAnsi="Times New Roman" w:eastAsia="仿宋_GB2312" w:cs="仿宋_GB2312"/>
          <w:color w:val="auto"/>
          <w:kern w:val="2"/>
          <w:sz w:val="32"/>
          <w:szCs w:val="32"/>
          <w:highlight w:val="none"/>
          <w:lang w:val="en-US" w:eastAsia="zh-CN" w:bidi="ar-SA"/>
        </w:rPr>
      </w:pPr>
      <w:bookmarkStart w:id="81" w:name="_Toc15396628"/>
      <w:r>
        <w:rPr>
          <w:rFonts w:hint="eastAsia" w:ascii="Times New Roman" w:hAnsi="Times New Roman" w:eastAsia="仿宋_GB2312" w:cs="仿宋_GB2312"/>
          <w:color w:val="auto"/>
          <w:kern w:val="2"/>
          <w:sz w:val="32"/>
          <w:szCs w:val="32"/>
          <w:highlight w:val="none"/>
          <w:lang w:val="en-US" w:eastAsia="zh-CN" w:bidi="ar-SA"/>
        </w:rPr>
        <w:t>十、</w:t>
      </w:r>
      <w:bookmarkEnd w:id="81"/>
      <w:r>
        <w:rPr>
          <w:rFonts w:hint="eastAsia" w:ascii="Times New Roman" w:hAnsi="Times New Roman" w:eastAsia="仿宋_GB2312" w:cs="仿宋_GB2312"/>
          <w:color w:val="auto"/>
          <w:kern w:val="2"/>
          <w:sz w:val="32"/>
          <w:szCs w:val="32"/>
          <w:highlight w:val="none"/>
          <w:lang w:val="en-US" w:eastAsia="zh-CN" w:bidi="ar-SA"/>
        </w:rPr>
        <w:t>政府性基金预算财政拨款收入支出决算表</w:t>
      </w:r>
      <w:r>
        <w:rPr>
          <w:rFonts w:hint="default" w:ascii="Times New Roman" w:hAnsi="Times New Roman" w:eastAsia="仿宋_GB2312" w:cs="仿宋_GB2312"/>
          <w:color w:val="auto"/>
          <w:kern w:val="2"/>
          <w:sz w:val="32"/>
          <w:szCs w:val="32"/>
          <w:highlight w:val="none"/>
          <w:lang w:val="en-US" w:eastAsia="zh-CN" w:bidi="ar-SA"/>
        </w:rPr>
        <w:t>（见附件）</w:t>
      </w:r>
    </w:p>
    <w:p>
      <w:pPr>
        <w:rPr>
          <w:rFonts w:hint="eastAsia" w:ascii="Times New Roman" w:hAnsi="Times New Roman" w:eastAsia="仿宋_GB2312" w:cs="仿宋_GB2312"/>
          <w:color w:val="auto"/>
          <w:kern w:val="2"/>
          <w:sz w:val="32"/>
          <w:szCs w:val="32"/>
          <w:highlight w:val="none"/>
          <w:lang w:val="en-US" w:eastAsia="zh-CN" w:bidi="ar-SA"/>
        </w:rPr>
      </w:pPr>
      <w:bookmarkStart w:id="82" w:name="_Toc15396629"/>
      <w:r>
        <w:rPr>
          <w:rFonts w:hint="eastAsia" w:ascii="Times New Roman" w:hAnsi="Times New Roman" w:eastAsia="仿宋_GB2312" w:cs="仿宋_GB2312"/>
          <w:color w:val="auto"/>
          <w:kern w:val="2"/>
          <w:sz w:val="32"/>
          <w:szCs w:val="32"/>
          <w:highlight w:val="none"/>
          <w:lang w:val="en-US" w:eastAsia="zh-CN" w:bidi="ar-SA"/>
        </w:rPr>
        <w:t>十一、</w:t>
      </w:r>
      <w:bookmarkEnd w:id="82"/>
      <w:r>
        <w:rPr>
          <w:rFonts w:hint="eastAsia" w:ascii="Times New Roman" w:hAnsi="Times New Roman" w:eastAsia="仿宋_GB2312" w:cs="仿宋_GB2312"/>
          <w:color w:val="auto"/>
          <w:kern w:val="2"/>
          <w:sz w:val="32"/>
          <w:szCs w:val="32"/>
          <w:highlight w:val="none"/>
          <w:lang w:val="en-US" w:eastAsia="zh-CN" w:bidi="ar-SA"/>
        </w:rPr>
        <w:t>国有资本经营预算财政拨款收入支出决算表</w:t>
      </w:r>
      <w:r>
        <w:rPr>
          <w:rFonts w:hint="default" w:ascii="Times New Roman" w:hAnsi="Times New Roman" w:eastAsia="仿宋_GB2312" w:cs="仿宋_GB2312"/>
          <w:color w:val="auto"/>
          <w:kern w:val="2"/>
          <w:sz w:val="32"/>
          <w:szCs w:val="32"/>
          <w:highlight w:val="none"/>
          <w:lang w:val="en-US" w:eastAsia="zh-CN" w:bidi="ar-SA"/>
        </w:rPr>
        <w:t>（见附件）</w:t>
      </w:r>
    </w:p>
    <w:p>
      <w:pPr>
        <w:rPr>
          <w:rFonts w:hint="eastAsia" w:ascii="Times New Roman" w:hAnsi="Times New Roman" w:eastAsia="仿宋_GB2312" w:cs="仿宋_GB2312"/>
          <w:color w:val="auto"/>
          <w:kern w:val="2"/>
          <w:sz w:val="32"/>
          <w:szCs w:val="32"/>
          <w:highlight w:val="none"/>
          <w:lang w:val="en-US" w:eastAsia="zh-CN" w:bidi="ar-SA"/>
        </w:rPr>
      </w:pPr>
      <w:bookmarkStart w:id="83" w:name="_Toc15396630"/>
      <w:r>
        <w:rPr>
          <w:rFonts w:hint="eastAsia" w:ascii="Times New Roman" w:hAnsi="Times New Roman" w:eastAsia="仿宋_GB2312" w:cs="仿宋_GB2312"/>
          <w:color w:val="auto"/>
          <w:kern w:val="2"/>
          <w:sz w:val="32"/>
          <w:szCs w:val="32"/>
          <w:highlight w:val="none"/>
          <w:lang w:val="en-US" w:eastAsia="zh-CN" w:bidi="ar-SA"/>
        </w:rPr>
        <w:t>十二、</w:t>
      </w:r>
      <w:bookmarkEnd w:id="83"/>
      <w:r>
        <w:rPr>
          <w:rFonts w:hint="eastAsia" w:ascii="Times New Roman" w:hAnsi="Times New Roman" w:eastAsia="仿宋_GB2312" w:cs="仿宋_GB2312"/>
          <w:color w:val="auto"/>
          <w:kern w:val="2"/>
          <w:sz w:val="32"/>
          <w:szCs w:val="32"/>
          <w:highlight w:val="none"/>
          <w:lang w:val="en-US" w:eastAsia="zh-CN" w:bidi="ar-SA"/>
        </w:rPr>
        <w:t>国有资本经营预算财政拨款支出决算表</w:t>
      </w:r>
      <w:r>
        <w:rPr>
          <w:rFonts w:hint="default" w:ascii="Times New Roman" w:hAnsi="Times New Roman" w:eastAsia="仿宋_GB2312" w:cs="仿宋_GB2312"/>
          <w:color w:val="auto"/>
          <w:kern w:val="2"/>
          <w:sz w:val="32"/>
          <w:szCs w:val="32"/>
          <w:highlight w:val="none"/>
          <w:lang w:val="en-US" w:eastAsia="zh-CN" w:bidi="ar-SA"/>
        </w:rPr>
        <w:t>（见附件）</w:t>
      </w:r>
    </w:p>
    <w:p>
      <w:pPr>
        <w:rPr>
          <w:rFonts w:hint="eastAsia" w:ascii="Times New Roman" w:hAnsi="Times New Roman" w:eastAsia="仿宋_GB2312" w:cs="仿宋_GB2312"/>
          <w:color w:val="auto"/>
          <w:kern w:val="2"/>
          <w:sz w:val="32"/>
          <w:szCs w:val="32"/>
          <w:highlight w:val="none"/>
          <w:lang w:val="en-US" w:eastAsia="zh-CN" w:bidi="ar-SA"/>
        </w:rPr>
      </w:pPr>
      <w:bookmarkStart w:id="84" w:name="_Toc15396631"/>
      <w:r>
        <w:rPr>
          <w:rFonts w:hint="eastAsia" w:ascii="Times New Roman" w:hAnsi="Times New Roman" w:eastAsia="仿宋_GB2312" w:cs="仿宋_GB2312"/>
          <w:color w:val="auto"/>
          <w:kern w:val="2"/>
          <w:sz w:val="32"/>
          <w:szCs w:val="32"/>
          <w:highlight w:val="none"/>
          <w:lang w:val="en-US" w:eastAsia="zh-CN" w:bidi="ar-SA"/>
        </w:rPr>
        <w:t>十三、</w:t>
      </w:r>
      <w:bookmarkEnd w:id="84"/>
      <w:r>
        <w:rPr>
          <w:rFonts w:hint="eastAsia" w:ascii="Times New Roman" w:hAnsi="Times New Roman" w:eastAsia="仿宋_GB2312" w:cs="仿宋_GB2312"/>
          <w:color w:val="auto"/>
          <w:kern w:val="2"/>
          <w:sz w:val="32"/>
          <w:szCs w:val="32"/>
          <w:highlight w:val="none"/>
          <w:lang w:val="en-US" w:eastAsia="zh-CN" w:bidi="ar-SA"/>
        </w:rPr>
        <w:t>财政拨款“三公”经费支出决算表</w:t>
      </w:r>
      <w:r>
        <w:rPr>
          <w:rFonts w:hint="default" w:ascii="Times New Roman" w:hAnsi="Times New Roman" w:eastAsia="仿宋_GB2312" w:cs="仿宋_GB2312"/>
          <w:color w:val="auto"/>
          <w:kern w:val="2"/>
          <w:sz w:val="32"/>
          <w:szCs w:val="32"/>
          <w:highlight w:val="none"/>
          <w:lang w:val="en-US" w:eastAsia="zh-CN" w:bidi="ar-SA"/>
        </w:rPr>
        <w:t>（见附件）</w:t>
      </w:r>
    </w:p>
    <w:p>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decimal"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仿宋简体">
    <w:altName w:val="方正仿宋_GBK"/>
    <w:panose1 w:val="02000000000000000000"/>
    <w:charset w:val="00"/>
    <w:family w:val="script"/>
    <w:pitch w:val="default"/>
    <w:sig w:usb0="00000000" w:usb1="00000000" w:usb2="00000012" w:usb3="00000000" w:csb0="00040001"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2312">
    <w:altName w:val="仿宋"/>
    <w:panose1 w:val="02000000000000000000"/>
    <w:charset w:val="00"/>
    <w:family w:val="auto"/>
    <w:pitch w:val="default"/>
    <w:sig w:usb0="00000000" w:usb1="00000000" w:usb2="00000012" w:usb3="00000000" w:csb0="00040001" w:csb1="00000000"/>
  </w:font>
  <w:font w:name="DejaVu Sans">
    <w:panose1 w:val="020B0603030804020204"/>
    <w:charset w:val="00"/>
    <w:family w:val="auto"/>
    <w:pitch w:val="default"/>
    <w:sig w:usb0="E7006EFF" w:usb1="D200FDFF" w:usb2="0A246029" w:usb3="0400200C" w:csb0="600001FF" w:csb1="DFFF0000"/>
  </w:font>
  <w:font w:name="文泉驿正黑">
    <w:panose1 w:val="02000603000000000000"/>
    <w:charset w:val="86"/>
    <w:family w:val="auto"/>
    <w:pitch w:val="default"/>
    <w:sig w:usb0="900002BF" w:usb1="2BDF7DFB" w:usb2="00000036" w:usb3="00000000" w:csb0="603E000D" w:csb1="D2D70000"/>
  </w:font>
  <w:font w:name="Noto Sans Syriac Eastern">
    <w:panose1 w:val="02040503050306020203"/>
    <w:charset w:val="86"/>
    <w:family w:val="auto"/>
    <w:pitch w:val="default"/>
    <w:sig w:usb0="00000000" w:usb1="00000000" w:usb2="00000080" w:usb3="00000000" w:csb0="203E0161" w:csb1="D7FF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- 1 -</w:t>
                    </w:r>
                    <w:r>
                      <w:fldChar w:fldCharType="end"/>
                    </w:r>
                  </w:p>
                </w:txbxContent>
              </v:textbox>
            </v:shape>
          </w:pict>
        </mc:Fallback>
      </mc:AlternateContent>
    </w: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&#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PWLh2QyAgAAYQQAAA4AAAAAAAAAAQAgAAAA&#10;NQEAAGRycy9lMm9Eb2MueG1sUEsFBgAAAAAGAAYAWQEAANkFA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2</w:t>
                    </w:r>
                    <w:r>
                      <w:fldChar w:fldCharType="end"/>
                    </w:r>
                  </w:p>
                </w:txbxContent>
              </v:textbox>
            </v:shape>
          </w:pict>
        </mc:Fallback>
      </mc:AlternateContent>
    </w:r>
  </w:p>
  <w:p>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&#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AKVIPQyAgAAYQQAAA4AAAAAAAAAAQAgAAAA&#10;NQEAAGRycy9lMm9Eb2MueG1sUEsFBgAAAAAGAAYAWQEAANkFA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3BC97B"/>
    <w:multiLevelType w:val="singleLevel"/>
    <w:tmpl w:val="EF3BC97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4916F1E"/>
    <w:rsid w:val="061E35DE"/>
    <w:rsid w:val="066E0107"/>
    <w:rsid w:val="07996F6E"/>
    <w:rsid w:val="07DFD8BA"/>
    <w:rsid w:val="09867E8F"/>
    <w:rsid w:val="0A2032A3"/>
    <w:rsid w:val="0CA8290A"/>
    <w:rsid w:val="0D35B1ED"/>
    <w:rsid w:val="0E254B6B"/>
    <w:rsid w:val="0F98263C"/>
    <w:rsid w:val="101860EC"/>
    <w:rsid w:val="101F47CC"/>
    <w:rsid w:val="10C055FF"/>
    <w:rsid w:val="11694EBD"/>
    <w:rsid w:val="11772AA4"/>
    <w:rsid w:val="118107EC"/>
    <w:rsid w:val="12E24EE2"/>
    <w:rsid w:val="13D50BC4"/>
    <w:rsid w:val="14B17F78"/>
    <w:rsid w:val="165E0673"/>
    <w:rsid w:val="16B831D5"/>
    <w:rsid w:val="16BB723D"/>
    <w:rsid w:val="17E50567"/>
    <w:rsid w:val="186504BB"/>
    <w:rsid w:val="19A445FC"/>
    <w:rsid w:val="1BE8440E"/>
    <w:rsid w:val="1D155CEE"/>
    <w:rsid w:val="1D1638FE"/>
    <w:rsid w:val="1E312DEB"/>
    <w:rsid w:val="1E740ACF"/>
    <w:rsid w:val="1F7A8D4B"/>
    <w:rsid w:val="1FF35744"/>
    <w:rsid w:val="1FF6BC77"/>
    <w:rsid w:val="2186353C"/>
    <w:rsid w:val="23860B96"/>
    <w:rsid w:val="240371BF"/>
    <w:rsid w:val="244F3473"/>
    <w:rsid w:val="24C97D99"/>
    <w:rsid w:val="25A718F0"/>
    <w:rsid w:val="25BB59F6"/>
    <w:rsid w:val="260F557C"/>
    <w:rsid w:val="26970054"/>
    <w:rsid w:val="27E12EFE"/>
    <w:rsid w:val="281408E2"/>
    <w:rsid w:val="29FD04D3"/>
    <w:rsid w:val="2BFF7BC6"/>
    <w:rsid w:val="2C8A61B5"/>
    <w:rsid w:val="2DF04E50"/>
    <w:rsid w:val="2E586DFA"/>
    <w:rsid w:val="2E6529F5"/>
    <w:rsid w:val="2F040D46"/>
    <w:rsid w:val="2F55DC7F"/>
    <w:rsid w:val="2F6B035B"/>
    <w:rsid w:val="2FAE5751"/>
    <w:rsid w:val="2FB1A395"/>
    <w:rsid w:val="2FD9A7D8"/>
    <w:rsid w:val="2FDBF714"/>
    <w:rsid w:val="30AB6865"/>
    <w:rsid w:val="319F7F4E"/>
    <w:rsid w:val="32BD1EF1"/>
    <w:rsid w:val="3304709D"/>
    <w:rsid w:val="33A773CB"/>
    <w:rsid w:val="349D6851"/>
    <w:rsid w:val="36AA5135"/>
    <w:rsid w:val="36BE0DA7"/>
    <w:rsid w:val="376B6AA6"/>
    <w:rsid w:val="376D39B2"/>
    <w:rsid w:val="37E16F03"/>
    <w:rsid w:val="37F53A3B"/>
    <w:rsid w:val="389B6C89"/>
    <w:rsid w:val="38D469F0"/>
    <w:rsid w:val="39627CCD"/>
    <w:rsid w:val="397BAF1F"/>
    <w:rsid w:val="3AB79AF3"/>
    <w:rsid w:val="3AE834C0"/>
    <w:rsid w:val="3B7EF35A"/>
    <w:rsid w:val="3B9FDB6C"/>
    <w:rsid w:val="3BF5BC2F"/>
    <w:rsid w:val="3CEBA265"/>
    <w:rsid w:val="3D98207C"/>
    <w:rsid w:val="3DEE7CF3"/>
    <w:rsid w:val="3E740A63"/>
    <w:rsid w:val="3E78745D"/>
    <w:rsid w:val="3EE17838"/>
    <w:rsid w:val="3F55381A"/>
    <w:rsid w:val="3F7F7599"/>
    <w:rsid w:val="3FF4CAE0"/>
    <w:rsid w:val="3FF7B227"/>
    <w:rsid w:val="44E268DA"/>
    <w:rsid w:val="450D13D7"/>
    <w:rsid w:val="45506656"/>
    <w:rsid w:val="486A6C7A"/>
    <w:rsid w:val="4A627F82"/>
    <w:rsid w:val="4B0E749A"/>
    <w:rsid w:val="4B2477C4"/>
    <w:rsid w:val="4B4F25DA"/>
    <w:rsid w:val="4BE068DB"/>
    <w:rsid w:val="4D577224"/>
    <w:rsid w:val="4DBF1CEB"/>
    <w:rsid w:val="4DF0007C"/>
    <w:rsid w:val="4EAB630A"/>
    <w:rsid w:val="4ECE2238"/>
    <w:rsid w:val="4F833267"/>
    <w:rsid w:val="4FBF8966"/>
    <w:rsid w:val="4FE9BD67"/>
    <w:rsid w:val="4FFB052F"/>
    <w:rsid w:val="537E6D0A"/>
    <w:rsid w:val="53F74C96"/>
    <w:rsid w:val="55170BA8"/>
    <w:rsid w:val="553218C9"/>
    <w:rsid w:val="567E1AA5"/>
    <w:rsid w:val="56E47B74"/>
    <w:rsid w:val="57175D52"/>
    <w:rsid w:val="57BD3DD4"/>
    <w:rsid w:val="57D9006D"/>
    <w:rsid w:val="57F7F5AD"/>
    <w:rsid w:val="58DF97A2"/>
    <w:rsid w:val="5AF92295"/>
    <w:rsid w:val="5B250254"/>
    <w:rsid w:val="5BDD79E6"/>
    <w:rsid w:val="5BF561CA"/>
    <w:rsid w:val="5BFF5DFC"/>
    <w:rsid w:val="5CD71FC4"/>
    <w:rsid w:val="5D1F11B5"/>
    <w:rsid w:val="5D659FE3"/>
    <w:rsid w:val="5D695134"/>
    <w:rsid w:val="5DAE1B18"/>
    <w:rsid w:val="5DE7D9E5"/>
    <w:rsid w:val="5ECEC941"/>
    <w:rsid w:val="5FBF9FF3"/>
    <w:rsid w:val="5FCD4E2C"/>
    <w:rsid w:val="5FEF394A"/>
    <w:rsid w:val="5FF67715"/>
    <w:rsid w:val="60DEC520"/>
    <w:rsid w:val="62BF3928"/>
    <w:rsid w:val="63B3701E"/>
    <w:rsid w:val="647F5392"/>
    <w:rsid w:val="65E66580"/>
    <w:rsid w:val="664B1D71"/>
    <w:rsid w:val="664B4E8E"/>
    <w:rsid w:val="67277B67"/>
    <w:rsid w:val="67AA3209"/>
    <w:rsid w:val="698D0931"/>
    <w:rsid w:val="6A7FE5F3"/>
    <w:rsid w:val="6B053271"/>
    <w:rsid w:val="6B9F8340"/>
    <w:rsid w:val="6BAA5FCF"/>
    <w:rsid w:val="6BDD78B3"/>
    <w:rsid w:val="6C4A05C8"/>
    <w:rsid w:val="6C8742B8"/>
    <w:rsid w:val="6DBF5E93"/>
    <w:rsid w:val="6DFF077E"/>
    <w:rsid w:val="6E714EF0"/>
    <w:rsid w:val="6E7E3605"/>
    <w:rsid w:val="6E7FDCC7"/>
    <w:rsid w:val="6ED6A62E"/>
    <w:rsid w:val="6EE00B15"/>
    <w:rsid w:val="6F6FB3EB"/>
    <w:rsid w:val="6F77540C"/>
    <w:rsid w:val="6F8731EA"/>
    <w:rsid w:val="6FCE6052"/>
    <w:rsid w:val="6FD57C00"/>
    <w:rsid w:val="6FEFFFD8"/>
    <w:rsid w:val="6FF5CC65"/>
    <w:rsid w:val="6FFB47EC"/>
    <w:rsid w:val="6FFF034A"/>
    <w:rsid w:val="70484440"/>
    <w:rsid w:val="712A28F1"/>
    <w:rsid w:val="715C0E4B"/>
    <w:rsid w:val="71992E7C"/>
    <w:rsid w:val="72233669"/>
    <w:rsid w:val="72734D90"/>
    <w:rsid w:val="73160E6D"/>
    <w:rsid w:val="7332FE48"/>
    <w:rsid w:val="73AB61DA"/>
    <w:rsid w:val="73AD73D5"/>
    <w:rsid w:val="73B6EB34"/>
    <w:rsid w:val="73FA497D"/>
    <w:rsid w:val="744731E5"/>
    <w:rsid w:val="74BBD01D"/>
    <w:rsid w:val="74ED5379"/>
    <w:rsid w:val="75DEEEC2"/>
    <w:rsid w:val="75E32345"/>
    <w:rsid w:val="76E3355F"/>
    <w:rsid w:val="76FF5125"/>
    <w:rsid w:val="776F6FFA"/>
    <w:rsid w:val="778769C8"/>
    <w:rsid w:val="77A75DCA"/>
    <w:rsid w:val="77DC22F5"/>
    <w:rsid w:val="783E271A"/>
    <w:rsid w:val="78616DE9"/>
    <w:rsid w:val="78E875D7"/>
    <w:rsid w:val="79086DAD"/>
    <w:rsid w:val="79D7FD79"/>
    <w:rsid w:val="79EE5BA4"/>
    <w:rsid w:val="7A894339"/>
    <w:rsid w:val="7AD284E8"/>
    <w:rsid w:val="7AFF7572"/>
    <w:rsid w:val="7B6C7DFB"/>
    <w:rsid w:val="7BBFBED0"/>
    <w:rsid w:val="7BC3E394"/>
    <w:rsid w:val="7C1F3737"/>
    <w:rsid w:val="7CB76FCE"/>
    <w:rsid w:val="7CBFC87B"/>
    <w:rsid w:val="7CFE0F48"/>
    <w:rsid w:val="7D272ABC"/>
    <w:rsid w:val="7D7EC23E"/>
    <w:rsid w:val="7E8ADEBF"/>
    <w:rsid w:val="7EEF11D3"/>
    <w:rsid w:val="7EFE317B"/>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9DDB352C"/>
    <w:rsid w:val="A6DD0D7F"/>
    <w:rsid w:val="ACFF4FBB"/>
    <w:rsid w:val="ADC6F725"/>
    <w:rsid w:val="B7CF06AB"/>
    <w:rsid w:val="B7CFA926"/>
    <w:rsid w:val="B7F8786B"/>
    <w:rsid w:val="BABB6AA1"/>
    <w:rsid w:val="BAD7F89C"/>
    <w:rsid w:val="BB2F4199"/>
    <w:rsid w:val="BB7952F7"/>
    <w:rsid w:val="BCFFB442"/>
    <w:rsid w:val="BD079C78"/>
    <w:rsid w:val="BD733540"/>
    <w:rsid w:val="BF3735D5"/>
    <w:rsid w:val="BF7F09AC"/>
    <w:rsid w:val="BFD475C3"/>
    <w:rsid w:val="BFDE5EA6"/>
    <w:rsid w:val="CF6FC6F3"/>
    <w:rsid w:val="CFD3D3D7"/>
    <w:rsid w:val="CFDF1009"/>
    <w:rsid w:val="D7D7B16A"/>
    <w:rsid w:val="D7DDCAB4"/>
    <w:rsid w:val="D8D6DB89"/>
    <w:rsid w:val="DB6F4CAB"/>
    <w:rsid w:val="DB777682"/>
    <w:rsid w:val="DD1FB521"/>
    <w:rsid w:val="DDBFFB2A"/>
    <w:rsid w:val="DEFBFEAE"/>
    <w:rsid w:val="DF1F3B80"/>
    <w:rsid w:val="DF6F9789"/>
    <w:rsid w:val="DFE9BE81"/>
    <w:rsid w:val="DFFFA9E8"/>
    <w:rsid w:val="E5F4E9DC"/>
    <w:rsid w:val="E70FE695"/>
    <w:rsid w:val="EB2E368B"/>
    <w:rsid w:val="ECFED1BC"/>
    <w:rsid w:val="ED1D69BB"/>
    <w:rsid w:val="ED7FD312"/>
    <w:rsid w:val="EF2E1AC6"/>
    <w:rsid w:val="EF53993F"/>
    <w:rsid w:val="EF57E54C"/>
    <w:rsid w:val="EF6FD633"/>
    <w:rsid w:val="EFBFB2F4"/>
    <w:rsid w:val="EFBFFA21"/>
    <w:rsid w:val="F2BEBCB8"/>
    <w:rsid w:val="F2F787F5"/>
    <w:rsid w:val="F36FB518"/>
    <w:rsid w:val="F3DE1A04"/>
    <w:rsid w:val="F3F722E5"/>
    <w:rsid w:val="F4FBCD07"/>
    <w:rsid w:val="F9BF4844"/>
    <w:rsid w:val="FA5F1E70"/>
    <w:rsid w:val="FA5FDB97"/>
    <w:rsid w:val="FB7F486A"/>
    <w:rsid w:val="FBCF5EBD"/>
    <w:rsid w:val="FBE6B12A"/>
    <w:rsid w:val="FBFF5B2E"/>
    <w:rsid w:val="FC8D80AA"/>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26"/>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next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qFormat/>
    <w:uiPriority w:val="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100" w:beforeAutospacing="1" w:after="100" w:afterAutospacing="1" w:line="240" w:lineRule="auto"/>
      <w:ind w:left="0" w:right="0" w:firstLine="0"/>
      <w:jc w:val="left"/>
      <w:textAlignment w:val="auto"/>
      <w:outlineLvl w:val="9"/>
    </w:pPr>
    <w:rPr>
      <w:snapToGrid/>
      <w:color w:val="auto"/>
      <w:spacing w:val="0"/>
      <w:w w:val="100"/>
      <w:kern w:val="0"/>
      <w:position w:val="0"/>
      <w:sz w:val="24"/>
      <w:u w:val="none" w:color="auto"/>
      <w:vertAlign w:val="baseline"/>
      <w:lang w:val="en-US" w:eastAsia="zh-CN"/>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1"/>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0"/>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2"/>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3"/>
    <w:qFormat/>
    <w:uiPriority w:val="9"/>
    <w:rPr>
      <w:rFonts w:ascii="Times New Roman" w:hAnsi="Times New Roman"/>
      <w:b/>
      <w:bCs/>
      <w:kern w:val="44"/>
      <w:sz w:val="44"/>
      <w:szCs w:val="44"/>
    </w:rPr>
  </w:style>
  <w:style w:type="character" w:customStyle="1" w:styleId="30">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9"/>
    <w:semiHidden/>
    <w:qFormat/>
    <w:uiPriority w:val="99"/>
    <w:rPr>
      <w:rFonts w:ascii="Times New Roman" w:hAnsi="Times New Roman"/>
      <w:kern w:val="2"/>
      <w:sz w:val="18"/>
      <w:szCs w:val="18"/>
    </w:rPr>
  </w:style>
  <w:style w:type="character" w:customStyle="1" w:styleId="33">
    <w:name w:val="标题 3 Char"/>
    <w:basedOn w:val="17"/>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常用样式（方正仿宋简）"/>
    <w:basedOn w:val="1"/>
    <w:next w:val="1"/>
    <w:qFormat/>
    <w:uiPriority w:val="0"/>
    <w:pPr>
      <w:spacing w:line="560" w:lineRule="exact"/>
      <w:ind w:firstLine="640" w:firstLineChars="200"/>
    </w:pPr>
    <w:rPr>
      <w:rFonts w:eastAsia="方正仿宋简体"/>
      <w:sz w:val="32"/>
    </w:rPr>
  </w:style>
  <w:style w:type="paragraph" w:customStyle="1" w:styleId="37">
    <w:name w:val="WPSOffice手动目录 1"/>
    <w:qFormat/>
    <w:uiPriority w:val="0"/>
    <w:pPr>
      <w:ind w:leftChars="0"/>
    </w:pPr>
    <w:rPr>
      <w:rFonts w:ascii="Calibri" w:hAnsi="Calibri" w:eastAsia="宋体" w:cstheme="minorBidi"/>
      <w:sz w:val="24"/>
      <w:szCs w:val="20"/>
    </w:rPr>
  </w:style>
  <w:style w:type="paragraph" w:customStyle="1" w:styleId="38">
    <w:name w:val="WPSOffice手动目录 2"/>
    <w:qFormat/>
    <w:uiPriority w:val="0"/>
    <w:pPr>
      <w:spacing w:before="30" w:beforeLines="30"/>
      <w:ind w:leftChars="200"/>
    </w:pPr>
    <w:rPr>
      <w:rFonts w:ascii="Calibri" w:hAnsi="Calibri" w:eastAsia="宋体" w:cstheme="minorBidi"/>
      <w:sz w:val="24"/>
      <w:szCs w:val="20"/>
    </w:rPr>
  </w:style>
  <w:style w:type="paragraph" w:customStyle="1" w:styleId="39">
    <w:name w:val="WPSOffice手动目录 3"/>
    <w:qFormat/>
    <w:uiPriority w:val="0"/>
    <w:pPr>
      <w:spacing w:before="30" w:beforeLines="30"/>
      <w:ind w:leftChars="400"/>
    </w:pPr>
    <w:rPr>
      <w:rFonts w:ascii="Calibri" w:hAnsi="Calibri" w:eastAsia="宋体" w:cstheme="minorBidi"/>
      <w:sz w:val="24"/>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home/user/Desktop/XLS%20&#24037;&#20316;&#3492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home/user/Desktop/XLS%20&#24037;&#20316;&#34920;.xls"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home/user/Desktop/XLS%20&#24037;&#20316;&#34920;.xls"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home/user/Desktop/XLS%20&#24037;&#20316;&#34920;.xls"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home/user/Desktop/XLS%20&#24037;&#20316;&#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收、支决算总计变动图</a:t>
            </a:r>
          </a:p>
        </c:rich>
      </c:tx>
      <c:layout/>
      <c:overlay val="0"/>
      <c:spPr>
        <a:noFill/>
        <a:ln>
          <a:noFill/>
        </a:ln>
        <a:effectLst/>
      </c:spPr>
    </c:title>
    <c:autoTitleDeleted val="0"/>
    <c:plotArea>
      <c:layout/>
      <c:barChart>
        <c:barDir val="col"/>
        <c:grouping val="clustered"/>
        <c:varyColors val="0"/>
        <c:ser>
          <c:idx val="0"/>
          <c:order val="0"/>
          <c:tx>
            <c:strRef>
              <c:f>'[XLS 工作表.xls]Sheet1'!$A$11</c:f>
              <c:strCache>
                <c:ptCount val="1"/>
                <c:pt idx="0">
                  <c:v>2023年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'[XLS 工作表.xls]Sheet1'!$B$9:$C$10</c:f>
              <c:multiLvlStrCache>
                <c:ptCount val="2"/>
                <c:lvl>
                  <c:pt idx="0">
                    <c:v>收入</c:v>
                  </c:pt>
                  <c:pt idx="1">
                    <c:v>支出</c:v>
                  </c:pt>
                </c:lvl>
                <c:lvl/>
              </c:multiLvlStrCache>
            </c:multiLvlStrRef>
          </c:cat>
          <c:val>
            <c:numRef>
              <c:f>'[XLS 工作表.xls]Sheet1'!$B$11:$C$11</c:f>
              <c:numCache>
                <c:formatCode>General</c:formatCode>
                <c:ptCount val="2"/>
                <c:pt idx="0">
                  <c:v>230.86</c:v>
                </c:pt>
                <c:pt idx="1">
                  <c:v>230.86</c:v>
                </c:pt>
              </c:numCache>
            </c:numRef>
          </c:val>
        </c:ser>
        <c:ser>
          <c:idx val="1"/>
          <c:order val="1"/>
          <c:tx>
            <c:strRef>
              <c:f>'[XLS 工作表.xls]Sheet1'!$A$12</c:f>
              <c:strCache>
                <c:ptCount val="1"/>
                <c:pt idx="0">
                  <c:v>2024年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'[XLS 工作表.xls]Sheet1'!$B$9:$C$10</c:f>
              <c:multiLvlStrCache>
                <c:ptCount val="2"/>
                <c:lvl>
                  <c:pt idx="0">
                    <c:v>收入</c:v>
                  </c:pt>
                  <c:pt idx="1">
                    <c:v>支出</c:v>
                  </c:pt>
                </c:lvl>
                <c:lvl/>
              </c:multiLvlStrCache>
            </c:multiLvlStrRef>
          </c:cat>
          <c:val>
            <c:numRef>
              <c:f>'[XLS 工作表.xls]Sheet1'!$B$12:$C$12</c:f>
              <c:numCache>
                <c:formatCode>General</c:formatCode>
                <c:ptCount val="2"/>
                <c:pt idx="0">
                  <c:v>217.46</c:v>
                </c:pt>
                <c:pt idx="1">
                  <c:v>217.46</c:v>
                </c:pt>
              </c:numCache>
            </c:numRef>
          </c:val>
        </c:ser>
        <c:dLbls>
          <c:showLegendKey val="0"/>
          <c:showVal val="1"/>
          <c:showCatName val="0"/>
          <c:showSerName val="0"/>
          <c:showPercent val="0"/>
          <c:showBubbleSize val="0"/>
        </c:dLbls>
        <c:gapWidth val="219"/>
        <c:overlap val="-27"/>
        <c:axId val="659635234"/>
        <c:axId val="847369695"/>
      </c:barChart>
      <c:catAx>
        <c:axId val="65963523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7369695"/>
        <c:crosses val="autoZero"/>
        <c:auto val="1"/>
        <c:lblAlgn val="ctr"/>
        <c:lblOffset val="100"/>
        <c:noMultiLvlLbl val="0"/>
      </c:catAx>
      <c:valAx>
        <c:axId val="8473696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963523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'[XLS 工作表.xls]Sheet1'!$O$11</c:f>
              <c:strCache>
                <c:ptCount val="1"/>
                <c:pt idx="0">
                  <c:v>支出决算结构图</c:v>
                </c:pt>
              </c:strCache>
            </c:strRef>
          </c:tx>
          <c:spPr>
            <a:solidFill>
              <a:schemeClr val="accent1"/>
            </a:solidFill>
            <a:ln>
              <a:noFill/>
            </a:ln>
            <a:effectLst/>
          </c:spPr>
          <c:explosion val="0"/>
          <c:dPt>
            <c:idx val="0"/>
            <c:bubble3D val="0"/>
            <c:spPr>
              <a:solidFill>
                <a:schemeClr val="accent1"/>
              </a:solidFill>
              <a:ln>
                <a:noFill/>
              </a:ln>
              <a:effectLst/>
            </c:spPr>
          </c:dPt>
          <c:dLbls>
            <c:dLbl>
              <c:idx val="0"/>
              <c:layout>
                <c:manualLayout>
                  <c:x val="-0.0208312459726458"/>
                  <c:y val="-0.406413827726449"/>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manualLayout>
                      <c:w val="0.177058741841411"/>
                      <c:h val="0.163463764760361"/>
                    </c:manualLayout>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'[XLS 工作表.xls]Sheet1'!$P$10</c:f>
              <c:strCache>
                <c:ptCount val="1"/>
                <c:pt idx="0">
                  <c:v>一般公共预算支出</c:v>
                </c:pt>
              </c:strCache>
            </c:strRef>
          </c:cat>
          <c:val>
            <c:numRef>
              <c:f>'[XLS 工作表.xls]Sheet1'!$P$11</c:f>
              <c:numCache>
                <c:formatCode>General</c:formatCode>
                <c:ptCount val="1"/>
                <c:pt idx="0">
                  <c:v>217.46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财政拨款收、支决算总计变动图</a:t>
            </a:r>
          </a:p>
        </c:rich>
      </c:tx>
      <c:layout/>
      <c:overlay val="0"/>
      <c:spPr>
        <a:noFill/>
        <a:ln>
          <a:noFill/>
        </a:ln>
        <a:effectLst/>
      </c:spPr>
    </c:title>
    <c:autoTitleDeleted val="0"/>
    <c:plotArea>
      <c:layout/>
      <c:barChart>
        <c:barDir val="col"/>
        <c:grouping val="clustered"/>
        <c:varyColors val="0"/>
        <c:ser>
          <c:idx val="0"/>
          <c:order val="0"/>
          <c:tx>
            <c:strRef>
              <c:f>'[XLS 工作表.xls]Sheet1'!$A$11</c:f>
              <c:strCache>
                <c:ptCount val="1"/>
                <c:pt idx="0">
                  <c:v>2023年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'[XLS 工作表.xls]Sheet1'!$B$9:$C$10</c:f>
              <c:multiLvlStrCache>
                <c:ptCount val="2"/>
                <c:lvl>
                  <c:pt idx="0">
                    <c:v>收入</c:v>
                  </c:pt>
                  <c:pt idx="1">
                    <c:v>支出</c:v>
                  </c:pt>
                </c:lvl>
                <c:lvl/>
              </c:multiLvlStrCache>
            </c:multiLvlStrRef>
          </c:cat>
          <c:val>
            <c:numRef>
              <c:f>'[XLS 工作表.xls]Sheet1'!$B$11:$C$11</c:f>
              <c:numCache>
                <c:formatCode>General</c:formatCode>
                <c:ptCount val="2"/>
                <c:pt idx="0">
                  <c:v>230.86</c:v>
                </c:pt>
                <c:pt idx="1">
                  <c:v>230.86</c:v>
                </c:pt>
              </c:numCache>
            </c:numRef>
          </c:val>
        </c:ser>
        <c:ser>
          <c:idx val="1"/>
          <c:order val="1"/>
          <c:tx>
            <c:strRef>
              <c:f>'[XLS 工作表.xls]Sheet1'!$A$12</c:f>
              <c:strCache>
                <c:ptCount val="1"/>
                <c:pt idx="0">
                  <c:v>2024年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'[XLS 工作表.xls]Sheet1'!$B$9:$C$10</c:f>
              <c:multiLvlStrCache>
                <c:ptCount val="2"/>
                <c:lvl>
                  <c:pt idx="0">
                    <c:v>收入</c:v>
                  </c:pt>
                  <c:pt idx="1">
                    <c:v>支出</c:v>
                  </c:pt>
                </c:lvl>
                <c:lvl/>
              </c:multiLvlStrCache>
            </c:multiLvlStrRef>
          </c:cat>
          <c:val>
            <c:numRef>
              <c:f>'[XLS 工作表.xls]Sheet1'!$B$12:$C$12</c:f>
              <c:numCache>
                <c:formatCode>General</c:formatCode>
                <c:ptCount val="2"/>
                <c:pt idx="0">
                  <c:v>217.46</c:v>
                </c:pt>
                <c:pt idx="1">
                  <c:v>217.46</c:v>
                </c:pt>
              </c:numCache>
            </c:numRef>
          </c:val>
        </c:ser>
        <c:dLbls>
          <c:showLegendKey val="0"/>
          <c:showVal val="1"/>
          <c:showCatName val="0"/>
          <c:showSerName val="0"/>
          <c:showPercent val="0"/>
          <c:showBubbleSize val="0"/>
        </c:dLbls>
        <c:gapWidth val="219"/>
        <c:overlap val="-27"/>
        <c:axId val="659635234"/>
        <c:axId val="847369695"/>
      </c:barChart>
      <c:catAx>
        <c:axId val="65963523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7369695"/>
        <c:crosses val="autoZero"/>
        <c:auto val="1"/>
        <c:lblAlgn val="ctr"/>
        <c:lblOffset val="100"/>
        <c:noMultiLvlLbl val="0"/>
      </c:catAx>
      <c:valAx>
        <c:axId val="8473696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963523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一般公共预算财政拨款支出决算变动图 </a:t>
            </a:r>
          </a:p>
        </c:rich>
      </c:tx>
      <c:layout>
        <c:manualLayout>
          <c:xMode val="edge"/>
          <c:yMode val="edge"/>
          <c:x val="0.124696050627593"/>
          <c:y val="0.0350633528265108"/>
        </c:manualLayout>
      </c:layout>
      <c:overlay val="0"/>
      <c:spPr>
        <a:noFill/>
        <a:ln>
          <a:noFill/>
        </a:ln>
        <a:effectLst/>
      </c:spPr>
    </c:title>
    <c:autoTitleDeleted val="0"/>
    <c:plotArea>
      <c:layout/>
      <c:barChart>
        <c:barDir val="col"/>
        <c:grouping val="clustered"/>
        <c:varyColors val="0"/>
        <c:ser>
          <c:idx val="0"/>
          <c:order val="0"/>
          <c:tx>
            <c:strRef>
              <c:f>'[XLS 工作表.xls]Sheet1'!$B$37:$B$38</c:f>
              <c:strCache>
                <c:ptCount val="1"/>
                <c:pt idx="0">
                  <c:v>一般公共预算财政拨款支出决算变动图
 支出</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'[XLS 工作表.xls]Sheet1'!$A$39:$A$40</c:f>
              <c:strCache>
                <c:ptCount val="2"/>
                <c:pt idx="0">
                  <c:v>2023年</c:v>
                </c:pt>
                <c:pt idx="1">
                  <c:v>2024年</c:v>
                </c:pt>
              </c:strCache>
            </c:strRef>
          </c:cat>
          <c:val>
            <c:numRef>
              <c:f>'[XLS 工作表.xls]Sheet1'!$B$39:$B$40</c:f>
              <c:numCache>
                <c:formatCode>General</c:formatCode>
                <c:ptCount val="2"/>
                <c:pt idx="0">
                  <c:v>230.86</c:v>
                </c:pt>
                <c:pt idx="1">
                  <c:v>217.46</c:v>
                </c:pt>
              </c:numCache>
            </c:numRef>
          </c:val>
        </c:ser>
        <c:dLbls>
          <c:showLegendKey val="0"/>
          <c:showVal val="1"/>
          <c:showCatName val="0"/>
          <c:showSerName val="0"/>
          <c:showPercent val="0"/>
          <c:showBubbleSize val="0"/>
        </c:dLbls>
        <c:gapWidth val="219"/>
        <c:overlap val="-27"/>
        <c:axId val="43736608"/>
        <c:axId val="46942059"/>
      </c:barChart>
      <c:catAx>
        <c:axId val="4373660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942059"/>
        <c:crosses val="autoZero"/>
        <c:auto val="1"/>
        <c:lblAlgn val="ctr"/>
        <c:lblOffset val="100"/>
        <c:noMultiLvlLbl val="0"/>
      </c:catAx>
      <c:valAx>
        <c:axId val="4694205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7366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200"/>
              <a:t>一般公共预算财政拨款支出决算结构</a:t>
            </a:r>
            <a:endParaRPr sz="1200"/>
          </a:p>
          <a:p>
            <a:pPr defTabSz="914400">
              <a:defRPr lang="zh-CN" sz="1400" b="0" i="0" u="none" strike="noStrike" kern="1200" spc="0" baseline="0">
                <a:solidFill>
                  <a:schemeClr val="tx1">
                    <a:lumMod val="65000"/>
                    <a:lumOff val="35000"/>
                  </a:schemeClr>
                </a:solidFill>
                <a:latin typeface="+mn-lt"/>
                <a:ea typeface="+mn-ea"/>
                <a:cs typeface="+mn-cs"/>
              </a:defRPr>
            </a:pPr>
          </a:p>
        </c:rich>
      </c:tx>
      <c:layout>
        <c:manualLayout>
          <c:xMode val="edge"/>
          <c:yMode val="edge"/>
          <c:x val="0.230755064456722"/>
          <c:y val="0.0554506842850401"/>
        </c:manualLayout>
      </c:layout>
      <c:overlay val="0"/>
      <c:spPr>
        <a:noFill/>
        <a:ln>
          <a:noFill/>
        </a:ln>
        <a:effectLst/>
      </c:spPr>
    </c:title>
    <c:autoTitleDeleted val="0"/>
    <c:plotArea>
      <c:layout/>
      <c:pieChart>
        <c:varyColors val="1"/>
        <c:ser>
          <c:idx val="0"/>
          <c:order val="0"/>
          <c:tx>
            <c:strRef>
              <c:f>'[XLS 工作表.xls]Sheet1'!$L$37</c:f>
              <c:strCache>
                <c:ptCount val="1"/>
                <c:pt idx="0">
                  <c:v>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manualLayout>
                  <c:x val="0.229035509511733"/>
                  <c:y val="-0.0931979606136907"/>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939910892113736"/>
                  <c:y val="-0.0499811098136829"/>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3.5</a:t>
                    </a:r>
                    <a:r>
                      <a:rPr lang="en-US" altLang="zh-CN"/>
                      <a:t>3</a:t>
                    </a:r>
                    <a:r>
                      <a:t>%</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194159356182327"/>
                  <c:y val="-0.044058486492843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'[XLS 工作表.xls]Sheet1'!$J$38:$J$40</c:f>
              <c:strCache>
                <c:ptCount val="3"/>
                <c:pt idx="0">
                  <c:v>社会保障和就业支出</c:v>
                </c:pt>
                <c:pt idx="1">
                  <c:v>卫生健康支出</c:v>
                </c:pt>
                <c:pt idx="2">
                  <c:v>住房保障支出</c:v>
                </c:pt>
              </c:strCache>
            </c:strRef>
          </c:cat>
          <c:val>
            <c:numRef>
              <c:f>'[XLS 工作表.xls]Sheet1'!$L$38:$L$40</c:f>
              <c:numCache>
                <c:formatCode>0.00%</c:formatCode>
                <c:ptCount val="3"/>
                <c:pt idx="0">
                  <c:v>0.872482295594592</c:v>
                </c:pt>
                <c:pt idx="1">
                  <c:v>0.0352248689414145</c:v>
                </c:pt>
                <c:pt idx="2">
                  <c:v>0.0922468499954014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wrap="square"/>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23</Pages>
  <Words>1299</Words>
  <Characters>7410</Characters>
  <Lines>61</Lines>
  <Paragraphs>17</Paragraphs>
  <TotalTime>8</TotalTime>
  <ScaleCrop>false</ScaleCrop>
  <LinksUpToDate>false</LinksUpToDate>
  <CharactersWithSpaces>8692</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2020-08-12T01:49:00Z</dcterms:created>
  <dc:creator>曹颖</dc:creator>
  <cp:lastModifiedBy>user</cp:lastModifiedBy>
  <cp:lastPrinted>2025-08-09T09:34:00Z</cp:lastPrinted>
  <dcterms:modified xsi:type="dcterms:W3CDTF">2026-04-20T10:19:36Z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04787F2533EB45DC91BCDE4AB213247F</vt:lpwstr>
  </property>
</Properties>
</file>