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77EAB">
      <w:pPr>
        <w:pStyle w:val="13"/>
        <w:jc w:val="center"/>
      </w:pPr>
      <w:bookmarkStart w:id="0" w:name="_GoBack"/>
      <w:bookmarkEnd w:id="0"/>
      <w:r>
        <w:rPr>
          <w:sz w:val="42"/>
          <w:szCs w:val="42"/>
        </w:rPr>
        <w:t>2022年度</w:t>
      </w:r>
    </w:p>
    <w:p w14:paraId="01340C48">
      <w:pPr>
        <w:pStyle w:val="13"/>
        <w:jc w:val="center"/>
      </w:pPr>
      <w:r>
        <w:rPr>
          <w:sz w:val="42"/>
          <w:szCs w:val="42"/>
        </w:rPr>
        <w:t>阿坝州城乡环境综合治理服务中心单位决算</w:t>
      </w:r>
    </w:p>
    <w:p w14:paraId="34D2D5EB">
      <w:pPr>
        <w:pStyle w:val="13"/>
        <w:jc w:val="center"/>
      </w:pPr>
      <w:r>
        <w:t> </w:t>
      </w:r>
    </w:p>
    <w:p w14:paraId="398DC977">
      <w:pPr>
        <w:pStyle w:val="13"/>
        <w:jc w:val="center"/>
      </w:pPr>
      <w:r>
        <w:t> </w:t>
      </w:r>
    </w:p>
    <w:p w14:paraId="3A27D5BF">
      <w:pPr>
        <w:pStyle w:val="13"/>
        <w:jc w:val="center"/>
      </w:pPr>
      <w:r>
        <w:t> </w:t>
      </w:r>
    </w:p>
    <w:p w14:paraId="76984A0A">
      <w:pPr>
        <w:pStyle w:val="13"/>
        <w:jc w:val="center"/>
      </w:pPr>
      <w:r>
        <w:t> </w:t>
      </w:r>
    </w:p>
    <w:p w14:paraId="717D10F7">
      <w:pPr>
        <w:pStyle w:val="13"/>
        <w:jc w:val="center"/>
      </w:pPr>
      <w:r>
        <w:t> </w:t>
      </w:r>
    </w:p>
    <w:p w14:paraId="1E2EE1D1">
      <w:pPr>
        <w:pStyle w:val="13"/>
        <w:jc w:val="center"/>
      </w:pPr>
      <w:r>
        <w:t> </w:t>
      </w:r>
    </w:p>
    <w:p w14:paraId="667C7571">
      <w:pPr>
        <w:pStyle w:val="13"/>
        <w:jc w:val="center"/>
        <w:rPr>
          <w:rFonts w:hint="eastAsia" w:ascii="仿宋" w:hAnsi="仿宋" w:eastAsia="仿宋" w:cs="仿宋"/>
          <w:sz w:val="32"/>
          <w:szCs w:val="32"/>
        </w:rPr>
      </w:pPr>
      <w:r>
        <w:rPr>
          <w:rFonts w:hint="eastAsia" w:ascii="仿宋" w:hAnsi="仿宋" w:eastAsia="仿宋" w:cs="仿宋"/>
          <w:sz w:val="32"/>
          <w:szCs w:val="32"/>
        </w:rPr>
        <w:t> </w:t>
      </w:r>
    </w:p>
    <w:p w14:paraId="0B8A8097">
      <w:pPr>
        <w:pStyle w:val="13"/>
        <w:jc w:val="center"/>
        <w:rPr>
          <w:rFonts w:hint="eastAsia" w:ascii="仿宋" w:hAnsi="仿宋" w:eastAsia="仿宋" w:cs="仿宋"/>
          <w:sz w:val="32"/>
          <w:szCs w:val="32"/>
        </w:rPr>
      </w:pPr>
      <w:r>
        <w:rPr>
          <w:rFonts w:hint="eastAsia" w:ascii="仿宋" w:hAnsi="仿宋" w:eastAsia="仿宋" w:cs="仿宋"/>
          <w:sz w:val="32"/>
          <w:szCs w:val="32"/>
        </w:rPr>
        <w:t>已经保密审查、内容审定，同意对外公开</w:t>
      </w:r>
    </w:p>
    <w:p w14:paraId="2D4E3102">
      <w:pPr>
        <w:pStyle w:val="13"/>
      </w:pPr>
      <w:r>
        <w:t> </w:t>
      </w:r>
    </w:p>
    <w:p w14:paraId="4A81BF6A">
      <w:pPr>
        <w:pStyle w:val="13"/>
      </w:pPr>
      <w:r>
        <w:t> </w:t>
      </w:r>
    </w:p>
    <w:p w14:paraId="0295864B">
      <w:pPr>
        <w:pStyle w:val="13"/>
        <w:jc w:val="center"/>
      </w:pPr>
      <w:r>
        <w:t> </w:t>
      </w:r>
    </w:p>
    <w:p w14:paraId="39E92E5D">
      <w:pPr>
        <w:pStyle w:val="13"/>
      </w:pPr>
      <w:r>
        <w:t> </w:t>
      </w:r>
    </w:p>
    <w:p w14:paraId="7F8E3710">
      <w:pPr>
        <w:pStyle w:val="13"/>
        <w:jc w:val="center"/>
      </w:pPr>
      <w:r>
        <w:t> </w:t>
      </w:r>
    </w:p>
    <w:p w14:paraId="204FFB65">
      <w:pPr>
        <w:pStyle w:val="13"/>
        <w:jc w:val="center"/>
      </w:pPr>
      <w:r>
        <w:t> </w:t>
      </w:r>
    </w:p>
    <w:p w14:paraId="0815DE78">
      <w:pPr>
        <w:pStyle w:val="13"/>
        <w:jc w:val="center"/>
      </w:pPr>
      <w:r>
        <w:t> </w:t>
      </w:r>
    </w:p>
    <w:p w14:paraId="4C868474">
      <w:pPr>
        <w:pStyle w:val="13"/>
        <w:jc w:val="center"/>
      </w:pPr>
      <w:r>
        <w:rPr/>
        <w:br w:type="textWrapping" w:clear="all"/>
      </w:r>
    </w:p>
    <w:p w14:paraId="622F1482">
      <w:pPr>
        <w:pStyle w:val="13"/>
        <w:jc w:val="center"/>
      </w:pPr>
    </w:p>
    <w:p w14:paraId="7990E6CD">
      <w:pPr>
        <w:pStyle w:val="13"/>
        <w:jc w:val="center"/>
      </w:pPr>
    </w:p>
    <w:p w14:paraId="50AF7392">
      <w:pPr>
        <w:pStyle w:val="13"/>
        <w:jc w:val="center"/>
      </w:pPr>
    </w:p>
    <w:p w14:paraId="2E5D19B4">
      <w:pPr>
        <w:pStyle w:val="13"/>
        <w:jc w:val="center"/>
      </w:pPr>
    </w:p>
    <w:p w14:paraId="1B1E29C9">
      <w:pPr>
        <w:pStyle w:val="13"/>
        <w:jc w:val="center"/>
        <w:rPr>
          <w:sz w:val="52"/>
          <w:szCs w:val="52"/>
        </w:rPr>
      </w:pPr>
      <w:r>
        <w:rPr>
          <w:sz w:val="52"/>
          <w:szCs w:val="52"/>
        </w:rPr>
        <w:t>目录</w:t>
      </w:r>
    </w:p>
    <w:p w14:paraId="6FC4D339">
      <w:pPr>
        <w:pStyle w:val="13"/>
        <w:jc w:val="center"/>
      </w:pPr>
      <w:r>
        <w:t> </w:t>
      </w:r>
    </w:p>
    <w:p w14:paraId="5B873615">
      <w:pPr>
        <w:pStyle w:val="13"/>
        <w:jc w:val="center"/>
      </w:pPr>
      <w:r>
        <w:t>公开时间：2023年</w:t>
      </w:r>
      <w:r>
        <w:rPr>
          <w:rFonts w:hint="eastAsia"/>
          <w:lang w:val="en-US" w:eastAsia="zh-CN"/>
        </w:rPr>
        <w:t>9</w:t>
      </w:r>
      <w:r>
        <w:t> 月 </w:t>
      </w:r>
      <w:r>
        <w:rPr>
          <w:rFonts w:hint="eastAsia"/>
          <w:lang w:val="en-US" w:eastAsia="zh-CN"/>
        </w:rPr>
        <w:t>30</w:t>
      </w:r>
      <w:r>
        <w:t> 日</w:t>
      </w:r>
    </w:p>
    <w:p w14:paraId="0387C90B">
      <w:pPr>
        <w:pStyle w:val="10"/>
        <w:tabs>
          <w:tab w:val="right" w:leader="dot" w:pos="8306"/>
          <w:tab w:val="clear" w:pos="8296"/>
        </w:tabs>
        <w:rPr>
          <w:rFonts w:hint="eastAsia" w:ascii="宋体" w:hAnsi="宋体" w:eastAsia="宋体" w:cs="宋体"/>
          <w:sz w:val="28"/>
          <w:szCs w:val="28"/>
        </w:rPr>
      </w:pPr>
      <w:r>
        <w:t> </w:t>
      </w:r>
      <w:r>
        <w:rPr>
          <w:rFonts w:ascii="仿宋" w:hAnsi="仿宋" w:eastAsia="仿宋"/>
          <w:b/>
          <w:sz w:val="24"/>
        </w:rPr>
        <w:fldChar w:fldCharType="begin"/>
      </w:r>
      <w:r>
        <w:rPr>
          <w:rFonts w:ascii="仿宋" w:hAnsi="仿宋" w:eastAsia="仿宋"/>
          <w:b/>
          <w:sz w:val="24"/>
        </w:rPr>
        <w:instrText xml:space="preserve">TOC \o "1-2" \h \u </w:instrText>
      </w:r>
      <w:r>
        <w:rPr>
          <w:rFonts w:ascii="仿宋" w:hAnsi="仿宋" w:eastAsia="仿宋"/>
          <w:b/>
          <w:sz w:val="24"/>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_Toc470 </w:instrText>
      </w:r>
      <w:r>
        <w:rPr>
          <w:rFonts w:hint="eastAsia" w:ascii="宋体" w:hAnsi="宋体" w:eastAsia="宋体" w:cs="宋体"/>
          <w:sz w:val="28"/>
          <w:szCs w:val="28"/>
        </w:rPr>
        <w:fldChar w:fldCharType="separate"/>
      </w:r>
      <w:r>
        <w:rPr>
          <w:rFonts w:hint="eastAsia" w:ascii="宋体" w:hAnsi="宋体" w:eastAsia="宋体" w:cs="宋体"/>
          <w:sz w:val="28"/>
          <w:szCs w:val="28"/>
        </w:rPr>
        <w:t xml:space="preserve">第一部分 </w:t>
      </w:r>
      <w:r>
        <w:rPr>
          <w:rFonts w:hint="eastAsia" w:ascii="宋体" w:hAnsi="宋体" w:eastAsia="宋体" w:cs="宋体"/>
          <w:bCs w:val="0"/>
          <w:sz w:val="28"/>
          <w:szCs w:val="28"/>
        </w:rPr>
        <w:t>部门概况</w:t>
      </w:r>
      <w:r>
        <w:rPr>
          <w:rFonts w:hint="eastAsia" w:ascii="宋体" w:hAnsi="宋体" w:eastAsia="宋体" w:cs="宋体"/>
          <w:sz w:val="28"/>
          <w:szCs w:val="28"/>
        </w:rPr>
        <w:tab/>
      </w:r>
      <w:r>
        <w:rPr>
          <w:rFonts w:hint="eastAsia" w:ascii="宋体" w:hAnsi="宋体" w:eastAsia="宋体" w:cs="宋体"/>
          <w:sz w:val="28"/>
          <w:szCs w:val="28"/>
          <w:lang w:val="en-US" w:eastAsia="zh-CN"/>
        </w:rPr>
        <w:t>4</w:t>
      </w:r>
      <w:r>
        <w:rPr>
          <w:rFonts w:hint="eastAsia" w:ascii="宋体" w:hAnsi="宋体" w:eastAsia="宋体" w:cs="宋体"/>
          <w:sz w:val="28"/>
          <w:szCs w:val="28"/>
        </w:rPr>
        <w:fldChar w:fldCharType="end"/>
      </w:r>
    </w:p>
    <w:p w14:paraId="7A6F789E">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_Toc16529 </w:instrText>
      </w:r>
      <w:r>
        <w:rPr>
          <w:rFonts w:hint="eastAsia" w:ascii="宋体" w:hAnsi="宋体" w:eastAsia="宋体" w:cs="宋体"/>
          <w:sz w:val="28"/>
          <w:szCs w:val="28"/>
        </w:rPr>
        <w:fldChar w:fldCharType="separate"/>
      </w:r>
      <w:r>
        <w:rPr>
          <w:rFonts w:hint="eastAsia" w:ascii="宋体" w:hAnsi="宋体" w:eastAsia="宋体" w:cs="宋体"/>
          <w:sz w:val="28"/>
          <w:szCs w:val="28"/>
        </w:rPr>
        <w:t>一、基</w:t>
      </w:r>
      <w:r>
        <w:rPr>
          <w:rFonts w:hint="eastAsia" w:ascii="宋体" w:hAnsi="宋体" w:eastAsia="宋体" w:cs="宋体"/>
          <w:bCs w:val="0"/>
          <w:sz w:val="28"/>
          <w:szCs w:val="28"/>
        </w:rPr>
        <w:t>本职能及主要工作</w:t>
      </w:r>
      <w:r>
        <w:rPr>
          <w:rFonts w:hint="eastAsia" w:ascii="宋体" w:hAnsi="宋体" w:eastAsia="宋体" w:cs="宋体"/>
          <w:sz w:val="28"/>
          <w:szCs w:val="28"/>
        </w:rPr>
        <w:tab/>
      </w:r>
      <w:r>
        <w:rPr>
          <w:rFonts w:hint="eastAsia" w:ascii="宋体" w:hAnsi="宋体" w:cs="宋体"/>
          <w:sz w:val="28"/>
          <w:szCs w:val="28"/>
          <w:lang w:val="en-US" w:eastAsia="zh-CN"/>
        </w:rPr>
        <w:t>4</w:t>
      </w:r>
      <w:r>
        <w:rPr>
          <w:rFonts w:hint="eastAsia" w:ascii="宋体" w:hAnsi="宋体" w:eastAsia="宋体" w:cs="宋体"/>
          <w:sz w:val="28"/>
          <w:szCs w:val="28"/>
        </w:rPr>
        <w:fldChar w:fldCharType="end"/>
      </w:r>
    </w:p>
    <w:p w14:paraId="6C090046">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_Toc20550 </w:instrText>
      </w:r>
      <w:r>
        <w:rPr>
          <w:rFonts w:hint="eastAsia" w:ascii="宋体" w:hAnsi="宋体" w:eastAsia="宋体" w:cs="宋体"/>
          <w:sz w:val="28"/>
          <w:szCs w:val="28"/>
        </w:rPr>
        <w:fldChar w:fldCharType="separate"/>
      </w:r>
      <w:r>
        <w:rPr>
          <w:rFonts w:hint="eastAsia" w:ascii="宋体" w:hAnsi="宋体" w:eastAsia="宋体" w:cs="宋体"/>
          <w:sz w:val="28"/>
          <w:szCs w:val="28"/>
        </w:rPr>
        <w:t>二、机</w:t>
      </w:r>
      <w:r>
        <w:rPr>
          <w:rFonts w:hint="eastAsia" w:ascii="宋体" w:hAnsi="宋体" w:eastAsia="宋体" w:cs="宋体"/>
          <w:bCs w:val="0"/>
          <w:sz w:val="28"/>
          <w:szCs w:val="28"/>
        </w:rPr>
        <w:t>构设置</w:t>
      </w:r>
      <w:r>
        <w:rPr>
          <w:rFonts w:hint="eastAsia" w:ascii="宋体" w:hAnsi="宋体" w:eastAsia="宋体" w:cs="宋体"/>
          <w:sz w:val="28"/>
          <w:szCs w:val="28"/>
        </w:rPr>
        <w:tab/>
      </w:r>
      <w:r>
        <w:rPr>
          <w:rFonts w:hint="eastAsia" w:ascii="宋体" w:hAnsi="宋体" w:cs="宋体"/>
          <w:sz w:val="28"/>
          <w:szCs w:val="28"/>
          <w:lang w:val="en-US" w:eastAsia="zh-CN"/>
        </w:rPr>
        <w:t>4</w:t>
      </w:r>
      <w:r>
        <w:rPr>
          <w:rFonts w:hint="eastAsia" w:ascii="宋体" w:hAnsi="宋体" w:eastAsia="宋体" w:cs="宋体"/>
          <w:sz w:val="28"/>
          <w:szCs w:val="28"/>
        </w:rPr>
        <w:fldChar w:fldCharType="end"/>
      </w:r>
    </w:p>
    <w:p w14:paraId="55B544D8">
      <w:pPr>
        <w:pStyle w:val="10"/>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_Toc21220 </w:instrText>
      </w:r>
      <w:r>
        <w:rPr>
          <w:rFonts w:hint="eastAsia" w:ascii="宋体" w:hAnsi="宋体" w:eastAsia="宋体" w:cs="宋体"/>
          <w:sz w:val="28"/>
          <w:szCs w:val="28"/>
        </w:rPr>
        <w:fldChar w:fldCharType="separate"/>
      </w:r>
      <w:r>
        <w:rPr>
          <w:rFonts w:hint="eastAsia" w:ascii="宋体" w:hAnsi="宋体" w:eastAsia="宋体" w:cs="宋体"/>
          <w:sz w:val="28"/>
          <w:szCs w:val="28"/>
        </w:rPr>
        <w:t xml:space="preserve">第二部分 </w:t>
      </w:r>
      <w:r>
        <w:rPr>
          <w:rFonts w:hint="eastAsia" w:ascii="宋体" w:hAnsi="宋体" w:eastAsia="宋体" w:cs="宋体"/>
          <w:bCs w:val="0"/>
          <w:sz w:val="28"/>
          <w:szCs w:val="28"/>
          <w:lang w:eastAsia="zh-CN"/>
        </w:rPr>
        <w:t>2021</w:t>
      </w:r>
      <w:r>
        <w:rPr>
          <w:rFonts w:hint="eastAsia" w:ascii="宋体" w:hAnsi="宋体" w:eastAsia="宋体" w:cs="宋体"/>
          <w:bCs w:val="0"/>
          <w:sz w:val="28"/>
          <w:szCs w:val="28"/>
        </w:rPr>
        <w:t>年度部门决算情况说明</w:t>
      </w:r>
      <w:r>
        <w:rPr>
          <w:rFonts w:hint="eastAsia" w:ascii="宋体" w:hAnsi="宋体" w:eastAsia="宋体" w:cs="宋体"/>
          <w:sz w:val="28"/>
          <w:szCs w:val="28"/>
        </w:rPr>
        <w:tab/>
      </w:r>
      <w:r>
        <w:rPr>
          <w:rFonts w:hint="eastAsia" w:ascii="宋体" w:hAnsi="宋体" w:eastAsia="宋体" w:cs="宋体"/>
          <w:sz w:val="28"/>
          <w:szCs w:val="28"/>
          <w:lang w:val="en-US" w:eastAsia="zh-CN"/>
        </w:rPr>
        <w:t>5</w:t>
      </w:r>
      <w:r>
        <w:rPr>
          <w:rFonts w:hint="eastAsia" w:ascii="宋体" w:hAnsi="宋体" w:eastAsia="宋体" w:cs="宋体"/>
          <w:sz w:val="28"/>
          <w:szCs w:val="28"/>
        </w:rPr>
        <w:fldChar w:fldCharType="end"/>
      </w:r>
    </w:p>
    <w:p w14:paraId="2112D9F8">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_Toc13704 </w:instrText>
      </w:r>
      <w:r>
        <w:rPr>
          <w:rFonts w:hint="eastAsia" w:ascii="宋体" w:hAnsi="宋体" w:eastAsia="宋体" w:cs="宋体"/>
          <w:sz w:val="28"/>
          <w:szCs w:val="28"/>
        </w:rPr>
        <w:fldChar w:fldCharType="separate"/>
      </w:r>
      <w:r>
        <w:rPr>
          <w:rFonts w:hint="eastAsia" w:ascii="宋体" w:hAnsi="宋体" w:eastAsia="宋体" w:cs="宋体"/>
          <w:sz w:val="28"/>
          <w:szCs w:val="28"/>
        </w:rPr>
        <w:t>一、 收入支出决算总体情况说明</w:t>
      </w:r>
      <w:r>
        <w:rPr>
          <w:rFonts w:hint="eastAsia" w:ascii="宋体" w:hAnsi="宋体" w:eastAsia="宋体" w:cs="宋体"/>
          <w:sz w:val="28"/>
          <w:szCs w:val="28"/>
        </w:rPr>
        <w:tab/>
      </w:r>
      <w:r>
        <w:rPr>
          <w:rFonts w:hint="eastAsia" w:ascii="宋体" w:hAnsi="宋体" w:cs="宋体"/>
          <w:sz w:val="28"/>
          <w:szCs w:val="28"/>
          <w:lang w:val="en-US" w:eastAsia="zh-CN"/>
        </w:rPr>
        <w:t>5</w:t>
      </w:r>
      <w:r>
        <w:rPr>
          <w:rFonts w:hint="eastAsia" w:ascii="宋体" w:hAnsi="宋体" w:eastAsia="宋体" w:cs="宋体"/>
          <w:sz w:val="28"/>
          <w:szCs w:val="28"/>
        </w:rPr>
        <w:fldChar w:fldCharType="end"/>
      </w:r>
    </w:p>
    <w:p w14:paraId="2D22A672">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_Toc3865 </w:instrText>
      </w:r>
      <w:r>
        <w:rPr>
          <w:rFonts w:hint="eastAsia" w:ascii="宋体" w:hAnsi="宋体" w:eastAsia="宋体" w:cs="宋体"/>
          <w:sz w:val="28"/>
          <w:szCs w:val="28"/>
        </w:rPr>
        <w:fldChar w:fldCharType="separate"/>
      </w:r>
      <w:r>
        <w:rPr>
          <w:rFonts w:hint="eastAsia" w:ascii="宋体" w:hAnsi="宋体" w:eastAsia="宋体" w:cs="宋体"/>
          <w:sz w:val="28"/>
          <w:szCs w:val="28"/>
        </w:rPr>
        <w:t>二、 收入决算情况说明</w:t>
      </w:r>
      <w:r>
        <w:rPr>
          <w:rFonts w:hint="eastAsia" w:ascii="宋体" w:hAnsi="宋体" w:eastAsia="宋体" w:cs="宋体"/>
          <w:sz w:val="28"/>
          <w:szCs w:val="28"/>
        </w:rPr>
        <w:tab/>
      </w:r>
      <w:r>
        <w:rPr>
          <w:rFonts w:hint="eastAsia" w:ascii="宋体" w:hAnsi="宋体" w:cs="宋体"/>
          <w:sz w:val="28"/>
          <w:szCs w:val="28"/>
          <w:lang w:val="en-US" w:eastAsia="zh-CN"/>
        </w:rPr>
        <w:t>5</w:t>
      </w:r>
      <w:r>
        <w:rPr>
          <w:rFonts w:hint="eastAsia" w:ascii="宋体" w:hAnsi="宋体" w:eastAsia="宋体" w:cs="宋体"/>
          <w:sz w:val="28"/>
          <w:szCs w:val="28"/>
        </w:rPr>
        <w:fldChar w:fldCharType="end"/>
      </w:r>
    </w:p>
    <w:p w14:paraId="016DA64C">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_Toc5464 </w:instrText>
      </w:r>
      <w:r>
        <w:rPr>
          <w:rFonts w:hint="eastAsia" w:ascii="宋体" w:hAnsi="宋体" w:eastAsia="宋体" w:cs="宋体"/>
          <w:sz w:val="28"/>
          <w:szCs w:val="28"/>
        </w:rPr>
        <w:fldChar w:fldCharType="separate"/>
      </w:r>
      <w:r>
        <w:rPr>
          <w:rFonts w:hint="eastAsia" w:ascii="宋体" w:hAnsi="宋体" w:eastAsia="宋体" w:cs="宋体"/>
          <w:sz w:val="28"/>
          <w:szCs w:val="28"/>
        </w:rPr>
        <w:t>三、 支出决算情况说明</w:t>
      </w:r>
      <w:r>
        <w:rPr>
          <w:rFonts w:hint="eastAsia" w:ascii="宋体" w:hAnsi="宋体" w:eastAsia="宋体" w:cs="宋体"/>
          <w:sz w:val="28"/>
          <w:szCs w:val="28"/>
        </w:rPr>
        <w:tab/>
      </w:r>
      <w:r>
        <w:rPr>
          <w:rFonts w:hint="eastAsia" w:ascii="宋体" w:hAnsi="宋体" w:cs="宋体"/>
          <w:sz w:val="28"/>
          <w:szCs w:val="28"/>
          <w:lang w:val="en-US" w:eastAsia="zh-CN"/>
        </w:rPr>
        <w:t>6</w:t>
      </w:r>
      <w:r>
        <w:rPr>
          <w:rFonts w:hint="eastAsia" w:ascii="宋体" w:hAnsi="宋体" w:eastAsia="宋体" w:cs="宋体"/>
          <w:sz w:val="28"/>
          <w:szCs w:val="28"/>
        </w:rPr>
        <w:fldChar w:fldCharType="end"/>
      </w:r>
    </w:p>
    <w:p w14:paraId="2ACE68B5">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_Toc4732 </w:instrText>
      </w:r>
      <w:r>
        <w:rPr>
          <w:rFonts w:hint="eastAsia" w:ascii="宋体" w:hAnsi="宋体" w:eastAsia="宋体" w:cs="宋体"/>
          <w:sz w:val="28"/>
          <w:szCs w:val="28"/>
        </w:rPr>
        <w:fldChar w:fldCharType="separate"/>
      </w:r>
      <w:r>
        <w:rPr>
          <w:rFonts w:hint="eastAsia" w:ascii="宋体" w:hAnsi="宋体" w:eastAsia="宋体" w:cs="宋体"/>
          <w:sz w:val="28"/>
          <w:szCs w:val="28"/>
        </w:rPr>
        <w:t>四、财政拨款收入支出决算总体情况说明</w:t>
      </w:r>
      <w:r>
        <w:rPr>
          <w:rFonts w:hint="eastAsia" w:ascii="宋体" w:hAnsi="宋体" w:eastAsia="宋体" w:cs="宋体"/>
          <w:sz w:val="28"/>
          <w:szCs w:val="28"/>
        </w:rPr>
        <w:tab/>
      </w:r>
      <w:r>
        <w:rPr>
          <w:rFonts w:hint="eastAsia" w:ascii="宋体" w:hAnsi="宋体" w:cs="宋体"/>
          <w:sz w:val="28"/>
          <w:szCs w:val="28"/>
          <w:lang w:val="en-US" w:eastAsia="zh-CN"/>
        </w:rPr>
        <w:t>7</w:t>
      </w:r>
      <w:r>
        <w:rPr>
          <w:rFonts w:hint="eastAsia" w:ascii="宋体" w:hAnsi="宋体" w:eastAsia="宋体" w:cs="宋体"/>
          <w:sz w:val="28"/>
          <w:szCs w:val="28"/>
        </w:rPr>
        <w:fldChar w:fldCharType="end"/>
      </w:r>
    </w:p>
    <w:p w14:paraId="54FB9A76">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_Toc17288 </w:instrText>
      </w:r>
      <w:r>
        <w:rPr>
          <w:rFonts w:hint="eastAsia" w:ascii="宋体" w:hAnsi="宋体" w:eastAsia="宋体" w:cs="宋体"/>
          <w:sz w:val="28"/>
          <w:szCs w:val="28"/>
        </w:rPr>
        <w:fldChar w:fldCharType="separate"/>
      </w:r>
      <w:r>
        <w:rPr>
          <w:rFonts w:hint="eastAsia" w:ascii="宋体" w:hAnsi="宋体" w:eastAsia="宋体" w:cs="宋体"/>
          <w:sz w:val="28"/>
          <w:szCs w:val="28"/>
        </w:rPr>
        <w:t>五、一般公共预算财政拨款支出决算情况说明</w:t>
      </w:r>
      <w:r>
        <w:rPr>
          <w:rFonts w:hint="eastAsia" w:ascii="宋体" w:hAnsi="宋体" w:eastAsia="宋体" w:cs="宋体"/>
          <w:sz w:val="28"/>
          <w:szCs w:val="28"/>
        </w:rPr>
        <w:tab/>
      </w:r>
      <w:r>
        <w:rPr>
          <w:rFonts w:hint="eastAsia" w:ascii="宋体" w:hAnsi="宋体" w:cs="宋体"/>
          <w:sz w:val="28"/>
          <w:szCs w:val="28"/>
          <w:lang w:val="en-US" w:eastAsia="zh-CN"/>
        </w:rPr>
        <w:t>7</w:t>
      </w:r>
      <w:r>
        <w:rPr>
          <w:rFonts w:hint="eastAsia" w:ascii="宋体" w:hAnsi="宋体" w:eastAsia="宋体" w:cs="宋体"/>
          <w:sz w:val="28"/>
          <w:szCs w:val="28"/>
        </w:rPr>
        <w:fldChar w:fldCharType="end"/>
      </w:r>
    </w:p>
    <w:p w14:paraId="29B7447C">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_Toc21288 </w:instrText>
      </w:r>
      <w:r>
        <w:rPr>
          <w:rFonts w:hint="eastAsia" w:ascii="宋体" w:hAnsi="宋体" w:eastAsia="宋体" w:cs="宋体"/>
          <w:sz w:val="28"/>
          <w:szCs w:val="28"/>
        </w:rPr>
        <w:fldChar w:fldCharType="separate"/>
      </w:r>
      <w:r>
        <w:rPr>
          <w:rFonts w:hint="eastAsia" w:ascii="宋体" w:hAnsi="宋体" w:eastAsia="宋体" w:cs="宋体"/>
          <w:sz w:val="28"/>
          <w:szCs w:val="28"/>
        </w:rPr>
        <w:t>六、一般公共预算财政拨款基本支出决算情况说明</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0</w:t>
      </w:r>
    </w:p>
    <w:p w14:paraId="5B4D1489">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_Toc17438 </w:instrText>
      </w:r>
      <w:r>
        <w:rPr>
          <w:rFonts w:hint="eastAsia" w:ascii="宋体" w:hAnsi="宋体" w:eastAsia="宋体" w:cs="宋体"/>
          <w:sz w:val="28"/>
          <w:szCs w:val="28"/>
        </w:rPr>
        <w:fldChar w:fldCharType="separate"/>
      </w:r>
      <w:r>
        <w:rPr>
          <w:rFonts w:hint="eastAsia" w:ascii="宋体" w:hAnsi="宋体" w:eastAsia="宋体" w:cs="宋体"/>
          <w:sz w:val="28"/>
          <w:szCs w:val="28"/>
        </w:rPr>
        <w:t>七、“三公”经费财政拨款支出决算情况说明</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1</w:t>
      </w:r>
    </w:p>
    <w:p w14:paraId="6FF159B1">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_Toc31073 </w:instrText>
      </w:r>
      <w:r>
        <w:rPr>
          <w:rFonts w:hint="eastAsia" w:ascii="宋体" w:hAnsi="宋体" w:eastAsia="宋体" w:cs="宋体"/>
          <w:sz w:val="28"/>
          <w:szCs w:val="28"/>
        </w:rPr>
        <w:fldChar w:fldCharType="separate"/>
      </w:r>
      <w:r>
        <w:rPr>
          <w:rFonts w:hint="eastAsia" w:ascii="宋体" w:hAnsi="宋体" w:eastAsia="宋体" w:cs="宋体"/>
          <w:sz w:val="28"/>
          <w:szCs w:val="28"/>
        </w:rPr>
        <w:t>八、政府性基金预算支出决算情况说明</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2</w:t>
      </w:r>
    </w:p>
    <w:p w14:paraId="0C02758F">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_Toc28869 </w:instrText>
      </w:r>
      <w:r>
        <w:rPr>
          <w:rFonts w:hint="eastAsia" w:ascii="宋体" w:hAnsi="宋体" w:eastAsia="宋体" w:cs="宋体"/>
          <w:sz w:val="28"/>
          <w:szCs w:val="28"/>
        </w:rPr>
        <w:fldChar w:fldCharType="separate"/>
      </w:r>
      <w:r>
        <w:rPr>
          <w:rFonts w:hint="eastAsia" w:ascii="宋体" w:hAnsi="宋体" w:eastAsia="宋体" w:cs="宋体"/>
          <w:sz w:val="28"/>
          <w:szCs w:val="28"/>
        </w:rPr>
        <w:t>九、 国有资本经营预算支出决算情况说明</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2</w:t>
      </w:r>
    </w:p>
    <w:p w14:paraId="1DD82B67">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_Toc24620 </w:instrText>
      </w:r>
      <w:r>
        <w:rPr>
          <w:rFonts w:hint="eastAsia" w:ascii="宋体" w:hAnsi="宋体" w:eastAsia="宋体" w:cs="宋体"/>
          <w:sz w:val="28"/>
          <w:szCs w:val="28"/>
        </w:rPr>
        <w:fldChar w:fldCharType="separate"/>
      </w:r>
      <w:r>
        <w:rPr>
          <w:rFonts w:hint="eastAsia" w:ascii="宋体" w:hAnsi="宋体" w:eastAsia="宋体" w:cs="宋体"/>
          <w:sz w:val="28"/>
          <w:szCs w:val="28"/>
        </w:rPr>
        <w:t>十、其他重要事项的情况说明</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2</w:t>
      </w:r>
    </w:p>
    <w:p w14:paraId="4A885344">
      <w:pPr>
        <w:pStyle w:val="10"/>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_Toc4787 </w:instrText>
      </w:r>
      <w:r>
        <w:rPr>
          <w:rFonts w:hint="eastAsia" w:ascii="宋体" w:hAnsi="宋体" w:eastAsia="宋体" w:cs="宋体"/>
          <w:sz w:val="28"/>
          <w:szCs w:val="28"/>
        </w:rPr>
        <w:fldChar w:fldCharType="separate"/>
      </w:r>
      <w:r>
        <w:rPr>
          <w:rFonts w:hint="eastAsia" w:ascii="宋体" w:hAnsi="宋体" w:eastAsia="宋体" w:cs="宋体"/>
          <w:sz w:val="28"/>
          <w:szCs w:val="28"/>
        </w:rPr>
        <w:t>第三部分 名词解释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_Toc4787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54B9109">
      <w:pPr>
        <w:pStyle w:val="10"/>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_Toc13468 </w:instrText>
      </w:r>
      <w:r>
        <w:rPr>
          <w:rFonts w:hint="eastAsia" w:ascii="宋体" w:hAnsi="宋体" w:eastAsia="宋体" w:cs="宋体"/>
          <w:sz w:val="28"/>
          <w:szCs w:val="28"/>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四</w:t>
      </w:r>
      <w:r>
        <w:rPr>
          <w:rFonts w:hint="eastAsia" w:ascii="宋体" w:hAnsi="宋体" w:eastAsia="宋体" w:cs="宋体"/>
          <w:sz w:val="28"/>
          <w:szCs w:val="28"/>
        </w:rPr>
        <w:t>部分 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_Toc13468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BE4FF31">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_Toc12116 </w:instrText>
      </w:r>
      <w:r>
        <w:rPr>
          <w:rFonts w:hint="eastAsia" w:ascii="宋体" w:hAnsi="宋体" w:eastAsia="宋体" w:cs="宋体"/>
          <w:sz w:val="28"/>
          <w:szCs w:val="28"/>
        </w:rPr>
        <w:fldChar w:fldCharType="separate"/>
      </w:r>
      <w:r>
        <w:rPr>
          <w:rFonts w:hint="eastAsia" w:ascii="宋体" w:hAnsi="宋体" w:eastAsia="宋体" w:cs="宋体"/>
          <w:sz w:val="28"/>
          <w:szCs w:val="28"/>
        </w:rPr>
        <w:t>一、收</w:t>
      </w:r>
      <w:r>
        <w:rPr>
          <w:rFonts w:hint="eastAsia" w:ascii="宋体" w:hAnsi="宋体" w:eastAsia="宋体" w:cs="宋体"/>
          <w:bCs w:val="0"/>
          <w:sz w:val="28"/>
          <w:szCs w:val="28"/>
        </w:rPr>
        <w:t>入支出决算总表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_Toc12116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B9D5FCD">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_Toc14079 </w:instrText>
      </w:r>
      <w:r>
        <w:rPr>
          <w:rFonts w:hint="eastAsia" w:ascii="宋体" w:hAnsi="宋体" w:eastAsia="宋体" w:cs="宋体"/>
          <w:sz w:val="28"/>
          <w:szCs w:val="28"/>
        </w:rPr>
        <w:fldChar w:fldCharType="separate"/>
      </w:r>
      <w:r>
        <w:rPr>
          <w:rFonts w:hint="eastAsia" w:ascii="宋体" w:hAnsi="宋体" w:eastAsia="宋体" w:cs="宋体"/>
          <w:sz w:val="28"/>
          <w:szCs w:val="28"/>
        </w:rPr>
        <w:t>二、收</w:t>
      </w:r>
      <w:r>
        <w:rPr>
          <w:rFonts w:hint="eastAsia" w:ascii="宋体" w:hAnsi="宋体" w:eastAsia="宋体" w:cs="宋体"/>
          <w:bCs w:val="0"/>
          <w:sz w:val="28"/>
          <w:szCs w:val="28"/>
        </w:rPr>
        <w:t>入决算表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_Toc14079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8C3791F">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_Toc11511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三、</w:t>
      </w:r>
      <w:r>
        <w:rPr>
          <w:rFonts w:hint="eastAsia" w:ascii="宋体" w:hAnsi="宋体" w:eastAsia="宋体" w:cs="宋体"/>
          <w:sz w:val="28"/>
          <w:szCs w:val="28"/>
        </w:rPr>
        <w:t>支</w:t>
      </w:r>
      <w:r>
        <w:rPr>
          <w:rFonts w:hint="eastAsia" w:ascii="宋体" w:hAnsi="宋体" w:eastAsia="宋体" w:cs="宋体"/>
          <w:bCs w:val="0"/>
          <w:sz w:val="28"/>
          <w:szCs w:val="28"/>
        </w:rPr>
        <w:t>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_Toc11511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4D3FEB6">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_Toc1750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四、</w:t>
      </w:r>
      <w:r>
        <w:rPr>
          <w:rFonts w:hint="eastAsia" w:ascii="宋体" w:hAnsi="宋体" w:eastAsia="宋体" w:cs="宋体"/>
          <w:sz w:val="28"/>
          <w:szCs w:val="28"/>
        </w:rPr>
        <w:t>财</w:t>
      </w:r>
      <w:r>
        <w:rPr>
          <w:rFonts w:hint="eastAsia" w:ascii="宋体" w:hAnsi="宋体" w:eastAsia="宋体" w:cs="宋体"/>
          <w:bCs w:val="0"/>
          <w:sz w:val="28"/>
          <w:szCs w:val="28"/>
        </w:rPr>
        <w:t>政拨款收入支出决算总表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_Toc1750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45BB971">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_Toc24025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五、</w:t>
      </w:r>
      <w:r>
        <w:rPr>
          <w:rFonts w:hint="eastAsia" w:ascii="宋体" w:hAnsi="宋体" w:eastAsia="宋体" w:cs="宋体"/>
          <w:sz w:val="28"/>
          <w:szCs w:val="28"/>
        </w:rPr>
        <w:t>财</w:t>
      </w:r>
      <w:r>
        <w:rPr>
          <w:rFonts w:hint="eastAsia" w:ascii="宋体" w:hAnsi="宋体" w:eastAsia="宋体" w:cs="宋体"/>
          <w:bCs w:val="0"/>
          <w:sz w:val="28"/>
          <w:szCs w:val="28"/>
        </w:rPr>
        <w:t>政拨款支出决算明细表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_Toc24025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9034364">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_Toc8992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六、</w:t>
      </w:r>
      <w:r>
        <w:rPr>
          <w:rFonts w:hint="eastAsia" w:ascii="宋体" w:hAnsi="宋体" w:eastAsia="宋体" w:cs="宋体"/>
          <w:sz w:val="28"/>
          <w:szCs w:val="28"/>
        </w:rPr>
        <w:t>一</w:t>
      </w:r>
      <w:r>
        <w:rPr>
          <w:rFonts w:hint="eastAsia" w:ascii="宋体" w:hAnsi="宋体" w:eastAsia="宋体" w:cs="宋体"/>
          <w:bCs w:val="0"/>
          <w:sz w:val="28"/>
          <w:szCs w:val="28"/>
        </w:rPr>
        <w:t>般公共预算财政拨款支出决算表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_Toc8992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E3346F1">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_Toc19405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七、</w:t>
      </w:r>
      <w:r>
        <w:rPr>
          <w:rFonts w:hint="eastAsia" w:ascii="宋体" w:hAnsi="宋体" w:eastAsia="宋体" w:cs="宋体"/>
          <w:sz w:val="28"/>
          <w:szCs w:val="28"/>
        </w:rPr>
        <w:t>一</w:t>
      </w:r>
      <w:r>
        <w:rPr>
          <w:rFonts w:hint="eastAsia" w:ascii="宋体" w:hAnsi="宋体" w:eastAsia="宋体" w:cs="宋体"/>
          <w:bCs w:val="0"/>
          <w:sz w:val="28"/>
          <w:szCs w:val="28"/>
        </w:rPr>
        <w:t>般公共预算财政拨款支出决算明细表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_Toc19405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F5EB8B1">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_Toc8684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八、</w:t>
      </w:r>
      <w:r>
        <w:rPr>
          <w:rFonts w:hint="eastAsia" w:ascii="宋体" w:hAnsi="宋体" w:eastAsia="宋体" w:cs="宋体"/>
          <w:sz w:val="28"/>
          <w:szCs w:val="28"/>
        </w:rPr>
        <w:t>一</w:t>
      </w:r>
      <w:r>
        <w:rPr>
          <w:rFonts w:hint="eastAsia" w:ascii="宋体" w:hAnsi="宋体" w:eastAsia="宋体" w:cs="宋体"/>
          <w:bCs w:val="0"/>
          <w:sz w:val="28"/>
          <w:szCs w:val="28"/>
        </w:rPr>
        <w:t>般公共预算财政拨款基本支出决算表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_Toc8684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BFBFCAA">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_Toc16903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九、</w:t>
      </w:r>
      <w:r>
        <w:rPr>
          <w:rFonts w:hint="eastAsia" w:ascii="宋体" w:hAnsi="宋体" w:eastAsia="宋体" w:cs="宋体"/>
          <w:sz w:val="28"/>
          <w:szCs w:val="28"/>
        </w:rPr>
        <w:t>一</w:t>
      </w:r>
      <w:r>
        <w:rPr>
          <w:rFonts w:hint="eastAsia" w:ascii="宋体" w:hAnsi="宋体" w:eastAsia="宋体" w:cs="宋体"/>
          <w:bCs w:val="0"/>
          <w:sz w:val="28"/>
          <w:szCs w:val="28"/>
        </w:rPr>
        <w:t>般公共预算财政拨款项目支出决算表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_Toc16903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86D9CC2">
      <w:pPr>
        <w:pStyle w:val="12"/>
        <w:tabs>
          <w:tab w:val="right" w:leader="dot" w:pos="8306"/>
          <w:tab w:val="clear" w:pos="829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_Toc384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十、</w:t>
      </w:r>
      <w:r>
        <w:rPr>
          <w:rFonts w:hint="eastAsia" w:ascii="宋体" w:hAnsi="宋体" w:eastAsia="宋体" w:cs="宋体"/>
          <w:sz w:val="28"/>
          <w:szCs w:val="28"/>
        </w:rPr>
        <w:t>一</w:t>
      </w:r>
      <w:r>
        <w:rPr>
          <w:rFonts w:hint="eastAsia" w:ascii="宋体" w:hAnsi="宋体" w:eastAsia="宋体" w:cs="宋体"/>
          <w:bCs w:val="0"/>
          <w:sz w:val="28"/>
          <w:szCs w:val="28"/>
        </w:rPr>
        <w:t>般公共预算财政拨款“三公”经费支出决算表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_Toc384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6BEFBC3">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_Toc3629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十一、</w:t>
      </w:r>
      <w:r>
        <w:rPr>
          <w:rFonts w:hint="eastAsia" w:ascii="宋体" w:hAnsi="宋体" w:eastAsia="宋体" w:cs="宋体"/>
          <w:sz w:val="28"/>
          <w:szCs w:val="28"/>
        </w:rPr>
        <w:t>政</w:t>
      </w:r>
      <w:r>
        <w:rPr>
          <w:rFonts w:hint="eastAsia" w:ascii="宋体" w:hAnsi="宋体" w:eastAsia="宋体" w:cs="宋体"/>
          <w:bCs w:val="0"/>
          <w:sz w:val="28"/>
          <w:szCs w:val="28"/>
        </w:rPr>
        <w:t>府性基金预算财政拨款收入支出决算表</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6</w:t>
      </w:r>
    </w:p>
    <w:p w14:paraId="560CEF70">
      <w:pPr>
        <w:pStyle w:val="12"/>
        <w:tabs>
          <w:tab w:val="right" w:leader="dot" w:pos="8306"/>
          <w:tab w:val="clear" w:pos="8296"/>
        </w:tabs>
        <w:rPr>
          <w:rFonts w:hint="eastAsia" w:ascii="宋体" w:hAnsi="宋体" w:eastAsia="宋体" w:cs="宋体"/>
          <w:sz w:val="28"/>
          <w:szCs w:val="28"/>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_Toc18317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十二、</w:t>
      </w:r>
      <w:r>
        <w:rPr>
          <w:rFonts w:hint="eastAsia" w:ascii="宋体" w:hAnsi="宋体" w:eastAsia="宋体" w:cs="宋体"/>
          <w:sz w:val="28"/>
          <w:szCs w:val="28"/>
        </w:rPr>
        <w:t>政</w:t>
      </w:r>
      <w:r>
        <w:rPr>
          <w:rFonts w:hint="eastAsia" w:ascii="宋体" w:hAnsi="宋体" w:eastAsia="宋体" w:cs="宋体"/>
          <w:bCs w:val="0"/>
          <w:sz w:val="28"/>
          <w:szCs w:val="28"/>
        </w:rPr>
        <w:t>府性基金预算财政拨款“三公”经费支出决算表</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6</w:t>
      </w:r>
    </w:p>
    <w:p w14:paraId="0BEC9CF8">
      <w:pPr>
        <w:pStyle w:val="12"/>
        <w:tabs>
          <w:tab w:val="right" w:leader="dot" w:pos="8306"/>
          <w:tab w:val="clear" w:pos="8296"/>
        </w:tabs>
        <w:rPr>
          <w:rFonts w:hint="eastAsia" w:eastAsia="宋体"/>
          <w:lang w:val="en-US"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_Toc31528 </w:instrText>
      </w:r>
      <w:r>
        <w:rPr>
          <w:rFonts w:hint="eastAsia" w:ascii="宋体" w:hAnsi="宋体" w:eastAsia="宋体" w:cs="宋体"/>
          <w:sz w:val="28"/>
          <w:szCs w:val="28"/>
        </w:rPr>
        <w:fldChar w:fldCharType="separate"/>
      </w:r>
      <w:r>
        <w:rPr>
          <w:rFonts w:hint="eastAsia" w:ascii="宋体" w:hAnsi="宋体" w:eastAsia="宋体" w:cs="宋体"/>
          <w:bCs w:val="0"/>
          <w:sz w:val="28"/>
          <w:szCs w:val="28"/>
        </w:rPr>
        <w:t>十三、</w:t>
      </w:r>
      <w:r>
        <w:rPr>
          <w:rFonts w:hint="eastAsia" w:ascii="宋体" w:hAnsi="宋体" w:eastAsia="宋体" w:cs="宋体"/>
          <w:sz w:val="28"/>
          <w:szCs w:val="28"/>
        </w:rPr>
        <w:t>国</w:t>
      </w:r>
      <w:r>
        <w:rPr>
          <w:rFonts w:hint="eastAsia" w:ascii="宋体" w:hAnsi="宋体" w:eastAsia="宋体" w:cs="宋体"/>
          <w:bCs w:val="0"/>
          <w:sz w:val="28"/>
          <w:szCs w:val="28"/>
        </w:rPr>
        <w:t>有资本经营预算支出决算表</w:t>
      </w:r>
      <w:r>
        <w:rPr>
          <w:rFonts w:hint="eastAsia" w:ascii="宋体" w:hAnsi="宋体" w:eastAsia="宋体" w:cs="宋体"/>
          <w:sz w:val="28"/>
          <w:szCs w:val="28"/>
        </w:rPr>
        <w:tab/>
      </w:r>
      <w:r>
        <w:rPr>
          <w:rFonts w:hint="eastAsia" w:ascii="宋体" w:hAnsi="宋体" w:cs="宋体"/>
          <w:sz w:val="28"/>
          <w:szCs w:val="28"/>
          <w:lang w:val="en-US" w:eastAsia="zh-CN"/>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6</w:t>
      </w:r>
    </w:p>
    <w:p w14:paraId="66C9FF8E">
      <w:pPr>
        <w:widowControl/>
        <w:suppressAutoHyphens/>
        <w:spacing w:line="440" w:lineRule="exact"/>
        <w:jc w:val="left"/>
        <w:rPr>
          <w:rFonts w:ascii="仿宋" w:hAnsi="仿宋" w:eastAsia="仿宋"/>
        </w:rPr>
        <w:sectPr>
          <w:footerReference r:id="rId5" w:type="first"/>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p>
    <w:p w14:paraId="38B317A5">
      <w:pPr>
        <w:pStyle w:val="22"/>
        <w:bidi w:val="0"/>
        <w:ind w:left="0" w:leftChars="0" w:firstLine="0" w:firstLineChars="0"/>
      </w:pPr>
      <w:r>
        <w:rPr>
          <w:rFonts w:ascii="仿宋" w:hAnsi="仿宋" w:eastAsia="仿宋"/>
        </w:rPr>
        <w:fldChar w:fldCharType="end"/>
      </w:r>
    </w:p>
    <w:p w14:paraId="48FB4102">
      <w:pPr>
        <w:pStyle w:val="13"/>
        <w:jc w:val="left"/>
      </w:pPr>
      <w:r>
        <w:t> </w:t>
      </w:r>
    </w:p>
    <w:p w14:paraId="55445AB9">
      <w:pPr>
        <w:pStyle w:val="3"/>
        <w:jc w:val="center"/>
        <w:outlineLvl w:val="0"/>
      </w:pPr>
      <w:r>
        <w:rPr>
          <w:kern w:val="36"/>
          <w:sz w:val="48"/>
        </w:rPr>
        <w:t>第一部分 单位概况</w:t>
      </w:r>
    </w:p>
    <w:p w14:paraId="36A50FBC">
      <w:pPr>
        <w:pStyle w:val="4"/>
        <w:outlineLvl w:val="1"/>
        <w:rPr>
          <w:sz w:val="36"/>
        </w:rPr>
      </w:pPr>
      <w:r>
        <w:rPr>
          <w:sz w:val="36"/>
        </w:rPr>
        <w:t>一、主要职责</w:t>
      </w:r>
    </w:p>
    <w:p w14:paraId="28EC8B8C">
      <w:pPr>
        <w:pStyle w:val="7"/>
        <w:adjustRightInd w:val="0"/>
        <w:snapToGrid w:val="0"/>
        <w:spacing w:before="93" w:line="600" w:lineRule="exact"/>
        <w:ind w:firstLine="668" w:firstLineChars="209"/>
        <w:outlineLvl w:val="2"/>
        <w:rPr>
          <w:rFonts w:ascii="仿宋_GB2312" w:eastAsia="仿宋_GB2312"/>
          <w:sz w:val="32"/>
          <w:szCs w:val="32"/>
          <w:lang w:val="en-US" w:eastAsia="zh-CN"/>
        </w:rPr>
      </w:pPr>
      <w:r>
        <w:rPr>
          <w:rFonts w:hint="eastAsia" w:ascii="仿宋_GB2312" w:hAnsi="仿宋" w:eastAsia="仿宋_GB2312"/>
          <w:sz w:val="32"/>
          <w:szCs w:val="32"/>
          <w:lang w:val="en-US" w:eastAsia="zh-CN"/>
        </w:rPr>
        <w:t>阿坝州城乡环境综合治理服务中心、阿坝州房产交易中心</w:t>
      </w:r>
      <w:r>
        <w:rPr>
          <w:rFonts w:hint="eastAsia" w:ascii="仿宋_GB2312" w:hAnsi="仿宋" w:eastAsia="仿宋_GB2312"/>
          <w:sz w:val="32"/>
          <w:szCs w:val="32"/>
        </w:rPr>
        <w:t>根据</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中共阿坝州委机构编制委员会关于调整州住房和城乡建设局所属事业单位有关机构编制事项的通知</w:t>
      </w:r>
      <w:r>
        <w:rPr>
          <w:rFonts w:hint="eastAsia" w:ascii="仿宋_GB2312" w:hAnsi="仿宋" w:eastAsia="仿宋_GB2312"/>
          <w:sz w:val="32"/>
          <w:szCs w:val="32"/>
          <w:lang w:eastAsia="zh-CN"/>
        </w:rPr>
        <w:t>》（</w:t>
      </w:r>
      <w:r>
        <w:rPr>
          <w:rFonts w:hint="eastAsia" w:ascii="仿宋_GB2312" w:hAnsi="仿宋" w:eastAsia="仿宋_GB2312"/>
          <w:sz w:val="32"/>
          <w:szCs w:val="32"/>
        </w:rPr>
        <w:t>阿编发[</w:t>
      </w:r>
      <w:r>
        <w:rPr>
          <w:rFonts w:hint="eastAsia" w:hAnsi="仿宋"/>
          <w:sz w:val="32"/>
          <w:szCs w:val="32"/>
          <w:lang w:eastAsia="zh-CN"/>
        </w:rPr>
        <w:t>20</w:t>
      </w:r>
      <w:r>
        <w:rPr>
          <w:rFonts w:hint="eastAsia" w:hAnsi="仿宋"/>
          <w:sz w:val="32"/>
          <w:szCs w:val="32"/>
          <w:lang w:val="en-US" w:eastAsia="zh-CN"/>
        </w:rPr>
        <w:t>19</w:t>
      </w:r>
      <w:r>
        <w:rPr>
          <w:rFonts w:hint="eastAsia" w:ascii="仿宋_GB2312" w:hAnsi="仿宋" w:eastAsia="仿宋_GB2312"/>
          <w:sz w:val="32"/>
          <w:szCs w:val="32"/>
        </w:rPr>
        <w:t>]5</w:t>
      </w:r>
      <w:r>
        <w:rPr>
          <w:rFonts w:hint="eastAsia" w:ascii="仿宋_GB2312" w:hAnsi="仿宋" w:eastAsia="仿宋_GB2312"/>
          <w:sz w:val="32"/>
          <w:szCs w:val="32"/>
          <w:lang w:val="en-US" w:eastAsia="zh-CN"/>
        </w:rPr>
        <w:t>3</w:t>
      </w:r>
      <w:r>
        <w:rPr>
          <w:rFonts w:hint="eastAsia" w:ascii="仿宋_GB2312" w:hAnsi="仿宋" w:eastAsia="仿宋_GB2312"/>
          <w:sz w:val="32"/>
          <w:szCs w:val="32"/>
        </w:rPr>
        <w:t>号</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批准。阿坝州城乡环境综合治理服务中心</w:t>
      </w:r>
      <w:r>
        <w:rPr>
          <w:rFonts w:hint="eastAsia" w:ascii="仿宋_GB2312" w:eastAsia="仿宋_GB2312"/>
          <w:sz w:val="32"/>
          <w:szCs w:val="32"/>
        </w:rPr>
        <w:t>依据国家、地方有关城市建设管理法律、法规、规章和《四川省城乡环境综合治理条例》等行政法规，对违反城乡环境综合治理的违法违章行为依法实施监察和处置，对全州城乡环境综合治理工作的监督、检查、指导。</w:t>
      </w:r>
      <w:r>
        <w:rPr>
          <w:rFonts w:hint="eastAsia" w:ascii="仿宋_GB2312" w:eastAsia="仿宋_GB2312"/>
          <w:sz w:val="32"/>
          <w:szCs w:val="32"/>
          <w:lang w:val="en-US" w:eastAsia="zh-CN"/>
        </w:rPr>
        <w:t>阿坝州消防勘察设计中心，</w:t>
      </w:r>
      <w:r>
        <w:rPr>
          <w:rFonts w:hint="eastAsia" w:ascii="仿宋_GB2312" w:eastAsia="仿宋_GB2312"/>
          <w:sz w:val="32"/>
          <w:szCs w:val="32"/>
        </w:rPr>
        <w:t>负责</w:t>
      </w:r>
      <w:r>
        <w:rPr>
          <w:rFonts w:hint="eastAsia" w:ascii="仿宋" w:hAnsi="仿宋" w:eastAsia="仿宋" w:cs="仿宋"/>
          <w:sz w:val="32"/>
          <w:szCs w:val="32"/>
        </w:rPr>
        <w:t>全州</w:t>
      </w:r>
      <w:r>
        <w:rPr>
          <w:rFonts w:hint="eastAsia" w:ascii="仿宋" w:hAnsi="仿宋" w:eastAsia="仿宋" w:cs="仿宋"/>
          <w:sz w:val="32"/>
          <w:szCs w:val="32"/>
          <w:lang w:val="en-US" w:eastAsia="zh-CN"/>
        </w:rPr>
        <w:t>特殊建设工程消防勘察设计及消防审验工作。</w:t>
      </w:r>
    </w:p>
    <w:p w14:paraId="7D5C4FD9">
      <w:pPr>
        <w:pStyle w:val="4"/>
        <w:numPr>
          <w:ilvl w:val="0"/>
          <w:numId w:val="1"/>
        </w:numPr>
        <w:outlineLvl w:val="1"/>
        <w:rPr>
          <w:sz w:val="36"/>
        </w:rPr>
      </w:pPr>
      <w:r>
        <w:rPr>
          <w:sz w:val="36"/>
        </w:rPr>
        <w:t>机构设置</w:t>
      </w:r>
    </w:p>
    <w:p w14:paraId="13DE616B">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0"/>
        </w:pBdr>
        <w:suppressAutoHyphens/>
        <w:kinsoku/>
        <w:wordWrap/>
        <w:overflowPunct/>
        <w:topLinePunct w:val="0"/>
        <w:autoSpaceDE/>
        <w:autoSpaceDN/>
        <w:bidi w:val="0"/>
        <w:adjustRightInd/>
        <w:spacing w:line="560" w:lineRule="exact"/>
        <w:ind w:left="0" w:firstLine="640" w:firstLineChars="200"/>
        <w:jc w:val="left"/>
        <w:textAlignment w:val="auto"/>
        <w:rPr>
          <w:rFonts w:hint="eastAsia" w:ascii="仿宋_GB2312" w:hAnsi="仿宋_GB2312" w:eastAsia="仿宋_GB2312" w:cs="仿宋_GB2312"/>
          <w:color w:val="000000"/>
          <w:sz w:val="32"/>
          <w:szCs w:val="32"/>
          <w:lang w:val="en-US"/>
        </w:rPr>
      </w:pPr>
      <w:r>
        <w:rPr>
          <w:rFonts w:hint="eastAsia" w:ascii="仿宋_GB2312" w:hAnsi="仿宋_GB2312" w:eastAsia="仿宋_GB2312" w:cs="仿宋_GB2312"/>
          <w:b w:val="0"/>
          <w:bCs/>
          <w:sz w:val="32"/>
          <w:szCs w:val="32"/>
          <w:lang w:eastAsia="zh-CN"/>
        </w:rPr>
        <w:t>阿坝州城乡环境综合治理服务中心</w:t>
      </w:r>
      <w:r>
        <w:rPr>
          <w:rFonts w:hint="eastAsia" w:ascii="仿宋_GB2312" w:hAnsi="仿宋_GB2312" w:eastAsia="仿宋_GB2312" w:cs="仿宋_GB2312"/>
          <w:b w:val="0"/>
          <w:bCs/>
          <w:sz w:val="32"/>
          <w:szCs w:val="32"/>
        </w:rPr>
        <w:t>属一级预算单位，下属</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个</w:t>
      </w:r>
      <w:r>
        <w:rPr>
          <w:rFonts w:hint="eastAsia" w:ascii="仿宋_GB2312" w:hAnsi="仿宋_GB2312" w:eastAsia="仿宋_GB2312" w:cs="仿宋_GB2312"/>
          <w:b w:val="0"/>
          <w:bCs/>
          <w:sz w:val="32"/>
          <w:szCs w:val="32"/>
          <w:lang w:val="en-US" w:eastAsia="zh-CN"/>
        </w:rPr>
        <w:t>直属事业单位，</w:t>
      </w:r>
      <w:r>
        <w:rPr>
          <w:rFonts w:hint="eastAsia" w:ascii="仿宋_GB2312" w:hAnsi="仿宋_GB2312" w:eastAsia="仿宋_GB2312" w:cs="仿宋_GB2312"/>
          <w:b w:val="0"/>
          <w:bCs/>
          <w:sz w:val="32"/>
          <w:szCs w:val="32"/>
        </w:rPr>
        <w:t>分别是：</w:t>
      </w:r>
      <w:r>
        <w:rPr>
          <w:rFonts w:hint="eastAsia" w:ascii="仿宋_GB2312" w:hAnsi="仿宋_GB2312" w:eastAsia="仿宋_GB2312" w:cs="仿宋_GB2312"/>
          <w:b w:val="0"/>
          <w:bCs/>
          <w:sz w:val="32"/>
          <w:szCs w:val="32"/>
          <w:lang w:eastAsia="zh-CN"/>
        </w:rPr>
        <w:t>阿坝州城乡环境综合</w:t>
      </w:r>
      <w:r>
        <w:rPr>
          <w:rFonts w:hint="eastAsia" w:ascii="仿宋_GB2312" w:hAnsi="仿宋_GB2312" w:eastAsia="仿宋_GB2312" w:cs="仿宋_GB2312"/>
          <w:b w:val="0"/>
          <w:bCs/>
          <w:sz w:val="32"/>
          <w:szCs w:val="32"/>
          <w:lang w:val="en-US" w:eastAsia="zh-CN"/>
        </w:rPr>
        <w:t>治理服务中心</w:t>
      </w:r>
      <w:r>
        <w:rPr>
          <w:rFonts w:hint="eastAsia" w:ascii="仿宋_GB2312" w:hAnsi="仿宋_GB2312" w:eastAsia="仿宋_GB2312" w:cs="仿宋_GB2312"/>
          <w:b w:val="0"/>
          <w:bCs/>
          <w:sz w:val="32"/>
          <w:szCs w:val="32"/>
          <w:lang w:eastAsia="zh-CN"/>
        </w:rPr>
        <w:t>、阿坝州</w:t>
      </w:r>
      <w:r>
        <w:rPr>
          <w:rFonts w:hint="eastAsia" w:ascii="仿宋_GB2312" w:hAnsi="仿宋_GB2312" w:eastAsia="仿宋_GB2312" w:cs="仿宋_GB2312"/>
          <w:b w:val="0"/>
          <w:bCs/>
          <w:sz w:val="32"/>
          <w:szCs w:val="32"/>
          <w:lang w:val="en-US" w:eastAsia="zh-CN"/>
        </w:rPr>
        <w:t>消防勘察设计中心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sz w:val="32"/>
          <w:szCs w:val="32"/>
          <w:lang w:val="en-US" w:eastAsia="zh-CN"/>
        </w:rPr>
        <w:t>为非独立核算的二级预算单位。</w:t>
      </w:r>
    </w:p>
    <w:p w14:paraId="313C0120">
      <w:pPr>
        <w:pStyle w:val="13"/>
      </w:pPr>
    </w:p>
    <w:p w14:paraId="646D3A7B">
      <w:pPr>
        <w:pStyle w:val="13"/>
      </w:pPr>
    </w:p>
    <w:p w14:paraId="0EB0F3A4">
      <w:pPr>
        <w:pStyle w:val="3"/>
        <w:jc w:val="center"/>
        <w:outlineLvl w:val="0"/>
        <w:rPr>
          <w:kern w:val="36"/>
          <w:sz w:val="48"/>
        </w:rPr>
      </w:pPr>
      <w:r>
        <w:rPr>
          <w:kern w:val="36"/>
          <w:sz w:val="48"/>
        </w:rPr>
        <w:t>第二部分 2022年度单位决算情况说明</w:t>
      </w:r>
    </w:p>
    <w:p w14:paraId="731729A9">
      <w:pPr>
        <w:pStyle w:val="13"/>
        <w:rPr>
          <w:rFonts w:hint="eastAsia" w:ascii="黑体" w:hAnsi="黑体" w:eastAsia="黑体" w:cs="黑体"/>
          <w:sz w:val="32"/>
          <w:szCs w:val="32"/>
        </w:rPr>
      </w:pPr>
      <w:r>
        <w:t> </w:t>
      </w:r>
    </w:p>
    <w:p w14:paraId="16626C58">
      <w:pPr>
        <w:pStyle w:val="13"/>
        <w:rPr>
          <w:rFonts w:hint="eastAsia" w:ascii="黑体" w:hAnsi="黑体" w:eastAsia="黑体" w:cs="黑体"/>
          <w:sz w:val="32"/>
          <w:szCs w:val="32"/>
        </w:rPr>
      </w:pPr>
      <w:r>
        <w:rPr>
          <w:rFonts w:hint="eastAsia" w:ascii="黑体" w:hAnsi="黑体" w:eastAsia="黑体" w:cs="黑体"/>
          <w:sz w:val="32"/>
          <w:szCs w:val="32"/>
        </w:rPr>
        <w:t>一、收入支出决算总体情况说明</w:t>
      </w:r>
    </w:p>
    <w:p w14:paraId="527C4A4A">
      <w:pPr>
        <w:snapToGrid w:val="0"/>
        <w:spacing w:line="520" w:lineRule="exact"/>
        <w:ind w:left="0" w:firstLine="640" w:firstLineChars="200"/>
        <w:rPr>
          <w:rFonts w:hint="eastAsia" w:ascii="仿宋_GB2312" w:eastAsia="仿宋_GB2312"/>
          <w:sz w:val="32"/>
          <w:szCs w:val="32"/>
          <w:lang w:val="en-US" w:eastAsia="zh-CN"/>
        </w:rPr>
      </w:pPr>
      <w:r>
        <w:rPr>
          <w:rFonts w:hint="eastAsia" w:ascii="仿宋_GB2312" w:hAnsi="仿宋_GB2312" w:eastAsia="仿宋_GB2312" w:cs="仿宋_GB2312"/>
          <w:sz w:val="32"/>
          <w:szCs w:val="32"/>
        </w:rPr>
        <w:t>2022年度收、支总计252.42万元。与2021年相比，收、支总计各增加92.56万元，增长57.90%。主要变动原因是</w:t>
      </w:r>
      <w:r>
        <w:rPr>
          <w:rFonts w:hint="eastAsia" w:ascii="仿宋_GB2312" w:eastAsia="仿宋_GB2312"/>
          <w:sz w:val="32"/>
          <w:szCs w:val="32"/>
          <w:lang w:val="en-US" w:eastAsia="zh-CN"/>
        </w:rPr>
        <w:t>2022年工资标准提高导致人员经费增加。</w:t>
      </w:r>
    </w:p>
    <w:p w14:paraId="30BFDBBE">
      <w:pPr>
        <w:pStyle w:val="13"/>
        <w:jc w:val="left"/>
      </w:pPr>
      <w:r>
        <w:drawing>
          <wp:inline distT="0" distB="0" distL="85725" distR="85725">
            <wp:extent cx="4584700" cy="2895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4584700" cy="2895600"/>
                    </a:xfrm>
                    <a:prstGeom prst="rect">
                      <a:avLst/>
                    </a:prstGeom>
                    <a:noFill/>
                    <a:ln cap="flat" cmpd="sng">
                      <a:noFill/>
                      <a:prstDash val="solid"/>
                      <a:miter/>
                    </a:ln>
                    <a:effectLst/>
                  </pic:spPr>
                </pic:pic>
              </a:graphicData>
            </a:graphic>
          </wp:inline>
        </w:drawing>
      </w:r>
    </w:p>
    <w:p w14:paraId="45236669">
      <w:pPr>
        <w:pStyle w:val="13"/>
        <w:rPr>
          <w:rFonts w:hint="eastAsia" w:ascii="黑体" w:hAnsi="黑体" w:eastAsia="黑体" w:cs="黑体"/>
          <w:sz w:val="32"/>
          <w:szCs w:val="32"/>
        </w:rPr>
      </w:pPr>
      <w:r>
        <w:rPr>
          <w:rFonts w:hint="eastAsia" w:ascii="黑体" w:hAnsi="黑体" w:eastAsia="黑体" w:cs="黑体"/>
          <w:sz w:val="32"/>
          <w:szCs w:val="32"/>
        </w:rPr>
        <w:t>二、收入决算情况说明</w:t>
      </w:r>
    </w:p>
    <w:p w14:paraId="0BDCECD0">
      <w:pPr>
        <w:pStyle w:val="13"/>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2022年本年收入合计252.42万元，其中：一般公共预算财政拨款收入252.42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5F681CB5">
      <w:pPr>
        <w:pStyle w:val="13"/>
      </w:pPr>
      <w:r>
        <w:t> </w:t>
      </w:r>
    </w:p>
    <w:p w14:paraId="743BDE61">
      <w:pPr>
        <w:pStyle w:val="13"/>
        <w:rPr>
          <w:rFonts w:hint="eastAsia" w:ascii="黑体" w:hAnsi="黑体" w:eastAsia="黑体" w:cs="黑体"/>
          <w:sz w:val="32"/>
          <w:szCs w:val="32"/>
        </w:rPr>
      </w:pPr>
      <w:r>
        <w:rPr>
          <w:rFonts w:hint="eastAsia"/>
          <w:lang w:val="en-US" w:eastAsia="zh-CN"/>
        </w:rPr>
        <w:t xml:space="preserve">     </w:t>
      </w:r>
      <w:r>
        <w:drawing>
          <wp:inline distT="0" distB="0" distL="85725" distR="85725">
            <wp:extent cx="3644265" cy="3006090"/>
            <wp:effectExtent l="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8"/>
                    <a:stretch>
                      <a:fillRect/>
                    </a:stretch>
                  </pic:blipFill>
                  <pic:spPr>
                    <a:xfrm>
                      <a:off x="0" y="0"/>
                      <a:ext cx="3644696" cy="3006292"/>
                    </a:xfrm>
                    <a:prstGeom prst="rect">
                      <a:avLst/>
                    </a:prstGeom>
                    <a:noFill/>
                    <a:ln cap="flat" cmpd="sng">
                      <a:noFill/>
                      <a:prstDash val="solid"/>
                      <a:miter/>
                    </a:ln>
                    <a:effectLst/>
                  </pic:spPr>
                </pic:pic>
              </a:graphicData>
            </a:graphic>
          </wp:inline>
        </w:drawing>
      </w:r>
    </w:p>
    <w:p w14:paraId="55A609FC">
      <w:pPr>
        <w:pStyle w:val="13"/>
        <w:rPr>
          <w:rFonts w:hint="eastAsia" w:ascii="黑体" w:hAnsi="黑体" w:eastAsia="黑体" w:cs="黑体"/>
          <w:sz w:val="32"/>
          <w:szCs w:val="32"/>
        </w:rPr>
      </w:pPr>
      <w:r>
        <w:rPr>
          <w:rFonts w:hint="eastAsia" w:ascii="黑体" w:hAnsi="黑体" w:eastAsia="黑体" w:cs="黑体"/>
          <w:sz w:val="32"/>
          <w:szCs w:val="32"/>
        </w:rPr>
        <w:t>三、支出决算情况说明</w:t>
      </w:r>
    </w:p>
    <w:p w14:paraId="23FD8F6E">
      <w:pPr>
        <w:pStyle w:val="13"/>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2022年本年支出合计252.42万元，其中：基本支出252.42万元，占100.00%；项目支出0.00万元，占0.00%；上缴上级支出0.00万元，占0.00%；经营支出0.00万元，占经营支出0.00万元，占 0.00%；对附属单位补助支出0.00万元，占0.00%。</w:t>
      </w:r>
    </w:p>
    <w:p w14:paraId="62C8CFD2">
      <w:pPr>
        <w:pStyle w:val="13"/>
        <w:ind w:firstLine="960" w:firstLineChars="400"/>
        <w:rPr>
          <w:rFonts w:hint="eastAsia" w:eastAsia="宋体"/>
          <w:lang w:eastAsia="zh-CN"/>
        </w:rPr>
      </w:pPr>
      <w:r>
        <w:t> </w:t>
      </w:r>
      <w:r>
        <w:drawing>
          <wp:inline distT="0" distB="0" distL="85725" distR="85725">
            <wp:extent cx="3583305" cy="3411220"/>
            <wp:effectExtent l="0" t="0" r="0" b="1"/>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9"/>
                    <a:stretch>
                      <a:fillRect/>
                    </a:stretch>
                  </pic:blipFill>
                  <pic:spPr>
                    <a:xfrm>
                      <a:off x="0" y="0"/>
                      <a:ext cx="3583711" cy="3411765"/>
                    </a:xfrm>
                    <a:prstGeom prst="rect">
                      <a:avLst/>
                    </a:prstGeom>
                    <a:noFill/>
                    <a:ln cap="flat" cmpd="sng">
                      <a:noFill/>
                      <a:prstDash val="solid"/>
                      <a:miter/>
                    </a:ln>
                    <a:effectLst/>
                  </pic:spPr>
                </pic:pic>
              </a:graphicData>
            </a:graphic>
          </wp:inline>
        </w:drawing>
      </w:r>
    </w:p>
    <w:p w14:paraId="512F5099">
      <w:pPr>
        <w:pStyle w:val="13"/>
        <w:rPr>
          <w:rFonts w:hint="eastAsia" w:ascii="黑体" w:hAnsi="黑体" w:eastAsia="黑体" w:cs="黑体"/>
          <w:sz w:val="32"/>
          <w:szCs w:val="32"/>
        </w:rPr>
      </w:pPr>
      <w:r>
        <w:t> </w:t>
      </w:r>
    </w:p>
    <w:p w14:paraId="1C507A88">
      <w:pPr>
        <w:pStyle w:val="13"/>
        <w:rPr>
          <w:rFonts w:hint="eastAsia" w:ascii="黑体" w:hAnsi="黑体" w:eastAsia="黑体" w:cs="黑体"/>
          <w:sz w:val="32"/>
          <w:szCs w:val="32"/>
        </w:rPr>
      </w:pPr>
      <w:r>
        <w:rPr>
          <w:rFonts w:hint="eastAsia" w:ascii="黑体" w:hAnsi="黑体" w:eastAsia="黑体" w:cs="黑体"/>
          <w:sz w:val="32"/>
          <w:szCs w:val="32"/>
        </w:rPr>
        <w:t>四、财政拨款收入支出决算总体情况说明</w:t>
      </w:r>
    </w:p>
    <w:p w14:paraId="43FA410C">
      <w:pPr>
        <w:snapToGrid w:val="0"/>
        <w:spacing w:line="520" w:lineRule="exact"/>
        <w:ind w:left="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2022年财政拨款收、支总计252.42万元。与2021年相比，财政拨款收、支总计各增加92.56万元，增长57.90%。主要变动原因是</w:t>
      </w:r>
      <w:r>
        <w:rPr>
          <w:rFonts w:hint="eastAsia" w:ascii="仿宋_GB2312" w:hAnsi="仿宋_GB2312" w:eastAsia="仿宋_GB2312" w:cs="仿宋_GB2312"/>
          <w:sz w:val="32"/>
          <w:szCs w:val="32"/>
          <w:lang w:val="en-US" w:eastAsia="zh-CN"/>
        </w:rPr>
        <w:t>2022年工资标准提高导致人员经费增加；社会保障和就业支出相比上年度增加9.66万元，主要原因为养老保险和职业年金基数调整；卫生健康支出相比上年度增加-1.22万元，主要原因为医疗保险基数调整；城乡社区支出相比上年度增加80.84万元，主要原因为工资标准提高导致人员经费增加；住房保障支出相比上年度增加3.27万元，主要原因为住房公积金基数调整。</w:t>
      </w:r>
    </w:p>
    <w:p w14:paraId="5CE2E81D">
      <w:pPr>
        <w:pStyle w:val="13"/>
        <w:jc w:val="left"/>
      </w:pPr>
    </w:p>
    <w:p w14:paraId="494194CD">
      <w:pPr>
        <w:pStyle w:val="13"/>
      </w:pPr>
      <w:r>
        <w:t> </w:t>
      </w:r>
      <w:r>
        <w:drawing>
          <wp:inline distT="0" distB="0" distL="85725" distR="85725">
            <wp:extent cx="4584700" cy="28956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stretch>
                      <a:fillRect/>
                    </a:stretch>
                  </pic:blipFill>
                  <pic:spPr>
                    <a:xfrm>
                      <a:off x="0" y="0"/>
                      <a:ext cx="4584700" cy="2895600"/>
                    </a:xfrm>
                    <a:prstGeom prst="rect">
                      <a:avLst/>
                    </a:prstGeom>
                    <a:noFill/>
                    <a:ln cap="flat" cmpd="sng">
                      <a:noFill/>
                      <a:prstDash val="solid"/>
                      <a:miter/>
                    </a:ln>
                    <a:effectLst/>
                  </pic:spPr>
                </pic:pic>
              </a:graphicData>
            </a:graphic>
          </wp:inline>
        </w:drawing>
      </w:r>
    </w:p>
    <w:p w14:paraId="0047D9C7">
      <w:pPr>
        <w:pStyle w:val="13"/>
      </w:pPr>
      <w:r>
        <w:t> </w:t>
      </w:r>
    </w:p>
    <w:p w14:paraId="24A6EEB7">
      <w:pPr>
        <w:pStyle w:val="13"/>
        <w:rPr>
          <w:rFonts w:hint="eastAsia" w:ascii="黑体" w:hAnsi="黑体" w:eastAsia="黑体" w:cs="黑体"/>
          <w:sz w:val="32"/>
          <w:szCs w:val="32"/>
        </w:rPr>
      </w:pPr>
      <w:r>
        <w:rPr>
          <w:rFonts w:hint="eastAsia" w:ascii="黑体" w:hAnsi="黑体" w:eastAsia="黑体" w:cs="黑体"/>
          <w:sz w:val="32"/>
          <w:szCs w:val="32"/>
        </w:rPr>
        <w:t>五、</w:t>
      </w:r>
      <w:r>
        <w:rPr>
          <w:rStyle w:val="16"/>
          <w:rFonts w:hint="eastAsia" w:ascii="黑体" w:hAnsi="黑体" w:eastAsia="黑体" w:cs="黑体"/>
          <w:sz w:val="32"/>
          <w:szCs w:val="32"/>
        </w:rPr>
        <w:t>一</w:t>
      </w:r>
      <w:r>
        <w:rPr>
          <w:rFonts w:hint="eastAsia" w:ascii="黑体" w:hAnsi="黑体" w:eastAsia="黑体" w:cs="黑体"/>
          <w:sz w:val="32"/>
          <w:szCs w:val="32"/>
        </w:rPr>
        <w:t>般公共预算财政拨款支出决算情况说明</w:t>
      </w:r>
    </w:p>
    <w:p w14:paraId="2837B18A">
      <w:pPr>
        <w:pStyle w:val="13"/>
        <w:rPr>
          <w:rFonts w:hint="eastAsia" w:ascii="仿宋" w:hAnsi="仿宋" w:eastAsia="仿宋" w:cs="仿宋"/>
          <w:sz w:val="32"/>
          <w:szCs w:val="32"/>
        </w:rPr>
      </w:pPr>
      <w:r>
        <w:rPr>
          <w:rStyle w:val="16"/>
          <w:rFonts w:hint="eastAsia" w:ascii="仿宋" w:hAnsi="仿宋" w:eastAsia="仿宋" w:cs="仿宋"/>
          <w:sz w:val="32"/>
          <w:szCs w:val="32"/>
        </w:rPr>
        <w:t>（一）一般公共预算财政拨款支出决算总体情况</w:t>
      </w:r>
    </w:p>
    <w:p w14:paraId="715D4CBC">
      <w:pPr>
        <w:pStyle w:val="13"/>
        <w:ind w:firstLine="320" w:firstLineChars="100"/>
        <w:jc w:val="left"/>
        <w:rPr>
          <w:rFonts w:hint="eastAsia" w:ascii="仿宋" w:hAnsi="仿宋" w:eastAsia="仿宋" w:cs="仿宋"/>
          <w:sz w:val="32"/>
          <w:szCs w:val="32"/>
          <w:lang w:eastAsia="zh-CN"/>
        </w:rPr>
      </w:pPr>
      <w:r>
        <w:rPr>
          <w:rFonts w:hint="eastAsia" w:ascii="仿宋" w:hAnsi="仿宋" w:eastAsia="仿宋" w:cs="仿宋"/>
          <w:sz w:val="32"/>
          <w:szCs w:val="32"/>
        </w:rPr>
        <w:t>2022年一般公共预算财政拨款支出252.42万元，占本年支出合计的100.00%。与2021年相比，一般公共预算财政拨款支出增加92.56万元，增长57.90%</w:t>
      </w:r>
      <w:r>
        <w:rPr>
          <w:rFonts w:hint="eastAsia" w:ascii="仿宋" w:hAnsi="仿宋" w:eastAsia="仿宋" w:cs="仿宋"/>
          <w:sz w:val="32"/>
          <w:szCs w:val="32"/>
          <w:lang w:eastAsia="zh-CN"/>
        </w:rPr>
        <w:t>。</w:t>
      </w:r>
    </w:p>
    <w:p w14:paraId="4739BCB4">
      <w:pPr>
        <w:pStyle w:val="13"/>
      </w:pPr>
      <w:r>
        <w:t> </w:t>
      </w:r>
      <w:r>
        <w:drawing>
          <wp:inline distT="0" distB="0" distL="85725" distR="85725">
            <wp:extent cx="4584700" cy="28956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
                    <a:stretch>
                      <a:fillRect/>
                    </a:stretch>
                  </pic:blipFill>
                  <pic:spPr>
                    <a:xfrm>
                      <a:off x="0" y="0"/>
                      <a:ext cx="4584700" cy="2895600"/>
                    </a:xfrm>
                    <a:prstGeom prst="rect">
                      <a:avLst/>
                    </a:prstGeom>
                    <a:noFill/>
                    <a:ln cap="flat" cmpd="sng">
                      <a:noFill/>
                      <a:prstDash val="solid"/>
                      <a:miter/>
                    </a:ln>
                    <a:effectLst/>
                  </pic:spPr>
                </pic:pic>
              </a:graphicData>
            </a:graphic>
          </wp:inline>
        </w:drawing>
      </w:r>
    </w:p>
    <w:p w14:paraId="7B7360EB">
      <w:pPr>
        <w:pStyle w:val="13"/>
      </w:pPr>
      <w:r>
        <w:t> </w:t>
      </w:r>
    </w:p>
    <w:p w14:paraId="04580509">
      <w:pPr>
        <w:pStyle w:val="13"/>
        <w:rPr>
          <w:rFonts w:hint="eastAsia" w:ascii="仿宋" w:hAnsi="仿宋" w:eastAsia="仿宋" w:cs="仿宋"/>
          <w:sz w:val="32"/>
          <w:szCs w:val="32"/>
        </w:rPr>
      </w:pPr>
      <w:r>
        <w:rPr>
          <w:rStyle w:val="16"/>
          <w:rFonts w:hint="eastAsia" w:ascii="仿宋" w:hAnsi="仿宋" w:eastAsia="仿宋" w:cs="仿宋"/>
          <w:sz w:val="32"/>
          <w:szCs w:val="32"/>
        </w:rPr>
        <w:t>（二）一般公共预算财政拨款支出决算结构情况</w:t>
      </w:r>
    </w:p>
    <w:p w14:paraId="73FED83B">
      <w:pPr>
        <w:pStyle w:val="13"/>
        <w:ind w:firstLine="320" w:firstLineChars="100"/>
        <w:jc w:val="left"/>
      </w:pPr>
      <w:r>
        <w:rPr>
          <w:rFonts w:hint="eastAsia" w:ascii="仿宋" w:hAnsi="仿宋" w:eastAsia="仿宋" w:cs="仿宋"/>
          <w:b w:val="0"/>
          <w:bCs w:val="0"/>
          <w:sz w:val="32"/>
          <w:szCs w:val="32"/>
        </w:rPr>
        <w:t>2022年一般公共预算财政拨款支出252.42万元，主要用于以下方面:</w:t>
      </w:r>
      <w:r>
        <w:rPr>
          <w:rStyle w:val="16"/>
          <w:rFonts w:hint="eastAsia" w:ascii="仿宋" w:hAnsi="仿宋" w:eastAsia="仿宋" w:cs="仿宋"/>
          <w:b w:val="0"/>
          <w:bCs w:val="0"/>
          <w:sz w:val="32"/>
          <w:szCs w:val="32"/>
        </w:rPr>
        <w:t>一般公共服务（类）</w:t>
      </w:r>
      <w:r>
        <w:rPr>
          <w:rFonts w:hint="eastAsia" w:ascii="仿宋" w:hAnsi="仿宋" w:eastAsia="仿宋" w:cs="仿宋"/>
          <w:b w:val="0"/>
          <w:bCs w:val="0"/>
          <w:sz w:val="32"/>
          <w:szCs w:val="32"/>
        </w:rPr>
        <w:t>支出0.00万元，占0.00%；</w:t>
      </w:r>
      <w:r>
        <w:rPr>
          <w:rStyle w:val="16"/>
          <w:rFonts w:hint="eastAsia" w:ascii="仿宋" w:hAnsi="仿宋" w:eastAsia="仿宋" w:cs="仿宋"/>
          <w:b w:val="0"/>
          <w:bCs w:val="0"/>
          <w:sz w:val="32"/>
          <w:szCs w:val="32"/>
        </w:rPr>
        <w:t>教育支出（类）</w:t>
      </w:r>
      <w:r>
        <w:rPr>
          <w:rFonts w:hint="eastAsia" w:ascii="仿宋" w:hAnsi="仿宋" w:eastAsia="仿宋" w:cs="仿宋"/>
          <w:b w:val="0"/>
          <w:bCs w:val="0"/>
          <w:sz w:val="32"/>
          <w:szCs w:val="32"/>
        </w:rPr>
        <w:t>0.00万元，占0.00%；</w:t>
      </w:r>
      <w:r>
        <w:rPr>
          <w:rStyle w:val="16"/>
          <w:rFonts w:hint="eastAsia" w:ascii="仿宋" w:hAnsi="仿宋" w:eastAsia="仿宋" w:cs="仿宋"/>
          <w:b w:val="0"/>
          <w:bCs w:val="0"/>
          <w:sz w:val="32"/>
          <w:szCs w:val="32"/>
        </w:rPr>
        <w:t>科学技术（类）</w:t>
      </w:r>
      <w:r>
        <w:rPr>
          <w:rFonts w:hint="eastAsia" w:ascii="仿宋" w:hAnsi="仿宋" w:eastAsia="仿宋" w:cs="仿宋"/>
          <w:b w:val="0"/>
          <w:bCs w:val="0"/>
          <w:sz w:val="32"/>
          <w:szCs w:val="32"/>
        </w:rPr>
        <w:t>支出0.00万元，占0.00%；</w:t>
      </w:r>
      <w:r>
        <w:rPr>
          <w:rStyle w:val="16"/>
          <w:rFonts w:hint="eastAsia" w:ascii="仿宋" w:hAnsi="仿宋" w:eastAsia="仿宋" w:cs="仿宋"/>
          <w:b w:val="0"/>
          <w:bCs w:val="0"/>
          <w:sz w:val="32"/>
          <w:szCs w:val="32"/>
        </w:rPr>
        <w:t>文化旅游体育与传媒（类）支出0.00万元，占0.00%；社会保障和就业（类）</w:t>
      </w:r>
      <w:r>
        <w:rPr>
          <w:rFonts w:hint="eastAsia" w:ascii="仿宋" w:hAnsi="仿宋" w:eastAsia="仿宋" w:cs="仿宋"/>
          <w:b w:val="0"/>
          <w:bCs w:val="0"/>
          <w:sz w:val="32"/>
          <w:szCs w:val="32"/>
        </w:rPr>
        <w:t>支出27.36万元，占10.84%；</w:t>
      </w:r>
      <w:r>
        <w:rPr>
          <w:rStyle w:val="16"/>
          <w:rFonts w:hint="eastAsia" w:ascii="仿宋" w:hAnsi="仿宋" w:eastAsia="仿宋" w:cs="仿宋"/>
          <w:b w:val="0"/>
          <w:bCs w:val="0"/>
          <w:sz w:val="32"/>
          <w:szCs w:val="32"/>
        </w:rPr>
        <w:t>卫生健康支出</w:t>
      </w:r>
      <w:r>
        <w:rPr>
          <w:rFonts w:hint="eastAsia" w:ascii="仿宋" w:hAnsi="仿宋" w:eastAsia="仿宋" w:cs="仿宋"/>
          <w:b w:val="0"/>
          <w:bCs w:val="0"/>
          <w:sz w:val="32"/>
          <w:szCs w:val="32"/>
        </w:rPr>
        <w:t>6.15万元，占2.44%；住房保障支出14.72万元，占5.83%</w:t>
      </w:r>
      <w:r>
        <w:t>。</w:t>
      </w:r>
    </w:p>
    <w:p w14:paraId="41965934">
      <w:pPr>
        <w:pStyle w:val="13"/>
      </w:pPr>
      <w:r>
        <w:t> </w:t>
      </w:r>
      <w:r>
        <w:drawing>
          <wp:inline distT="0" distB="0" distL="85725" distR="85725">
            <wp:extent cx="4749800" cy="28956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stretch>
                      <a:fillRect/>
                    </a:stretch>
                  </pic:blipFill>
                  <pic:spPr>
                    <a:xfrm>
                      <a:off x="0" y="0"/>
                      <a:ext cx="4749800" cy="2895600"/>
                    </a:xfrm>
                    <a:prstGeom prst="rect">
                      <a:avLst/>
                    </a:prstGeom>
                    <a:noFill/>
                    <a:ln cap="flat" cmpd="sng">
                      <a:noFill/>
                      <a:prstDash val="solid"/>
                      <a:miter/>
                    </a:ln>
                    <a:effectLst/>
                  </pic:spPr>
                </pic:pic>
              </a:graphicData>
            </a:graphic>
          </wp:inline>
        </w:drawing>
      </w:r>
    </w:p>
    <w:p w14:paraId="027FE77B">
      <w:pPr>
        <w:pStyle w:val="13"/>
        <w:rPr>
          <w:rFonts w:hint="eastAsia" w:eastAsia="宋体"/>
          <w:lang w:eastAsia="zh-CN"/>
        </w:rPr>
      </w:pPr>
    </w:p>
    <w:p w14:paraId="06855472">
      <w:pPr>
        <w:pStyle w:val="13"/>
        <w:rPr>
          <w:rFonts w:hint="eastAsia" w:ascii="仿宋" w:hAnsi="仿宋" w:eastAsia="仿宋" w:cs="仿宋"/>
          <w:sz w:val="32"/>
          <w:szCs w:val="32"/>
        </w:rPr>
      </w:pPr>
      <w:r>
        <w:rPr>
          <w:rStyle w:val="16"/>
          <w:rFonts w:hint="eastAsia" w:ascii="仿宋" w:hAnsi="仿宋" w:eastAsia="仿宋" w:cs="仿宋"/>
          <w:sz w:val="32"/>
          <w:szCs w:val="32"/>
        </w:rPr>
        <w:t>（三）一般公共预算财政拨款支出决算具体情况</w:t>
      </w:r>
    </w:p>
    <w:p w14:paraId="27B6CCBE">
      <w:pPr>
        <w:pStyle w:val="13"/>
        <w:ind w:firstLine="320" w:firstLineChars="100"/>
        <w:rPr>
          <w:rFonts w:hint="eastAsia" w:ascii="仿宋" w:hAnsi="仿宋" w:eastAsia="仿宋" w:cs="仿宋"/>
          <w:b w:val="0"/>
          <w:bCs/>
          <w:sz w:val="32"/>
          <w:szCs w:val="32"/>
        </w:rPr>
      </w:pPr>
      <w:r>
        <w:rPr>
          <w:rStyle w:val="16"/>
          <w:rFonts w:hint="eastAsia" w:ascii="仿宋" w:hAnsi="仿宋" w:eastAsia="仿宋" w:cs="仿宋"/>
          <w:b w:val="0"/>
          <w:bCs/>
          <w:sz w:val="32"/>
          <w:szCs w:val="32"/>
        </w:rPr>
        <w:t>2022年一般公共预算支出决算数为252.42</w:t>
      </w:r>
      <w:r>
        <w:rPr>
          <w:rFonts w:hint="eastAsia" w:ascii="仿宋" w:hAnsi="仿宋" w:eastAsia="仿宋" w:cs="仿宋"/>
          <w:b w:val="0"/>
          <w:bCs/>
          <w:sz w:val="32"/>
          <w:szCs w:val="32"/>
        </w:rPr>
        <w:t>，</w:t>
      </w:r>
      <w:r>
        <w:rPr>
          <w:rStyle w:val="16"/>
          <w:rFonts w:hint="eastAsia" w:ascii="仿宋" w:hAnsi="仿宋" w:eastAsia="仿宋" w:cs="仿宋"/>
          <w:b w:val="0"/>
          <w:bCs/>
          <w:sz w:val="32"/>
          <w:szCs w:val="32"/>
        </w:rPr>
        <w:t>完成预算100.00%。其中：</w:t>
      </w:r>
    </w:p>
    <w:p w14:paraId="53C82609">
      <w:pPr>
        <w:numPr>
          <w:ilvl w:val="0"/>
          <w:numId w:val="0"/>
        </w:numPr>
        <w:spacing w:line="600" w:lineRule="exact"/>
        <w:ind w:left="0" w:firstLine="640" w:firstLineChars="200"/>
        <w:rPr>
          <w:rStyle w:val="16"/>
          <w:rFonts w:hint="eastAsia" w:ascii="仿宋_GB2312" w:hAnsi="仿宋_GB2312" w:eastAsia="仿宋_GB2312" w:cs="仿宋_GB2312"/>
          <w:b w:val="0"/>
          <w:bCs/>
          <w:color w:val="000000"/>
          <w:sz w:val="32"/>
          <w:szCs w:val="32"/>
          <w:lang w:eastAsia="zh-CN"/>
        </w:rPr>
      </w:pPr>
      <w:r>
        <w:rPr>
          <w:rStyle w:val="16"/>
          <w:rFonts w:hint="eastAsia" w:ascii="仿宋_GB2312" w:hAnsi="仿宋_GB2312" w:eastAsia="仿宋_GB2312" w:cs="仿宋_GB2312"/>
          <w:b w:val="0"/>
          <w:bCs/>
          <w:color w:val="000000"/>
          <w:sz w:val="32"/>
          <w:szCs w:val="32"/>
          <w:lang w:val="en-US" w:eastAsia="zh-CN"/>
        </w:rPr>
        <w:t>1.</w:t>
      </w:r>
      <w:r>
        <w:rPr>
          <w:rStyle w:val="16"/>
          <w:rFonts w:hint="eastAsia" w:ascii="仿宋_GB2312" w:hAnsi="仿宋_GB2312" w:eastAsia="仿宋_GB2312" w:cs="仿宋_GB2312"/>
          <w:b w:val="0"/>
          <w:bCs/>
          <w:color w:val="000000"/>
          <w:sz w:val="32"/>
          <w:szCs w:val="32"/>
        </w:rPr>
        <w:t>城乡社区支出（类）：支出决算为</w:t>
      </w:r>
      <w:r>
        <w:rPr>
          <w:rStyle w:val="16"/>
          <w:rFonts w:hint="eastAsia" w:ascii="仿宋_GB2312" w:hAnsi="仿宋_GB2312" w:eastAsia="仿宋_GB2312" w:cs="仿宋_GB2312"/>
          <w:b w:val="0"/>
          <w:bCs/>
          <w:color w:val="000000"/>
          <w:sz w:val="32"/>
          <w:szCs w:val="32"/>
          <w:lang w:val="en-US" w:eastAsia="zh-CN"/>
        </w:rPr>
        <w:t>204.19</w:t>
      </w:r>
      <w:r>
        <w:rPr>
          <w:rStyle w:val="16"/>
          <w:rFonts w:hint="eastAsia" w:ascii="仿宋_GB2312" w:hAnsi="仿宋_GB2312" w:eastAsia="仿宋_GB2312" w:cs="仿宋_GB2312"/>
          <w:b w:val="0"/>
          <w:bCs/>
          <w:color w:val="000000"/>
          <w:sz w:val="32"/>
          <w:szCs w:val="32"/>
        </w:rPr>
        <w:t>万元，完成预算</w:t>
      </w:r>
      <w:r>
        <w:rPr>
          <w:rStyle w:val="16"/>
          <w:rFonts w:hint="eastAsia" w:ascii="仿宋_GB2312" w:hAnsi="仿宋_GB2312" w:eastAsia="仿宋_GB2312" w:cs="仿宋_GB2312"/>
          <w:b w:val="0"/>
          <w:bCs/>
          <w:color w:val="000000"/>
          <w:sz w:val="32"/>
          <w:szCs w:val="32"/>
          <w:lang w:val="en-US" w:eastAsia="zh-CN"/>
        </w:rPr>
        <w:t>100</w:t>
      </w:r>
      <w:r>
        <w:rPr>
          <w:rStyle w:val="16"/>
          <w:rFonts w:hint="eastAsia" w:ascii="仿宋_GB2312" w:hAnsi="仿宋_GB2312" w:eastAsia="仿宋_GB2312" w:cs="仿宋_GB2312"/>
          <w:b w:val="0"/>
          <w:bCs/>
          <w:color w:val="000000"/>
          <w:sz w:val="32"/>
          <w:szCs w:val="32"/>
        </w:rPr>
        <w:t>%</w:t>
      </w:r>
      <w:r>
        <w:rPr>
          <w:rStyle w:val="16"/>
          <w:rFonts w:hint="eastAsia" w:ascii="仿宋_GB2312" w:hAnsi="仿宋_GB2312" w:eastAsia="仿宋_GB2312" w:cs="仿宋_GB2312"/>
          <w:b w:val="0"/>
          <w:bCs/>
          <w:color w:val="000000"/>
          <w:sz w:val="32"/>
          <w:szCs w:val="32"/>
          <w:lang w:eastAsia="zh-CN"/>
        </w:rPr>
        <w:t>。</w:t>
      </w:r>
    </w:p>
    <w:p w14:paraId="2B3C1DC1">
      <w:pPr>
        <w:numPr>
          <w:ilvl w:val="0"/>
          <w:numId w:val="0"/>
        </w:numPr>
        <w:spacing w:line="600" w:lineRule="exact"/>
        <w:ind w:left="0" w:firstLine="640" w:firstLineChars="200"/>
        <w:rPr>
          <w:rStyle w:val="16"/>
          <w:rFonts w:hint="eastAsia" w:ascii="仿宋_GB2312" w:hAnsi="仿宋_GB2312" w:eastAsia="仿宋_GB2312" w:cs="仿宋_GB2312"/>
          <w:b w:val="0"/>
          <w:bCs/>
          <w:color w:val="000000"/>
          <w:sz w:val="32"/>
          <w:szCs w:val="32"/>
          <w:lang w:eastAsia="zh-CN"/>
        </w:rPr>
      </w:pPr>
      <w:r>
        <w:rPr>
          <w:rStyle w:val="16"/>
          <w:rFonts w:hint="eastAsia" w:ascii="仿宋_GB2312" w:hAnsi="仿宋_GB2312" w:eastAsia="仿宋_GB2312" w:cs="仿宋_GB2312"/>
          <w:b w:val="0"/>
          <w:bCs/>
          <w:color w:val="000000"/>
          <w:sz w:val="32"/>
          <w:szCs w:val="32"/>
        </w:rPr>
        <w:t>城乡社区管理事务（款）：支出决算为</w:t>
      </w:r>
      <w:r>
        <w:rPr>
          <w:rStyle w:val="16"/>
          <w:rFonts w:hint="eastAsia" w:ascii="仿宋_GB2312" w:hAnsi="仿宋_GB2312" w:eastAsia="仿宋_GB2312" w:cs="仿宋_GB2312"/>
          <w:b w:val="0"/>
          <w:bCs/>
          <w:color w:val="000000"/>
          <w:sz w:val="32"/>
          <w:szCs w:val="32"/>
          <w:lang w:val="en-US" w:eastAsia="zh-CN"/>
        </w:rPr>
        <w:t>204.19</w:t>
      </w:r>
      <w:r>
        <w:rPr>
          <w:rStyle w:val="16"/>
          <w:rFonts w:hint="eastAsia" w:ascii="仿宋_GB2312" w:hAnsi="仿宋_GB2312" w:eastAsia="仿宋_GB2312" w:cs="仿宋_GB2312"/>
          <w:b w:val="0"/>
          <w:bCs/>
          <w:color w:val="000000"/>
          <w:sz w:val="32"/>
          <w:szCs w:val="32"/>
        </w:rPr>
        <w:t>万元，完成预算</w:t>
      </w:r>
      <w:r>
        <w:rPr>
          <w:rStyle w:val="16"/>
          <w:rFonts w:hint="eastAsia" w:ascii="仿宋_GB2312" w:hAnsi="仿宋_GB2312" w:eastAsia="仿宋_GB2312" w:cs="仿宋_GB2312"/>
          <w:b w:val="0"/>
          <w:bCs/>
          <w:color w:val="000000"/>
          <w:sz w:val="32"/>
          <w:szCs w:val="32"/>
          <w:lang w:val="en-US" w:eastAsia="zh-CN"/>
        </w:rPr>
        <w:t>100</w:t>
      </w:r>
      <w:r>
        <w:rPr>
          <w:rStyle w:val="16"/>
          <w:rFonts w:hint="eastAsia" w:ascii="仿宋_GB2312" w:hAnsi="仿宋_GB2312" w:eastAsia="仿宋_GB2312" w:cs="仿宋_GB2312"/>
          <w:b w:val="0"/>
          <w:bCs/>
          <w:color w:val="000000"/>
          <w:sz w:val="32"/>
          <w:szCs w:val="32"/>
        </w:rPr>
        <w:t>%</w:t>
      </w:r>
      <w:r>
        <w:rPr>
          <w:rStyle w:val="16"/>
          <w:rFonts w:hint="eastAsia" w:ascii="仿宋_GB2312" w:hAnsi="仿宋_GB2312" w:eastAsia="仿宋_GB2312" w:cs="仿宋_GB2312"/>
          <w:b w:val="0"/>
          <w:bCs/>
          <w:color w:val="000000"/>
          <w:sz w:val="32"/>
          <w:szCs w:val="32"/>
          <w:lang w:eastAsia="zh-CN"/>
        </w:rPr>
        <w:t>。</w:t>
      </w:r>
    </w:p>
    <w:p w14:paraId="21457245">
      <w:pPr>
        <w:numPr>
          <w:ilvl w:val="0"/>
          <w:numId w:val="0"/>
        </w:numPr>
        <w:spacing w:line="600" w:lineRule="exact"/>
        <w:ind w:left="0"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其他城乡社区管理事务支出（项）: 支出决算为</w:t>
      </w:r>
      <w:r>
        <w:rPr>
          <w:rStyle w:val="16"/>
          <w:rFonts w:hint="eastAsia" w:ascii="仿宋_GB2312" w:hAnsi="仿宋_GB2312" w:eastAsia="仿宋_GB2312" w:cs="仿宋_GB2312"/>
          <w:b w:val="0"/>
          <w:bCs/>
          <w:color w:val="000000"/>
          <w:sz w:val="32"/>
          <w:szCs w:val="32"/>
          <w:lang w:val="en-US" w:eastAsia="zh-CN"/>
        </w:rPr>
        <w:t>204.19</w:t>
      </w:r>
      <w:r>
        <w:rPr>
          <w:rStyle w:val="16"/>
          <w:rFonts w:hint="eastAsia" w:ascii="仿宋_GB2312" w:hAnsi="仿宋_GB2312" w:eastAsia="仿宋_GB2312" w:cs="仿宋_GB2312"/>
          <w:b w:val="0"/>
          <w:bCs/>
          <w:color w:val="000000"/>
          <w:sz w:val="32"/>
          <w:szCs w:val="32"/>
        </w:rPr>
        <w:t>万元，完成预算</w:t>
      </w:r>
      <w:r>
        <w:rPr>
          <w:rStyle w:val="16"/>
          <w:rFonts w:hint="eastAsia" w:ascii="仿宋_GB2312" w:hAnsi="仿宋_GB2312" w:eastAsia="仿宋_GB2312" w:cs="仿宋_GB2312"/>
          <w:b w:val="0"/>
          <w:bCs/>
          <w:color w:val="000000"/>
          <w:sz w:val="32"/>
          <w:szCs w:val="32"/>
          <w:lang w:val="en-US" w:eastAsia="zh-CN"/>
        </w:rPr>
        <w:t>100</w:t>
      </w:r>
      <w:r>
        <w:rPr>
          <w:rStyle w:val="16"/>
          <w:rFonts w:hint="eastAsia" w:ascii="仿宋_GB2312" w:hAnsi="仿宋_GB2312" w:eastAsia="仿宋_GB2312" w:cs="仿宋_GB2312"/>
          <w:b w:val="0"/>
          <w:bCs/>
          <w:color w:val="000000"/>
          <w:sz w:val="32"/>
          <w:szCs w:val="32"/>
        </w:rPr>
        <w:t>%</w:t>
      </w:r>
      <w:r>
        <w:rPr>
          <w:rStyle w:val="16"/>
          <w:rFonts w:hint="eastAsia" w:ascii="仿宋_GB2312" w:hAnsi="仿宋_GB2312" w:eastAsia="仿宋_GB2312" w:cs="仿宋_GB2312"/>
          <w:b w:val="0"/>
          <w:bCs/>
          <w:color w:val="000000"/>
          <w:sz w:val="32"/>
          <w:szCs w:val="32"/>
          <w:lang w:eastAsia="zh-CN"/>
        </w:rPr>
        <w:t>。</w:t>
      </w:r>
    </w:p>
    <w:p w14:paraId="13867D81">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2.住房保障支出（类）：支出决算为</w:t>
      </w:r>
      <w:r>
        <w:rPr>
          <w:rStyle w:val="16"/>
          <w:rFonts w:hint="eastAsia" w:ascii="仿宋_GB2312" w:hAnsi="仿宋_GB2312" w:eastAsia="仿宋_GB2312" w:cs="仿宋_GB2312"/>
          <w:b w:val="0"/>
          <w:bCs/>
          <w:color w:val="000000"/>
          <w:sz w:val="32"/>
          <w:szCs w:val="32"/>
          <w:lang w:val="en-US" w:eastAsia="zh-CN"/>
        </w:rPr>
        <w:t>14.72</w:t>
      </w:r>
      <w:r>
        <w:rPr>
          <w:rStyle w:val="16"/>
          <w:rFonts w:hint="eastAsia" w:ascii="仿宋_GB2312" w:hAnsi="仿宋_GB2312" w:eastAsia="仿宋_GB2312" w:cs="仿宋_GB2312"/>
          <w:b w:val="0"/>
          <w:bCs/>
          <w:color w:val="000000"/>
          <w:sz w:val="32"/>
          <w:szCs w:val="32"/>
        </w:rPr>
        <w:t>万元，完成预算100%。</w:t>
      </w:r>
    </w:p>
    <w:p w14:paraId="0558902C">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住房改革支出（款）：支出决算为</w:t>
      </w:r>
      <w:r>
        <w:rPr>
          <w:rStyle w:val="16"/>
          <w:rFonts w:hint="eastAsia" w:ascii="仿宋_GB2312" w:hAnsi="仿宋_GB2312" w:eastAsia="仿宋_GB2312" w:cs="仿宋_GB2312"/>
          <w:b w:val="0"/>
          <w:bCs/>
          <w:color w:val="000000"/>
          <w:sz w:val="32"/>
          <w:szCs w:val="32"/>
          <w:lang w:val="en-US" w:eastAsia="zh-CN"/>
        </w:rPr>
        <w:t>14.72</w:t>
      </w:r>
      <w:r>
        <w:rPr>
          <w:rStyle w:val="16"/>
          <w:rFonts w:hint="eastAsia" w:ascii="仿宋_GB2312" w:hAnsi="仿宋_GB2312" w:eastAsia="仿宋_GB2312" w:cs="仿宋_GB2312"/>
          <w:b w:val="0"/>
          <w:bCs/>
          <w:color w:val="000000"/>
          <w:sz w:val="32"/>
          <w:szCs w:val="32"/>
        </w:rPr>
        <w:t>万元，完成预算100%。</w:t>
      </w:r>
    </w:p>
    <w:p w14:paraId="76801266">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住房公积金（项）: 支出决算为</w:t>
      </w:r>
      <w:r>
        <w:rPr>
          <w:rStyle w:val="16"/>
          <w:rFonts w:hint="eastAsia" w:ascii="仿宋_GB2312" w:hAnsi="仿宋_GB2312" w:eastAsia="仿宋_GB2312" w:cs="仿宋_GB2312"/>
          <w:b w:val="0"/>
          <w:bCs/>
          <w:color w:val="000000"/>
          <w:sz w:val="32"/>
          <w:szCs w:val="32"/>
          <w:lang w:val="en-US" w:eastAsia="zh-CN"/>
        </w:rPr>
        <w:t>14.72</w:t>
      </w:r>
      <w:r>
        <w:rPr>
          <w:rStyle w:val="16"/>
          <w:rFonts w:hint="eastAsia" w:ascii="仿宋_GB2312" w:hAnsi="仿宋_GB2312" w:eastAsia="仿宋_GB2312" w:cs="仿宋_GB2312"/>
          <w:b w:val="0"/>
          <w:bCs/>
          <w:color w:val="000000"/>
          <w:sz w:val="32"/>
          <w:szCs w:val="32"/>
        </w:rPr>
        <w:t>万元，完成预算100%。</w:t>
      </w:r>
    </w:p>
    <w:p w14:paraId="7601FAAC">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3.社会保障和就业支出（类）：支出决算为</w:t>
      </w:r>
      <w:r>
        <w:rPr>
          <w:rStyle w:val="16"/>
          <w:rFonts w:hint="eastAsia" w:ascii="仿宋_GB2312" w:hAnsi="仿宋_GB2312" w:eastAsia="仿宋_GB2312" w:cs="仿宋_GB2312"/>
          <w:b w:val="0"/>
          <w:bCs/>
          <w:color w:val="000000"/>
          <w:sz w:val="32"/>
          <w:szCs w:val="32"/>
          <w:lang w:val="en-US" w:eastAsia="zh-CN"/>
        </w:rPr>
        <w:t>27.37</w:t>
      </w:r>
      <w:r>
        <w:rPr>
          <w:rStyle w:val="16"/>
          <w:rFonts w:hint="eastAsia" w:ascii="仿宋_GB2312" w:hAnsi="仿宋_GB2312" w:eastAsia="仿宋_GB2312" w:cs="仿宋_GB2312"/>
          <w:b w:val="0"/>
          <w:bCs/>
          <w:color w:val="000000"/>
          <w:sz w:val="32"/>
          <w:szCs w:val="32"/>
        </w:rPr>
        <w:t>万元，完成预算100%。</w:t>
      </w:r>
    </w:p>
    <w:p w14:paraId="6DDE99A2">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行政事业单位离退休（款）：支出决算为</w:t>
      </w:r>
      <w:r>
        <w:rPr>
          <w:rStyle w:val="16"/>
          <w:rFonts w:hint="eastAsia" w:ascii="仿宋_GB2312" w:hAnsi="仿宋_GB2312" w:eastAsia="仿宋_GB2312" w:cs="仿宋_GB2312"/>
          <w:b w:val="0"/>
          <w:bCs/>
          <w:color w:val="000000"/>
          <w:sz w:val="32"/>
          <w:szCs w:val="32"/>
          <w:lang w:val="en-US" w:eastAsia="zh-CN"/>
        </w:rPr>
        <w:t>27.37</w:t>
      </w:r>
      <w:r>
        <w:rPr>
          <w:rStyle w:val="16"/>
          <w:rFonts w:hint="eastAsia" w:ascii="仿宋_GB2312" w:hAnsi="仿宋_GB2312" w:eastAsia="仿宋_GB2312" w:cs="仿宋_GB2312"/>
          <w:b w:val="0"/>
          <w:bCs/>
          <w:color w:val="000000"/>
          <w:sz w:val="32"/>
          <w:szCs w:val="32"/>
        </w:rPr>
        <w:t>万元，完成预算100%。</w:t>
      </w:r>
    </w:p>
    <w:p w14:paraId="573E2157">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机关事业单位基本养老保险缴费支出（项）：支出决算为</w:t>
      </w:r>
      <w:r>
        <w:rPr>
          <w:rStyle w:val="16"/>
          <w:rFonts w:hint="eastAsia" w:ascii="仿宋_GB2312" w:hAnsi="仿宋_GB2312" w:eastAsia="仿宋_GB2312" w:cs="仿宋_GB2312"/>
          <w:b w:val="0"/>
          <w:bCs/>
          <w:color w:val="000000"/>
          <w:sz w:val="32"/>
          <w:szCs w:val="32"/>
          <w:lang w:val="en-US" w:eastAsia="zh-CN"/>
        </w:rPr>
        <w:t>18.46</w:t>
      </w:r>
      <w:r>
        <w:rPr>
          <w:rStyle w:val="16"/>
          <w:rFonts w:hint="eastAsia" w:ascii="仿宋_GB2312" w:hAnsi="仿宋_GB2312" w:eastAsia="仿宋_GB2312" w:cs="仿宋_GB2312"/>
          <w:b w:val="0"/>
          <w:bCs/>
          <w:color w:val="000000"/>
          <w:sz w:val="32"/>
          <w:szCs w:val="32"/>
        </w:rPr>
        <w:t>万元，完成预算100%。</w:t>
      </w:r>
    </w:p>
    <w:p w14:paraId="3E025AE5">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机关事业单位职业年金缴费支出（项）:支出决算为</w:t>
      </w:r>
      <w:r>
        <w:rPr>
          <w:rStyle w:val="16"/>
          <w:rFonts w:hint="eastAsia" w:ascii="仿宋_GB2312" w:hAnsi="仿宋_GB2312" w:eastAsia="仿宋_GB2312" w:cs="仿宋_GB2312"/>
          <w:b w:val="0"/>
          <w:bCs/>
          <w:color w:val="000000"/>
          <w:sz w:val="32"/>
          <w:szCs w:val="32"/>
          <w:lang w:val="en-US" w:eastAsia="zh-CN"/>
        </w:rPr>
        <w:t>8.91</w:t>
      </w:r>
      <w:r>
        <w:rPr>
          <w:rStyle w:val="16"/>
          <w:rFonts w:hint="eastAsia" w:ascii="仿宋_GB2312" w:hAnsi="仿宋_GB2312" w:eastAsia="仿宋_GB2312" w:cs="仿宋_GB2312"/>
          <w:b w:val="0"/>
          <w:bCs/>
          <w:color w:val="000000"/>
          <w:sz w:val="32"/>
          <w:szCs w:val="32"/>
        </w:rPr>
        <w:t>万元，完成预算100%。</w:t>
      </w:r>
    </w:p>
    <w:p w14:paraId="38773BA5">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4.</w:t>
      </w:r>
      <w:r>
        <w:rPr>
          <w:rStyle w:val="16"/>
          <w:rFonts w:hint="eastAsia" w:ascii="仿宋_GB2312" w:hAnsi="仿宋_GB2312" w:eastAsia="仿宋_GB2312" w:cs="仿宋_GB2312"/>
          <w:b w:val="0"/>
          <w:bCs/>
          <w:color w:val="000000"/>
          <w:sz w:val="32"/>
          <w:szCs w:val="32"/>
          <w:lang w:val="en-US" w:eastAsia="zh-CN"/>
        </w:rPr>
        <w:t>卫生健康支出</w:t>
      </w:r>
      <w:r>
        <w:rPr>
          <w:rStyle w:val="16"/>
          <w:rFonts w:hint="eastAsia" w:ascii="仿宋_GB2312" w:hAnsi="仿宋_GB2312" w:eastAsia="仿宋_GB2312" w:cs="仿宋_GB2312"/>
          <w:b w:val="0"/>
          <w:bCs/>
          <w:color w:val="000000"/>
          <w:sz w:val="32"/>
          <w:szCs w:val="32"/>
        </w:rPr>
        <w:t>（类）：支出决算为</w:t>
      </w:r>
      <w:r>
        <w:rPr>
          <w:rStyle w:val="16"/>
          <w:rFonts w:hint="eastAsia" w:ascii="仿宋_GB2312" w:hAnsi="仿宋_GB2312" w:eastAsia="仿宋_GB2312" w:cs="仿宋_GB2312"/>
          <w:b w:val="0"/>
          <w:bCs/>
          <w:color w:val="000000"/>
          <w:sz w:val="32"/>
          <w:szCs w:val="32"/>
          <w:lang w:val="en-US" w:eastAsia="zh-CN"/>
        </w:rPr>
        <w:t>6.15</w:t>
      </w:r>
      <w:r>
        <w:rPr>
          <w:rStyle w:val="16"/>
          <w:rFonts w:hint="eastAsia" w:ascii="仿宋_GB2312" w:hAnsi="仿宋_GB2312" w:eastAsia="仿宋_GB2312" w:cs="仿宋_GB2312"/>
          <w:b w:val="0"/>
          <w:bCs/>
          <w:color w:val="000000"/>
          <w:sz w:val="32"/>
          <w:szCs w:val="32"/>
        </w:rPr>
        <w:t>万元，完成预算100%。</w:t>
      </w:r>
    </w:p>
    <w:p w14:paraId="5175CDF1">
      <w:pPr>
        <w:spacing w:line="600" w:lineRule="exact"/>
        <w:ind w:firstLine="640" w:firstLineChars="200"/>
        <w:rPr>
          <w:rStyle w:val="16"/>
          <w:rFonts w:hint="eastAsia" w:ascii="仿宋_GB2312" w:hAnsi="仿宋_GB2312" w:eastAsia="仿宋_GB2312" w:cs="仿宋_GB2312"/>
          <w:b w:val="0"/>
          <w:bCs/>
          <w:color w:val="000000"/>
          <w:sz w:val="32"/>
          <w:szCs w:val="32"/>
        </w:rPr>
      </w:pPr>
      <w:r>
        <w:rPr>
          <w:rStyle w:val="16"/>
          <w:rFonts w:hint="eastAsia" w:ascii="仿宋_GB2312" w:hAnsi="仿宋_GB2312" w:eastAsia="仿宋_GB2312" w:cs="仿宋_GB2312"/>
          <w:b w:val="0"/>
          <w:bCs/>
          <w:color w:val="000000"/>
          <w:sz w:val="32"/>
          <w:szCs w:val="32"/>
        </w:rPr>
        <w:t>事业单位医疗（项）:支出决算为</w:t>
      </w:r>
      <w:r>
        <w:rPr>
          <w:rStyle w:val="16"/>
          <w:rFonts w:hint="eastAsia" w:ascii="仿宋_GB2312" w:hAnsi="仿宋_GB2312" w:eastAsia="仿宋_GB2312" w:cs="仿宋_GB2312"/>
          <w:b w:val="0"/>
          <w:bCs/>
          <w:color w:val="000000"/>
          <w:sz w:val="32"/>
          <w:szCs w:val="32"/>
          <w:lang w:val="en-US" w:eastAsia="zh-CN"/>
        </w:rPr>
        <w:t>6.15</w:t>
      </w:r>
      <w:r>
        <w:rPr>
          <w:rStyle w:val="16"/>
          <w:rFonts w:hint="eastAsia" w:ascii="仿宋_GB2312" w:hAnsi="仿宋_GB2312" w:eastAsia="仿宋_GB2312" w:cs="仿宋_GB2312"/>
          <w:b w:val="0"/>
          <w:bCs/>
          <w:color w:val="000000"/>
          <w:sz w:val="32"/>
          <w:szCs w:val="32"/>
        </w:rPr>
        <w:t>万元，完成预算100%。</w:t>
      </w:r>
    </w:p>
    <w:p w14:paraId="6F3B6A33">
      <w:pPr>
        <w:spacing w:line="600" w:lineRule="exact"/>
        <w:ind w:firstLine="640" w:firstLineChars="200"/>
        <w:rPr>
          <w:rFonts w:hint="eastAsia" w:ascii="仿宋_GB2312" w:hAnsi="仿宋_GB2312" w:eastAsia="仿宋_GB2312" w:cs="仿宋_GB2312"/>
          <w:b w:val="0"/>
          <w:bCs/>
          <w:color w:val="000000"/>
          <w:sz w:val="32"/>
          <w:szCs w:val="32"/>
          <w:lang w:eastAsia="zh-CN"/>
        </w:rPr>
      </w:pPr>
      <w:r>
        <w:rPr>
          <w:rStyle w:val="16"/>
          <w:rFonts w:hint="eastAsia" w:ascii="仿宋_GB2312" w:hAnsi="仿宋_GB2312" w:eastAsia="仿宋_GB2312" w:cs="仿宋_GB2312"/>
          <w:b w:val="0"/>
          <w:bCs/>
          <w:color w:val="000000"/>
          <w:sz w:val="32"/>
          <w:szCs w:val="32"/>
        </w:rPr>
        <w:t>其他行政事业单位医疗支出（项）：支出决算为</w:t>
      </w:r>
      <w:r>
        <w:rPr>
          <w:rStyle w:val="16"/>
          <w:rFonts w:hint="eastAsia" w:ascii="仿宋_GB2312" w:hAnsi="仿宋_GB2312" w:eastAsia="仿宋_GB2312" w:cs="仿宋_GB2312"/>
          <w:b w:val="0"/>
          <w:bCs/>
          <w:color w:val="000000"/>
          <w:sz w:val="32"/>
          <w:szCs w:val="32"/>
          <w:lang w:val="en-US" w:eastAsia="zh-CN"/>
        </w:rPr>
        <w:t>6.15</w:t>
      </w:r>
      <w:r>
        <w:rPr>
          <w:rStyle w:val="16"/>
          <w:rFonts w:hint="eastAsia" w:ascii="仿宋_GB2312" w:hAnsi="仿宋_GB2312" w:eastAsia="仿宋_GB2312" w:cs="仿宋_GB2312"/>
          <w:b w:val="0"/>
          <w:bCs/>
          <w:color w:val="000000"/>
          <w:sz w:val="32"/>
          <w:szCs w:val="32"/>
        </w:rPr>
        <w:t>万元，完成预算100%</w:t>
      </w:r>
      <w:r>
        <w:rPr>
          <w:rStyle w:val="16"/>
          <w:rFonts w:hint="eastAsia" w:ascii="仿宋_GB2312" w:hAnsi="仿宋_GB2312" w:eastAsia="仿宋_GB2312" w:cs="仿宋_GB2312"/>
          <w:b w:val="0"/>
          <w:bCs/>
          <w:color w:val="000000"/>
          <w:sz w:val="32"/>
          <w:szCs w:val="32"/>
          <w:lang w:eastAsia="zh-CN"/>
        </w:rPr>
        <w:t>。</w:t>
      </w:r>
    </w:p>
    <w:p w14:paraId="38415D47">
      <w:pPr>
        <w:pStyle w:val="13"/>
      </w:pPr>
      <w:r>
        <w:t> </w:t>
      </w:r>
    </w:p>
    <w:p w14:paraId="1D84B484">
      <w:pPr>
        <w:pStyle w:val="13"/>
      </w:pPr>
      <w:r>
        <w:rPr>
          <w:rFonts w:hint="eastAsia" w:ascii="黑体" w:hAnsi="黑体" w:eastAsia="黑体" w:cs="黑体"/>
          <w:sz w:val="32"/>
          <w:szCs w:val="32"/>
        </w:rPr>
        <w:t>六</w:t>
      </w:r>
      <w:r>
        <w:rPr>
          <w:rStyle w:val="16"/>
          <w:rFonts w:hint="eastAsia" w:ascii="黑体" w:hAnsi="黑体" w:eastAsia="黑体" w:cs="黑体"/>
          <w:sz w:val="32"/>
          <w:szCs w:val="32"/>
        </w:rPr>
        <w:t>、一</w:t>
      </w:r>
      <w:r>
        <w:rPr>
          <w:rFonts w:hint="eastAsia" w:ascii="黑体" w:hAnsi="黑体" w:eastAsia="黑体" w:cs="黑体"/>
          <w:sz w:val="32"/>
          <w:szCs w:val="32"/>
        </w:rPr>
        <w:t>般公共预算财政拨款基本支出决算情况说明  </w:t>
      </w:r>
      <w:r>
        <w:t> </w:t>
      </w:r>
    </w:p>
    <w:p w14:paraId="3D703358">
      <w:pPr>
        <w:pStyle w:val="1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2022年一般公共预算财政拨款基本支出252.42万元，其中：</w:t>
      </w:r>
    </w:p>
    <w:p w14:paraId="0C8EFDBD">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228.66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2DA4EEFF">
      <w:pPr>
        <w:pStyle w:val="13"/>
      </w:pPr>
      <w:r>
        <w:rPr>
          <w:rFonts w:hint="eastAsia" w:ascii="仿宋_GB2312" w:hAnsi="仿宋_GB2312" w:eastAsia="仿宋_GB2312" w:cs="仿宋_GB2312"/>
          <w:sz w:val="32"/>
          <w:szCs w:val="32"/>
        </w:rPr>
        <w:t>　　公用经费23.76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t> </w:t>
      </w:r>
    </w:p>
    <w:p w14:paraId="3B158591">
      <w:pPr>
        <w:pStyle w:val="13"/>
        <w:rPr>
          <w:rFonts w:hint="eastAsia" w:ascii="黑体" w:hAnsi="黑体" w:eastAsia="黑体" w:cs="黑体"/>
          <w:sz w:val="32"/>
          <w:szCs w:val="32"/>
        </w:rPr>
      </w:pPr>
      <w:r>
        <w:rPr>
          <w:rFonts w:hint="eastAsia" w:ascii="黑体" w:hAnsi="黑体" w:eastAsia="黑体" w:cs="黑体"/>
          <w:sz w:val="32"/>
          <w:szCs w:val="32"/>
        </w:rPr>
        <w:t>七、“三公”经费财政拨款支出决算情况说明</w:t>
      </w:r>
    </w:p>
    <w:p w14:paraId="70753F00">
      <w:pPr>
        <w:pStyle w:val="13"/>
        <w:rPr>
          <w:rFonts w:hint="eastAsia" w:ascii="仿宋" w:hAnsi="仿宋" w:eastAsia="仿宋" w:cs="仿宋"/>
          <w:sz w:val="32"/>
          <w:szCs w:val="32"/>
        </w:rPr>
      </w:pPr>
      <w:r>
        <w:rPr>
          <w:rStyle w:val="16"/>
          <w:rFonts w:hint="eastAsia" w:ascii="仿宋" w:hAnsi="仿宋" w:eastAsia="仿宋" w:cs="仿宋"/>
          <w:sz w:val="32"/>
          <w:szCs w:val="32"/>
        </w:rPr>
        <w:t>（一）“三公”经费财政拨款支出决算总体情况说明</w:t>
      </w:r>
    </w:p>
    <w:p w14:paraId="003DF154">
      <w:pPr>
        <w:pStyle w:val="13"/>
        <w:rPr>
          <w:rFonts w:hint="eastAsia" w:ascii="仿宋" w:hAnsi="仿宋" w:eastAsia="仿宋" w:cs="仿宋"/>
          <w:sz w:val="32"/>
          <w:szCs w:val="32"/>
        </w:rPr>
      </w:pPr>
      <w:r>
        <w:rPr>
          <w:rFonts w:hint="eastAsia" w:ascii="仿宋" w:hAnsi="仿宋" w:eastAsia="仿宋" w:cs="仿宋"/>
          <w:sz w:val="32"/>
          <w:szCs w:val="32"/>
        </w:rPr>
        <w:t>2022年“三公”经费财政拨款支出决算为0.31万元，完成预算100.00%。</w:t>
      </w:r>
    </w:p>
    <w:p w14:paraId="49C01276">
      <w:pPr>
        <w:pStyle w:val="13"/>
        <w:rPr>
          <w:rFonts w:hint="eastAsia" w:ascii="仿宋" w:hAnsi="仿宋" w:eastAsia="仿宋" w:cs="仿宋"/>
          <w:sz w:val="32"/>
          <w:szCs w:val="32"/>
        </w:rPr>
      </w:pPr>
      <w:r>
        <w:rPr>
          <w:rStyle w:val="16"/>
          <w:rFonts w:hint="eastAsia" w:ascii="仿宋" w:hAnsi="仿宋" w:eastAsia="仿宋" w:cs="仿宋"/>
          <w:sz w:val="32"/>
          <w:szCs w:val="32"/>
        </w:rPr>
        <w:t>（二）“三公”经费财政拨款支出决算具体情况说明</w:t>
      </w:r>
    </w:p>
    <w:p w14:paraId="3B7935B5">
      <w:pPr>
        <w:pStyle w:val="13"/>
        <w:rPr>
          <w:rFonts w:hint="eastAsia" w:ascii="仿宋" w:hAnsi="仿宋" w:eastAsia="仿宋" w:cs="仿宋"/>
          <w:b w:val="0"/>
          <w:bCs w:val="0"/>
          <w:sz w:val="32"/>
          <w:szCs w:val="32"/>
        </w:rPr>
      </w:pPr>
      <w:r>
        <w:rPr>
          <w:rFonts w:hint="eastAsia" w:ascii="仿宋" w:hAnsi="仿宋" w:eastAsia="仿宋" w:cs="仿宋"/>
          <w:b w:val="0"/>
          <w:bCs w:val="0"/>
          <w:sz w:val="32"/>
          <w:szCs w:val="32"/>
        </w:rPr>
        <w:t>2022年“三公”经费财政拨款支出决算中，因公出国（境）费支出决算0.00万元，占0.00%；公务用车购置及运行维护费支出决算0.00万元，占0.00%；公务接待费支出决算0.31万元，占100.00%。具体情况如下：</w:t>
      </w:r>
    </w:p>
    <w:p w14:paraId="649D3B87">
      <w:pPr>
        <w:pStyle w:val="13"/>
        <w:rPr>
          <w:rFonts w:hint="eastAsia" w:ascii="仿宋" w:hAnsi="仿宋" w:eastAsia="仿宋" w:cs="仿宋"/>
          <w:b w:val="0"/>
          <w:bCs w:val="0"/>
          <w:sz w:val="32"/>
          <w:szCs w:val="32"/>
        </w:rPr>
      </w:pPr>
      <w:r>
        <w:rPr>
          <w:rFonts w:hint="eastAsia" w:ascii="仿宋" w:hAnsi="仿宋" w:eastAsia="仿宋" w:cs="仿宋"/>
          <w:b w:val="0"/>
          <w:bCs w:val="0"/>
          <w:sz w:val="32"/>
          <w:szCs w:val="32"/>
        </w:rPr>
        <w:t>（图7：“三公”经费财政拨款支出结构）（饼状图）</w:t>
      </w:r>
    </w:p>
    <w:p w14:paraId="196120F0">
      <w:pPr>
        <w:pStyle w:val="13"/>
        <w:rPr>
          <w:rFonts w:hint="eastAsia" w:ascii="仿宋" w:hAnsi="仿宋" w:eastAsia="仿宋" w:cs="仿宋"/>
          <w:b w:val="0"/>
          <w:bCs w:val="0"/>
          <w:sz w:val="32"/>
          <w:szCs w:val="32"/>
        </w:rPr>
      </w:pPr>
      <w:r>
        <w:rPr>
          <w:rStyle w:val="16"/>
          <w:rFonts w:hint="eastAsia" w:ascii="仿宋" w:hAnsi="仿宋" w:eastAsia="仿宋" w:cs="仿宋"/>
          <w:b w:val="0"/>
          <w:bCs w:val="0"/>
          <w:sz w:val="32"/>
          <w:szCs w:val="32"/>
        </w:rPr>
        <w:t>1.公务接待费支出</w:t>
      </w:r>
      <w:r>
        <w:rPr>
          <w:rFonts w:hint="eastAsia" w:ascii="仿宋" w:hAnsi="仿宋" w:eastAsia="仿宋" w:cs="仿宋"/>
          <w:b w:val="0"/>
          <w:bCs w:val="0"/>
          <w:sz w:val="32"/>
          <w:szCs w:val="32"/>
        </w:rPr>
        <w:t>0.31万元，</w:t>
      </w:r>
      <w:r>
        <w:rPr>
          <w:rStyle w:val="16"/>
          <w:rFonts w:hint="eastAsia" w:ascii="仿宋" w:hAnsi="仿宋" w:eastAsia="仿宋" w:cs="仿宋"/>
          <w:b w:val="0"/>
          <w:bCs w:val="0"/>
          <w:sz w:val="32"/>
          <w:szCs w:val="32"/>
        </w:rPr>
        <w:t>完成预算100%。</w:t>
      </w:r>
      <w:r>
        <w:rPr>
          <w:rFonts w:hint="eastAsia" w:ascii="仿宋" w:hAnsi="仿宋" w:eastAsia="仿宋" w:cs="仿宋"/>
          <w:b w:val="0"/>
          <w:bCs w:val="0"/>
          <w:sz w:val="32"/>
          <w:szCs w:val="32"/>
        </w:rPr>
        <w:t>公务接待费支出决算比2021年增加0.31万元，增长0.00%。其中：</w:t>
      </w:r>
    </w:p>
    <w:p w14:paraId="721BA92B">
      <w:pPr>
        <w:pStyle w:val="13"/>
        <w:rPr>
          <w:rFonts w:hint="eastAsia" w:ascii="仿宋" w:hAnsi="仿宋" w:eastAsia="仿宋" w:cs="仿宋"/>
          <w:b w:val="0"/>
          <w:bCs w:val="0"/>
          <w:sz w:val="32"/>
          <w:szCs w:val="32"/>
        </w:rPr>
      </w:pPr>
      <w:r>
        <w:rPr>
          <w:rStyle w:val="16"/>
          <w:rFonts w:hint="eastAsia" w:ascii="仿宋" w:hAnsi="仿宋" w:eastAsia="仿宋" w:cs="仿宋"/>
          <w:b w:val="0"/>
          <w:bCs w:val="0"/>
          <w:sz w:val="32"/>
          <w:szCs w:val="32"/>
        </w:rPr>
        <w:t>国内公务接待支出</w:t>
      </w:r>
      <w:r>
        <w:rPr>
          <w:rFonts w:hint="eastAsia" w:ascii="仿宋" w:hAnsi="仿宋" w:eastAsia="仿宋" w:cs="仿宋"/>
          <w:b w:val="0"/>
          <w:bCs w:val="0"/>
          <w:sz w:val="32"/>
          <w:szCs w:val="32"/>
        </w:rPr>
        <w:t>0.31万元，主要用于</w:t>
      </w:r>
      <w:r>
        <w:rPr>
          <w:rFonts w:hint="eastAsia" w:ascii="仿宋" w:hAnsi="仿宋" w:eastAsia="仿宋" w:cs="仿宋"/>
          <w:b w:val="0"/>
          <w:bCs w:val="0"/>
          <w:sz w:val="32"/>
          <w:szCs w:val="32"/>
          <w:lang w:val="en-US" w:eastAsia="zh-CN"/>
        </w:rPr>
        <w:t>城乡环境综合治理工作餐费</w:t>
      </w:r>
      <w:r>
        <w:rPr>
          <w:rFonts w:hint="eastAsia" w:ascii="仿宋" w:hAnsi="仿宋" w:eastAsia="仿宋" w:cs="仿宋"/>
          <w:b w:val="0"/>
          <w:bCs w:val="0"/>
          <w:sz w:val="32"/>
          <w:szCs w:val="32"/>
        </w:rPr>
        <w:t>。国内公务接待2批次，25人次（不包括陪同人员），共计支出0.31万元</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 </w:t>
      </w:r>
    </w:p>
    <w:p w14:paraId="30BFD28D">
      <w:pPr>
        <w:pStyle w:val="13"/>
        <w:rPr>
          <w:rFonts w:hint="eastAsia" w:ascii="黑体" w:hAnsi="黑体" w:eastAsia="黑体" w:cs="黑体"/>
          <w:sz w:val="32"/>
          <w:szCs w:val="32"/>
        </w:rPr>
      </w:pPr>
      <w:r>
        <w:rPr>
          <w:rFonts w:hint="eastAsia" w:ascii="黑体" w:hAnsi="黑体" w:eastAsia="黑体" w:cs="黑体"/>
          <w:sz w:val="32"/>
          <w:szCs w:val="32"/>
        </w:rPr>
        <w:t>八、政府性基金预算支出决算情况说明</w:t>
      </w:r>
    </w:p>
    <w:p w14:paraId="42F8C01E">
      <w:pPr>
        <w:pStyle w:val="13"/>
        <w:rPr>
          <w:rFonts w:hint="eastAsia" w:ascii="仿宋" w:hAnsi="仿宋" w:eastAsia="仿宋" w:cs="仿宋"/>
          <w:sz w:val="32"/>
          <w:szCs w:val="32"/>
        </w:rPr>
      </w:pPr>
      <w:r>
        <w:rPr>
          <w:rFonts w:hint="eastAsia" w:ascii="仿宋" w:hAnsi="仿宋" w:eastAsia="仿宋" w:cs="仿宋"/>
          <w:sz w:val="32"/>
          <w:szCs w:val="32"/>
        </w:rPr>
        <w:t>2022年政府性基金预算财政拨款支出0.00万元。</w:t>
      </w:r>
    </w:p>
    <w:p w14:paraId="422A9F9F">
      <w:pPr>
        <w:pStyle w:val="13"/>
      </w:pPr>
      <w:r>
        <w:t> </w:t>
      </w:r>
    </w:p>
    <w:p w14:paraId="4516268A">
      <w:pPr>
        <w:pStyle w:val="13"/>
        <w:rPr>
          <w:rFonts w:hint="eastAsia" w:ascii="黑体" w:hAnsi="黑体" w:eastAsia="黑体" w:cs="黑体"/>
          <w:sz w:val="32"/>
          <w:szCs w:val="32"/>
        </w:rPr>
      </w:pPr>
      <w:r>
        <w:rPr>
          <w:rFonts w:hint="eastAsia" w:ascii="黑体" w:hAnsi="黑体" w:eastAsia="黑体" w:cs="黑体"/>
          <w:sz w:val="32"/>
          <w:szCs w:val="32"/>
        </w:rPr>
        <w:t>九、国有资本经营预算支出决算情况说明</w:t>
      </w:r>
    </w:p>
    <w:p w14:paraId="4652500F">
      <w:pPr>
        <w:pStyle w:val="13"/>
        <w:rPr>
          <w:rFonts w:hint="eastAsia" w:ascii="仿宋" w:hAnsi="仿宋" w:eastAsia="仿宋" w:cs="仿宋"/>
          <w:sz w:val="32"/>
          <w:szCs w:val="32"/>
        </w:rPr>
      </w:pPr>
      <w:r>
        <w:rPr>
          <w:rFonts w:hint="eastAsia" w:ascii="仿宋" w:hAnsi="仿宋" w:eastAsia="仿宋" w:cs="仿宋"/>
          <w:sz w:val="32"/>
          <w:szCs w:val="32"/>
        </w:rPr>
        <w:t>2022年国有资本经营预算财政拨款支出0.00万元。</w:t>
      </w:r>
    </w:p>
    <w:p w14:paraId="21FD218D">
      <w:pPr>
        <w:pStyle w:val="13"/>
        <w:jc w:val="center"/>
        <w:rPr>
          <w:rFonts w:hint="eastAsia" w:ascii="黑体" w:hAnsi="黑体" w:eastAsia="黑体" w:cs="黑体"/>
          <w:sz w:val="32"/>
          <w:szCs w:val="32"/>
        </w:rPr>
      </w:pPr>
      <w:r>
        <w:rPr>
          <w:rFonts w:hint="eastAsia" w:ascii="黑体" w:hAnsi="黑体" w:eastAsia="黑体" w:cs="黑体"/>
          <w:sz w:val="32"/>
          <w:szCs w:val="32"/>
        </w:rPr>
        <w:t> </w:t>
      </w:r>
    </w:p>
    <w:p w14:paraId="1AC70932">
      <w:pPr>
        <w:pStyle w:val="13"/>
        <w:rPr>
          <w:rFonts w:hint="eastAsia" w:ascii="黑体" w:hAnsi="黑体" w:eastAsia="黑体" w:cs="黑体"/>
          <w:sz w:val="32"/>
          <w:szCs w:val="32"/>
        </w:rPr>
      </w:pPr>
      <w:r>
        <w:rPr>
          <w:rFonts w:hint="eastAsia" w:ascii="黑体" w:hAnsi="黑体" w:eastAsia="黑体" w:cs="黑体"/>
          <w:sz w:val="32"/>
          <w:szCs w:val="32"/>
        </w:rPr>
        <w:t>十、其他重要事项的情况说明</w:t>
      </w:r>
    </w:p>
    <w:p w14:paraId="75678C47">
      <w:pPr>
        <w:pStyle w:val="13"/>
        <w:rPr>
          <w:rFonts w:hint="eastAsia" w:ascii="仿宋" w:hAnsi="仿宋" w:eastAsia="仿宋" w:cs="仿宋"/>
          <w:sz w:val="32"/>
          <w:szCs w:val="32"/>
        </w:rPr>
      </w:pPr>
      <w:r>
        <w:rPr>
          <w:rStyle w:val="16"/>
          <w:rFonts w:hint="eastAsia" w:ascii="仿宋" w:hAnsi="仿宋" w:eastAsia="仿宋" w:cs="仿宋"/>
          <w:sz w:val="32"/>
          <w:szCs w:val="32"/>
        </w:rPr>
        <w:t>（一）机关运行经费支出情况</w:t>
      </w:r>
    </w:p>
    <w:p w14:paraId="0FEA8A0F">
      <w:pPr>
        <w:pStyle w:val="13"/>
        <w:rPr>
          <w:rFonts w:hint="eastAsia" w:ascii="仿宋" w:hAnsi="仿宋" w:eastAsia="仿宋" w:cs="仿宋"/>
          <w:sz w:val="32"/>
          <w:szCs w:val="32"/>
          <w:lang w:eastAsia="zh-CN"/>
        </w:rPr>
      </w:pPr>
      <w:r>
        <w:rPr>
          <w:rFonts w:hint="eastAsia" w:ascii="仿宋" w:hAnsi="仿宋" w:eastAsia="仿宋" w:cs="仿宋"/>
          <w:sz w:val="32"/>
          <w:szCs w:val="32"/>
        </w:rPr>
        <w:t>2022年，阿坝州城乡环境综合治理服务中心机关运行经费支出0.00万元</w:t>
      </w:r>
      <w:r>
        <w:rPr>
          <w:rFonts w:hint="eastAsia" w:ascii="仿宋" w:hAnsi="仿宋" w:eastAsia="仿宋" w:cs="仿宋"/>
          <w:sz w:val="32"/>
          <w:szCs w:val="32"/>
          <w:lang w:eastAsia="zh-CN"/>
        </w:rPr>
        <w:t>。</w:t>
      </w:r>
    </w:p>
    <w:p w14:paraId="4724BE90">
      <w:pPr>
        <w:pStyle w:val="13"/>
        <w:rPr>
          <w:rFonts w:hint="eastAsia" w:ascii="仿宋" w:hAnsi="仿宋" w:eastAsia="仿宋" w:cs="仿宋"/>
          <w:sz w:val="32"/>
          <w:szCs w:val="32"/>
        </w:rPr>
      </w:pPr>
      <w:r>
        <w:rPr>
          <w:rStyle w:val="16"/>
          <w:rFonts w:hint="eastAsia" w:ascii="仿宋" w:hAnsi="仿宋" w:eastAsia="仿宋" w:cs="仿宋"/>
          <w:sz w:val="32"/>
          <w:szCs w:val="32"/>
        </w:rPr>
        <w:t>（二）政府采购支出情况</w:t>
      </w:r>
    </w:p>
    <w:p w14:paraId="4407115E">
      <w:pPr>
        <w:pStyle w:val="13"/>
        <w:jc w:val="left"/>
        <w:rPr>
          <w:rFonts w:hint="eastAsia" w:ascii="仿宋" w:hAnsi="仿宋" w:eastAsia="仿宋" w:cs="仿宋"/>
          <w:sz w:val="32"/>
          <w:szCs w:val="32"/>
          <w:lang w:eastAsia="zh-CN"/>
        </w:rPr>
      </w:pPr>
      <w:r>
        <w:rPr>
          <w:rFonts w:hint="eastAsia" w:ascii="仿宋" w:hAnsi="仿宋" w:eastAsia="仿宋" w:cs="仿宋"/>
          <w:sz w:val="32"/>
          <w:szCs w:val="32"/>
        </w:rPr>
        <w:t>2022年，阿坝州城乡环境综合治理服务中心政府采购支出总额0.00万元</w:t>
      </w:r>
      <w:r>
        <w:rPr>
          <w:rFonts w:hint="eastAsia" w:ascii="仿宋" w:hAnsi="仿宋" w:eastAsia="仿宋" w:cs="仿宋"/>
          <w:sz w:val="32"/>
          <w:szCs w:val="32"/>
          <w:lang w:eastAsia="zh-CN"/>
        </w:rPr>
        <w:t>。</w:t>
      </w:r>
    </w:p>
    <w:p w14:paraId="7DD58956">
      <w:pPr>
        <w:pStyle w:val="13"/>
        <w:rPr>
          <w:rFonts w:hint="eastAsia" w:ascii="仿宋" w:hAnsi="仿宋" w:eastAsia="仿宋" w:cs="仿宋"/>
          <w:sz w:val="32"/>
          <w:szCs w:val="32"/>
        </w:rPr>
      </w:pPr>
      <w:r>
        <w:rPr>
          <w:rStyle w:val="16"/>
          <w:rFonts w:hint="eastAsia" w:ascii="仿宋" w:hAnsi="仿宋" w:eastAsia="仿宋" w:cs="仿宋"/>
          <w:sz w:val="32"/>
          <w:szCs w:val="32"/>
        </w:rPr>
        <w:t>（三）国有资产占有使用情况</w:t>
      </w:r>
    </w:p>
    <w:p w14:paraId="6B9DB85A">
      <w:pPr>
        <w:pStyle w:val="13"/>
        <w:jc w:val="left"/>
        <w:rPr>
          <w:rFonts w:hint="eastAsia" w:ascii="仿宋" w:hAnsi="仿宋" w:eastAsia="仿宋" w:cs="仿宋"/>
          <w:sz w:val="32"/>
          <w:szCs w:val="32"/>
        </w:rPr>
      </w:pPr>
      <w:r>
        <w:rPr>
          <w:rFonts w:hint="eastAsia" w:ascii="仿宋" w:hAnsi="仿宋" w:eastAsia="仿宋" w:cs="仿宋"/>
          <w:sz w:val="32"/>
          <w:szCs w:val="32"/>
        </w:rPr>
        <w:t>截至2022年12月31日，阿坝州城乡环境综合治理服务中心共有车辆0辆</w:t>
      </w:r>
    </w:p>
    <w:p w14:paraId="78BF8429">
      <w:pPr>
        <w:pStyle w:val="13"/>
        <w:jc w:val="left"/>
      </w:pPr>
      <w:r>
        <w:t> </w:t>
      </w:r>
    </w:p>
    <w:p w14:paraId="56B884AE">
      <w:pPr>
        <w:pStyle w:val="13"/>
        <w:jc w:val="left"/>
      </w:pPr>
    </w:p>
    <w:p w14:paraId="6DF5983C">
      <w:pPr>
        <w:pStyle w:val="13"/>
        <w:jc w:val="left"/>
      </w:pPr>
    </w:p>
    <w:p w14:paraId="796D1B30">
      <w:pPr>
        <w:pStyle w:val="13"/>
        <w:jc w:val="left"/>
      </w:pPr>
    </w:p>
    <w:p w14:paraId="1856CCB2">
      <w:pPr>
        <w:pStyle w:val="13"/>
        <w:ind w:firstLine="1958" w:firstLineChars="500"/>
        <w:jc w:val="left"/>
      </w:pPr>
      <w:r>
        <w:rPr>
          <w:rStyle w:val="16"/>
          <w:sz w:val="39"/>
          <w:szCs w:val="39"/>
        </w:rPr>
        <w:t>第三部分 名词解释</w:t>
      </w:r>
    </w:p>
    <w:p w14:paraId="246402A0">
      <w:pPr>
        <w:pStyle w:val="13"/>
        <w:jc w:val="left"/>
      </w:pPr>
      <w:r>
        <w:t> </w:t>
      </w:r>
    </w:p>
    <w:p w14:paraId="08A6619E">
      <w:pPr>
        <w:pStyle w:val="24"/>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1C026918">
      <w:pPr>
        <w:pStyle w:val="24"/>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685A09AC">
      <w:pPr>
        <w:pStyle w:val="24"/>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680CBFC8">
      <w:pPr>
        <w:pStyle w:val="24"/>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1FE30E68">
      <w:pPr>
        <w:pStyle w:val="24"/>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368411D8">
      <w:pPr>
        <w:pStyle w:val="24"/>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7AB4EEDB">
      <w:pPr>
        <w:pStyle w:val="24"/>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4D8391C8">
      <w:pPr>
        <w:pStyle w:val="24"/>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3B12B309">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城乡社区支出（类）</w:t>
      </w:r>
    </w:p>
    <w:p w14:paraId="61D86374">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城乡社区管理事务（款）</w:t>
      </w:r>
    </w:p>
    <w:p w14:paraId="7D2D7336">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其他城乡社区</w:t>
      </w:r>
      <w:r>
        <w:rPr>
          <w:rFonts w:hint="eastAsia" w:ascii="仿宋_GB2312" w:hAnsi="仿宋_GB2312" w:eastAsia="仿宋_GB2312" w:cs="仿宋_GB2312"/>
          <w:color w:val="000000"/>
          <w:sz w:val="32"/>
          <w:szCs w:val="32"/>
          <w:lang w:val="en-US" w:eastAsia="zh-CN"/>
        </w:rPr>
        <w:t>管理事务</w:t>
      </w:r>
      <w:r>
        <w:rPr>
          <w:rFonts w:hint="eastAsia" w:ascii="仿宋_GB2312" w:hAnsi="仿宋_GB2312" w:eastAsia="仿宋_GB2312" w:cs="仿宋_GB2312"/>
          <w:color w:val="000000"/>
          <w:sz w:val="32"/>
          <w:szCs w:val="32"/>
        </w:rPr>
        <w:t>支出（项）:反映除城乡社区支出规定项目科目以外的其他用于城乡社区方面的支出。</w:t>
      </w:r>
    </w:p>
    <w:p w14:paraId="05213008">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住房保障支出（类）</w:t>
      </w:r>
    </w:p>
    <w:p w14:paraId="33A8F11C">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住房改革支出（款）</w:t>
      </w:r>
    </w:p>
    <w:p w14:paraId="1EC21D94">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住房公积金（项）:反映行政事业单位按人力资源和社会保障部、财政部规定的基本工资和津贴补贴以及规定比例为职工缴纳的住房公积金。　　</w:t>
      </w:r>
    </w:p>
    <w:p w14:paraId="0E7081BA">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.社会保障和就业</w:t>
      </w:r>
      <w:r>
        <w:rPr>
          <w:rFonts w:hint="eastAsia" w:ascii="仿宋_GB2312" w:hAnsi="仿宋_GB2312" w:eastAsia="仿宋_GB2312" w:cs="仿宋_GB2312"/>
          <w:color w:val="000000"/>
          <w:sz w:val="32"/>
          <w:szCs w:val="32"/>
          <w:lang w:val="en-US" w:eastAsia="zh-CN"/>
        </w:rPr>
        <w:t>支出</w:t>
      </w:r>
      <w:r>
        <w:rPr>
          <w:rFonts w:hint="eastAsia" w:ascii="仿宋_GB2312" w:hAnsi="仿宋_GB2312" w:eastAsia="仿宋_GB2312" w:cs="仿宋_GB2312"/>
          <w:color w:val="000000"/>
          <w:sz w:val="32"/>
          <w:szCs w:val="32"/>
        </w:rPr>
        <w:t>（类）</w:t>
      </w:r>
    </w:p>
    <w:p w14:paraId="0CF25E20">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行政事业单位离退休（款）</w:t>
      </w:r>
    </w:p>
    <w:p w14:paraId="5A81C55D">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机关事业单位基本养老保险缴费（项）:反映各级财政部门对机关事业单位基本养老保险基金收支缺口的补助。</w:t>
      </w:r>
    </w:p>
    <w:p w14:paraId="003637ED">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机关事业单位职业年金缴费支出（项）: 反映机关事业单位实施养老保险制度由单位实际缴纳的职业年金支出。</w:t>
      </w:r>
    </w:p>
    <w:p w14:paraId="5CB7A2A6">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12.卫生健康支出</w:t>
      </w:r>
      <w:r>
        <w:rPr>
          <w:rFonts w:hint="eastAsia" w:ascii="仿宋_GB2312" w:hAnsi="仿宋_GB2312" w:eastAsia="仿宋_GB2312" w:cs="仿宋_GB2312"/>
          <w:color w:val="000000"/>
          <w:sz w:val="32"/>
          <w:szCs w:val="32"/>
        </w:rPr>
        <w:t>（类）</w:t>
      </w:r>
    </w:p>
    <w:p w14:paraId="4ED135FD">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行政事业单位医疗</w:t>
      </w:r>
      <w:r>
        <w:rPr>
          <w:rFonts w:hint="eastAsia" w:ascii="仿宋_GB2312" w:hAnsi="仿宋_GB2312" w:eastAsia="仿宋_GB2312" w:cs="仿宋_GB2312"/>
          <w:color w:val="000000"/>
          <w:sz w:val="32"/>
          <w:szCs w:val="32"/>
        </w:rPr>
        <w:t>（款）</w:t>
      </w:r>
    </w:p>
    <w:p w14:paraId="4C6BAFC6">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事业</w:t>
      </w:r>
      <w:r>
        <w:rPr>
          <w:rFonts w:hint="eastAsia" w:ascii="仿宋_GB2312" w:hAnsi="仿宋_GB2312" w:eastAsia="仿宋_GB2312" w:cs="仿宋_GB2312"/>
          <w:color w:val="000000"/>
          <w:sz w:val="32"/>
          <w:szCs w:val="32"/>
        </w:rPr>
        <w:t>单位医疗（项）:反映财政对基本医疗保险基金的补助。</w:t>
      </w:r>
    </w:p>
    <w:p w14:paraId="6329EFDB">
      <w:pPr>
        <w:pageBreakBefore w:val="0"/>
        <w:widowControl w:val="0"/>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firstLine="784" w:firstLineChars="245"/>
        <w:textAlignment w:val="auto"/>
        <w:rPr>
          <w:rFonts w:ascii="仿宋_GB2312" w:eastAsia="仿宋_GB2312"/>
          <w:color w:val="000000"/>
          <w:sz w:val="32"/>
          <w:szCs w:val="32"/>
          <w:lang w:val="en-US" w:eastAsia="zh-CN"/>
        </w:rPr>
      </w:pPr>
      <w:r>
        <w:rPr>
          <w:rFonts w:hint="eastAsia" w:ascii="仿宋_GB2312" w:eastAsia="仿宋_GB2312"/>
          <w:color w:val="000000"/>
          <w:sz w:val="32"/>
          <w:szCs w:val="32"/>
          <w:lang w:val="en-US" w:eastAsia="zh-CN"/>
        </w:rPr>
        <w:t>其他行政事业单位医疗支出（项）：反应</w:t>
      </w:r>
      <w:r>
        <w:rPr>
          <w:rFonts w:hint="eastAsia" w:ascii="仿宋_GB2312" w:hAnsi="仿宋_GB2312" w:eastAsia="仿宋_GB2312" w:cs="仿宋_GB2312"/>
          <w:color w:val="000000"/>
          <w:sz w:val="32"/>
          <w:szCs w:val="32"/>
        </w:rPr>
        <w:t>财政对</w:t>
      </w:r>
      <w:r>
        <w:rPr>
          <w:rFonts w:hint="eastAsia" w:ascii="仿宋_GB2312" w:hAnsi="仿宋_GB2312" w:eastAsia="仿宋_GB2312" w:cs="仿宋_GB2312"/>
          <w:color w:val="000000"/>
          <w:sz w:val="32"/>
          <w:szCs w:val="32"/>
          <w:lang w:val="en-US" w:eastAsia="zh-CN"/>
        </w:rPr>
        <w:t>公务员医疗保险补充的</w:t>
      </w:r>
      <w:r>
        <w:rPr>
          <w:rFonts w:hint="eastAsia" w:ascii="仿宋_GB2312" w:hAnsi="仿宋_GB2312" w:eastAsia="仿宋_GB2312" w:cs="仿宋_GB2312"/>
          <w:color w:val="000000"/>
          <w:sz w:val="32"/>
          <w:szCs w:val="32"/>
        </w:rPr>
        <w:t>补助。</w:t>
      </w:r>
    </w:p>
    <w:p w14:paraId="58E14E83">
      <w:pPr>
        <w:pageBreakBefore w:val="0"/>
        <w:widowControl w:val="0"/>
        <w:numPr>
          <w:ilvl w:val="0"/>
          <w:numId w:val="0"/>
        </w:numPr>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left="0"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13.</w:t>
      </w:r>
      <w:r>
        <w:rPr>
          <w:rFonts w:hint="eastAsia" w:ascii="仿宋_GB2312" w:eastAsia="仿宋_GB2312"/>
          <w:color w:val="000000"/>
          <w:sz w:val="32"/>
          <w:szCs w:val="32"/>
        </w:rPr>
        <w:t>基本支出：指为保障机构正常运转、完成日常工作任务而发生的人员支出和公用支出。</w:t>
      </w:r>
    </w:p>
    <w:p w14:paraId="763734CA">
      <w:pPr>
        <w:pageBreakBefore w:val="0"/>
        <w:widowControl w:val="0"/>
        <w:numPr>
          <w:ilvl w:val="0"/>
          <w:numId w:val="0"/>
        </w:numPr>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6A73FF1">
      <w:pPr>
        <w:pageBreakBefore w:val="0"/>
        <w:widowControl w:val="0"/>
        <w:numPr>
          <w:ilvl w:val="0"/>
          <w:numId w:val="0"/>
        </w:numPr>
        <w:pBdr>
          <w:top w:val="single" w:color="FFFFFF" w:sz="4" w:space="0"/>
          <w:left w:val="single" w:color="FFFFFF" w:sz="4" w:space="31"/>
          <w:bottom w:val="single" w:color="FFFFFF" w:sz="4" w:space="31"/>
          <w:right w:val="single" w:color="FFFFFF" w:sz="4" w:space="0"/>
        </w:pBdr>
        <w:tabs>
          <w:tab w:val="left" w:pos="2685"/>
        </w:tabs>
        <w:suppressAutoHyphens/>
        <w:kinsoku/>
        <w:wordWrap/>
        <w:overflowPunct/>
        <w:topLinePunct w:val="0"/>
        <w:bidi w:val="0"/>
        <w:spacing w:line="560" w:lineRule="exact"/>
        <w:ind w:left="0"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B3E7609">
      <w:pPr>
        <w:pStyle w:val="13"/>
      </w:pPr>
      <w:r>
        <w:t> </w:t>
      </w:r>
    </w:p>
    <w:p w14:paraId="77FB1744">
      <w:pPr>
        <w:pStyle w:val="13"/>
      </w:pPr>
      <w:r>
        <w:t> </w:t>
      </w:r>
      <w:r>
        <w:rPr>
          <w:rFonts w:hint="eastAsia"/>
          <w:lang w:val="en-US" w:eastAsia="zh-CN"/>
        </w:rPr>
        <w:t xml:space="preserve">                  </w:t>
      </w:r>
      <w:r>
        <w:rPr>
          <w:rStyle w:val="16"/>
          <w:sz w:val="39"/>
          <w:szCs w:val="39"/>
        </w:rPr>
        <w:t>第四部分 附表</w:t>
      </w:r>
    </w:p>
    <w:p w14:paraId="3A112744">
      <w:pPr>
        <w:pStyle w:val="4"/>
        <w:outlineLvl w:val="1"/>
        <w:rPr>
          <w:rFonts w:hint="eastAsia" w:ascii="仿宋" w:hAnsi="仿宋" w:eastAsia="仿宋" w:cs="仿宋"/>
          <w:b w:val="0"/>
          <w:bCs/>
          <w:sz w:val="36"/>
        </w:rPr>
      </w:pPr>
      <w:r>
        <w:rPr>
          <w:rFonts w:hint="eastAsia" w:ascii="仿宋" w:hAnsi="仿宋" w:eastAsia="仿宋" w:cs="仿宋"/>
          <w:b w:val="0"/>
          <w:bCs/>
          <w:sz w:val="36"/>
        </w:rPr>
        <w:t>一、收入支出决算总表</w:t>
      </w:r>
    </w:p>
    <w:p w14:paraId="5C040656">
      <w:pPr>
        <w:pStyle w:val="4"/>
        <w:outlineLvl w:val="1"/>
        <w:rPr>
          <w:rFonts w:hint="eastAsia" w:ascii="仿宋" w:hAnsi="仿宋" w:eastAsia="仿宋" w:cs="仿宋"/>
          <w:b w:val="0"/>
          <w:bCs/>
          <w:sz w:val="36"/>
        </w:rPr>
      </w:pPr>
      <w:r>
        <w:rPr>
          <w:rFonts w:hint="eastAsia" w:ascii="仿宋" w:hAnsi="仿宋" w:eastAsia="仿宋" w:cs="仿宋"/>
          <w:b w:val="0"/>
          <w:bCs/>
          <w:sz w:val="36"/>
        </w:rPr>
        <w:t>二、收入决算表</w:t>
      </w:r>
    </w:p>
    <w:p w14:paraId="747E2973">
      <w:pPr>
        <w:pStyle w:val="4"/>
        <w:outlineLvl w:val="1"/>
        <w:rPr>
          <w:rFonts w:hint="eastAsia" w:ascii="仿宋" w:hAnsi="仿宋" w:eastAsia="仿宋" w:cs="仿宋"/>
          <w:b w:val="0"/>
          <w:bCs/>
          <w:sz w:val="36"/>
        </w:rPr>
      </w:pPr>
      <w:r>
        <w:rPr>
          <w:rFonts w:hint="eastAsia" w:ascii="仿宋" w:hAnsi="仿宋" w:eastAsia="仿宋" w:cs="仿宋"/>
          <w:b w:val="0"/>
          <w:bCs/>
          <w:sz w:val="36"/>
        </w:rPr>
        <w:t>三、支出决算表</w:t>
      </w:r>
    </w:p>
    <w:p w14:paraId="1B5972AE">
      <w:pPr>
        <w:pStyle w:val="4"/>
        <w:outlineLvl w:val="1"/>
        <w:rPr>
          <w:rFonts w:hint="eastAsia" w:ascii="仿宋" w:hAnsi="仿宋" w:eastAsia="仿宋" w:cs="仿宋"/>
          <w:b w:val="0"/>
          <w:bCs/>
          <w:sz w:val="36"/>
        </w:rPr>
      </w:pPr>
      <w:r>
        <w:rPr>
          <w:rFonts w:hint="eastAsia" w:ascii="仿宋" w:hAnsi="仿宋" w:eastAsia="仿宋" w:cs="仿宋"/>
          <w:b w:val="0"/>
          <w:bCs/>
          <w:sz w:val="36"/>
        </w:rPr>
        <w:t>四、财政拨款收入支出决算总表</w:t>
      </w:r>
    </w:p>
    <w:p w14:paraId="306C9D3A">
      <w:pPr>
        <w:pStyle w:val="4"/>
        <w:outlineLvl w:val="1"/>
        <w:rPr>
          <w:rFonts w:hint="eastAsia" w:ascii="仿宋" w:hAnsi="仿宋" w:eastAsia="仿宋" w:cs="仿宋"/>
          <w:b w:val="0"/>
          <w:bCs/>
          <w:sz w:val="36"/>
        </w:rPr>
      </w:pPr>
      <w:r>
        <w:rPr>
          <w:rFonts w:hint="eastAsia" w:ascii="仿宋" w:hAnsi="仿宋" w:eastAsia="仿宋" w:cs="仿宋"/>
          <w:b w:val="0"/>
          <w:bCs/>
          <w:sz w:val="36"/>
        </w:rPr>
        <w:t>五、财政拨款支出决算明细表</w:t>
      </w:r>
    </w:p>
    <w:p w14:paraId="04A31DEC">
      <w:pPr>
        <w:pStyle w:val="4"/>
        <w:outlineLvl w:val="1"/>
        <w:rPr>
          <w:rFonts w:hint="eastAsia" w:ascii="仿宋" w:hAnsi="仿宋" w:eastAsia="仿宋" w:cs="仿宋"/>
          <w:b w:val="0"/>
          <w:bCs/>
          <w:sz w:val="36"/>
        </w:rPr>
      </w:pPr>
      <w:r>
        <w:rPr>
          <w:rFonts w:hint="eastAsia" w:ascii="仿宋" w:hAnsi="仿宋" w:eastAsia="仿宋" w:cs="仿宋"/>
          <w:b w:val="0"/>
          <w:bCs/>
          <w:sz w:val="36"/>
        </w:rPr>
        <w:t>六、一般公共预算财政拨款支出决算表</w:t>
      </w:r>
    </w:p>
    <w:p w14:paraId="0F24DEC5">
      <w:pPr>
        <w:pStyle w:val="4"/>
        <w:outlineLvl w:val="1"/>
        <w:rPr>
          <w:rFonts w:hint="eastAsia" w:ascii="仿宋" w:hAnsi="仿宋" w:eastAsia="仿宋" w:cs="仿宋"/>
          <w:b w:val="0"/>
          <w:bCs/>
          <w:sz w:val="36"/>
        </w:rPr>
      </w:pPr>
      <w:r>
        <w:rPr>
          <w:rFonts w:hint="eastAsia" w:ascii="仿宋" w:hAnsi="仿宋" w:eastAsia="仿宋" w:cs="仿宋"/>
          <w:b w:val="0"/>
          <w:bCs/>
          <w:sz w:val="36"/>
        </w:rPr>
        <w:t>七、一般公共预算财政拨款支出决算明细表</w:t>
      </w:r>
    </w:p>
    <w:p w14:paraId="0C26295D">
      <w:pPr>
        <w:pStyle w:val="4"/>
        <w:outlineLvl w:val="1"/>
        <w:rPr>
          <w:rFonts w:hint="eastAsia" w:ascii="仿宋" w:hAnsi="仿宋" w:eastAsia="仿宋" w:cs="仿宋"/>
          <w:b w:val="0"/>
          <w:bCs/>
          <w:sz w:val="36"/>
        </w:rPr>
      </w:pPr>
      <w:r>
        <w:rPr>
          <w:rFonts w:hint="eastAsia" w:ascii="仿宋" w:hAnsi="仿宋" w:eastAsia="仿宋" w:cs="仿宋"/>
          <w:b w:val="0"/>
          <w:bCs/>
          <w:sz w:val="36"/>
        </w:rPr>
        <w:t>八、一般公共预算财政拨款基本支出决算表</w:t>
      </w:r>
    </w:p>
    <w:p w14:paraId="446450E2">
      <w:pPr>
        <w:pStyle w:val="4"/>
        <w:outlineLvl w:val="1"/>
        <w:rPr>
          <w:rFonts w:hint="eastAsia" w:ascii="仿宋" w:hAnsi="仿宋" w:eastAsia="仿宋" w:cs="仿宋"/>
          <w:b w:val="0"/>
          <w:bCs/>
          <w:sz w:val="36"/>
        </w:rPr>
      </w:pPr>
      <w:r>
        <w:rPr>
          <w:rFonts w:hint="eastAsia" w:ascii="仿宋" w:hAnsi="仿宋" w:eastAsia="仿宋" w:cs="仿宋"/>
          <w:b w:val="0"/>
          <w:bCs/>
          <w:sz w:val="36"/>
        </w:rPr>
        <w:t>九、一般公共预算财政拨款项目支出决算表</w:t>
      </w:r>
    </w:p>
    <w:p w14:paraId="2A438AF0">
      <w:pPr>
        <w:pStyle w:val="4"/>
        <w:outlineLvl w:val="1"/>
        <w:rPr>
          <w:rFonts w:hint="eastAsia" w:ascii="仿宋" w:hAnsi="仿宋" w:eastAsia="仿宋" w:cs="仿宋"/>
          <w:b w:val="0"/>
          <w:bCs/>
          <w:sz w:val="36"/>
        </w:rPr>
      </w:pPr>
      <w:r>
        <w:rPr>
          <w:rFonts w:hint="eastAsia" w:ascii="仿宋" w:hAnsi="仿宋" w:eastAsia="仿宋" w:cs="仿宋"/>
          <w:b w:val="0"/>
          <w:bCs/>
          <w:sz w:val="36"/>
        </w:rPr>
        <w:t>十、政府性基金预算财政拨款收入支出决算表</w:t>
      </w:r>
    </w:p>
    <w:p w14:paraId="32D143D5">
      <w:pPr>
        <w:pStyle w:val="4"/>
        <w:outlineLvl w:val="1"/>
        <w:rPr>
          <w:rFonts w:hint="eastAsia" w:ascii="仿宋" w:hAnsi="仿宋" w:eastAsia="仿宋" w:cs="仿宋"/>
          <w:b w:val="0"/>
          <w:bCs/>
          <w:sz w:val="36"/>
        </w:rPr>
      </w:pPr>
      <w:r>
        <w:rPr>
          <w:rFonts w:hint="eastAsia" w:ascii="仿宋" w:hAnsi="仿宋" w:eastAsia="仿宋" w:cs="仿宋"/>
          <w:b w:val="0"/>
          <w:bCs/>
          <w:sz w:val="36"/>
        </w:rPr>
        <w:t>十一、国有资本经营预算财政拨款收入支出决算表</w:t>
      </w:r>
    </w:p>
    <w:p w14:paraId="4D71F30F">
      <w:pPr>
        <w:pStyle w:val="4"/>
        <w:outlineLvl w:val="1"/>
        <w:rPr>
          <w:rFonts w:hint="eastAsia" w:ascii="仿宋" w:hAnsi="仿宋" w:eastAsia="仿宋" w:cs="仿宋"/>
          <w:b w:val="0"/>
          <w:bCs/>
          <w:sz w:val="36"/>
        </w:rPr>
      </w:pPr>
      <w:r>
        <w:rPr>
          <w:rFonts w:hint="eastAsia" w:ascii="仿宋" w:hAnsi="仿宋" w:eastAsia="仿宋" w:cs="仿宋"/>
          <w:b w:val="0"/>
          <w:bCs/>
          <w:sz w:val="36"/>
        </w:rPr>
        <w:t>十二、国有资本经营预算财政拨款支出决算表</w:t>
      </w:r>
    </w:p>
    <w:p w14:paraId="7E4507C1">
      <w:pPr>
        <w:rPr>
          <w:rFonts w:hint="eastAsia" w:ascii="仿宋" w:hAnsi="仿宋" w:eastAsia="仿宋" w:cs="仿宋"/>
          <w:b w:val="0"/>
          <w:bCs/>
        </w:rPr>
      </w:pPr>
      <w:r>
        <w:rPr>
          <w:rFonts w:hint="eastAsia" w:ascii="仿宋" w:hAnsi="仿宋" w:eastAsia="仿宋" w:cs="仿宋"/>
          <w:b w:val="0"/>
          <w:bCs/>
          <w:sz w:val="36"/>
        </w:rPr>
        <w:t>十三、财政拨款“三公”经费支出决算表</w:t>
      </w:r>
    </w:p>
    <w:sectPr>
      <w:pgSz w:w="11907" w:h="16839"/>
      <w:pgMar w:top="1440" w:right="1800" w:bottom="1440" w:left="180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AR PL UKai CN">
    <w:altName w:val="宋体"/>
    <w:panose1 w:val="02000503000000000000"/>
    <w:charset w:val="86"/>
    <w:family w:val="script"/>
    <w:pitch w:val="default"/>
    <w:sig w:usb0="00000000" w:usb1="00000000" w:usb2="00000036" w:usb3="00000000" w:csb0="2016009F" w:csb1="DFD70000"/>
  </w:font>
  <w:font w:name="仿宋">
    <w:panose1 w:val="02010609060101010101"/>
    <w:charset w:val="86"/>
    <w:family w:val="modern"/>
    <w:pitch w:val="default"/>
    <w:sig w:usb0="800002BF" w:usb1="38CF7CFA" w:usb2="00000016" w:usb3="00000000" w:csb0="00040001" w:csb1="00000000"/>
  </w:font>
  <w:font w:name="Liberation Sans">
    <w:altName w:val="黑体"/>
    <w:panose1 w:val="00000000000000000000"/>
    <w:charset w:val="01"/>
    <w:family w:val="swiss"/>
    <w:pitch w:val="default"/>
    <w:sig w:usb0="00000000" w:usb1="00000000" w:usb2="00000000" w:usb3="00000000" w:csb0="00040001" w:csb1="00000000"/>
  </w:font>
  <w:font w:name="Noto Sans CJK SC Regular">
    <w:altName w:val="方正公文黑体"/>
    <w:panose1 w:val="00000000000000000000"/>
    <w:charset w:val="01"/>
    <w:family w:val="auto"/>
    <w:pitch w:val="default"/>
    <w:sig w:usb0="00000000" w:usb1="00000000" w:usb2="00000000"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E5F0">
    <w:pPr>
      <w:pStyle w:val="8"/>
    </w:pPr>
  </w:p>
  <w:p w14:paraId="17AFC3D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4" name="文本框 3"/>
              <wp:cNvGraphicFramePr/>
              <a:graphic xmlns:a="http://schemas.openxmlformats.org/drawingml/2006/main">
                <a:graphicData uri="http://schemas.microsoft.com/office/word/2010/wordprocessingShape">
                  <wps:wsp>
                    <wps:cNvSpPr/>
                    <wps:spPr>
                      <a:xfrm>
                        <a:off x="0" y="0"/>
                        <a:ext cx="114300" cy="131433"/>
                      </a:xfrm>
                      <a:prstGeom prst="rect">
                        <a:avLst/>
                      </a:prstGeom>
                      <a:noFill/>
                      <a:ln w="9525" cap="flat" cmpd="sng">
                        <a:noFill/>
                        <a:prstDash val="solid"/>
                        <a:miter/>
                      </a:ln>
                      <a:effectLst/>
                    </wps:spPr>
                    <wps:txbx>
                      <w:txbxContent>
                        <w:p w14:paraId="656E0DB7">
                          <w:pPr>
                            <w:pStyle w:val="8"/>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aRerNAAAAADAQAADwAAAAAAAAABACAAAAAiAAAAZHJzL2Rv&#10;d25yZXYueG1sUEsBAhQAFAAAAAgAh07iQN1YEIAJAgAAAgQAAA4AAAAAAAAAAQAgAAAAHwEAAGRy&#10;cy9lMm9Eb2MueG1sUEsFBgAAAAAGAAYAWQEAAJoFAAAAAA==&#10;">
              <v:fill on="f" focussize="0,0"/>
              <v:stroke on="f" joinstyle="miter"/>
              <v:imagedata o:title=""/>
              <o:lock v:ext="edit" aspectratio="f"/>
              <v:textbox inset="0mm,0mm,0mm,0mm" style="mso-fit-shape-to-text:t;">
                <w:txbxContent>
                  <w:p w14:paraId="656E0DB7">
                    <w:pPr>
                      <w:pStyle w:val="8"/>
                    </w:pPr>
                    <w:r>
                      <w:fldChar w:fldCharType="begin"/>
                    </w:r>
                    <w:r>
                      <w:instrText xml:space="preserve"> PAGE  \* MERGEFORMAT </w:instrText>
                    </w:r>
                    <w:r>
                      <w:fldChar w:fldCharType="separate"/>
                    </w:r>
                    <w:r>
                      <w:t>2</w:t>
                    </w:r>
                    <w:r>
                      <w:fldChar w:fldCharType="end"/>
                    </w:r>
                  </w:p>
                </w:txbxContent>
              </v:textbox>
            </v:rect>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0175"/>
              <wp:effectExtent l="0" t="0" r="0" b="0"/>
              <wp:wrapNone/>
              <wp:docPr id="2" name="文本框 4"/>
              <wp:cNvGraphicFramePr/>
              <a:graphic xmlns:a="http://schemas.openxmlformats.org/drawingml/2006/main">
                <a:graphicData uri="http://schemas.microsoft.com/office/word/2010/wordprocessingShape">
                  <wps:wsp>
                    <wps:cNvSpPr/>
                    <wps:spPr>
                      <a:xfrm>
                        <a:off x="0" y="0"/>
                        <a:ext cx="76200" cy="130373"/>
                      </a:xfrm>
                      <a:prstGeom prst="rect">
                        <a:avLst/>
                      </a:prstGeom>
                      <a:noFill/>
                      <a:ln w="6350" cap="flat" cmpd="sng">
                        <a:noFill/>
                        <a:prstDash val="solid"/>
                        <a:miter/>
                      </a:ln>
                      <a:effectLst/>
                    </wps:spPr>
                    <wps:txbx>
                      <w:txbxContent>
                        <w:p w14:paraId="133D751D">
                          <w:pPr>
                            <w:pStyle w:val="8"/>
                            <w:rPr>
                              <w:rFonts w:hint="eastAsia" w:eastAsia="宋体"/>
                              <w:lang w:eastAsia="zh-CN"/>
                            </w:rPr>
                          </w:pPr>
                        </w:p>
                      </w:txbxContent>
                    </wps:txbx>
                    <wps:bodyPr vert="horz" wrap="none" lIns="0" tIns="0" rIns="0" bIns="0" anchor="t" anchorCtr="0" upright="1">
                      <a:spAutoFit/>
                    </wps:bodyPr>
                  </wps:wsp>
                </a:graphicData>
              </a:graphic>
            </wp:anchor>
          </w:drawing>
        </mc:Choice>
        <mc:Fallback>
          <w:pict>
            <v:rect id="文本框 4" o:spid="_x0000_s1026" o:spt="1" style="position:absolute;left:0pt;margin-top:0pt;height:10.25pt;width:6pt;mso-position-horizontal:outside;mso-position-horizontal-relative:margin;mso-wrap-style:none;z-index:251659264;mso-width-relative:page;mso-height-relative:page;" filled="f" stroked="f" coordsize="21600,21600" o:gfxdata="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&#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RRVbPVAAAAAwEAAA8AAAAAAAAAAQAgAAAAIgAAAGRy&#10;cy9kb3ducmV2LnhtbFBLAQIUABQAAAAIAIdO4kCD60DMCAIAAAEEAAAOAAAAAAAAAAEAIAAAACQB&#10;AABkcnMvZTJvRG9jLnhtbFBLBQYAAAAABgAGAFkBAACeBQAAAAA=&#10;">
              <v:fill on="f" focussize="0,0"/>
              <v:stroke on="f" weight="0.5pt" joinstyle="miter"/>
              <v:imagedata o:title=""/>
              <o:lock v:ext="edit" aspectratio="f"/>
              <v:textbox inset="0mm,0mm,0mm,0mm" style="mso-fit-shape-to-text:t;">
                <w:txbxContent>
                  <w:p w14:paraId="133D751D">
                    <w:pPr>
                      <w:pStyle w:val="8"/>
                      <w:rPr>
                        <w:rFonts w:hint="eastAsia" w:eastAsia="宋体"/>
                        <w:lang w:eastAsia="zh-CN"/>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A1D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0175"/>
              <wp:effectExtent l="0" t="0" r="0" b="0"/>
              <wp:wrapNone/>
              <wp:docPr id="5" name="文本框 4"/>
              <wp:cNvGraphicFramePr/>
              <a:graphic xmlns:a="http://schemas.openxmlformats.org/drawingml/2006/main">
                <a:graphicData uri="http://schemas.microsoft.com/office/word/2010/wordprocessingShape">
                  <wps:wsp>
                    <wps:cNvSpPr/>
                    <wps:spPr>
                      <a:xfrm>
                        <a:off x="0" y="0"/>
                        <a:ext cx="76200" cy="130373"/>
                      </a:xfrm>
                      <a:prstGeom prst="rect">
                        <a:avLst/>
                      </a:prstGeom>
                      <a:noFill/>
                      <a:ln w="9525" cap="flat" cmpd="sng">
                        <a:noFill/>
                        <a:prstDash val="solid"/>
                        <a:miter/>
                      </a:ln>
                      <a:effectLst/>
                    </wps:spPr>
                    <wps:txbx>
                      <w:txbxContent>
                        <w:p w14:paraId="4865953A">
                          <w:pPr>
                            <w:pStyle w:val="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1">
                      <a:spAutoFit/>
                    </wps:bodyPr>
                  </wps:wsp>
                </a:graphicData>
              </a:graphic>
            </wp:anchor>
          </w:drawing>
        </mc:Choice>
        <mc:Fallback>
          <w:pict>
            <v:rect id="文本框 4" o:spid="_x0000_s1026" o:spt="1" style="position:absolute;left:0pt;margin-top:0pt;height:10.25pt;width:6pt;mso-position-horizontal:center;mso-position-horizontal-relative:margin;mso-wrap-style:none;z-index:251659264;mso-width-relative:page;mso-height-relative:page;" filled="f" stroked="f" coordsize="21600,21600" o:gfxdata="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awLtbQAAAAAwEAAA8AAAAAAAAAAQAgAAAAIgAAAGRycy9k&#10;b3ducmV2LnhtbFBLAQIUABQAAAAIAIdO4kCLppSJCgIAAAEEAAAOAAAAAAAAAAEAIAAAAB8BAABk&#10;cnMvZTJvRG9jLnhtbFBLBQYAAAAABgAGAFkBAACbBQAAAAA=&#10;">
              <v:fill on="f" focussize="0,0"/>
              <v:stroke on="f" joinstyle="miter"/>
              <v:imagedata o:title=""/>
              <o:lock v:ext="edit" aspectratio="f"/>
              <v:textbox inset="0mm,0mm,0mm,0mm" style="mso-fit-shape-to-text:t;">
                <w:txbxContent>
                  <w:p w14:paraId="4865953A">
                    <w:pPr>
                      <w:pStyle w:val="8"/>
                    </w:pPr>
                    <w:r>
                      <w:fldChar w:fldCharType="begin"/>
                    </w:r>
                    <w:r>
                      <w:instrText xml:space="preserve"> PAGE  \* MERGEFORMAT </w:instrText>
                    </w:r>
                    <w:r>
                      <w:fldChar w:fldCharType="separate"/>
                    </w:r>
                    <w:r>
                      <w:t>1</w:t>
                    </w:r>
                    <w:r>
                      <w:fldChar w:fldCharType="end"/>
                    </w:r>
                  </w:p>
                </w:txbxContent>
              </v:textbox>
            </v:rect>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0175"/>
              <wp:effectExtent l="0" t="0" r="0" b="0"/>
              <wp:wrapNone/>
              <wp:docPr id="3" name="文本框 7"/>
              <wp:cNvGraphicFramePr/>
              <a:graphic xmlns:a="http://schemas.openxmlformats.org/drawingml/2006/main">
                <a:graphicData uri="http://schemas.microsoft.com/office/word/2010/wordprocessingShape">
                  <wps:wsp>
                    <wps:cNvSpPr/>
                    <wps:spPr>
                      <a:xfrm>
                        <a:off x="0" y="0"/>
                        <a:ext cx="76200" cy="130373"/>
                      </a:xfrm>
                      <a:prstGeom prst="rect">
                        <a:avLst/>
                      </a:prstGeom>
                      <a:noFill/>
                      <a:ln w="6350" cap="flat" cmpd="sng">
                        <a:noFill/>
                        <a:prstDash val="solid"/>
                        <a:miter/>
                      </a:ln>
                      <a:effectLst/>
                    </wps:spPr>
                    <wps:txbx>
                      <w:txbxContent>
                        <w:p w14:paraId="346E5EAA">
                          <w:pPr>
                            <w:pStyle w:val="8"/>
                            <w:rPr>
                              <w:rFonts w:hint="eastAsia" w:eastAsia="宋体"/>
                              <w:lang w:eastAsia="zh-CN"/>
                            </w:rPr>
                          </w:pPr>
                        </w:p>
                      </w:txbxContent>
                    </wps:txbx>
                    <wps:bodyPr vert="horz" wrap="none" lIns="0" tIns="0" rIns="0" bIns="0" anchor="t" anchorCtr="0" upright="1">
                      <a:spAutoFit/>
                    </wps:bodyPr>
                  </wps:wsp>
                </a:graphicData>
              </a:graphic>
            </wp:anchor>
          </w:drawing>
        </mc:Choice>
        <mc:Fallback>
          <w:pict>
            <v:rect id="文本框 7" o:spid="_x0000_s1026" o:spt="1" style="position:absolute;left:0pt;margin-top:0pt;height:10.25pt;width:6pt;mso-position-horizontal:outside;mso-position-horizontal-relative:margin;mso-wrap-style:none;z-index:251659264;mso-width-relative:page;mso-height-relative:page;" filled="f" stroked="f" coordsize="21600,21600" o:gfxdata="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FFVs9UAAAADAQAADwAAAAAAAAABACAAAAAiAAAAZHJz&#10;L2Rvd25yZXYueG1sUEsBAhQAFAAAAAgAh07iQFI8necHAgAAAQQAAA4AAAAAAAAAAQAgAAAAJAEA&#10;AGRycy9lMm9Eb2MueG1sUEsFBgAAAAAGAAYAWQEAAJ0FAAAAAA==&#10;">
              <v:fill on="f" focussize="0,0"/>
              <v:stroke on="f" weight="0.5pt" joinstyle="miter"/>
              <v:imagedata o:title=""/>
              <o:lock v:ext="edit" aspectratio="f"/>
              <v:textbox inset="0mm,0mm,0mm,0mm" style="mso-fit-shape-to-text:t;">
                <w:txbxContent>
                  <w:p w14:paraId="346E5EAA">
                    <w:pPr>
                      <w:pStyle w:val="8"/>
                      <w:rPr>
                        <w:rFonts w:hint="eastAsia" w:eastAsia="宋体"/>
                        <w:lang w:eastAsia="zh-CN"/>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7F528">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C25A07"/>
    <w:multiLevelType w:val="singleLevel"/>
    <w:tmpl w:val="6AC25A0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compat>
    <w:spaceForUL/>
    <w:balanceSingleByteDoubleByteWidth/>
    <w:ulTrailSpace/>
    <w:doNotExpandShiftReturn/>
    <w:adjustLineHeightInTable/>
    <w:useFELayout/>
    <w:doNotUseIndentAsNumberingTabStop/>
    <w:useAltKinsokuLineBreakRules/>
    <w:doNotSuppressIndentation/>
    <w:autofitToFirstFixedWidthCell/>
    <w:splitPgBreakAndParaMark/>
    <w:doNotVertAlignCellWithSp/>
    <w:compatSetting w:name="compatibilityMode" w:uri="http://schemas.microsoft.com/office/word" w:val="11"/>
  </w:compat>
  <w:docVars>
    <w:docVar w:name="commondata" w:val="eyJoZGlkIjoiYzIwYzU4OGExOTJkMGI2ODBiZTkwNDJhY2QyODg0YzYifQ=="/>
  </w:docVars>
  <w:rsids>
    <w:rsidRoot w:val="00000000"/>
    <w:rsid w:val="03B335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link w:val="17"/>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0"/>
    </w:pPr>
    <w:rPr>
      <w:rFonts w:ascii="宋体" w:hAnsi="AR PL UKai CN" w:eastAsia="宋体" w:cs="AR PL UKai CN"/>
      <w:b/>
      <w:snapToGrid/>
      <w:color w:val="auto"/>
      <w:spacing w:val="0"/>
      <w:w w:val="100"/>
      <w:kern w:val="36"/>
      <w:position w:val="0"/>
      <w:sz w:val="48"/>
      <w:szCs w:val="21"/>
      <w:u w:val="none" w:color="auto"/>
      <w:vertAlign w:val="baseline"/>
      <w:lang w:val="en-US" w:eastAsia="zh-CN" w:bidi="ar-SA"/>
    </w:rPr>
  </w:style>
  <w:style w:type="paragraph" w:styleId="4">
    <w:name w:val="heading 2"/>
    <w:link w:val="18"/>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1"/>
    </w:pPr>
    <w:rPr>
      <w:rFonts w:ascii="宋体" w:hAnsi="AR PL UKai CN" w:eastAsia="宋体" w:cs="AR PL UKai CN"/>
      <w:b/>
      <w:snapToGrid/>
      <w:color w:val="auto"/>
      <w:spacing w:val="0"/>
      <w:w w:val="100"/>
      <w:kern w:val="0"/>
      <w:position w:val="0"/>
      <w:sz w:val="36"/>
      <w:szCs w:val="21"/>
      <w:u w:val="none" w:color="auto"/>
      <w:vertAlign w:val="baseline"/>
      <w:lang w:val="en-US" w:eastAsia="zh-CN" w:bidi="ar-SA"/>
    </w:rPr>
  </w:style>
  <w:style w:type="paragraph" w:styleId="5">
    <w:name w:val="heading 3"/>
    <w:basedOn w:val="1"/>
    <w:next w:val="1"/>
    <w:link w:val="19"/>
    <w:qFormat/>
    <w:uiPriority w:val="0"/>
    <w:pPr>
      <w:keepNext/>
      <w:keepLines/>
      <w:widowControl w:val="0"/>
      <w:suppressAutoHyphens/>
      <w:spacing w:before="260" w:after="260" w:line="415" w:lineRule="auto"/>
      <w:outlineLvl w:val="2"/>
    </w:pPr>
    <w:rPr>
      <w:b/>
      <w:sz w:val="32"/>
    </w:rPr>
  </w:style>
  <w:style w:type="character" w:default="1" w:styleId="15">
    <w:name w:val="Default Paragraph Font"/>
    <w:qFormat/>
    <w:uiPriority w:val="0"/>
  </w:style>
  <w:style w:type="table" w:default="1" w:styleId="1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caption"/>
    <w:basedOn w:val="1"/>
    <w:qFormat/>
    <w:uiPriority w:val="0"/>
    <w:pPr>
      <w:widowControl w:val="0"/>
      <w:suppressLineNumbers/>
      <w:suppressAutoHyphens/>
      <w:spacing w:before="120" w:after="120"/>
    </w:pPr>
    <w:rPr>
      <w:i/>
      <w:iCs/>
      <w:sz w:val="24"/>
      <w:szCs w:val="24"/>
    </w:rPr>
  </w:style>
  <w:style w:type="paragraph" w:styleId="7">
    <w:name w:val="Body Text"/>
    <w:basedOn w:val="1"/>
    <w:qFormat/>
    <w:uiPriority w:val="0"/>
    <w:pPr>
      <w:spacing w:before="0" w:after="140" w:line="276" w:lineRule="auto"/>
    </w:pPr>
  </w:style>
  <w:style w:type="paragraph" w:styleId="8">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qFormat/>
    <w:uiPriority w:val="0"/>
    <w:pPr>
      <w:tabs>
        <w:tab w:val="right" w:leader="dot" w:pos="8296"/>
      </w:tabs>
      <w:spacing w:before="93"/>
      <w:jc w:val="center"/>
    </w:pPr>
    <w:rPr>
      <w:rFonts w:ascii="仿宋" w:hAnsi="仿宋" w:eastAsia="仿宋"/>
      <w:sz w:val="28"/>
      <w:szCs w:val="28"/>
    </w:rPr>
  </w:style>
  <w:style w:type="paragraph" w:styleId="11">
    <w:name w:val="List"/>
    <w:basedOn w:val="7"/>
    <w:qFormat/>
    <w:uiPriority w:val="0"/>
  </w:style>
  <w:style w:type="paragraph" w:styleId="12">
    <w:name w:val="toc 2"/>
    <w:basedOn w:val="1"/>
    <w:next w:val="1"/>
    <w:qFormat/>
    <w:uiPriority w:val="0"/>
    <w:pPr>
      <w:tabs>
        <w:tab w:val="right" w:leader="dot" w:pos="8296"/>
      </w:tabs>
      <w:ind w:left="200" w:leftChars="200"/>
    </w:pPr>
  </w:style>
  <w:style w:type="paragraph" w:styleId="13">
    <w:name w:val="Normal (Web)"/>
    <w:qFormat/>
    <w:uiPriority w:val="0"/>
    <w:pPr>
      <w:widowControl w:val="0"/>
      <w:spacing w:before="100" w:beforeAutospacing="1" w:after="100" w:afterAutospacing="1" w:line="240" w:lineRule="auto"/>
      <w:jc w:val="left"/>
    </w:pPr>
    <w:rPr>
      <w:rFonts w:ascii="宋体" w:hAnsi="AR PL UKai CN" w:eastAsia="宋体" w:cs="AR PL UKai CN"/>
      <w:kern w:val="2"/>
      <w:sz w:val="24"/>
      <w:szCs w:val="21"/>
      <w:lang w:val="en-US" w:eastAsia="zh-CN" w:bidi="ar-SA"/>
    </w:rPr>
  </w:style>
  <w:style w:type="character" w:styleId="16">
    <w:name w:val="Strong"/>
    <w:basedOn w:val="15"/>
    <w:qFormat/>
    <w:uiPriority w:val="0"/>
    <w:rPr>
      <w:b/>
    </w:rPr>
  </w:style>
  <w:style w:type="character" w:customStyle="1" w:styleId="17">
    <w:name w:val="heading 1 Char"/>
    <w:basedOn w:val="15"/>
    <w:link w:val="3"/>
    <w:qFormat/>
    <w:uiPriority w:val="0"/>
    <w:rPr>
      <w:rFonts w:ascii="宋体" w:hAnsi="AR PL UKai CN" w:eastAsia="宋体" w:cs="AR PL UKai CN"/>
      <w:b/>
      <w:snapToGrid/>
      <w:color w:val="auto"/>
      <w:spacing w:val="0"/>
      <w:w w:val="100"/>
      <w:kern w:val="36"/>
      <w:position w:val="0"/>
      <w:sz w:val="48"/>
      <w:szCs w:val="21"/>
      <w:u w:val="none" w:color="auto"/>
      <w:vertAlign w:val="baseline"/>
      <w:lang w:val="en-US" w:eastAsia="zh-CN"/>
    </w:rPr>
  </w:style>
  <w:style w:type="character" w:customStyle="1" w:styleId="18">
    <w:name w:val="heading 2 Char"/>
    <w:basedOn w:val="15"/>
    <w:link w:val="4"/>
    <w:uiPriority w:val="0"/>
    <w:rPr>
      <w:rFonts w:ascii="宋体" w:hAnsi="AR PL UKai CN" w:eastAsia="宋体" w:cs="AR PL UKai CN"/>
      <w:b/>
      <w:snapToGrid/>
      <w:color w:val="auto"/>
      <w:spacing w:val="0"/>
      <w:w w:val="100"/>
      <w:kern w:val="0"/>
      <w:position w:val="0"/>
      <w:sz w:val="36"/>
      <w:szCs w:val="21"/>
      <w:u w:val="none" w:color="auto"/>
      <w:vertAlign w:val="baseline"/>
      <w:lang w:val="en-US" w:eastAsia="zh-CN"/>
    </w:rPr>
  </w:style>
  <w:style w:type="character" w:customStyle="1" w:styleId="19">
    <w:name w:val="heading 3 Char"/>
    <w:basedOn w:val="15"/>
    <w:link w:val="5"/>
    <w:qFormat/>
    <w:uiPriority w:val="0"/>
    <w:rPr>
      <w:rFonts w:ascii="Calibri" w:hAnsi="Calibri" w:eastAsia="宋体" w:cs="Times New Roman"/>
      <w:b/>
      <w:color w:val="auto"/>
      <w:kern w:val="2"/>
      <w:sz w:val="32"/>
      <w:szCs w:val="24"/>
      <w:lang w:val="en-US" w:eastAsia="zh-CN" w:bidi="ar-SA"/>
    </w:rPr>
  </w:style>
  <w:style w:type="character" w:customStyle="1" w:styleId="20">
    <w:name w:val="默认段落字体1"/>
    <w:qFormat/>
    <w:uiPriority w:val="0"/>
  </w:style>
  <w:style w:type="paragraph" w:customStyle="1" w:styleId="21">
    <w:name w:val="Heading"/>
    <w:basedOn w:val="1"/>
    <w:next w:val="7"/>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2">
    <w:name w:val="目录"/>
    <w:basedOn w:val="2"/>
    <w:qFormat/>
    <w:uiPriority w:val="0"/>
    <w:pPr>
      <w:spacing w:beforeAutospacing="1" w:afterAutospacing="1"/>
      <w:jc w:val="left"/>
    </w:pPr>
    <w:rPr>
      <w:rFonts w:ascii="宋体" w:hAnsi="宋体"/>
      <w:sz w:val="24"/>
      <w:szCs w:val="21"/>
    </w:rPr>
  </w:style>
  <w:style w:type="paragraph" w:customStyle="1" w:styleId="23">
    <w:name w:val="Index"/>
    <w:basedOn w:val="1"/>
    <w:qFormat/>
    <w:uiPriority w:val="0"/>
    <w:pPr>
      <w:widowControl w:val="0"/>
      <w:suppressLineNumbers/>
      <w:suppressAutoHyphens/>
    </w:pPr>
  </w:style>
  <w:style w:type="paragraph" w:customStyle="1" w:styleId="24">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ustomData xmlns="http://www.yozosoft.com.cn/officeDocument/2016/customData">
  <customProps>
    <docPr revisions="3 0 5 0 0 0 1 0 0 0 26650 1 1 1 1 1"/>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2CCCE1-CF16-4A52-A4CB-0103368E2B8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4272</Words>
  <Characters>4814</Characters>
  <Lines>0</Lines>
  <Paragraphs>178</Paragraphs>
  <TotalTime>14102104</TotalTime>
  <ScaleCrop>false</ScaleCrop>
  <LinksUpToDate>false</LinksUpToDate>
  <CharactersWithSpaces>4930</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2018-11-26T17:47:00Z</dcterms:created>
  <dc:creator>87193</dc:creator>
  <cp:lastModifiedBy>T.A.O</cp:lastModifiedBy>
  <dcterms:modified xsi:type="dcterms:W3CDTF">2026-04-20T06:53:55Z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EE1387D3EDB2435F9D68CDEC7C7E762A_13</vt:lpwstr>
  </property>
</Properties>
</file>