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89791">
      <w:pPr>
        <w:spacing w:line="600" w:lineRule="exact"/>
        <w:jc w:val="center"/>
        <w:outlineLvl w:val="9"/>
        <w:rPr>
          <w:rFonts w:ascii="方正小标宋简体" w:hAnsi="宋体" w:eastAsia="方正小标宋简体"/>
          <w:color w:val="000000"/>
          <w:sz w:val="72"/>
          <w:szCs w:val="72"/>
        </w:rPr>
      </w:pPr>
      <w:bookmarkStart w:id="109" w:name="_GoBack"/>
      <w:bookmarkEnd w:id="109"/>
      <w:bookmarkStart w:id="0" w:name="_Toc15306267"/>
    </w:p>
    <w:p w14:paraId="6D06426C">
      <w:pPr>
        <w:spacing w:line="600" w:lineRule="exact"/>
        <w:jc w:val="center"/>
        <w:outlineLvl w:val="9"/>
        <w:rPr>
          <w:rFonts w:ascii="方正小标宋简体" w:hAnsi="宋体" w:eastAsia="方正小标宋简体"/>
          <w:color w:val="000000"/>
          <w:sz w:val="72"/>
          <w:szCs w:val="72"/>
        </w:rPr>
      </w:pPr>
    </w:p>
    <w:p w14:paraId="12973AA2">
      <w:pPr>
        <w:spacing w:line="600" w:lineRule="exact"/>
        <w:jc w:val="center"/>
        <w:outlineLvl w:val="9"/>
        <w:rPr>
          <w:rFonts w:ascii="方正小标宋简体" w:hAnsi="宋体" w:eastAsia="方正小标宋简体"/>
          <w:color w:val="000000"/>
          <w:sz w:val="72"/>
          <w:szCs w:val="72"/>
        </w:rPr>
      </w:pPr>
    </w:p>
    <w:p w14:paraId="70A58604">
      <w:pPr>
        <w:spacing w:line="600" w:lineRule="exact"/>
        <w:jc w:val="center"/>
        <w:outlineLvl w:val="9"/>
        <w:rPr>
          <w:rFonts w:ascii="方正小标宋简体" w:hAnsi="宋体" w:eastAsia="方正小标宋简体"/>
          <w:color w:val="000000"/>
          <w:sz w:val="72"/>
          <w:szCs w:val="72"/>
        </w:rPr>
      </w:pPr>
    </w:p>
    <w:p w14:paraId="266B8658">
      <w:pPr>
        <w:keepNext w:val="0"/>
        <w:keepLines w:val="0"/>
        <w:pageBreakBefore w:val="0"/>
        <w:widowControl w:val="0"/>
        <w:kinsoku/>
        <w:wordWrap/>
        <w:overflowPunct/>
        <w:topLinePunct w:val="0"/>
        <w:autoSpaceDE/>
        <w:autoSpaceDN/>
        <w:bidi w:val="0"/>
        <w:adjustRightInd w:val="0"/>
        <w:snapToGrid w:val="0"/>
        <w:spacing w:line="1200" w:lineRule="exact"/>
        <w:jc w:val="center"/>
        <w:textAlignment w:val="auto"/>
        <w:outlineLvl w:val="0"/>
        <w:rPr>
          <w:rFonts w:hint="eastAsia" w:ascii="方正小标宋简体" w:hAnsi="宋体" w:eastAsia="方正小标宋简体"/>
          <w:color w:val="000000"/>
          <w:sz w:val="72"/>
          <w:szCs w:val="72"/>
        </w:rPr>
      </w:pPr>
      <w:bookmarkStart w:id="1" w:name="_Toc15396475"/>
      <w:bookmarkStart w:id="2" w:name="_Toc15377193"/>
      <w:bookmarkStart w:id="3" w:name="_Toc15377425"/>
      <w:bookmarkStart w:id="4" w:name="_Toc15396597"/>
      <w:bookmarkStart w:id="5" w:name="_Toc15378441"/>
      <w:bookmarkStart w:id="6" w:name="_Toc20950"/>
      <w:r>
        <w:rPr>
          <w:rFonts w:hint="eastAsia" w:ascii="方正小标宋简体" w:hAnsi="宋体" w:eastAsia="方正小标宋简体"/>
          <w:color w:val="000000"/>
          <w:sz w:val="72"/>
          <w:szCs w:val="72"/>
          <w:lang w:eastAsia="zh-CN"/>
        </w:rPr>
        <w:t>2021</w:t>
      </w:r>
      <w:r>
        <w:rPr>
          <w:rFonts w:hint="eastAsia" w:ascii="方正小标宋简体" w:hAnsi="宋体" w:eastAsia="方正小标宋简体"/>
          <w:color w:val="000000"/>
          <w:sz w:val="72"/>
          <w:szCs w:val="72"/>
        </w:rPr>
        <w:t>年度</w:t>
      </w:r>
      <w:bookmarkEnd w:id="1"/>
      <w:bookmarkEnd w:id="2"/>
      <w:bookmarkEnd w:id="3"/>
      <w:bookmarkEnd w:id="4"/>
      <w:bookmarkEnd w:id="5"/>
      <w:bookmarkEnd w:id="6"/>
    </w:p>
    <w:p w14:paraId="072D43C4">
      <w:pPr>
        <w:keepNext w:val="0"/>
        <w:keepLines w:val="0"/>
        <w:pageBreakBefore w:val="0"/>
        <w:widowControl w:val="0"/>
        <w:kinsoku/>
        <w:wordWrap/>
        <w:overflowPunct/>
        <w:topLinePunct w:val="0"/>
        <w:autoSpaceDE/>
        <w:autoSpaceDN/>
        <w:bidi w:val="0"/>
        <w:adjustRightInd w:val="0"/>
        <w:snapToGrid w:val="0"/>
        <w:spacing w:line="1200" w:lineRule="exact"/>
        <w:jc w:val="center"/>
        <w:textAlignment w:val="auto"/>
        <w:outlineLvl w:val="0"/>
        <w:rPr>
          <w:rFonts w:ascii="方正小标宋简体" w:hAnsi="宋体" w:eastAsia="方正小标宋简体"/>
          <w:color w:val="000000"/>
          <w:sz w:val="72"/>
          <w:szCs w:val="72"/>
        </w:rPr>
      </w:pPr>
      <w:bookmarkStart w:id="7" w:name="_Toc15396476"/>
      <w:bookmarkStart w:id="8" w:name="_Toc15378442"/>
      <w:bookmarkStart w:id="9" w:name="_Toc15377194"/>
      <w:bookmarkStart w:id="10" w:name="_Toc15377426"/>
      <w:bookmarkStart w:id="11" w:name="_Toc6643"/>
      <w:bookmarkStart w:id="12" w:name="_Toc15396598"/>
      <w:r>
        <w:rPr>
          <w:rFonts w:hint="eastAsia" w:ascii="方正小标宋简体" w:hAnsi="宋体" w:eastAsia="方正小标宋简体"/>
          <w:color w:val="000000"/>
          <w:sz w:val="72"/>
          <w:szCs w:val="72"/>
        </w:rPr>
        <w:t>四川省阿坝州</w:t>
      </w:r>
      <w:bookmarkEnd w:id="0"/>
      <w:bookmarkStart w:id="13" w:name="_Toc15306268"/>
      <w:r>
        <w:rPr>
          <w:rFonts w:hint="eastAsia" w:ascii="方正小标宋简体" w:hAnsi="宋体" w:eastAsia="方正小标宋简体"/>
          <w:color w:val="000000"/>
          <w:sz w:val="72"/>
          <w:szCs w:val="72"/>
          <w:lang w:val="en-US" w:eastAsia="zh-CN"/>
        </w:rPr>
        <w:t>住房和城乡建设局</w:t>
      </w:r>
      <w:r>
        <w:rPr>
          <w:rFonts w:hint="eastAsia" w:ascii="方正小标宋简体" w:hAnsi="宋体" w:eastAsia="方正小标宋简体"/>
          <w:color w:val="000000"/>
          <w:sz w:val="72"/>
          <w:szCs w:val="72"/>
        </w:rPr>
        <w:t>部门决算</w:t>
      </w:r>
      <w:bookmarkEnd w:id="7"/>
      <w:bookmarkEnd w:id="8"/>
      <w:bookmarkEnd w:id="9"/>
      <w:bookmarkEnd w:id="10"/>
      <w:bookmarkEnd w:id="11"/>
      <w:bookmarkEnd w:id="12"/>
      <w:bookmarkEnd w:id="13"/>
    </w:p>
    <w:p w14:paraId="04A38E50">
      <w:pPr>
        <w:widowControl/>
        <w:jc w:val="center"/>
        <w:rPr>
          <w:rFonts w:ascii="方正小标宋简体" w:hAnsi="宋体" w:eastAsia="方正小标宋简体"/>
          <w:color w:val="000000"/>
          <w:sz w:val="36"/>
          <w:szCs w:val="36"/>
        </w:rPr>
      </w:pPr>
    </w:p>
    <w:p w14:paraId="0D70220F">
      <w:pPr>
        <w:rPr>
          <w:rFonts w:ascii="方正小标宋简体" w:hAnsi="宋体" w:eastAsia="方正小标宋简体"/>
          <w:sz w:val="36"/>
          <w:szCs w:val="36"/>
        </w:rPr>
      </w:pPr>
    </w:p>
    <w:p w14:paraId="3CB785E9">
      <w:pPr>
        <w:rPr>
          <w:rFonts w:ascii="方正小标宋简体" w:hAnsi="宋体" w:eastAsia="方正小标宋简体"/>
          <w:sz w:val="36"/>
          <w:szCs w:val="36"/>
        </w:rPr>
      </w:pPr>
    </w:p>
    <w:p w14:paraId="3EC5B626">
      <w:pPr>
        <w:rPr>
          <w:rFonts w:ascii="方正小标宋简体" w:hAnsi="宋体" w:eastAsia="方正小标宋简体"/>
          <w:sz w:val="36"/>
          <w:szCs w:val="36"/>
        </w:rPr>
      </w:pPr>
    </w:p>
    <w:p w14:paraId="460B0705">
      <w:pPr>
        <w:rPr>
          <w:rFonts w:ascii="方正小标宋简体" w:hAnsi="宋体" w:eastAsia="方正小标宋简体"/>
          <w:sz w:val="36"/>
          <w:szCs w:val="36"/>
        </w:rPr>
      </w:pPr>
    </w:p>
    <w:p w14:paraId="2AF0B125">
      <w:pPr>
        <w:rPr>
          <w:rFonts w:ascii="方正小标宋简体" w:hAnsi="宋体" w:eastAsia="方正小标宋简体"/>
          <w:sz w:val="36"/>
          <w:szCs w:val="36"/>
        </w:rPr>
      </w:pPr>
    </w:p>
    <w:p w14:paraId="44288316">
      <w:pPr>
        <w:autoSpaceDE w:val="0"/>
        <w:autoSpaceDN w:val="0"/>
        <w:adjustRightInd w:val="0"/>
        <w:ind w:firstLine="1276"/>
        <w:jc w:val="left"/>
        <w:rPr>
          <w:rFonts w:eastAsia="仿宋_GB2312"/>
          <w:sz w:val="32"/>
          <w:szCs w:val="32"/>
        </w:rPr>
      </w:pPr>
      <w:r>
        <w:rPr>
          <w:rFonts w:hint="eastAsia" w:ascii="仿宋_GB2312" w:hAnsi="Calibri" w:eastAsia="仿宋_GB2312" w:cs="仿宋_GB2312"/>
          <w:sz w:val="32"/>
          <w:szCs w:val="32"/>
        </w:rPr>
        <w:t>保密审查情况：已审查，内容审定</w:t>
      </w:r>
    </w:p>
    <w:p w14:paraId="4BB71945">
      <w:pPr>
        <w:autoSpaceDE w:val="0"/>
        <w:autoSpaceDN w:val="0"/>
        <w:adjustRightInd w:val="0"/>
        <w:ind w:firstLine="1276"/>
        <w:jc w:val="left"/>
        <w:rPr>
          <w:rFonts w:ascii="方正小标宋简体" w:hAnsi="宋体" w:eastAsia="方正小标宋简体"/>
          <w:sz w:val="36"/>
          <w:szCs w:val="36"/>
        </w:rPr>
      </w:pPr>
      <w:r>
        <w:rPr>
          <w:rFonts w:hint="eastAsia" w:ascii="仿宋_GB2312" w:eastAsia="仿宋_GB2312" w:cs="仿宋_GB2312"/>
          <w:sz w:val="32"/>
          <w:szCs w:val="32"/>
        </w:rPr>
        <w:t>审签情况：已审签</w:t>
      </w:r>
      <w:r>
        <w:rPr>
          <w:rFonts w:hint="eastAsia" w:ascii="仿宋_GB2312" w:hAnsi="Calibri" w:eastAsia="仿宋_GB2312" w:cs="仿宋_GB2312"/>
          <w:sz w:val="32"/>
          <w:szCs w:val="32"/>
        </w:rPr>
        <w:t>，同意对外公开</w:t>
      </w:r>
    </w:p>
    <w:p w14:paraId="1183EB80">
      <w:pPr>
        <w:widowControl/>
        <w:jc w:val="both"/>
        <w:rPr>
          <w:rFonts w:hint="eastAsia" w:ascii="黑体" w:hAnsi="黑体" w:eastAsia="黑体"/>
          <w:color w:val="000000"/>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7E2F6EF">
      <w:pPr>
        <w:widowControl/>
        <w:jc w:val="center"/>
        <w:rPr>
          <w:rFonts w:ascii="黑体" w:hAnsi="黑体" w:eastAsia="黑体"/>
          <w:color w:val="000000"/>
          <w:sz w:val="48"/>
          <w:szCs w:val="48"/>
        </w:rPr>
      </w:pPr>
      <w:r>
        <w:rPr>
          <w:rFonts w:hint="eastAsia" w:ascii="黑体" w:hAnsi="黑体" w:eastAsia="黑体"/>
          <w:color w:val="000000"/>
          <w:sz w:val="48"/>
          <w:szCs w:val="48"/>
        </w:rPr>
        <w:t>目录</w:t>
      </w:r>
    </w:p>
    <w:p w14:paraId="2D8A79B0">
      <w:pPr>
        <w:widowControl/>
        <w:jc w:val="center"/>
        <w:rPr>
          <w:rFonts w:ascii="黑体" w:hAnsi="黑体" w:eastAsia="黑体" w:cs="Arial"/>
          <w:sz w:val="28"/>
          <w:szCs w:val="28"/>
        </w:rPr>
      </w:pPr>
    </w:p>
    <w:p w14:paraId="078E35ED">
      <w:pPr>
        <w:pStyle w:val="11"/>
      </w:pPr>
      <w:r>
        <w:rPr>
          <w:rFonts w:hint="eastAsia"/>
        </w:rPr>
        <w:t>公开时间：202</w:t>
      </w:r>
      <w:r>
        <w:rPr>
          <w:rFonts w:hint="eastAsia"/>
          <w:lang w:val="en-US" w:eastAsia="zh-CN"/>
        </w:rPr>
        <w:t>1</w:t>
      </w:r>
      <w:r>
        <w:rPr>
          <w:rFonts w:hint="eastAsia"/>
        </w:rPr>
        <w:t>年9月</w:t>
      </w:r>
      <w:r>
        <w:rPr>
          <w:rFonts w:hint="eastAsia"/>
          <w:lang w:val="en-US" w:eastAsia="zh-CN"/>
        </w:rPr>
        <w:t>26</w:t>
      </w:r>
      <w:r>
        <w:rPr>
          <w:rFonts w:hint="eastAsia"/>
        </w:rPr>
        <w:t>日</w:t>
      </w:r>
    </w:p>
    <w:sdt>
      <w:sdtPr>
        <w:rPr>
          <w:rFonts w:ascii="宋体" w:hAnsi="宋体" w:eastAsia="宋体" w:cs="Times New Roman"/>
          <w:kern w:val="2"/>
          <w:sz w:val="21"/>
          <w:szCs w:val="24"/>
          <w:lang w:val="en-US" w:eastAsia="zh-CN" w:bidi="ar-SA"/>
        </w:rPr>
        <w:id w:val="140222621"/>
        <w15:color w:val="DBDBDB"/>
        <w:docPartObj>
          <w:docPartGallery w:val="Table of Contents"/>
          <w:docPartUnique/>
        </w:docPartObj>
      </w:sdtPr>
      <w:sdtEndPr>
        <w:rPr>
          <w:rFonts w:hint="eastAsia" w:ascii="宋体" w:hAnsi="宋体" w:eastAsia="宋体" w:cs="宋体"/>
          <w:b w:val="0"/>
          <w:bCs/>
          <w:kern w:val="2"/>
          <w:sz w:val="28"/>
          <w:szCs w:val="28"/>
          <w:lang w:val="en-US" w:eastAsia="zh-CN" w:bidi="ar-SA"/>
        </w:rPr>
      </w:sdtEndPr>
      <w:sdtContent>
        <w:p w14:paraId="073576D7">
          <w:pPr>
            <w:pStyle w:val="29"/>
            <w:tabs>
              <w:tab w:val="right" w:leader="dot" w:pos="8306"/>
            </w:tabs>
            <w:rPr>
              <w:rFonts w:hint="eastAsia" w:ascii="宋体" w:hAnsi="宋体" w:eastAsia="宋体" w:cs="宋体"/>
              <w:b w:val="0"/>
              <w:bCs/>
              <w:sz w:val="28"/>
              <w:szCs w:val="28"/>
            </w:rPr>
          </w:pPr>
          <w:bookmarkStart w:id="14" w:name="_Toc15377196"/>
          <w:bookmarkStart w:id="15" w:name="_Toc15396599"/>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TOC \o "1-2" \h \u </w:instrText>
          </w:r>
          <w:r>
            <w:rPr>
              <w:rFonts w:hint="eastAsia" w:ascii="宋体" w:hAnsi="宋体" w:eastAsia="宋体" w:cs="宋体"/>
              <w:b w:val="0"/>
              <w:bCs/>
              <w:sz w:val="28"/>
              <w:szCs w:val="28"/>
            </w:rPr>
            <w:fldChar w:fldCharType="separate"/>
          </w:r>
        </w:p>
        <w:p w14:paraId="1994744B">
          <w:pPr>
            <w:pStyle w:val="29"/>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_Toc12605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第一部分 部门概况</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_Toc12605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3</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525DC6C1">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_Toc3309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一、基本职能及主要工作</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_Toc3309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3</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7A3F302C">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_Toc1000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二、机构设置</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_Toc1000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7</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69351CB0">
          <w:pPr>
            <w:pStyle w:val="29"/>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_Toc29889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 xml:space="preserve">第二部分 </w:t>
          </w:r>
          <w:r>
            <w:rPr>
              <w:rFonts w:hint="eastAsia" w:ascii="宋体" w:hAnsi="宋体" w:cs="宋体"/>
              <w:b w:val="0"/>
              <w:bCs/>
              <w:sz w:val="28"/>
              <w:szCs w:val="28"/>
              <w:lang w:eastAsia="zh-CN"/>
            </w:rPr>
            <w:t>2021</w:t>
          </w:r>
          <w:r>
            <w:rPr>
              <w:rFonts w:hint="eastAsia" w:ascii="宋体" w:hAnsi="宋体" w:eastAsia="宋体" w:cs="宋体"/>
              <w:b w:val="0"/>
              <w:bCs/>
              <w:sz w:val="28"/>
              <w:szCs w:val="28"/>
            </w:rPr>
            <w:t>年度部门决算情况说明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_Toc29889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8</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15A01582">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_Toc1285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一、 收入支出决算总体情况说明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_Toc1285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8</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5D36C93B">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_Toc16191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二、 收入决算情况说明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_Toc16191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8</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291AA445">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_Toc29810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三、 支出决算情况说明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_Toc29810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9</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2B23C2E6">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_Toc9889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四、财政拨款收入支出决算总体情况说明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_Toc9889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10</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01CA3852">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_Toc1694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五、一般公共预算财政拨款支出决算情况说明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_Toc1694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10</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423070A4">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_Toc20405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六、一般公共预算财政拨款基本支出决算情况说明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_Toc20405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14</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0D8B658E">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_Toc9329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七、“三公”经费财政拨款支出决算情况说明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_Toc9329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14</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0DCB8B95">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_Toc11506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八、政府性基金预算支出决算情况说明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_Toc11506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16</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30942771">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_Toc5857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九、 国有资本经营预算支出决算情况说明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_Toc5857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16</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3617B58E">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_Toc19437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十、其他重要事项的情况说明</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_Toc19437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16</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08005A67">
          <w:pPr>
            <w:pStyle w:val="29"/>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_Toc21424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第三部分 名词解释</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_Toc21424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19</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706FD202">
          <w:pPr>
            <w:pStyle w:val="29"/>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_Toc2409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第四部分 附件</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_Toc2409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22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28B6B099">
          <w:pPr>
            <w:pStyle w:val="29"/>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_Toc14172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第五部分 附表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_Toc14172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3603BF03">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_Toc7641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一、收入支出决算总表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_Toc7641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739D1A74">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_Toc27331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二、收入决算表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_Toc27331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368A1479">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_Toc26834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三、支出决算表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_Toc26834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593B2A53">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_Toc20077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四、财政拨款收入支出决算总表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_Toc20077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23D17D37">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_Toc5049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五、财政拨款支出决算明细表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_Toc5049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25CF301C">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_Toc24880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六、一般公共预算财政拨款支出决算表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_Toc24880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2B73D6E0">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_Toc25001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七、一般公共预算财政拨款支出决算明细表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_Toc25001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24BFB22A">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_Toc8916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八、一般公共预算财政拨款基本支出决算表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_Toc8916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32601D5B">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_Toc24574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九、一般公共预算财政拨款项目支出决算表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_Toc24574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7515A8CF">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_Toc3377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十、一般公共预算财政拨款“三公”经费支出决算表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_Toc3377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7E226DC4">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_Toc25459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十一、政府性基金预算财政拨款收入支出决算表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_Toc25459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640E116C">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_Toc25423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十二、政府性基金预算财政拨款“三公”经费支出决算表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_Toc25423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534D0331">
          <w:pPr>
            <w:pStyle w:val="30"/>
            <w:tabs>
              <w:tab w:val="right" w:leader="dot" w:pos="8306"/>
            </w:tabs>
            <w:rPr>
              <w:rFonts w:hint="eastAsia" w:ascii="宋体" w:hAnsi="宋体" w:eastAsia="宋体" w:cs="宋体"/>
              <w:b w:val="0"/>
              <w:bCs/>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HYPERLINK \l _Toc18239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十三、国有资本经营预算</w:t>
          </w:r>
          <w:r>
            <w:rPr>
              <w:rFonts w:hint="eastAsia" w:ascii="宋体" w:hAnsi="宋体" w:cs="宋体"/>
              <w:b w:val="0"/>
              <w:bCs/>
              <w:sz w:val="28"/>
              <w:szCs w:val="28"/>
              <w:lang w:val="en-US" w:eastAsia="zh-CN"/>
            </w:rPr>
            <w:t>财政拨款收入</w:t>
          </w:r>
          <w:r>
            <w:rPr>
              <w:rFonts w:hint="eastAsia" w:ascii="宋体" w:hAnsi="宋体" w:eastAsia="宋体" w:cs="宋体"/>
              <w:b w:val="0"/>
              <w:bCs/>
              <w:sz w:val="28"/>
              <w:szCs w:val="28"/>
            </w:rPr>
            <w:t>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_Toc18239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r>
            <w:rPr>
              <w:rFonts w:hint="eastAsia" w:ascii="宋体" w:hAnsi="宋体" w:eastAsia="宋体" w:cs="宋体"/>
              <w:b w:val="0"/>
              <w:bCs/>
              <w:sz w:val="28"/>
              <w:szCs w:val="28"/>
            </w:rPr>
            <w:fldChar w:fldCharType="end"/>
          </w:r>
        </w:p>
        <w:p w14:paraId="03939C87">
          <w:pPr>
            <w:pStyle w:val="30"/>
            <w:tabs>
              <w:tab w:val="right" w:leader="dot" w:pos="8306"/>
            </w:tabs>
            <w:rPr>
              <w:rFonts w:ascii="宋体" w:hAnsi="宋体" w:eastAsia="宋体" w:cs="宋体"/>
              <w:b w:val="0"/>
              <w:bCs/>
              <w:sz w:val="28"/>
              <w:szCs w:val="28"/>
              <w:lang w:val="en-US" w:eastAsia="zh-CN"/>
            </w:rPr>
          </w:pPr>
          <w:r>
            <w:rPr>
              <w:rFonts w:hint="eastAsia" w:ascii="宋体" w:hAnsi="宋体" w:cs="宋体"/>
              <w:b w:val="0"/>
              <w:bCs/>
              <w:sz w:val="28"/>
              <w:szCs w:val="28"/>
              <w:lang w:val="en-US" w:eastAsia="zh-CN"/>
            </w:rPr>
            <w:t>十四、国有资本经营预算财政拨款支出决算表</w:t>
          </w:r>
          <w:r>
            <w:rPr>
              <w:rFonts w:hint="eastAsia" w:ascii="宋体" w:hAnsi="宋体" w:eastAsia="宋体" w:cs="宋体"/>
              <w:b w:val="0"/>
              <w:bCs/>
              <w:sz w:val="28"/>
              <w:szCs w:val="28"/>
            </w:rPr>
            <w:tab/>
          </w: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PAGEREF _Toc18239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rPr>
            <w:t>42</w:t>
          </w:r>
          <w:r>
            <w:rPr>
              <w:rFonts w:hint="eastAsia" w:ascii="宋体" w:hAnsi="宋体" w:eastAsia="宋体" w:cs="宋体"/>
              <w:b w:val="0"/>
              <w:bCs/>
              <w:sz w:val="28"/>
              <w:szCs w:val="28"/>
            </w:rPr>
            <w:fldChar w:fldCharType="end"/>
          </w:r>
        </w:p>
        <w:p w14:paraId="7944998D">
          <w:pPr>
            <w:widowControl/>
            <w:spacing w:line="440" w:lineRule="exact"/>
            <w:jc w:val="left"/>
            <w:rPr>
              <w:rFonts w:hint="eastAsia" w:ascii="宋体" w:hAnsi="宋体" w:eastAsia="宋体" w:cs="宋体"/>
              <w:b w:val="0"/>
              <w:bCs/>
              <w:sz w:val="28"/>
              <w:szCs w:val="28"/>
            </w:rPr>
          </w:pPr>
          <w:r>
            <w:rPr>
              <w:rFonts w:hint="eastAsia" w:ascii="宋体" w:hAnsi="宋体" w:eastAsia="宋体" w:cs="宋体"/>
              <w:b w:val="0"/>
              <w:bCs/>
              <w:sz w:val="28"/>
              <w:szCs w:val="28"/>
            </w:rPr>
            <w:fldChar w:fldCharType="end"/>
          </w:r>
        </w:p>
      </w:sdtContent>
    </w:sdt>
    <w:p w14:paraId="58DFE59C">
      <w:pPr>
        <w:rPr>
          <w:rFonts w:hint="eastAsia" w:ascii="黑体" w:hAnsi="黑体" w:eastAsia="黑体"/>
          <w:b w:val="0"/>
        </w:rPr>
      </w:pPr>
      <w:bookmarkStart w:id="16" w:name="_Toc12605"/>
    </w:p>
    <w:p w14:paraId="2E49D165">
      <w:pPr>
        <w:pStyle w:val="3"/>
        <w:ind w:firstLine="2200" w:firstLineChars="500"/>
        <w:jc w:val="both"/>
        <w:rPr>
          <w:rFonts w:hint="eastAsia" w:ascii="黑体" w:hAnsi="黑体" w:eastAsia="黑体"/>
          <w:b w:val="0"/>
        </w:rPr>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pPr>
    </w:p>
    <w:p w14:paraId="5D991872">
      <w:pPr>
        <w:pStyle w:val="3"/>
        <w:ind w:firstLine="2200" w:firstLineChars="500"/>
        <w:jc w:val="both"/>
        <w:rPr>
          <w:rFonts w:ascii="黑体" w:eastAsia="黑体"/>
          <w:color w:val="000000"/>
          <w:sz w:val="32"/>
          <w:szCs w:val="32"/>
        </w:rPr>
      </w:pPr>
      <w:r>
        <w:rPr>
          <w:rFonts w:hint="eastAsia" w:ascii="黑体" w:hAnsi="黑体" w:eastAsia="黑体"/>
          <w:b w:val="0"/>
        </w:rPr>
        <w:t xml:space="preserve">第一部分 </w:t>
      </w:r>
      <w:r>
        <w:rPr>
          <w:rStyle w:val="17"/>
          <w:rFonts w:hint="eastAsia" w:ascii="黑体" w:hAnsi="黑体" w:eastAsia="黑体"/>
          <w:b w:val="0"/>
          <w:bCs w:val="0"/>
        </w:rPr>
        <w:t>部门概况</w:t>
      </w:r>
      <w:bookmarkEnd w:id="14"/>
      <w:bookmarkEnd w:id="15"/>
      <w:bookmarkEnd w:id="16"/>
    </w:p>
    <w:p w14:paraId="7BD216BF">
      <w:pPr>
        <w:pStyle w:val="4"/>
        <w:ind w:firstLine="640" w:firstLineChars="200"/>
        <w:rPr>
          <w:rStyle w:val="18"/>
          <w:rFonts w:ascii="仿宋" w:hAnsi="仿宋" w:eastAsia="仿宋"/>
          <w:b w:val="0"/>
          <w:bCs w:val="0"/>
        </w:rPr>
      </w:pPr>
      <w:bookmarkStart w:id="17" w:name="_Toc15377197"/>
      <w:bookmarkStart w:id="18" w:name="_Toc3309"/>
      <w:bookmarkStart w:id="19" w:name="_Toc15396600"/>
      <w:r>
        <w:rPr>
          <w:rFonts w:hint="eastAsia" w:ascii="黑体" w:hAnsi="黑体" w:eastAsia="黑体"/>
          <w:b w:val="0"/>
          <w:color w:val="000000"/>
        </w:rPr>
        <w:t>一、基</w:t>
      </w:r>
      <w:r>
        <w:rPr>
          <w:rStyle w:val="18"/>
          <w:rFonts w:hint="eastAsia" w:ascii="黑体" w:hAnsi="黑体" w:eastAsia="黑体"/>
          <w:b w:val="0"/>
          <w:bCs w:val="0"/>
        </w:rPr>
        <w:t>本职能及主要工作</w:t>
      </w:r>
      <w:bookmarkEnd w:id="17"/>
      <w:bookmarkEnd w:id="18"/>
      <w:bookmarkEnd w:id="19"/>
    </w:p>
    <w:p w14:paraId="3AE94709">
      <w:pPr>
        <w:keepNext w:val="0"/>
        <w:keepLines w:val="0"/>
        <w:pageBreakBefore w:val="0"/>
        <w:kinsoku/>
        <w:wordWrap/>
        <w:overflowPunct/>
        <w:topLinePunct w:val="0"/>
        <w:autoSpaceDE/>
        <w:autoSpaceDN/>
        <w:bidi w:val="0"/>
        <w:adjustRightInd/>
        <w:spacing w:line="560" w:lineRule="exact"/>
        <w:ind w:firstLine="643" w:firstLineChars="200"/>
        <w:jc w:val="left"/>
        <w:textAlignment w:val="auto"/>
        <w:rPr>
          <w:rFonts w:ascii="仿宋_GB2312" w:hAnsi="仿宋" w:eastAsia="仿宋_GB2312"/>
          <w:sz w:val="32"/>
          <w:szCs w:val="32"/>
          <w:lang w:val="en-US"/>
        </w:rPr>
      </w:pPr>
      <w:bookmarkStart w:id="20" w:name="_Toc15377198"/>
      <w:bookmarkStart w:id="21" w:name="_Toc15378445"/>
      <w:r>
        <w:rPr>
          <w:rFonts w:hint="eastAsia" w:ascii="楷体_GB2312" w:hAnsi="楷体_GB2312" w:eastAsia="楷体_GB2312" w:cs="楷体_GB2312"/>
          <w:b/>
          <w:bCs w:val="0"/>
          <w:color w:val="000000"/>
          <w:sz w:val="32"/>
          <w:szCs w:val="32"/>
        </w:rPr>
        <w:t>（一）主要职能。</w:t>
      </w:r>
      <w:bookmarkEnd w:id="20"/>
      <w:bookmarkEnd w:id="21"/>
      <w:bookmarkStart w:id="22" w:name="_Toc15377199"/>
      <w:bookmarkStart w:id="23" w:name="_Toc15378446"/>
      <w:r>
        <w:rPr>
          <w:rFonts w:hint="eastAsia" w:ascii="仿宋_GB2312" w:hAnsi="仿宋" w:eastAsia="仿宋_GB2312"/>
          <w:sz w:val="32"/>
          <w:szCs w:val="32"/>
          <w:lang w:val="en-US" w:eastAsia="zh-CN"/>
        </w:rPr>
        <w:t>阿坝州住房和城乡建设局</w:t>
      </w:r>
      <w:r>
        <w:rPr>
          <w:rFonts w:hint="eastAsia" w:ascii="仿宋_GB2312" w:hAnsi="仿宋" w:eastAsia="仿宋_GB2312"/>
          <w:sz w:val="32"/>
          <w:szCs w:val="32"/>
        </w:rPr>
        <w:t>根据《</w:t>
      </w:r>
      <w:r>
        <w:rPr>
          <w:rFonts w:hint="eastAsia" w:ascii="仿宋_GB2312" w:hAnsi="仿宋" w:eastAsia="仿宋_GB2312"/>
          <w:sz w:val="32"/>
          <w:szCs w:val="32"/>
          <w:lang w:val="en-US" w:eastAsia="zh-CN"/>
        </w:rPr>
        <w:t>中共阿坝州委机构编制委员会关于调整州住房和城乡建设局机构编制事项的通知</w:t>
      </w:r>
      <w:r>
        <w:rPr>
          <w:rFonts w:hint="eastAsia" w:ascii="仿宋_GB2312" w:hAnsi="仿宋" w:eastAsia="仿宋_GB2312"/>
          <w:sz w:val="32"/>
          <w:szCs w:val="32"/>
        </w:rPr>
        <w:t>》（</w:t>
      </w:r>
      <w:r>
        <w:rPr>
          <w:rFonts w:hint="eastAsia" w:ascii="仿宋_GB2312" w:hAnsi="仿宋" w:eastAsia="仿宋_GB2312"/>
          <w:sz w:val="32"/>
          <w:szCs w:val="32"/>
          <w:lang w:val="en-US" w:eastAsia="zh-CN"/>
        </w:rPr>
        <w:t>阿编发</w:t>
      </w:r>
      <w:r>
        <w:rPr>
          <w:rFonts w:hint="eastAsia" w:ascii="仿宋_GB2312" w:hAnsi="仿宋" w:eastAsia="仿宋_GB2312"/>
          <w:sz w:val="32"/>
          <w:szCs w:val="32"/>
        </w:rPr>
        <w:t>[</w:t>
      </w:r>
      <w:r>
        <w:rPr>
          <w:rFonts w:hint="eastAsia" w:ascii="仿宋_GB2312" w:hAnsi="仿宋" w:eastAsia="仿宋_GB2312"/>
          <w:sz w:val="32"/>
          <w:szCs w:val="32"/>
          <w:lang w:eastAsia="zh-CN"/>
        </w:rPr>
        <w:t>20</w:t>
      </w:r>
      <w:r>
        <w:rPr>
          <w:rFonts w:hint="eastAsia" w:ascii="仿宋_GB2312" w:hAnsi="仿宋" w:eastAsia="仿宋_GB2312"/>
          <w:sz w:val="32"/>
          <w:szCs w:val="32"/>
          <w:lang w:val="en-US" w:eastAsia="zh-CN"/>
        </w:rPr>
        <w:t>19</w:t>
      </w:r>
      <w:r>
        <w:rPr>
          <w:rFonts w:hint="eastAsia" w:ascii="仿宋_GB2312" w:hAnsi="仿宋" w:eastAsia="仿宋_GB2312"/>
          <w:sz w:val="32"/>
          <w:szCs w:val="32"/>
        </w:rPr>
        <w:t>]</w:t>
      </w:r>
      <w:r>
        <w:rPr>
          <w:rFonts w:hint="eastAsia" w:ascii="仿宋_GB2312" w:hAnsi="仿宋" w:eastAsia="仿宋_GB2312"/>
          <w:sz w:val="32"/>
          <w:szCs w:val="32"/>
          <w:lang w:val="en-US" w:eastAsia="zh-CN"/>
        </w:rPr>
        <w:t>77</w:t>
      </w:r>
      <w:r>
        <w:rPr>
          <w:rFonts w:hint="eastAsia" w:ascii="仿宋_GB2312" w:hAnsi="仿宋" w:eastAsia="仿宋_GB2312"/>
          <w:sz w:val="32"/>
          <w:szCs w:val="32"/>
        </w:rPr>
        <w:t>号）</w:t>
      </w:r>
      <w:r>
        <w:rPr>
          <w:rFonts w:hint="eastAsia" w:ascii="仿宋_GB2312" w:hAnsi="仿宋" w:eastAsia="仿宋_GB2312"/>
          <w:sz w:val="32"/>
          <w:szCs w:val="32"/>
          <w:lang w:val="en-US" w:eastAsia="zh-CN"/>
        </w:rPr>
        <w:t>批准，</w:t>
      </w:r>
      <w:r>
        <w:rPr>
          <w:rFonts w:hint="eastAsia" w:ascii="仿宋_GB2312" w:hAnsi="方正小标宋_GBK" w:eastAsia="仿宋_GB2312" w:cs="方正小标宋_GBK"/>
          <w:sz w:val="32"/>
          <w:szCs w:val="32"/>
        </w:rPr>
        <w:t>贯彻执行国家</w:t>
      </w:r>
      <w:r>
        <w:rPr>
          <w:rFonts w:hint="eastAsia" w:ascii="仿宋_GB2312" w:hAnsi="方正小标宋_GBK" w:eastAsia="仿宋_GB2312" w:cs="方正小标宋_GBK"/>
          <w:sz w:val="32"/>
          <w:szCs w:val="32"/>
          <w:lang w:val="en-US" w:eastAsia="zh-CN"/>
        </w:rPr>
        <w:t>有关住房和城乡建设</w:t>
      </w:r>
      <w:r>
        <w:rPr>
          <w:rFonts w:hint="eastAsia" w:ascii="仿宋_GB2312" w:hAnsi="方正小标宋_GBK" w:eastAsia="仿宋_GB2312" w:cs="方正小标宋_GBK"/>
          <w:sz w:val="32"/>
          <w:szCs w:val="32"/>
        </w:rPr>
        <w:t>的法律、法规、规章和方针政策</w:t>
      </w:r>
      <w:r>
        <w:rPr>
          <w:rFonts w:hint="eastAsia" w:ascii="仿宋_GB2312" w:hAnsi="方正小标宋_GBK" w:eastAsia="仿宋_GB2312" w:cs="方正小标宋_GBK"/>
          <w:sz w:val="32"/>
          <w:szCs w:val="32"/>
          <w:lang w:eastAsia="zh-CN"/>
        </w:rPr>
        <w:t>，</w:t>
      </w:r>
      <w:r>
        <w:rPr>
          <w:rFonts w:hint="eastAsia" w:ascii="仿宋_GB2312" w:hAnsi="仿宋" w:eastAsia="仿宋_GB2312"/>
          <w:sz w:val="32"/>
          <w:szCs w:val="32"/>
          <w:lang w:val="en-US" w:eastAsia="zh-CN"/>
        </w:rPr>
        <w:t>统筹发展全州住房和城乡建设工作。</w:t>
      </w:r>
      <w:r>
        <w:rPr>
          <w:rFonts w:hint="eastAsia" w:ascii="仿宋_GB2312" w:hAnsi="仿宋" w:eastAsia="仿宋_GB2312"/>
          <w:sz w:val="32"/>
          <w:szCs w:val="32"/>
        </w:rPr>
        <w:t>下属</w:t>
      </w:r>
      <w:r>
        <w:rPr>
          <w:rFonts w:hint="eastAsia" w:ascii="仿宋_GB2312" w:hAnsi="仿宋" w:eastAsia="仿宋_GB2312"/>
          <w:sz w:val="32"/>
          <w:szCs w:val="32"/>
          <w:lang w:val="en-US" w:eastAsia="zh-CN"/>
        </w:rPr>
        <w:t>2</w:t>
      </w:r>
      <w:r>
        <w:rPr>
          <w:rFonts w:hint="eastAsia" w:ascii="仿宋_GB2312" w:hAnsi="仿宋" w:eastAsia="仿宋_GB2312"/>
          <w:sz w:val="32"/>
          <w:szCs w:val="32"/>
        </w:rPr>
        <w:t>个直属</w:t>
      </w:r>
      <w:r>
        <w:rPr>
          <w:rFonts w:hint="eastAsia" w:ascii="仿宋_GB2312" w:hAnsi="仿宋" w:eastAsia="仿宋_GB2312"/>
          <w:sz w:val="32"/>
          <w:szCs w:val="32"/>
          <w:lang w:val="en-US" w:eastAsia="zh-CN"/>
        </w:rPr>
        <w:t>参公</w:t>
      </w:r>
      <w:r>
        <w:rPr>
          <w:rFonts w:hint="eastAsia" w:ascii="仿宋_GB2312" w:hAnsi="仿宋" w:eastAsia="仿宋_GB2312"/>
          <w:sz w:val="32"/>
          <w:szCs w:val="32"/>
        </w:rPr>
        <w:t>事业单位根据</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中共阿坝州委机构编制委员会关于调整州住房和城乡建设局所属事业单位有关机构编制事项的通知</w:t>
      </w:r>
      <w:r>
        <w:rPr>
          <w:rFonts w:hint="eastAsia" w:ascii="仿宋_GB2312" w:hAnsi="仿宋" w:eastAsia="仿宋_GB2312"/>
          <w:sz w:val="32"/>
          <w:szCs w:val="32"/>
          <w:lang w:eastAsia="zh-CN"/>
        </w:rPr>
        <w:t>》（</w:t>
      </w:r>
      <w:r>
        <w:rPr>
          <w:rFonts w:hint="eastAsia" w:ascii="仿宋_GB2312" w:hAnsi="仿宋" w:eastAsia="仿宋_GB2312"/>
          <w:sz w:val="32"/>
          <w:szCs w:val="32"/>
        </w:rPr>
        <w:t>阿编发[</w:t>
      </w:r>
      <w:r>
        <w:rPr>
          <w:rFonts w:hint="eastAsia" w:ascii="仿宋_GB2312" w:hAnsi="仿宋" w:eastAsia="仿宋_GB2312"/>
          <w:sz w:val="32"/>
          <w:szCs w:val="32"/>
          <w:lang w:eastAsia="zh-CN"/>
        </w:rPr>
        <w:t>20</w:t>
      </w:r>
      <w:r>
        <w:rPr>
          <w:rFonts w:hint="eastAsia" w:ascii="仿宋_GB2312" w:hAnsi="仿宋" w:eastAsia="仿宋_GB2312"/>
          <w:sz w:val="32"/>
          <w:szCs w:val="32"/>
          <w:lang w:val="en-US" w:eastAsia="zh-CN"/>
        </w:rPr>
        <w:t>19</w:t>
      </w:r>
      <w:r>
        <w:rPr>
          <w:rFonts w:hint="eastAsia" w:ascii="仿宋_GB2312" w:hAnsi="仿宋" w:eastAsia="仿宋_GB2312"/>
          <w:sz w:val="32"/>
          <w:szCs w:val="32"/>
        </w:rPr>
        <w:t>]5</w:t>
      </w:r>
      <w:r>
        <w:rPr>
          <w:rFonts w:hint="eastAsia" w:ascii="仿宋_GB2312" w:hAnsi="仿宋" w:eastAsia="仿宋_GB2312"/>
          <w:sz w:val="32"/>
          <w:szCs w:val="32"/>
          <w:lang w:val="en-US" w:eastAsia="zh-CN"/>
        </w:rPr>
        <w:t>3</w:t>
      </w:r>
      <w:r>
        <w:rPr>
          <w:rFonts w:hint="eastAsia" w:ascii="仿宋_GB2312" w:hAnsi="仿宋" w:eastAsia="仿宋_GB2312"/>
          <w:sz w:val="32"/>
          <w:szCs w:val="32"/>
        </w:rPr>
        <w:t>号</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批准。阿坝州建设工程质量安全监督站（州工程造价站）负责全州建筑工程施工质量、安全生产、工地环保、竣工验收备案等工作的实施、监督执行及技术指导；负责全州建设工程监理、工程质量检测及鉴定行业的监督管理；提供全州建筑工程质量安全事故的调查服务。阿坝州城市管理综合行政执法监督局贯彻执行国家有关城市管理执法</w:t>
      </w:r>
      <w:r>
        <w:rPr>
          <w:rFonts w:hint="eastAsia" w:ascii="仿宋_GB2312" w:hAnsi="方正小标宋_GBK" w:eastAsia="仿宋_GB2312" w:cs="方正小标宋_GBK"/>
          <w:sz w:val="32"/>
          <w:szCs w:val="32"/>
        </w:rPr>
        <w:t>的法律、法规、规章和方针政策</w:t>
      </w:r>
      <w:r>
        <w:rPr>
          <w:rFonts w:hint="eastAsia" w:ascii="仿宋_GB2312" w:hAnsi="方正小标宋_GBK" w:eastAsia="仿宋_GB2312" w:cs="方正小标宋_GBK"/>
          <w:sz w:val="32"/>
          <w:szCs w:val="32"/>
          <w:lang w:eastAsia="zh-CN"/>
        </w:rPr>
        <w:t>；</w:t>
      </w:r>
      <w:r>
        <w:rPr>
          <w:rFonts w:hint="eastAsia" w:ascii="仿宋_GB2312" w:hAnsi="方正小标宋_GBK" w:eastAsia="仿宋_GB2312" w:cs="方正小标宋_GBK"/>
          <w:sz w:val="32"/>
          <w:szCs w:val="32"/>
        </w:rPr>
        <w:t>组织拟订全州城市管理政策措施并监督执行</w:t>
      </w:r>
      <w:r>
        <w:rPr>
          <w:rFonts w:hint="eastAsia" w:ascii="仿宋_GB2312" w:hAnsi="方正小标宋_GBK" w:eastAsia="仿宋_GB2312" w:cs="方正小标宋_GBK"/>
          <w:sz w:val="32"/>
          <w:szCs w:val="32"/>
          <w:lang w:eastAsia="zh-CN"/>
        </w:rPr>
        <w:t>；</w:t>
      </w:r>
      <w:r>
        <w:rPr>
          <w:rFonts w:hint="eastAsia" w:ascii="仿宋_GB2312" w:hAnsi="方正小标宋_GBK" w:eastAsia="仿宋_GB2312" w:cs="方正小标宋_GBK"/>
          <w:sz w:val="32"/>
          <w:szCs w:val="32"/>
        </w:rPr>
        <w:t>负责全州城市管理执法业务指导、组织协调、监督检查工作，指导全州城市管理执法队伍建设</w:t>
      </w:r>
      <w:r>
        <w:rPr>
          <w:rFonts w:hint="eastAsia" w:ascii="仿宋_GB2312" w:hAnsi="方正小标宋_GBK" w:eastAsia="仿宋_GB2312" w:cs="方正小标宋_GBK"/>
          <w:sz w:val="32"/>
          <w:szCs w:val="32"/>
          <w:lang w:eastAsia="zh-CN"/>
        </w:rPr>
        <w:t>；</w:t>
      </w:r>
      <w:r>
        <w:rPr>
          <w:rFonts w:hint="eastAsia" w:ascii="仿宋_GB2312" w:hAnsi="方正小标宋_GBK" w:eastAsia="仿宋_GB2312" w:cs="方正小标宋_GBK"/>
          <w:sz w:val="32"/>
          <w:szCs w:val="32"/>
        </w:rPr>
        <w:t>组织查处涉及城乡建设领域重大案件，协调、监督跨县（市）案件的查处。</w:t>
      </w:r>
    </w:p>
    <w:p w14:paraId="431E42D7">
      <w:pPr>
        <w:pStyle w:val="6"/>
        <w:adjustRightInd w:val="0"/>
        <w:snapToGrid w:val="0"/>
        <w:spacing w:line="600" w:lineRule="exact"/>
        <w:ind w:firstLine="671" w:firstLineChars="209"/>
        <w:outlineLvl w:val="2"/>
        <w:rPr>
          <w:rFonts w:hint="eastAsia" w:ascii="楷体_GB2312" w:hAnsi="楷体_GB2312" w:eastAsia="楷体_GB2312" w:cs="楷体_GB2312"/>
          <w:b/>
          <w:bCs w:val="0"/>
          <w:color w:val="000000"/>
          <w:sz w:val="32"/>
          <w:szCs w:val="32"/>
        </w:rPr>
      </w:pPr>
      <w:r>
        <w:rPr>
          <w:rFonts w:hint="eastAsia" w:ascii="楷体_GB2312" w:hAnsi="楷体_GB2312" w:eastAsia="楷体_GB2312" w:cs="楷体_GB2312"/>
          <w:b/>
          <w:bCs w:val="0"/>
          <w:color w:val="000000"/>
          <w:sz w:val="32"/>
          <w:szCs w:val="32"/>
        </w:rPr>
        <w:t>（二）</w:t>
      </w:r>
      <w:r>
        <w:rPr>
          <w:rFonts w:hint="eastAsia" w:ascii="楷体_GB2312" w:hAnsi="楷体_GB2312" w:eastAsia="楷体_GB2312" w:cs="楷体_GB2312"/>
          <w:b/>
          <w:bCs w:val="0"/>
          <w:color w:val="000000"/>
          <w:sz w:val="32"/>
          <w:szCs w:val="32"/>
          <w:lang w:val="en-US" w:eastAsia="zh-CN"/>
        </w:rPr>
        <w:t>2021</w:t>
      </w:r>
      <w:r>
        <w:rPr>
          <w:rFonts w:hint="eastAsia" w:ascii="楷体_GB2312" w:hAnsi="楷体_GB2312" w:eastAsia="楷体_GB2312" w:cs="楷体_GB2312"/>
          <w:b/>
          <w:bCs w:val="0"/>
          <w:color w:val="000000"/>
          <w:sz w:val="32"/>
          <w:szCs w:val="32"/>
        </w:rPr>
        <w:t>年重点工作完成情况。</w:t>
      </w:r>
      <w:bookmarkEnd w:id="22"/>
      <w:bookmarkEnd w:id="23"/>
    </w:p>
    <w:p w14:paraId="39F34888">
      <w:pPr>
        <w:pStyle w:val="6"/>
        <w:numPr>
          <w:ilvl w:val="0"/>
          <w:numId w:val="0"/>
        </w:numPr>
        <w:adjustRightInd w:val="0"/>
        <w:snapToGrid w:val="0"/>
        <w:spacing w:line="600" w:lineRule="exact"/>
        <w:ind w:left="0" w:firstLine="643" w:firstLineChars="200"/>
        <w:outlineLvl w:val="2"/>
        <w:rPr>
          <w:rFonts w:ascii="Times New Roman" w:hAnsi="Times New Roman" w:eastAsia="仿宋_GB2312" w:cs="Times New Roman"/>
          <w:color w:val="auto"/>
          <w:sz w:val="32"/>
          <w:szCs w:val="32"/>
          <w:highlight w:val="none"/>
          <w:lang w:eastAsia="zh-CN"/>
        </w:rPr>
      </w:pPr>
      <w:bookmarkStart w:id="24" w:name="_Toc15396601"/>
      <w:bookmarkStart w:id="25" w:name="_Toc15377200"/>
      <w:bookmarkStart w:id="26" w:name="_Toc1000"/>
      <w:r>
        <w:rPr>
          <w:rFonts w:hint="eastAsia" w:ascii="Times New Roman" w:hAnsi="Times New Roman" w:eastAsia="楷体_GB2312" w:cs="Times New Roman"/>
          <w:b/>
          <w:bCs/>
          <w:color w:val="auto"/>
          <w:kern w:val="2"/>
          <w:sz w:val="32"/>
          <w:szCs w:val="32"/>
          <w:highlight w:val="none"/>
          <w:lang w:val="en-US" w:eastAsia="zh-CN" w:bidi="ar-SA"/>
        </w:rPr>
        <w:t>1.</w:t>
      </w:r>
      <w:r>
        <w:rPr>
          <w:rFonts w:ascii="Times New Roman" w:hAnsi="Times New Roman" w:eastAsia="楷体_GB2312" w:cs="Times New Roman"/>
          <w:b/>
          <w:bCs/>
          <w:color w:val="auto"/>
          <w:kern w:val="2"/>
          <w:sz w:val="32"/>
          <w:szCs w:val="32"/>
          <w:highlight w:val="none"/>
          <w:lang w:val="en-US" w:eastAsia="zh-CN" w:bidi="ar-SA"/>
        </w:rPr>
        <w:t>坚持不懈抓生态环保，“垃圾、污水、厕所”三大革命落地见效。</w:t>
      </w:r>
      <w:r>
        <w:rPr>
          <w:rFonts w:ascii="Times New Roman" w:hAnsi="Times New Roman" w:eastAsia="仿宋_GB2312" w:cs="Times New Roman"/>
          <w:b w:val="0"/>
          <w:bCs w:val="0"/>
          <w:color w:val="auto"/>
          <w:sz w:val="32"/>
          <w:szCs w:val="32"/>
          <w:highlight w:val="none"/>
          <w:lang w:val="en-US" w:eastAsia="zh-CN"/>
        </w:rPr>
        <w:t>深入开展城镇“垃圾、污水、厕所”三大革命，出台《阿坝州城镇生活污水和城乡生活垃圾治理长效机制的实施意见》，开工污水垃圾“新三推”建设项目35个，</w:t>
      </w:r>
      <w:r>
        <w:rPr>
          <w:rFonts w:ascii="Times New Roman" w:hAnsi="Times New Roman" w:eastAsia="仿宋_GB2312" w:cs="Times New Roman"/>
          <w:b w:val="0"/>
          <w:bCs w:val="0"/>
          <w:color w:val="auto"/>
          <w:sz w:val="32"/>
          <w:szCs w:val="32"/>
          <w:highlight w:val="none"/>
          <w:lang w:eastAsia="zh-CN"/>
        </w:rPr>
        <w:t>强力推进黄河流域建制镇</w:t>
      </w:r>
      <w:r>
        <w:rPr>
          <w:rFonts w:hint="eastAsia" w:ascii="Times New Roman" w:hAnsi="Times New Roman" w:eastAsia="仿宋_GB2312" w:cs="Times New Roman"/>
          <w:b w:val="0"/>
          <w:bCs w:val="0"/>
          <w:color w:val="auto"/>
          <w:sz w:val="32"/>
          <w:szCs w:val="32"/>
          <w:highlight w:val="none"/>
          <w:lang w:eastAsia="zh-CN"/>
        </w:rPr>
        <w:t>污水处理设施</w:t>
      </w:r>
      <w:r>
        <w:rPr>
          <w:rFonts w:ascii="Times New Roman" w:hAnsi="Times New Roman" w:eastAsia="仿宋_GB2312" w:cs="Times New Roman"/>
          <w:b w:val="0"/>
          <w:bCs w:val="0"/>
          <w:color w:val="auto"/>
          <w:sz w:val="32"/>
          <w:szCs w:val="32"/>
          <w:highlight w:val="none"/>
          <w:lang w:val="en-US" w:eastAsia="zh-CN"/>
        </w:rPr>
        <w:t>建设，</w:t>
      </w:r>
      <w:r>
        <w:rPr>
          <w:rFonts w:hint="eastAsia" w:ascii="Times New Roman" w:hAnsi="Times New Roman" w:eastAsia="仿宋_GB2312" w:cs="Times New Roman"/>
          <w:b w:val="0"/>
          <w:bCs w:val="0"/>
          <w:color w:val="auto"/>
          <w:sz w:val="32"/>
          <w:szCs w:val="32"/>
          <w:highlight w:val="none"/>
          <w:lang w:val="en-US" w:eastAsia="zh-CN"/>
        </w:rPr>
        <w:t>已建成16个、正在施工4</w:t>
      </w:r>
      <w:r>
        <w:rPr>
          <w:rFonts w:ascii="Times New Roman" w:hAnsi="Times New Roman" w:eastAsia="仿宋_GB2312" w:cs="Times New Roman"/>
          <w:b w:val="0"/>
          <w:bCs w:val="0"/>
          <w:color w:val="auto"/>
          <w:sz w:val="32"/>
          <w:szCs w:val="32"/>
          <w:highlight w:val="none"/>
          <w:lang w:val="en-US" w:eastAsia="zh-CN"/>
        </w:rPr>
        <w:t>个、开展项目前期6个，有序征收垃圾污水处理费</w:t>
      </w:r>
      <w:r>
        <w:rPr>
          <w:rFonts w:ascii="Times New Roman" w:hAnsi="Times New Roman" w:eastAsia="仿宋_GB2312" w:cs="Times New Roman"/>
          <w:color w:val="auto"/>
          <w:sz w:val="32"/>
          <w:szCs w:val="32"/>
          <w:highlight w:val="none"/>
          <w:lang w:val="en-US" w:eastAsia="zh-CN"/>
        </w:rPr>
        <w:t>。完成住建领域环保问题整改240项。全州2021年城市（县城）生活污水、垃圾处理率分别达85%、95%以上，建制镇污水</w:t>
      </w:r>
      <w:r>
        <w:rPr>
          <w:rFonts w:ascii="Times New Roman" w:hAnsi="Times New Roman" w:eastAsia="仿宋_GB2312" w:cs="Times New Roman"/>
          <w:b w:val="0"/>
          <w:bCs w:val="0"/>
          <w:color w:val="auto"/>
          <w:sz w:val="32"/>
          <w:szCs w:val="32"/>
          <w:highlight w:val="none"/>
          <w:lang w:val="en-US" w:eastAsia="zh-CN"/>
        </w:rPr>
        <w:t>处理</w:t>
      </w:r>
      <w:r>
        <w:rPr>
          <w:rFonts w:ascii="Times New Roman" w:hAnsi="Times New Roman" w:eastAsia="仿宋_GB2312" w:cs="Times New Roman"/>
          <w:color w:val="auto"/>
          <w:sz w:val="32"/>
          <w:szCs w:val="32"/>
          <w:highlight w:val="none"/>
          <w:lang w:val="en-US" w:eastAsia="zh-CN"/>
        </w:rPr>
        <w:t>设施覆盖率达70.73%。</w:t>
      </w:r>
      <w:r>
        <w:rPr>
          <w:rFonts w:ascii="Times New Roman" w:hAnsi="Times New Roman" w:eastAsia="仿宋_GB2312" w:cs="Times New Roman"/>
          <w:b w:val="0"/>
          <w:bCs w:val="0"/>
          <w:color w:val="auto"/>
          <w:sz w:val="32"/>
          <w:szCs w:val="32"/>
          <w:highlight w:val="none"/>
          <w:lang w:eastAsia="zh-CN"/>
        </w:rPr>
        <w:t>新（改）建公厕</w:t>
      </w:r>
      <w:r>
        <w:rPr>
          <w:rFonts w:ascii="Times New Roman" w:hAnsi="Times New Roman" w:eastAsia="仿宋_GB2312" w:cs="Times New Roman"/>
          <w:b w:val="0"/>
          <w:bCs w:val="0"/>
          <w:color w:val="auto"/>
          <w:sz w:val="32"/>
          <w:szCs w:val="32"/>
          <w:highlight w:val="none"/>
          <w:lang w:val="en-US" w:eastAsia="zh-CN"/>
        </w:rPr>
        <w:t>84</w:t>
      </w:r>
      <w:r>
        <w:rPr>
          <w:rFonts w:ascii="Times New Roman" w:hAnsi="Times New Roman" w:eastAsia="仿宋_GB2312" w:cs="Times New Roman"/>
          <w:b w:val="0"/>
          <w:bCs w:val="0"/>
          <w:color w:val="auto"/>
          <w:sz w:val="32"/>
          <w:szCs w:val="32"/>
          <w:highlight w:val="none"/>
          <w:lang w:eastAsia="zh-CN"/>
        </w:rPr>
        <w:t>座</w:t>
      </w:r>
      <w:r>
        <w:rPr>
          <w:rFonts w:hint="eastAsia" w:ascii="Times New Roman" w:hAnsi="Times New Roman" w:cs="Times New Roman"/>
          <w:b w:val="0"/>
          <w:bCs w:val="0"/>
          <w:color w:val="auto"/>
          <w:sz w:val="32"/>
          <w:szCs w:val="32"/>
          <w:highlight w:val="none"/>
          <w:lang w:eastAsia="zh-CN"/>
        </w:rPr>
        <w:t>。</w:t>
      </w:r>
    </w:p>
    <w:p w14:paraId="68486F3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楷体_GB2312" w:cs="Times New Roman"/>
          <w:b/>
          <w:bCs/>
          <w:color w:val="auto"/>
          <w:kern w:val="2"/>
          <w:sz w:val="32"/>
          <w:szCs w:val="32"/>
          <w:highlight w:val="none"/>
          <w:lang w:val="en-US" w:eastAsia="zh-CN" w:bidi="ar-SA"/>
        </w:rPr>
        <w:t>2.</w:t>
      </w:r>
      <w:r>
        <w:rPr>
          <w:rFonts w:ascii="Times New Roman" w:hAnsi="Times New Roman" w:eastAsia="楷体_GB2312" w:cs="Times New Roman"/>
          <w:b/>
          <w:bCs/>
          <w:color w:val="auto"/>
          <w:kern w:val="2"/>
          <w:sz w:val="32"/>
          <w:szCs w:val="32"/>
          <w:highlight w:val="none"/>
          <w:lang w:val="en-US" w:eastAsia="zh-CN" w:bidi="ar-SA"/>
        </w:rPr>
        <w:t>坚持不懈抓住房保障，人民群众幸福感明显提升。</w:t>
      </w:r>
      <w:r>
        <w:rPr>
          <w:rFonts w:ascii="Times New Roman" w:hAnsi="Times New Roman" w:eastAsia="仿宋_GB2312" w:cs="Times New Roman"/>
          <w:b w:val="0"/>
          <w:bCs w:val="0"/>
          <w:color w:val="auto"/>
          <w:sz w:val="32"/>
          <w:szCs w:val="32"/>
          <w:highlight w:val="none"/>
          <w:lang w:val="en-US" w:eastAsia="zh-CN"/>
        </w:rPr>
        <w:t>全面推进64个城镇老旧小区改造，</w:t>
      </w:r>
      <w:r>
        <w:rPr>
          <w:rFonts w:ascii="Times New Roman" w:hAnsi="Times New Roman" w:eastAsia="仿宋_GB2312" w:cs="Times New Roman"/>
          <w:color w:val="auto"/>
          <w:sz w:val="32"/>
          <w:szCs w:val="32"/>
          <w:highlight w:val="none"/>
        </w:rPr>
        <w:t>完成934户农村危房和</w:t>
      </w:r>
      <w:r>
        <w:rPr>
          <w:rFonts w:ascii="Times New Roman" w:hAnsi="Times New Roman" w:eastAsia="仿宋_GB2312" w:cs="Times New Roman"/>
          <w:color w:val="auto"/>
          <w:sz w:val="32"/>
          <w:szCs w:val="32"/>
          <w:highlight w:val="none"/>
          <w:lang w:eastAsia="zh-CN"/>
        </w:rPr>
        <w:t>农房</w:t>
      </w:r>
      <w:r>
        <w:rPr>
          <w:rFonts w:ascii="Times New Roman" w:hAnsi="Times New Roman" w:eastAsia="仿宋_GB2312" w:cs="Times New Roman"/>
          <w:color w:val="auto"/>
          <w:sz w:val="32"/>
          <w:szCs w:val="32"/>
          <w:highlight w:val="none"/>
        </w:rPr>
        <w:t>抗震改造任务</w:t>
      </w:r>
      <w:r>
        <w:rPr>
          <w:rFonts w:ascii="Times New Roman" w:hAnsi="Times New Roman" w:eastAsia="仿宋_GB2312" w:cs="Times New Roman"/>
          <w:b w:val="0"/>
          <w:bCs w:val="0"/>
          <w:color w:val="auto"/>
          <w:sz w:val="32"/>
          <w:szCs w:val="32"/>
          <w:highlight w:val="none"/>
          <w:lang w:val="en-US" w:eastAsia="zh-CN"/>
        </w:rPr>
        <w:t>。</w:t>
      </w:r>
      <w:r>
        <w:rPr>
          <w:rFonts w:ascii="Times New Roman" w:hAnsi="Times New Roman" w:eastAsia="仿宋_GB2312" w:cs="Times New Roman"/>
          <w:color w:val="auto"/>
          <w:sz w:val="32"/>
          <w:szCs w:val="32"/>
          <w:highlight w:val="none"/>
          <w:lang w:eastAsia="zh-CN"/>
        </w:rPr>
        <w:t>实施房地产领域“问题楼盘”化解处置两年攻坚行动，</w:t>
      </w:r>
      <w:r>
        <w:rPr>
          <w:rFonts w:ascii="Times New Roman" w:hAnsi="Times New Roman" w:eastAsia="仿宋_GB2312" w:cs="Times New Roman"/>
          <w:color w:val="auto"/>
          <w:sz w:val="32"/>
          <w:szCs w:val="32"/>
          <w:highlight w:val="none"/>
        </w:rPr>
        <w:t>建立阿坝州商品房预售资金监管系统</w:t>
      </w:r>
      <w:r>
        <w:rPr>
          <w:rFonts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马尔康、九寨沟、红原等</w:t>
      </w:r>
      <w:r>
        <w:rPr>
          <w:rFonts w:ascii="Times New Roman" w:hAnsi="Times New Roman" w:eastAsia="仿宋_GB2312" w:cs="Times New Roman"/>
          <w:color w:val="auto"/>
          <w:sz w:val="32"/>
          <w:szCs w:val="32"/>
          <w:highlight w:val="none"/>
          <w:lang w:eastAsia="zh-CN"/>
        </w:rPr>
        <w:t>地</w:t>
      </w:r>
      <w:r>
        <w:rPr>
          <w:rFonts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个</w:t>
      </w:r>
      <w:r>
        <w:rPr>
          <w:rFonts w:ascii="Times New Roman" w:hAnsi="Times New Roman" w:eastAsia="仿宋_GB2312" w:cs="Times New Roman"/>
          <w:color w:val="auto"/>
          <w:sz w:val="32"/>
          <w:szCs w:val="32"/>
          <w:highlight w:val="none"/>
          <w:lang w:eastAsia="zh-CN"/>
        </w:rPr>
        <w:t>新</w:t>
      </w:r>
      <w:r>
        <w:rPr>
          <w:rFonts w:ascii="Times New Roman" w:hAnsi="Times New Roman" w:eastAsia="仿宋_GB2312" w:cs="Times New Roman"/>
          <w:color w:val="auto"/>
          <w:sz w:val="32"/>
          <w:szCs w:val="32"/>
          <w:highlight w:val="none"/>
        </w:rPr>
        <w:t>开发项目累计</w:t>
      </w:r>
      <w:r>
        <w:rPr>
          <w:rFonts w:ascii="Times New Roman" w:hAnsi="Times New Roman" w:eastAsia="仿宋_GB2312" w:cs="Times New Roman"/>
          <w:color w:val="auto"/>
          <w:sz w:val="32"/>
          <w:szCs w:val="32"/>
          <w:highlight w:val="none"/>
          <w:lang w:eastAsia="zh-CN"/>
        </w:rPr>
        <w:t>缴存预售</w:t>
      </w:r>
      <w:r>
        <w:rPr>
          <w:rFonts w:ascii="Times New Roman" w:hAnsi="Times New Roman" w:eastAsia="仿宋_GB2312" w:cs="Times New Roman"/>
          <w:color w:val="auto"/>
          <w:sz w:val="32"/>
          <w:szCs w:val="32"/>
          <w:highlight w:val="none"/>
        </w:rPr>
        <w:t>监管资金</w:t>
      </w:r>
      <w:r>
        <w:rPr>
          <w:rFonts w:ascii="Times New Roman" w:hAnsi="Times New Roman" w:eastAsia="仿宋_GB2312" w:cs="Times New Roman"/>
          <w:color w:val="auto"/>
          <w:sz w:val="32"/>
          <w:szCs w:val="32"/>
          <w:highlight w:val="none"/>
          <w:lang w:val="en-US" w:eastAsia="zh-CN"/>
        </w:rPr>
        <w:t>2200</w:t>
      </w:r>
      <w:r>
        <w:rPr>
          <w:rFonts w:ascii="Times New Roman" w:hAnsi="Times New Roman" w:eastAsia="仿宋_GB2312" w:cs="Times New Roman"/>
          <w:color w:val="auto"/>
          <w:sz w:val="32"/>
          <w:szCs w:val="32"/>
          <w:highlight w:val="none"/>
        </w:rPr>
        <w:t>万元</w:t>
      </w:r>
      <w:r>
        <w:rPr>
          <w:rFonts w:ascii="Times New Roman" w:hAnsi="Times New Roman" w:eastAsia="仿宋_GB2312" w:cs="Times New Roman"/>
          <w:color w:val="auto"/>
          <w:sz w:val="32"/>
          <w:szCs w:val="32"/>
          <w:highlight w:val="none"/>
          <w:lang w:eastAsia="zh-CN"/>
        </w:rPr>
        <w:t>，全年</w:t>
      </w:r>
      <w:r>
        <w:rPr>
          <w:rFonts w:ascii="Times New Roman" w:hAnsi="Times New Roman" w:eastAsia="仿宋_GB2312" w:cs="Times New Roman"/>
          <w:color w:val="auto"/>
          <w:sz w:val="32"/>
          <w:szCs w:val="32"/>
          <w:highlight w:val="none"/>
        </w:rPr>
        <w:t>商品房销售面积</w:t>
      </w:r>
      <w:r>
        <w:rPr>
          <w:rFonts w:ascii="Times New Roman" w:hAnsi="Times New Roman" w:eastAsia="仿宋_GB2312" w:cs="Times New Roman"/>
          <w:color w:val="auto"/>
          <w:sz w:val="32"/>
          <w:szCs w:val="32"/>
          <w:highlight w:val="none"/>
          <w:lang w:eastAsia="zh-CN"/>
        </w:rPr>
        <w:t>达</w:t>
      </w:r>
      <w:r>
        <w:rPr>
          <w:rFonts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万平方米</w:t>
      </w:r>
      <w:r>
        <w:rPr>
          <w:rFonts w:ascii="Times New Roman" w:hAnsi="Times New Roman" w:eastAsia="仿宋_GB2312" w:cs="Times New Roman"/>
          <w:b w:val="0"/>
          <w:bCs w:val="0"/>
          <w:color w:val="auto"/>
          <w:sz w:val="32"/>
          <w:szCs w:val="32"/>
          <w:highlight w:val="none"/>
          <w:lang w:val="en-US" w:eastAsia="zh-CN"/>
        </w:rPr>
        <w:t>。</w:t>
      </w:r>
      <w:r>
        <w:rPr>
          <w:rFonts w:ascii="Times New Roman" w:hAnsi="Times New Roman" w:eastAsia="仿宋_GB2312" w:cs="Times New Roman"/>
          <w:color w:val="auto"/>
          <w:sz w:val="32"/>
          <w:szCs w:val="32"/>
          <w:highlight w:val="none"/>
          <w:lang w:val="en-US" w:eastAsia="zh-CN"/>
        </w:rPr>
        <w:t>加强物业管理，九寨沟县南坪镇南坪社区九乐花苑小区和茂县城南电梯公寓被评选为省级基层治理百佳示范小区。</w:t>
      </w:r>
    </w:p>
    <w:p w14:paraId="03177AA3">
      <w:pPr>
        <w:pStyle w:val="6"/>
        <w:numPr>
          <w:ilvl w:val="0"/>
          <w:numId w:val="0"/>
        </w:numPr>
        <w:adjustRightInd w:val="0"/>
        <w:snapToGrid w:val="0"/>
        <w:spacing w:line="600" w:lineRule="exact"/>
        <w:outlineLvl w:val="2"/>
        <w:rPr>
          <w:rFonts w:ascii="Times New Roman" w:hAnsi="Times New Roman" w:eastAsia="仿宋_GB2312" w:cs="Times New Roman"/>
          <w:color w:val="auto"/>
          <w:sz w:val="32"/>
          <w:szCs w:val="32"/>
          <w:highlight w:val="none"/>
          <w:lang w:eastAsia="zh-CN"/>
        </w:rPr>
      </w:pPr>
      <w:r>
        <w:rPr>
          <w:rFonts w:hint="eastAsia" w:ascii="Times New Roman" w:hAnsi="Times New Roman" w:cs="Times New Roman"/>
          <w:color w:val="auto"/>
          <w:sz w:val="32"/>
          <w:szCs w:val="32"/>
          <w:highlight w:val="none"/>
          <w:lang w:val="en-US" w:eastAsia="zh-CN"/>
        </w:rPr>
        <w:t xml:space="preserve">     </w:t>
      </w:r>
      <w:r>
        <w:rPr>
          <w:rFonts w:hint="eastAsia" w:ascii="Times New Roman" w:hAnsi="Times New Roman" w:eastAsia="楷体_GB2312" w:cs="Times New Roman"/>
          <w:b/>
          <w:bCs/>
          <w:color w:val="auto"/>
          <w:kern w:val="2"/>
          <w:sz w:val="32"/>
          <w:szCs w:val="32"/>
          <w:highlight w:val="none"/>
          <w:lang w:val="en-US" w:eastAsia="zh-CN" w:bidi="ar-SA"/>
        </w:rPr>
        <w:t>3.</w:t>
      </w:r>
      <w:r>
        <w:rPr>
          <w:rFonts w:ascii="Times New Roman" w:hAnsi="Times New Roman" w:eastAsia="楷体_GB2312" w:cs="Times New Roman"/>
          <w:b/>
          <w:bCs/>
          <w:color w:val="auto"/>
          <w:kern w:val="2"/>
          <w:sz w:val="32"/>
          <w:szCs w:val="32"/>
          <w:highlight w:val="none"/>
          <w:lang w:val="en-US" w:eastAsia="zh-CN" w:bidi="ar-SA"/>
        </w:rPr>
        <w:t>坚持不懈抓城市更新，城市形象和功能品质逐步提升。</w:t>
      </w:r>
      <w:r>
        <w:rPr>
          <w:rFonts w:ascii="Times New Roman" w:hAnsi="Times New Roman" w:eastAsia="仿宋_GB2312" w:cs="Times New Roman"/>
          <w:color w:val="auto"/>
          <w:sz w:val="32"/>
          <w:szCs w:val="32"/>
          <w:highlight w:val="none"/>
          <w:lang w:val="en-US" w:eastAsia="zh-CN" w:bidi="ar-SA"/>
        </w:rPr>
        <w:t>实施城镇建设“六化”工程</w:t>
      </w:r>
      <w:r>
        <w:rPr>
          <w:rFonts w:ascii="Times New Roman" w:hAnsi="Times New Roman" w:eastAsia="仿宋_GB2312" w:cs="Times New Roman"/>
          <w:color w:val="auto"/>
          <w:sz w:val="32"/>
          <w:szCs w:val="32"/>
          <w:highlight w:val="none"/>
          <w:lang w:val="en-US" w:eastAsia="zh-CN"/>
        </w:rPr>
        <w:t>，启动了</w:t>
      </w:r>
      <w:r>
        <w:rPr>
          <w:rFonts w:ascii="Times New Roman" w:hAnsi="Times New Roman" w:eastAsia="仿宋_GB2312" w:cs="Times New Roman"/>
          <w:color w:val="auto"/>
          <w:sz w:val="32"/>
          <w:szCs w:val="32"/>
          <w:highlight w:val="none"/>
          <w:lang w:val="en-US" w:eastAsia="zh-CN" w:bidi="ar-SA"/>
        </w:rPr>
        <w:t>马尔康、阿坝、汶川等城镇基础设施建设项目41个，</w:t>
      </w:r>
      <w:r>
        <w:rPr>
          <w:rFonts w:ascii="Times New Roman" w:hAnsi="Times New Roman" w:eastAsia="仿宋_GB2312" w:cs="Times New Roman"/>
          <w:color w:val="auto"/>
          <w:sz w:val="32"/>
          <w:szCs w:val="32"/>
          <w:highlight w:val="none"/>
          <w:lang w:eastAsia="zh-CN"/>
        </w:rPr>
        <w:t>开展市容市貌环境整治专项行动，有力推动了县（市）城市基础设施更趋完善，城乡环境更加舒适。</w:t>
      </w:r>
      <w:r>
        <w:rPr>
          <w:rFonts w:ascii="Times New Roman" w:hAnsi="Times New Roman" w:eastAsia="仿宋_GB2312" w:cs="Times New Roman"/>
          <w:color w:val="auto"/>
          <w:sz w:val="32"/>
          <w:szCs w:val="32"/>
          <w:highlight w:val="none"/>
          <w:lang w:val="en-US" w:eastAsia="zh-CN"/>
        </w:rPr>
        <w:t>高效督导州文化中心、尘埃落定文化旅游城基础建设等</w:t>
      </w:r>
      <w:r>
        <w:rPr>
          <w:rFonts w:ascii="Times New Roman" w:hAnsi="Times New Roman" w:eastAsia="仿宋_GB2312" w:cs="Times New Roman"/>
          <w:color w:val="auto"/>
          <w:sz w:val="32"/>
          <w:szCs w:val="32"/>
          <w:highlight w:val="none"/>
          <w:lang w:val="en-US" w:eastAsia="zh-CN" w:bidi="ar-SA"/>
        </w:rPr>
        <w:t>建州70周年州庆项目建设，有序推进城乡环境综合治理和马尔康城市环境质量提升工程</w:t>
      </w:r>
      <w:r>
        <w:rPr>
          <w:rFonts w:hint="eastAsia" w:ascii="Times New Roman" w:hAnsi="Times New Roman" w:eastAsia="仿宋_GB2312" w:cs="Times New Roman"/>
          <w:color w:val="auto"/>
          <w:sz w:val="32"/>
          <w:szCs w:val="32"/>
          <w:highlight w:val="none"/>
          <w:lang w:val="en-US" w:eastAsia="zh-CN" w:bidi="ar-SA"/>
        </w:rPr>
        <w:t>相关</w:t>
      </w:r>
      <w:r>
        <w:rPr>
          <w:rFonts w:ascii="Times New Roman" w:hAnsi="Times New Roman" w:eastAsia="仿宋_GB2312" w:cs="Times New Roman"/>
          <w:color w:val="auto"/>
          <w:sz w:val="32"/>
          <w:szCs w:val="32"/>
          <w:highlight w:val="none"/>
          <w:lang w:val="en-US" w:eastAsia="zh-CN" w:bidi="ar-SA"/>
        </w:rPr>
        <w:t>工作。</w:t>
      </w:r>
      <w:r>
        <w:rPr>
          <w:rFonts w:ascii="Times New Roman" w:hAnsi="Times New Roman" w:eastAsia="仿宋_GB2312" w:cs="Times New Roman"/>
          <w:color w:val="auto"/>
          <w:sz w:val="32"/>
          <w:szCs w:val="32"/>
          <w:highlight w:val="none"/>
          <w:lang w:eastAsia="zh-CN"/>
        </w:rPr>
        <w:t>胜利完成省州文化和旅游发展大会环境卫生保障工作。</w:t>
      </w:r>
    </w:p>
    <w:p w14:paraId="49E14F17">
      <w:pPr>
        <w:pStyle w:val="6"/>
        <w:numPr>
          <w:ilvl w:val="0"/>
          <w:numId w:val="0"/>
        </w:numPr>
        <w:adjustRightInd w:val="0"/>
        <w:snapToGrid w:val="0"/>
        <w:spacing w:line="600" w:lineRule="exact"/>
        <w:ind w:left="0" w:firstLine="640"/>
        <w:outlineLvl w:val="2"/>
        <w:rPr>
          <w:rFonts w:ascii="Times New Roman" w:hAnsi="Times New Roman" w:eastAsia="仿宋_GB2312" w:cs="Times New Roman"/>
          <w:color w:val="auto"/>
          <w:sz w:val="32"/>
          <w:szCs w:val="32"/>
          <w:highlight w:val="none"/>
        </w:rPr>
      </w:pPr>
      <w:r>
        <w:rPr>
          <w:rFonts w:hint="eastAsia" w:ascii="Times New Roman" w:hAnsi="Times New Roman" w:eastAsia="楷体_GB2312" w:cs="Times New Roman"/>
          <w:b/>
          <w:bCs/>
          <w:color w:val="auto"/>
          <w:kern w:val="2"/>
          <w:sz w:val="32"/>
          <w:szCs w:val="32"/>
          <w:highlight w:val="none"/>
          <w:lang w:val="en-US" w:eastAsia="zh-CN" w:bidi="ar-SA"/>
        </w:rPr>
        <w:t>4.</w:t>
      </w:r>
      <w:r>
        <w:rPr>
          <w:rFonts w:ascii="Times New Roman" w:hAnsi="Times New Roman" w:eastAsia="楷体_GB2312" w:cs="Times New Roman"/>
          <w:b/>
          <w:bCs/>
          <w:color w:val="auto"/>
          <w:kern w:val="2"/>
          <w:sz w:val="32"/>
          <w:szCs w:val="32"/>
          <w:highlight w:val="none"/>
          <w:lang w:val="en-US" w:eastAsia="zh-CN" w:bidi="ar-SA"/>
        </w:rPr>
        <w:t>坚持不懈抓村镇建设，城乡融合发展</w:t>
      </w:r>
      <w:r>
        <w:rPr>
          <w:rFonts w:hint="eastAsia" w:ascii="Times New Roman" w:hAnsi="Times New Roman" w:eastAsia="楷体_GB2312" w:cs="Times New Roman"/>
          <w:b/>
          <w:bCs/>
          <w:color w:val="auto"/>
          <w:kern w:val="2"/>
          <w:sz w:val="32"/>
          <w:szCs w:val="32"/>
          <w:highlight w:val="none"/>
          <w:lang w:val="en-US" w:eastAsia="zh-CN" w:bidi="ar-SA"/>
        </w:rPr>
        <w:t>纵深推进</w:t>
      </w:r>
      <w:r>
        <w:rPr>
          <w:rFonts w:ascii="Times New Roman" w:hAnsi="Times New Roman" w:eastAsia="楷体_GB2312" w:cs="Times New Roman"/>
          <w:b/>
          <w:bCs/>
          <w:color w:val="auto"/>
          <w:kern w:val="2"/>
          <w:sz w:val="32"/>
          <w:szCs w:val="32"/>
          <w:highlight w:val="none"/>
          <w:lang w:val="en-US" w:eastAsia="zh-CN" w:bidi="ar-SA"/>
        </w:rPr>
        <w:t>。</w:t>
      </w:r>
      <w:r>
        <w:rPr>
          <w:rFonts w:ascii="Times New Roman" w:hAnsi="Times New Roman" w:eastAsia="仿宋_GB2312" w:cs="Times New Roman"/>
          <w:color w:val="auto"/>
          <w:sz w:val="32"/>
          <w:szCs w:val="32"/>
          <w:highlight w:val="none"/>
        </w:rPr>
        <w:t>对全州26263户已脱贫户开展脱贫攻坚住房安全保障“回头看”排查</w:t>
      </w:r>
      <w:r>
        <w:rPr>
          <w:rFonts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巩固拓展脱贫攻坚成效</w:t>
      </w:r>
      <w:r>
        <w:rPr>
          <w:rFonts w:ascii="Times New Roman" w:hAnsi="Times New Roman" w:eastAsia="仿宋_GB2312" w:cs="Times New Roman"/>
          <w:color w:val="auto"/>
          <w:sz w:val="32"/>
          <w:szCs w:val="32"/>
          <w:highlight w:val="none"/>
          <w:lang w:eastAsia="zh-CN"/>
        </w:rPr>
        <w:t>。推进两项改革“后半篇”文章，明确</w:t>
      </w:r>
      <w:r>
        <w:rPr>
          <w:rFonts w:ascii="Times New Roman" w:hAnsi="Times New Roman" w:eastAsia="仿宋_GB2312" w:cs="Times New Roman"/>
          <w:color w:val="auto"/>
          <w:sz w:val="32"/>
          <w:szCs w:val="32"/>
          <w:highlight w:val="none"/>
        </w:rPr>
        <w:t>农房风貌塑造和管理工作要点</w:t>
      </w:r>
      <w:r>
        <w:rPr>
          <w:rFonts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黑水县成功申报为2021年省级传统村落集中连片保护利用示范县。</w:t>
      </w:r>
      <w:r>
        <w:rPr>
          <w:rFonts w:ascii="Times New Roman" w:hAnsi="Times New Roman" w:eastAsia="仿宋_GB2312" w:cs="Times New Roman"/>
          <w:color w:val="auto"/>
          <w:sz w:val="32"/>
          <w:szCs w:val="32"/>
          <w:highlight w:val="none"/>
          <w:lang w:eastAsia="zh-CN"/>
        </w:rPr>
        <w:t>制定</w:t>
      </w:r>
      <w:r>
        <w:rPr>
          <w:rFonts w:ascii="Times New Roman" w:hAnsi="Times New Roman" w:eastAsia="仿宋_GB2312" w:cs="Times New Roman"/>
          <w:color w:val="auto"/>
          <w:sz w:val="32"/>
          <w:szCs w:val="32"/>
          <w:highlight w:val="none"/>
        </w:rPr>
        <w:t>《阿坝州推进中心镇改革发展实施方案</w:t>
      </w:r>
      <w:r>
        <w:rPr>
          <w:rFonts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kern w:val="0"/>
          <w:sz w:val="32"/>
          <w:szCs w:val="32"/>
          <w:highlight w:val="none"/>
        </w:rPr>
        <w:t>漳扎镇、水磨镇、观音桥镇</w:t>
      </w:r>
      <w:r>
        <w:rPr>
          <w:rFonts w:hint="eastAsia" w:ascii="Times New Roman" w:hAnsi="Times New Roman" w:eastAsia="仿宋_GB2312" w:cs="Times New Roman"/>
          <w:color w:val="auto"/>
          <w:kern w:val="0"/>
          <w:sz w:val="32"/>
          <w:szCs w:val="32"/>
          <w:highlight w:val="none"/>
          <w:lang w:eastAsia="zh-CN"/>
        </w:rPr>
        <w:t>作为</w:t>
      </w:r>
      <w:r>
        <w:rPr>
          <w:rFonts w:ascii="Times New Roman" w:hAnsi="Times New Roman" w:eastAsia="仿宋_GB2312" w:cs="Times New Roman"/>
          <w:color w:val="auto"/>
          <w:kern w:val="0"/>
          <w:sz w:val="32"/>
          <w:szCs w:val="32"/>
          <w:highlight w:val="none"/>
        </w:rPr>
        <w:t>首批“省级百强中心镇”考核命名镇</w:t>
      </w:r>
      <w:r>
        <w:rPr>
          <w:rFonts w:hint="eastAsia" w:ascii="Times New Roman" w:hAnsi="Times New Roman" w:eastAsia="仿宋_GB2312" w:cs="Times New Roman"/>
          <w:color w:val="auto"/>
          <w:kern w:val="0"/>
          <w:sz w:val="32"/>
          <w:szCs w:val="32"/>
          <w:highlight w:val="none"/>
          <w:lang w:eastAsia="zh-CN"/>
        </w:rPr>
        <w:t>进入公示</w:t>
      </w:r>
      <w:r>
        <w:rPr>
          <w:rFonts w:ascii="Times New Roman" w:hAnsi="Times New Roman" w:eastAsia="仿宋_GB2312" w:cs="Times New Roman"/>
          <w:color w:val="auto"/>
          <w:kern w:val="0"/>
          <w:sz w:val="32"/>
          <w:szCs w:val="32"/>
          <w:highlight w:val="none"/>
        </w:rPr>
        <w:t>。</w:t>
      </w:r>
      <w:r>
        <w:rPr>
          <w:rFonts w:ascii="Times New Roman" w:hAnsi="Times New Roman" w:eastAsia="仿宋_GB2312" w:cs="Times New Roman"/>
          <w:color w:val="auto"/>
          <w:kern w:val="0"/>
          <w:sz w:val="32"/>
          <w:szCs w:val="32"/>
          <w:highlight w:val="none"/>
          <w:lang w:eastAsia="zh-CN"/>
        </w:rPr>
        <w:t>完</w:t>
      </w:r>
      <w:r>
        <w:rPr>
          <w:rFonts w:ascii="Times New Roman" w:hAnsi="Times New Roman" w:eastAsia="仿宋_GB2312" w:cs="Times New Roman"/>
          <w:color w:val="auto"/>
          <w:sz w:val="32"/>
          <w:szCs w:val="32"/>
          <w:highlight w:val="none"/>
          <w:lang w:eastAsia="zh-CN"/>
        </w:rPr>
        <w:t>成</w:t>
      </w:r>
      <w:r>
        <w:rPr>
          <w:rFonts w:ascii="Times New Roman" w:hAnsi="Times New Roman" w:eastAsia="仿宋_GB2312" w:cs="Times New Roman"/>
          <w:color w:val="auto"/>
          <w:sz w:val="32"/>
          <w:szCs w:val="32"/>
          <w:highlight w:val="none"/>
        </w:rPr>
        <w:t>21条</w:t>
      </w:r>
      <w:r>
        <w:rPr>
          <w:rFonts w:ascii="Times New Roman" w:hAnsi="Times New Roman" w:eastAsia="仿宋_GB2312" w:cs="Times New Roman"/>
          <w:color w:val="auto"/>
          <w:kern w:val="0"/>
          <w:sz w:val="32"/>
          <w:szCs w:val="32"/>
          <w:highlight w:val="none"/>
        </w:rPr>
        <w:t>垃圾线路优化论证，</w:t>
      </w:r>
      <w:r>
        <w:rPr>
          <w:rFonts w:ascii="Times New Roman" w:hAnsi="Times New Roman" w:eastAsia="仿宋_GB2312" w:cs="Times New Roman"/>
          <w:color w:val="auto"/>
          <w:sz w:val="32"/>
          <w:szCs w:val="32"/>
          <w:highlight w:val="none"/>
        </w:rPr>
        <w:t>农村生活垃圾收转运覆盖85%以上</w:t>
      </w:r>
      <w:r>
        <w:rPr>
          <w:rFonts w:ascii="Times New Roman" w:hAnsi="Times New Roman" w:eastAsia="仿宋_GB2312" w:cs="Times New Roman"/>
          <w:color w:val="auto"/>
          <w:sz w:val="32"/>
          <w:szCs w:val="32"/>
          <w:highlight w:val="none"/>
          <w:lang w:eastAsia="zh-CN"/>
        </w:rPr>
        <w:t>的</w:t>
      </w:r>
      <w:r>
        <w:rPr>
          <w:rFonts w:ascii="Times New Roman" w:hAnsi="Times New Roman" w:eastAsia="仿宋_GB2312" w:cs="Times New Roman"/>
          <w:color w:val="auto"/>
          <w:sz w:val="32"/>
          <w:szCs w:val="32"/>
          <w:highlight w:val="none"/>
        </w:rPr>
        <w:t>行政村。</w:t>
      </w:r>
    </w:p>
    <w:p w14:paraId="059DEC77">
      <w:pPr>
        <w:pStyle w:val="6"/>
        <w:numPr>
          <w:ilvl w:val="0"/>
          <w:numId w:val="0"/>
        </w:numPr>
        <w:adjustRightInd w:val="0"/>
        <w:snapToGrid w:val="0"/>
        <w:spacing w:line="600" w:lineRule="exact"/>
        <w:ind w:left="0" w:firstLine="640"/>
        <w:outlineLvl w:val="2"/>
        <w:rPr>
          <w:rFonts w:ascii="Times New Roman" w:hAnsi="Times New Roman" w:eastAsia="仿宋_GB2312" w:cs="Times New Roman"/>
          <w:color w:val="auto"/>
          <w:sz w:val="32"/>
          <w:szCs w:val="32"/>
          <w:highlight w:val="none"/>
        </w:rPr>
      </w:pPr>
      <w:r>
        <w:rPr>
          <w:rFonts w:hint="eastAsia" w:ascii="Times New Roman" w:hAnsi="Times New Roman" w:eastAsia="楷体_GB2312" w:cs="Times New Roman"/>
          <w:b/>
          <w:bCs/>
          <w:color w:val="auto"/>
          <w:kern w:val="2"/>
          <w:sz w:val="32"/>
          <w:szCs w:val="32"/>
          <w:highlight w:val="none"/>
          <w:lang w:val="en-US" w:eastAsia="zh-CN" w:bidi="ar-SA"/>
        </w:rPr>
        <w:t>5.</w:t>
      </w:r>
      <w:r>
        <w:rPr>
          <w:rFonts w:ascii="Times New Roman" w:hAnsi="Times New Roman" w:eastAsia="楷体_GB2312" w:cs="Times New Roman"/>
          <w:b/>
          <w:bCs/>
          <w:color w:val="auto"/>
          <w:kern w:val="2"/>
          <w:sz w:val="32"/>
          <w:szCs w:val="32"/>
          <w:highlight w:val="none"/>
          <w:lang w:val="en-US" w:eastAsia="zh-CN" w:bidi="ar-SA"/>
        </w:rPr>
        <w:t>坚持不懈抓发展，</w:t>
      </w:r>
      <w:r>
        <w:rPr>
          <w:rFonts w:ascii="Times New Roman" w:hAnsi="Times New Roman" w:eastAsia="楷体_GB2312" w:cs="Times New Roman"/>
          <w:b/>
          <w:color w:val="auto"/>
          <w:sz w:val="32"/>
          <w:szCs w:val="32"/>
          <w:highlight w:val="none"/>
          <w:shd w:val="clear" w:color="auto" w:fill="auto"/>
          <w:lang w:val="en-US" w:eastAsia="zh-CN"/>
        </w:rPr>
        <w:t>建筑业转型升级步伐加快。</w:t>
      </w:r>
      <w:r>
        <w:rPr>
          <w:rFonts w:ascii="Times New Roman" w:hAnsi="Times New Roman" w:eastAsia="仿宋_GB2312" w:cs="Times New Roman"/>
          <w:color w:val="auto"/>
          <w:sz w:val="32"/>
          <w:szCs w:val="32"/>
          <w:highlight w:val="none"/>
          <w:lang w:val="en-US" w:eastAsia="zh-CN"/>
        </w:rPr>
        <w:t>开展建筑企业调研，起草《阿坝州促进建筑业高质量发展实施意见》，全州拥有施工资质企业459家，全年实现建筑业总产值</w:t>
      </w:r>
      <w:r>
        <w:rPr>
          <w:rFonts w:hint="eastAsia" w:ascii="Times New Roman" w:hAnsi="Times New Roman" w:eastAsia="仿宋_GB2312" w:cs="Times New Roman"/>
          <w:color w:val="auto"/>
          <w:sz w:val="32"/>
          <w:szCs w:val="32"/>
          <w:highlight w:val="none"/>
          <w:lang w:val="en-US" w:eastAsia="zh-CN"/>
        </w:rPr>
        <w:t>59.47</w:t>
      </w:r>
      <w:r>
        <w:rPr>
          <w:rFonts w:ascii="Times New Roman" w:hAnsi="Times New Roman" w:eastAsia="仿宋_GB2312" w:cs="Times New Roman"/>
          <w:color w:val="auto"/>
          <w:sz w:val="32"/>
          <w:szCs w:val="32"/>
          <w:highlight w:val="none"/>
          <w:lang w:val="en-US" w:eastAsia="zh-CN"/>
        </w:rPr>
        <w:t>亿元。积极推行工程总承包模式，实施</w:t>
      </w:r>
      <w:r>
        <w:rPr>
          <w:rFonts w:ascii="Times New Roman" w:hAnsi="Times New Roman" w:eastAsia="仿宋_GB2312" w:cs="Times New Roman"/>
          <w:color w:val="auto"/>
          <w:sz w:val="32"/>
          <w:szCs w:val="32"/>
          <w:highlight w:val="none"/>
        </w:rPr>
        <w:t>绿色建筑创建行动，提升建筑品质。出台《阿坝州房屋建筑和市政工程招标文件示范文本》共8个标段类型，制定《招标投标投诉制度》等4</w:t>
      </w:r>
      <w:r>
        <w:rPr>
          <w:rFonts w:hint="eastAsia" w:ascii="Times New Roman" w:hAnsi="Times New Roman" w:eastAsia="仿宋_GB2312" w:cs="Times New Roman"/>
          <w:color w:val="auto"/>
          <w:sz w:val="32"/>
          <w:szCs w:val="32"/>
          <w:highlight w:val="none"/>
          <w:lang w:eastAsia="zh-CN"/>
        </w:rPr>
        <w:t>项</w:t>
      </w:r>
      <w:r>
        <w:rPr>
          <w:rFonts w:ascii="Times New Roman" w:hAnsi="Times New Roman" w:eastAsia="仿宋_GB2312" w:cs="Times New Roman"/>
          <w:color w:val="auto"/>
          <w:sz w:val="32"/>
          <w:szCs w:val="32"/>
          <w:highlight w:val="none"/>
        </w:rPr>
        <w:t>制度</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lang w:eastAsia="zh-CN"/>
        </w:rPr>
        <w:t>进一步</w:t>
      </w:r>
      <w:r>
        <w:rPr>
          <w:rFonts w:ascii="Times New Roman" w:hAnsi="Times New Roman" w:eastAsia="仿宋_GB2312" w:cs="Times New Roman"/>
          <w:color w:val="auto"/>
          <w:sz w:val="32"/>
          <w:szCs w:val="32"/>
          <w:highlight w:val="none"/>
        </w:rPr>
        <w:t>规范</w:t>
      </w:r>
      <w:r>
        <w:rPr>
          <w:rFonts w:hint="eastAsia" w:ascii="Times New Roman" w:hAnsi="Times New Roman" w:eastAsia="仿宋_GB2312" w:cs="Times New Roman"/>
          <w:color w:val="auto"/>
          <w:sz w:val="32"/>
          <w:szCs w:val="32"/>
          <w:highlight w:val="none"/>
          <w:lang w:eastAsia="zh-CN"/>
        </w:rPr>
        <w:t>了</w:t>
      </w:r>
      <w:r>
        <w:rPr>
          <w:rFonts w:ascii="Times New Roman" w:hAnsi="Times New Roman" w:eastAsia="仿宋_GB2312" w:cs="Times New Roman"/>
          <w:color w:val="auto"/>
          <w:sz w:val="32"/>
          <w:szCs w:val="32"/>
          <w:highlight w:val="none"/>
        </w:rPr>
        <w:t>招标文件</w:t>
      </w:r>
      <w:r>
        <w:rPr>
          <w:rFonts w:ascii="Times New Roman" w:hAnsi="Times New Roman" w:eastAsia="仿宋_GB2312" w:cs="Times New Roman"/>
          <w:color w:val="auto"/>
          <w:sz w:val="32"/>
          <w:szCs w:val="32"/>
          <w:highlight w:val="none"/>
          <w:lang w:eastAsia="zh-CN"/>
        </w:rPr>
        <w:t>和</w:t>
      </w:r>
      <w:r>
        <w:rPr>
          <w:rFonts w:ascii="Times New Roman" w:hAnsi="Times New Roman" w:eastAsia="仿宋_GB2312" w:cs="Times New Roman"/>
          <w:color w:val="auto"/>
          <w:sz w:val="32"/>
          <w:szCs w:val="32"/>
          <w:highlight w:val="none"/>
        </w:rPr>
        <w:t>招投标活动。</w:t>
      </w:r>
    </w:p>
    <w:p w14:paraId="533B00A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仿宋_GB2312" w:cs="Times New Roman"/>
          <w:bCs/>
          <w:color w:val="auto"/>
          <w:sz w:val="32"/>
          <w:szCs w:val="32"/>
          <w:highlight w:val="none"/>
          <w:lang w:eastAsia="zh-CN"/>
        </w:rPr>
      </w:pPr>
      <w:r>
        <w:rPr>
          <w:rFonts w:hint="eastAsia" w:ascii="Times New Roman" w:hAnsi="Times New Roman" w:eastAsia="楷体_GB2312" w:cs="Times New Roman"/>
          <w:b/>
          <w:bCs/>
          <w:color w:val="auto"/>
          <w:kern w:val="2"/>
          <w:sz w:val="32"/>
          <w:szCs w:val="32"/>
          <w:highlight w:val="none"/>
          <w:lang w:val="en-US" w:eastAsia="zh-CN" w:bidi="ar-SA"/>
        </w:rPr>
        <w:t>6.</w:t>
      </w:r>
      <w:r>
        <w:rPr>
          <w:rFonts w:ascii="Times New Roman" w:hAnsi="Times New Roman" w:eastAsia="楷体_GB2312" w:cs="Times New Roman"/>
          <w:b/>
          <w:bCs/>
          <w:color w:val="auto"/>
          <w:kern w:val="2"/>
          <w:sz w:val="32"/>
          <w:szCs w:val="32"/>
          <w:highlight w:val="none"/>
          <w:lang w:val="en-US" w:eastAsia="zh-CN" w:bidi="ar-SA"/>
        </w:rPr>
        <w:t>坚持不懈抓行业监管，安全生产底线不断筑牢。</w:t>
      </w:r>
      <w:r>
        <w:rPr>
          <w:rFonts w:ascii="Times New Roman" w:hAnsi="Times New Roman" w:eastAsia="仿宋_GB2312" w:cs="Times New Roman"/>
          <w:color w:val="auto"/>
          <w:kern w:val="2"/>
          <w:sz w:val="32"/>
          <w:szCs w:val="32"/>
          <w:highlight w:val="none"/>
          <w:lang w:val="en-US" w:eastAsia="zh-CN" w:bidi="ar-SA"/>
        </w:rPr>
        <w:t>持续开展建筑施工、城镇燃气等隐患排查整治，发现并整改隐患问题2200余个，关</w:t>
      </w:r>
      <w:r>
        <w:rPr>
          <w:rFonts w:ascii="Times New Roman" w:hAnsi="Times New Roman" w:eastAsia="仿宋_GB2312" w:cs="Times New Roman"/>
          <w:color w:val="auto"/>
          <w:sz w:val="32"/>
          <w:szCs w:val="32"/>
          <w:highlight w:val="none"/>
        </w:rPr>
        <w:t>停燃气企业1家。</w:t>
      </w:r>
      <w:r>
        <w:rPr>
          <w:rFonts w:ascii="Times New Roman" w:hAnsi="Times New Roman" w:eastAsia="仿宋_GB2312" w:cs="Times New Roman"/>
          <w:color w:val="auto"/>
          <w:sz w:val="32"/>
          <w:szCs w:val="32"/>
          <w:highlight w:val="none"/>
          <w:lang w:eastAsia="zh-CN"/>
        </w:rPr>
        <w:t>深入开展既有房屋建筑和人员聚集场所风险隐患整治，</w:t>
      </w:r>
      <w:r>
        <w:rPr>
          <w:rFonts w:ascii="Times New Roman" w:hAnsi="Times New Roman" w:eastAsia="仿宋_GB2312" w:cs="Times New Roman"/>
          <w:color w:val="auto"/>
          <w:kern w:val="2"/>
          <w:sz w:val="32"/>
          <w:szCs w:val="32"/>
          <w:highlight w:val="none"/>
          <w:lang w:val="en-US" w:eastAsia="zh-CN" w:bidi="ar-SA"/>
        </w:rPr>
        <w:t>全覆盖</w:t>
      </w:r>
      <w:r>
        <w:rPr>
          <w:rFonts w:ascii="Times New Roman" w:hAnsi="Times New Roman" w:eastAsia="仿宋_GB2312" w:cs="Times New Roman"/>
          <w:color w:val="auto"/>
          <w:sz w:val="32"/>
          <w:szCs w:val="32"/>
          <w:highlight w:val="none"/>
          <w:lang w:eastAsia="zh-CN" w:bidi="ar-SA"/>
        </w:rPr>
        <w:t>排查</w:t>
      </w:r>
      <w:r>
        <w:rPr>
          <w:rFonts w:ascii="Times New Roman" w:hAnsi="Times New Roman" w:eastAsia="仿宋_GB2312" w:cs="Times New Roman"/>
          <w:color w:val="auto"/>
          <w:sz w:val="32"/>
          <w:szCs w:val="32"/>
          <w:highlight w:val="none"/>
          <w:lang w:bidi="ar-SA"/>
        </w:rPr>
        <w:t>城镇房屋14827栋</w:t>
      </w:r>
      <w:r>
        <w:rPr>
          <w:rFonts w:ascii="Times New Roman" w:hAnsi="Times New Roman" w:eastAsia="仿宋_GB2312" w:cs="Times New Roman"/>
          <w:color w:val="auto"/>
          <w:sz w:val="32"/>
          <w:szCs w:val="32"/>
          <w:highlight w:val="none"/>
          <w:lang w:eastAsia="zh-CN" w:bidi="ar-SA"/>
        </w:rPr>
        <w:t>、</w:t>
      </w:r>
      <w:r>
        <w:rPr>
          <w:rFonts w:ascii="Times New Roman" w:hAnsi="Times New Roman" w:eastAsia="仿宋_GB2312" w:cs="Times New Roman"/>
          <w:color w:val="auto"/>
          <w:sz w:val="32"/>
          <w:szCs w:val="32"/>
          <w:highlight w:val="none"/>
          <w:lang w:bidi="ar-SA"/>
        </w:rPr>
        <w:t>农村房屋169</w:t>
      </w:r>
      <w:r>
        <w:rPr>
          <w:rFonts w:ascii="Times New Roman" w:hAnsi="Times New Roman" w:eastAsia="仿宋_GB2312" w:cs="Times New Roman"/>
          <w:color w:val="auto"/>
          <w:sz w:val="32"/>
          <w:szCs w:val="32"/>
          <w:highlight w:val="none"/>
          <w:lang w:val="en-US" w:eastAsia="zh-CN" w:bidi="ar-SA"/>
        </w:rPr>
        <w:t>731</w:t>
      </w:r>
      <w:r>
        <w:rPr>
          <w:rFonts w:ascii="Times New Roman" w:hAnsi="Times New Roman" w:eastAsia="仿宋_GB2312" w:cs="Times New Roman"/>
          <w:color w:val="auto"/>
          <w:sz w:val="32"/>
          <w:szCs w:val="32"/>
          <w:highlight w:val="none"/>
          <w:lang w:bidi="ar-SA"/>
        </w:rPr>
        <w:t>户</w:t>
      </w:r>
      <w:r>
        <w:rPr>
          <w:rFonts w:ascii="Times New Roman" w:hAnsi="Times New Roman" w:eastAsia="仿宋_GB2312" w:cs="Times New Roman"/>
          <w:color w:val="auto"/>
          <w:sz w:val="32"/>
          <w:szCs w:val="32"/>
          <w:highlight w:val="none"/>
          <w:lang w:eastAsia="zh-CN" w:bidi="ar-SA"/>
        </w:rPr>
        <w:t>，发现并整治隐患城镇房屋</w:t>
      </w:r>
      <w:r>
        <w:rPr>
          <w:rFonts w:ascii="Times New Roman" w:hAnsi="Times New Roman" w:eastAsia="仿宋_GB2312" w:cs="Times New Roman"/>
          <w:color w:val="auto"/>
          <w:sz w:val="32"/>
          <w:szCs w:val="32"/>
          <w:highlight w:val="none"/>
          <w:lang w:val="en-US" w:eastAsia="zh-CN" w:bidi="ar-SA"/>
        </w:rPr>
        <w:t>1204</w:t>
      </w:r>
      <w:r>
        <w:rPr>
          <w:rFonts w:ascii="Times New Roman" w:hAnsi="Times New Roman" w:eastAsia="仿宋_GB2312" w:cs="Times New Roman"/>
          <w:color w:val="auto"/>
          <w:sz w:val="32"/>
          <w:szCs w:val="32"/>
          <w:highlight w:val="none"/>
          <w:lang w:bidi="ar-SA"/>
        </w:rPr>
        <w:t>栋</w:t>
      </w:r>
      <w:r>
        <w:rPr>
          <w:rFonts w:ascii="Times New Roman" w:hAnsi="Times New Roman" w:eastAsia="仿宋_GB2312" w:cs="Times New Roman"/>
          <w:color w:val="auto"/>
          <w:sz w:val="32"/>
          <w:szCs w:val="32"/>
          <w:highlight w:val="none"/>
          <w:lang w:eastAsia="zh-CN" w:bidi="ar-SA"/>
        </w:rPr>
        <w:t>，</w:t>
      </w:r>
      <w:r>
        <w:rPr>
          <w:rFonts w:ascii="Times New Roman" w:hAnsi="Times New Roman" w:eastAsia="仿宋_GB2312" w:cs="Times New Roman"/>
          <w:color w:val="auto"/>
          <w:sz w:val="32"/>
          <w:szCs w:val="32"/>
          <w:highlight w:val="none"/>
          <w:lang w:bidi="ar-SA"/>
        </w:rPr>
        <w:t>农村</w:t>
      </w:r>
      <w:r>
        <w:rPr>
          <w:rFonts w:ascii="Times New Roman" w:hAnsi="Times New Roman" w:eastAsia="仿宋_GB2312" w:cs="Times New Roman"/>
          <w:color w:val="auto"/>
          <w:sz w:val="32"/>
          <w:szCs w:val="32"/>
          <w:highlight w:val="none"/>
          <w:lang w:val="en-US" w:eastAsia="zh-CN" w:bidi="ar-SA"/>
        </w:rPr>
        <w:t>C、D级危房840</w:t>
      </w:r>
      <w:r>
        <w:rPr>
          <w:rFonts w:ascii="Times New Roman" w:hAnsi="Times New Roman" w:eastAsia="仿宋_GB2312" w:cs="Times New Roman"/>
          <w:color w:val="auto"/>
          <w:sz w:val="32"/>
          <w:szCs w:val="32"/>
          <w:highlight w:val="none"/>
          <w:lang w:bidi="ar-SA"/>
        </w:rPr>
        <w:t>户</w:t>
      </w:r>
      <w:r>
        <w:rPr>
          <w:rFonts w:ascii="Times New Roman" w:hAnsi="Times New Roman" w:eastAsia="仿宋_GB2312" w:cs="Times New Roman"/>
          <w:color w:val="auto"/>
          <w:sz w:val="32"/>
          <w:szCs w:val="32"/>
          <w:highlight w:val="none"/>
          <w:lang w:val="en-US" w:eastAsia="zh-CN" w:bidi="ar-SA"/>
        </w:rPr>
        <w:t>。全力推进第一次自然灾害综合风险普查房屋建筑和市政设施承灾体调查，完成外业调查100%</w:t>
      </w:r>
      <w:r>
        <w:rPr>
          <w:rFonts w:ascii="Times New Roman" w:hAnsi="Times New Roman" w:eastAsia="仿宋_GB2312" w:cs="Times New Roman"/>
          <w:bCs/>
          <w:color w:val="auto"/>
          <w:sz w:val="32"/>
          <w:szCs w:val="32"/>
          <w:highlight w:val="none"/>
          <w:lang w:eastAsia="zh-CN"/>
        </w:rPr>
        <w:t>。强化问题窨井盖治理，处理群众举报件6件、整治问题窨井盖</w:t>
      </w:r>
      <w:r>
        <w:rPr>
          <w:rFonts w:ascii="Times New Roman" w:hAnsi="Times New Roman" w:eastAsia="仿宋_GB2312" w:cs="Times New Roman"/>
          <w:bCs/>
          <w:color w:val="auto"/>
          <w:sz w:val="32"/>
          <w:szCs w:val="32"/>
          <w:highlight w:val="none"/>
          <w:lang w:val="en-US" w:eastAsia="zh-CN"/>
        </w:rPr>
        <w:t>1246</w:t>
      </w:r>
      <w:r>
        <w:rPr>
          <w:rFonts w:ascii="Times New Roman" w:hAnsi="Times New Roman" w:eastAsia="仿宋_GB2312" w:cs="Times New Roman"/>
          <w:bCs/>
          <w:color w:val="auto"/>
          <w:sz w:val="32"/>
          <w:szCs w:val="32"/>
          <w:highlight w:val="none"/>
          <w:lang w:eastAsia="zh-CN"/>
        </w:rPr>
        <w:t>处、安装防坠网</w:t>
      </w:r>
      <w:r>
        <w:rPr>
          <w:rFonts w:ascii="Times New Roman" w:hAnsi="Times New Roman" w:eastAsia="仿宋_GB2312" w:cs="Times New Roman"/>
          <w:bCs/>
          <w:color w:val="auto"/>
          <w:sz w:val="32"/>
          <w:szCs w:val="32"/>
          <w:highlight w:val="none"/>
          <w:lang w:val="en-US" w:eastAsia="zh-CN"/>
        </w:rPr>
        <w:t>503</w:t>
      </w:r>
      <w:r>
        <w:rPr>
          <w:rFonts w:ascii="Times New Roman" w:hAnsi="Times New Roman" w:eastAsia="仿宋_GB2312" w:cs="Times New Roman"/>
          <w:bCs/>
          <w:color w:val="auto"/>
          <w:sz w:val="32"/>
          <w:szCs w:val="32"/>
          <w:highlight w:val="none"/>
          <w:lang w:eastAsia="zh-CN"/>
        </w:rPr>
        <w:t>处。</w:t>
      </w:r>
    </w:p>
    <w:p w14:paraId="44FA8F87">
      <w:pPr>
        <w:pStyle w:val="4"/>
        <w:ind w:firstLine="640" w:firstLineChars="200"/>
        <w:rPr>
          <w:rStyle w:val="18"/>
          <w:b w:val="0"/>
          <w:bCs w:val="0"/>
        </w:rPr>
      </w:pPr>
      <w:r>
        <w:rPr>
          <w:rFonts w:hint="eastAsia" w:ascii="黑体" w:eastAsia="黑体"/>
          <w:b w:val="0"/>
          <w:color w:val="000000"/>
        </w:rPr>
        <w:t>二、</w:t>
      </w:r>
      <w:r>
        <w:rPr>
          <w:rFonts w:hint="eastAsia" w:ascii="黑体" w:hAnsi="黑体" w:eastAsia="黑体"/>
          <w:b w:val="0"/>
          <w:color w:val="000000"/>
        </w:rPr>
        <w:t>机</w:t>
      </w:r>
      <w:r>
        <w:rPr>
          <w:rStyle w:val="18"/>
          <w:rFonts w:hint="eastAsia" w:ascii="黑体" w:hAnsi="黑体" w:eastAsia="黑体"/>
          <w:b w:val="0"/>
          <w:bCs w:val="0"/>
        </w:rPr>
        <w:t>构设置</w:t>
      </w:r>
      <w:bookmarkEnd w:id="24"/>
      <w:bookmarkEnd w:id="25"/>
      <w:bookmarkEnd w:id="26"/>
    </w:p>
    <w:p w14:paraId="50F05650">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bidi w:val="0"/>
        <w:adjustRightInd/>
        <w:spacing w:line="560" w:lineRule="exact"/>
        <w:ind w:left="0" w:firstLine="640" w:firstLineChars="200"/>
        <w:jc w:val="left"/>
        <w:textAlignment w:val="auto"/>
        <w:rPr>
          <w:rFonts w:ascii="仿宋" w:hAnsi="仿宋" w:eastAsia="仿宋"/>
          <w:color w:val="000000"/>
          <w:sz w:val="32"/>
          <w:szCs w:val="32"/>
          <w:lang w:val="en-US"/>
        </w:rPr>
      </w:pPr>
      <w:r>
        <w:rPr>
          <w:rFonts w:hint="eastAsia" w:ascii="仿宋_GB2312" w:eastAsia="仿宋_GB2312"/>
          <w:sz w:val="32"/>
          <w:szCs w:val="32"/>
        </w:rPr>
        <w:t>阿坝州</w:t>
      </w:r>
      <w:r>
        <w:rPr>
          <w:rFonts w:hint="eastAsia" w:ascii="仿宋_GB2312" w:eastAsia="仿宋_GB2312"/>
          <w:sz w:val="32"/>
          <w:szCs w:val="32"/>
          <w:lang w:val="en-US" w:eastAsia="zh-CN"/>
        </w:rPr>
        <w:t>住房和城乡建设局</w:t>
      </w:r>
      <w:r>
        <w:rPr>
          <w:rStyle w:val="27"/>
          <w:rFonts w:hint="eastAsia" w:ascii="仿宋_GB2312" w:hAnsi="MS PGothic" w:eastAsia="仿宋_GB2312"/>
          <w:color w:val="000000"/>
          <w:sz w:val="32"/>
          <w:szCs w:val="32"/>
        </w:rPr>
        <w:t>属</w:t>
      </w:r>
      <w:r>
        <w:rPr>
          <w:rStyle w:val="27"/>
          <w:rFonts w:hint="eastAsia" w:ascii="仿宋_GB2312" w:hAnsi="Dotum" w:eastAsia="仿宋_GB2312"/>
          <w:color w:val="000000"/>
          <w:sz w:val="32"/>
          <w:szCs w:val="32"/>
        </w:rPr>
        <w:t>一</w:t>
      </w:r>
      <w:r>
        <w:rPr>
          <w:rStyle w:val="27"/>
          <w:rFonts w:hint="eastAsia" w:ascii="仿宋_GB2312" w:hAnsi="宋体" w:eastAsia="仿宋_GB2312"/>
          <w:color w:val="000000"/>
          <w:sz w:val="32"/>
          <w:szCs w:val="32"/>
        </w:rPr>
        <w:t>级预</w:t>
      </w:r>
      <w:r>
        <w:rPr>
          <w:rStyle w:val="27"/>
          <w:rFonts w:hint="eastAsia" w:ascii="仿宋_GB2312" w:hAnsi="Dotum" w:eastAsia="仿宋_GB2312"/>
          <w:color w:val="000000"/>
          <w:sz w:val="32"/>
          <w:szCs w:val="32"/>
        </w:rPr>
        <w:t>算</w:t>
      </w:r>
      <w:r>
        <w:rPr>
          <w:rStyle w:val="27"/>
          <w:rFonts w:hint="eastAsia" w:ascii="仿宋_GB2312" w:hAnsi="宋体" w:eastAsia="仿宋_GB2312"/>
          <w:color w:val="000000"/>
          <w:sz w:val="32"/>
          <w:szCs w:val="32"/>
        </w:rPr>
        <w:t>单</w:t>
      </w:r>
      <w:r>
        <w:rPr>
          <w:rStyle w:val="27"/>
          <w:rFonts w:hint="eastAsia" w:ascii="仿宋_GB2312" w:hAnsi="Dotum" w:eastAsia="仿宋_GB2312"/>
          <w:color w:val="000000"/>
          <w:sz w:val="32"/>
          <w:szCs w:val="32"/>
        </w:rPr>
        <w:t>位</w:t>
      </w:r>
      <w:r>
        <w:rPr>
          <w:rStyle w:val="27"/>
          <w:rFonts w:hint="eastAsia" w:ascii="仿宋_GB2312" w:hAnsi="Dotum" w:eastAsia="仿宋_GB2312"/>
          <w:color w:val="333333"/>
          <w:sz w:val="32"/>
          <w:szCs w:val="32"/>
        </w:rPr>
        <w:t>，</w:t>
      </w:r>
      <w:r>
        <w:rPr>
          <w:rFonts w:hint="eastAsia" w:ascii="仿宋_GB2312" w:eastAsia="仿宋_GB2312"/>
          <w:sz w:val="32"/>
          <w:szCs w:val="32"/>
        </w:rPr>
        <w:t>下属</w:t>
      </w:r>
      <w:r>
        <w:rPr>
          <w:rFonts w:hint="eastAsia" w:ascii="仿宋_GB2312" w:eastAsia="仿宋_GB2312"/>
          <w:sz w:val="32"/>
          <w:szCs w:val="32"/>
          <w:lang w:val="en-US" w:eastAsia="zh-CN"/>
        </w:rPr>
        <w:t>2</w:t>
      </w:r>
      <w:r>
        <w:rPr>
          <w:rFonts w:hint="eastAsia" w:ascii="仿宋_GB2312" w:eastAsia="仿宋_GB2312"/>
          <w:sz w:val="32"/>
          <w:szCs w:val="32"/>
        </w:rPr>
        <w:t>个参公事业单位</w:t>
      </w:r>
      <w:r>
        <w:rPr>
          <w:rFonts w:hint="eastAsia" w:ascii="仿宋_GB2312" w:eastAsia="仿宋_GB2312"/>
          <w:sz w:val="32"/>
          <w:szCs w:val="32"/>
          <w:lang w:eastAsia="zh-CN"/>
        </w:rPr>
        <w:t>，分别是</w:t>
      </w:r>
      <w:r>
        <w:rPr>
          <w:rFonts w:hint="eastAsia" w:ascii="仿宋_GB2312" w:eastAsia="仿宋_GB2312"/>
          <w:sz w:val="32"/>
          <w:szCs w:val="32"/>
          <w:lang w:val="en-US" w:eastAsia="zh-CN"/>
        </w:rPr>
        <w:t>:阿坝州建设工程质量安全监督站（州工程造价站）、阿坝州城市管理综合行政执法监督局，为非独立核算的二级预算单位。</w:t>
      </w:r>
    </w:p>
    <w:p w14:paraId="67001094">
      <w:pPr>
        <w:widowControl/>
        <w:jc w:val="left"/>
        <w:rPr>
          <w:rFonts w:ascii="仿宋" w:hAnsi="仿宋" w:eastAsia="仿宋"/>
          <w:color w:val="000000"/>
          <w:kern w:val="0"/>
          <w:sz w:val="32"/>
          <w:szCs w:val="32"/>
        </w:rPr>
      </w:pPr>
    </w:p>
    <w:p w14:paraId="624BA004">
      <w:pPr>
        <w:pStyle w:val="2"/>
        <w:rPr>
          <w:rFonts w:ascii="仿宋" w:hAnsi="仿宋" w:eastAsia="仿宋"/>
          <w:color w:val="000000"/>
          <w:kern w:val="0"/>
          <w:sz w:val="32"/>
          <w:szCs w:val="32"/>
        </w:rPr>
      </w:pPr>
    </w:p>
    <w:p w14:paraId="18C6CE56">
      <w:pPr>
        <w:rPr>
          <w:rFonts w:ascii="仿宋" w:hAnsi="仿宋" w:eastAsia="仿宋"/>
          <w:color w:val="000000"/>
          <w:kern w:val="0"/>
          <w:sz w:val="32"/>
          <w:szCs w:val="32"/>
        </w:rPr>
      </w:pPr>
    </w:p>
    <w:p w14:paraId="5CFEB12B">
      <w:pPr>
        <w:pStyle w:val="2"/>
        <w:rPr>
          <w:rFonts w:ascii="仿宋" w:hAnsi="仿宋" w:eastAsia="仿宋"/>
          <w:color w:val="000000"/>
          <w:kern w:val="0"/>
          <w:sz w:val="32"/>
          <w:szCs w:val="32"/>
        </w:rPr>
      </w:pPr>
    </w:p>
    <w:p w14:paraId="3184F36E">
      <w:pPr>
        <w:rPr>
          <w:rFonts w:ascii="仿宋" w:hAnsi="仿宋" w:eastAsia="仿宋"/>
          <w:color w:val="000000"/>
          <w:kern w:val="0"/>
          <w:sz w:val="32"/>
          <w:szCs w:val="32"/>
        </w:rPr>
      </w:pPr>
    </w:p>
    <w:p w14:paraId="67930D42">
      <w:pPr>
        <w:pStyle w:val="2"/>
        <w:rPr>
          <w:rFonts w:ascii="仿宋" w:hAnsi="仿宋" w:eastAsia="仿宋"/>
          <w:color w:val="000000"/>
          <w:kern w:val="0"/>
          <w:sz w:val="32"/>
          <w:szCs w:val="32"/>
        </w:rPr>
      </w:pPr>
    </w:p>
    <w:p w14:paraId="52A192A8">
      <w:pPr>
        <w:rPr>
          <w:rFonts w:ascii="仿宋" w:hAnsi="仿宋" w:eastAsia="仿宋"/>
          <w:color w:val="000000"/>
          <w:kern w:val="0"/>
          <w:sz w:val="32"/>
          <w:szCs w:val="32"/>
        </w:rPr>
      </w:pPr>
    </w:p>
    <w:p w14:paraId="6849E08B">
      <w:pPr>
        <w:pStyle w:val="2"/>
        <w:rPr>
          <w:rFonts w:ascii="仿宋" w:hAnsi="仿宋" w:eastAsia="仿宋"/>
          <w:color w:val="000000"/>
          <w:kern w:val="0"/>
          <w:sz w:val="32"/>
          <w:szCs w:val="32"/>
        </w:rPr>
      </w:pPr>
    </w:p>
    <w:p w14:paraId="5EC20774">
      <w:pPr>
        <w:rPr>
          <w:rFonts w:ascii="仿宋" w:hAnsi="仿宋" w:eastAsia="仿宋"/>
          <w:color w:val="000000"/>
          <w:kern w:val="0"/>
          <w:sz w:val="32"/>
          <w:szCs w:val="32"/>
        </w:rPr>
      </w:pPr>
    </w:p>
    <w:p w14:paraId="5DF154F8">
      <w:pPr>
        <w:pStyle w:val="2"/>
        <w:rPr>
          <w:rFonts w:ascii="仿宋" w:hAnsi="仿宋" w:eastAsia="仿宋"/>
          <w:color w:val="000000"/>
          <w:kern w:val="0"/>
          <w:sz w:val="32"/>
          <w:szCs w:val="32"/>
        </w:rPr>
      </w:pPr>
    </w:p>
    <w:p w14:paraId="5B683CDA">
      <w:pPr>
        <w:rPr>
          <w:rFonts w:ascii="仿宋" w:hAnsi="仿宋" w:eastAsia="仿宋"/>
          <w:color w:val="000000"/>
          <w:kern w:val="0"/>
          <w:sz w:val="32"/>
          <w:szCs w:val="32"/>
        </w:rPr>
      </w:pPr>
    </w:p>
    <w:p w14:paraId="6AC99463">
      <w:pPr>
        <w:pStyle w:val="2"/>
      </w:pPr>
    </w:p>
    <w:p w14:paraId="2B2D4BE6">
      <w:pPr>
        <w:pStyle w:val="3"/>
        <w:ind w:right="440"/>
        <w:jc w:val="right"/>
        <w:rPr>
          <w:rStyle w:val="17"/>
          <w:rFonts w:ascii="黑体" w:hAnsi="黑体" w:eastAsia="黑体"/>
          <w:b w:val="0"/>
          <w:bCs w:val="0"/>
        </w:rPr>
      </w:pPr>
      <w:bookmarkStart w:id="27" w:name="_Toc29889"/>
      <w:bookmarkStart w:id="28" w:name="_Toc15396602"/>
      <w:bookmarkStart w:id="29" w:name="_Toc15377204"/>
      <w:r>
        <w:rPr>
          <w:rFonts w:hint="eastAsia" w:ascii="黑体" w:hAnsi="黑体" w:eastAsia="黑体"/>
          <w:b w:val="0"/>
          <w:color w:val="000000"/>
        </w:rPr>
        <w:t>第二部分</w:t>
      </w:r>
      <w:r>
        <w:rPr>
          <w:rFonts w:hint="eastAsia" w:ascii="黑体" w:hAnsi="黑体" w:eastAsia="黑体"/>
          <w:color w:val="000000"/>
        </w:rPr>
        <w:t xml:space="preserve"> </w:t>
      </w:r>
      <w:r>
        <w:rPr>
          <w:rStyle w:val="17"/>
          <w:rFonts w:hint="eastAsia" w:ascii="黑体" w:hAnsi="黑体" w:eastAsia="黑体"/>
          <w:b w:val="0"/>
          <w:bCs w:val="0"/>
          <w:lang w:val="en-US" w:eastAsia="zh-CN"/>
        </w:rPr>
        <w:t>2021</w:t>
      </w:r>
      <w:r>
        <w:rPr>
          <w:rStyle w:val="17"/>
          <w:rFonts w:hint="eastAsia" w:ascii="黑体" w:hAnsi="黑体" w:eastAsia="黑体"/>
          <w:b w:val="0"/>
          <w:bCs w:val="0"/>
        </w:rPr>
        <w:t>年度部门决算情况说明</w:t>
      </w:r>
      <w:bookmarkEnd w:id="27"/>
      <w:bookmarkEnd w:id="28"/>
      <w:bookmarkEnd w:id="29"/>
    </w:p>
    <w:p w14:paraId="5A1CB7D0"/>
    <w:p w14:paraId="4776BC13">
      <w:pPr>
        <w:pStyle w:val="24"/>
        <w:numPr>
          <w:ilvl w:val="0"/>
          <w:numId w:val="1"/>
        </w:numPr>
        <w:spacing w:line="600" w:lineRule="exact"/>
        <w:ind w:firstLineChars="0"/>
        <w:outlineLvl w:val="1"/>
        <w:rPr>
          <w:rStyle w:val="18"/>
          <w:rFonts w:ascii="黑体" w:hAnsi="黑体" w:eastAsia="黑体"/>
          <w:b w:val="0"/>
        </w:rPr>
      </w:pPr>
      <w:bookmarkStart w:id="30" w:name="_Toc15377205"/>
      <w:bookmarkStart w:id="31" w:name="_Toc1285"/>
      <w:bookmarkStart w:id="32" w:name="_Toc15396603"/>
      <w:r>
        <w:rPr>
          <w:rFonts w:hint="eastAsia" w:ascii="黑体" w:hAnsi="黑体" w:eastAsia="黑体"/>
          <w:color w:val="000000"/>
          <w:sz w:val="32"/>
          <w:szCs w:val="32"/>
        </w:rPr>
        <w:t>收</w:t>
      </w:r>
      <w:r>
        <w:rPr>
          <w:rStyle w:val="18"/>
          <w:rFonts w:hint="eastAsia" w:ascii="黑体" w:hAnsi="黑体" w:eastAsia="黑体"/>
          <w:b w:val="0"/>
        </w:rPr>
        <w:t>入支出决算总体情况说明</w:t>
      </w:r>
      <w:bookmarkEnd w:id="30"/>
      <w:bookmarkEnd w:id="31"/>
      <w:bookmarkEnd w:id="32"/>
    </w:p>
    <w:p w14:paraId="2F74AFA5">
      <w:pPr>
        <w:spacing w:line="600" w:lineRule="exact"/>
        <w:ind w:firstLine="640" w:firstLineChars="200"/>
        <w:rPr>
          <w:rFonts w:ascii="仿宋" w:hAnsi="仿宋" w:eastAsia="仿宋"/>
          <w:color w:val="000000"/>
          <w:sz w:val="32"/>
          <w:szCs w:val="32"/>
          <w:lang w:val="en-US" w:eastAsia="zh-CN"/>
        </w:rPr>
      </w:pP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年度收、支总计</w:t>
      </w:r>
      <w:r>
        <w:rPr>
          <w:rFonts w:hint="eastAsia" w:ascii="仿宋" w:hAnsi="仿宋" w:eastAsia="仿宋"/>
          <w:color w:val="000000"/>
          <w:sz w:val="32"/>
          <w:szCs w:val="32"/>
          <w:lang w:val="en-US" w:eastAsia="zh-CN"/>
        </w:rPr>
        <w:t>1297.57</w:t>
      </w:r>
      <w:r>
        <w:rPr>
          <w:rFonts w:hint="eastAsia" w:ascii="仿宋" w:hAnsi="仿宋" w:eastAsia="仿宋"/>
          <w:color w:val="000000"/>
          <w:sz w:val="32"/>
          <w:szCs w:val="32"/>
        </w:rPr>
        <w:t>万元。与</w:t>
      </w:r>
      <w:r>
        <w:rPr>
          <w:rFonts w:hint="eastAsia" w:ascii="仿宋" w:hAnsi="仿宋" w:eastAsia="仿宋"/>
          <w:color w:val="000000"/>
          <w:sz w:val="32"/>
          <w:szCs w:val="32"/>
          <w:lang w:val="en-US" w:eastAsia="zh-CN"/>
        </w:rPr>
        <w:t>2020</w:t>
      </w:r>
      <w:r>
        <w:rPr>
          <w:rFonts w:hint="eastAsia" w:ascii="仿宋" w:hAnsi="仿宋" w:eastAsia="仿宋"/>
          <w:color w:val="000000"/>
          <w:sz w:val="32"/>
          <w:szCs w:val="32"/>
        </w:rPr>
        <w:t>年相比，收、支总计各</w:t>
      </w:r>
      <w:r>
        <w:rPr>
          <w:rFonts w:hint="eastAsia" w:ascii="仿宋" w:hAnsi="仿宋" w:eastAsia="仿宋"/>
          <w:color w:val="000000"/>
          <w:sz w:val="32"/>
          <w:szCs w:val="32"/>
          <w:lang w:val="en-US" w:eastAsia="zh-CN"/>
        </w:rPr>
        <w:t>减少</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161.4</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降低</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11.06</w:t>
      </w:r>
      <w:r>
        <w:rPr>
          <w:rFonts w:hint="eastAsia" w:ascii="仿宋" w:hAnsi="仿宋" w:eastAsia="仿宋"/>
          <w:color w:val="000000"/>
          <w:sz w:val="32"/>
          <w:szCs w:val="32"/>
        </w:rPr>
        <w:t>%。主要变动原因</w:t>
      </w:r>
      <w:r>
        <w:rPr>
          <w:rFonts w:hint="eastAsia" w:ascii="仿宋" w:hAnsi="仿宋" w:eastAsia="仿宋"/>
          <w:color w:val="000000"/>
          <w:sz w:val="32"/>
          <w:szCs w:val="32"/>
          <w:lang w:val="en-US" w:eastAsia="zh-CN"/>
        </w:rPr>
        <w:t>是2021年末取消财政应返还额度的处理。</w:t>
      </w:r>
    </w:p>
    <w:p w14:paraId="3E5C8EE5">
      <w:pPr>
        <w:spacing w:line="600" w:lineRule="exact"/>
        <w:ind w:firstLine="640" w:firstLineChars="200"/>
        <w:rPr>
          <w:rFonts w:hint="eastAsia" w:ascii="仿宋" w:hAnsi="仿宋" w:eastAsia="仿宋"/>
          <w:color w:val="000000"/>
          <w:sz w:val="32"/>
          <w:szCs w:val="32"/>
          <w:lang w:val="en-US" w:eastAsia="zh-CN"/>
        </w:rPr>
      </w:pPr>
    </w:p>
    <w:p w14:paraId="19997474">
      <w:pPr>
        <w:spacing w:line="600" w:lineRule="exact"/>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204470</wp:posOffset>
            </wp:positionH>
            <wp:positionV relativeFrom="paragraph">
              <wp:posOffset>93980</wp:posOffset>
            </wp:positionV>
            <wp:extent cx="4947285" cy="2362835"/>
            <wp:effectExtent l="0" t="0" r="0" b="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4D3E686">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p>
    <w:p w14:paraId="52EEE655">
      <w:pPr>
        <w:spacing w:line="600" w:lineRule="exact"/>
        <w:ind w:firstLine="640" w:firstLineChars="200"/>
        <w:rPr>
          <w:rFonts w:hint="eastAsia" w:ascii="仿宋" w:hAnsi="仿宋" w:eastAsia="仿宋"/>
          <w:color w:val="000000"/>
          <w:sz w:val="32"/>
          <w:szCs w:val="32"/>
        </w:rPr>
      </w:pPr>
    </w:p>
    <w:p w14:paraId="7565C396">
      <w:pPr>
        <w:pStyle w:val="24"/>
        <w:numPr>
          <w:ilvl w:val="0"/>
          <w:numId w:val="1"/>
        </w:numPr>
        <w:spacing w:line="600" w:lineRule="exact"/>
        <w:ind w:firstLineChars="0"/>
        <w:outlineLvl w:val="1"/>
        <w:rPr>
          <w:rStyle w:val="18"/>
          <w:rFonts w:ascii="黑体" w:hAnsi="黑体" w:eastAsia="黑体"/>
          <w:b w:val="0"/>
        </w:rPr>
      </w:pPr>
      <w:bookmarkStart w:id="33" w:name="_Toc15377206"/>
      <w:bookmarkStart w:id="34" w:name="_Toc15396604"/>
      <w:bookmarkStart w:id="35" w:name="_Toc16191"/>
      <w:r>
        <w:rPr>
          <w:rFonts w:hint="eastAsia" w:ascii="黑体" w:hAnsi="黑体" w:eastAsia="黑体"/>
          <w:color w:val="000000"/>
          <w:sz w:val="32"/>
          <w:szCs w:val="32"/>
        </w:rPr>
        <w:t>收</w:t>
      </w:r>
      <w:r>
        <w:rPr>
          <w:rStyle w:val="18"/>
          <w:rFonts w:hint="eastAsia" w:ascii="黑体" w:hAnsi="黑体" w:eastAsia="黑体"/>
          <w:b w:val="0"/>
        </w:rPr>
        <w:t>入决算情况说明</w:t>
      </w:r>
      <w:bookmarkEnd w:id="33"/>
      <w:bookmarkEnd w:id="34"/>
      <w:bookmarkEnd w:id="35"/>
    </w:p>
    <w:p w14:paraId="193E3120">
      <w:pPr>
        <w:spacing w:line="600" w:lineRule="exact"/>
        <w:ind w:firstLine="640" w:firstLineChars="200"/>
        <w:outlineLvl w:val="1"/>
        <w:rPr>
          <w:rFonts w:hint="eastAsia" w:ascii="仿宋" w:hAnsi="仿宋" w:eastAsia="仿宋"/>
          <w:color w:val="000000"/>
          <w:sz w:val="32"/>
          <w:szCs w:val="32"/>
        </w:rPr>
      </w:pPr>
      <w:bookmarkStart w:id="36" w:name="_Toc21807"/>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1297.57</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1297.57</w:t>
      </w:r>
      <w:r>
        <w:rPr>
          <w:rFonts w:hint="eastAsia" w:ascii="仿宋" w:hAnsi="仿宋" w:eastAsia="仿宋"/>
          <w:color w:val="000000"/>
          <w:sz w:val="32"/>
          <w:szCs w:val="32"/>
        </w:rPr>
        <w:t>万元，占 100.00%；政府性基金预算财政拨款收入0.00万元，占 0.00%；上级补助收入0.00万元，占 0.00%；事业收入0.00万元，占 0.00%；经营收入0.00万元，占 0.00%；附属单位上缴收入0.00万元，占 0.00%；其他收入0.00万元，占 0.00%。</w:t>
      </w:r>
      <w:bookmarkEnd w:id="36"/>
    </w:p>
    <w:p w14:paraId="2F4A0424">
      <w:pPr>
        <w:spacing w:line="600" w:lineRule="exact"/>
        <w:rPr>
          <w:rFonts w:hint="eastAsia" w:ascii="仿宋" w:hAnsi="仿宋" w:eastAsia="仿宋"/>
          <w:color w:val="000000"/>
          <w:sz w:val="32"/>
          <w:szCs w:val="32"/>
        </w:rPr>
      </w:pPr>
      <w:r>
        <w:rPr>
          <w:rFonts w:ascii="仿宋_GB2312" w:eastAsia="仿宋_GB2312"/>
          <w:color w:val="000000"/>
          <w:sz w:val="32"/>
          <w:szCs w:val="32"/>
        </w:rPr>
        <w:drawing>
          <wp:anchor distT="0" distB="0" distL="0" distR="0" simplePos="0" relativeHeight="251659264" behindDoc="0" locked="0" layoutInCell="1" allowOverlap="1">
            <wp:simplePos x="0" y="0"/>
            <wp:positionH relativeFrom="column">
              <wp:posOffset>447675</wp:posOffset>
            </wp:positionH>
            <wp:positionV relativeFrom="paragraph">
              <wp:posOffset>190500</wp:posOffset>
            </wp:positionV>
            <wp:extent cx="3486150" cy="1703705"/>
            <wp:effectExtent l="0" t="0" r="0" b="0"/>
            <wp:wrapSquare wrapText="bothSides"/>
            <wp:docPr id="3" name="对象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7DFE9D14">
      <w:pPr>
        <w:spacing w:line="600" w:lineRule="exact"/>
        <w:ind w:firstLine="640" w:firstLineChars="200"/>
        <w:rPr>
          <w:rFonts w:hint="eastAsia" w:ascii="仿宋" w:hAnsi="仿宋" w:eastAsia="仿宋"/>
          <w:color w:val="000000"/>
          <w:sz w:val="32"/>
          <w:szCs w:val="32"/>
        </w:rPr>
      </w:pPr>
    </w:p>
    <w:p w14:paraId="16CC71CA">
      <w:pPr>
        <w:spacing w:line="600" w:lineRule="exact"/>
        <w:ind w:firstLine="640" w:firstLineChars="200"/>
        <w:rPr>
          <w:rFonts w:hint="eastAsia" w:ascii="仿宋" w:hAnsi="仿宋" w:eastAsia="仿宋"/>
          <w:color w:val="000000"/>
          <w:sz w:val="32"/>
          <w:szCs w:val="32"/>
        </w:rPr>
      </w:pPr>
    </w:p>
    <w:p w14:paraId="3B4024D0">
      <w:pPr>
        <w:spacing w:line="600" w:lineRule="exact"/>
        <w:ind w:firstLine="640" w:firstLineChars="200"/>
        <w:rPr>
          <w:rFonts w:hint="eastAsia" w:ascii="仿宋" w:hAnsi="仿宋" w:eastAsia="仿宋"/>
          <w:color w:val="000000"/>
          <w:sz w:val="32"/>
          <w:szCs w:val="32"/>
        </w:rPr>
      </w:pPr>
    </w:p>
    <w:p w14:paraId="28CBE01B">
      <w:pPr>
        <w:spacing w:line="600" w:lineRule="exact"/>
        <w:rPr>
          <w:rFonts w:hint="eastAsia" w:ascii="仿宋" w:hAnsi="仿宋" w:eastAsia="仿宋"/>
          <w:color w:val="000000"/>
          <w:sz w:val="32"/>
          <w:szCs w:val="32"/>
        </w:rPr>
      </w:pPr>
    </w:p>
    <w:p w14:paraId="41AC56DD">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（图2：收入决算结构图）（饼状图）</w:t>
      </w:r>
    </w:p>
    <w:p w14:paraId="64162684">
      <w:pPr>
        <w:spacing w:line="600" w:lineRule="exact"/>
        <w:ind w:firstLine="640" w:firstLineChars="200"/>
        <w:rPr>
          <w:rFonts w:ascii="仿宋_GB2312" w:eastAsia="仿宋_GB2312"/>
          <w:color w:val="FF0000"/>
          <w:sz w:val="32"/>
          <w:szCs w:val="32"/>
        </w:rPr>
      </w:pPr>
    </w:p>
    <w:p w14:paraId="21F0718A">
      <w:pPr>
        <w:pStyle w:val="24"/>
        <w:numPr>
          <w:ilvl w:val="0"/>
          <w:numId w:val="1"/>
        </w:numPr>
        <w:spacing w:line="600" w:lineRule="exact"/>
        <w:ind w:firstLineChars="0"/>
        <w:outlineLvl w:val="1"/>
        <w:rPr>
          <w:rStyle w:val="18"/>
          <w:rFonts w:ascii="黑体" w:hAnsi="黑体" w:eastAsia="黑体"/>
          <w:b w:val="0"/>
        </w:rPr>
      </w:pPr>
      <w:bookmarkStart w:id="37" w:name="_Toc15396605"/>
      <w:bookmarkStart w:id="38" w:name="_Toc29810"/>
      <w:bookmarkStart w:id="39" w:name="_Toc15377207"/>
      <w:r>
        <w:rPr>
          <w:rFonts w:hint="eastAsia" w:ascii="黑体" w:hAnsi="黑体" w:eastAsia="黑体"/>
          <w:color w:val="000000"/>
          <w:sz w:val="32"/>
          <w:szCs w:val="32"/>
        </w:rPr>
        <w:t>支</w:t>
      </w:r>
      <w:r>
        <w:rPr>
          <w:rStyle w:val="18"/>
          <w:rFonts w:hint="eastAsia" w:ascii="黑体" w:hAnsi="黑体" w:eastAsia="黑体"/>
          <w:b w:val="0"/>
        </w:rPr>
        <w:t>出决算情况说明</w:t>
      </w:r>
      <w:bookmarkEnd w:id="37"/>
      <w:bookmarkEnd w:id="38"/>
      <w:bookmarkEnd w:id="39"/>
    </w:p>
    <w:p w14:paraId="11CCE22C">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 xml:space="preserve"> 年本年支出合计</w:t>
      </w:r>
      <w:r>
        <w:rPr>
          <w:rFonts w:hint="eastAsia" w:ascii="仿宋" w:hAnsi="仿宋" w:eastAsia="仿宋"/>
          <w:color w:val="000000"/>
          <w:sz w:val="32"/>
          <w:szCs w:val="32"/>
          <w:lang w:val="en-US" w:eastAsia="zh-CN"/>
        </w:rPr>
        <w:t>1297.57</w:t>
      </w:r>
      <w:r>
        <w:rPr>
          <w:rFonts w:hint="eastAsia" w:ascii="仿宋" w:hAnsi="仿宋" w:eastAsia="仿宋"/>
          <w:color w:val="000000"/>
          <w:sz w:val="32"/>
          <w:szCs w:val="32"/>
        </w:rPr>
        <w:t>万元，其中：基本支出</w:t>
      </w:r>
      <w:r>
        <w:rPr>
          <w:rFonts w:hint="eastAsia" w:ascii="仿宋" w:hAnsi="仿宋" w:eastAsia="仿宋"/>
          <w:color w:val="000000"/>
          <w:sz w:val="32"/>
          <w:szCs w:val="32"/>
          <w:lang w:val="en-US" w:eastAsia="zh-CN"/>
        </w:rPr>
        <w:t>952.61</w:t>
      </w:r>
      <w:r>
        <w:rPr>
          <w:rFonts w:hint="eastAsia" w:ascii="仿宋" w:hAnsi="仿宋" w:eastAsia="仿宋"/>
          <w:color w:val="000000"/>
          <w:sz w:val="32"/>
          <w:szCs w:val="32"/>
        </w:rPr>
        <w:t xml:space="preserve">万元，占 </w:t>
      </w:r>
      <w:r>
        <w:rPr>
          <w:rFonts w:hint="eastAsia" w:ascii="仿宋" w:hAnsi="仿宋" w:eastAsia="仿宋"/>
          <w:color w:val="000000"/>
          <w:sz w:val="32"/>
          <w:szCs w:val="32"/>
          <w:lang w:val="en-US" w:eastAsia="zh-CN"/>
        </w:rPr>
        <w:t>73.41</w:t>
      </w:r>
      <w:r>
        <w:rPr>
          <w:rFonts w:hint="eastAsia" w:ascii="仿宋" w:hAnsi="仿宋" w:eastAsia="仿宋"/>
          <w:color w:val="000000"/>
          <w:sz w:val="32"/>
          <w:szCs w:val="32"/>
        </w:rPr>
        <w:t>%；项目支出</w:t>
      </w:r>
      <w:r>
        <w:rPr>
          <w:rFonts w:hint="eastAsia" w:ascii="仿宋" w:hAnsi="仿宋" w:eastAsia="仿宋"/>
          <w:color w:val="000000"/>
          <w:sz w:val="32"/>
          <w:szCs w:val="32"/>
          <w:lang w:val="en-US" w:eastAsia="zh-CN"/>
        </w:rPr>
        <w:t>344.97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26.59</w:t>
      </w:r>
      <w:r>
        <w:rPr>
          <w:rFonts w:hint="eastAsia" w:ascii="仿宋" w:hAnsi="仿宋" w:eastAsia="仿宋"/>
          <w:color w:val="000000"/>
          <w:sz w:val="32"/>
          <w:szCs w:val="32"/>
        </w:rPr>
        <w:t>%；上缴上级支出0.00万元，占 0.00%；经营支出0.00万元，占 0.00%；对附属单位补助支出0.00万元，占 0.00%。</w:t>
      </w:r>
    </w:p>
    <w:p w14:paraId="1BD39E7B">
      <w:pPr>
        <w:spacing w:line="600" w:lineRule="exact"/>
        <w:rPr>
          <w:rFonts w:hint="eastAsia" w:ascii="仿宋" w:hAnsi="仿宋" w:eastAsia="仿宋"/>
          <w:color w:val="000000"/>
          <w:sz w:val="32"/>
          <w:szCs w:val="32"/>
        </w:rPr>
      </w:pPr>
      <w:r>
        <w:rPr>
          <w:rFonts w:hint="eastAsia" w:ascii="仿宋_GB2312" w:hAnsi="仿宋_GB2312" w:eastAsia="仿宋_GB2312" w:cs="仿宋_GB2312"/>
          <w:color w:val="000000"/>
          <w:sz w:val="32"/>
          <w:szCs w:val="32"/>
        </w:rPr>
        <w:drawing>
          <wp:anchor distT="0" distB="0" distL="0" distR="0" simplePos="0" relativeHeight="251659264" behindDoc="0" locked="0" layoutInCell="1" allowOverlap="1">
            <wp:simplePos x="0" y="0"/>
            <wp:positionH relativeFrom="column">
              <wp:posOffset>895350</wp:posOffset>
            </wp:positionH>
            <wp:positionV relativeFrom="paragraph">
              <wp:posOffset>542925</wp:posOffset>
            </wp:positionV>
            <wp:extent cx="2999105" cy="2020570"/>
            <wp:effectExtent l="0" t="0" r="0" b="0"/>
            <wp:wrapSquare wrapText="bothSides"/>
            <wp:docPr id="2"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111BB03">
      <w:pPr>
        <w:spacing w:line="600" w:lineRule="exact"/>
        <w:ind w:firstLine="640" w:firstLineChars="200"/>
        <w:rPr>
          <w:rFonts w:hint="eastAsia" w:ascii="仿宋" w:hAnsi="仿宋" w:eastAsia="仿宋"/>
          <w:color w:val="000000"/>
          <w:sz w:val="32"/>
          <w:szCs w:val="32"/>
        </w:rPr>
      </w:pPr>
    </w:p>
    <w:p w14:paraId="268E419E">
      <w:pPr>
        <w:spacing w:line="600" w:lineRule="exact"/>
        <w:ind w:firstLine="640" w:firstLineChars="200"/>
        <w:rPr>
          <w:rFonts w:hint="eastAsia" w:ascii="仿宋" w:hAnsi="仿宋" w:eastAsia="仿宋"/>
          <w:color w:val="000000"/>
          <w:sz w:val="32"/>
          <w:szCs w:val="32"/>
        </w:rPr>
      </w:pPr>
    </w:p>
    <w:p w14:paraId="0F0D5FFE">
      <w:pPr>
        <w:spacing w:line="600" w:lineRule="exact"/>
        <w:ind w:firstLine="640" w:firstLineChars="200"/>
        <w:rPr>
          <w:rFonts w:hint="eastAsia" w:ascii="仿宋" w:hAnsi="仿宋" w:eastAsia="仿宋"/>
          <w:color w:val="000000"/>
          <w:sz w:val="32"/>
          <w:szCs w:val="32"/>
        </w:rPr>
      </w:pPr>
    </w:p>
    <w:p w14:paraId="52CE3BE6">
      <w:pPr>
        <w:spacing w:line="600" w:lineRule="exact"/>
        <w:ind w:firstLine="640" w:firstLineChars="200"/>
        <w:rPr>
          <w:rFonts w:hint="eastAsia" w:ascii="仿宋" w:hAnsi="仿宋" w:eastAsia="仿宋"/>
          <w:color w:val="000000"/>
          <w:sz w:val="32"/>
          <w:szCs w:val="32"/>
        </w:rPr>
      </w:pPr>
    </w:p>
    <w:p w14:paraId="3DB5CC73">
      <w:pPr>
        <w:spacing w:line="600" w:lineRule="exact"/>
        <w:ind w:firstLine="640" w:firstLineChars="200"/>
        <w:rPr>
          <w:rFonts w:hint="eastAsia" w:ascii="仿宋" w:hAnsi="仿宋" w:eastAsia="仿宋"/>
          <w:color w:val="000000"/>
          <w:sz w:val="32"/>
          <w:szCs w:val="32"/>
        </w:rPr>
      </w:pPr>
    </w:p>
    <w:p w14:paraId="59E9790D">
      <w:pPr>
        <w:spacing w:line="600" w:lineRule="exact"/>
        <w:ind w:firstLine="640" w:firstLineChars="200"/>
        <w:rPr>
          <w:rFonts w:hint="eastAsia" w:ascii="仿宋" w:hAnsi="仿宋" w:eastAsia="仿宋"/>
          <w:color w:val="000000"/>
          <w:sz w:val="32"/>
          <w:szCs w:val="32"/>
        </w:rPr>
      </w:pPr>
    </w:p>
    <w:p w14:paraId="76DF7CB6">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（图3：支出决算结构图）（饼状图）</w:t>
      </w:r>
    </w:p>
    <w:p w14:paraId="560B31A5">
      <w:pPr>
        <w:spacing w:line="600" w:lineRule="exact"/>
        <w:ind w:firstLine="640" w:firstLineChars="200"/>
        <w:rPr>
          <w:rFonts w:ascii="仿宋_GB2312" w:eastAsia="仿宋_GB2312"/>
          <w:color w:val="FF0000"/>
          <w:sz w:val="32"/>
          <w:szCs w:val="32"/>
        </w:rPr>
      </w:pPr>
    </w:p>
    <w:p w14:paraId="1C9EE234">
      <w:pPr>
        <w:spacing w:line="600" w:lineRule="exact"/>
        <w:ind w:firstLine="640" w:firstLineChars="200"/>
        <w:outlineLvl w:val="1"/>
        <w:rPr>
          <w:rFonts w:hint="eastAsia" w:ascii="黑体" w:hAnsi="黑体" w:eastAsia="黑体"/>
          <w:color w:val="000000"/>
          <w:sz w:val="32"/>
          <w:szCs w:val="32"/>
        </w:rPr>
      </w:pPr>
      <w:bookmarkStart w:id="40" w:name="_Toc15396606"/>
      <w:bookmarkStart w:id="41" w:name="_Toc15377208"/>
      <w:bookmarkStart w:id="42" w:name="_Toc9889"/>
    </w:p>
    <w:p w14:paraId="2AD45F22">
      <w:pPr>
        <w:spacing w:line="600" w:lineRule="exact"/>
        <w:ind w:firstLine="640" w:firstLineChars="200"/>
        <w:outlineLvl w:val="1"/>
        <w:rPr>
          <w:rStyle w:val="18"/>
          <w:rFonts w:ascii="黑体" w:hAnsi="黑体" w:eastAsia="黑体"/>
          <w:b w:val="0"/>
        </w:rPr>
      </w:pPr>
      <w:r>
        <w:rPr>
          <w:rFonts w:hint="eastAsia" w:ascii="黑体" w:hAnsi="黑体" w:eastAsia="黑体"/>
          <w:color w:val="000000"/>
          <w:sz w:val="32"/>
          <w:szCs w:val="32"/>
        </w:rPr>
        <w:t>四、财</w:t>
      </w:r>
      <w:r>
        <w:rPr>
          <w:rStyle w:val="18"/>
          <w:rFonts w:hint="eastAsia" w:ascii="黑体" w:hAnsi="黑体" w:eastAsia="黑体"/>
          <w:b w:val="0"/>
        </w:rPr>
        <w:t>政拨款收入支出决算总体情况说明</w:t>
      </w:r>
      <w:bookmarkEnd w:id="40"/>
      <w:bookmarkEnd w:id="41"/>
      <w:bookmarkEnd w:id="42"/>
    </w:p>
    <w:p w14:paraId="082200F5">
      <w:pPr>
        <w:spacing w:line="600" w:lineRule="exact"/>
        <w:ind w:firstLine="640" w:firstLineChars="200"/>
        <w:rPr>
          <w:rFonts w:ascii="仿宋" w:hAnsi="仿宋" w:eastAsia="仿宋"/>
          <w:color w:val="000000"/>
          <w:sz w:val="32"/>
          <w:szCs w:val="32"/>
          <w:lang w:val="en-US" w:eastAsia="zh-CN"/>
        </w:rPr>
      </w:pP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年财政拨款收、支总计占</w:t>
      </w:r>
      <w:r>
        <w:rPr>
          <w:rFonts w:hint="eastAsia" w:ascii="仿宋" w:hAnsi="仿宋" w:eastAsia="仿宋"/>
          <w:color w:val="000000"/>
          <w:sz w:val="32"/>
          <w:szCs w:val="32"/>
          <w:lang w:val="en-US" w:eastAsia="zh-CN"/>
        </w:rPr>
        <w:t>1297.57</w:t>
      </w:r>
      <w:r>
        <w:rPr>
          <w:rFonts w:hint="eastAsia" w:ascii="仿宋" w:hAnsi="仿宋" w:eastAsia="仿宋"/>
          <w:color w:val="000000"/>
          <w:sz w:val="32"/>
          <w:szCs w:val="32"/>
        </w:rPr>
        <w:t>万元。与</w:t>
      </w:r>
      <w:r>
        <w:rPr>
          <w:rFonts w:hint="eastAsia" w:ascii="仿宋" w:hAnsi="仿宋" w:eastAsia="仿宋"/>
          <w:color w:val="000000"/>
          <w:sz w:val="32"/>
          <w:szCs w:val="32"/>
          <w:lang w:eastAsia="zh-CN"/>
        </w:rPr>
        <w:t>2020</w:t>
      </w:r>
      <w:r>
        <w:rPr>
          <w:rFonts w:hint="eastAsia" w:ascii="仿宋" w:hAnsi="仿宋" w:eastAsia="仿宋"/>
          <w:color w:val="000000"/>
          <w:sz w:val="32"/>
          <w:szCs w:val="32"/>
        </w:rPr>
        <w:t>年相比，财政拨款收、支总计各</w:t>
      </w:r>
      <w:r>
        <w:rPr>
          <w:rFonts w:hint="eastAsia" w:ascii="仿宋" w:hAnsi="仿宋" w:eastAsia="仿宋"/>
          <w:color w:val="000000"/>
          <w:sz w:val="32"/>
          <w:szCs w:val="32"/>
          <w:lang w:val="en-US" w:eastAsia="zh-CN"/>
        </w:rPr>
        <w:t>减少</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161.4</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降低</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11.06</w:t>
      </w:r>
      <w:r>
        <w:rPr>
          <w:rFonts w:hint="eastAsia" w:ascii="仿宋" w:hAnsi="仿宋" w:eastAsia="仿宋"/>
          <w:color w:val="000000"/>
          <w:sz w:val="32"/>
          <w:szCs w:val="32"/>
        </w:rPr>
        <w:t>%。主要变动原因</w:t>
      </w:r>
      <w:r>
        <w:rPr>
          <w:rFonts w:hint="eastAsia" w:ascii="仿宋" w:hAnsi="仿宋" w:eastAsia="仿宋"/>
          <w:color w:val="000000"/>
          <w:sz w:val="32"/>
          <w:szCs w:val="32"/>
          <w:lang w:val="en-US" w:eastAsia="zh-CN"/>
        </w:rPr>
        <w:t>是2021年末取消财政应返还额度的处理。</w:t>
      </w:r>
    </w:p>
    <w:p w14:paraId="08A801AC">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233045</wp:posOffset>
            </wp:positionH>
            <wp:positionV relativeFrom="paragraph">
              <wp:posOffset>347345</wp:posOffset>
            </wp:positionV>
            <wp:extent cx="4947285" cy="2362835"/>
            <wp:effectExtent l="0" t="0" r="0" b="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F3242B6">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（图4：财政拨款收、支决算总计变动情况）（柱状图）</w:t>
      </w:r>
    </w:p>
    <w:p w14:paraId="3E8F3E57">
      <w:pPr>
        <w:spacing w:line="600" w:lineRule="exact"/>
        <w:ind w:firstLine="640"/>
        <w:rPr>
          <w:rFonts w:ascii="仿宋" w:hAnsi="仿宋" w:eastAsia="仿宋"/>
          <w:b/>
          <w:color w:val="00B050"/>
          <w:sz w:val="32"/>
          <w:szCs w:val="32"/>
        </w:rPr>
      </w:pPr>
    </w:p>
    <w:p w14:paraId="49940A70">
      <w:pPr>
        <w:spacing w:line="600" w:lineRule="exact"/>
        <w:ind w:firstLine="640" w:firstLineChars="200"/>
        <w:outlineLvl w:val="1"/>
        <w:rPr>
          <w:rStyle w:val="18"/>
          <w:rFonts w:ascii="黑体" w:hAnsi="黑体" w:eastAsia="黑体"/>
          <w:b w:val="0"/>
        </w:rPr>
      </w:pPr>
      <w:bookmarkStart w:id="43" w:name="_Toc15377209"/>
      <w:bookmarkStart w:id="44" w:name="_Toc1694"/>
      <w:bookmarkStart w:id="45"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18"/>
          <w:rFonts w:hint="eastAsia" w:ascii="黑体" w:hAnsi="黑体" w:eastAsia="黑体"/>
          <w:b w:val="0"/>
        </w:rPr>
        <w:t>般公共预算财政拨款支出决算情况说明</w:t>
      </w:r>
      <w:bookmarkEnd w:id="43"/>
      <w:bookmarkEnd w:id="44"/>
      <w:bookmarkEnd w:id="45"/>
    </w:p>
    <w:p w14:paraId="39B53CB3">
      <w:pPr>
        <w:spacing w:line="600" w:lineRule="exact"/>
        <w:ind w:firstLine="643" w:firstLineChars="200"/>
        <w:outlineLvl w:val="2"/>
        <w:rPr>
          <w:rFonts w:ascii="仿宋" w:hAnsi="仿宋" w:eastAsia="仿宋"/>
          <w:b/>
          <w:color w:val="000000"/>
          <w:sz w:val="32"/>
          <w:szCs w:val="32"/>
        </w:rPr>
      </w:pPr>
      <w:bookmarkStart w:id="46" w:name="_Toc15377210"/>
      <w:r>
        <w:rPr>
          <w:rFonts w:hint="eastAsia" w:ascii="仿宋" w:hAnsi="仿宋" w:eastAsia="仿宋"/>
          <w:b/>
          <w:color w:val="000000"/>
          <w:sz w:val="32"/>
          <w:szCs w:val="32"/>
        </w:rPr>
        <w:t>（一）一般公共预算财政拨款支出决算总体情况</w:t>
      </w:r>
      <w:bookmarkEnd w:id="46"/>
    </w:p>
    <w:p w14:paraId="2F219476">
      <w:pPr>
        <w:spacing w:line="600" w:lineRule="exact"/>
        <w:ind w:firstLine="640" w:firstLineChars="200"/>
        <w:rPr>
          <w:rFonts w:ascii="仿宋" w:hAnsi="仿宋" w:eastAsia="仿宋"/>
          <w:color w:val="000000"/>
          <w:sz w:val="32"/>
          <w:szCs w:val="32"/>
          <w:lang w:val="en-US" w:eastAsia="zh-CN"/>
        </w:rPr>
      </w:pP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1297.57</w:t>
      </w:r>
      <w:r>
        <w:rPr>
          <w:rFonts w:hint="eastAsia" w:ascii="仿宋" w:hAnsi="仿宋" w:eastAsia="仿宋"/>
          <w:color w:val="000000"/>
          <w:sz w:val="32"/>
          <w:szCs w:val="32"/>
        </w:rPr>
        <w:t>万元，占本年支出合计的 100.00%。与</w:t>
      </w:r>
      <w:r>
        <w:rPr>
          <w:rFonts w:hint="eastAsia" w:ascii="仿宋" w:hAnsi="仿宋" w:eastAsia="仿宋"/>
          <w:color w:val="000000"/>
          <w:sz w:val="32"/>
          <w:szCs w:val="32"/>
          <w:lang w:eastAsia="zh-CN"/>
        </w:rPr>
        <w:t>2020</w:t>
      </w:r>
      <w:r>
        <w:rPr>
          <w:rFonts w:hint="eastAsia" w:ascii="仿宋" w:hAnsi="仿宋" w:eastAsia="仿宋"/>
          <w:color w:val="000000"/>
          <w:sz w:val="32"/>
          <w:szCs w:val="32"/>
        </w:rPr>
        <w:t>年相比，一般公共预算财政拨款</w:t>
      </w:r>
      <w:r>
        <w:rPr>
          <w:rFonts w:hint="eastAsia" w:ascii="仿宋" w:hAnsi="仿宋" w:eastAsia="仿宋"/>
          <w:color w:val="000000"/>
          <w:sz w:val="32"/>
          <w:szCs w:val="32"/>
          <w:lang w:val="en-US" w:eastAsia="zh-CN"/>
        </w:rPr>
        <w:t>减少</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161.4</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降低</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11.06</w:t>
      </w:r>
      <w:r>
        <w:rPr>
          <w:rFonts w:hint="eastAsia" w:ascii="仿宋" w:hAnsi="仿宋" w:eastAsia="仿宋"/>
          <w:color w:val="000000"/>
          <w:sz w:val="32"/>
          <w:szCs w:val="32"/>
        </w:rPr>
        <w:t>%。主要变动原因</w:t>
      </w:r>
      <w:r>
        <w:rPr>
          <w:rFonts w:hint="eastAsia" w:ascii="仿宋" w:hAnsi="仿宋" w:eastAsia="仿宋"/>
          <w:color w:val="000000"/>
          <w:sz w:val="32"/>
          <w:szCs w:val="32"/>
          <w:lang w:val="en-US" w:eastAsia="zh-CN"/>
        </w:rPr>
        <w:t>是2021年末取消财政应返还额度的处理。</w:t>
      </w:r>
    </w:p>
    <w:p w14:paraId="0CC18065">
      <w:pPr>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175895</wp:posOffset>
            </wp:positionH>
            <wp:positionV relativeFrom="paragraph">
              <wp:posOffset>140970</wp:posOffset>
            </wp:positionV>
            <wp:extent cx="4947285" cy="2362835"/>
            <wp:effectExtent l="0" t="1" r="0" b="1"/>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E676054">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（图5：一般公共预算财政拨款支出决算变动情况）（柱状图）</w:t>
      </w:r>
    </w:p>
    <w:p w14:paraId="48D9E36A">
      <w:pPr>
        <w:spacing w:line="600" w:lineRule="exact"/>
        <w:ind w:firstLine="643" w:firstLineChars="200"/>
        <w:outlineLvl w:val="2"/>
        <w:rPr>
          <w:rFonts w:ascii="仿宋" w:hAnsi="仿宋" w:eastAsia="仿宋"/>
          <w:b/>
          <w:color w:val="000000"/>
          <w:sz w:val="32"/>
          <w:szCs w:val="32"/>
        </w:rPr>
      </w:pPr>
      <w:bookmarkStart w:id="47" w:name="_Toc15377211"/>
      <w:r>
        <w:rPr>
          <w:rFonts w:hint="eastAsia" w:ascii="仿宋" w:hAnsi="仿宋" w:eastAsia="仿宋"/>
          <w:b/>
          <w:color w:val="000000"/>
          <w:sz w:val="32"/>
          <w:szCs w:val="32"/>
        </w:rPr>
        <w:t>（二）一般公共预算财政拨款支出决算结构情况</w:t>
      </w:r>
      <w:bookmarkEnd w:id="47"/>
    </w:p>
    <w:p w14:paraId="75791847">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1297.57</w:t>
      </w:r>
      <w:r>
        <w:rPr>
          <w:rFonts w:hint="eastAsia" w:ascii="仿宋" w:hAnsi="仿宋" w:eastAsia="仿宋"/>
          <w:color w:val="000000"/>
          <w:sz w:val="32"/>
          <w:szCs w:val="32"/>
        </w:rPr>
        <w:t>万元，主要用于以下方面:一般公共服务（类）支出0.00万元，占0.00%；外交支出（类）0.00万元，占0.00%，国防支出（类）0.00万元，占0.00%；公共安全支出（类）0.00万元，占0.00%；教育支出（类）0.00万元，占0.00%；科学技术（类）支出0.00万元，占0.00%；文化旅游体育与传媒（类）支出0.00万元，占0.00%；社会保障和就业（类）支出</w:t>
      </w:r>
      <w:r>
        <w:rPr>
          <w:rFonts w:hint="eastAsia" w:ascii="仿宋" w:hAnsi="仿宋" w:eastAsia="仿宋"/>
          <w:color w:val="000000"/>
          <w:sz w:val="32"/>
          <w:szCs w:val="32"/>
          <w:lang w:val="en-US" w:eastAsia="zh-CN"/>
        </w:rPr>
        <w:t>66.85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6.24</w:t>
      </w:r>
      <w:r>
        <w:rPr>
          <w:rFonts w:hint="eastAsia" w:ascii="仿宋" w:hAnsi="仿宋" w:eastAsia="仿宋"/>
          <w:color w:val="000000"/>
          <w:sz w:val="32"/>
          <w:szCs w:val="32"/>
        </w:rPr>
        <w:t>%；卫生健康支出（类）</w:t>
      </w:r>
      <w:r>
        <w:rPr>
          <w:rFonts w:hint="eastAsia" w:ascii="仿宋" w:hAnsi="仿宋" w:eastAsia="仿宋"/>
          <w:color w:val="000000"/>
          <w:sz w:val="32"/>
          <w:szCs w:val="32"/>
          <w:lang w:val="en-US" w:eastAsia="zh-CN"/>
        </w:rPr>
        <w:t>31.71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3.11</w:t>
      </w:r>
      <w:r>
        <w:rPr>
          <w:rFonts w:hint="eastAsia" w:ascii="仿宋" w:hAnsi="仿宋" w:eastAsia="仿宋"/>
          <w:color w:val="000000"/>
          <w:sz w:val="32"/>
          <w:szCs w:val="32"/>
        </w:rPr>
        <w:t>%；节能环保支出（类）0.00万元，占0.00%；城乡社区支出（类）</w:t>
      </w:r>
      <w:r>
        <w:rPr>
          <w:rFonts w:hint="eastAsia" w:ascii="仿宋" w:hAnsi="仿宋" w:eastAsia="仿宋"/>
          <w:color w:val="000000"/>
          <w:sz w:val="32"/>
          <w:szCs w:val="32"/>
          <w:lang w:val="en-US" w:eastAsia="zh-CN"/>
        </w:rPr>
        <w:t>1125.11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86.45</w:t>
      </w:r>
      <w:r>
        <w:rPr>
          <w:rFonts w:hint="eastAsia" w:ascii="仿宋" w:hAnsi="仿宋" w:eastAsia="仿宋"/>
          <w:color w:val="000000"/>
          <w:sz w:val="32"/>
          <w:szCs w:val="32"/>
        </w:rPr>
        <w:t>%；农林水支出（类）0.00万元，占0.00%；交通运输支出（类）0.00万元，占0.00%；资源勘探信息等支出（类）0.00万元，占0.00%；商业服务业等支出（类）0.00万元，占0.00%；金融支出（类）0.00万元，占0.00%；援助其他地区支出（类）0.00万元，占0.00%；自然资源海洋气象等支出（类）0.00万元，占0.00%；住房保障支出（类）</w:t>
      </w:r>
      <w:r>
        <w:rPr>
          <w:rFonts w:hint="eastAsia" w:ascii="仿宋" w:hAnsi="仿宋" w:eastAsia="仿宋"/>
          <w:color w:val="000000"/>
          <w:sz w:val="32"/>
          <w:szCs w:val="32"/>
          <w:lang w:val="en-US" w:eastAsia="zh-CN"/>
        </w:rPr>
        <w:t>44.16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4.20</w:t>
      </w:r>
      <w:r>
        <w:rPr>
          <w:rFonts w:hint="eastAsia" w:ascii="仿宋" w:hAnsi="仿宋" w:eastAsia="仿宋"/>
          <w:color w:val="000000"/>
          <w:sz w:val="32"/>
          <w:szCs w:val="32"/>
        </w:rPr>
        <w:t>%；粮油物资储备支出（类）0.00万元，占0.00%；灾害防治及应急管理支出（类）0.00万元，占0.00%；其他支出（类）0.00万元，占0.00%；债务还本支出（类）0.00万元，占0.00%；债务付息支出（类）0.00万元，占0.00%。</w:t>
      </w:r>
    </w:p>
    <w:p w14:paraId="48B1871E">
      <w:pPr>
        <w:spacing w:line="600" w:lineRule="exact"/>
        <w:ind w:firstLine="640"/>
        <w:rPr>
          <w:rFonts w:hint="eastAsia" w:ascii="仿宋" w:hAnsi="仿宋" w:eastAsia="仿宋"/>
          <w:color w:val="000000"/>
          <w:sz w:val="32"/>
          <w:szCs w:val="32"/>
        </w:rPr>
      </w:pPr>
      <w:r>
        <w:rPr>
          <w:rFonts w:ascii="仿宋_GB2312" w:eastAsia="仿宋_GB2312"/>
          <w:color w:val="000000"/>
          <w:sz w:val="32"/>
          <w:szCs w:val="32"/>
        </w:rPr>
        <w:drawing>
          <wp:anchor distT="0" distB="0" distL="0" distR="0" simplePos="0" relativeHeight="251659264" behindDoc="0" locked="0" layoutInCell="1" allowOverlap="1">
            <wp:simplePos x="0" y="0"/>
            <wp:positionH relativeFrom="column">
              <wp:posOffset>561975</wp:posOffset>
            </wp:positionH>
            <wp:positionV relativeFrom="paragraph">
              <wp:posOffset>342900</wp:posOffset>
            </wp:positionV>
            <wp:extent cx="2999105" cy="2020570"/>
            <wp:effectExtent l="0" t="0" r="0" b="0"/>
            <wp:wrapSquare wrapText="bothSides"/>
            <wp:docPr id="8"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E52E9FD">
      <w:pPr>
        <w:spacing w:line="600" w:lineRule="exact"/>
        <w:ind w:firstLine="640"/>
        <w:rPr>
          <w:rFonts w:hint="eastAsia" w:ascii="仿宋" w:hAnsi="仿宋" w:eastAsia="仿宋"/>
          <w:color w:val="000000"/>
          <w:sz w:val="32"/>
          <w:szCs w:val="32"/>
        </w:rPr>
      </w:pPr>
    </w:p>
    <w:p w14:paraId="59F017E2">
      <w:pPr>
        <w:spacing w:line="600" w:lineRule="exact"/>
        <w:ind w:firstLine="640"/>
        <w:rPr>
          <w:rFonts w:hint="eastAsia" w:ascii="仿宋" w:hAnsi="仿宋" w:eastAsia="仿宋"/>
          <w:color w:val="000000"/>
          <w:sz w:val="32"/>
          <w:szCs w:val="32"/>
        </w:rPr>
      </w:pPr>
    </w:p>
    <w:p w14:paraId="7A45BB98">
      <w:pPr>
        <w:spacing w:line="600" w:lineRule="exact"/>
        <w:ind w:firstLine="640"/>
        <w:rPr>
          <w:rFonts w:hint="eastAsia" w:ascii="仿宋" w:hAnsi="仿宋" w:eastAsia="仿宋"/>
          <w:color w:val="000000"/>
          <w:sz w:val="32"/>
          <w:szCs w:val="32"/>
        </w:rPr>
      </w:pPr>
    </w:p>
    <w:p w14:paraId="791442C2">
      <w:pPr>
        <w:spacing w:line="600" w:lineRule="exact"/>
        <w:ind w:firstLine="640"/>
        <w:rPr>
          <w:rFonts w:hint="eastAsia" w:ascii="仿宋" w:hAnsi="仿宋" w:eastAsia="仿宋"/>
          <w:color w:val="000000"/>
          <w:sz w:val="32"/>
          <w:szCs w:val="32"/>
        </w:rPr>
      </w:pPr>
    </w:p>
    <w:p w14:paraId="348C6D97">
      <w:pPr>
        <w:spacing w:line="600" w:lineRule="exact"/>
        <w:rPr>
          <w:rFonts w:hint="eastAsia" w:ascii="仿宋" w:hAnsi="仿宋" w:eastAsia="仿宋"/>
          <w:color w:val="000000"/>
          <w:sz w:val="32"/>
          <w:szCs w:val="32"/>
        </w:rPr>
      </w:pPr>
    </w:p>
    <w:p w14:paraId="04395552">
      <w:pPr>
        <w:spacing w:line="600" w:lineRule="exact"/>
        <w:ind w:firstLine="640"/>
        <w:rPr>
          <w:rFonts w:hint="eastAsia" w:ascii="仿宋" w:hAnsi="仿宋" w:eastAsia="仿宋"/>
          <w:color w:val="000000"/>
          <w:sz w:val="32"/>
          <w:szCs w:val="32"/>
        </w:rPr>
      </w:pPr>
    </w:p>
    <w:p w14:paraId="1346977F">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（图6：一般公共预算财政拨款支出决算结构）（饼状图）</w:t>
      </w:r>
    </w:p>
    <w:p w14:paraId="289524FA">
      <w:pPr>
        <w:spacing w:line="600" w:lineRule="exact"/>
        <w:ind w:firstLine="640" w:firstLineChars="200"/>
        <w:rPr>
          <w:rFonts w:ascii="仿宋" w:hAnsi="仿宋" w:eastAsia="仿宋"/>
          <w:color w:val="000000"/>
          <w:sz w:val="32"/>
          <w:szCs w:val="32"/>
        </w:rPr>
      </w:pPr>
    </w:p>
    <w:p w14:paraId="4D3E41B2">
      <w:pPr>
        <w:spacing w:line="600" w:lineRule="exact"/>
        <w:ind w:firstLine="643" w:firstLineChars="200"/>
        <w:outlineLvl w:val="2"/>
        <w:rPr>
          <w:rFonts w:ascii="仿宋" w:hAnsi="仿宋" w:eastAsia="仿宋"/>
          <w:b/>
          <w:color w:val="000000"/>
          <w:sz w:val="32"/>
          <w:szCs w:val="32"/>
        </w:rPr>
      </w:pPr>
      <w:bookmarkStart w:id="48" w:name="_Toc15377212"/>
      <w:r>
        <w:rPr>
          <w:rFonts w:hint="eastAsia" w:ascii="仿宋" w:hAnsi="仿宋" w:eastAsia="仿宋"/>
          <w:b/>
          <w:color w:val="000000"/>
          <w:sz w:val="32"/>
          <w:szCs w:val="32"/>
          <w:highlight w:val="none"/>
        </w:rPr>
        <w:t>（三）</w:t>
      </w:r>
      <w:r>
        <w:rPr>
          <w:rFonts w:hint="eastAsia" w:ascii="仿宋" w:hAnsi="仿宋" w:eastAsia="仿宋"/>
          <w:b/>
          <w:color w:val="000000"/>
          <w:sz w:val="32"/>
          <w:szCs w:val="32"/>
        </w:rPr>
        <w:t>一般公共预算财政拨款支出决算具体情况</w:t>
      </w:r>
      <w:bookmarkEnd w:id="48"/>
    </w:p>
    <w:p w14:paraId="69EB462B">
      <w:pPr>
        <w:spacing w:line="600" w:lineRule="exact"/>
        <w:ind w:firstLine="640" w:firstLineChars="200"/>
        <w:rPr>
          <w:rStyle w:val="15"/>
          <w:rFonts w:hint="eastAsia" w:ascii="仿宋" w:hAnsi="仿宋" w:eastAsia="仿宋"/>
          <w:b w:val="0"/>
          <w:bCs/>
          <w:color w:val="000000"/>
          <w:sz w:val="32"/>
          <w:szCs w:val="32"/>
        </w:rPr>
      </w:pPr>
      <w:r>
        <w:rPr>
          <w:rStyle w:val="15"/>
          <w:rFonts w:hint="eastAsia" w:ascii="仿宋" w:hAnsi="仿宋" w:eastAsia="仿宋"/>
          <w:b w:val="0"/>
          <w:bCs/>
          <w:color w:val="000000"/>
          <w:sz w:val="32"/>
          <w:szCs w:val="32"/>
          <w:lang w:val="en-US" w:eastAsia="zh-CN"/>
        </w:rPr>
        <w:t>2021</w:t>
      </w:r>
      <w:r>
        <w:rPr>
          <w:rStyle w:val="15"/>
          <w:rFonts w:hint="eastAsia" w:ascii="仿宋" w:hAnsi="仿宋" w:eastAsia="仿宋"/>
          <w:b w:val="0"/>
          <w:bCs/>
          <w:color w:val="000000"/>
          <w:sz w:val="32"/>
          <w:szCs w:val="32"/>
        </w:rPr>
        <w:t>年一般公共预算支出决算数为</w:t>
      </w:r>
      <w:r>
        <w:rPr>
          <w:rStyle w:val="15"/>
          <w:rFonts w:hint="eastAsia" w:ascii="仿宋" w:hAnsi="仿宋" w:eastAsia="仿宋"/>
          <w:b w:val="0"/>
          <w:bCs/>
          <w:color w:val="000000"/>
          <w:sz w:val="32"/>
          <w:szCs w:val="32"/>
          <w:lang w:val="en-US" w:eastAsia="zh-CN"/>
        </w:rPr>
        <w:t>1297.57</w:t>
      </w:r>
      <w:r>
        <w:rPr>
          <w:rStyle w:val="15"/>
          <w:rFonts w:hint="eastAsia" w:ascii="仿宋" w:hAnsi="仿宋" w:eastAsia="仿宋"/>
          <w:b w:val="0"/>
          <w:bCs/>
          <w:color w:val="000000"/>
          <w:sz w:val="32"/>
          <w:szCs w:val="32"/>
        </w:rPr>
        <w:t>，完成预算</w:t>
      </w:r>
      <w:r>
        <w:rPr>
          <w:rStyle w:val="15"/>
          <w:rFonts w:hint="eastAsia" w:ascii="仿宋" w:hAnsi="仿宋" w:eastAsia="仿宋"/>
          <w:b w:val="0"/>
          <w:bCs/>
          <w:color w:val="000000"/>
          <w:sz w:val="32"/>
          <w:szCs w:val="32"/>
          <w:lang w:val="en-US" w:eastAsia="zh-CN"/>
        </w:rPr>
        <w:t>100</w:t>
      </w:r>
      <w:r>
        <w:rPr>
          <w:rStyle w:val="15"/>
          <w:rFonts w:hint="eastAsia" w:ascii="仿宋" w:hAnsi="仿宋" w:eastAsia="仿宋"/>
          <w:b w:val="0"/>
          <w:bCs/>
          <w:color w:val="000000"/>
          <w:sz w:val="32"/>
          <w:szCs w:val="32"/>
        </w:rPr>
        <w:t>%。其中：</w:t>
      </w:r>
    </w:p>
    <w:p w14:paraId="60F19FCB">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rPr>
      </w:pPr>
      <w:r>
        <w:rPr>
          <w:rStyle w:val="15"/>
          <w:rFonts w:hint="eastAsia" w:ascii="仿宋_GB2312" w:hAnsi="仿宋_GB2312" w:eastAsia="仿宋_GB2312" w:cs="仿宋_GB2312"/>
          <w:bCs/>
          <w:color w:val="000000"/>
          <w:sz w:val="32"/>
          <w:szCs w:val="32"/>
          <w:lang w:val="en-US" w:eastAsia="zh-CN"/>
        </w:rPr>
        <w:t>1.城乡社区支出</w:t>
      </w:r>
      <w:r>
        <w:rPr>
          <w:rStyle w:val="15"/>
          <w:rFonts w:hint="eastAsia" w:ascii="仿宋_GB2312" w:hAnsi="仿宋_GB2312" w:eastAsia="仿宋_GB2312" w:cs="仿宋_GB2312"/>
          <w:bCs/>
          <w:color w:val="000000"/>
          <w:sz w:val="32"/>
          <w:szCs w:val="32"/>
        </w:rPr>
        <w:t>（类）</w:t>
      </w:r>
      <w:r>
        <w:rPr>
          <w:rStyle w:val="15"/>
          <w:rFonts w:hint="eastAsia" w:ascii="仿宋_GB2312" w:hAnsi="仿宋_GB2312" w:eastAsia="仿宋_GB2312" w:cs="仿宋_GB2312"/>
          <w:bCs/>
          <w:color w:val="000000"/>
          <w:sz w:val="32"/>
          <w:szCs w:val="32"/>
          <w:lang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1125.11</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val="en-US" w:eastAsia="zh-CN"/>
        </w:rPr>
        <w:t>。</w:t>
      </w:r>
    </w:p>
    <w:p w14:paraId="33D87D11">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城乡社区管理事务</w:t>
      </w:r>
      <w:r>
        <w:rPr>
          <w:rStyle w:val="15"/>
          <w:rFonts w:hint="eastAsia" w:ascii="仿宋_GB2312" w:hAnsi="仿宋_GB2312" w:eastAsia="仿宋_GB2312" w:cs="仿宋_GB2312"/>
          <w:bCs/>
          <w:color w:val="000000"/>
          <w:sz w:val="32"/>
          <w:szCs w:val="32"/>
        </w:rPr>
        <w:t>（款）</w:t>
      </w:r>
      <w:r>
        <w:rPr>
          <w:rStyle w:val="15"/>
          <w:rFonts w:hint="eastAsia" w:ascii="仿宋_GB2312" w:hAnsi="仿宋_GB2312" w:eastAsia="仿宋_GB2312" w:cs="仿宋_GB2312"/>
          <w:bCs/>
          <w:color w:val="000000"/>
          <w:sz w:val="32"/>
          <w:szCs w:val="32"/>
          <w:lang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1125.11</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val="en-US" w:eastAsia="zh-CN"/>
        </w:rPr>
        <w:t>。</w:t>
      </w:r>
    </w:p>
    <w:p w14:paraId="1888AEC6">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行政运行</w:t>
      </w:r>
      <w:r>
        <w:rPr>
          <w:rStyle w:val="15"/>
          <w:rFonts w:hint="eastAsia" w:ascii="仿宋_GB2312" w:hAnsi="仿宋_GB2312" w:eastAsia="仿宋_GB2312" w:cs="仿宋_GB2312"/>
          <w:bCs/>
          <w:color w:val="000000"/>
          <w:sz w:val="32"/>
          <w:szCs w:val="32"/>
        </w:rPr>
        <w:t>（项）:</w:t>
      </w:r>
      <w:r>
        <w:rPr>
          <w:rStyle w:val="15"/>
          <w:rFonts w:hint="eastAsia" w:ascii="仿宋_GB2312" w:hAnsi="仿宋_GB2312" w:eastAsia="仿宋_GB2312" w:cs="仿宋_GB2312"/>
          <w:b w:val="0"/>
          <w:bCs/>
          <w:color w:val="000000"/>
          <w:sz w:val="32"/>
          <w:szCs w:val="32"/>
        </w:rPr>
        <w:t xml:space="preserve"> 支出决算为</w:t>
      </w:r>
      <w:r>
        <w:rPr>
          <w:rStyle w:val="15"/>
          <w:rFonts w:hint="eastAsia" w:ascii="仿宋_GB2312" w:hAnsi="仿宋_GB2312" w:eastAsia="仿宋_GB2312" w:cs="仿宋_GB2312"/>
          <w:b w:val="0"/>
          <w:bCs/>
          <w:color w:val="000000"/>
          <w:sz w:val="32"/>
          <w:szCs w:val="32"/>
          <w:lang w:val="en-US" w:eastAsia="zh-CN"/>
        </w:rPr>
        <w:t>799.89</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52D9C499">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rPr>
      </w:pPr>
      <w:r>
        <w:rPr>
          <w:rStyle w:val="15"/>
          <w:rFonts w:hint="eastAsia" w:ascii="仿宋_GB2312" w:hAnsi="仿宋_GB2312" w:eastAsia="仿宋_GB2312" w:cs="仿宋_GB2312"/>
          <w:bCs/>
          <w:color w:val="000000"/>
          <w:sz w:val="32"/>
          <w:szCs w:val="32"/>
          <w:lang w:val="en-US" w:eastAsia="zh-CN"/>
        </w:rPr>
        <w:t>一般行政管理事务（项）：</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245.55</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val="en-US" w:eastAsia="zh-CN"/>
        </w:rPr>
        <w:t>。</w:t>
      </w:r>
    </w:p>
    <w:p w14:paraId="0462CB79">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2.</w:t>
      </w:r>
      <w:r>
        <w:rPr>
          <w:rStyle w:val="15"/>
          <w:rFonts w:hint="eastAsia" w:ascii="仿宋_GB2312" w:hAnsi="仿宋_GB2312" w:eastAsia="仿宋_GB2312" w:cs="仿宋_GB2312"/>
          <w:bCs/>
          <w:color w:val="000000"/>
          <w:sz w:val="32"/>
          <w:szCs w:val="32"/>
        </w:rPr>
        <w:t>社会保障和就业（类）</w:t>
      </w:r>
      <w:r>
        <w:rPr>
          <w:rStyle w:val="15"/>
          <w:rFonts w:hint="eastAsia" w:ascii="仿宋_GB2312" w:hAnsi="仿宋_GB2312" w:eastAsia="仿宋_GB2312" w:cs="仿宋_GB2312"/>
          <w:bCs/>
          <w:color w:val="000000"/>
          <w:sz w:val="32"/>
          <w:szCs w:val="32"/>
          <w:lang w:val="en-US"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66.84</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409A95B7">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行政事业单位离退休</w:t>
      </w:r>
      <w:r>
        <w:rPr>
          <w:rStyle w:val="15"/>
          <w:rFonts w:hint="eastAsia" w:ascii="仿宋_GB2312" w:hAnsi="仿宋_GB2312" w:eastAsia="仿宋_GB2312" w:cs="仿宋_GB2312"/>
          <w:bCs/>
          <w:color w:val="000000"/>
          <w:sz w:val="32"/>
          <w:szCs w:val="32"/>
        </w:rPr>
        <w:t>（款）</w:t>
      </w:r>
      <w:r>
        <w:rPr>
          <w:rStyle w:val="15"/>
          <w:rFonts w:hint="eastAsia" w:ascii="仿宋_GB2312" w:hAnsi="仿宋_GB2312" w:eastAsia="仿宋_GB2312" w:cs="仿宋_GB2312"/>
          <w:bCs/>
          <w:color w:val="000000"/>
          <w:sz w:val="32"/>
          <w:szCs w:val="32"/>
          <w:lang w:val="en-US"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66.84</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2A3B049B">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机关事业单位基本养老保险缴费支出</w:t>
      </w:r>
      <w:r>
        <w:rPr>
          <w:rStyle w:val="15"/>
          <w:rFonts w:hint="eastAsia" w:ascii="仿宋_GB2312" w:hAnsi="仿宋_GB2312" w:eastAsia="仿宋_GB2312" w:cs="仿宋_GB2312"/>
          <w:bCs/>
          <w:color w:val="000000"/>
          <w:sz w:val="32"/>
          <w:szCs w:val="32"/>
        </w:rPr>
        <w:t>（项）</w:t>
      </w:r>
      <w:r>
        <w:rPr>
          <w:rStyle w:val="15"/>
          <w:rFonts w:hint="eastAsia" w:ascii="仿宋_GB2312" w:hAnsi="仿宋_GB2312" w:eastAsia="仿宋_GB2312" w:cs="仿宋_GB2312"/>
          <w:bCs/>
          <w:color w:val="000000"/>
          <w:sz w:val="32"/>
          <w:szCs w:val="32"/>
          <w:lang w:val="en-US"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44.72</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6287C26E">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机关事业单位职业年金缴费支出（项）：</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22.12</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27D4144B">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Cs/>
          <w:color w:val="000000"/>
          <w:sz w:val="32"/>
          <w:szCs w:val="32"/>
          <w:lang w:eastAsia="zh-CN"/>
        </w:rPr>
      </w:pPr>
      <w:r>
        <w:rPr>
          <w:rStyle w:val="15"/>
          <w:rFonts w:hint="eastAsia" w:ascii="仿宋_GB2312" w:hAnsi="仿宋_GB2312" w:eastAsia="仿宋_GB2312" w:cs="仿宋_GB2312"/>
          <w:bCs/>
          <w:color w:val="000000"/>
          <w:sz w:val="32"/>
          <w:szCs w:val="32"/>
          <w:lang w:val="en-US" w:eastAsia="zh-CN"/>
        </w:rPr>
        <w:t>3.</w:t>
      </w:r>
      <w:r>
        <w:rPr>
          <w:rStyle w:val="15"/>
          <w:rFonts w:hint="eastAsia" w:ascii="仿宋_GB2312" w:hAnsi="仿宋_GB2312" w:eastAsia="仿宋_GB2312" w:cs="仿宋_GB2312"/>
          <w:bCs/>
          <w:color w:val="000000"/>
          <w:sz w:val="32"/>
          <w:szCs w:val="32"/>
        </w:rPr>
        <w:t>卫生</w:t>
      </w:r>
      <w:r>
        <w:rPr>
          <w:rStyle w:val="15"/>
          <w:rFonts w:hint="eastAsia" w:ascii="仿宋_GB2312" w:hAnsi="仿宋_GB2312" w:eastAsia="仿宋_GB2312" w:cs="仿宋_GB2312"/>
          <w:bCs/>
          <w:color w:val="000000"/>
          <w:sz w:val="32"/>
          <w:szCs w:val="32"/>
          <w:lang w:val="en-US" w:eastAsia="zh-CN"/>
        </w:rPr>
        <w:t>健康支出</w:t>
      </w:r>
      <w:r>
        <w:rPr>
          <w:rStyle w:val="15"/>
          <w:rFonts w:hint="eastAsia" w:ascii="仿宋_GB2312" w:hAnsi="仿宋_GB2312" w:eastAsia="仿宋_GB2312" w:cs="仿宋_GB2312"/>
          <w:bCs/>
          <w:color w:val="000000"/>
          <w:sz w:val="32"/>
          <w:szCs w:val="32"/>
        </w:rPr>
        <w:t>（类）</w:t>
      </w:r>
      <w:r>
        <w:rPr>
          <w:rStyle w:val="15"/>
          <w:rFonts w:hint="eastAsia" w:ascii="仿宋_GB2312" w:hAnsi="仿宋_GB2312" w:eastAsia="仿宋_GB2312" w:cs="仿宋_GB2312"/>
          <w:bCs/>
          <w:color w:val="000000"/>
          <w:sz w:val="32"/>
          <w:szCs w:val="32"/>
          <w:lang w:val="en-US"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31.71</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4EA79E27">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Cs/>
          <w:color w:val="000000"/>
          <w:sz w:val="32"/>
          <w:szCs w:val="32"/>
        </w:rPr>
      </w:pPr>
      <w:r>
        <w:rPr>
          <w:rStyle w:val="15"/>
          <w:rFonts w:hint="eastAsia" w:ascii="仿宋_GB2312" w:hAnsi="仿宋_GB2312" w:eastAsia="仿宋_GB2312" w:cs="仿宋_GB2312"/>
          <w:bCs/>
          <w:color w:val="000000"/>
          <w:sz w:val="32"/>
          <w:szCs w:val="32"/>
          <w:lang w:val="en-US" w:eastAsia="zh-CN"/>
        </w:rPr>
        <w:t>行政事业单位医疗</w:t>
      </w:r>
      <w:r>
        <w:rPr>
          <w:rStyle w:val="15"/>
          <w:rFonts w:hint="eastAsia" w:ascii="仿宋_GB2312" w:hAnsi="仿宋_GB2312" w:eastAsia="仿宋_GB2312" w:cs="仿宋_GB2312"/>
          <w:bCs/>
          <w:color w:val="000000"/>
          <w:sz w:val="32"/>
          <w:szCs w:val="32"/>
        </w:rPr>
        <w:t>（款）</w:t>
      </w:r>
      <w:r>
        <w:rPr>
          <w:rStyle w:val="15"/>
          <w:rFonts w:hint="eastAsia" w:ascii="仿宋_GB2312" w:hAnsi="仿宋_GB2312" w:eastAsia="仿宋_GB2312" w:cs="仿宋_GB2312"/>
          <w:bCs/>
          <w:color w:val="000000"/>
          <w:sz w:val="32"/>
          <w:szCs w:val="32"/>
          <w:lang w:val="en-US"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35.72</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40854E54">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行政单位医疗</w:t>
      </w:r>
      <w:r>
        <w:rPr>
          <w:rStyle w:val="15"/>
          <w:rFonts w:hint="eastAsia" w:ascii="仿宋_GB2312" w:hAnsi="仿宋_GB2312" w:eastAsia="仿宋_GB2312" w:cs="仿宋_GB2312"/>
          <w:bCs/>
          <w:color w:val="000000"/>
          <w:sz w:val="32"/>
          <w:szCs w:val="32"/>
        </w:rPr>
        <w:t>（项）</w:t>
      </w:r>
      <w:r>
        <w:rPr>
          <w:rStyle w:val="15"/>
          <w:rFonts w:hint="eastAsia" w:ascii="仿宋_GB2312" w:hAnsi="仿宋_GB2312" w:eastAsia="仿宋_GB2312" w:cs="仿宋_GB2312"/>
          <w:bCs/>
          <w:color w:val="000000"/>
          <w:sz w:val="32"/>
          <w:szCs w:val="32"/>
          <w:lang w:val="en-US" w:eastAsia="zh-CN"/>
        </w:rPr>
        <w:t>：</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23.05</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0F0525DB">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val="en-US" w:eastAsia="zh-CN"/>
        </w:rPr>
      </w:pPr>
      <w:r>
        <w:rPr>
          <w:rStyle w:val="15"/>
          <w:rFonts w:hint="eastAsia" w:ascii="仿宋_GB2312" w:hAnsi="仿宋_GB2312" w:eastAsia="仿宋_GB2312" w:cs="仿宋_GB2312"/>
          <w:bCs/>
          <w:color w:val="000000"/>
          <w:sz w:val="32"/>
          <w:szCs w:val="32"/>
          <w:lang w:val="en-US" w:eastAsia="zh-CN"/>
        </w:rPr>
        <w:t>公务员医疗补助（项）：</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8.66</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57A7F415">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color w:val="000000"/>
          <w:sz w:val="32"/>
          <w:szCs w:val="32"/>
          <w:lang w:val="en-US" w:eastAsia="zh-CN"/>
        </w:rPr>
        <w:t>4.住房保障支出（类）：</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44.16</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70D41033">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color w:val="000000"/>
          <w:sz w:val="32"/>
          <w:szCs w:val="32"/>
          <w:lang w:val="en-US" w:eastAsia="zh-CN"/>
        </w:rPr>
        <w:t>住房改革支出（款）：</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44.16</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5FB6AECC">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color w:val="000000"/>
          <w:sz w:val="32"/>
          <w:szCs w:val="32"/>
          <w:lang w:val="en-US" w:eastAsia="zh-CN"/>
        </w:rPr>
        <w:t>住房公积金（项）：</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42.96</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07D986B1">
      <w:pPr>
        <w:pageBreakBefore w:val="0"/>
        <w:widowControl w:val="0"/>
        <w:numPr>
          <w:ilvl w:val="0"/>
          <w:numId w:val="0"/>
        </w:numPr>
        <w:kinsoku/>
        <w:wordWrap/>
        <w:overflowPunct/>
        <w:topLinePunct w:val="0"/>
        <w:bidi w:val="0"/>
        <w:spacing w:line="560" w:lineRule="exact"/>
        <w:ind w:left="0" w:firstLine="643" w:firstLineChars="200"/>
        <w:textAlignment w:val="auto"/>
        <w:rPr>
          <w:rStyle w:val="15"/>
          <w:rFonts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color w:val="000000"/>
          <w:sz w:val="32"/>
          <w:szCs w:val="32"/>
          <w:lang w:val="en-US" w:eastAsia="zh-CN"/>
        </w:rPr>
        <w:t>购房补贴（项）：</w:t>
      </w:r>
      <w:r>
        <w:rPr>
          <w:rStyle w:val="15"/>
          <w:rFonts w:hint="eastAsia" w:ascii="仿宋_GB2312" w:hAnsi="仿宋_GB2312" w:eastAsia="仿宋_GB2312" w:cs="仿宋_GB2312"/>
          <w:b w:val="0"/>
          <w:bCs/>
          <w:color w:val="000000"/>
          <w:sz w:val="32"/>
          <w:szCs w:val="32"/>
        </w:rPr>
        <w:t>支出决算为</w:t>
      </w:r>
      <w:r>
        <w:rPr>
          <w:rStyle w:val="15"/>
          <w:rFonts w:hint="eastAsia" w:ascii="仿宋_GB2312" w:hAnsi="仿宋_GB2312" w:eastAsia="仿宋_GB2312" w:cs="仿宋_GB2312"/>
          <w:b w:val="0"/>
          <w:bCs/>
          <w:color w:val="000000"/>
          <w:sz w:val="32"/>
          <w:szCs w:val="32"/>
          <w:lang w:val="en-US" w:eastAsia="zh-CN"/>
        </w:rPr>
        <w:t>1.2</w:t>
      </w:r>
      <w:r>
        <w:rPr>
          <w:rStyle w:val="15"/>
          <w:rFonts w:hint="eastAsia" w:ascii="仿宋_GB2312" w:hAnsi="仿宋_GB2312" w:eastAsia="仿宋_GB2312" w:cs="仿宋_GB2312"/>
          <w:b w:val="0"/>
          <w:bCs/>
          <w:color w:val="000000"/>
          <w:sz w:val="32"/>
          <w:szCs w:val="32"/>
        </w:rPr>
        <w:t>万元，完成预算</w:t>
      </w:r>
      <w:r>
        <w:rPr>
          <w:rStyle w:val="15"/>
          <w:rFonts w:hint="eastAsia" w:ascii="仿宋_GB2312" w:hAnsi="仿宋_GB2312" w:eastAsia="仿宋_GB2312" w:cs="仿宋_GB2312"/>
          <w:b w:val="0"/>
          <w:bCs/>
          <w:color w:val="000000"/>
          <w:sz w:val="32"/>
          <w:szCs w:val="32"/>
          <w:lang w:val="en-US" w:eastAsia="zh-CN"/>
        </w:rPr>
        <w:t>100</w:t>
      </w:r>
      <w:r>
        <w:rPr>
          <w:rStyle w:val="15"/>
          <w:rFonts w:hint="eastAsia" w:ascii="仿宋_GB2312" w:hAnsi="仿宋_GB2312" w:eastAsia="仿宋_GB2312" w:cs="仿宋_GB2312"/>
          <w:b w:val="0"/>
          <w:bCs/>
          <w:color w:val="000000"/>
          <w:sz w:val="32"/>
          <w:szCs w:val="32"/>
        </w:rPr>
        <w:t>%</w:t>
      </w:r>
      <w:r>
        <w:rPr>
          <w:rStyle w:val="15"/>
          <w:rFonts w:hint="eastAsia" w:ascii="仿宋_GB2312" w:hAnsi="仿宋_GB2312" w:eastAsia="仿宋_GB2312" w:cs="仿宋_GB2312"/>
          <w:b w:val="0"/>
          <w:bCs/>
          <w:color w:val="000000"/>
          <w:sz w:val="32"/>
          <w:szCs w:val="32"/>
          <w:lang w:eastAsia="zh-CN"/>
        </w:rPr>
        <w:t>。</w:t>
      </w:r>
    </w:p>
    <w:p w14:paraId="6D31667E">
      <w:pPr>
        <w:tabs>
          <w:tab w:val="right" w:pos="8306"/>
        </w:tabs>
        <w:spacing w:line="600" w:lineRule="exact"/>
        <w:ind w:firstLine="640"/>
        <w:outlineLvl w:val="1"/>
        <w:rPr>
          <w:rStyle w:val="18"/>
        </w:rPr>
      </w:pPr>
      <w:bookmarkStart w:id="49" w:name="_Toc15396608"/>
      <w:bookmarkStart w:id="50" w:name="_Toc20405"/>
      <w:bookmarkStart w:id="51"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18"/>
          <w:rFonts w:hint="eastAsia" w:ascii="黑体" w:hAnsi="黑体" w:eastAsia="黑体"/>
          <w:b w:val="0"/>
        </w:rPr>
        <w:t>般公共预算财政拨款基本支出决算情况说明</w:t>
      </w:r>
      <w:bookmarkEnd w:id="49"/>
      <w:bookmarkEnd w:id="50"/>
      <w:bookmarkEnd w:id="51"/>
      <w:r>
        <w:rPr>
          <w:rStyle w:val="18"/>
          <w:rFonts w:ascii="黑体" w:hAnsi="黑体" w:eastAsia="黑体"/>
          <w:b w:val="0"/>
        </w:rPr>
        <w:tab/>
      </w:r>
    </w:p>
    <w:p w14:paraId="318A9A0A">
      <w:pPr>
        <w:spacing w:line="600" w:lineRule="exact"/>
        <w:ind w:firstLine="640" w:firstLineChars="200"/>
        <w:outlineLvl w:val="1"/>
        <w:rPr>
          <w:rFonts w:hint="eastAsia" w:ascii="仿宋_GB2312" w:hAnsi="仿宋_GB2312" w:eastAsia="仿宋_GB2312" w:cs="仿宋_GB2312"/>
          <w:color w:val="000000"/>
          <w:sz w:val="32"/>
          <w:szCs w:val="32"/>
        </w:rPr>
      </w:pPr>
      <w:bookmarkStart w:id="52" w:name="_Toc4920"/>
      <w:bookmarkStart w:id="53" w:name="_Toc15396609"/>
      <w:bookmarkStart w:id="54" w:name="_Toc15377215"/>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szCs w:val="32"/>
          <w:lang w:val="en-US" w:eastAsia="zh-CN"/>
        </w:rPr>
        <w:t>702.41</w:t>
      </w:r>
      <w:r>
        <w:rPr>
          <w:rFonts w:hint="eastAsia" w:ascii="仿宋_GB2312" w:hAnsi="仿宋_GB2312" w:eastAsia="仿宋_GB2312" w:cs="仿宋_GB2312"/>
          <w:color w:val="000000"/>
          <w:sz w:val="32"/>
          <w:szCs w:val="32"/>
        </w:rPr>
        <w:t>万元，主要包括：基本工资、津贴补贴、奖金、伙食补助费、绩效工资、机关事业单位基本养老保险缴费、职业年金缴费、 其他社会保障缴费、其他工资福利支出、医疗费补助、住房公积金、其他对个人和家庭的补助支出等。</w:t>
      </w:r>
      <w:bookmarkEnd w:id="52"/>
    </w:p>
    <w:p w14:paraId="41C8C54A">
      <w:pPr>
        <w:spacing w:line="600" w:lineRule="exact"/>
        <w:ind w:firstLine="640" w:firstLineChars="200"/>
        <w:outlineLvl w:val="1"/>
        <w:rPr>
          <w:rFonts w:hint="eastAsia" w:ascii="仿宋_GB2312" w:hAnsi="仿宋_GB2312" w:eastAsia="仿宋_GB2312" w:cs="仿宋_GB2312"/>
          <w:color w:val="000000"/>
          <w:sz w:val="32"/>
          <w:szCs w:val="32"/>
          <w:lang w:val="en-US" w:eastAsia="zh-CN"/>
        </w:rPr>
      </w:pPr>
      <w:bookmarkStart w:id="55" w:name="_Toc7818"/>
      <w:r>
        <w:rPr>
          <w:rFonts w:hint="eastAsia" w:ascii="仿宋_GB2312" w:hAnsi="仿宋_GB2312" w:eastAsia="仿宋_GB2312" w:cs="仿宋_GB2312"/>
          <w:color w:val="000000"/>
          <w:sz w:val="32"/>
          <w:szCs w:val="32"/>
        </w:rPr>
        <w:t>日常公用经费</w:t>
      </w:r>
      <w:r>
        <w:rPr>
          <w:rFonts w:hint="eastAsia" w:ascii="仿宋_GB2312" w:hAnsi="仿宋_GB2312" w:eastAsia="仿宋_GB2312" w:cs="仿宋_GB2312"/>
          <w:color w:val="000000"/>
          <w:sz w:val="32"/>
          <w:szCs w:val="32"/>
          <w:lang w:val="en-US" w:eastAsia="zh-CN"/>
        </w:rPr>
        <w:t>250.20</w:t>
      </w:r>
      <w:r>
        <w:rPr>
          <w:rFonts w:hint="eastAsia" w:ascii="仿宋_GB2312" w:hAnsi="仿宋_GB2312" w:eastAsia="仿宋_GB2312" w:cs="仿宋_GB2312"/>
          <w:color w:val="000000"/>
          <w:sz w:val="32"/>
          <w:szCs w:val="32"/>
        </w:rPr>
        <w:t>万元，主要包括：办公费、印刷费、咨询费、手续费、水费、电费、邮电费、取暖费、物业管理费、差旅费、维修（护）费、租赁费、会议费、培训费、劳务费、委托业务费、福利费、公务用车运行维护费</w:t>
      </w:r>
      <w:bookmarkEnd w:id="55"/>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公务用车购置等。</w:t>
      </w:r>
    </w:p>
    <w:p w14:paraId="25868517">
      <w:pPr>
        <w:spacing w:line="600" w:lineRule="exact"/>
        <w:ind w:firstLine="640"/>
        <w:outlineLvl w:val="1"/>
        <w:rPr>
          <w:rStyle w:val="18"/>
          <w:rFonts w:ascii="黑体" w:hAnsi="黑体" w:eastAsia="黑体"/>
          <w:b w:val="0"/>
        </w:rPr>
      </w:pPr>
      <w:bookmarkStart w:id="56" w:name="_Toc9329"/>
      <w:r>
        <w:rPr>
          <w:rFonts w:hint="eastAsia" w:ascii="黑体" w:eastAsia="黑体"/>
          <w:color w:val="000000"/>
          <w:sz w:val="32"/>
          <w:szCs w:val="32"/>
        </w:rPr>
        <w:t>七、</w:t>
      </w:r>
      <w:r>
        <w:rPr>
          <w:rStyle w:val="18"/>
          <w:rFonts w:hint="eastAsia" w:ascii="黑体" w:hAnsi="黑体" w:eastAsia="黑体"/>
        </w:rPr>
        <w:t>“</w:t>
      </w:r>
      <w:r>
        <w:rPr>
          <w:rStyle w:val="18"/>
          <w:rFonts w:hint="eastAsia" w:ascii="黑体" w:hAnsi="黑体" w:eastAsia="黑体"/>
          <w:b w:val="0"/>
        </w:rPr>
        <w:t>三公”经费财政拨款支出决算情况说明</w:t>
      </w:r>
      <w:bookmarkEnd w:id="53"/>
      <w:bookmarkEnd w:id="54"/>
      <w:bookmarkEnd w:id="56"/>
    </w:p>
    <w:p w14:paraId="0BF20A34">
      <w:pPr>
        <w:spacing w:line="600" w:lineRule="exact"/>
        <w:ind w:firstLine="640"/>
        <w:outlineLvl w:val="2"/>
        <w:rPr>
          <w:rFonts w:hint="eastAsia" w:ascii="楷体_GB2312" w:hAnsi="楷体_GB2312" w:eastAsia="楷体_GB2312" w:cs="楷体_GB2312"/>
          <w:b/>
          <w:color w:val="000000"/>
          <w:sz w:val="32"/>
          <w:szCs w:val="32"/>
        </w:rPr>
      </w:pPr>
      <w:bookmarkStart w:id="57" w:name="_Toc15377216"/>
      <w:r>
        <w:rPr>
          <w:rFonts w:hint="eastAsia" w:ascii="楷体_GB2312" w:hAnsi="楷体_GB2312" w:eastAsia="楷体_GB2312" w:cs="楷体_GB2312"/>
          <w:b/>
          <w:color w:val="000000"/>
          <w:sz w:val="32"/>
          <w:szCs w:val="32"/>
        </w:rPr>
        <w:t>（一）“三公”经费财政拨款支出决算总体情况说明</w:t>
      </w:r>
      <w:bookmarkEnd w:id="57"/>
    </w:p>
    <w:p w14:paraId="65D1F719">
      <w:pPr>
        <w:spacing w:line="600" w:lineRule="exact"/>
        <w:ind w:firstLine="640" w:firstLineChars="200"/>
        <w:rPr>
          <w:rFonts w:ascii="仿宋" w:hAnsi="仿宋" w:eastAsia="仿宋"/>
          <w:b/>
          <w:color w:val="FF0000"/>
          <w:sz w:val="32"/>
          <w:szCs w:val="32"/>
          <w:lang w:val="en-US" w:eastAsia="zh-CN"/>
        </w:rPr>
      </w:pP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lang w:val="en-US" w:eastAsia="zh-CN"/>
        </w:rPr>
        <w:t>122.83</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决算数</w:t>
      </w:r>
      <w:r>
        <w:rPr>
          <w:rFonts w:hint="eastAsia" w:ascii="仿宋" w:hAnsi="仿宋" w:eastAsia="仿宋"/>
          <w:color w:val="000000"/>
          <w:sz w:val="32"/>
          <w:szCs w:val="32"/>
        </w:rPr>
        <w:t>与预算数持平的主要原因是</w:t>
      </w:r>
      <w:r>
        <w:rPr>
          <w:rFonts w:hint="eastAsia" w:ascii="仿宋" w:hAnsi="仿宋" w:eastAsia="仿宋"/>
          <w:color w:val="000000"/>
          <w:sz w:val="32"/>
          <w:szCs w:val="32"/>
          <w:lang w:val="en-US" w:eastAsia="zh-CN"/>
        </w:rPr>
        <w:t>单位2021年工作任务重，需要到各县开展工作次数多，产生的公务用车费用较多。</w:t>
      </w:r>
    </w:p>
    <w:p w14:paraId="38A02E4D">
      <w:pPr>
        <w:spacing w:line="600" w:lineRule="exact"/>
        <w:ind w:firstLine="640"/>
        <w:outlineLvl w:val="2"/>
        <w:rPr>
          <w:rFonts w:hint="eastAsia" w:ascii="楷体_GB2312" w:hAnsi="楷体_GB2312" w:eastAsia="楷体_GB2312" w:cs="楷体_GB2312"/>
          <w:b/>
          <w:color w:val="000000"/>
          <w:sz w:val="32"/>
          <w:szCs w:val="32"/>
        </w:rPr>
      </w:pPr>
      <w:bookmarkStart w:id="58" w:name="_Toc15377217"/>
      <w:r>
        <w:rPr>
          <w:rFonts w:hint="eastAsia" w:ascii="楷体_GB2312" w:hAnsi="楷体_GB2312" w:eastAsia="楷体_GB2312" w:cs="楷体_GB2312"/>
          <w:b/>
          <w:color w:val="000000"/>
          <w:sz w:val="32"/>
          <w:szCs w:val="32"/>
        </w:rPr>
        <w:t>（二）“三公”经费财政拨款支出决算具体情况说明</w:t>
      </w:r>
      <w:bookmarkEnd w:id="58"/>
    </w:p>
    <w:p w14:paraId="029F675D">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2021</w:t>
      </w:r>
      <w:r>
        <w:rPr>
          <w:rFonts w:hint="eastAsia" w:ascii="仿宋_GB2312" w:hAnsi="仿宋_GB2312" w:eastAsia="仿宋_GB2312" w:cs="仿宋_GB2312"/>
          <w:color w:val="000000"/>
          <w:sz w:val="32"/>
          <w:szCs w:val="32"/>
        </w:rPr>
        <w:t xml:space="preserve"> 年“三公”经费财政拨款支出决算中，因公出国（境）费支出决算0.00万元，占 0.00%；公务用车购置及运行维护费支出决算</w:t>
      </w:r>
      <w:r>
        <w:rPr>
          <w:rFonts w:hint="eastAsia" w:ascii="仿宋_GB2312" w:hAnsi="仿宋_GB2312" w:eastAsia="仿宋_GB2312" w:cs="仿宋_GB2312"/>
          <w:color w:val="000000"/>
          <w:sz w:val="32"/>
          <w:szCs w:val="32"/>
          <w:lang w:val="en-US" w:eastAsia="zh-CN"/>
        </w:rPr>
        <w:t>121.48</w:t>
      </w:r>
      <w:r>
        <w:rPr>
          <w:rFonts w:hint="eastAsia" w:ascii="仿宋_GB2312" w:hAnsi="仿宋_GB2312" w:eastAsia="仿宋_GB2312" w:cs="仿宋_GB2312"/>
          <w:color w:val="000000"/>
          <w:sz w:val="32"/>
          <w:szCs w:val="32"/>
        </w:rPr>
        <w:t xml:space="preserve">元，占 </w:t>
      </w:r>
      <w:r>
        <w:rPr>
          <w:rFonts w:hint="eastAsia" w:ascii="仿宋_GB2312" w:hAnsi="仿宋_GB2312" w:eastAsia="仿宋_GB2312" w:cs="仿宋_GB2312"/>
          <w:color w:val="000000"/>
          <w:sz w:val="32"/>
          <w:szCs w:val="32"/>
          <w:lang w:val="en-US" w:eastAsia="zh-CN"/>
        </w:rPr>
        <w:t>98.91</w:t>
      </w:r>
      <w:r>
        <w:rPr>
          <w:rFonts w:hint="eastAsia" w:ascii="仿宋_GB2312" w:hAnsi="仿宋_GB2312" w:eastAsia="仿宋_GB2312" w:cs="仿宋_GB2312"/>
          <w:color w:val="000000"/>
          <w:sz w:val="32"/>
          <w:szCs w:val="32"/>
        </w:rPr>
        <w:t>%；公务接待费支出决算</w:t>
      </w:r>
      <w:r>
        <w:rPr>
          <w:rFonts w:hint="eastAsia" w:ascii="仿宋_GB2312" w:hAnsi="仿宋_GB2312" w:eastAsia="仿宋_GB2312" w:cs="仿宋_GB2312"/>
          <w:color w:val="000000"/>
          <w:sz w:val="32"/>
          <w:szCs w:val="32"/>
          <w:lang w:val="en-US" w:eastAsia="zh-CN"/>
        </w:rPr>
        <w:t>1.35</w:t>
      </w:r>
      <w:r>
        <w:rPr>
          <w:rFonts w:hint="eastAsia" w:ascii="仿宋_GB2312" w:hAnsi="仿宋_GB2312" w:eastAsia="仿宋_GB2312" w:cs="仿宋_GB2312"/>
          <w:color w:val="000000"/>
          <w:sz w:val="32"/>
          <w:szCs w:val="32"/>
        </w:rPr>
        <w:t xml:space="preserve">万元，占 </w:t>
      </w:r>
      <w:r>
        <w:rPr>
          <w:rFonts w:hint="eastAsia" w:ascii="仿宋_GB2312" w:hAnsi="仿宋_GB2312" w:eastAsia="仿宋_GB2312" w:cs="仿宋_GB2312"/>
          <w:color w:val="000000"/>
          <w:sz w:val="32"/>
          <w:szCs w:val="32"/>
          <w:lang w:val="en-US" w:eastAsia="zh-CN"/>
        </w:rPr>
        <w:t>1.09</w:t>
      </w:r>
      <w:r>
        <w:rPr>
          <w:rFonts w:hint="eastAsia" w:ascii="仿宋_GB2312" w:hAnsi="仿宋_GB2312" w:eastAsia="仿宋_GB2312" w:cs="仿宋_GB2312"/>
          <w:color w:val="000000"/>
          <w:sz w:val="32"/>
          <w:szCs w:val="32"/>
        </w:rPr>
        <w:t>%。具体情况如下：</w:t>
      </w:r>
    </w:p>
    <w:p w14:paraId="0BED4A29">
      <w:pPr>
        <w:spacing w:line="600" w:lineRule="exact"/>
        <w:ind w:firstLine="640"/>
        <w:rPr>
          <w:rFonts w:hint="eastAsia" w:ascii="仿宋" w:hAnsi="仿宋" w:eastAsia="仿宋"/>
          <w:color w:val="000000"/>
          <w:sz w:val="32"/>
          <w:szCs w:val="32"/>
        </w:rPr>
      </w:pPr>
      <w:r>
        <w:rPr>
          <w:rFonts w:ascii="仿宋_GB2312" w:eastAsia="仿宋_GB2312"/>
          <w:color w:val="000000"/>
          <w:sz w:val="32"/>
          <w:szCs w:val="32"/>
        </w:rPr>
        <w:drawing>
          <wp:anchor distT="0" distB="0" distL="0" distR="0" simplePos="0" relativeHeight="251659264" behindDoc="0" locked="0" layoutInCell="1" allowOverlap="1">
            <wp:simplePos x="0" y="0"/>
            <wp:positionH relativeFrom="column">
              <wp:posOffset>298450</wp:posOffset>
            </wp:positionH>
            <wp:positionV relativeFrom="paragraph">
              <wp:posOffset>204470</wp:posOffset>
            </wp:positionV>
            <wp:extent cx="2999105" cy="2020570"/>
            <wp:effectExtent l="0" t="0" r="0" b="0"/>
            <wp:wrapSquare wrapText="bothSides"/>
            <wp:docPr id="16"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7CAC2EC2">
      <w:pPr>
        <w:spacing w:line="600" w:lineRule="exact"/>
        <w:ind w:firstLine="640"/>
        <w:rPr>
          <w:rFonts w:hint="eastAsia" w:ascii="仿宋" w:hAnsi="仿宋" w:eastAsia="仿宋"/>
          <w:color w:val="000000"/>
          <w:sz w:val="32"/>
          <w:szCs w:val="32"/>
        </w:rPr>
      </w:pPr>
    </w:p>
    <w:p w14:paraId="447A11D4">
      <w:pPr>
        <w:spacing w:line="600" w:lineRule="exact"/>
        <w:ind w:firstLine="640"/>
        <w:rPr>
          <w:rFonts w:hint="eastAsia" w:ascii="仿宋" w:hAnsi="仿宋" w:eastAsia="仿宋"/>
          <w:color w:val="000000"/>
          <w:sz w:val="32"/>
          <w:szCs w:val="32"/>
        </w:rPr>
      </w:pPr>
    </w:p>
    <w:p w14:paraId="1CB5879D">
      <w:pPr>
        <w:spacing w:line="600" w:lineRule="exact"/>
        <w:ind w:firstLine="640"/>
        <w:rPr>
          <w:rFonts w:hint="eastAsia" w:ascii="仿宋" w:hAnsi="仿宋" w:eastAsia="仿宋"/>
          <w:color w:val="000000"/>
          <w:sz w:val="32"/>
          <w:szCs w:val="32"/>
        </w:rPr>
      </w:pPr>
    </w:p>
    <w:p w14:paraId="28C155E9">
      <w:pPr>
        <w:spacing w:line="600" w:lineRule="exact"/>
        <w:ind w:firstLine="640"/>
        <w:rPr>
          <w:rFonts w:hint="eastAsia" w:ascii="仿宋" w:hAnsi="仿宋" w:eastAsia="仿宋"/>
          <w:color w:val="000000"/>
          <w:sz w:val="32"/>
          <w:szCs w:val="32"/>
        </w:rPr>
      </w:pPr>
    </w:p>
    <w:p w14:paraId="6135A11D">
      <w:pPr>
        <w:spacing w:line="600" w:lineRule="exact"/>
        <w:rPr>
          <w:rFonts w:hint="eastAsia" w:ascii="仿宋" w:hAnsi="仿宋" w:eastAsia="仿宋"/>
          <w:color w:val="000000"/>
          <w:sz w:val="32"/>
          <w:szCs w:val="32"/>
          <w:lang w:eastAsia="zh-CN"/>
        </w:rPr>
      </w:pPr>
    </w:p>
    <w:p w14:paraId="7AB5961C">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（图7：“三公”经费财政拨款支出结构）（饼状图）</w:t>
      </w:r>
    </w:p>
    <w:p w14:paraId="223D69A9">
      <w:pPr>
        <w:spacing w:line="600" w:lineRule="exact"/>
        <w:ind w:firstLine="640"/>
        <w:rPr>
          <w:rFonts w:hint="eastAsia" w:ascii="仿宋" w:hAnsi="仿宋" w:eastAsia="仿宋"/>
          <w:color w:val="000000"/>
          <w:sz w:val="32"/>
          <w:szCs w:val="32"/>
        </w:rPr>
      </w:pPr>
    </w:p>
    <w:p w14:paraId="4F23CF82">
      <w:pPr>
        <w:spacing w:line="600" w:lineRule="exact"/>
        <w:ind w:firstLine="640"/>
        <w:outlineLvl w:val="1"/>
        <w:rPr>
          <w:rFonts w:hint="eastAsia" w:ascii="仿宋_GB2312" w:eastAsia="仿宋_GB2312"/>
          <w:b w:val="0"/>
          <w:bCs/>
          <w:color w:val="000000"/>
          <w:sz w:val="32"/>
          <w:szCs w:val="32"/>
        </w:rPr>
      </w:pPr>
      <w:bookmarkStart w:id="59" w:name="_Toc24277"/>
      <w:bookmarkStart w:id="60" w:name="_Toc15396610"/>
      <w:bookmarkStart w:id="61" w:name="_Toc15377218"/>
      <w:r>
        <w:rPr>
          <w:rFonts w:hint="eastAsia" w:ascii="仿宋_GB2312" w:eastAsia="仿宋_GB2312"/>
          <w:b w:val="0"/>
          <w:bCs/>
          <w:color w:val="000000"/>
          <w:sz w:val="32"/>
          <w:szCs w:val="32"/>
        </w:rPr>
        <w:t>1.因公出国（境）经费支出0.00万元，完成预算</w:t>
      </w:r>
      <w:r>
        <w:rPr>
          <w:rFonts w:hint="eastAsia" w:ascii="仿宋_GB2312" w:eastAsia="仿宋_GB2312"/>
          <w:b w:val="0"/>
          <w:bCs/>
          <w:color w:val="000000"/>
          <w:sz w:val="32"/>
          <w:szCs w:val="32"/>
          <w:lang w:val="en-US" w:eastAsia="zh-CN"/>
        </w:rPr>
        <w:t>0</w:t>
      </w:r>
      <w:r>
        <w:rPr>
          <w:rFonts w:hint="eastAsia" w:ascii="仿宋_GB2312" w:eastAsia="仿宋_GB2312"/>
          <w:b w:val="0"/>
          <w:bCs/>
          <w:color w:val="000000"/>
          <w:sz w:val="32"/>
          <w:szCs w:val="32"/>
        </w:rPr>
        <w:t>%。</w:t>
      </w:r>
      <w:bookmarkEnd w:id="59"/>
    </w:p>
    <w:p w14:paraId="19659F1C">
      <w:pPr>
        <w:spacing w:line="600" w:lineRule="exact"/>
        <w:ind w:firstLine="640" w:firstLineChars="200"/>
        <w:rPr>
          <w:rFonts w:hint="eastAsia" w:ascii="仿宋_GB2312" w:eastAsia="仿宋_GB2312"/>
          <w:b w:val="0"/>
          <w:bCs/>
          <w:color w:val="000000"/>
          <w:sz w:val="32"/>
          <w:szCs w:val="32"/>
        </w:rPr>
      </w:pPr>
      <w:r>
        <w:rPr>
          <w:rFonts w:hint="eastAsia" w:ascii="仿宋_GB2312" w:eastAsia="仿宋_GB2312"/>
          <w:b w:val="0"/>
          <w:bCs/>
          <w:color w:val="000000"/>
          <w:sz w:val="32"/>
          <w:szCs w:val="32"/>
        </w:rPr>
        <w:t>2.公务用车购置及运行维护费支出</w:t>
      </w:r>
      <w:r>
        <w:rPr>
          <w:rFonts w:hint="eastAsia" w:ascii="仿宋_GB2312" w:eastAsia="仿宋_GB2312"/>
          <w:b w:val="0"/>
          <w:bCs/>
          <w:color w:val="000000"/>
          <w:sz w:val="32"/>
          <w:szCs w:val="32"/>
          <w:lang w:val="en-US" w:eastAsia="zh-CN"/>
        </w:rPr>
        <w:t>121.48</w:t>
      </w:r>
      <w:r>
        <w:rPr>
          <w:rFonts w:hint="eastAsia" w:ascii="仿宋_GB2312" w:eastAsia="仿宋_GB2312"/>
          <w:b w:val="0"/>
          <w:bCs/>
          <w:color w:val="000000"/>
          <w:sz w:val="32"/>
          <w:szCs w:val="32"/>
        </w:rPr>
        <w:t>万元,完成预算</w:t>
      </w:r>
      <w:r>
        <w:rPr>
          <w:rFonts w:hint="eastAsia" w:ascii="仿宋_GB2312" w:eastAsia="仿宋_GB2312"/>
          <w:b w:val="0"/>
          <w:bCs/>
          <w:color w:val="000000"/>
          <w:sz w:val="32"/>
          <w:szCs w:val="32"/>
          <w:lang w:val="en-US" w:eastAsia="zh-CN"/>
        </w:rPr>
        <w:t>100</w:t>
      </w:r>
      <w:r>
        <w:rPr>
          <w:rFonts w:hint="eastAsia" w:ascii="仿宋_GB2312" w:eastAsia="仿宋_GB2312"/>
          <w:b w:val="0"/>
          <w:bCs/>
          <w:color w:val="000000"/>
          <w:sz w:val="32"/>
          <w:szCs w:val="32"/>
        </w:rPr>
        <w:t>%。公务用车购置及运行维护费支出决算比</w:t>
      </w:r>
      <w:r>
        <w:rPr>
          <w:rFonts w:hint="eastAsia" w:ascii="仿宋_GB2312" w:eastAsia="仿宋_GB2312"/>
          <w:b w:val="0"/>
          <w:bCs/>
          <w:color w:val="000000"/>
          <w:sz w:val="32"/>
          <w:szCs w:val="32"/>
          <w:lang w:eastAsia="zh-CN"/>
        </w:rPr>
        <w:t>2020</w:t>
      </w:r>
      <w:r>
        <w:rPr>
          <w:rFonts w:hint="eastAsia" w:ascii="仿宋_GB2312" w:eastAsia="仿宋_GB2312"/>
          <w:b w:val="0"/>
          <w:bCs/>
          <w:color w:val="000000"/>
          <w:sz w:val="32"/>
          <w:szCs w:val="32"/>
        </w:rPr>
        <w:t>年增加</w:t>
      </w:r>
      <w:r>
        <w:rPr>
          <w:rFonts w:hint="eastAsia" w:ascii="仿宋_GB2312" w:eastAsia="仿宋_GB2312"/>
          <w:b w:val="0"/>
          <w:bCs/>
          <w:color w:val="000000"/>
          <w:sz w:val="32"/>
          <w:szCs w:val="32"/>
          <w:lang w:val="en-US" w:eastAsia="zh-CN"/>
        </w:rPr>
        <w:t>13.12</w:t>
      </w:r>
      <w:r>
        <w:rPr>
          <w:rFonts w:hint="eastAsia" w:ascii="仿宋_GB2312" w:eastAsia="仿宋_GB2312"/>
          <w:b w:val="0"/>
          <w:bCs/>
          <w:color w:val="000000"/>
          <w:sz w:val="32"/>
          <w:szCs w:val="32"/>
        </w:rPr>
        <w:t>万元，增长</w:t>
      </w:r>
      <w:r>
        <w:rPr>
          <w:rFonts w:hint="eastAsia" w:ascii="仿宋_GB2312" w:eastAsia="仿宋_GB2312"/>
          <w:b w:val="0"/>
          <w:bCs/>
          <w:color w:val="000000"/>
          <w:sz w:val="32"/>
          <w:szCs w:val="32"/>
          <w:lang w:val="en-US" w:eastAsia="zh-CN"/>
        </w:rPr>
        <w:t>19.86</w:t>
      </w:r>
      <w:r>
        <w:rPr>
          <w:rFonts w:hint="eastAsia" w:ascii="仿宋_GB2312" w:eastAsia="仿宋_GB2312"/>
          <w:b w:val="0"/>
          <w:bCs/>
          <w:color w:val="000000"/>
          <w:sz w:val="32"/>
          <w:szCs w:val="32"/>
        </w:rPr>
        <w:t>%。主要原因是</w:t>
      </w:r>
      <w:r>
        <w:rPr>
          <w:rFonts w:hint="eastAsia" w:ascii="仿宋" w:hAnsi="仿宋" w:eastAsia="仿宋"/>
          <w:color w:val="000000"/>
          <w:sz w:val="32"/>
          <w:szCs w:val="32"/>
          <w:lang w:val="en-US" w:eastAsia="zh-CN"/>
        </w:rPr>
        <w:t>单位2021年新购置公务用车1辆。</w:t>
      </w:r>
      <w:r>
        <w:rPr>
          <w:rFonts w:hint="eastAsia" w:ascii="仿宋_GB2312" w:eastAsia="仿宋_GB2312"/>
          <w:b w:val="0"/>
          <w:bCs/>
          <w:color w:val="000000"/>
          <w:sz w:val="32"/>
          <w:szCs w:val="32"/>
        </w:rPr>
        <w:t>其中：公务用车购置支出</w:t>
      </w:r>
      <w:r>
        <w:rPr>
          <w:rFonts w:hint="eastAsia" w:ascii="仿宋_GB2312" w:eastAsia="仿宋_GB2312"/>
          <w:b w:val="0"/>
          <w:bCs/>
          <w:color w:val="000000"/>
          <w:sz w:val="32"/>
          <w:szCs w:val="32"/>
          <w:lang w:val="en-US" w:eastAsia="zh-CN"/>
        </w:rPr>
        <w:t>58.68</w:t>
      </w:r>
      <w:r>
        <w:rPr>
          <w:rFonts w:hint="eastAsia" w:ascii="仿宋_GB2312" w:eastAsia="仿宋_GB2312"/>
          <w:b w:val="0"/>
          <w:bCs/>
          <w:color w:val="000000"/>
          <w:sz w:val="32"/>
          <w:szCs w:val="32"/>
        </w:rPr>
        <w:t>万元。全年按规定更新购置公务用车</w:t>
      </w:r>
      <w:r>
        <w:rPr>
          <w:rFonts w:hint="eastAsia" w:ascii="仿宋_GB2312" w:eastAsia="仿宋_GB2312"/>
          <w:b w:val="0"/>
          <w:bCs/>
          <w:color w:val="000000"/>
          <w:sz w:val="32"/>
          <w:szCs w:val="32"/>
          <w:lang w:val="en-US" w:eastAsia="zh-CN"/>
        </w:rPr>
        <w:t>1</w:t>
      </w:r>
      <w:r>
        <w:rPr>
          <w:rFonts w:hint="eastAsia" w:ascii="仿宋_GB2312" w:eastAsia="仿宋_GB2312"/>
          <w:b w:val="0"/>
          <w:bCs/>
          <w:color w:val="000000"/>
          <w:sz w:val="32"/>
          <w:szCs w:val="32"/>
        </w:rPr>
        <w:t>辆，金额</w:t>
      </w:r>
      <w:r>
        <w:rPr>
          <w:rFonts w:hint="eastAsia" w:ascii="仿宋_GB2312" w:eastAsia="仿宋_GB2312"/>
          <w:b w:val="0"/>
          <w:bCs/>
          <w:color w:val="000000"/>
          <w:sz w:val="32"/>
          <w:szCs w:val="32"/>
          <w:lang w:val="en-US" w:eastAsia="zh-CN"/>
        </w:rPr>
        <w:t>58.68</w:t>
      </w:r>
      <w:r>
        <w:rPr>
          <w:rFonts w:hint="eastAsia" w:ascii="仿宋_GB2312" w:eastAsia="仿宋_GB2312"/>
          <w:b w:val="0"/>
          <w:bCs/>
          <w:color w:val="000000"/>
          <w:sz w:val="32"/>
          <w:szCs w:val="32"/>
        </w:rPr>
        <w:t>万元。截至</w:t>
      </w:r>
      <w:r>
        <w:rPr>
          <w:rFonts w:hint="eastAsia" w:ascii="仿宋_GB2312" w:eastAsia="仿宋_GB2312"/>
          <w:b w:val="0"/>
          <w:bCs/>
          <w:color w:val="000000"/>
          <w:sz w:val="32"/>
          <w:szCs w:val="32"/>
          <w:lang w:val="en-US" w:eastAsia="zh-CN"/>
        </w:rPr>
        <w:t>2021</w:t>
      </w:r>
      <w:r>
        <w:rPr>
          <w:rFonts w:hint="eastAsia" w:ascii="仿宋_GB2312" w:eastAsia="仿宋_GB2312"/>
          <w:b w:val="0"/>
          <w:bCs/>
          <w:color w:val="000000"/>
          <w:sz w:val="32"/>
          <w:szCs w:val="32"/>
        </w:rPr>
        <w:t>年12月底，单位共有公务用车</w:t>
      </w:r>
      <w:r>
        <w:rPr>
          <w:rFonts w:hint="eastAsia" w:ascii="仿宋_GB2312" w:eastAsia="仿宋_GB2312"/>
          <w:b w:val="0"/>
          <w:bCs/>
          <w:color w:val="000000"/>
          <w:sz w:val="32"/>
          <w:szCs w:val="32"/>
          <w:lang w:val="en-US" w:eastAsia="zh-CN"/>
        </w:rPr>
        <w:t>5</w:t>
      </w:r>
      <w:r>
        <w:rPr>
          <w:rFonts w:hint="eastAsia" w:ascii="仿宋_GB2312" w:eastAsia="仿宋_GB2312"/>
          <w:b w:val="0"/>
          <w:bCs/>
          <w:color w:val="000000"/>
          <w:sz w:val="32"/>
          <w:szCs w:val="32"/>
        </w:rPr>
        <w:t>辆，其中：主要领导干部用车0辆、机要通信用车0辆、应急保障用车0辆、执法执勤用车0辆、特种专业技术用车0 辆、离退休干部用车0辆、其他用车</w:t>
      </w:r>
      <w:r>
        <w:rPr>
          <w:rFonts w:hint="eastAsia" w:ascii="仿宋_GB2312" w:eastAsia="仿宋_GB2312"/>
          <w:b w:val="0"/>
          <w:bCs/>
          <w:color w:val="000000"/>
          <w:sz w:val="32"/>
          <w:szCs w:val="32"/>
          <w:lang w:val="en-US" w:eastAsia="zh-CN"/>
        </w:rPr>
        <w:t>5</w:t>
      </w:r>
      <w:r>
        <w:rPr>
          <w:rFonts w:hint="eastAsia" w:ascii="仿宋_GB2312" w:eastAsia="仿宋_GB2312"/>
          <w:b w:val="0"/>
          <w:bCs/>
          <w:color w:val="000000"/>
          <w:sz w:val="32"/>
          <w:szCs w:val="32"/>
        </w:rPr>
        <w:t>辆。</w:t>
      </w:r>
    </w:p>
    <w:p w14:paraId="75832315">
      <w:pPr>
        <w:spacing w:line="600" w:lineRule="exact"/>
        <w:ind w:firstLine="640"/>
        <w:outlineLvl w:val="1"/>
        <w:rPr>
          <w:rFonts w:hint="eastAsia" w:ascii="仿宋_GB2312" w:eastAsia="仿宋_GB2312"/>
          <w:b w:val="0"/>
          <w:bCs/>
          <w:color w:val="000000"/>
          <w:sz w:val="32"/>
          <w:szCs w:val="32"/>
        </w:rPr>
      </w:pPr>
      <w:bookmarkStart w:id="62" w:name="_Toc16464"/>
      <w:r>
        <w:rPr>
          <w:rFonts w:hint="eastAsia" w:ascii="仿宋_GB2312" w:eastAsia="仿宋_GB2312"/>
          <w:b w:val="0"/>
          <w:bCs/>
          <w:color w:val="000000"/>
          <w:sz w:val="32"/>
          <w:szCs w:val="32"/>
        </w:rPr>
        <w:t>公务用车运行维护费支出</w:t>
      </w:r>
      <w:r>
        <w:rPr>
          <w:rFonts w:hint="eastAsia" w:ascii="仿宋_GB2312" w:eastAsia="仿宋_GB2312"/>
          <w:b w:val="0"/>
          <w:bCs/>
          <w:color w:val="000000"/>
          <w:sz w:val="32"/>
          <w:szCs w:val="32"/>
          <w:lang w:val="en-US" w:eastAsia="zh-CN"/>
        </w:rPr>
        <w:t>62.08</w:t>
      </w:r>
      <w:r>
        <w:rPr>
          <w:rFonts w:hint="eastAsia" w:ascii="仿宋_GB2312" w:eastAsia="仿宋_GB2312"/>
          <w:b w:val="0"/>
          <w:bCs/>
          <w:color w:val="000000"/>
          <w:sz w:val="32"/>
          <w:szCs w:val="32"/>
        </w:rPr>
        <w:t>万元。主要用于</w:t>
      </w:r>
      <w:r>
        <w:rPr>
          <w:rFonts w:hint="eastAsia" w:ascii="仿宋_GB2312" w:eastAsia="仿宋_GB2312"/>
          <w:b w:val="0"/>
          <w:bCs/>
          <w:color w:val="000000"/>
          <w:sz w:val="32"/>
          <w:szCs w:val="32"/>
          <w:lang w:val="en-US" w:eastAsia="zh-CN"/>
        </w:rPr>
        <w:t>开展全州住房和城乡建设工作</w:t>
      </w:r>
      <w:r>
        <w:rPr>
          <w:rFonts w:hint="eastAsia" w:ascii="仿宋_GB2312" w:eastAsia="仿宋_GB2312"/>
          <w:b w:val="0"/>
          <w:bCs/>
          <w:color w:val="000000"/>
          <w:sz w:val="32"/>
          <w:szCs w:val="32"/>
        </w:rPr>
        <w:t>所需的公务用车燃料费、维修费、过路过桥费、保险费等支出。</w:t>
      </w:r>
      <w:bookmarkEnd w:id="62"/>
    </w:p>
    <w:p w14:paraId="5705872B">
      <w:pPr>
        <w:spacing w:line="600" w:lineRule="exact"/>
        <w:ind w:firstLine="640"/>
        <w:outlineLvl w:val="1"/>
        <w:rPr>
          <w:rFonts w:ascii="仿宋_GB2312" w:eastAsia="仿宋_GB2312"/>
          <w:b w:val="0"/>
          <w:bCs/>
          <w:color w:val="000000"/>
          <w:sz w:val="32"/>
          <w:szCs w:val="32"/>
          <w:lang w:val="en-US" w:eastAsia="zh-CN"/>
        </w:rPr>
      </w:pPr>
      <w:bookmarkStart w:id="63" w:name="_Toc19228"/>
      <w:r>
        <w:rPr>
          <w:rFonts w:hint="eastAsia" w:ascii="仿宋_GB2312" w:eastAsia="仿宋_GB2312"/>
          <w:b w:val="0"/>
          <w:bCs/>
          <w:color w:val="000000"/>
          <w:sz w:val="32"/>
          <w:szCs w:val="32"/>
        </w:rPr>
        <w:t>3.公务接待费支出</w:t>
      </w:r>
      <w:r>
        <w:rPr>
          <w:rFonts w:hint="eastAsia" w:ascii="仿宋_GB2312" w:eastAsia="仿宋_GB2312"/>
          <w:b w:val="0"/>
          <w:bCs/>
          <w:color w:val="000000"/>
          <w:sz w:val="32"/>
          <w:szCs w:val="32"/>
          <w:lang w:val="en-US" w:eastAsia="zh-CN"/>
        </w:rPr>
        <w:t>1.35</w:t>
      </w:r>
      <w:r>
        <w:rPr>
          <w:rFonts w:hint="eastAsia" w:ascii="仿宋_GB2312" w:eastAsia="仿宋_GB2312"/>
          <w:b w:val="0"/>
          <w:bCs/>
          <w:color w:val="000000"/>
          <w:sz w:val="32"/>
          <w:szCs w:val="32"/>
        </w:rPr>
        <w:t>万元，完成预算</w:t>
      </w:r>
      <w:r>
        <w:rPr>
          <w:rFonts w:hint="eastAsia" w:ascii="仿宋_GB2312" w:eastAsia="仿宋_GB2312"/>
          <w:b w:val="0"/>
          <w:bCs/>
          <w:color w:val="000000"/>
          <w:sz w:val="32"/>
          <w:szCs w:val="32"/>
          <w:lang w:val="en-US" w:eastAsia="zh-CN"/>
        </w:rPr>
        <w:t>100</w:t>
      </w:r>
      <w:r>
        <w:rPr>
          <w:rFonts w:hint="eastAsia" w:ascii="仿宋_GB2312" w:eastAsia="仿宋_GB2312"/>
          <w:b w:val="0"/>
          <w:bCs/>
          <w:color w:val="000000"/>
          <w:sz w:val="32"/>
          <w:szCs w:val="32"/>
        </w:rPr>
        <w:t>%。公务接待费支出决算比</w:t>
      </w:r>
      <w:r>
        <w:rPr>
          <w:rFonts w:hint="eastAsia" w:ascii="仿宋_GB2312" w:eastAsia="仿宋_GB2312"/>
          <w:b w:val="0"/>
          <w:bCs/>
          <w:color w:val="000000"/>
          <w:sz w:val="32"/>
          <w:szCs w:val="32"/>
          <w:lang w:eastAsia="zh-CN"/>
        </w:rPr>
        <w:t>2020</w:t>
      </w:r>
      <w:r>
        <w:rPr>
          <w:rFonts w:hint="eastAsia" w:ascii="仿宋_GB2312" w:eastAsia="仿宋_GB2312"/>
          <w:b w:val="0"/>
          <w:bCs/>
          <w:color w:val="000000"/>
          <w:sz w:val="32"/>
          <w:szCs w:val="32"/>
        </w:rPr>
        <w:t>年</w:t>
      </w:r>
      <w:r>
        <w:rPr>
          <w:rFonts w:hint="eastAsia" w:ascii="仿宋_GB2312" w:eastAsia="仿宋_GB2312"/>
          <w:b w:val="0"/>
          <w:bCs/>
          <w:color w:val="000000"/>
          <w:sz w:val="32"/>
          <w:szCs w:val="32"/>
          <w:lang w:val="en-US" w:eastAsia="zh-CN"/>
        </w:rPr>
        <w:t>增加1.35</w:t>
      </w:r>
      <w:r>
        <w:rPr>
          <w:rFonts w:hint="eastAsia" w:ascii="仿宋_GB2312" w:eastAsia="仿宋_GB2312"/>
          <w:b w:val="0"/>
          <w:bCs/>
          <w:color w:val="000000"/>
          <w:sz w:val="32"/>
          <w:szCs w:val="32"/>
        </w:rPr>
        <w:t>万元，主要原因是</w:t>
      </w:r>
      <w:r>
        <w:rPr>
          <w:rFonts w:hint="eastAsia" w:ascii="仿宋_GB2312" w:eastAsia="仿宋_GB2312"/>
          <w:b w:val="0"/>
          <w:bCs/>
          <w:color w:val="000000"/>
          <w:sz w:val="32"/>
          <w:szCs w:val="32"/>
          <w:lang w:val="en-US" w:eastAsia="zh-CN"/>
        </w:rPr>
        <w:t>2020年公务接待费通过事业机构核算。</w:t>
      </w:r>
      <w:bookmarkEnd w:id="63"/>
    </w:p>
    <w:p w14:paraId="5BCEA718">
      <w:pPr>
        <w:spacing w:line="600" w:lineRule="exact"/>
        <w:ind w:firstLine="640"/>
        <w:outlineLvl w:val="1"/>
        <w:rPr>
          <w:rStyle w:val="18"/>
          <w:rFonts w:ascii="黑体" w:hAnsi="黑体" w:eastAsia="黑体"/>
        </w:rPr>
      </w:pPr>
      <w:bookmarkStart w:id="64" w:name="_Toc11506"/>
      <w:r>
        <w:rPr>
          <w:rFonts w:hint="eastAsia" w:ascii="黑体" w:eastAsia="黑体"/>
          <w:color w:val="000000"/>
          <w:sz w:val="32"/>
          <w:szCs w:val="32"/>
        </w:rPr>
        <w:t>八、</w:t>
      </w:r>
      <w:r>
        <w:rPr>
          <w:rStyle w:val="18"/>
          <w:rFonts w:hint="eastAsia" w:ascii="黑体" w:hAnsi="黑体" w:eastAsia="黑体"/>
          <w:b w:val="0"/>
        </w:rPr>
        <w:t>政府性基金预算支出决算情况说明</w:t>
      </w:r>
      <w:bookmarkEnd w:id="60"/>
      <w:bookmarkEnd w:id="61"/>
      <w:bookmarkEnd w:id="64"/>
    </w:p>
    <w:p w14:paraId="1DE0850F">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2021</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2ED6589F">
      <w:pPr>
        <w:spacing w:line="600" w:lineRule="exact"/>
        <w:ind w:firstLine="640"/>
        <w:rPr>
          <w:rFonts w:ascii="仿宋_GB2312" w:eastAsia="仿宋_GB2312"/>
          <w:color w:val="000000"/>
          <w:sz w:val="32"/>
          <w:szCs w:val="32"/>
        </w:rPr>
      </w:pPr>
    </w:p>
    <w:p w14:paraId="56FB3112">
      <w:pPr>
        <w:numPr>
          <w:ilvl w:val="0"/>
          <w:numId w:val="2"/>
        </w:numPr>
        <w:spacing w:line="600" w:lineRule="exact"/>
        <w:ind w:left="0" w:firstLine="640"/>
        <w:outlineLvl w:val="1"/>
        <w:rPr>
          <w:rStyle w:val="18"/>
          <w:rFonts w:ascii="黑体" w:hAnsi="黑体" w:eastAsia="黑体"/>
          <w:b w:val="0"/>
        </w:rPr>
      </w:pPr>
      <w:bookmarkStart w:id="65" w:name="_Toc15396611"/>
      <w:bookmarkStart w:id="66" w:name="_Toc15377219"/>
      <w:bookmarkStart w:id="67" w:name="_Toc5857"/>
      <w:r>
        <w:rPr>
          <w:rStyle w:val="18"/>
          <w:rFonts w:hint="eastAsia" w:ascii="黑体" w:hAnsi="黑体" w:eastAsia="黑体"/>
          <w:b w:val="0"/>
        </w:rPr>
        <w:t>国有资本经营预算支出决算情况说明</w:t>
      </w:r>
      <w:bookmarkEnd w:id="65"/>
      <w:bookmarkEnd w:id="66"/>
      <w:bookmarkEnd w:id="67"/>
    </w:p>
    <w:p w14:paraId="3C688189">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2021</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0CFEA5F6">
      <w:pPr>
        <w:spacing w:line="580" w:lineRule="exact"/>
        <w:jc w:val="center"/>
        <w:rPr>
          <w:rFonts w:ascii="方正小标宋简体" w:hAnsi="方正小标宋简体" w:eastAsia="方正小标宋简体" w:cs="方正小标宋简体"/>
          <w:sz w:val="44"/>
          <w:szCs w:val="44"/>
        </w:rPr>
      </w:pPr>
    </w:p>
    <w:p w14:paraId="0EC9A93D">
      <w:pPr>
        <w:spacing w:line="600" w:lineRule="exact"/>
        <w:ind w:firstLine="800" w:firstLineChars="250"/>
        <w:outlineLvl w:val="1"/>
        <w:rPr>
          <w:rStyle w:val="18"/>
          <w:rFonts w:ascii="黑体" w:hAnsi="黑体" w:eastAsia="黑体"/>
        </w:rPr>
      </w:pPr>
      <w:bookmarkStart w:id="68" w:name="_Toc15377221"/>
      <w:bookmarkStart w:id="69" w:name="_Toc19437"/>
      <w:bookmarkStart w:id="70" w:name="_Toc15396612"/>
      <w:r>
        <w:rPr>
          <w:rFonts w:hint="eastAsia" w:ascii="黑体" w:hAnsi="黑体" w:eastAsia="黑体"/>
          <w:color w:val="000000"/>
          <w:sz w:val="32"/>
          <w:szCs w:val="32"/>
        </w:rPr>
        <w:t>十</w:t>
      </w:r>
      <w:r>
        <w:rPr>
          <w:rStyle w:val="18"/>
          <w:rFonts w:hint="eastAsia" w:ascii="黑体" w:hAnsi="黑体" w:eastAsia="黑体"/>
        </w:rPr>
        <w:t>、</w:t>
      </w:r>
      <w:r>
        <w:rPr>
          <w:rStyle w:val="18"/>
          <w:rFonts w:hint="eastAsia" w:ascii="黑体" w:hAnsi="黑体" w:eastAsia="黑体"/>
          <w:b w:val="0"/>
        </w:rPr>
        <w:t>其他重要事项的情况说明</w:t>
      </w:r>
      <w:bookmarkEnd w:id="68"/>
      <w:bookmarkEnd w:id="69"/>
      <w:bookmarkEnd w:id="70"/>
    </w:p>
    <w:p w14:paraId="636C7784">
      <w:pPr>
        <w:spacing w:line="600" w:lineRule="exact"/>
        <w:ind w:firstLine="643" w:firstLineChars="200"/>
        <w:outlineLvl w:val="2"/>
        <w:rPr>
          <w:rFonts w:hint="eastAsia" w:ascii="楷体_GB2312" w:hAnsi="楷体_GB2312" w:eastAsia="楷体_GB2312" w:cs="楷体_GB2312"/>
          <w:color w:val="000000"/>
          <w:sz w:val="32"/>
          <w:szCs w:val="32"/>
        </w:rPr>
      </w:pPr>
      <w:bookmarkStart w:id="71" w:name="_Toc15377222"/>
      <w:r>
        <w:rPr>
          <w:rFonts w:hint="eastAsia" w:ascii="楷体_GB2312" w:hAnsi="楷体_GB2312" w:eastAsia="楷体_GB2312" w:cs="楷体_GB2312"/>
          <w:b/>
          <w:color w:val="000000"/>
          <w:sz w:val="32"/>
          <w:szCs w:val="32"/>
        </w:rPr>
        <w:t>（一）机关运行经费支出情况</w:t>
      </w:r>
      <w:bookmarkEnd w:id="71"/>
    </w:p>
    <w:p w14:paraId="6C079EE0">
      <w:pPr>
        <w:spacing w:line="600" w:lineRule="exact"/>
        <w:ind w:firstLine="640" w:firstLineChars="200"/>
        <w:rPr>
          <w:rFonts w:ascii="仿宋" w:hAnsi="仿宋" w:eastAsia="仿宋_GB2312"/>
          <w:b/>
          <w:color w:val="FF0000"/>
          <w:sz w:val="32"/>
          <w:szCs w:val="32"/>
          <w:lang w:val="en-US" w:eastAsia="zh-CN"/>
        </w:rPr>
      </w:pPr>
      <w:r>
        <w:rPr>
          <w:rFonts w:hint="eastAsia" w:ascii="仿宋_GB2312" w:eastAsia="仿宋_GB2312"/>
          <w:color w:val="000000"/>
          <w:sz w:val="32"/>
          <w:szCs w:val="32"/>
          <w:lang w:eastAsia="zh-CN"/>
        </w:rPr>
        <w:t>2021</w:t>
      </w:r>
      <w:r>
        <w:rPr>
          <w:rFonts w:hint="eastAsia" w:ascii="仿宋_GB2312" w:eastAsia="仿宋_GB2312"/>
          <w:color w:val="000000"/>
          <w:sz w:val="32"/>
          <w:szCs w:val="32"/>
        </w:rPr>
        <w:t>年，四川省阿坝州住房和城乡建设局（本级）机关运行经费支出</w:t>
      </w:r>
      <w:r>
        <w:rPr>
          <w:rFonts w:hint="eastAsia" w:ascii="仿宋_GB2312" w:eastAsia="仿宋_GB2312"/>
          <w:color w:val="000000"/>
          <w:sz w:val="32"/>
          <w:szCs w:val="32"/>
          <w:lang w:val="en-US" w:eastAsia="zh-CN"/>
        </w:rPr>
        <w:t>133.21</w:t>
      </w:r>
      <w:r>
        <w:rPr>
          <w:rFonts w:hint="eastAsia" w:ascii="仿宋_GB2312" w:eastAsia="仿宋_GB2312"/>
          <w:color w:val="000000"/>
          <w:sz w:val="32"/>
          <w:szCs w:val="32"/>
        </w:rPr>
        <w:t>万元，比</w:t>
      </w:r>
      <w:r>
        <w:rPr>
          <w:rFonts w:hint="eastAsia" w:ascii="仿宋_GB2312" w:eastAsia="仿宋_GB2312"/>
          <w:color w:val="000000"/>
          <w:sz w:val="32"/>
          <w:szCs w:val="32"/>
          <w:lang w:eastAsia="zh-CN"/>
        </w:rPr>
        <w:t>2020</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增加3.05</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增加2.3</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更新购置公务用车1辆，公务用车购置及运行维护费增加。</w:t>
      </w:r>
    </w:p>
    <w:p w14:paraId="50C1BDBD">
      <w:pPr>
        <w:autoSpaceDE w:val="0"/>
        <w:autoSpaceDN w:val="0"/>
        <w:adjustRightInd w:val="0"/>
        <w:spacing w:line="600" w:lineRule="exact"/>
        <w:ind w:firstLine="643" w:firstLineChars="200"/>
        <w:jc w:val="left"/>
        <w:outlineLvl w:val="2"/>
        <w:rPr>
          <w:rFonts w:hint="eastAsia" w:ascii="楷体_GB2312" w:hAnsi="楷体_GB2312" w:eastAsia="楷体_GB2312" w:cs="楷体_GB2312"/>
          <w:b/>
          <w:color w:val="000000"/>
          <w:sz w:val="32"/>
          <w:szCs w:val="32"/>
        </w:rPr>
      </w:pPr>
      <w:bookmarkStart w:id="72" w:name="_Toc15377223"/>
      <w:r>
        <w:rPr>
          <w:rFonts w:hint="eastAsia" w:ascii="楷体_GB2312" w:hAnsi="楷体_GB2312" w:eastAsia="楷体_GB2312" w:cs="楷体_GB2312"/>
          <w:b/>
          <w:color w:val="000000"/>
          <w:sz w:val="32"/>
          <w:szCs w:val="32"/>
        </w:rPr>
        <w:t>（二）政府采购支出情况</w:t>
      </w:r>
      <w:bookmarkEnd w:id="72"/>
    </w:p>
    <w:p w14:paraId="1FD5B2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2021</w:t>
      </w:r>
      <w:r>
        <w:rPr>
          <w:rFonts w:hint="eastAsia" w:ascii="仿宋_GB2312" w:eastAsia="仿宋_GB2312"/>
          <w:color w:val="000000"/>
          <w:sz w:val="32"/>
          <w:szCs w:val="32"/>
        </w:rPr>
        <w:t>年，四川省阿坝州住房和城乡建设局（本级）政府采购支出总额</w:t>
      </w:r>
      <w:r>
        <w:rPr>
          <w:rFonts w:hint="eastAsia" w:ascii="仿宋_GB2312" w:eastAsia="仿宋_GB2312"/>
          <w:color w:val="000000"/>
          <w:sz w:val="32"/>
          <w:szCs w:val="32"/>
          <w:lang w:val="en-US" w:eastAsia="zh-CN"/>
        </w:rPr>
        <w:t>114.42</w:t>
      </w:r>
      <w:r>
        <w:rPr>
          <w:rFonts w:hint="eastAsia" w:ascii="仿宋_GB2312" w:eastAsia="仿宋_GB2312"/>
          <w:color w:val="000000"/>
          <w:sz w:val="32"/>
          <w:szCs w:val="32"/>
        </w:rPr>
        <w:t xml:space="preserve">万元，其中：政府采购货物支出 </w:t>
      </w:r>
      <w:r>
        <w:rPr>
          <w:rFonts w:hint="eastAsia" w:ascii="仿宋_GB2312" w:eastAsia="仿宋_GB2312"/>
          <w:color w:val="000000"/>
          <w:sz w:val="32"/>
          <w:szCs w:val="32"/>
          <w:lang w:val="en-US" w:eastAsia="zh-CN"/>
        </w:rPr>
        <w:t>47.58</w:t>
      </w:r>
      <w:r>
        <w:rPr>
          <w:rFonts w:hint="eastAsia" w:ascii="仿宋_GB2312" w:eastAsia="仿宋_GB2312"/>
          <w:color w:val="000000"/>
          <w:sz w:val="32"/>
          <w:szCs w:val="32"/>
        </w:rPr>
        <w:t>万元、政府采购工程支出0.00万元、政府采购服务支出</w:t>
      </w:r>
      <w:r>
        <w:rPr>
          <w:rFonts w:hint="eastAsia" w:ascii="仿宋_GB2312" w:eastAsia="仿宋_GB2312"/>
          <w:color w:val="000000"/>
          <w:sz w:val="32"/>
          <w:szCs w:val="32"/>
          <w:lang w:val="en-US" w:eastAsia="zh-CN"/>
        </w:rPr>
        <w:t>66.85</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val="en-US" w:eastAsia="zh-CN"/>
        </w:rPr>
        <w:t>114.42</w:t>
      </w:r>
      <w:r>
        <w:rPr>
          <w:rFonts w:hint="eastAsia" w:ascii="仿宋_GB2312" w:eastAsia="仿宋_GB2312"/>
          <w:color w:val="000000"/>
          <w:sz w:val="32"/>
          <w:szCs w:val="32"/>
        </w:rPr>
        <w:t>，占政府采购支出总额的100.00%，其中：授予小微企业合同金额</w:t>
      </w:r>
      <w:r>
        <w:rPr>
          <w:rFonts w:hint="eastAsia" w:ascii="仿宋_GB2312" w:eastAsia="仿宋_GB2312"/>
          <w:color w:val="000000"/>
          <w:sz w:val="32"/>
          <w:szCs w:val="32"/>
          <w:lang w:val="en-US" w:eastAsia="zh-CN"/>
        </w:rPr>
        <w:t>12.80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11.19</w:t>
      </w:r>
      <w:r>
        <w:rPr>
          <w:rFonts w:hint="eastAsia" w:ascii="仿宋_GB2312" w:eastAsia="仿宋_GB2312"/>
          <w:color w:val="000000"/>
          <w:sz w:val="32"/>
          <w:szCs w:val="32"/>
        </w:rPr>
        <w:t>%。</w:t>
      </w:r>
    </w:p>
    <w:p w14:paraId="75EB4370">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73" w:name="_Toc15377224"/>
      <w:r>
        <w:rPr>
          <w:rFonts w:hint="eastAsia" w:ascii="仿宋" w:hAnsi="仿宋" w:eastAsia="仿宋"/>
          <w:b/>
          <w:color w:val="000000"/>
          <w:sz w:val="32"/>
          <w:szCs w:val="32"/>
        </w:rPr>
        <w:t>（</w:t>
      </w:r>
      <w:r>
        <w:rPr>
          <w:rFonts w:hint="eastAsia" w:ascii="楷体_GB2312" w:hAnsi="楷体_GB2312" w:eastAsia="楷体_GB2312" w:cs="楷体_GB2312"/>
          <w:b/>
          <w:color w:val="000000"/>
          <w:sz w:val="32"/>
          <w:szCs w:val="32"/>
        </w:rPr>
        <w:t>三）国有资产占有使用情况</w:t>
      </w:r>
      <w:bookmarkEnd w:id="73"/>
    </w:p>
    <w:p w14:paraId="098F67D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olor w:val="000000"/>
          <w:sz w:val="32"/>
          <w:szCs w:val="32"/>
        </w:rPr>
      </w:pPr>
      <w:r>
        <w:rPr>
          <w:rFonts w:hint="eastAsia" w:ascii="仿宋_GB2312" w:eastAsia="仿宋_GB2312"/>
          <w:color w:val="000000"/>
          <w:sz w:val="32"/>
          <w:szCs w:val="32"/>
        </w:rPr>
        <w:t>截</w:t>
      </w:r>
      <w:r>
        <w:rPr>
          <w:rFonts w:hint="eastAsia" w:ascii="仿宋_GB2312" w:eastAsia="仿宋_GB2312"/>
          <w:color w:val="000000"/>
          <w:sz w:val="32"/>
          <w:szCs w:val="32"/>
          <w:lang w:val="en-US" w:eastAsia="zh-CN"/>
        </w:rPr>
        <w:t>止2021</w:t>
      </w:r>
      <w:r>
        <w:rPr>
          <w:rFonts w:hint="eastAsia" w:ascii="仿宋_GB2312" w:eastAsia="仿宋_GB2312"/>
          <w:color w:val="000000"/>
          <w:sz w:val="32"/>
          <w:szCs w:val="32"/>
        </w:rPr>
        <w:t>年12月31日，四川省阿坝州住房和城乡建设局（本级）共有车辆</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辆，其中：主要领导干部用车0 辆、机要通信用车0辆、应急保障用车0辆、执法执勤用车0 辆、特种专业技术用车0辆、离退休干部用车0辆、其他用车</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辆。</w:t>
      </w:r>
    </w:p>
    <w:p w14:paraId="2A470B6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b/>
          <w:color w:val="FF0000"/>
          <w:sz w:val="32"/>
          <w:szCs w:val="32"/>
        </w:rPr>
      </w:pPr>
      <w:r>
        <w:rPr>
          <w:rFonts w:hint="eastAsia" w:ascii="仿宋_GB2312" w:eastAsia="仿宋_GB2312"/>
          <w:color w:val="000000"/>
          <w:sz w:val="32"/>
          <w:szCs w:val="32"/>
        </w:rPr>
        <w:t>单价50万元以上通用设备2台（套），单价100万元以上专用设备0台（套）。</w:t>
      </w:r>
    </w:p>
    <w:p w14:paraId="23D99829">
      <w:pPr>
        <w:autoSpaceDE w:val="0"/>
        <w:autoSpaceDN w:val="0"/>
        <w:adjustRightInd w:val="0"/>
        <w:spacing w:line="600" w:lineRule="exact"/>
        <w:ind w:firstLine="643" w:firstLineChars="200"/>
        <w:jc w:val="left"/>
        <w:outlineLvl w:val="2"/>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（四）预算绩效管理情况。</w:t>
      </w:r>
    </w:p>
    <w:p w14:paraId="316514D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根据预算绩效管理要求，本部门在年初预算编制阶段，组织对</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项目开展了预算事前绩效评估，对</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个项目开展了绩效目标完成情况自评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公开5个项目自评报告，见附件2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65B0517E">
      <w:pPr>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年部门整体支出开展绩效自评，从评价情况来看</w:t>
      </w:r>
      <w:r>
        <w:rPr>
          <w:rFonts w:hint="eastAsia" w:ascii="仿宋_GB2312" w:hAnsi="仿宋_GB2312" w:eastAsia="仿宋_GB2312" w:cs="仿宋_GB2312"/>
          <w:sz w:val="32"/>
          <w:szCs w:val="32"/>
          <w:lang w:val="en-US" w:eastAsia="zh-CN"/>
        </w:rPr>
        <w:t>本部门按照年初预算绩效目标较好的完成了项目目标任务。</w:t>
      </w:r>
    </w:p>
    <w:p w14:paraId="6C1AE3B0">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年部门整体支出绩效评价情况开展自评，《</w:t>
      </w:r>
      <w:r>
        <w:rPr>
          <w:rFonts w:hint="eastAsia" w:ascii="仿宋_GB2312" w:hAnsi="仿宋_GB2312" w:eastAsia="仿宋_GB2312" w:cs="仿宋_GB2312"/>
          <w:sz w:val="32"/>
          <w:szCs w:val="32"/>
          <w:lang w:val="en-US" w:eastAsia="zh-CN"/>
        </w:rPr>
        <w:t>阿坝州住房和城乡建设局2021</w:t>
      </w:r>
      <w:r>
        <w:rPr>
          <w:rFonts w:hint="eastAsia" w:ascii="仿宋_GB2312" w:hAnsi="仿宋_GB2312" w:eastAsia="仿宋_GB2312" w:cs="仿宋_GB2312"/>
          <w:sz w:val="32"/>
          <w:szCs w:val="32"/>
        </w:rPr>
        <w:t>年部门整体支出绩效评价报告》见附件（附件1）。</w:t>
      </w:r>
    </w:p>
    <w:p w14:paraId="34E47813">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74128DE8">
      <w:pPr>
        <w:numPr>
          <w:ilvl w:val="0"/>
          <w:numId w:val="3"/>
        </w:numPr>
        <w:spacing w:line="600" w:lineRule="exact"/>
        <w:ind w:left="0" w:firstLine="660" w:firstLineChars="150"/>
        <w:jc w:val="center"/>
        <w:outlineLvl w:val="0"/>
        <w:rPr>
          <w:rStyle w:val="17"/>
          <w:rFonts w:ascii="黑体" w:hAnsi="黑体" w:eastAsia="黑体"/>
          <w:b w:val="0"/>
        </w:rPr>
      </w:pPr>
      <w:bookmarkStart w:id="74" w:name="_Toc21424"/>
      <w:bookmarkStart w:id="75" w:name="_Toc15396613"/>
      <w:bookmarkStart w:id="76" w:name="_Toc15377225"/>
      <w:r>
        <w:rPr>
          <w:rFonts w:hint="eastAsia" w:ascii="黑体" w:hAnsi="黑体" w:eastAsia="黑体"/>
          <w:color w:val="000000"/>
          <w:sz w:val="44"/>
          <w:szCs w:val="44"/>
        </w:rPr>
        <w:t>名</w:t>
      </w:r>
      <w:r>
        <w:rPr>
          <w:rStyle w:val="17"/>
          <w:rFonts w:hint="eastAsia" w:ascii="黑体" w:hAnsi="黑体" w:eastAsia="黑体"/>
          <w:b w:val="0"/>
        </w:rPr>
        <w:t>词解释</w:t>
      </w:r>
      <w:bookmarkEnd w:id="74"/>
      <w:bookmarkEnd w:id="75"/>
      <w:bookmarkEnd w:id="76"/>
    </w:p>
    <w:p w14:paraId="07635E76">
      <w:pPr>
        <w:spacing w:line="600" w:lineRule="exact"/>
        <w:jc w:val="left"/>
        <w:rPr>
          <w:rFonts w:ascii="宋体"/>
          <w:b/>
          <w:color w:val="000000"/>
          <w:sz w:val="44"/>
          <w:szCs w:val="44"/>
        </w:rPr>
      </w:pPr>
    </w:p>
    <w:p w14:paraId="18D1E766">
      <w:pPr>
        <w:pStyle w:val="2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36CFFAAA">
      <w:pPr>
        <w:pStyle w:val="2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7E3B1783">
      <w:pPr>
        <w:pStyle w:val="23"/>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49D3A1AC">
      <w:pPr>
        <w:pStyle w:val="23"/>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14:paraId="15C9E265">
      <w:pPr>
        <w:pStyle w:val="2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33E87DB5">
      <w:pPr>
        <w:pStyle w:val="2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2207692F">
      <w:pPr>
        <w:pStyle w:val="2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07F9D848">
      <w:pPr>
        <w:pStyle w:val="23"/>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186A69E2">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9.城乡社区支出（类）</w:t>
      </w:r>
    </w:p>
    <w:p w14:paraId="4693F344">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城乡社区管理事务（款）</w:t>
      </w:r>
    </w:p>
    <w:p w14:paraId="371A9218">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行政运行（项）: 反映行政单位的基本支出。</w:t>
      </w:r>
    </w:p>
    <w:p w14:paraId="4BD10E86">
      <w:pPr>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一般行政管理事务</w:t>
      </w:r>
      <w:r>
        <w:rPr>
          <w:rFonts w:hint="eastAsia" w:ascii="仿宋_GB2312" w:eastAsia="仿宋_GB2312"/>
          <w:color w:val="000000"/>
          <w:sz w:val="32"/>
          <w:szCs w:val="32"/>
        </w:rPr>
        <w:t>（项）: 反映行政单位的</w:t>
      </w:r>
      <w:r>
        <w:rPr>
          <w:rFonts w:hint="eastAsia" w:ascii="仿宋_GB2312" w:eastAsia="仿宋_GB2312"/>
          <w:color w:val="000000"/>
          <w:sz w:val="32"/>
          <w:szCs w:val="32"/>
          <w:lang w:val="en-US" w:eastAsia="zh-CN"/>
        </w:rPr>
        <w:t>项目</w:t>
      </w:r>
      <w:r>
        <w:rPr>
          <w:rFonts w:hint="eastAsia" w:ascii="仿宋_GB2312" w:eastAsia="仿宋_GB2312"/>
          <w:color w:val="000000"/>
          <w:sz w:val="32"/>
          <w:szCs w:val="32"/>
        </w:rPr>
        <w:t>支出</w:t>
      </w:r>
      <w:r>
        <w:rPr>
          <w:rFonts w:hint="eastAsia" w:ascii="仿宋_GB2312" w:eastAsia="仿宋_GB2312"/>
          <w:color w:val="000000"/>
          <w:sz w:val="32"/>
          <w:szCs w:val="32"/>
          <w:lang w:eastAsia="zh-CN"/>
        </w:rPr>
        <w:t>。</w:t>
      </w:r>
    </w:p>
    <w:p w14:paraId="7AA813B3">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.住房保障</w:t>
      </w:r>
      <w:r>
        <w:rPr>
          <w:rFonts w:hint="eastAsia" w:ascii="仿宋_GB2312" w:eastAsia="仿宋_GB2312"/>
          <w:color w:val="000000"/>
          <w:sz w:val="32"/>
          <w:szCs w:val="32"/>
          <w:lang w:val="en-US" w:eastAsia="zh-CN"/>
        </w:rPr>
        <w:t>和就业</w:t>
      </w:r>
      <w:r>
        <w:rPr>
          <w:rFonts w:hint="eastAsia" w:ascii="仿宋_GB2312" w:eastAsia="仿宋_GB2312"/>
          <w:color w:val="000000"/>
          <w:sz w:val="32"/>
          <w:szCs w:val="32"/>
        </w:rPr>
        <w:t>支出（类）</w:t>
      </w:r>
    </w:p>
    <w:p w14:paraId="45ECABE7">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住房改革支出（款）</w:t>
      </w:r>
    </w:p>
    <w:p w14:paraId="725108D7">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住房公积金（项）:反映行政事业单位按人力资源和社会保障部、财政部规定的基本工资和津贴补贴以及规定比例为职工缴纳的住房公积金。　　</w:t>
      </w:r>
    </w:p>
    <w:p w14:paraId="7B1A3826">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.社会保障和就业（类）</w:t>
      </w:r>
    </w:p>
    <w:p w14:paraId="44622023">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行政事业单位离退休（款）</w:t>
      </w:r>
    </w:p>
    <w:p w14:paraId="5EB7362D">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机关事业单位基本养老保险缴费（项）:反映各级财政部门对机关事业单位基本养老保险基金收支缺口的补助。</w:t>
      </w:r>
    </w:p>
    <w:p w14:paraId="1420B517">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机关事业单位职业年金缴费支出（项）: 反映机关事业单位实施养老保险制度由单位实际缴纳的职业年金支出。</w:t>
      </w:r>
    </w:p>
    <w:p w14:paraId="35E9C27A">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.卫生健康支出（类）</w:t>
      </w:r>
    </w:p>
    <w:p w14:paraId="6AEF5B81">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（款）</w:t>
      </w:r>
    </w:p>
    <w:p w14:paraId="07957687">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行政单位医疗（项）:反映财政对基本医疗保险基金的补助。</w:t>
      </w:r>
    </w:p>
    <w:p w14:paraId="6D8A3376">
      <w:pPr>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公务员医疗补助（项）：反应</w:t>
      </w:r>
      <w:r>
        <w:rPr>
          <w:rFonts w:hint="eastAsia" w:ascii="仿宋_GB2312" w:eastAsia="仿宋_GB2312"/>
          <w:color w:val="000000"/>
          <w:sz w:val="32"/>
          <w:szCs w:val="32"/>
        </w:rPr>
        <w:t>反映财政对</w:t>
      </w:r>
      <w:r>
        <w:rPr>
          <w:rFonts w:hint="eastAsia" w:ascii="仿宋_GB2312" w:eastAsia="仿宋_GB2312"/>
          <w:color w:val="000000"/>
          <w:sz w:val="32"/>
          <w:szCs w:val="32"/>
          <w:lang w:val="en-US" w:eastAsia="zh-CN"/>
        </w:rPr>
        <w:t>公务员补充医</w:t>
      </w:r>
      <w:r>
        <w:rPr>
          <w:rFonts w:hint="eastAsia" w:ascii="仿宋_GB2312" w:eastAsia="仿宋_GB2312"/>
          <w:color w:val="000000"/>
          <w:sz w:val="32"/>
          <w:szCs w:val="32"/>
        </w:rPr>
        <w:t>疗保险的补助</w:t>
      </w:r>
      <w:r>
        <w:rPr>
          <w:rFonts w:hint="eastAsia" w:ascii="仿宋_GB2312" w:eastAsia="仿宋_GB2312"/>
          <w:color w:val="000000"/>
          <w:sz w:val="32"/>
          <w:szCs w:val="32"/>
          <w:lang w:eastAsia="zh-CN"/>
        </w:rPr>
        <w:t>。</w:t>
      </w:r>
    </w:p>
    <w:p w14:paraId="0F652632">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3EF447B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69AB8771">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15</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3E32D37">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0236BE1">
      <w:pPr>
        <w:spacing w:line="600" w:lineRule="exact"/>
        <w:jc w:val="center"/>
        <w:outlineLvl w:val="0"/>
        <w:rPr>
          <w:rStyle w:val="17"/>
          <w:rFonts w:ascii="黑体" w:hAnsi="黑体" w:eastAsia="黑体"/>
          <w:b w:val="0"/>
        </w:rPr>
      </w:pPr>
      <w:bookmarkStart w:id="77" w:name="_Toc15377226"/>
      <w:r>
        <w:rPr>
          <w:rFonts w:ascii="宋体"/>
          <w:b/>
          <w:color w:val="000000"/>
          <w:sz w:val="44"/>
          <w:szCs w:val="44"/>
        </w:rPr>
        <w:br w:type="page"/>
      </w:r>
      <w:bookmarkStart w:id="78" w:name="_Toc2409"/>
      <w:bookmarkStart w:id="79" w:name="_Toc15396614"/>
      <w:r>
        <w:rPr>
          <w:rFonts w:hint="eastAsia" w:ascii="黑体" w:hAnsi="黑体" w:eastAsia="黑体"/>
          <w:color w:val="000000"/>
          <w:sz w:val="44"/>
          <w:szCs w:val="44"/>
        </w:rPr>
        <w:t>第</w:t>
      </w:r>
      <w:r>
        <w:rPr>
          <w:rStyle w:val="17"/>
          <w:rFonts w:hint="eastAsia" w:ascii="黑体" w:hAnsi="黑体" w:eastAsia="黑体"/>
          <w:b w:val="0"/>
        </w:rPr>
        <w:t>四部分 附件</w:t>
      </w:r>
      <w:bookmarkEnd w:id="78"/>
      <w:bookmarkEnd w:id="79"/>
    </w:p>
    <w:p w14:paraId="115BD72D">
      <w:pPr>
        <w:spacing w:line="600" w:lineRule="exact"/>
        <w:jc w:val="left"/>
        <w:outlineLvl w:val="0"/>
        <w:rPr>
          <w:rFonts w:ascii="方正小标宋简体" w:hAnsi="方正小标宋简体" w:eastAsia="方正小标宋简体" w:cs="方正小标宋简体"/>
          <w:sz w:val="32"/>
          <w:szCs w:val="32"/>
        </w:rPr>
      </w:pPr>
      <w:bookmarkStart w:id="80" w:name="_Toc31784"/>
      <w:r>
        <w:rPr>
          <w:rFonts w:hint="eastAsia" w:ascii="黑体" w:hAnsi="黑体" w:eastAsia="黑体" w:cs="黑体"/>
          <w:sz w:val="32"/>
          <w:szCs w:val="32"/>
        </w:rPr>
        <w:t>附件1</w:t>
      </w:r>
      <w:bookmarkEnd w:id="80"/>
    </w:p>
    <w:p w14:paraId="458D4BA3">
      <w:pPr>
        <w:spacing w:line="580" w:lineRule="exact"/>
        <w:jc w:val="center"/>
        <w:rPr>
          <w:rFonts w:ascii="方正小标宋简体" w:hAnsi="方正小标宋简体" w:eastAsia="方正小标宋简体" w:cs="方正小标宋简体"/>
          <w:sz w:val="44"/>
          <w:szCs w:val="44"/>
        </w:rPr>
      </w:pPr>
    </w:p>
    <w:p w14:paraId="3198910D">
      <w:pPr>
        <w:spacing w:line="600" w:lineRule="exact"/>
        <w:jc w:val="center"/>
        <w:rPr>
          <w:rFonts w:hint="eastAsia" w:ascii="方正小标宋简体" w:hAnsi="宋体" w:eastAsia="方正小标宋简体"/>
          <w:color w:val="000000"/>
          <w:kern w:val="0"/>
          <w:sz w:val="40"/>
          <w:szCs w:val="44"/>
          <w:lang w:val="en-US" w:eastAsia="zh-CN"/>
        </w:rPr>
      </w:pPr>
      <w:r>
        <w:rPr>
          <w:rFonts w:hint="eastAsia" w:ascii="方正小标宋简体" w:hAnsi="宋体" w:eastAsia="方正小标宋简体"/>
          <w:color w:val="000000"/>
          <w:kern w:val="0"/>
          <w:sz w:val="40"/>
          <w:szCs w:val="44"/>
          <w:lang w:val="en-US" w:eastAsia="zh-CN"/>
        </w:rPr>
        <w:t>阿坝州住房和城乡建设局</w:t>
      </w:r>
    </w:p>
    <w:p w14:paraId="553C5740">
      <w:pPr>
        <w:spacing w:line="600" w:lineRule="exact"/>
        <w:jc w:val="center"/>
        <w:rPr>
          <w:rFonts w:ascii="方正小标宋简体" w:hAnsi="宋体" w:eastAsia="方正小标宋简体"/>
          <w:color w:val="000000"/>
          <w:kern w:val="0"/>
          <w:sz w:val="40"/>
          <w:szCs w:val="44"/>
          <w:lang w:val="zh-CN"/>
        </w:rPr>
      </w:pPr>
      <w:r>
        <w:rPr>
          <w:rFonts w:hint="eastAsia" w:ascii="方正小标宋简体" w:hAnsi="宋体" w:eastAsia="方正小标宋简体"/>
          <w:color w:val="000000"/>
          <w:kern w:val="0"/>
          <w:sz w:val="40"/>
          <w:szCs w:val="44"/>
          <w:lang w:val="en-US" w:eastAsia="zh-CN"/>
        </w:rPr>
        <w:t>2021</w:t>
      </w:r>
      <w:r>
        <w:rPr>
          <w:rFonts w:ascii="方正小标宋简体" w:hAnsi="宋体" w:eastAsia="方正小标宋简体"/>
          <w:color w:val="000000"/>
          <w:kern w:val="0"/>
          <w:sz w:val="40"/>
          <w:szCs w:val="44"/>
        </w:rPr>
        <w:t>年部门</w:t>
      </w:r>
      <w:r>
        <w:rPr>
          <w:rFonts w:hint="eastAsia" w:ascii="方正小标宋简体" w:hAnsi="宋体" w:eastAsia="方正小标宋简体"/>
          <w:color w:val="000000"/>
          <w:kern w:val="0"/>
          <w:sz w:val="40"/>
          <w:szCs w:val="44"/>
          <w:lang w:val="zh-CN"/>
        </w:rPr>
        <w:t>整体支出绩效评价报告</w:t>
      </w:r>
    </w:p>
    <w:p w14:paraId="1AEBB0C8">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14:paraId="44340D3D">
      <w:pPr>
        <w:spacing w:line="580" w:lineRule="exact"/>
        <w:ind w:firstLine="640" w:firstLineChars="200"/>
        <w:rPr>
          <w:rFonts w:hint="eastAsia"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一、部门（单位）概况</w:t>
      </w:r>
    </w:p>
    <w:p w14:paraId="5D8828E7">
      <w:pPr>
        <w:spacing w:line="580" w:lineRule="exact"/>
        <w:ind w:firstLine="643" w:firstLineChars="200"/>
        <w:rPr>
          <w:rFonts w:hint="eastAsia" w:ascii="仿宋_GB2312" w:hAnsi="仿宋_GB2312" w:eastAsia="仿宋_GB2312" w:cs="仿宋_GB2312"/>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（一）机构组成。</w:t>
      </w:r>
      <w:r>
        <w:rPr>
          <w:rFonts w:hint="eastAsia" w:ascii="仿宋_GB2312" w:hAnsi="仿宋_GB2312" w:eastAsia="仿宋_GB2312" w:cs="仿宋_GB2312"/>
          <w:color w:val="000000"/>
          <w:kern w:val="0"/>
          <w:sz w:val="32"/>
          <w:szCs w:val="32"/>
          <w:shd w:val="clear" w:color="auto" w:fill="FFFFFF"/>
        </w:rPr>
        <w:t>阿坝州住房和城乡建设局根据《中共阿坝州委机构编制委员会关于调整州住房和城乡建设局机构编制事项的通知》（阿编发[</w:t>
      </w:r>
      <w:r>
        <w:rPr>
          <w:rFonts w:hint="eastAsia" w:ascii="仿宋_GB2312" w:hAnsi="仿宋_GB2312" w:eastAsia="仿宋_GB2312" w:cs="仿宋_GB2312"/>
          <w:color w:val="000000"/>
          <w:kern w:val="0"/>
          <w:sz w:val="32"/>
          <w:szCs w:val="32"/>
          <w:shd w:val="clear" w:color="auto" w:fill="FFFFFF"/>
          <w:lang w:eastAsia="zh-CN"/>
        </w:rPr>
        <w:t>20</w:t>
      </w:r>
      <w:r>
        <w:rPr>
          <w:rFonts w:hint="eastAsia" w:ascii="仿宋_GB2312" w:hAnsi="仿宋_GB2312" w:eastAsia="仿宋_GB2312" w:cs="仿宋_GB2312"/>
          <w:color w:val="000000"/>
          <w:kern w:val="0"/>
          <w:sz w:val="32"/>
          <w:szCs w:val="32"/>
          <w:shd w:val="clear" w:color="auto" w:fill="FFFFFF"/>
          <w:lang w:val="en-US" w:eastAsia="zh-CN"/>
        </w:rPr>
        <w:t>19</w:t>
      </w:r>
      <w:r>
        <w:rPr>
          <w:rFonts w:hint="eastAsia" w:ascii="仿宋_GB2312" w:hAnsi="仿宋_GB2312" w:eastAsia="仿宋_GB2312" w:cs="仿宋_GB2312"/>
          <w:color w:val="000000"/>
          <w:kern w:val="0"/>
          <w:sz w:val="32"/>
          <w:szCs w:val="32"/>
          <w:shd w:val="clear" w:color="auto" w:fill="FFFFFF"/>
        </w:rPr>
        <w:t>]77号）以及《中共阿坝州委机构编制委员会关于调整州住房和城乡建设局所属事业单位有关机构编制事项的通知》（阿编发[</w:t>
      </w:r>
      <w:r>
        <w:rPr>
          <w:rFonts w:hint="eastAsia" w:ascii="仿宋_GB2312" w:hAnsi="仿宋_GB2312" w:eastAsia="仿宋_GB2312" w:cs="仿宋_GB2312"/>
          <w:color w:val="000000"/>
          <w:kern w:val="0"/>
          <w:sz w:val="32"/>
          <w:szCs w:val="32"/>
          <w:shd w:val="clear" w:color="auto" w:fill="FFFFFF"/>
          <w:lang w:eastAsia="zh-CN"/>
        </w:rPr>
        <w:t>20</w:t>
      </w:r>
      <w:r>
        <w:rPr>
          <w:rFonts w:hint="eastAsia" w:ascii="仿宋_GB2312" w:hAnsi="仿宋_GB2312" w:eastAsia="仿宋_GB2312" w:cs="仿宋_GB2312"/>
          <w:color w:val="000000"/>
          <w:kern w:val="0"/>
          <w:sz w:val="32"/>
          <w:szCs w:val="32"/>
          <w:shd w:val="clear" w:color="auto" w:fill="FFFFFF"/>
          <w:lang w:val="en-US" w:eastAsia="zh-CN"/>
        </w:rPr>
        <w:t>19</w:t>
      </w:r>
      <w:r>
        <w:rPr>
          <w:rFonts w:hint="eastAsia" w:ascii="仿宋_GB2312" w:hAnsi="仿宋_GB2312" w:eastAsia="仿宋_GB2312" w:cs="仿宋_GB2312"/>
          <w:color w:val="000000"/>
          <w:kern w:val="0"/>
          <w:sz w:val="32"/>
          <w:szCs w:val="32"/>
          <w:shd w:val="clear" w:color="auto" w:fill="FFFFFF"/>
        </w:rPr>
        <w:t>]53号）批准，下属阿坝州城市管理综合行政执法监督局、阿坝州建设工程质量安全监督站（州工程造价站）2个直属参公事业单位和阿坝州城乡环境综合治理服务中心、阿坝州房产交易中心2个直属事业单位。</w:t>
      </w:r>
    </w:p>
    <w:p w14:paraId="1D3D5973">
      <w:pPr>
        <w:spacing w:line="580" w:lineRule="exact"/>
        <w:ind w:firstLine="643" w:firstLineChars="200"/>
        <w:rPr>
          <w:rFonts w:hint="eastAsia" w:ascii="仿宋_GB2312" w:hAnsi="仿宋_GB2312" w:eastAsia="仿宋_GB2312" w:cs="仿宋_GB2312"/>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（二）机构职能。</w:t>
      </w:r>
      <w:r>
        <w:rPr>
          <w:rFonts w:hint="eastAsia" w:ascii="仿宋_GB2312" w:hAnsi="仿宋_GB2312" w:eastAsia="仿宋_GB2312" w:cs="仿宋_GB2312"/>
          <w:color w:val="000000"/>
          <w:kern w:val="0"/>
          <w:sz w:val="32"/>
          <w:szCs w:val="32"/>
          <w:shd w:val="clear" w:color="auto" w:fill="FFFFFF"/>
        </w:rPr>
        <w:t>阿坝州住房和城乡建设局根据《中共阿坝州委机构编制委员会关于调整州住房和城乡建设局机构编制事项的通知》（阿编发[</w:t>
      </w:r>
      <w:r>
        <w:rPr>
          <w:rFonts w:hint="eastAsia" w:ascii="仿宋_GB2312" w:hAnsi="仿宋_GB2312" w:eastAsia="仿宋_GB2312" w:cs="仿宋_GB2312"/>
          <w:color w:val="000000"/>
          <w:kern w:val="0"/>
          <w:sz w:val="32"/>
          <w:szCs w:val="32"/>
          <w:shd w:val="clear" w:color="auto" w:fill="FFFFFF"/>
          <w:lang w:eastAsia="zh-CN"/>
        </w:rPr>
        <w:t>20</w:t>
      </w:r>
      <w:r>
        <w:rPr>
          <w:rFonts w:hint="eastAsia" w:ascii="仿宋_GB2312" w:hAnsi="仿宋_GB2312" w:eastAsia="仿宋_GB2312" w:cs="仿宋_GB2312"/>
          <w:color w:val="000000"/>
          <w:kern w:val="0"/>
          <w:sz w:val="32"/>
          <w:szCs w:val="32"/>
          <w:shd w:val="clear" w:color="auto" w:fill="FFFFFF"/>
          <w:lang w:val="en-US" w:eastAsia="zh-CN"/>
        </w:rPr>
        <w:t>19</w:t>
      </w:r>
      <w:r>
        <w:rPr>
          <w:rFonts w:hint="eastAsia" w:ascii="仿宋_GB2312" w:hAnsi="仿宋_GB2312" w:eastAsia="仿宋_GB2312" w:cs="仿宋_GB2312"/>
          <w:color w:val="000000"/>
          <w:kern w:val="0"/>
          <w:sz w:val="32"/>
          <w:szCs w:val="32"/>
          <w:shd w:val="clear" w:color="auto" w:fill="FFFFFF"/>
        </w:rPr>
        <w:t>]77号）批准，贯彻执行国家有关住房和城乡建设的法律、法规、规章和方针政策，统筹发展全州住房和城乡建设工作。</w:t>
      </w:r>
    </w:p>
    <w:p w14:paraId="322433FC">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阿坝州建设工程质量安全监督站（州工程造价站）负责全州建筑工程施工质量、安全生产、工地环保、竣工验收备案等工作的实施、监督执行及技术指导；负责全州建设工程监理、工程质量检测及鉴定行业的监督管理；提供全州建筑工程质量安全事故的调查服务。阿坝州城市管理综合行政执法监督局贯彻执行国家有关城市管理执法的法律、法规、规章和方针政策；组织拟订全州城市管理政策措施并监督执行；负责全州城市管理执法业务指导、组织协调、监督检查工作，指导全州城市管理执法队伍建设；组织查处涉及城乡建设领域重大案件，协调、监督跨县（市）案件的查处。</w:t>
      </w:r>
    </w:p>
    <w:p w14:paraId="7A8AFCF0">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阿坝州城乡环境综合治理服务中心依据国家、地方有关城市建设管理法律、法规、规章和《四川省城乡环境综合治理条例》等行政法规，对违反城乡环境综合治理的违法违章行为依法实施监察和处置，对全州城乡环境综合治理工作的监督、检查、指导。阿坝州房产交易中心负责宣传和执行国家、省、州有关房地产权登记管理方面的法律、法规、政策；负责全州商品房预售登记，预购登记，预售资金监督及预售商品房广告监督；负责对全州房地产交易、登记、转移、赠与、继承、租赁等活动的监管；负责全州房地产信息网络平台的建设、维护和管理；接受州级公安局、检察院、法院、纪委、组织部、省建设厅这六部门对全州特定人员的房产核查工作。</w:t>
      </w:r>
    </w:p>
    <w:p w14:paraId="3CAFE1DC">
      <w:pPr>
        <w:spacing w:line="580" w:lineRule="exact"/>
        <w:ind w:firstLine="643" w:firstLineChars="200"/>
        <w:rPr>
          <w:rFonts w:hint="eastAsia" w:ascii="仿宋_GB2312" w:hAnsi="仿宋_GB2312" w:eastAsia="仿宋_GB2312" w:cs="仿宋_GB2312"/>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（三）人员概况</w:t>
      </w:r>
      <w:r>
        <w:rPr>
          <w:rFonts w:hint="eastAsia" w:ascii="仿宋_GB2312" w:hAnsi="仿宋_GB2312" w:eastAsia="仿宋_GB2312" w:cs="仿宋_GB2312"/>
          <w:color w:val="000000"/>
          <w:kern w:val="0"/>
          <w:sz w:val="32"/>
          <w:szCs w:val="32"/>
          <w:shd w:val="clear" w:color="auto" w:fill="FFFFFF"/>
        </w:rPr>
        <w:t>。阿坝州住房和城乡建设局现有编制</w:t>
      </w:r>
      <w:r>
        <w:rPr>
          <w:rFonts w:hint="eastAsia" w:ascii="仿宋_GB2312" w:hAnsi="仿宋_GB2312" w:eastAsia="仿宋_GB2312" w:cs="仿宋_GB2312"/>
          <w:color w:val="000000"/>
          <w:kern w:val="0"/>
          <w:sz w:val="32"/>
          <w:szCs w:val="32"/>
          <w:shd w:val="clear" w:color="auto" w:fill="FFFFFF"/>
          <w:lang w:val="en-US" w:eastAsia="zh-CN"/>
        </w:rPr>
        <w:t>36</w:t>
      </w:r>
      <w:r>
        <w:rPr>
          <w:rFonts w:hint="eastAsia" w:ascii="仿宋_GB2312" w:hAnsi="仿宋_GB2312" w:eastAsia="仿宋_GB2312" w:cs="仿宋_GB2312"/>
          <w:color w:val="000000"/>
          <w:kern w:val="0"/>
          <w:sz w:val="32"/>
          <w:szCs w:val="32"/>
          <w:shd w:val="clear" w:color="auto" w:fill="FFFFFF"/>
        </w:rPr>
        <w:t>名，其中行政编制20名（含行政工勤3名），参公编制16名。</w:t>
      </w:r>
      <w:r>
        <w:rPr>
          <w:rFonts w:hint="eastAsia" w:ascii="仿宋_GB2312" w:hAnsi="仿宋_GB2312" w:eastAsia="仿宋_GB2312" w:cs="仿宋_GB2312"/>
          <w:color w:val="000000"/>
          <w:kern w:val="0"/>
          <w:sz w:val="32"/>
          <w:szCs w:val="32"/>
          <w:shd w:val="clear" w:color="auto" w:fill="FFFFFF"/>
          <w:lang w:val="en-US" w:eastAsia="zh-CN"/>
        </w:rPr>
        <w:t>2021年末</w:t>
      </w:r>
      <w:r>
        <w:rPr>
          <w:rFonts w:hint="eastAsia" w:ascii="仿宋_GB2312" w:hAnsi="仿宋_GB2312" w:eastAsia="仿宋_GB2312" w:cs="仿宋_GB2312"/>
          <w:color w:val="000000"/>
          <w:kern w:val="0"/>
          <w:sz w:val="32"/>
          <w:szCs w:val="32"/>
          <w:shd w:val="clear" w:color="auto" w:fill="FFFFFF"/>
        </w:rPr>
        <w:t>实有在职人员</w:t>
      </w:r>
      <w:r>
        <w:rPr>
          <w:rFonts w:hint="eastAsia" w:ascii="仿宋_GB2312" w:hAnsi="仿宋_GB2312" w:eastAsia="仿宋_GB2312" w:cs="仿宋_GB2312"/>
          <w:color w:val="000000"/>
          <w:kern w:val="0"/>
          <w:sz w:val="32"/>
          <w:szCs w:val="32"/>
          <w:shd w:val="clear" w:color="auto" w:fill="FFFFFF"/>
          <w:lang w:val="en-US" w:eastAsia="zh-CN"/>
        </w:rPr>
        <w:t>29</w:t>
      </w:r>
      <w:r>
        <w:rPr>
          <w:rFonts w:hint="eastAsia" w:ascii="仿宋_GB2312" w:hAnsi="仿宋_GB2312" w:eastAsia="仿宋_GB2312" w:cs="仿宋_GB2312"/>
          <w:color w:val="000000"/>
          <w:kern w:val="0"/>
          <w:sz w:val="32"/>
          <w:szCs w:val="32"/>
          <w:shd w:val="clear" w:color="auto" w:fill="FFFFFF"/>
        </w:rPr>
        <w:t>人，其中：行政</w:t>
      </w:r>
      <w:r>
        <w:rPr>
          <w:rFonts w:hint="eastAsia" w:ascii="仿宋_GB2312" w:hAnsi="仿宋_GB2312" w:eastAsia="仿宋_GB2312" w:cs="仿宋_GB2312"/>
          <w:color w:val="000000"/>
          <w:kern w:val="0"/>
          <w:sz w:val="32"/>
          <w:szCs w:val="32"/>
          <w:shd w:val="clear" w:color="auto" w:fill="FFFFFF"/>
          <w:lang w:val="en-US" w:eastAsia="zh-CN"/>
        </w:rPr>
        <w:t>15</w:t>
      </w:r>
      <w:r>
        <w:rPr>
          <w:rFonts w:hint="eastAsia" w:ascii="仿宋_GB2312" w:hAnsi="仿宋_GB2312" w:eastAsia="仿宋_GB2312" w:cs="仿宋_GB2312"/>
          <w:color w:val="000000"/>
          <w:kern w:val="0"/>
          <w:sz w:val="32"/>
          <w:szCs w:val="32"/>
          <w:shd w:val="clear" w:color="auto" w:fill="FFFFFF"/>
        </w:rPr>
        <w:t>人，参公14人。实有退休人员</w:t>
      </w:r>
      <w:r>
        <w:rPr>
          <w:rFonts w:hint="eastAsia" w:ascii="仿宋_GB2312" w:hAnsi="仿宋_GB2312" w:eastAsia="仿宋_GB2312" w:cs="仿宋_GB2312"/>
          <w:color w:val="000000"/>
          <w:kern w:val="0"/>
          <w:sz w:val="32"/>
          <w:szCs w:val="32"/>
          <w:shd w:val="clear" w:color="auto" w:fill="FFFFFF"/>
          <w:lang w:val="en-US" w:eastAsia="zh-CN"/>
        </w:rPr>
        <w:t>17</w:t>
      </w:r>
      <w:r>
        <w:rPr>
          <w:rFonts w:hint="eastAsia" w:ascii="仿宋_GB2312" w:hAnsi="仿宋_GB2312" w:eastAsia="仿宋_GB2312" w:cs="仿宋_GB2312"/>
          <w:color w:val="000000"/>
          <w:kern w:val="0"/>
          <w:sz w:val="32"/>
          <w:szCs w:val="32"/>
          <w:shd w:val="clear" w:color="auto" w:fill="FFFFFF"/>
        </w:rPr>
        <w:t>人。</w:t>
      </w:r>
    </w:p>
    <w:p w14:paraId="0104D2E5">
      <w:pPr>
        <w:spacing w:line="580" w:lineRule="exact"/>
        <w:ind w:firstLine="640" w:firstLineChars="200"/>
        <w:rPr>
          <w:rFonts w:hint="eastAsia"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二、部门财政资金收支情况</w:t>
      </w:r>
    </w:p>
    <w:p w14:paraId="7E996DDB">
      <w:pPr>
        <w:spacing w:line="580" w:lineRule="exact"/>
        <w:ind w:firstLine="643" w:firstLineChars="200"/>
        <w:rPr>
          <w:rFonts w:hint="eastAsia" w:ascii="楷体_GB2312" w:hAnsi="楷体_GB2312" w:eastAsia="楷体_GB2312" w:cs="楷体_GB2312"/>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（一）部门财政资金收入情况</w:t>
      </w:r>
      <w:r>
        <w:rPr>
          <w:rFonts w:hint="eastAsia" w:ascii="楷体_GB2312" w:hAnsi="楷体_GB2312" w:eastAsia="楷体_GB2312" w:cs="楷体_GB2312"/>
          <w:color w:val="000000"/>
          <w:kern w:val="0"/>
          <w:sz w:val="32"/>
          <w:szCs w:val="32"/>
          <w:shd w:val="clear" w:color="auto" w:fill="FFFFFF"/>
        </w:rPr>
        <w:t>。</w:t>
      </w:r>
    </w:p>
    <w:p w14:paraId="6BDCDB5E">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en-US" w:eastAsia="zh-CN"/>
        </w:rPr>
        <w:t>2021</w:t>
      </w:r>
      <w:r>
        <w:rPr>
          <w:rFonts w:hint="eastAsia" w:ascii="仿宋_GB2312" w:hAnsi="仿宋_GB2312" w:eastAsia="仿宋_GB2312" w:cs="仿宋_GB2312"/>
          <w:color w:val="000000"/>
          <w:kern w:val="0"/>
          <w:sz w:val="32"/>
          <w:szCs w:val="32"/>
          <w:shd w:val="clear" w:color="auto" w:fill="FFFFFF"/>
        </w:rPr>
        <w:t>年度一般公共预算财政拨款收入14589716.74元，其中年初结转和结余2191230元。本年支出总计14589716.74元，其中年末结转和结余</w:t>
      </w:r>
      <w:r>
        <w:rPr>
          <w:rFonts w:hint="eastAsia" w:ascii="仿宋_GB2312" w:hAnsi="仿宋_GB2312" w:eastAsia="仿宋_GB2312" w:cs="仿宋_GB2312"/>
          <w:color w:val="000000"/>
          <w:kern w:val="0"/>
          <w:sz w:val="32"/>
          <w:szCs w:val="32"/>
          <w:shd w:val="clear" w:color="auto" w:fill="FFFFFF"/>
          <w:lang w:val="en-US" w:eastAsia="zh-CN"/>
        </w:rPr>
        <w:t>3101540</w:t>
      </w:r>
      <w:r>
        <w:rPr>
          <w:rFonts w:hint="eastAsia" w:ascii="仿宋_GB2312" w:hAnsi="仿宋_GB2312" w:eastAsia="仿宋_GB2312" w:cs="仿宋_GB2312"/>
          <w:color w:val="000000"/>
          <w:kern w:val="0"/>
          <w:sz w:val="32"/>
          <w:szCs w:val="32"/>
          <w:shd w:val="clear" w:color="auto" w:fill="FFFFFF"/>
        </w:rPr>
        <w:t>元。基本支出数为7444788.97元，占61.29%；项目支出数为4043387.77元，占38.71%。基本支出中，人员经费支出6112659.48元，占83.60%；日常公用经费支出1332129.49万元，占16.40%。</w:t>
      </w:r>
    </w:p>
    <w:p w14:paraId="7B1BA169">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eastAsia="zh-CN"/>
        </w:rPr>
        <w:t>2021</w:t>
      </w:r>
      <w:r>
        <w:rPr>
          <w:rFonts w:hint="eastAsia" w:ascii="仿宋_GB2312" w:hAnsi="仿宋_GB2312" w:eastAsia="仿宋_GB2312" w:cs="仿宋_GB2312"/>
          <w:color w:val="000000"/>
          <w:kern w:val="0"/>
          <w:sz w:val="32"/>
          <w:szCs w:val="32"/>
          <w:shd w:val="clear" w:color="auto" w:fill="FFFFFF"/>
        </w:rPr>
        <w:t>年度一般公共预算拨款收入12398486.74元，上年结转2191230元，事业收入0万元，其他收入0万元；支出包括：社会保障和就业支出716556.92元，卫生健康支出357169.49元，城乡社区支出9932104.33元，住房保障支出482346元。</w:t>
      </w:r>
    </w:p>
    <w:p w14:paraId="586EC8BD">
      <w:pPr>
        <w:spacing w:line="580" w:lineRule="exact"/>
        <w:ind w:firstLine="643" w:firstLineChars="200"/>
        <w:rPr>
          <w:rFonts w:hint="eastAsia" w:ascii="楷体_GB2312" w:hAnsi="楷体_GB2312" w:eastAsia="楷体_GB2312" w:cs="楷体_GB2312"/>
          <w:b/>
          <w:bCs/>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（二）部门财政资金支出情况。</w:t>
      </w:r>
    </w:p>
    <w:p w14:paraId="50489BD3">
      <w:pPr>
        <w:spacing w:line="580" w:lineRule="exact"/>
        <w:ind w:firstLine="640" w:firstLineChars="200"/>
        <w:rPr>
          <w:rFonts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color w:val="000000"/>
          <w:kern w:val="0"/>
          <w:sz w:val="32"/>
          <w:szCs w:val="32"/>
          <w:shd w:val="clear" w:color="auto" w:fill="FFFFFF"/>
        </w:rPr>
        <w:t xml:space="preserve"> </w:t>
      </w:r>
      <w:r>
        <w:rPr>
          <w:rFonts w:hint="eastAsia" w:ascii="仿宋_GB2312" w:hAnsi="仿宋_GB2312" w:eastAsia="仿宋_GB2312" w:cs="仿宋_GB2312"/>
          <w:color w:val="000000"/>
          <w:kern w:val="0"/>
          <w:sz w:val="32"/>
          <w:szCs w:val="32"/>
          <w:shd w:val="clear" w:color="auto" w:fill="FFFFFF"/>
          <w:lang w:val="en-US" w:eastAsia="zh-CN"/>
        </w:rPr>
        <w:t>2021</w:t>
      </w:r>
      <w:r>
        <w:rPr>
          <w:rFonts w:hint="eastAsia" w:ascii="仿宋_GB2312" w:hAnsi="仿宋_GB2312" w:eastAsia="仿宋_GB2312" w:cs="仿宋_GB2312"/>
          <w:color w:val="000000"/>
          <w:kern w:val="0"/>
          <w:sz w:val="32"/>
          <w:szCs w:val="32"/>
          <w:shd w:val="clear" w:color="auto" w:fill="FFFFFF"/>
        </w:rPr>
        <w:t>年单位负责实施项目支出情况为：各项业务培训费272660元；阿坝州公共厕所专项规划编制经费317600元；阿坝州国家级传统村落专项规划编制经费318000元；全州领导干部个人房产信息核查系统端口运行维护费176000元；公务用车购置税费52902.66元；阿坝州传统村落宣传推广工作经费41400元；深化“放管服”改革推进工作经费49856元；阿坝州工程建设项目审批管理平台建设经费177240</w:t>
      </w:r>
      <w:r>
        <w:rPr>
          <w:rFonts w:hint="eastAsia" w:ascii="仿宋_GB2312" w:hAnsi="仿宋_GB2312" w:eastAsia="仿宋_GB2312" w:cs="仿宋_GB2312"/>
          <w:color w:val="000000"/>
          <w:kern w:val="0"/>
          <w:sz w:val="32"/>
          <w:szCs w:val="32"/>
          <w:shd w:val="clear" w:color="auto" w:fill="FFFFFF"/>
          <w:lang w:val="en-US" w:eastAsia="zh-CN"/>
        </w:rPr>
        <w:t>0元</w:t>
      </w:r>
      <w:r>
        <w:rPr>
          <w:rFonts w:hint="eastAsia" w:ascii="仿宋_GB2312" w:hAnsi="仿宋_GB2312" w:eastAsia="仿宋_GB2312" w:cs="仿宋_GB2312"/>
          <w:color w:val="000000"/>
          <w:kern w:val="0"/>
          <w:sz w:val="32"/>
          <w:szCs w:val="32"/>
          <w:shd w:val="clear" w:color="auto" w:fill="FFFFFF"/>
          <w:lang w:eastAsia="zh-CN"/>
        </w:rPr>
        <w:t>；全州住建局视频会议云视讯设备功能费及专线运行维护费84000</w:t>
      </w:r>
      <w:r>
        <w:rPr>
          <w:rFonts w:hint="eastAsia" w:ascii="仿宋_GB2312" w:hAnsi="仿宋_GB2312" w:eastAsia="仿宋_GB2312" w:cs="仿宋_GB2312"/>
          <w:color w:val="000000"/>
          <w:kern w:val="0"/>
          <w:sz w:val="32"/>
          <w:szCs w:val="32"/>
          <w:shd w:val="clear" w:color="auto" w:fill="FFFFFF"/>
          <w:lang w:val="en-US" w:eastAsia="zh-CN"/>
        </w:rPr>
        <w:t>元；公务用车更新购置（缺口）资金347800元；州住建局大门维修改造48300元；阿坝州“十四五”住房和城乡建设事业发展规划177000元；办公设备购置60000元；公务用车大修78463元。</w:t>
      </w:r>
    </w:p>
    <w:p w14:paraId="2A7C41EA">
      <w:pPr>
        <w:spacing w:line="580" w:lineRule="exact"/>
        <w:ind w:firstLine="640" w:firstLineChars="200"/>
        <w:rPr>
          <w:rFonts w:hint="eastAsia"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三、部门财政支出管理情况</w:t>
      </w:r>
    </w:p>
    <w:p w14:paraId="245BC93E">
      <w:pPr>
        <w:spacing w:line="580" w:lineRule="exact"/>
        <w:ind w:firstLine="643" w:firstLineChars="200"/>
        <w:rPr>
          <w:rFonts w:hint="eastAsia" w:ascii="楷体_GB2312" w:hAnsi="楷体_GB2312" w:eastAsia="楷体_GB2312" w:cs="楷体_GB2312"/>
          <w:b/>
          <w:bCs/>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（一）预算编制情况。</w:t>
      </w:r>
    </w:p>
    <w:p w14:paraId="43E9A74D">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部门预算编制工作与部门年度工作安排紧密相关，与各业务科室紧密相连。我局领导高度重视部门预算编制工作，结合单位的中心工作、近几年来的工作开展情况、上级领导及其主管部门对下一年度的工作思路，通过准确填报部门基础信息、合理测算项目支出、提高采购编制的完整性等途径，不断提高预算编制精细化水平，不断完善项目绩效评价体系。</w:t>
      </w:r>
    </w:p>
    <w:p w14:paraId="37CDACF1">
      <w:pPr>
        <w:spacing w:line="580" w:lineRule="exact"/>
        <w:ind w:firstLine="643" w:firstLineChars="200"/>
        <w:rPr>
          <w:rFonts w:hint="eastAsia" w:ascii="仿宋_GB2312" w:hAnsi="仿宋_GB2312" w:eastAsia="仿宋_GB2312" w:cs="仿宋_GB2312"/>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（二）执行管理情况。</w:t>
      </w:r>
      <w:r>
        <w:rPr>
          <w:rFonts w:hint="eastAsia" w:ascii="仿宋_GB2312" w:hAnsi="仿宋_GB2312" w:eastAsia="仿宋_GB2312" w:cs="仿宋_GB2312"/>
          <w:color w:val="000000"/>
          <w:kern w:val="0"/>
          <w:sz w:val="32"/>
          <w:szCs w:val="32"/>
          <w:shd w:val="clear" w:color="auto" w:fill="FFFFFF"/>
        </w:rPr>
        <w:tab/>
      </w:r>
    </w:p>
    <w:p w14:paraId="40DC349F">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在执行管理方面，我局能认真贯彻执行《会计法》、《会计基础工作规范》、《行政单位会计制度》等各类财务会计制度，设立了专职的会计、出纳岗位，严格执行会计人员从业资格准入制度，配备了具有会计从业资格的人员从事财务工作，制定了我局相关的财务管理制度，明确了会计、出纳岗位职责，严格执行会计制度，按规定进行会计账簿和科目的设置，按规定设立银行账户，不断健全财务审批制度，实行单位主管财务领导、分管领导审批制度，按规定进行报账记账，坚决杜绝账外账、多头开户、违规开户和违规使用资金的现象，不断加强财务管理，建立完善会计档案，不断规范了单位财务工作，保证了各类资金的合理有效使用。</w:t>
      </w:r>
    </w:p>
    <w:p w14:paraId="5E71BEF1">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建立健全财务会计管理制度，财务会计安排专人负责，做好资金预算编制和有效的使用资金，监督资金的正常运行，维护资金的安全。做好会计核算工作，建立会计核算档案，包括会计凭证、会计账薄、会计报表和其他会计资料。经自查，会计资料真实完整，核算合规。</w:t>
      </w:r>
    </w:p>
    <w:p w14:paraId="14354021">
      <w:pPr>
        <w:spacing w:line="580" w:lineRule="exact"/>
        <w:ind w:firstLine="643" w:firstLineChars="200"/>
        <w:rPr>
          <w:rFonts w:hint="eastAsia" w:ascii="楷体_GB2312" w:hAnsi="楷体_GB2312" w:eastAsia="楷体_GB2312" w:cs="楷体_GB2312"/>
          <w:b/>
          <w:bCs/>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（三）综合管理情况。</w:t>
      </w:r>
    </w:p>
    <w:p w14:paraId="3820A527">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根据我局工作实际，在建立并实施内部监督和控制制度过程中，建立了《进一步规范财务报账加强财务管理制度》等相关内部管理制度。严格执行政府采购制度及我局财务内控制度，重大事项须通过全体班子会议，再向财政部门申请同意后，方可采购。</w:t>
      </w:r>
    </w:p>
    <w:p w14:paraId="7CDC5897">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 xml:space="preserve">建立和完善各项制度的同时，相关人员在工作过程中严格遵守规章制度，有效地实施了内部监督和控制，保证了会计工作的真实性、完整性以及单位财产的安全，加强了对各项资产的监督和管理，杜绝了各种漏洞的发生，达到了以下三点要求：  </w:t>
      </w:r>
    </w:p>
    <w:p w14:paraId="1E0EA12C">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 xml:space="preserve">1.明确了记账人员与审批人员、经办人员的职责权限，使其相互分离、相互制约，以明确责任，防止舞弊，各项会计事项得以有序进行。  </w:t>
      </w:r>
    </w:p>
    <w:p w14:paraId="716D8343">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 xml:space="preserve">2.明确了财务收支审批程序和审批人的职责和权限，规范了各项资金的使用，提高了资金使用效益。  </w:t>
      </w:r>
    </w:p>
    <w:p w14:paraId="15E0A692">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3.明确了经费支出的开支范围和标准，采取各种有效措施控制经费开支，杜绝了浪费现象的发生。</w:t>
      </w:r>
    </w:p>
    <w:p w14:paraId="03D2FB52">
      <w:pPr>
        <w:spacing w:line="580" w:lineRule="exact"/>
        <w:ind w:firstLine="643" w:firstLineChars="200"/>
        <w:rPr>
          <w:rFonts w:hint="eastAsia" w:ascii="楷体_GB2312" w:hAnsi="楷体_GB2312" w:eastAsia="楷体_GB2312" w:cs="楷体_GB2312"/>
          <w:b/>
          <w:bCs/>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（四）整体绩效。</w:t>
      </w:r>
    </w:p>
    <w:p w14:paraId="5F12368F">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en-US" w:eastAsia="zh-CN"/>
        </w:rPr>
        <w:t>2021</w:t>
      </w:r>
      <w:r>
        <w:rPr>
          <w:rFonts w:hint="eastAsia" w:ascii="仿宋_GB2312" w:hAnsi="仿宋_GB2312" w:eastAsia="仿宋_GB2312" w:cs="仿宋_GB2312"/>
          <w:color w:val="000000"/>
          <w:kern w:val="0"/>
          <w:sz w:val="32"/>
          <w:szCs w:val="32"/>
          <w:shd w:val="clear" w:color="auto" w:fill="FFFFFF"/>
        </w:rPr>
        <w:t>年，单位较好的完成了年初制定的重点工作任务，有序推进脱贫攻坚住房保障工作，持续推进全州住房和城乡建设事业</w:t>
      </w:r>
      <w:r>
        <w:rPr>
          <w:rFonts w:hint="eastAsia" w:ascii="仿宋_GB2312" w:hAnsi="仿宋_GB2312" w:eastAsia="仿宋_GB2312" w:cs="仿宋_GB2312"/>
          <w:color w:val="000000"/>
          <w:kern w:val="0"/>
          <w:sz w:val="32"/>
          <w:szCs w:val="32"/>
          <w:shd w:val="clear" w:color="auto" w:fill="FFFFFF"/>
          <w:lang w:val="en-US" w:eastAsia="zh-CN"/>
        </w:rPr>
        <w:t>健康</w:t>
      </w:r>
      <w:r>
        <w:rPr>
          <w:rFonts w:hint="eastAsia" w:ascii="仿宋_GB2312" w:hAnsi="仿宋_GB2312" w:eastAsia="仿宋_GB2312" w:cs="仿宋_GB2312"/>
          <w:color w:val="000000"/>
          <w:kern w:val="0"/>
          <w:sz w:val="32"/>
          <w:szCs w:val="32"/>
          <w:shd w:val="clear" w:color="auto" w:fill="FFFFFF"/>
        </w:rPr>
        <w:t>发展。</w:t>
      </w:r>
    </w:p>
    <w:p w14:paraId="4A2D19C5">
      <w:pPr>
        <w:spacing w:line="580" w:lineRule="exact"/>
        <w:ind w:firstLine="640" w:firstLineChars="200"/>
        <w:rPr>
          <w:rFonts w:hint="eastAsia"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四、评价结论及建议</w:t>
      </w:r>
    </w:p>
    <w:p w14:paraId="1B7925EF">
      <w:pPr>
        <w:spacing w:line="580" w:lineRule="exact"/>
        <w:ind w:firstLine="643" w:firstLineChars="200"/>
        <w:rPr>
          <w:rFonts w:hint="eastAsia" w:ascii="楷体_GB2312" w:hAnsi="楷体_GB2312" w:eastAsia="楷体_GB2312" w:cs="楷体_GB2312"/>
          <w:b/>
          <w:bCs/>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（一）评价结论。</w:t>
      </w:r>
    </w:p>
    <w:p w14:paraId="09A87C72">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en-US" w:eastAsia="zh-CN"/>
        </w:rPr>
        <w:t>2021</w:t>
      </w:r>
      <w:r>
        <w:rPr>
          <w:rFonts w:hint="eastAsia" w:ascii="仿宋_GB2312" w:hAnsi="仿宋_GB2312" w:eastAsia="仿宋_GB2312" w:cs="仿宋_GB2312"/>
          <w:color w:val="000000"/>
          <w:kern w:val="0"/>
          <w:sz w:val="32"/>
          <w:szCs w:val="32"/>
          <w:shd w:val="clear" w:color="auto" w:fill="FFFFFF"/>
        </w:rPr>
        <w:t>年度，单位较好的完成了年初预算绩效目标任务，</w:t>
      </w:r>
      <w:r>
        <w:rPr>
          <w:rFonts w:hint="eastAsia" w:ascii="仿宋_GB2312" w:hAnsi="仿宋_GB2312" w:eastAsia="仿宋_GB2312" w:cs="仿宋_GB2312"/>
          <w:color w:val="000000"/>
          <w:kern w:val="0"/>
          <w:sz w:val="32"/>
          <w:szCs w:val="32"/>
          <w:shd w:val="clear" w:color="auto" w:fill="FFFFFF"/>
          <w:lang w:val="en-US" w:eastAsia="zh-CN"/>
        </w:rPr>
        <w:t>预算执行效率效益较高。</w:t>
      </w:r>
    </w:p>
    <w:p w14:paraId="0C764543">
      <w:pPr>
        <w:spacing w:line="580" w:lineRule="exact"/>
        <w:ind w:firstLine="643" w:firstLineChars="200"/>
        <w:rPr>
          <w:rFonts w:hint="eastAsia" w:ascii="楷体_GB2312" w:hAnsi="楷体_GB2312" w:eastAsia="楷体_GB2312" w:cs="楷体_GB2312"/>
          <w:b/>
          <w:bCs/>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（二）存在问题。</w:t>
      </w:r>
    </w:p>
    <w:p w14:paraId="5AED4F2D">
      <w:pPr>
        <w:spacing w:line="580" w:lineRule="exact"/>
        <w:ind w:firstLine="640" w:firstLineChars="200"/>
        <w:rPr>
          <w:rFonts w:hint="eastAsia" w:ascii="仿宋_GB2312" w:hAnsi="仿宋_GB2312" w:eastAsia="仿宋_GB2312" w:cs="仿宋_GB2312"/>
          <w:color w:val="000000"/>
          <w:kern w:val="0"/>
          <w:sz w:val="32"/>
          <w:szCs w:val="32"/>
          <w:shd w:val="clear" w:color="auto" w:fill="FFFFFF"/>
          <w:lang w:eastAsia="zh-CN"/>
        </w:rPr>
      </w:pPr>
      <w:r>
        <w:rPr>
          <w:rFonts w:hint="eastAsia" w:ascii="仿宋_GB2312" w:hAnsi="仿宋_GB2312" w:eastAsia="仿宋_GB2312" w:cs="仿宋_GB2312"/>
          <w:color w:val="000000"/>
          <w:kern w:val="0"/>
          <w:sz w:val="32"/>
          <w:szCs w:val="32"/>
          <w:shd w:val="clear" w:color="auto" w:fill="FFFFFF"/>
        </w:rPr>
        <w:t>单位部分项目推进较缓慢</w:t>
      </w:r>
      <w:r>
        <w:rPr>
          <w:rFonts w:hint="eastAsia" w:ascii="仿宋_GB2312" w:hAnsi="仿宋_GB2312" w:eastAsia="仿宋_GB2312" w:cs="仿宋_GB2312"/>
          <w:color w:val="000000"/>
          <w:kern w:val="0"/>
          <w:sz w:val="32"/>
          <w:szCs w:val="32"/>
          <w:shd w:val="clear" w:color="auto" w:fill="FFFFFF"/>
          <w:lang w:eastAsia="zh-CN"/>
        </w:rPr>
        <w:t>，</w:t>
      </w:r>
      <w:r>
        <w:rPr>
          <w:rFonts w:hint="eastAsia" w:ascii="仿宋_GB2312" w:hAnsi="仿宋_GB2312" w:eastAsia="仿宋_GB2312" w:cs="仿宋_GB2312"/>
          <w:color w:val="000000"/>
          <w:kern w:val="0"/>
          <w:sz w:val="32"/>
          <w:szCs w:val="32"/>
          <w:shd w:val="clear" w:color="auto" w:fill="FFFFFF"/>
          <w:lang w:val="en-US" w:eastAsia="zh-CN"/>
        </w:rPr>
        <w:t>表现为项目资金支付进度较慢</w:t>
      </w:r>
      <w:r>
        <w:rPr>
          <w:rFonts w:hint="eastAsia" w:ascii="仿宋_GB2312" w:hAnsi="仿宋_GB2312" w:eastAsia="仿宋_GB2312" w:cs="仿宋_GB2312"/>
          <w:color w:val="000000"/>
          <w:kern w:val="0"/>
          <w:sz w:val="32"/>
          <w:szCs w:val="32"/>
          <w:shd w:val="clear" w:color="auto" w:fill="FFFFFF"/>
          <w:lang w:eastAsia="zh-CN"/>
        </w:rPr>
        <w:t>。</w:t>
      </w:r>
    </w:p>
    <w:p w14:paraId="08B1E828">
      <w:pPr>
        <w:spacing w:line="580" w:lineRule="exact"/>
        <w:ind w:firstLine="643" w:firstLineChars="200"/>
        <w:rPr>
          <w:rFonts w:hint="eastAsia" w:ascii="楷体_GB2312" w:hAnsi="楷体_GB2312" w:eastAsia="楷体_GB2312" w:cs="楷体_GB2312"/>
          <w:b/>
          <w:bCs/>
          <w:color w:val="000000"/>
          <w:kern w:val="0"/>
          <w:sz w:val="32"/>
          <w:szCs w:val="32"/>
          <w:shd w:val="clear" w:color="auto" w:fill="FFFFFF"/>
        </w:rPr>
      </w:pPr>
      <w:r>
        <w:rPr>
          <w:rFonts w:hint="eastAsia" w:ascii="楷体_GB2312" w:hAnsi="楷体_GB2312" w:eastAsia="楷体_GB2312" w:cs="楷体_GB2312"/>
          <w:b/>
          <w:bCs/>
          <w:color w:val="000000"/>
          <w:kern w:val="0"/>
          <w:sz w:val="32"/>
          <w:szCs w:val="32"/>
          <w:shd w:val="clear" w:color="auto" w:fill="FFFFFF"/>
        </w:rPr>
        <w:t>（</w:t>
      </w:r>
      <w:r>
        <w:rPr>
          <w:rFonts w:hint="eastAsia" w:ascii="楷体_GB2312" w:hAnsi="楷体_GB2312" w:eastAsia="楷体_GB2312" w:cs="楷体_GB2312"/>
          <w:b/>
          <w:bCs/>
          <w:color w:val="000000"/>
          <w:kern w:val="0"/>
          <w:sz w:val="32"/>
          <w:szCs w:val="32"/>
          <w:shd w:val="clear" w:color="auto" w:fill="FFFFFF"/>
          <w:lang w:val="en-US" w:eastAsia="zh-CN"/>
        </w:rPr>
        <w:t>三</w:t>
      </w:r>
      <w:r>
        <w:rPr>
          <w:rFonts w:hint="eastAsia" w:ascii="楷体_GB2312" w:hAnsi="楷体_GB2312" w:eastAsia="楷体_GB2312" w:cs="楷体_GB2312"/>
          <w:b/>
          <w:bCs/>
          <w:color w:val="000000"/>
          <w:kern w:val="0"/>
          <w:sz w:val="32"/>
          <w:szCs w:val="32"/>
          <w:shd w:val="clear" w:color="auto" w:fill="FFFFFF"/>
        </w:rPr>
        <w:t>）改进建议。</w:t>
      </w:r>
    </w:p>
    <w:p w14:paraId="12638F41">
      <w:pPr>
        <w:spacing w:line="580" w:lineRule="exact"/>
        <w:ind w:firstLine="643" w:firstLineChars="200"/>
        <w:rPr>
          <w:rFonts w:hint="eastAsia"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rPr>
        <w:t>1.建立健全部门内部控制制度</w:t>
      </w:r>
    </w:p>
    <w:p w14:paraId="7620B1D1">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为严格预算执行，防范财务风险，确保财政资金使用安全，防止铺张浪费，必须建立健全内部控制制度。首先是要完善建章立制，内部控制不是局限作用于财务管理层面，而是要建成一套环环相扣的动态监督机制，在全局业务运作过程中发挥作用。其次是要提高内部控制意识，认识到内部控制的重要性，让单位所有职工都参与到内部控制的执行中，营造出内部控制的氛围。再次要充分发挥内部审计在内部控制中的作用，重视事前审计，提早纠正违规行为，以免造成重大损失。</w:t>
      </w:r>
    </w:p>
    <w:p w14:paraId="126BE5F8">
      <w:pPr>
        <w:spacing w:line="580" w:lineRule="exact"/>
        <w:ind w:firstLine="643" w:firstLineChars="200"/>
        <w:rPr>
          <w:rFonts w:hint="eastAsia"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rPr>
        <w:t>2.严格执行公用经费支出审批制度</w:t>
      </w:r>
    </w:p>
    <w:p w14:paraId="6D7BCBFF">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公用经费是保障部门预算单位机构正常运转和履行行政职能的物资基础，是部门预算的核心部分。建立完善的公用经费支出审批制度，能够从源头上节约部门的运行成本，提高财政资金的使用效益。在下一步工作中，本单位将严格执行公共经费支出审批制度。目前，我单位已于</w:t>
      </w:r>
      <w:r>
        <w:rPr>
          <w:rFonts w:hint="eastAsia" w:ascii="仿宋_GB2312" w:hAnsi="仿宋_GB2312" w:eastAsia="仿宋_GB2312" w:cs="仿宋_GB2312"/>
          <w:color w:val="000000"/>
          <w:kern w:val="0"/>
          <w:sz w:val="32"/>
          <w:szCs w:val="32"/>
          <w:shd w:val="clear" w:color="auto" w:fill="FFFFFF"/>
          <w:lang w:eastAsia="zh-CN"/>
        </w:rPr>
        <w:t>2021</w:t>
      </w:r>
      <w:r>
        <w:rPr>
          <w:rFonts w:hint="eastAsia" w:ascii="仿宋_GB2312" w:hAnsi="仿宋_GB2312" w:eastAsia="仿宋_GB2312" w:cs="仿宋_GB2312"/>
          <w:color w:val="000000"/>
          <w:kern w:val="0"/>
          <w:sz w:val="32"/>
          <w:szCs w:val="32"/>
          <w:shd w:val="clear" w:color="auto" w:fill="FFFFFF"/>
        </w:rPr>
        <w:t>年3月起更新单位报账填报单据，使各项要素更加清晰明了。健全制度抓规范，确保内部控制覆盖经济和业务活动的全范围，贯穿内部权力运行的决策、执行和监督全过程，形成良好的长效机制。加强财务管理，把好财政资金使用关口，对财政支出风险进行规范和管控，预防和杜绝违法、违纪、违规行为的发生。</w:t>
      </w:r>
    </w:p>
    <w:p w14:paraId="23E517CC">
      <w:pPr>
        <w:spacing w:line="580" w:lineRule="exact"/>
        <w:ind w:firstLine="640" w:firstLineChars="200"/>
        <w:jc w:val="both"/>
        <w:rPr>
          <w:rFonts w:hint="eastAsia" w:ascii="黑体" w:hAnsi="黑体" w:eastAsia="黑体" w:cs="黑体"/>
          <w:sz w:val="32"/>
          <w:szCs w:val="32"/>
          <w:lang w:val="en-US" w:eastAsia="zh-CN"/>
        </w:rPr>
      </w:pPr>
    </w:p>
    <w:p w14:paraId="38C9DEE7">
      <w:pPr>
        <w:spacing w:line="580" w:lineRule="exact"/>
        <w:ind w:firstLine="640" w:firstLineChars="200"/>
        <w:jc w:val="both"/>
        <w:rPr>
          <w:rFonts w:hint="eastAsia" w:ascii="黑体" w:hAnsi="黑体" w:eastAsia="黑体" w:cs="黑体"/>
          <w:sz w:val="32"/>
          <w:szCs w:val="32"/>
          <w:lang w:val="en-US" w:eastAsia="zh-CN"/>
        </w:rPr>
      </w:pPr>
    </w:p>
    <w:p w14:paraId="673803FE">
      <w:pPr>
        <w:spacing w:line="580" w:lineRule="exact"/>
        <w:ind w:firstLine="640" w:firstLineChars="200"/>
        <w:jc w:val="both"/>
        <w:rPr>
          <w:rFonts w:hint="eastAsia" w:ascii="黑体" w:hAnsi="黑体" w:eastAsia="黑体" w:cs="黑体"/>
          <w:sz w:val="32"/>
          <w:szCs w:val="32"/>
          <w:lang w:val="en-US" w:eastAsia="zh-CN"/>
        </w:rPr>
      </w:pPr>
    </w:p>
    <w:p w14:paraId="2C34CA0F">
      <w:pPr>
        <w:spacing w:line="580" w:lineRule="exact"/>
        <w:ind w:firstLine="640" w:firstLineChars="200"/>
        <w:jc w:val="both"/>
        <w:rPr>
          <w:rFonts w:hint="eastAsia" w:ascii="黑体" w:hAnsi="黑体" w:eastAsia="黑体" w:cs="黑体"/>
          <w:sz w:val="32"/>
          <w:szCs w:val="32"/>
          <w:lang w:val="en-US" w:eastAsia="zh-CN"/>
        </w:rPr>
      </w:pPr>
    </w:p>
    <w:p w14:paraId="77DD87B8">
      <w:pPr>
        <w:spacing w:line="580" w:lineRule="exact"/>
        <w:ind w:firstLine="640" w:firstLineChars="200"/>
        <w:jc w:val="both"/>
        <w:rPr>
          <w:rFonts w:hint="eastAsia" w:ascii="黑体" w:hAnsi="黑体" w:eastAsia="黑体" w:cs="黑体"/>
          <w:sz w:val="32"/>
          <w:szCs w:val="32"/>
          <w:lang w:val="en-US" w:eastAsia="zh-CN"/>
        </w:rPr>
      </w:pPr>
    </w:p>
    <w:p w14:paraId="04A89272">
      <w:pPr>
        <w:spacing w:line="580" w:lineRule="exact"/>
        <w:ind w:firstLine="640" w:firstLineChars="200"/>
        <w:jc w:val="both"/>
        <w:rPr>
          <w:rFonts w:hint="eastAsia" w:ascii="黑体" w:hAnsi="黑体" w:eastAsia="黑体" w:cs="黑体"/>
          <w:sz w:val="32"/>
          <w:szCs w:val="32"/>
          <w:lang w:val="en-US" w:eastAsia="zh-CN"/>
        </w:rPr>
      </w:pPr>
    </w:p>
    <w:p w14:paraId="582080A0">
      <w:pPr>
        <w:spacing w:line="580" w:lineRule="exact"/>
        <w:ind w:firstLine="640" w:firstLineChars="200"/>
        <w:jc w:val="both"/>
        <w:rPr>
          <w:rFonts w:hint="eastAsia" w:ascii="黑体" w:hAnsi="黑体" w:eastAsia="黑体" w:cs="黑体"/>
          <w:sz w:val="32"/>
          <w:szCs w:val="32"/>
          <w:lang w:val="en-US" w:eastAsia="zh-CN"/>
        </w:rPr>
      </w:pPr>
    </w:p>
    <w:p w14:paraId="7C1D045F">
      <w:pPr>
        <w:spacing w:line="580" w:lineRule="exact"/>
        <w:ind w:firstLine="640" w:firstLineChars="200"/>
        <w:jc w:val="both"/>
        <w:rPr>
          <w:rFonts w:hint="eastAsia" w:ascii="黑体" w:hAnsi="黑体" w:eastAsia="黑体" w:cs="黑体"/>
          <w:sz w:val="32"/>
          <w:szCs w:val="32"/>
          <w:lang w:val="en-US" w:eastAsia="zh-CN"/>
        </w:rPr>
      </w:pPr>
    </w:p>
    <w:p w14:paraId="553BA683">
      <w:pPr>
        <w:spacing w:line="580" w:lineRule="exact"/>
        <w:ind w:firstLine="640" w:firstLineChars="200"/>
        <w:jc w:val="both"/>
        <w:rPr>
          <w:rFonts w:hint="eastAsia" w:ascii="黑体" w:hAnsi="黑体" w:eastAsia="黑体" w:cs="黑体"/>
          <w:sz w:val="32"/>
          <w:szCs w:val="32"/>
          <w:lang w:val="en-US" w:eastAsia="zh-CN"/>
        </w:rPr>
      </w:pPr>
    </w:p>
    <w:p w14:paraId="04FDEC35">
      <w:pPr>
        <w:spacing w:line="580" w:lineRule="exact"/>
        <w:ind w:firstLine="640" w:firstLineChars="200"/>
        <w:jc w:val="both"/>
        <w:rPr>
          <w:rFonts w:hint="eastAsia" w:ascii="黑体" w:hAnsi="黑体" w:eastAsia="黑体" w:cs="黑体"/>
          <w:sz w:val="32"/>
          <w:szCs w:val="32"/>
          <w:lang w:val="en-US" w:eastAsia="zh-CN"/>
        </w:rPr>
      </w:pPr>
    </w:p>
    <w:p w14:paraId="2B2D5E81">
      <w:pPr>
        <w:spacing w:line="580" w:lineRule="exact"/>
        <w:ind w:firstLine="640" w:firstLineChars="200"/>
        <w:jc w:val="both"/>
        <w:rPr>
          <w:rFonts w:hint="eastAsia" w:ascii="黑体" w:hAnsi="黑体" w:eastAsia="黑体" w:cs="黑体"/>
          <w:sz w:val="32"/>
          <w:szCs w:val="32"/>
          <w:lang w:val="en-US" w:eastAsia="zh-CN"/>
        </w:rPr>
      </w:pPr>
    </w:p>
    <w:p w14:paraId="1F7E3977">
      <w:pPr>
        <w:spacing w:line="580" w:lineRule="exact"/>
        <w:ind w:firstLine="640" w:firstLineChars="200"/>
        <w:jc w:val="both"/>
        <w:rPr>
          <w:rFonts w:hint="eastAsia" w:ascii="黑体" w:hAnsi="黑体" w:eastAsia="黑体" w:cs="黑体"/>
          <w:sz w:val="32"/>
          <w:szCs w:val="32"/>
          <w:lang w:val="en-US" w:eastAsia="zh-CN"/>
        </w:rPr>
      </w:pPr>
    </w:p>
    <w:p w14:paraId="606E4153">
      <w:pPr>
        <w:pStyle w:val="2"/>
        <w:rPr>
          <w:rFonts w:hint="eastAsia" w:ascii="黑体" w:hAnsi="黑体" w:eastAsia="黑体" w:cs="黑体"/>
          <w:sz w:val="32"/>
          <w:szCs w:val="32"/>
          <w:lang w:val="en-US" w:eastAsia="zh-CN"/>
        </w:rPr>
      </w:pPr>
    </w:p>
    <w:p w14:paraId="32ABF382">
      <w:pPr>
        <w:rPr>
          <w:rFonts w:hint="eastAsia" w:ascii="黑体" w:hAnsi="黑体" w:eastAsia="黑体" w:cs="黑体"/>
          <w:sz w:val="32"/>
          <w:szCs w:val="32"/>
          <w:lang w:val="en-US" w:eastAsia="zh-CN"/>
        </w:rPr>
      </w:pPr>
    </w:p>
    <w:p w14:paraId="676FF899">
      <w:pPr>
        <w:pStyle w:val="2"/>
        <w:rPr>
          <w:rFonts w:hint="eastAsia" w:ascii="黑体" w:hAnsi="黑体" w:eastAsia="黑体" w:cs="黑体"/>
          <w:sz w:val="32"/>
          <w:szCs w:val="32"/>
          <w:lang w:val="en-US" w:eastAsia="zh-CN"/>
        </w:rPr>
      </w:pPr>
    </w:p>
    <w:p w14:paraId="60A47025">
      <w:pPr>
        <w:rPr>
          <w:rFonts w:hint="eastAsia" w:ascii="黑体" w:hAnsi="黑体" w:eastAsia="黑体" w:cs="黑体"/>
          <w:sz w:val="32"/>
          <w:szCs w:val="32"/>
          <w:lang w:val="en-US" w:eastAsia="zh-CN"/>
        </w:rPr>
      </w:pPr>
    </w:p>
    <w:p w14:paraId="077B5B8D">
      <w:pPr>
        <w:pStyle w:val="2"/>
        <w:rPr>
          <w:rFonts w:hint="eastAsia"/>
          <w:lang w:val="en-US" w:eastAsia="zh-CN"/>
        </w:rPr>
      </w:pPr>
    </w:p>
    <w:p w14:paraId="0359E491">
      <w:pPr>
        <w:spacing w:line="580" w:lineRule="exact"/>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09B66239">
      <w:pPr>
        <w:spacing w:line="580" w:lineRule="exact"/>
        <w:ind w:firstLine="640" w:firstLineChars="200"/>
        <w:rPr>
          <w:rFonts w:hint="eastAsia" w:ascii="仿宋_GB2312" w:hAnsi="仿宋_GB2312" w:eastAsia="仿宋_GB2312" w:cs="仿宋_GB2312"/>
          <w:sz w:val="32"/>
          <w:szCs w:val="32"/>
        </w:rPr>
      </w:pPr>
    </w:p>
    <w:p w14:paraId="19CD402C">
      <w:pPr>
        <w:pStyle w:val="28"/>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kern w:val="2"/>
          <w:sz w:val="44"/>
          <w:szCs w:val="44"/>
          <w:lang w:val="en-US" w:eastAsia="zh-CN"/>
        </w:rPr>
      </w:pPr>
      <w:r>
        <w:rPr>
          <w:rFonts w:hint="eastAsia" w:ascii="方正小标宋_GBK" w:hAnsi="方正小标宋_GBK" w:eastAsia="方正小标宋_GBK" w:cs="方正小标宋_GBK"/>
          <w:sz w:val="44"/>
          <w:szCs w:val="44"/>
        </w:rPr>
        <w:t>项目支出绩效自评报告</w:t>
      </w:r>
      <w:r>
        <w:rPr>
          <w:rFonts w:hint="eastAsia" w:ascii="方正小标宋_GBK" w:hAnsi="方正小标宋_GBK" w:eastAsia="方正小标宋_GBK" w:cs="方正小标宋_GBK"/>
          <w:sz w:val="44"/>
          <w:szCs w:val="44"/>
          <w:lang w:val="en-US" w:eastAsia="zh-CN"/>
        </w:rPr>
        <w:t>一</w:t>
      </w:r>
    </w:p>
    <w:p w14:paraId="3D4390E9">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（阿坝州传统村落保护利用规划编制采购项目）</w:t>
      </w:r>
    </w:p>
    <w:p w14:paraId="2A1301DC">
      <w:pPr>
        <w:pStyle w:val="28"/>
        <w:keepNext w:val="0"/>
        <w:keepLines w:val="0"/>
        <w:pageBreakBefore w:val="0"/>
        <w:widowControl w:val="0"/>
        <w:kinsoku/>
        <w:wordWrap/>
        <w:overflowPunct/>
        <w:topLinePunct w:val="0"/>
        <w:autoSpaceDE/>
        <w:autoSpaceDN/>
        <w:bidi w:val="0"/>
        <w:spacing w:line="560" w:lineRule="exact"/>
        <w:ind w:firstLine="640"/>
        <w:jc w:val="center"/>
        <w:textAlignment w:val="auto"/>
        <w:rPr>
          <w:rFonts w:hint="eastAsia" w:ascii="仿宋_GB2312" w:hAnsi="仿宋_GB2312" w:eastAsia="仿宋_GB2312" w:cs="仿宋_GB2312"/>
          <w:color w:val="auto"/>
          <w:kern w:val="2"/>
          <w:sz w:val="32"/>
          <w:szCs w:val="32"/>
        </w:rPr>
      </w:pPr>
    </w:p>
    <w:p w14:paraId="6A0DC45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一、项目概况</w:t>
      </w:r>
    </w:p>
    <w:p w14:paraId="6CBAD5AA">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阿坝州传统村落保护利用规划编制采购项目，采购项目编号：5132</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19000645， 采购人为阿坝州住房和城乡建设局，采购代理机构为四川智诚工程造价咨询有限责任公司，中标单位为北京清华同衡规划设计研究院有限公司，成交金额79.5万元。</w:t>
      </w:r>
    </w:p>
    <w:p w14:paraId="1957C2A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二、资金情况</w:t>
      </w:r>
    </w:p>
    <w:p w14:paraId="16223BF7">
      <w:pPr>
        <w:keepNext w:val="0"/>
        <w:keepLines w:val="0"/>
        <w:pageBreakBefore w:val="0"/>
        <w:widowControl w:val="0"/>
        <w:kinsoku/>
        <w:wordWrap/>
        <w:overflowPunct/>
        <w:topLinePunct w:val="0"/>
        <w:autoSpaceDE/>
        <w:autoSpaceDN/>
        <w:bidi w:val="0"/>
        <w:spacing w:line="560" w:lineRule="exact"/>
        <w:ind w:firstLine="630" w:firstLineChars="196"/>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（一）项目资金申报及批复情况。</w:t>
      </w:r>
    </w:p>
    <w:p w14:paraId="44749E5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阿坝州传统村落保护利用规划编制采购项目</w:t>
      </w:r>
      <w:r>
        <w:rPr>
          <w:rFonts w:hint="eastAsia" w:ascii="仿宋_GB2312" w:hAnsi="仿宋_GB2312" w:eastAsia="仿宋_GB2312" w:cs="仿宋_GB2312"/>
          <w:sz w:val="32"/>
          <w:szCs w:val="32"/>
          <w:lang w:val="en-US" w:eastAsia="zh-CN"/>
        </w:rPr>
        <w:t>经费为</w:t>
      </w:r>
      <w:r>
        <w:rPr>
          <w:rFonts w:hint="eastAsia" w:ascii="仿宋_GB2312" w:hAnsi="仿宋_GB2312" w:eastAsia="仿宋_GB2312" w:cs="仿宋_GB2312"/>
          <w:sz w:val="32"/>
          <w:szCs w:val="32"/>
        </w:rPr>
        <w:t>州本级财政预算资金80万元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通过2020年年初预算下达。</w:t>
      </w:r>
    </w:p>
    <w:p w14:paraId="3D069ABE">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（二）项目绩效目标。</w:t>
      </w:r>
    </w:p>
    <w:p w14:paraId="58D5D8B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项目为阿坝州传统村落保护利用规划编制服务项目，主要依据《住房城乡建设部关于印发传统村落保护发展规划编制基本要求（试行）的通知》（建村[2013]130号），为阿坝州传统村落的保护与发展提供专项规划技术支持。</w:t>
      </w:r>
    </w:p>
    <w:p w14:paraId="1BDF80A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规划成果内容：按照住建部颁布的《城市规划编制办法》（2006）及其他规范、标准、规程中对传统村落保护利用规划的技术标准和深度要求进行编制，技术成果分为四大部分：规划文本、规划说明、规划图纸和档案台账。</w:t>
      </w:r>
    </w:p>
    <w:p w14:paraId="357DADC4">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3.该项目总工期为6个月，承担方自合同签订之日起6个月内提交最终成果并经委托方审查验收通过。</w:t>
      </w:r>
    </w:p>
    <w:p w14:paraId="528A4CF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①第一阶段：合同签订，合同正式签订并按照合同约定支付第一次费用。</w:t>
      </w:r>
    </w:p>
    <w:p w14:paraId="2694F2D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第二阶段：自合同签订之日起3个月内，承包方完成初步规划成果1份，并提交委托方进行初审，委托方组织相关单位、专家等进行审查提出修改意见后，承担方应在30日内按照修改意见进行修改完善，并将修改后的成果提交委托方，经委托方书面确认后方可进入下一阶段。</w:t>
      </w:r>
    </w:p>
    <w:p w14:paraId="117AE4A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第三阶段：由双方将按照初审意见修改后的成果提交法定规划审查机构进行审查验收，由承担方按照审查验收意见进行完善，取得相关规划审批机关批复后，于15日内向委托方提交全部修改后的最终成果，委托方确认无误后7日内出具规划成果接收函。</w:t>
      </w:r>
    </w:p>
    <w:p w14:paraId="1FD1014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（三）项目资金申报相符性。</w:t>
      </w:r>
    </w:p>
    <w:p w14:paraId="07CD46A7">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结合全州传统村落实际，该项目申报内容与具体实施内容一致，申报目标合理可行。</w:t>
      </w:r>
    </w:p>
    <w:p w14:paraId="4A4AD04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、项目实施及管理情况</w:t>
      </w:r>
    </w:p>
    <w:p w14:paraId="428770B6">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ab/>
      </w:r>
      <w:r>
        <w:rPr>
          <w:rFonts w:hint="eastAsia" w:ascii="仿宋_GB2312" w:hAnsi="仿宋_GB2312" w:eastAsia="仿宋_GB2312" w:cs="仿宋_GB2312"/>
          <w:b/>
          <w:sz w:val="32"/>
          <w:szCs w:val="32"/>
          <w:lang w:val="zh-CN"/>
        </w:rPr>
        <w:t>（一）资金计划、到位及使用情况。</w:t>
      </w:r>
    </w:p>
    <w:p w14:paraId="0E118725">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州本级财政预算资金80万元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通过2020年年初预算下达。</w:t>
      </w:r>
      <w:r>
        <w:rPr>
          <w:rFonts w:hint="eastAsia" w:ascii="仿宋_GB2312" w:hAnsi="仿宋_GB2312" w:eastAsia="仿宋_GB2312" w:cs="仿宋_GB2312"/>
          <w:sz w:val="32"/>
          <w:szCs w:val="32"/>
        </w:rPr>
        <w:t>目前该项目按照合同约定，已于</w:t>
      </w:r>
      <w:r>
        <w:rPr>
          <w:rFonts w:hint="eastAsia" w:ascii="仿宋_GB2312" w:hAnsi="仿宋_GB2312" w:eastAsia="仿宋_GB2312" w:cs="仿宋_GB2312"/>
          <w:sz w:val="32"/>
          <w:szCs w:val="32"/>
          <w:lang w:eastAsia="zh-CN"/>
        </w:rPr>
        <w:t>2020</w:t>
      </w:r>
      <w:r>
        <w:rPr>
          <w:rFonts w:hint="eastAsia" w:ascii="仿宋_GB2312" w:hAnsi="仿宋_GB2312" w:eastAsia="仿宋_GB2312" w:cs="仿宋_GB2312"/>
          <w:sz w:val="32"/>
          <w:szCs w:val="32"/>
        </w:rPr>
        <w:t>年12月20日第一次支付 238,500.00 元整，占该项目总设计费的30％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2021年12月22日，完成第二次支付318000元，</w:t>
      </w:r>
      <w:r>
        <w:rPr>
          <w:rFonts w:hint="eastAsia" w:ascii="仿宋_GB2312" w:hAnsi="仿宋_GB2312" w:eastAsia="仿宋_GB2312" w:cs="仿宋_GB2312"/>
          <w:sz w:val="32"/>
          <w:szCs w:val="32"/>
        </w:rPr>
        <w:t>占该项目总设计费的</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.截</w:t>
      </w:r>
      <w:r>
        <w:rPr>
          <w:rFonts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lang w:val="en-US" w:eastAsia="zh-CN"/>
        </w:rPr>
        <w:t>目前，项目支付进度达70%。</w:t>
      </w:r>
      <w:r>
        <w:rPr>
          <w:rFonts w:hint="eastAsia" w:ascii="仿宋_GB2312" w:hAnsi="仿宋_GB2312" w:eastAsia="仿宋_GB2312" w:cs="仿宋_GB2312"/>
          <w:sz w:val="32"/>
          <w:szCs w:val="32"/>
          <w:lang w:val="zh-CN"/>
        </w:rPr>
        <w:t>支付依据合规合法，资金支付与预算一致。</w:t>
      </w:r>
    </w:p>
    <w:p w14:paraId="23CD57DB">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（二）项目财务管理情况。</w:t>
      </w:r>
    </w:p>
    <w:p w14:paraId="13FA8299">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阿坝州传统村落保护利用规划编制采购项目</w:t>
      </w:r>
      <w:r>
        <w:rPr>
          <w:rFonts w:hint="eastAsia" w:ascii="仿宋_GB2312" w:hAnsi="仿宋_GB2312" w:eastAsia="仿宋_GB2312" w:cs="仿宋_GB2312"/>
          <w:sz w:val="32"/>
          <w:szCs w:val="32"/>
          <w:lang w:val="en-US" w:eastAsia="zh-CN"/>
        </w:rPr>
        <w:t>经费是财政下达的项目资金，我局严格按照州财政局项目资金管理办法通过财政直接支付方式进行管理，资金支付进度和方式严格按照合同进行，</w:t>
      </w:r>
      <w:r>
        <w:rPr>
          <w:rFonts w:hint="eastAsia" w:ascii="仿宋_GB2312" w:hAnsi="仿宋_GB2312" w:eastAsia="仿宋_GB2312" w:cs="仿宋_GB2312"/>
          <w:sz w:val="32"/>
          <w:szCs w:val="32"/>
          <w:lang w:val="zh-CN"/>
        </w:rPr>
        <w:t>严格</w:t>
      </w:r>
      <w:r>
        <w:rPr>
          <w:rFonts w:hint="eastAsia" w:ascii="仿宋_GB2312" w:hAnsi="仿宋_GB2312" w:eastAsia="仿宋_GB2312" w:cs="仿宋_GB2312"/>
          <w:sz w:val="32"/>
          <w:szCs w:val="32"/>
          <w:lang w:val="en-US" w:eastAsia="zh-CN"/>
        </w:rPr>
        <w:t>遵守各项财务管理制度，</w:t>
      </w:r>
      <w:r>
        <w:rPr>
          <w:rFonts w:hint="eastAsia" w:ascii="仿宋_GB2312" w:hAnsi="仿宋_GB2312" w:eastAsia="仿宋_GB2312" w:cs="仿宋_GB2312"/>
          <w:sz w:val="32"/>
          <w:szCs w:val="32"/>
          <w:lang w:val="zh-CN"/>
        </w:rPr>
        <w:t>及时进行了财务处理、会计核算规范。</w:t>
      </w:r>
    </w:p>
    <w:p w14:paraId="53A69E5F">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（三）项目组织实施情况。</w:t>
      </w:r>
    </w:p>
    <w:p w14:paraId="43B5692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该项目由州住房和城乡建设局村镇科主要负责，村镇科前期积极对接了</w:t>
      </w:r>
      <w:r>
        <w:rPr>
          <w:rFonts w:hint="eastAsia" w:ascii="仿宋_GB2312" w:hAnsi="仿宋_GB2312" w:eastAsia="仿宋_GB2312" w:cs="仿宋_GB2312"/>
          <w:sz w:val="32"/>
          <w:szCs w:val="32"/>
        </w:rPr>
        <w:t>州财政局采管科等，该</w:t>
      </w:r>
      <w:r>
        <w:rPr>
          <w:rFonts w:hint="eastAsia" w:ascii="仿宋_GB2312" w:hAnsi="仿宋_GB2312" w:eastAsia="仿宋_GB2312" w:cs="仿宋_GB2312"/>
          <w:sz w:val="32"/>
          <w:szCs w:val="32"/>
          <w:lang w:val="zh-CN"/>
        </w:rPr>
        <w:t>项目采购所有流程（采购方式变更、招标代理机构选取、招标文件发布、各类公示公告、合同签订等）均按照相关规定执行。</w:t>
      </w:r>
    </w:p>
    <w:p w14:paraId="015B87C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lang w:val="en-US" w:eastAsia="zh-CN"/>
        </w:rPr>
        <w:t>四</w:t>
      </w:r>
      <w:r>
        <w:rPr>
          <w:rFonts w:hint="eastAsia" w:ascii="黑体" w:hAnsi="黑体" w:eastAsia="黑体" w:cs="黑体"/>
          <w:sz w:val="32"/>
          <w:szCs w:val="32"/>
        </w:rPr>
        <w:t>、项目绩效情况</w:t>
      </w:r>
      <w:r>
        <w:rPr>
          <w:rFonts w:hint="eastAsia" w:ascii="黑体" w:hAnsi="黑体" w:eastAsia="黑体" w:cs="黑体"/>
          <w:sz w:val="32"/>
          <w:szCs w:val="32"/>
          <w:lang w:val="zh-CN"/>
        </w:rPr>
        <w:tab/>
      </w:r>
    </w:p>
    <w:p w14:paraId="0153837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（一）项目完成情况。</w:t>
      </w:r>
    </w:p>
    <w:p w14:paraId="3C2FDCE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目前委托方正在对项目初步规划成果进行完善，待完善后提交委托方进行初审，委托方组织相关单位、专家等进行审查提出修改意见后，承担方按照修改意见进行修改完善，并将修改后的成果提交委托方，经委托方书面确认后可进入下一阶段。</w:t>
      </w:r>
    </w:p>
    <w:p w14:paraId="3366CE7A">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（二）项目效益情况。</w:t>
      </w:r>
    </w:p>
    <w:p w14:paraId="039DB5E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该项目为阿坝州传统村落规划编制服务项目，主要依据《住房城乡建设部关于印发传统村落保护发展规划编制基本要求（试行）的通知》（建村[2013]130号），为阿坝州传统村落的保护与发展提供专项规划技术支持。包括但不限于对阿坝州传统村落选址与自然景观环境特征、村落传统格局和整体风貌特征、传统建筑特征、历史环境要素特征、非物质文化遗产特征进行分析，通过与较大区域范围（地理区域、文化区域、民族区域）以及邻近区域内其他村落的比较，综合分析传统村落的特点，评估其历史、艺术、科学、社会等价值，对各种不利于传统资源保护的因素进行分析，并评估这些因素威胁传统村落的程度；根据传统村落的发展环境、保护与发展条件的优劣势，提出村落发展定位及发展途径的建议；提出阿坝州传统村落保护利用存在的主要问题及矛盾；针对阿坝州传统村落实际情况，提出总体保护原则和具体措施；提出建立传统村落保护和发展长效机制的具体建议措施；提出文化保护和传承方面（包含但不限于非物质文化遗产）的具体建议措施；提出传统村落保护及发展与乡村旅游、文化产业等乡村振兴战略融合发展的具体建议措施；提出村落基础设施改善、公共服务提升措施；提出传统建筑在提升建筑安全、居住舒适性等方面的引导措施；提出村落的路网规划、交通组织及管理、停车设施规划、公交车站设置、可能的旅游线路组织等。</w:t>
      </w:r>
    </w:p>
    <w:p w14:paraId="7BF683F2">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结合全州实际，从该项目的经济、社会、生态、可持续效益等看，项目的实施严格按照州委建设川西北阿坝生态示范区的决定执行，对全州传统村落的保护和利用起到了指导性的作用。</w:t>
      </w:r>
    </w:p>
    <w:p w14:paraId="3ED4B07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、问题及建议</w:t>
      </w:r>
    </w:p>
    <w:p w14:paraId="74F6A5BA">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（一）存在的问题。</w:t>
      </w:r>
    </w:p>
    <w:p w14:paraId="1D645FA1">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因2021年新冠疫情原因，项目的前期工作推进受到一定影响，前期工作对接难度较平时增大，导致项目编制时序有所推迟，目前承担方正在按照委托方意见加紧对项目初步规划成果进行完善。</w:t>
      </w:r>
    </w:p>
    <w:p w14:paraId="653EF3EA">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（二）相关建议。</w:t>
      </w:r>
    </w:p>
    <w:p w14:paraId="354ABBE2">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无</w:t>
      </w:r>
    </w:p>
    <w:p w14:paraId="30171DBD">
      <w:pPr>
        <w:spacing w:line="580" w:lineRule="exact"/>
        <w:ind w:firstLine="640" w:firstLineChars="200"/>
        <w:rPr>
          <w:rFonts w:hint="eastAsia" w:ascii="仿宋_GB2312" w:hAnsi="仿宋_GB2312" w:eastAsia="仿宋_GB2312" w:cs="仿宋_GB2312"/>
          <w:sz w:val="32"/>
          <w:szCs w:val="32"/>
        </w:rPr>
      </w:pPr>
    </w:p>
    <w:p w14:paraId="6C04FCC6">
      <w:pPr>
        <w:spacing w:line="580" w:lineRule="exact"/>
        <w:ind w:firstLine="640" w:firstLineChars="200"/>
        <w:rPr>
          <w:rFonts w:hint="eastAsia" w:ascii="仿宋_GB2312" w:hAnsi="仿宋_GB2312" w:eastAsia="仿宋_GB2312" w:cs="仿宋_GB2312"/>
          <w:sz w:val="32"/>
          <w:szCs w:val="32"/>
        </w:rPr>
      </w:pPr>
    </w:p>
    <w:p w14:paraId="34F85DE3">
      <w:pPr>
        <w:pStyle w:val="28"/>
        <w:spacing w:line="600" w:lineRule="exact"/>
        <w:jc w:val="center"/>
        <w:rPr>
          <w:rFonts w:hint="eastAsia" w:ascii="仿宋_GB2312" w:hAnsi="宋体" w:eastAsia="方正小标宋简体"/>
          <w:color w:val="auto"/>
          <w:kern w:val="2"/>
          <w:sz w:val="32"/>
          <w:szCs w:val="32"/>
          <w:lang w:val="en-US" w:eastAsia="zh-CN"/>
        </w:rPr>
      </w:pPr>
      <w:r>
        <w:rPr>
          <w:rFonts w:hint="eastAsia" w:ascii="方正小标宋简体" w:hAnsi="宋体" w:eastAsia="方正小标宋简体"/>
          <w:sz w:val="44"/>
          <w:szCs w:val="44"/>
        </w:rPr>
        <w:t>项目支出绩效自评报告</w:t>
      </w:r>
      <w:r>
        <w:rPr>
          <w:rFonts w:hint="eastAsia" w:ascii="方正小标宋简体" w:hAnsi="宋体" w:eastAsia="方正小标宋简体"/>
          <w:sz w:val="44"/>
          <w:szCs w:val="44"/>
          <w:lang w:val="en-US" w:eastAsia="zh-CN"/>
        </w:rPr>
        <w:t>二</w:t>
      </w:r>
    </w:p>
    <w:p w14:paraId="44A72B55">
      <w:pPr>
        <w:spacing w:line="600" w:lineRule="exact"/>
        <w:jc w:val="center"/>
        <w:rPr>
          <w:rFonts w:hint="eastAsia" w:ascii="仿宋_GB2312" w:hAnsi="仿宋_GB2312" w:eastAsia="仿宋_GB2312" w:cs="仿宋_GB2312"/>
          <w:sz w:val="28"/>
          <w:szCs w:val="28"/>
        </w:rPr>
      </w:pPr>
      <w:r>
        <w:rPr>
          <w:rFonts w:hint="eastAsia" w:ascii="仿宋_GB2312" w:hAnsi="宋体"/>
          <w:lang w:val="en-US" w:eastAsia="zh-CN"/>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阿坝州房产交易中心系统运行维护及托管项目</w:t>
      </w:r>
      <w:r>
        <w:rPr>
          <w:rFonts w:hint="eastAsia" w:ascii="仿宋_GB2312" w:hAnsi="仿宋_GB2312" w:eastAsia="仿宋_GB2312" w:cs="仿宋_GB2312"/>
          <w:sz w:val="28"/>
          <w:szCs w:val="28"/>
        </w:rPr>
        <w:t>）</w:t>
      </w:r>
    </w:p>
    <w:p w14:paraId="59F2342D">
      <w:pPr>
        <w:pStyle w:val="28"/>
        <w:spacing w:line="600" w:lineRule="exact"/>
        <w:ind w:firstLine="640"/>
        <w:jc w:val="center"/>
        <w:rPr>
          <w:rFonts w:ascii="宋体" w:hAnsi="宋体"/>
          <w:color w:val="auto"/>
          <w:kern w:val="2"/>
          <w:sz w:val="32"/>
          <w:szCs w:val="32"/>
        </w:rPr>
      </w:pPr>
    </w:p>
    <w:p w14:paraId="329C1400">
      <w:pPr>
        <w:adjustRightInd w:val="0"/>
        <w:snapToGrid w:val="0"/>
        <w:spacing w:line="600" w:lineRule="exact"/>
        <w:ind w:firstLine="72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59E2EC1A">
      <w:pPr>
        <w:numPr>
          <w:ilvl w:val="0"/>
          <w:numId w:val="0"/>
        </w:numPr>
        <w:adjustRightInd w:val="0"/>
        <w:snapToGrid w:val="0"/>
        <w:spacing w:line="600" w:lineRule="exact"/>
        <w:ind w:left="0"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2021年州房产交易中心系统运行维护及托管项目由2个子项目组成。</w:t>
      </w:r>
    </w:p>
    <w:p w14:paraId="07704CA5">
      <w:pPr>
        <w:numPr>
          <w:ilvl w:val="0"/>
          <w:numId w:val="0"/>
        </w:numPr>
        <w:adjustRightInd w:val="0"/>
        <w:snapToGrid w:val="0"/>
        <w:spacing w:line="600" w:lineRule="exact"/>
        <w:ind w:left="0" w:firstLine="640"/>
        <w:rPr>
          <w:rFonts w:hint="eastAsia" w:ascii="仿宋_GB2312" w:hAnsi="仿宋_GB2312" w:eastAsia="仿宋_GB2312" w:cs="仿宋_GB2312"/>
          <w:b w:val="0"/>
          <w:bCs/>
          <w:sz w:val="32"/>
          <w:szCs w:val="32"/>
          <w:lang w:val="zh-CN"/>
        </w:rPr>
      </w:pPr>
      <w:r>
        <w:rPr>
          <w:rFonts w:hint="eastAsia" w:ascii="仿宋_GB2312" w:hAnsi="仿宋_GB2312" w:eastAsia="仿宋_GB2312" w:cs="仿宋_GB2312"/>
          <w:b/>
          <w:bCs/>
          <w:sz w:val="32"/>
          <w:szCs w:val="32"/>
          <w:lang w:val="en-US" w:eastAsia="zh-CN"/>
        </w:rPr>
        <w:t>（一）领导干部个人房产信息查核系统光纤租用子项目。</w:t>
      </w:r>
      <w:r>
        <w:rPr>
          <w:rFonts w:hint="eastAsia" w:ascii="仿宋_GB2312" w:hAnsi="仿宋_GB2312" w:eastAsia="仿宋_GB2312" w:cs="仿宋_GB2312"/>
          <w:sz w:val="32"/>
          <w:szCs w:val="32"/>
          <w:lang w:val="zh-CN"/>
        </w:rPr>
        <w:t>为落实省委组织部、省住房和城乡建设厅《关于建设领导干部个人有关事项报告房产信息查核系统报送系统的通知》（川建房发〔2015〕387号）和《四川省住房和城乡建设厅关于进一步完善全省领导干部个人事项报告房产信息查核报送系统的通知》（川建房发〔2017〕759）有关规定，</w:t>
      </w:r>
      <w:r>
        <w:rPr>
          <w:rFonts w:hint="eastAsia" w:ascii="仿宋_GB2312" w:hAnsi="仿宋_GB2312" w:eastAsia="仿宋_GB2312" w:cs="仿宋_GB2312"/>
          <w:b w:val="0"/>
          <w:bCs/>
          <w:sz w:val="32"/>
          <w:szCs w:val="32"/>
          <w:lang w:val="zh-CN"/>
        </w:rPr>
        <w:t>因领导干部个人房产信息查核属于涉密工作，不能在互联网上进行信息交换，故需要租用州电信公司光纤专线实现信息交换与畅通。</w:t>
      </w:r>
    </w:p>
    <w:p w14:paraId="28C4465D">
      <w:pPr>
        <w:numPr>
          <w:ilvl w:val="0"/>
          <w:numId w:val="0"/>
        </w:numPr>
        <w:adjustRightInd w:val="0"/>
        <w:snapToGrid w:val="0"/>
        <w:spacing w:line="600" w:lineRule="exact"/>
        <w:ind w:left="0" w:firstLine="643"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bCs/>
          <w:sz w:val="32"/>
          <w:szCs w:val="32"/>
          <w:lang w:val="en-US" w:eastAsia="zh-CN"/>
        </w:rPr>
        <w:t>（二）领导干部个人房产信息查核系统系统运行维护子项目。</w:t>
      </w:r>
      <w:r>
        <w:rPr>
          <w:rFonts w:hint="eastAsia" w:ascii="仿宋_GB2312" w:hAnsi="仿宋_GB2312" w:eastAsia="仿宋_GB2312" w:cs="仿宋_GB2312"/>
          <w:b w:val="0"/>
          <w:bCs w:val="0"/>
          <w:sz w:val="32"/>
          <w:szCs w:val="32"/>
          <w:lang w:val="en-US" w:eastAsia="zh-CN"/>
        </w:rPr>
        <w:t>2020年查核系统建立运行后，因</w:t>
      </w:r>
      <w:r>
        <w:rPr>
          <w:rFonts w:hint="eastAsia" w:ascii="仿宋_GB2312" w:hAnsi="仿宋_GB2312" w:eastAsia="仿宋_GB2312" w:cs="仿宋_GB2312"/>
          <w:sz w:val="32"/>
          <w:szCs w:val="32"/>
          <w:lang w:val="en-US" w:eastAsia="zh-CN"/>
        </w:rPr>
        <w:t>我局无专业技术人员对系统进行维护管理，需要支付专项运维服务费用确保系统正常运行。</w:t>
      </w:r>
    </w:p>
    <w:p w14:paraId="5D04E1DB">
      <w:pPr>
        <w:adjustRightInd w:val="0"/>
        <w:snapToGrid w:val="0"/>
        <w:spacing w:line="600" w:lineRule="exact"/>
        <w:ind w:firstLine="720"/>
        <w:rPr>
          <w:rFonts w:hint="eastAsia" w:ascii="黑体" w:hAnsi="黑体" w:eastAsia="黑体" w:cs="黑体"/>
          <w:sz w:val="32"/>
          <w:szCs w:val="32"/>
          <w:lang w:val="zh-CN"/>
        </w:rPr>
      </w:pPr>
      <w:r>
        <w:rPr>
          <w:rFonts w:hint="eastAsia" w:ascii="黑体" w:hAnsi="黑体" w:eastAsia="黑体" w:cs="黑体"/>
          <w:sz w:val="32"/>
          <w:szCs w:val="32"/>
          <w:lang w:val="zh-CN"/>
        </w:rPr>
        <w:t>二、资金情况</w:t>
      </w:r>
    </w:p>
    <w:p w14:paraId="3E099B26">
      <w:pPr>
        <w:numPr>
          <w:ilvl w:val="0"/>
          <w:numId w:val="0"/>
        </w:numPr>
        <w:adjustRightInd w:val="0"/>
        <w:snapToGrid w:val="0"/>
        <w:spacing w:line="600" w:lineRule="exact"/>
        <w:ind w:left="0" w:firstLine="643"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sz w:val="32"/>
          <w:szCs w:val="32"/>
          <w:lang w:val="zh-CN"/>
        </w:rPr>
        <w:t>（一）项目资金申报及批复情况。</w:t>
      </w:r>
    </w:p>
    <w:p w14:paraId="79587558">
      <w:pPr>
        <w:numPr>
          <w:ilvl w:val="0"/>
          <w:numId w:val="0"/>
        </w:numPr>
        <w:adjustRightInd w:val="0"/>
        <w:snapToGrid w:val="0"/>
        <w:spacing w:line="600" w:lineRule="exact"/>
        <w:ind w:left="0" w:firstLine="964" w:firstLineChars="3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sz w:val="32"/>
          <w:szCs w:val="32"/>
          <w:lang w:val="en-US" w:eastAsia="zh-CN"/>
        </w:rPr>
        <w:t>1.领导干部个人房产信息查核系统光纤租用费：</w:t>
      </w:r>
      <w:r>
        <w:rPr>
          <w:rFonts w:hint="eastAsia" w:ascii="仿宋_GB2312" w:hAnsi="仿宋_GB2312" w:eastAsia="仿宋_GB2312" w:cs="仿宋_GB2312"/>
          <w:b w:val="0"/>
          <w:bCs/>
          <w:sz w:val="32"/>
          <w:szCs w:val="32"/>
          <w:lang w:val="zh-CN"/>
        </w:rPr>
        <w:t>按照我局与州电信公司</w:t>
      </w:r>
      <w:r>
        <w:rPr>
          <w:rFonts w:hint="eastAsia" w:ascii="仿宋_GB2312" w:hAnsi="仿宋_GB2312" w:eastAsia="仿宋_GB2312" w:cs="仿宋_GB2312"/>
          <w:b w:val="0"/>
          <w:bCs/>
          <w:sz w:val="32"/>
          <w:szCs w:val="32"/>
          <w:lang w:val="en-US" w:eastAsia="zh-CN"/>
        </w:rPr>
        <w:t>2021年</w:t>
      </w:r>
      <w:r>
        <w:rPr>
          <w:rFonts w:hint="eastAsia" w:ascii="仿宋_GB2312" w:hAnsi="仿宋_GB2312" w:eastAsia="仿宋_GB2312" w:cs="仿宋_GB2312"/>
          <w:b w:val="0"/>
          <w:bCs/>
          <w:sz w:val="32"/>
          <w:szCs w:val="32"/>
          <w:lang w:val="zh-CN"/>
        </w:rPr>
        <w:t>合同约定，13个县（市）各一条专线、州委组织部一条专线共</w:t>
      </w:r>
      <w:r>
        <w:rPr>
          <w:rFonts w:hint="eastAsia" w:ascii="仿宋_GB2312" w:hAnsi="仿宋_GB2312" w:eastAsia="仿宋_GB2312" w:cs="仿宋_GB2312"/>
          <w:b w:val="0"/>
          <w:bCs/>
          <w:sz w:val="32"/>
          <w:szCs w:val="32"/>
          <w:lang w:val="en-US" w:eastAsia="zh-CN"/>
        </w:rPr>
        <w:t>14条专线，每条专线每月1000元，每年需支付16.8万元。故2021年申报16.8万元，批复下达16.8万元。</w:t>
      </w:r>
    </w:p>
    <w:p w14:paraId="6237259F">
      <w:pPr>
        <w:numPr>
          <w:ilvl w:val="0"/>
          <w:numId w:val="0"/>
        </w:numPr>
        <w:adjustRightInd w:val="0"/>
        <w:snapToGrid w:val="0"/>
        <w:spacing w:line="600" w:lineRule="exact"/>
        <w:ind w:left="0" w:firstLine="964" w:firstLineChars="3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bCs w:val="0"/>
          <w:sz w:val="32"/>
          <w:szCs w:val="32"/>
          <w:lang w:val="en-US" w:eastAsia="zh-CN"/>
        </w:rPr>
        <w:t>2.领导干部个人房产信息查核系统运行维护费：</w:t>
      </w:r>
      <w:r>
        <w:rPr>
          <w:rFonts w:hint="eastAsia" w:ascii="仿宋_GB2312" w:hAnsi="仿宋_GB2312" w:eastAsia="仿宋_GB2312" w:cs="仿宋_GB2312"/>
          <w:sz w:val="32"/>
          <w:szCs w:val="32"/>
          <w:lang w:val="en-US" w:eastAsia="zh-CN"/>
        </w:rPr>
        <w:t>2021年我局与系统开发单位四川亿联公司签订了运维服务合同，确保系统正常运行。申报资金为1万元，批复资金1万元，实际使用资金0.8万元。</w:t>
      </w:r>
    </w:p>
    <w:p w14:paraId="3D10032B">
      <w:pPr>
        <w:numPr>
          <w:ilvl w:val="0"/>
          <w:numId w:val="0"/>
        </w:numPr>
        <w:adjustRightInd w:val="0"/>
        <w:snapToGrid w:val="0"/>
        <w:spacing w:line="600" w:lineRule="exact"/>
        <w:ind w:left="0" w:firstLine="964" w:firstLineChars="3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（二）项目绩效目标。</w:t>
      </w:r>
    </w:p>
    <w:p w14:paraId="046025A5">
      <w:pPr>
        <w:adjustRightInd w:val="0"/>
        <w:snapToGrid w:val="0"/>
        <w:spacing w:line="600" w:lineRule="exact"/>
        <w:ind w:firstLine="720"/>
        <w:rPr>
          <w:rFonts w:hint="eastAsia" w:ascii="仿宋_GB2312" w:hAnsi="仿宋_GB2312" w:eastAsia="仿宋_GB2312" w:cs="仿宋_GB2312"/>
          <w:b w:val="0"/>
          <w:bCs/>
          <w:sz w:val="32"/>
          <w:szCs w:val="32"/>
          <w:lang w:val="zh-CN"/>
        </w:rPr>
      </w:pPr>
      <w:r>
        <w:rPr>
          <w:rFonts w:hint="eastAsia" w:ascii="仿宋_GB2312" w:hAnsi="仿宋_GB2312" w:eastAsia="仿宋_GB2312" w:cs="仿宋_GB2312"/>
          <w:b w:val="0"/>
          <w:bCs/>
          <w:sz w:val="32"/>
          <w:szCs w:val="32"/>
          <w:lang w:val="zh-CN" w:eastAsia="zh-CN"/>
        </w:rPr>
        <w:t>领导干部个人房产信息查核系统光纤租用和系统运维服务两个子项目实施的目标：</w:t>
      </w:r>
      <w:r>
        <w:rPr>
          <w:rFonts w:hint="eastAsia" w:ascii="仿宋_GB2312" w:hAnsi="仿宋_GB2312" w:eastAsia="仿宋_GB2312" w:cs="仿宋_GB2312"/>
          <w:b w:val="0"/>
          <w:bCs/>
          <w:sz w:val="32"/>
          <w:szCs w:val="32"/>
          <w:lang w:val="zh-CN"/>
        </w:rPr>
        <w:t>查核工作更加的安全和规范，提升了查核任务工作效率。</w:t>
      </w:r>
    </w:p>
    <w:p w14:paraId="0DD8A477">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val="0"/>
          <w:bCs/>
          <w:sz w:val="32"/>
          <w:szCs w:val="32"/>
          <w:lang w:val="zh-CN"/>
        </w:rPr>
        <w:t>州本级房地产市场信息平台服务器托管服务子项目实施的目标：</w:t>
      </w:r>
      <w:r>
        <w:rPr>
          <w:rFonts w:hint="eastAsia" w:ascii="仿宋_GB2312" w:hAnsi="仿宋_GB2312" w:eastAsia="仿宋_GB2312" w:cs="仿宋_GB2312"/>
          <w:b w:val="0"/>
          <w:bCs/>
          <w:sz w:val="32"/>
          <w:szCs w:val="32"/>
          <w:lang w:val="zh-CN" w:eastAsia="zh-CN"/>
        </w:rPr>
        <w:t>最大限度地节约财政资金的投入，解决我局未建立标准化机房无专业维护技术、涉密信息安全等问题，采取服务器迁移托管模式，实现我州房产交易市场监管信息化，为州县市房地产市场信息平台各系统运行提供有利条件。</w:t>
      </w:r>
    </w:p>
    <w:p w14:paraId="7F381E6B">
      <w:pPr>
        <w:numPr>
          <w:ilvl w:val="0"/>
          <w:numId w:val="0"/>
        </w:numPr>
        <w:adjustRightInd w:val="0"/>
        <w:snapToGrid w:val="0"/>
        <w:spacing w:line="600" w:lineRule="exact"/>
        <w:ind w:left="0"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（三）项目资金申报相符性。</w:t>
      </w:r>
      <w:r>
        <w:rPr>
          <w:rFonts w:hint="eastAsia" w:ascii="仿宋_GB2312" w:hAnsi="仿宋_GB2312" w:eastAsia="仿宋_GB2312" w:cs="仿宋_GB2312"/>
          <w:sz w:val="32"/>
          <w:szCs w:val="32"/>
          <w:lang w:val="zh-CN"/>
        </w:rPr>
        <w:t>项目申报内容与具体实施内容相符。</w:t>
      </w:r>
    </w:p>
    <w:p w14:paraId="78EB4D74">
      <w:pPr>
        <w:adjustRightInd w:val="0"/>
        <w:snapToGrid w:val="0"/>
        <w:spacing w:line="600" w:lineRule="exact"/>
        <w:ind w:firstLine="720"/>
        <w:rPr>
          <w:rFonts w:hint="eastAsia" w:ascii="黑体" w:hAnsi="黑体" w:eastAsia="黑体" w:cs="黑体"/>
          <w:sz w:val="32"/>
          <w:szCs w:val="32"/>
          <w:lang w:val="zh-CN"/>
        </w:rPr>
      </w:pPr>
      <w:r>
        <w:rPr>
          <w:rFonts w:hint="eastAsia" w:ascii="黑体" w:hAnsi="黑体" w:eastAsia="黑体" w:cs="黑体"/>
          <w:sz w:val="32"/>
          <w:szCs w:val="32"/>
          <w:lang w:val="en-US" w:eastAsia="zh-CN"/>
        </w:rPr>
        <w:t>三、</w:t>
      </w:r>
      <w:r>
        <w:rPr>
          <w:rFonts w:hint="eastAsia" w:ascii="黑体" w:hAnsi="黑体" w:eastAsia="黑体" w:cs="黑体"/>
          <w:sz w:val="32"/>
          <w:szCs w:val="32"/>
          <w:lang w:val="zh-CN"/>
        </w:rPr>
        <w:t>项目实施及管理情况</w:t>
      </w:r>
    </w:p>
    <w:p w14:paraId="1426EDBC">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ab/>
      </w:r>
      <w:r>
        <w:rPr>
          <w:rFonts w:hint="eastAsia" w:ascii="仿宋_GB2312" w:hAnsi="仿宋_GB2312" w:eastAsia="仿宋_GB2312" w:cs="仿宋_GB2312"/>
          <w:b/>
          <w:sz w:val="32"/>
          <w:szCs w:val="32"/>
          <w:lang w:val="zh-CN"/>
        </w:rPr>
        <w:t>（一）资金计划、到位及使用情况。</w:t>
      </w:r>
    </w:p>
    <w:p w14:paraId="153C1424">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1．资金计划及到位。</w:t>
      </w:r>
      <w:r>
        <w:rPr>
          <w:rFonts w:hint="eastAsia" w:ascii="仿宋_GB2312" w:hAnsi="仿宋_GB2312" w:eastAsia="仿宋_GB2312" w:cs="仿宋_GB2312"/>
          <w:sz w:val="32"/>
          <w:szCs w:val="32"/>
          <w:lang w:val="en-US" w:eastAsia="zh-CN"/>
        </w:rPr>
        <w:t>该项目预算资金为17.6万元，州财政局通过年初预算下达17.6万元。</w:t>
      </w:r>
    </w:p>
    <w:p w14:paraId="7B1C5B60">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2．资金使用。三个子项目均为一次性支付，项目实际支出情况，资金开支范围、标准及支付进度等与申报情况一致。</w:t>
      </w:r>
      <w:r>
        <w:rPr>
          <w:rFonts w:hint="eastAsia" w:ascii="仿宋_GB2312" w:hAnsi="仿宋_GB2312" w:eastAsia="仿宋_GB2312" w:cs="仿宋_GB2312"/>
          <w:sz w:val="32"/>
          <w:szCs w:val="32"/>
          <w:lang w:val="en-US" w:eastAsia="zh-CN"/>
        </w:rPr>
        <w:t>截止2021年12月，该项目共计支出17.6万元。</w:t>
      </w:r>
    </w:p>
    <w:p w14:paraId="15C50A64">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（二）项目财务管理情况。</w:t>
      </w:r>
    </w:p>
    <w:p w14:paraId="6B6BD137">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en-US" w:eastAsia="zh-CN"/>
        </w:rPr>
        <w:t>该项目经费是财政下达的项目资金，我局严格按照州财政局项目资金管理办法通过财政直接支付方式进行管理，资金支付进度和方式严格按照合同进行，</w:t>
      </w:r>
      <w:r>
        <w:rPr>
          <w:rFonts w:hint="eastAsia" w:ascii="仿宋_GB2312" w:hAnsi="仿宋_GB2312" w:eastAsia="仿宋_GB2312" w:cs="仿宋_GB2312"/>
          <w:sz w:val="32"/>
          <w:szCs w:val="32"/>
          <w:lang w:val="zh-CN"/>
        </w:rPr>
        <w:t>严格</w:t>
      </w:r>
      <w:r>
        <w:rPr>
          <w:rFonts w:hint="eastAsia" w:ascii="仿宋_GB2312" w:hAnsi="仿宋_GB2312" w:eastAsia="仿宋_GB2312" w:cs="仿宋_GB2312"/>
          <w:sz w:val="32"/>
          <w:szCs w:val="32"/>
          <w:lang w:val="en-US" w:eastAsia="zh-CN"/>
        </w:rPr>
        <w:t>遵守各项财务管理制度。</w:t>
      </w:r>
    </w:p>
    <w:p w14:paraId="1AD6CEA3">
      <w:pPr>
        <w:numPr>
          <w:ilvl w:val="0"/>
          <w:numId w:val="4"/>
        </w:numPr>
        <w:adjustRightInd w:val="0"/>
        <w:snapToGrid w:val="0"/>
        <w:spacing w:line="600" w:lineRule="exact"/>
        <w:ind w:left="0" w:firstLine="72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sz w:val="32"/>
          <w:szCs w:val="32"/>
          <w:lang w:val="zh-CN"/>
        </w:rPr>
        <w:t>项目组织实施情况。</w:t>
      </w:r>
      <w:r>
        <w:rPr>
          <w:rFonts w:hint="eastAsia" w:ascii="仿宋_GB2312" w:hAnsi="仿宋_GB2312" w:eastAsia="仿宋_GB2312" w:cs="仿宋_GB2312"/>
          <w:sz w:val="32"/>
          <w:szCs w:val="32"/>
          <w:lang w:val="zh-CN" w:eastAsia="zh-CN"/>
        </w:rPr>
        <w:t>三个子项目均签订了合同，严格按照合同约定执行。</w:t>
      </w:r>
    </w:p>
    <w:p w14:paraId="612BB48A">
      <w:pPr>
        <w:adjustRightInd w:val="0"/>
        <w:snapToGrid w:val="0"/>
        <w:spacing w:line="600" w:lineRule="exact"/>
        <w:ind w:firstLine="720"/>
        <w:rPr>
          <w:rFonts w:hint="eastAsia" w:ascii="黑体" w:hAnsi="黑体" w:eastAsia="黑体" w:cs="黑体"/>
          <w:sz w:val="32"/>
          <w:szCs w:val="32"/>
          <w:lang w:val="zh-CN"/>
        </w:rPr>
      </w:pPr>
      <w:r>
        <w:rPr>
          <w:rFonts w:hint="eastAsia" w:ascii="黑体" w:hAnsi="黑体" w:eastAsia="黑体" w:cs="黑体"/>
          <w:sz w:val="32"/>
          <w:szCs w:val="32"/>
          <w:lang w:val="en-US" w:eastAsia="zh-CN"/>
        </w:rPr>
        <w:t>四</w:t>
      </w:r>
      <w:r>
        <w:rPr>
          <w:rFonts w:hint="eastAsia" w:ascii="黑体" w:hAnsi="黑体" w:eastAsia="黑体" w:cs="黑体"/>
          <w:sz w:val="32"/>
          <w:szCs w:val="32"/>
          <w:lang w:val="zh-CN"/>
        </w:rPr>
        <w:t>、项目绩效情况</w:t>
      </w:r>
      <w:r>
        <w:rPr>
          <w:rFonts w:hint="eastAsia" w:ascii="黑体" w:hAnsi="黑体" w:eastAsia="黑体" w:cs="黑体"/>
          <w:sz w:val="32"/>
          <w:szCs w:val="32"/>
          <w:lang w:val="zh-CN"/>
        </w:rPr>
        <w:tab/>
      </w:r>
    </w:p>
    <w:p w14:paraId="44A68304">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（一）项目完成情况。</w:t>
      </w:r>
    </w:p>
    <w:p w14:paraId="02382030">
      <w:pPr>
        <w:adjustRightInd w:val="0"/>
        <w:snapToGrid w:val="0"/>
        <w:spacing w:line="600" w:lineRule="exact"/>
        <w:ind w:firstLine="720"/>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sz w:val="32"/>
          <w:szCs w:val="32"/>
          <w:lang w:val="zh-CN"/>
        </w:rPr>
        <w:t>该项目计划与实际完成情况一致。</w:t>
      </w:r>
    </w:p>
    <w:p w14:paraId="51C24F1A">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（二）项目效益情况。</w:t>
      </w:r>
      <w:r>
        <w:rPr>
          <w:rFonts w:hint="eastAsia" w:ascii="仿宋_GB2312" w:hAnsi="仿宋_GB2312" w:eastAsia="仿宋_GB2312" w:cs="仿宋_GB2312"/>
          <w:b w:val="0"/>
          <w:bCs/>
          <w:sz w:val="32"/>
          <w:szCs w:val="32"/>
          <w:lang w:val="zh-CN" w:eastAsia="zh-CN"/>
        </w:rPr>
        <w:t>领导干部个人房产信息查核系统光纤租用和系统运维服务两个子项目的实施，对我局开展领导干部个人房产信息查核工作</w:t>
      </w:r>
      <w:r>
        <w:rPr>
          <w:rFonts w:hint="eastAsia" w:ascii="仿宋_GB2312" w:hAnsi="仿宋_GB2312" w:eastAsia="仿宋_GB2312" w:cs="仿宋_GB2312"/>
          <w:b w:val="0"/>
          <w:bCs/>
          <w:sz w:val="32"/>
          <w:szCs w:val="32"/>
          <w:lang w:val="zh-CN"/>
        </w:rPr>
        <w:t>起到了促进作用，查核工作更加的安全和规范，也提升了查核任务工作效率。州本级房地产市场信息平台服务器托管服务子项目实施，</w:t>
      </w:r>
      <w:r>
        <w:rPr>
          <w:rFonts w:hint="eastAsia" w:ascii="仿宋_GB2312" w:hAnsi="仿宋_GB2312" w:eastAsia="仿宋_GB2312" w:cs="仿宋_GB2312"/>
          <w:b w:val="0"/>
          <w:bCs/>
          <w:sz w:val="32"/>
          <w:szCs w:val="32"/>
          <w:lang w:val="zh-CN" w:eastAsia="zh-CN"/>
        </w:rPr>
        <w:t>最大限度地节约财政资金的投入，解决我局未建立标准化机房无专业维护技术、涉密信息安全等问题，采取服务器迁移托管模式，实现我州房产交易市场监管信息化，为州县市房地产市场信息平台各系统运行提供有利条件。</w:t>
      </w:r>
    </w:p>
    <w:p w14:paraId="6DFD6408">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五</w:t>
      </w:r>
      <w:r>
        <w:rPr>
          <w:rFonts w:hint="eastAsia" w:ascii="黑体" w:hAnsi="黑体" w:eastAsia="黑体" w:cs="黑体"/>
          <w:sz w:val="32"/>
          <w:szCs w:val="32"/>
        </w:rPr>
        <w:t>、问</w:t>
      </w:r>
      <w:r>
        <w:rPr>
          <w:rFonts w:hint="eastAsia" w:ascii="黑体" w:hAnsi="黑体" w:eastAsia="黑体" w:cs="黑体"/>
          <w:sz w:val="32"/>
          <w:szCs w:val="32"/>
          <w:lang w:val="zh-CN"/>
        </w:rPr>
        <w:t>题及建议</w:t>
      </w:r>
      <w:r>
        <w:rPr>
          <w:rFonts w:hint="eastAsia" w:ascii="黑体" w:hAnsi="黑体" w:eastAsia="黑体" w:cs="黑体"/>
          <w:sz w:val="32"/>
          <w:szCs w:val="32"/>
          <w:lang w:val="zh-CN" w:eastAsia="zh-CN"/>
        </w:rPr>
        <w:t>：</w:t>
      </w:r>
      <w:r>
        <w:rPr>
          <w:rFonts w:hint="eastAsia" w:ascii="仿宋_GB2312" w:hAnsi="仿宋_GB2312" w:eastAsia="仿宋_GB2312" w:cs="仿宋_GB2312"/>
          <w:sz w:val="32"/>
          <w:szCs w:val="32"/>
          <w:lang w:val="en-US" w:eastAsia="zh-CN"/>
        </w:rPr>
        <w:t>无。</w:t>
      </w:r>
    </w:p>
    <w:p w14:paraId="5F13DEC1">
      <w:pPr>
        <w:widowControl/>
        <w:jc w:val="left"/>
        <w:rPr>
          <w:rStyle w:val="17"/>
          <w:rFonts w:ascii="黑体" w:hAnsi="黑体" w:eastAsia="黑体"/>
          <w:b w:val="0"/>
        </w:rPr>
      </w:pPr>
    </w:p>
    <w:p w14:paraId="3475EF93">
      <w:pPr>
        <w:pStyle w:val="28"/>
        <w:keepNext w:val="0"/>
        <w:keepLines w:val="0"/>
        <w:pageBreakBefore w:val="0"/>
        <w:kinsoku/>
        <w:wordWrap/>
        <w:overflowPunct/>
        <w:topLinePunct w:val="0"/>
        <w:autoSpaceDE/>
        <w:autoSpaceDN/>
        <w:bidi w:val="0"/>
        <w:spacing w:line="560" w:lineRule="exact"/>
        <w:ind w:left="0"/>
        <w:jc w:val="center"/>
        <w:rPr>
          <w:rFonts w:hint="eastAsia" w:ascii="仿宋_GB2312" w:hAnsi="仿宋_GB2312" w:eastAsia="方正小标宋简体"/>
          <w:color w:val="auto"/>
          <w:kern w:val="2"/>
          <w:sz w:val="32"/>
          <w:szCs w:val="32"/>
          <w:lang w:val="en-US" w:eastAsia="zh-CN"/>
        </w:rPr>
      </w:pPr>
      <w:r>
        <w:rPr>
          <w:rFonts w:hint="eastAsia" w:ascii="方正小标宋简体" w:eastAsia="方正小标宋简体"/>
          <w:sz w:val="44"/>
          <w:szCs w:val="44"/>
        </w:rPr>
        <w:t>项目支出绩效自评报告</w:t>
      </w:r>
      <w:r>
        <w:rPr>
          <w:rFonts w:hint="eastAsia" w:ascii="方正小标宋简体" w:eastAsia="方正小标宋简体"/>
          <w:sz w:val="44"/>
          <w:szCs w:val="44"/>
          <w:lang w:val="en-US" w:eastAsia="zh-CN"/>
        </w:rPr>
        <w:t>三</w:t>
      </w:r>
    </w:p>
    <w:p w14:paraId="61DE543F">
      <w:pPr>
        <w:spacing w:line="60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（工程建设项目审批</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rPr>
        <w:t>系统培训）</w:t>
      </w:r>
    </w:p>
    <w:p w14:paraId="0ACEAFD6">
      <w:pPr>
        <w:pStyle w:val="28"/>
        <w:spacing w:line="600" w:lineRule="exact"/>
        <w:ind w:firstLine="640"/>
        <w:jc w:val="center"/>
        <w:rPr>
          <w:rFonts w:hint="eastAsia" w:ascii="仿宋_GB2312" w:hAnsi="仿宋_GB2312" w:eastAsia="仿宋_GB2312" w:cs="仿宋_GB2312"/>
          <w:color w:val="auto"/>
          <w:kern w:val="2"/>
          <w:sz w:val="32"/>
          <w:szCs w:val="32"/>
        </w:rPr>
      </w:pPr>
    </w:p>
    <w:p w14:paraId="6C53E595">
      <w:pPr>
        <w:adjustRightInd w:val="0"/>
        <w:snapToGrid w:val="0"/>
        <w:spacing w:line="600" w:lineRule="exact"/>
        <w:ind w:firstLine="720"/>
        <w:rPr>
          <w:rFonts w:hint="eastAsia" w:ascii="黑体" w:hAnsi="黑体" w:eastAsia="黑体" w:cs="黑体"/>
          <w:b/>
          <w:bCs/>
          <w:color w:val="auto"/>
          <w:sz w:val="32"/>
          <w:szCs w:val="32"/>
          <w:lang w:val="zh-CN"/>
        </w:rPr>
      </w:pPr>
      <w:r>
        <w:rPr>
          <w:rFonts w:hint="eastAsia" w:ascii="黑体" w:hAnsi="黑体" w:eastAsia="黑体" w:cs="黑体"/>
          <w:b/>
          <w:bCs/>
          <w:color w:val="auto"/>
          <w:sz w:val="32"/>
          <w:szCs w:val="32"/>
        </w:rPr>
        <w:t>一、</w:t>
      </w:r>
      <w:r>
        <w:rPr>
          <w:rFonts w:hint="eastAsia" w:ascii="黑体" w:hAnsi="黑体" w:eastAsia="黑体" w:cs="黑体"/>
          <w:b/>
          <w:bCs/>
          <w:color w:val="auto"/>
          <w:sz w:val="32"/>
          <w:szCs w:val="32"/>
          <w:lang w:val="zh-CN"/>
        </w:rPr>
        <w:t>项目概况</w:t>
      </w:r>
    </w:p>
    <w:p w14:paraId="492C6229">
      <w:pPr>
        <w:adjustRightInd w:val="0"/>
        <w:snapToGrid w:val="0"/>
        <w:spacing w:line="600" w:lineRule="exact"/>
        <w:ind w:firstLine="72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color w:val="auto"/>
          <w:sz w:val="32"/>
          <w:szCs w:val="32"/>
          <w:lang w:val="zh-CN"/>
        </w:rPr>
        <w:t>（一）项目资金申报及批复情况。</w:t>
      </w:r>
      <w:r>
        <w:rPr>
          <w:rFonts w:hint="eastAsia" w:ascii="仿宋_GB2312" w:hAnsi="仿宋_GB2312" w:eastAsia="仿宋_GB2312" w:cs="仿宋_GB2312"/>
          <w:b w:val="0"/>
          <w:bCs/>
          <w:color w:val="auto"/>
          <w:sz w:val="32"/>
          <w:szCs w:val="32"/>
          <w:lang w:val="en-US" w:eastAsia="zh-CN"/>
        </w:rPr>
        <w:t>按照局2021年培训计划，组织全州工程建设项目审批管理系统实操业务培训。该培训纳入了2021年初预算，培训经费已通过年初预算下达。</w:t>
      </w:r>
    </w:p>
    <w:p w14:paraId="31E70A55">
      <w:pPr>
        <w:adjustRightInd w:val="0"/>
        <w:snapToGrid w:val="0"/>
        <w:spacing w:line="600" w:lineRule="exact"/>
        <w:ind w:firstLine="72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color w:val="auto"/>
          <w:sz w:val="32"/>
          <w:szCs w:val="32"/>
          <w:lang w:val="zh-CN"/>
        </w:rPr>
        <w:t>（二）项目绩效目标。</w:t>
      </w:r>
      <w:r>
        <w:rPr>
          <w:rFonts w:hint="eastAsia" w:ascii="仿宋_GB2312" w:hAnsi="仿宋_GB2312" w:eastAsia="仿宋_GB2312" w:cs="仿宋_GB2312"/>
          <w:color w:val="auto"/>
          <w:sz w:val="32"/>
          <w:szCs w:val="32"/>
          <w:lang w:bidi="ar-SA"/>
        </w:rPr>
        <w:t>12月8日至11日，对全州工改工作相关人员60余人培训基础信息录入、流程配置、审批办件、实际操作、信息收集等内容。</w:t>
      </w:r>
      <w:r>
        <w:rPr>
          <w:rFonts w:hint="eastAsia" w:ascii="仿宋_GB2312" w:hAnsi="仿宋_GB2312" w:eastAsia="仿宋_GB2312" w:cs="仿宋_GB2312"/>
          <w:color w:val="auto"/>
          <w:sz w:val="32"/>
          <w:szCs w:val="32"/>
          <w:lang w:val="en-US" w:eastAsia="zh-CN" w:bidi="ar-SA"/>
        </w:rPr>
        <w:t>大大提高了经办人员业务水平，有力推动了全州工程建设项目审批制度改革。</w:t>
      </w:r>
    </w:p>
    <w:p w14:paraId="51D9BE5A">
      <w:pPr>
        <w:adjustRightInd w:val="0"/>
        <w:snapToGrid w:val="0"/>
        <w:spacing w:line="600" w:lineRule="exact"/>
        <w:ind w:firstLine="720"/>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b/>
          <w:color w:val="auto"/>
          <w:sz w:val="32"/>
          <w:szCs w:val="32"/>
          <w:lang w:val="zh-CN"/>
        </w:rPr>
        <w:t>（三）项目资金申报相符性。</w:t>
      </w:r>
      <w:r>
        <w:rPr>
          <w:rFonts w:hint="eastAsia" w:ascii="仿宋_GB2312" w:hAnsi="仿宋_GB2312" w:eastAsia="仿宋_GB2312" w:cs="仿宋_GB2312"/>
          <w:color w:val="auto"/>
          <w:sz w:val="32"/>
          <w:szCs w:val="32"/>
          <w:lang w:val="en-US" w:eastAsia="zh-CN" w:bidi="ar-SA"/>
        </w:rPr>
        <w:t>该培训</w:t>
      </w:r>
      <w:r>
        <w:rPr>
          <w:rFonts w:hint="eastAsia" w:ascii="仿宋_GB2312" w:hAnsi="仿宋_GB2312" w:eastAsia="仿宋_GB2312" w:cs="仿宋_GB2312"/>
          <w:color w:val="auto"/>
          <w:sz w:val="32"/>
          <w:szCs w:val="32"/>
          <w:lang w:val="en-US" w:eastAsia="zh-CN"/>
        </w:rPr>
        <w:t>是经单位申报、组织部批准的培训项目，</w:t>
      </w:r>
      <w:r>
        <w:rPr>
          <w:rFonts w:hint="eastAsia" w:ascii="仿宋_GB2312" w:hAnsi="仿宋_GB2312" w:eastAsia="仿宋_GB2312" w:cs="仿宋_GB2312"/>
          <w:color w:val="auto"/>
          <w:sz w:val="32"/>
          <w:szCs w:val="32"/>
          <w:lang w:val="zh-CN"/>
        </w:rPr>
        <w:t>符合我州</w:t>
      </w:r>
      <w:r>
        <w:rPr>
          <w:rFonts w:hint="eastAsia" w:ascii="仿宋_GB2312" w:hAnsi="仿宋_GB2312" w:eastAsia="仿宋_GB2312" w:cs="仿宋_GB2312"/>
          <w:color w:val="auto"/>
          <w:sz w:val="32"/>
          <w:szCs w:val="32"/>
          <w:lang w:val="en-US" w:eastAsia="zh-CN"/>
        </w:rPr>
        <w:t>举办</w:t>
      </w:r>
      <w:r>
        <w:rPr>
          <w:rFonts w:hint="eastAsia" w:ascii="仿宋_GB2312" w:hAnsi="仿宋_GB2312" w:eastAsia="仿宋_GB2312" w:cs="仿宋_GB2312"/>
          <w:color w:val="auto"/>
          <w:sz w:val="32"/>
          <w:szCs w:val="32"/>
          <w:lang w:val="zh-CN"/>
        </w:rPr>
        <w:t>培训</w:t>
      </w:r>
      <w:r>
        <w:rPr>
          <w:rFonts w:hint="eastAsia" w:ascii="仿宋_GB2312" w:hAnsi="仿宋_GB2312" w:eastAsia="仿宋_GB2312" w:cs="仿宋_GB2312"/>
          <w:color w:val="auto"/>
          <w:sz w:val="32"/>
          <w:szCs w:val="32"/>
          <w:lang w:val="en-US" w:eastAsia="zh-CN"/>
        </w:rPr>
        <w:t>班的</w:t>
      </w:r>
      <w:r>
        <w:rPr>
          <w:rFonts w:hint="eastAsia" w:ascii="仿宋_GB2312" w:hAnsi="仿宋_GB2312" w:eastAsia="仿宋_GB2312" w:cs="仿宋_GB2312"/>
          <w:color w:val="auto"/>
          <w:sz w:val="32"/>
          <w:szCs w:val="32"/>
          <w:lang w:val="zh-CN"/>
        </w:rPr>
        <w:t>相关要求。</w:t>
      </w:r>
      <w:r>
        <w:rPr>
          <w:rFonts w:hint="eastAsia" w:ascii="仿宋_GB2312" w:hAnsi="仿宋_GB2312" w:eastAsia="仿宋_GB2312" w:cs="仿宋_GB2312"/>
          <w:color w:val="auto"/>
          <w:sz w:val="32"/>
          <w:szCs w:val="32"/>
          <w:lang w:val="en-US" w:eastAsia="zh-CN"/>
        </w:rPr>
        <w:t>培训发生的专家授课费、资料费、餐费、住宿费、会议室租赁费等均符合我州培训费相关管理规定。</w:t>
      </w:r>
    </w:p>
    <w:p w14:paraId="00A50104">
      <w:pPr>
        <w:adjustRightInd w:val="0"/>
        <w:snapToGrid w:val="0"/>
        <w:spacing w:line="600" w:lineRule="exact"/>
        <w:ind w:firstLine="720"/>
        <w:rPr>
          <w:rFonts w:hint="eastAsia" w:ascii="黑体" w:hAnsi="黑体" w:eastAsia="黑体" w:cs="黑体"/>
          <w:b/>
          <w:bCs/>
          <w:color w:val="auto"/>
          <w:sz w:val="32"/>
          <w:szCs w:val="32"/>
        </w:rPr>
      </w:pPr>
      <w:r>
        <w:rPr>
          <w:rFonts w:hint="eastAsia" w:ascii="黑体" w:hAnsi="黑体" w:eastAsia="黑体" w:cs="黑体"/>
          <w:b/>
          <w:bCs/>
          <w:color w:val="auto"/>
          <w:sz w:val="32"/>
          <w:szCs w:val="32"/>
        </w:rPr>
        <w:t>二、项目实施及管理情况</w:t>
      </w:r>
    </w:p>
    <w:p w14:paraId="48EF335F">
      <w:pPr>
        <w:adjustRightInd w:val="0"/>
        <w:snapToGrid w:val="0"/>
        <w:spacing w:line="600" w:lineRule="exact"/>
        <w:ind w:firstLine="720"/>
        <w:rPr>
          <w:rFonts w:hint="eastAsia" w:ascii="仿宋_GB2312" w:hAnsi="仿宋_GB2312" w:eastAsia="仿宋_GB2312" w:cs="仿宋_GB2312"/>
          <w:b/>
          <w:color w:val="auto"/>
          <w:sz w:val="32"/>
          <w:szCs w:val="32"/>
          <w:lang w:val="zh-CN"/>
        </w:rPr>
      </w:pPr>
      <w:r>
        <w:rPr>
          <w:rFonts w:hint="eastAsia" w:ascii="仿宋_GB2312" w:hAnsi="仿宋_GB2312" w:eastAsia="仿宋_GB2312" w:cs="仿宋_GB2312"/>
          <w:b/>
          <w:color w:val="auto"/>
          <w:sz w:val="32"/>
          <w:szCs w:val="32"/>
          <w:lang w:val="zh-CN"/>
        </w:rPr>
        <w:t>（一）资金计划、到位及使用情况。</w:t>
      </w:r>
    </w:p>
    <w:p w14:paraId="165D4EE4">
      <w:pPr>
        <w:adjustRightInd w:val="0"/>
        <w:snapToGrid w:val="0"/>
        <w:spacing w:line="600" w:lineRule="exact"/>
        <w:ind w:firstLine="720"/>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1．资金计划及到位。</w:t>
      </w:r>
      <w:r>
        <w:rPr>
          <w:rFonts w:hint="eastAsia" w:ascii="仿宋_GB2312" w:hAnsi="仿宋_GB2312" w:eastAsia="仿宋_GB2312" w:cs="仿宋_GB2312"/>
          <w:sz w:val="32"/>
          <w:szCs w:val="32"/>
          <w:lang w:val="en-US" w:eastAsia="zh-CN"/>
        </w:rPr>
        <w:t>本次培训经费通过年初预算申报计划，资金已通过财政年初预算下达。</w:t>
      </w:r>
    </w:p>
    <w:p w14:paraId="2CB5B577">
      <w:pPr>
        <w:adjustRightInd w:val="0"/>
        <w:snapToGrid w:val="0"/>
        <w:spacing w:line="600" w:lineRule="exact"/>
        <w:ind w:firstLine="720"/>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2．资金使用。此次培训共产生培训费（含教师授课费）48100元，经局第84次党组会审议通过，统一支付该费用，目前，该费用已通过财政局审核并支付。</w:t>
      </w:r>
    </w:p>
    <w:p w14:paraId="1F22A88C">
      <w:pPr>
        <w:adjustRightInd w:val="0"/>
        <w:snapToGrid w:val="0"/>
        <w:spacing w:line="600" w:lineRule="exact"/>
        <w:ind w:firstLine="720"/>
        <w:rPr>
          <w:rFonts w:hint="eastAsia" w:ascii="仿宋_GB2312" w:hAnsi="仿宋_GB2312" w:eastAsia="仿宋_GB2312" w:cs="仿宋_GB2312"/>
          <w:b/>
          <w:color w:val="auto"/>
          <w:sz w:val="32"/>
          <w:szCs w:val="32"/>
          <w:lang w:val="zh-CN"/>
        </w:rPr>
      </w:pPr>
      <w:r>
        <w:rPr>
          <w:rFonts w:hint="eastAsia" w:ascii="仿宋_GB2312" w:hAnsi="仿宋_GB2312" w:eastAsia="仿宋_GB2312" w:cs="仿宋_GB2312"/>
          <w:b/>
          <w:color w:val="auto"/>
          <w:sz w:val="32"/>
          <w:szCs w:val="32"/>
          <w:lang w:val="zh-CN"/>
        </w:rPr>
        <w:t>（二）项目财务管理情况。</w:t>
      </w:r>
    </w:p>
    <w:p w14:paraId="746DBE91">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本次培训的经费根据单位财务管理制度，由单位统一核算报销，做到了事前、事中、事后全程监督。</w:t>
      </w:r>
    </w:p>
    <w:p w14:paraId="6D03549E">
      <w:pPr>
        <w:adjustRightInd w:val="0"/>
        <w:snapToGrid w:val="0"/>
        <w:spacing w:line="600" w:lineRule="exact"/>
        <w:ind w:firstLine="720"/>
        <w:rPr>
          <w:rFonts w:hint="eastAsia" w:ascii="仿宋_GB2312" w:hAnsi="仿宋_GB2312" w:eastAsia="仿宋_GB2312" w:cs="仿宋_GB2312"/>
          <w:b/>
          <w:color w:val="auto"/>
          <w:sz w:val="32"/>
          <w:szCs w:val="32"/>
          <w:lang w:val="zh-CN"/>
        </w:rPr>
      </w:pPr>
      <w:r>
        <w:rPr>
          <w:rFonts w:hint="eastAsia" w:ascii="仿宋_GB2312" w:hAnsi="仿宋_GB2312" w:eastAsia="仿宋_GB2312" w:cs="仿宋_GB2312"/>
          <w:b/>
          <w:color w:val="auto"/>
          <w:sz w:val="32"/>
          <w:szCs w:val="32"/>
          <w:lang w:val="zh-CN"/>
        </w:rPr>
        <w:t>（三）项目组织实施情况。</w:t>
      </w:r>
    </w:p>
    <w:p w14:paraId="7722CE93">
      <w:pPr>
        <w:adjustRightInd w:val="0"/>
        <w:snapToGrid w:val="0"/>
        <w:spacing w:line="600" w:lineRule="exact"/>
        <w:ind w:firstLine="720"/>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该项目由徐富刚副局长负责组织，建管科、行政审批科具体负责，新腾数致公司系统开发教师负责授课。</w:t>
      </w:r>
    </w:p>
    <w:p w14:paraId="04201B08">
      <w:pPr>
        <w:adjustRightInd w:val="0"/>
        <w:snapToGrid w:val="0"/>
        <w:spacing w:line="600" w:lineRule="exact"/>
        <w:ind w:firstLine="720"/>
        <w:rPr>
          <w:rFonts w:hint="eastAsia" w:ascii="黑体" w:hAnsi="黑体" w:eastAsia="黑体" w:cs="黑体"/>
          <w:b/>
          <w:bCs/>
          <w:color w:val="auto"/>
          <w:sz w:val="32"/>
          <w:szCs w:val="32"/>
          <w:lang w:val="zh-CN"/>
        </w:rPr>
      </w:pPr>
      <w:r>
        <w:rPr>
          <w:rFonts w:hint="eastAsia" w:ascii="黑体" w:hAnsi="黑体" w:eastAsia="黑体" w:cs="黑体"/>
          <w:b/>
          <w:bCs/>
          <w:color w:val="auto"/>
          <w:sz w:val="32"/>
          <w:szCs w:val="32"/>
        </w:rPr>
        <w:t>三、项目绩效情况</w:t>
      </w:r>
      <w:r>
        <w:rPr>
          <w:rFonts w:hint="eastAsia" w:ascii="黑体" w:hAnsi="黑体" w:eastAsia="黑体" w:cs="黑体"/>
          <w:b/>
          <w:bCs/>
          <w:color w:val="auto"/>
          <w:sz w:val="32"/>
          <w:szCs w:val="32"/>
          <w:lang w:val="zh-CN"/>
        </w:rPr>
        <w:tab/>
      </w:r>
    </w:p>
    <w:p w14:paraId="5F5181A3">
      <w:pPr>
        <w:adjustRightInd w:val="0"/>
        <w:snapToGrid w:val="0"/>
        <w:spacing w:line="600" w:lineRule="exact"/>
        <w:ind w:firstLine="720"/>
        <w:rPr>
          <w:rFonts w:hint="eastAsia" w:ascii="仿宋_GB2312" w:hAnsi="仿宋_GB2312" w:eastAsia="仿宋_GB2312" w:cs="仿宋_GB2312"/>
          <w:b/>
          <w:color w:val="auto"/>
          <w:sz w:val="32"/>
          <w:szCs w:val="32"/>
          <w:lang w:val="zh-CN"/>
        </w:rPr>
      </w:pPr>
      <w:r>
        <w:rPr>
          <w:rFonts w:hint="eastAsia" w:ascii="仿宋_GB2312" w:hAnsi="仿宋_GB2312" w:eastAsia="仿宋_GB2312" w:cs="仿宋_GB2312"/>
          <w:b/>
          <w:color w:val="auto"/>
          <w:sz w:val="32"/>
          <w:szCs w:val="32"/>
          <w:lang w:val="zh-CN"/>
        </w:rPr>
        <w:t>（一）项目完成情况。</w:t>
      </w:r>
    </w:p>
    <w:p w14:paraId="23C6EB85">
      <w:pPr>
        <w:adjustRightInd w:val="0"/>
        <w:snapToGrid w:val="0"/>
        <w:spacing w:line="600" w:lineRule="exact"/>
        <w:ind w:firstLine="720"/>
        <w:rPr>
          <w:rFonts w:hint="eastAsia" w:ascii="仿宋_GB2312" w:hAnsi="仿宋_GB2312" w:eastAsia="仿宋_GB2312" w:cs="仿宋_GB2312"/>
          <w:b/>
          <w:color w:val="auto"/>
          <w:sz w:val="32"/>
          <w:szCs w:val="32"/>
          <w:lang w:val="zh-CN"/>
        </w:rPr>
      </w:pPr>
      <w:r>
        <w:rPr>
          <w:rFonts w:hint="eastAsia" w:ascii="仿宋_GB2312" w:hAnsi="仿宋_GB2312" w:eastAsia="仿宋_GB2312" w:cs="仿宋_GB2312"/>
          <w:color w:val="auto"/>
          <w:sz w:val="32"/>
          <w:szCs w:val="32"/>
          <w:lang w:bidi="ar-SA"/>
        </w:rPr>
        <w:t>12月8日至11日，对全州工改工作相关人员60余人培训基础信息录入、流程配置、审批办件、实际操作、信息收集等内容。</w:t>
      </w:r>
    </w:p>
    <w:p w14:paraId="14261188">
      <w:pPr>
        <w:adjustRightInd w:val="0"/>
        <w:snapToGrid w:val="0"/>
        <w:spacing w:line="600" w:lineRule="exact"/>
        <w:ind w:firstLine="720"/>
        <w:rPr>
          <w:rFonts w:hint="eastAsia" w:ascii="仿宋_GB2312" w:hAnsi="仿宋_GB2312" w:eastAsia="仿宋_GB2312" w:cs="仿宋_GB2312"/>
          <w:b/>
          <w:color w:val="auto"/>
          <w:sz w:val="32"/>
          <w:szCs w:val="32"/>
          <w:lang w:val="zh-CN"/>
        </w:rPr>
      </w:pPr>
      <w:r>
        <w:rPr>
          <w:rFonts w:hint="eastAsia" w:ascii="仿宋_GB2312" w:hAnsi="仿宋_GB2312" w:eastAsia="仿宋_GB2312" w:cs="仿宋_GB2312"/>
          <w:b/>
          <w:color w:val="auto"/>
          <w:sz w:val="32"/>
          <w:szCs w:val="32"/>
          <w:lang w:val="zh-CN"/>
        </w:rPr>
        <w:t>（二）项目效益情况。</w:t>
      </w:r>
      <w:r>
        <w:rPr>
          <w:rFonts w:hint="eastAsia" w:ascii="仿宋_GB2312" w:hAnsi="仿宋_GB2312" w:eastAsia="仿宋_GB2312" w:cs="仿宋_GB2312"/>
          <w:color w:val="auto"/>
          <w:sz w:val="32"/>
          <w:szCs w:val="32"/>
          <w:lang w:bidi="ar-SA"/>
        </w:rPr>
        <w:t>参训人员对系统进一步熟悉运用，培训期间，项目录入数量由培训前的3个增加至19个，培训效果明显。</w:t>
      </w:r>
    </w:p>
    <w:p w14:paraId="5781E534">
      <w:pPr>
        <w:adjustRightInd w:val="0"/>
        <w:snapToGrid w:val="0"/>
        <w:spacing w:line="600" w:lineRule="exact"/>
        <w:ind w:firstLine="720"/>
        <w:rPr>
          <w:rFonts w:hint="eastAsia" w:ascii="黑体" w:hAnsi="黑体" w:eastAsia="黑体" w:cs="黑体"/>
          <w:b/>
          <w:bCs/>
          <w:color w:val="auto"/>
          <w:sz w:val="32"/>
          <w:szCs w:val="32"/>
        </w:rPr>
      </w:pPr>
      <w:r>
        <w:rPr>
          <w:rFonts w:hint="eastAsia" w:ascii="黑体" w:hAnsi="黑体" w:eastAsia="黑体" w:cs="黑体"/>
          <w:b/>
          <w:bCs/>
          <w:color w:val="auto"/>
          <w:sz w:val="32"/>
          <w:szCs w:val="32"/>
        </w:rPr>
        <w:t>四、问题及建议</w:t>
      </w:r>
    </w:p>
    <w:p w14:paraId="15B23B5E">
      <w:pPr>
        <w:adjustRightInd w:val="0"/>
        <w:snapToGrid w:val="0"/>
        <w:spacing w:line="600" w:lineRule="exact"/>
        <w:ind w:firstLine="720"/>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zh-CN"/>
        </w:rPr>
        <w:t>（一）存在的问题。</w:t>
      </w:r>
      <w:r>
        <w:rPr>
          <w:rFonts w:hint="eastAsia" w:ascii="仿宋_GB2312" w:hAnsi="仿宋_GB2312" w:eastAsia="仿宋_GB2312" w:cs="仿宋_GB2312"/>
          <w:b/>
          <w:color w:val="auto"/>
          <w:sz w:val="32"/>
          <w:szCs w:val="32"/>
          <w:lang w:val="en-US" w:eastAsia="zh-CN"/>
        </w:rPr>
        <w:t>无。</w:t>
      </w:r>
    </w:p>
    <w:p w14:paraId="099F604D">
      <w:pPr>
        <w:adjustRightInd w:val="0"/>
        <w:snapToGrid w:val="0"/>
        <w:spacing w:line="600" w:lineRule="exact"/>
        <w:ind w:firstLine="72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color w:val="auto"/>
          <w:sz w:val="32"/>
          <w:szCs w:val="32"/>
          <w:lang w:val="zh-CN"/>
        </w:rPr>
        <w:t>（二）相关建议。</w:t>
      </w:r>
      <w:r>
        <w:rPr>
          <w:rFonts w:hint="eastAsia" w:ascii="仿宋_GB2312" w:hAnsi="仿宋_GB2312" w:eastAsia="仿宋_GB2312" w:cs="仿宋_GB2312"/>
          <w:b/>
          <w:color w:val="auto"/>
          <w:sz w:val="32"/>
          <w:szCs w:val="32"/>
          <w:lang w:val="en-US" w:eastAsia="zh-CN"/>
        </w:rPr>
        <w:t>无。</w:t>
      </w:r>
    </w:p>
    <w:p w14:paraId="0B073539">
      <w:pPr>
        <w:keepNext w:val="0"/>
        <w:keepLines w:val="0"/>
        <w:pageBreakBefore w:val="0"/>
        <w:kinsoku/>
        <w:wordWrap/>
        <w:overflowPunct/>
        <w:topLinePunct w:val="0"/>
        <w:autoSpaceDE/>
        <w:autoSpaceDN/>
        <w:bidi w:val="0"/>
        <w:adjustRightInd w:val="0"/>
        <w:snapToGrid w:val="0"/>
        <w:spacing w:line="560" w:lineRule="exact"/>
        <w:ind w:firstLine="720"/>
        <w:rPr>
          <w:rFonts w:hint="eastAsia" w:ascii="仿宋_GB2312" w:hAnsi="仿宋_GB2312" w:eastAsia="仿宋_GB2312" w:cs="仿宋_GB2312"/>
          <w:color w:val="000000"/>
          <w:sz w:val="32"/>
          <w:szCs w:val="32"/>
          <w:lang w:val="zh-CN" w:eastAsia="zh-CN"/>
        </w:rPr>
      </w:pPr>
    </w:p>
    <w:p w14:paraId="3537ADE1">
      <w:pPr>
        <w:pStyle w:val="28"/>
        <w:spacing w:line="600" w:lineRule="exact"/>
        <w:ind w:firstLine="883"/>
        <w:jc w:val="center"/>
        <w:rPr>
          <w:rFonts w:hint="eastAsia" w:ascii="仿宋_GB2312" w:hAnsi="宋体" w:eastAsia="方正小标宋简体"/>
          <w:color w:val="auto"/>
          <w:kern w:val="2"/>
          <w:sz w:val="32"/>
          <w:szCs w:val="32"/>
          <w:lang w:val="en-US" w:eastAsia="zh-CN"/>
        </w:rPr>
      </w:pPr>
      <w:r>
        <w:rPr>
          <w:rFonts w:hint="eastAsia" w:ascii="方正小标宋简体" w:hAnsi="宋体" w:eastAsia="方正小标宋简体"/>
          <w:sz w:val="44"/>
          <w:szCs w:val="44"/>
        </w:rPr>
        <w:t>项目支出绩效自评报告</w:t>
      </w:r>
      <w:r>
        <w:rPr>
          <w:rFonts w:hint="eastAsia" w:ascii="方正小标宋简体" w:hAnsi="宋体" w:eastAsia="方正小标宋简体"/>
          <w:sz w:val="44"/>
          <w:szCs w:val="44"/>
          <w:lang w:val="en-US" w:eastAsia="zh-CN"/>
        </w:rPr>
        <w:t>四</w:t>
      </w:r>
    </w:p>
    <w:p w14:paraId="43EAEB69">
      <w:pPr>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办公设备采购</w:t>
      </w:r>
      <w:r>
        <w:rPr>
          <w:rFonts w:hint="eastAsia" w:ascii="仿宋_GB2312" w:hAnsi="仿宋_GB2312" w:eastAsia="仿宋_GB2312" w:cs="仿宋_GB2312"/>
          <w:sz w:val="32"/>
          <w:szCs w:val="32"/>
        </w:rPr>
        <w:t>）</w:t>
      </w:r>
    </w:p>
    <w:p w14:paraId="3AC67321">
      <w:pPr>
        <w:pStyle w:val="28"/>
        <w:spacing w:line="600" w:lineRule="exact"/>
        <w:ind w:firstLine="640"/>
        <w:jc w:val="center"/>
        <w:rPr>
          <w:rFonts w:hint="eastAsia" w:ascii="仿宋_GB2312" w:hAnsi="仿宋_GB2312" w:eastAsia="仿宋_GB2312" w:cs="仿宋_GB2312"/>
          <w:color w:val="auto"/>
          <w:kern w:val="2"/>
          <w:sz w:val="32"/>
          <w:szCs w:val="32"/>
        </w:rPr>
      </w:pPr>
    </w:p>
    <w:p w14:paraId="28DDAD1B">
      <w:pPr>
        <w:adjustRightInd w:val="0"/>
        <w:snapToGrid w:val="0"/>
        <w:spacing w:line="600" w:lineRule="exact"/>
        <w:ind w:firstLine="72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2FC5BDA3">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zh-CN"/>
        </w:rPr>
        <w:t>（一）项目资金申报及批复情况。</w:t>
      </w:r>
      <w:r>
        <w:rPr>
          <w:rFonts w:hint="eastAsia" w:ascii="仿宋_GB2312" w:hAnsi="仿宋_GB2312" w:eastAsia="仿宋_GB2312" w:cs="仿宋_GB2312"/>
          <w:sz w:val="32"/>
          <w:szCs w:val="32"/>
          <w:lang w:val="en-US" w:eastAsia="zh-CN"/>
        </w:rPr>
        <w:t>该项目预算金额为15万元，实际批复金额为13万元。</w:t>
      </w:r>
    </w:p>
    <w:p w14:paraId="7A0C5768">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zh-CN"/>
        </w:rPr>
        <w:t>（二）项目绩效目标。</w:t>
      </w:r>
      <w:r>
        <w:rPr>
          <w:rFonts w:hint="eastAsia" w:ascii="仿宋_GB2312" w:hAnsi="仿宋_GB2312" w:eastAsia="仿宋_GB2312" w:cs="仿宋_GB2312"/>
          <w:sz w:val="32"/>
          <w:szCs w:val="32"/>
          <w:lang w:val="en-US" w:eastAsia="zh-CN"/>
        </w:rPr>
        <w:t>该项目的年度绩效目标是采购办公设备，满足日常办公需求，进一步提高办公效率。</w:t>
      </w:r>
    </w:p>
    <w:p w14:paraId="34377406">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zh-CN"/>
        </w:rPr>
        <w:t>（三）项目资金申报相符性。</w:t>
      </w:r>
      <w:r>
        <w:rPr>
          <w:rFonts w:hint="eastAsia" w:ascii="仿宋_GB2312" w:hAnsi="仿宋_GB2312" w:eastAsia="仿宋_GB2312" w:cs="仿宋_GB2312"/>
          <w:sz w:val="32"/>
          <w:szCs w:val="32"/>
          <w:lang w:val="en-US" w:eastAsia="zh-CN"/>
        </w:rPr>
        <w:t>该项目通过政府采购方式网上竞价及商场直购进行，同类商品市场品种多，参考价格有价值，预算合理。</w:t>
      </w:r>
    </w:p>
    <w:p w14:paraId="399F0E20">
      <w:pPr>
        <w:adjustRightInd w:val="0"/>
        <w:snapToGrid w:val="0"/>
        <w:spacing w:line="600" w:lineRule="exact"/>
        <w:ind w:firstLine="720"/>
        <w:rPr>
          <w:rFonts w:hint="eastAsia" w:ascii="黑体" w:hAnsi="黑体" w:eastAsia="黑体" w:cs="黑体"/>
          <w:sz w:val="32"/>
          <w:szCs w:val="32"/>
        </w:rPr>
      </w:pPr>
      <w:r>
        <w:rPr>
          <w:rFonts w:hint="eastAsia" w:ascii="黑体" w:hAnsi="黑体" w:eastAsia="黑体" w:cs="黑体"/>
          <w:sz w:val="32"/>
          <w:szCs w:val="32"/>
        </w:rPr>
        <w:t>二、项目实施及管理情况</w:t>
      </w:r>
    </w:p>
    <w:p w14:paraId="12EBB161">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ab/>
      </w:r>
      <w:r>
        <w:rPr>
          <w:rFonts w:hint="eastAsia" w:ascii="仿宋_GB2312" w:hAnsi="仿宋_GB2312" w:eastAsia="仿宋_GB2312" w:cs="仿宋_GB2312"/>
          <w:b/>
          <w:sz w:val="32"/>
          <w:szCs w:val="32"/>
          <w:lang w:val="zh-CN"/>
        </w:rPr>
        <w:t>（一）资金计划、到位及使用情况。</w:t>
      </w:r>
    </w:p>
    <w:p w14:paraId="7F33FE4F">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1．资金计划及到位。该项目</w:t>
      </w:r>
      <w:r>
        <w:rPr>
          <w:rFonts w:hint="eastAsia" w:ascii="仿宋_GB2312" w:hAnsi="仿宋_GB2312" w:eastAsia="仿宋_GB2312" w:cs="仿宋_GB2312"/>
          <w:sz w:val="32"/>
          <w:szCs w:val="32"/>
          <w:lang w:val="en-US" w:eastAsia="zh-CN"/>
        </w:rPr>
        <w:t>资金通过年初预算下达至单位大平台。</w:t>
      </w:r>
    </w:p>
    <w:p w14:paraId="4D2774B0">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2．资金使用。</w:t>
      </w:r>
      <w:r>
        <w:rPr>
          <w:rFonts w:hint="eastAsia" w:ascii="仿宋_GB2312" w:hAnsi="仿宋_GB2312" w:eastAsia="仿宋_GB2312" w:cs="仿宋_GB2312"/>
          <w:sz w:val="32"/>
          <w:szCs w:val="32"/>
          <w:lang w:val="en-US" w:eastAsia="zh-CN"/>
        </w:rPr>
        <w:t>该项目已于2021年12月完成，并通过财政直接支付的方式支付了全部项目合同款127980元。</w:t>
      </w:r>
    </w:p>
    <w:p w14:paraId="6462B53D">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（二）项目财务管理情况。</w:t>
      </w:r>
    </w:p>
    <w:p w14:paraId="543096D3">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该项目经费是财政下达的项目资金，我局严格按照州财政局项目资金管理办法通过财政直接支付方式进行管理，资金支付进度和方式严格按照合同进行，</w:t>
      </w:r>
      <w:r>
        <w:rPr>
          <w:rFonts w:hint="eastAsia" w:ascii="仿宋_GB2312" w:hAnsi="仿宋_GB2312" w:eastAsia="仿宋_GB2312" w:cs="仿宋_GB2312"/>
          <w:sz w:val="32"/>
          <w:szCs w:val="32"/>
          <w:lang w:val="zh-CN"/>
        </w:rPr>
        <w:t>严格</w:t>
      </w:r>
      <w:r>
        <w:rPr>
          <w:rFonts w:hint="eastAsia" w:ascii="仿宋_GB2312" w:hAnsi="仿宋_GB2312" w:eastAsia="仿宋_GB2312" w:cs="仿宋_GB2312"/>
          <w:sz w:val="32"/>
          <w:szCs w:val="32"/>
          <w:lang w:val="en-US" w:eastAsia="zh-CN"/>
        </w:rPr>
        <w:t>遵守各项财务管理制度，</w:t>
      </w:r>
      <w:r>
        <w:rPr>
          <w:rFonts w:hint="eastAsia" w:ascii="仿宋_GB2312" w:hAnsi="仿宋_GB2312" w:eastAsia="仿宋_GB2312" w:cs="仿宋_GB2312"/>
          <w:sz w:val="32"/>
          <w:szCs w:val="32"/>
          <w:lang w:val="zh-CN"/>
        </w:rPr>
        <w:t>及时进行了财务处理、会计核算规范。</w:t>
      </w:r>
    </w:p>
    <w:p w14:paraId="2B38B992">
      <w:pPr>
        <w:adjustRightInd w:val="0"/>
        <w:snapToGrid w:val="0"/>
        <w:spacing w:line="6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（三）项目组织实施情况。</w:t>
      </w:r>
    </w:p>
    <w:p w14:paraId="6B96AE1B">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该项目通过年初采购备案，并经采购备案管理部门批准，单位分别经网上竞价、商场直购的方式进行了采购。采购过程合规合法。项目实施过程中，单位监督贯穿全过程，确保项目实现预定效益。</w:t>
      </w:r>
    </w:p>
    <w:p w14:paraId="489DC100">
      <w:pPr>
        <w:adjustRightInd w:val="0"/>
        <w:snapToGrid w:val="0"/>
        <w:spacing w:line="600" w:lineRule="exact"/>
        <w:ind w:firstLine="720"/>
        <w:rPr>
          <w:rFonts w:hint="eastAsia" w:ascii="黑体" w:hAnsi="黑体" w:eastAsia="黑体" w:cs="黑体"/>
          <w:sz w:val="32"/>
          <w:szCs w:val="32"/>
          <w:lang w:val="zh-CN"/>
        </w:rPr>
      </w:pPr>
      <w:r>
        <w:rPr>
          <w:rFonts w:hint="eastAsia" w:ascii="黑体" w:hAnsi="黑体" w:eastAsia="黑体" w:cs="黑体"/>
          <w:sz w:val="32"/>
          <w:szCs w:val="32"/>
        </w:rPr>
        <w:t>三、项目绩效情况</w:t>
      </w:r>
      <w:r>
        <w:rPr>
          <w:rFonts w:hint="eastAsia" w:ascii="黑体" w:hAnsi="黑体" w:eastAsia="黑体" w:cs="黑体"/>
          <w:sz w:val="32"/>
          <w:szCs w:val="32"/>
          <w:lang w:val="zh-CN"/>
        </w:rPr>
        <w:tab/>
      </w:r>
    </w:p>
    <w:p w14:paraId="5CD1C374">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zh-CN"/>
        </w:rPr>
        <w:t>（一）项目完成情况。</w:t>
      </w:r>
      <w:r>
        <w:rPr>
          <w:rFonts w:hint="eastAsia" w:ascii="仿宋_GB2312" w:hAnsi="仿宋_GB2312" w:eastAsia="仿宋_GB2312" w:cs="仿宋_GB2312"/>
          <w:sz w:val="32"/>
          <w:szCs w:val="32"/>
          <w:lang w:val="en-US" w:eastAsia="zh-CN"/>
        </w:rPr>
        <w:t>办公设备采购已于2021年12月按既定目标绩效完成。</w:t>
      </w:r>
    </w:p>
    <w:p w14:paraId="0994C069">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zh-CN"/>
        </w:rPr>
        <w:t>（二）项目效益情况。</w:t>
      </w:r>
      <w:r>
        <w:rPr>
          <w:rFonts w:hint="eastAsia" w:ascii="仿宋_GB2312" w:hAnsi="仿宋_GB2312" w:eastAsia="仿宋_GB2312" w:cs="仿宋_GB2312"/>
          <w:sz w:val="32"/>
          <w:szCs w:val="32"/>
          <w:lang w:val="en-US" w:eastAsia="zh-CN"/>
        </w:rPr>
        <w:t>本次采购满足了单位基本办公需求，提高了工作效率。</w:t>
      </w:r>
    </w:p>
    <w:p w14:paraId="7DBC098E">
      <w:pPr>
        <w:adjustRightInd w:val="0"/>
        <w:snapToGrid w:val="0"/>
        <w:spacing w:line="600" w:lineRule="exact"/>
        <w:ind w:firstLine="720"/>
        <w:rPr>
          <w:rFonts w:hint="eastAsia" w:ascii="黑体" w:hAnsi="黑体" w:eastAsia="黑体" w:cs="黑体"/>
          <w:sz w:val="32"/>
          <w:szCs w:val="32"/>
        </w:rPr>
      </w:pPr>
      <w:r>
        <w:rPr>
          <w:rFonts w:hint="eastAsia" w:ascii="黑体" w:hAnsi="黑体" w:eastAsia="黑体" w:cs="黑体"/>
          <w:sz w:val="32"/>
          <w:szCs w:val="32"/>
        </w:rPr>
        <w:t>四、问题及建议</w:t>
      </w:r>
    </w:p>
    <w:p w14:paraId="5106E467">
      <w:pPr>
        <w:adjustRightInd w:val="0"/>
        <w:snapToGrid w:val="0"/>
        <w:spacing w:line="600" w:lineRule="exact"/>
        <w:ind w:firstLine="720"/>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zh-CN"/>
        </w:rPr>
        <w:t>（一）存在的问题。</w:t>
      </w:r>
      <w:r>
        <w:rPr>
          <w:rFonts w:hint="eastAsia" w:ascii="仿宋_GB2312" w:hAnsi="仿宋_GB2312" w:eastAsia="仿宋_GB2312" w:cs="仿宋_GB2312"/>
          <w:b/>
          <w:sz w:val="32"/>
          <w:szCs w:val="32"/>
          <w:lang w:val="en-US" w:eastAsia="zh-CN"/>
        </w:rPr>
        <w:t>无。</w:t>
      </w:r>
    </w:p>
    <w:p w14:paraId="592119A4">
      <w:pPr>
        <w:adjustRightInd w:val="0"/>
        <w:snapToGrid w:val="0"/>
        <w:spacing w:line="600" w:lineRule="exact"/>
        <w:ind w:firstLine="7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zh-CN"/>
        </w:rPr>
        <w:t>（二）相关建议。</w:t>
      </w:r>
      <w:r>
        <w:rPr>
          <w:rFonts w:hint="eastAsia" w:ascii="仿宋_GB2312" w:hAnsi="仿宋_GB2312" w:eastAsia="仿宋_GB2312" w:cs="仿宋_GB2312"/>
          <w:b/>
          <w:sz w:val="32"/>
          <w:szCs w:val="32"/>
          <w:lang w:val="en-US" w:eastAsia="zh-CN"/>
        </w:rPr>
        <w:t>无。</w:t>
      </w:r>
    </w:p>
    <w:p w14:paraId="20F32901">
      <w:pPr>
        <w:widowControl/>
        <w:jc w:val="left"/>
        <w:rPr>
          <w:rStyle w:val="17"/>
          <w:rFonts w:ascii="黑体" w:hAnsi="黑体" w:eastAsia="黑体"/>
          <w:b w:val="0"/>
        </w:rPr>
      </w:pPr>
    </w:p>
    <w:p w14:paraId="5509E2D6">
      <w:pPr>
        <w:widowControl/>
        <w:jc w:val="center"/>
        <w:rPr>
          <w:rStyle w:val="17"/>
          <w:rFonts w:ascii="黑体" w:hAnsi="黑体" w:eastAsia="黑体"/>
          <w:b w:val="0"/>
        </w:rPr>
      </w:pPr>
    </w:p>
    <w:p w14:paraId="601B9662">
      <w:pPr>
        <w:pStyle w:val="28"/>
        <w:spacing w:line="600" w:lineRule="exact"/>
        <w:jc w:val="center"/>
        <w:rPr>
          <w:rFonts w:hint="eastAsia" w:ascii="仿宋_GB2312" w:hAnsi="宋体" w:eastAsia="方正小标宋简体"/>
          <w:color w:val="auto"/>
          <w:kern w:val="2"/>
          <w:sz w:val="32"/>
          <w:szCs w:val="32"/>
          <w:lang w:val="en-US" w:eastAsia="zh-CN"/>
        </w:rPr>
      </w:pPr>
      <w:r>
        <w:rPr>
          <w:rFonts w:hint="eastAsia" w:ascii="方正小标宋简体" w:hAnsi="宋体" w:eastAsia="方正小标宋简体"/>
          <w:sz w:val="44"/>
          <w:szCs w:val="44"/>
        </w:rPr>
        <w:t>项目支出绩效自评报告</w:t>
      </w:r>
      <w:r>
        <w:rPr>
          <w:rFonts w:hint="eastAsia" w:ascii="方正小标宋简体" w:hAnsi="宋体" w:eastAsia="方正小标宋简体"/>
          <w:sz w:val="44"/>
          <w:szCs w:val="44"/>
          <w:lang w:val="en-US" w:eastAsia="zh-CN"/>
        </w:rPr>
        <w:t>五</w:t>
      </w:r>
    </w:p>
    <w:p w14:paraId="1B6A9D58">
      <w:pPr>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（城乡环境综合治理生活垃圾分类专题培训班）</w:t>
      </w:r>
    </w:p>
    <w:p w14:paraId="7A0D151A">
      <w:pPr>
        <w:pStyle w:val="28"/>
        <w:spacing w:line="500" w:lineRule="exact"/>
        <w:ind w:firstLine="640"/>
        <w:jc w:val="center"/>
        <w:rPr>
          <w:rFonts w:hint="eastAsia" w:ascii="仿宋_GB2312" w:hAnsi="仿宋_GB2312" w:eastAsia="仿宋_GB2312" w:cs="仿宋_GB2312"/>
          <w:color w:val="auto"/>
          <w:kern w:val="2"/>
          <w:sz w:val="32"/>
          <w:szCs w:val="32"/>
        </w:rPr>
      </w:pPr>
    </w:p>
    <w:p w14:paraId="53C1A241">
      <w:pPr>
        <w:adjustRightInd w:val="0"/>
        <w:snapToGrid w:val="0"/>
        <w:spacing w:line="500" w:lineRule="exact"/>
        <w:ind w:firstLine="72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75A03C3B">
      <w:pPr>
        <w:adjustRightInd w:val="0"/>
        <w:snapToGrid w:val="0"/>
        <w:spacing w:line="5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（一）项目资金申报及批复情况。</w:t>
      </w:r>
      <w:r>
        <w:rPr>
          <w:rFonts w:hint="eastAsia" w:ascii="仿宋_GB2312" w:hAnsi="仿宋_GB2312" w:eastAsia="仿宋_GB2312" w:cs="仿宋_GB2312"/>
          <w:sz w:val="32"/>
          <w:szCs w:val="32"/>
          <w:lang w:val="zh-CN"/>
        </w:rPr>
        <w:t>按照局2021年培训计划，组织全州住建系统和州直有关部门人员开展</w:t>
      </w:r>
      <w:r>
        <w:rPr>
          <w:rFonts w:hint="eastAsia" w:ascii="仿宋_GB2312" w:hAnsi="仿宋_GB2312" w:eastAsia="仿宋_GB2312" w:cs="仿宋_GB2312"/>
          <w:sz w:val="32"/>
          <w:szCs w:val="32"/>
        </w:rPr>
        <w:t>生活垃圾分类专题培训</w:t>
      </w:r>
      <w:r>
        <w:rPr>
          <w:rFonts w:hint="eastAsia" w:ascii="仿宋_GB2312" w:hAnsi="仿宋_GB2312" w:eastAsia="仿宋_GB2312" w:cs="仿宋_GB2312"/>
          <w:sz w:val="32"/>
          <w:szCs w:val="32"/>
          <w:lang w:val="zh-CN"/>
        </w:rPr>
        <w:t>。</w:t>
      </w:r>
    </w:p>
    <w:p w14:paraId="6C0F346D">
      <w:pPr>
        <w:adjustRightInd w:val="0"/>
        <w:snapToGrid w:val="0"/>
        <w:spacing w:line="5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（二）项目绩效目标。</w:t>
      </w:r>
      <w:r>
        <w:rPr>
          <w:rFonts w:hint="eastAsia" w:ascii="仿宋_GB2312" w:hAnsi="仿宋_GB2312" w:eastAsia="仿宋_GB2312" w:cs="仿宋_GB2312"/>
          <w:sz w:val="32"/>
          <w:szCs w:val="32"/>
        </w:rPr>
        <w:t>通过培训，更好的学习贯彻国家、省有关生活垃圾分类和处置工作的决策部署，学习借鉴其他地区生活垃圾分类和处置的经验做法，提高我州生活垃圾分类和处置工作水平</w:t>
      </w:r>
      <w:r>
        <w:rPr>
          <w:rFonts w:hint="eastAsia" w:ascii="仿宋_GB2312" w:hAnsi="仿宋_GB2312" w:eastAsia="仿宋_GB2312" w:cs="仿宋_GB2312"/>
          <w:sz w:val="32"/>
          <w:szCs w:val="32"/>
          <w:lang w:val="zh-CN"/>
        </w:rPr>
        <w:t>。</w:t>
      </w:r>
    </w:p>
    <w:p w14:paraId="6C394D0A">
      <w:pPr>
        <w:adjustRightInd w:val="0"/>
        <w:snapToGrid w:val="0"/>
        <w:spacing w:line="5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（三）项目资金申报相符性。</w:t>
      </w:r>
      <w:r>
        <w:rPr>
          <w:rFonts w:hint="eastAsia" w:ascii="仿宋_GB2312" w:hAnsi="仿宋_GB2312" w:eastAsia="仿宋_GB2312" w:cs="仿宋_GB2312"/>
          <w:sz w:val="32"/>
          <w:szCs w:val="32"/>
        </w:rPr>
        <w:t>全州城乡环境综合治理生活垃圾分类专题培训是经单位申报、组织部门批准的培训项目，</w:t>
      </w:r>
      <w:r>
        <w:rPr>
          <w:rFonts w:hint="eastAsia" w:ascii="仿宋_GB2312" w:hAnsi="仿宋_GB2312" w:eastAsia="仿宋_GB2312" w:cs="仿宋_GB2312"/>
          <w:sz w:val="32"/>
          <w:szCs w:val="32"/>
          <w:lang w:val="zh-CN"/>
        </w:rPr>
        <w:t>符合我州</w:t>
      </w:r>
      <w:r>
        <w:rPr>
          <w:rFonts w:hint="eastAsia" w:ascii="仿宋_GB2312" w:hAnsi="仿宋_GB2312" w:eastAsia="仿宋_GB2312" w:cs="仿宋_GB2312"/>
          <w:sz w:val="32"/>
          <w:szCs w:val="32"/>
        </w:rPr>
        <w:t>举办</w:t>
      </w:r>
      <w:r>
        <w:rPr>
          <w:rFonts w:hint="eastAsia" w:ascii="仿宋_GB2312" w:hAnsi="仿宋_GB2312" w:eastAsia="仿宋_GB2312" w:cs="仿宋_GB2312"/>
          <w:sz w:val="32"/>
          <w:szCs w:val="32"/>
          <w:lang w:val="zh-CN"/>
        </w:rPr>
        <w:t>培训</w:t>
      </w:r>
      <w:r>
        <w:rPr>
          <w:rFonts w:hint="eastAsia" w:ascii="仿宋_GB2312" w:hAnsi="仿宋_GB2312" w:eastAsia="仿宋_GB2312" w:cs="仿宋_GB2312"/>
          <w:sz w:val="32"/>
          <w:szCs w:val="32"/>
        </w:rPr>
        <w:t>班的</w:t>
      </w:r>
      <w:r>
        <w:rPr>
          <w:rFonts w:hint="eastAsia" w:ascii="仿宋_GB2312" w:hAnsi="仿宋_GB2312" w:eastAsia="仿宋_GB2312" w:cs="仿宋_GB2312"/>
          <w:sz w:val="32"/>
          <w:szCs w:val="32"/>
          <w:lang w:val="zh-CN"/>
        </w:rPr>
        <w:t>相关要求，培训内容和实际费用支出范围与申报一致。</w:t>
      </w:r>
    </w:p>
    <w:p w14:paraId="2C04D66A">
      <w:pPr>
        <w:adjustRightInd w:val="0"/>
        <w:snapToGrid w:val="0"/>
        <w:spacing w:line="500" w:lineRule="exact"/>
        <w:ind w:firstLine="720"/>
        <w:rPr>
          <w:rFonts w:hint="eastAsia" w:ascii="黑体" w:hAnsi="黑体" w:eastAsia="黑体" w:cs="黑体"/>
          <w:sz w:val="32"/>
          <w:szCs w:val="32"/>
        </w:rPr>
      </w:pPr>
      <w:r>
        <w:rPr>
          <w:rFonts w:hint="eastAsia" w:ascii="黑体" w:hAnsi="黑体" w:eastAsia="黑体" w:cs="黑体"/>
          <w:sz w:val="32"/>
          <w:szCs w:val="32"/>
        </w:rPr>
        <w:t>二、项目实施及管理情况</w:t>
      </w:r>
    </w:p>
    <w:p w14:paraId="41C70EA9">
      <w:pPr>
        <w:adjustRightInd w:val="0"/>
        <w:snapToGrid w:val="0"/>
        <w:spacing w:line="5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ab/>
      </w:r>
      <w:r>
        <w:rPr>
          <w:rFonts w:hint="eastAsia" w:ascii="仿宋_GB2312" w:hAnsi="仿宋_GB2312" w:eastAsia="仿宋_GB2312" w:cs="仿宋_GB2312"/>
          <w:b/>
          <w:sz w:val="32"/>
          <w:szCs w:val="32"/>
          <w:lang w:val="zh-CN"/>
        </w:rPr>
        <w:t>（一）资金计划、到位及使用情况。</w:t>
      </w:r>
    </w:p>
    <w:p w14:paraId="0106C569">
      <w:pPr>
        <w:adjustRightInd w:val="0"/>
        <w:snapToGrid w:val="0"/>
        <w:spacing w:line="5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1．资金计划及到位。</w:t>
      </w:r>
      <w:r>
        <w:rPr>
          <w:rFonts w:hint="eastAsia" w:ascii="仿宋_GB2312" w:hAnsi="仿宋_GB2312" w:eastAsia="仿宋_GB2312" w:cs="仿宋_GB2312"/>
          <w:sz w:val="32"/>
          <w:szCs w:val="32"/>
        </w:rPr>
        <w:t>本次培训经费通过年初预算申报计划，资金已通过财政年初预算下达。</w:t>
      </w:r>
    </w:p>
    <w:p w14:paraId="15A2F0B6">
      <w:pPr>
        <w:adjustRightInd w:val="0"/>
        <w:snapToGrid w:val="0"/>
        <w:spacing w:line="500" w:lineRule="exact"/>
        <w:ind w:firstLine="720"/>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lang w:val="zh-CN"/>
        </w:rPr>
        <w:t>2．资金使用。</w:t>
      </w:r>
      <w:r>
        <w:rPr>
          <w:rFonts w:hint="eastAsia" w:ascii="仿宋_GB2312" w:hAnsi="仿宋_GB2312" w:eastAsia="仿宋_GB2312" w:cs="仿宋_GB2312"/>
          <w:sz w:val="32"/>
          <w:szCs w:val="32"/>
        </w:rPr>
        <w:t>本次培训预算</w:t>
      </w:r>
      <w:r>
        <w:rPr>
          <w:rFonts w:hint="eastAsia" w:ascii="仿宋_GB2312" w:hAnsi="仿宋_GB2312" w:eastAsia="仿宋_GB2312" w:cs="仿宋_GB2312"/>
          <w:sz w:val="32"/>
          <w:szCs w:val="32"/>
          <w:lang w:val="zh-CN"/>
        </w:rPr>
        <w:t>支出</w:t>
      </w:r>
      <w:r>
        <w:rPr>
          <w:rFonts w:hint="eastAsia" w:ascii="仿宋_GB2312" w:hAnsi="仿宋_GB2312" w:eastAsia="仿宋_GB2312" w:cs="仿宋_GB2312"/>
          <w:sz w:val="32"/>
          <w:szCs w:val="32"/>
        </w:rPr>
        <w:t>7.53万</w:t>
      </w:r>
      <w:r>
        <w:rPr>
          <w:rFonts w:hint="eastAsia" w:ascii="仿宋_GB2312" w:hAnsi="仿宋_GB2312" w:eastAsia="仿宋_GB2312" w:cs="仿宋_GB2312"/>
          <w:sz w:val="32"/>
          <w:szCs w:val="32"/>
          <w:lang w:val="zh-CN"/>
        </w:rPr>
        <w:t>元，实际支出6.462万元。其中：住宿费1.98万元，餐费1.224万元，资料费0.558万元（含培训资料、教学租车、教学设备和场地等），培训费（含教师课酬、课程设计、培训组织管理等）2.7万元。</w:t>
      </w:r>
    </w:p>
    <w:p w14:paraId="6354CD0C">
      <w:pPr>
        <w:adjustRightInd w:val="0"/>
        <w:snapToGrid w:val="0"/>
        <w:spacing w:line="5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（二）项目财务管理情况。</w:t>
      </w:r>
    </w:p>
    <w:p w14:paraId="7F81A6D1">
      <w:pPr>
        <w:adjustRightInd w:val="0"/>
        <w:snapToGrid w:val="0"/>
        <w:spacing w:line="5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本次培训的经费根据单位财务管理制度，由单位统一核算报销，做到了事前、事中、事后全程监督。</w:t>
      </w:r>
    </w:p>
    <w:p w14:paraId="2CD61677">
      <w:pPr>
        <w:adjustRightInd w:val="0"/>
        <w:snapToGrid w:val="0"/>
        <w:spacing w:line="5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（三）项目组织实施情况。</w:t>
      </w:r>
    </w:p>
    <w:p w14:paraId="5F629D9E">
      <w:pPr>
        <w:spacing w:line="500" w:lineRule="exact"/>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通过前期制定培训方案并经局务会研究同意，于</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年9月28日-9月29日（27日报到）在成都西门智选假日酒店以邀请专家授课和去往肖家河街道现场观摩学习的方式进行培训。</w:t>
      </w:r>
    </w:p>
    <w:p w14:paraId="57CDFF13">
      <w:pPr>
        <w:adjustRightInd w:val="0"/>
        <w:snapToGrid w:val="0"/>
        <w:spacing w:line="500" w:lineRule="exact"/>
        <w:ind w:firstLine="720"/>
        <w:rPr>
          <w:rFonts w:hint="eastAsia" w:ascii="黑体" w:hAnsi="黑体" w:eastAsia="黑体" w:cs="黑体"/>
          <w:sz w:val="32"/>
          <w:szCs w:val="32"/>
          <w:lang w:val="zh-CN"/>
        </w:rPr>
      </w:pPr>
      <w:r>
        <w:rPr>
          <w:rFonts w:hint="eastAsia" w:ascii="黑体" w:hAnsi="黑体" w:eastAsia="黑体" w:cs="黑体"/>
          <w:sz w:val="32"/>
          <w:szCs w:val="32"/>
        </w:rPr>
        <w:t>三、项目绩效情况</w:t>
      </w:r>
      <w:r>
        <w:rPr>
          <w:rFonts w:hint="eastAsia" w:ascii="黑体" w:hAnsi="黑体" w:eastAsia="黑体" w:cs="黑体"/>
          <w:sz w:val="32"/>
          <w:szCs w:val="32"/>
          <w:lang w:val="zh-CN"/>
        </w:rPr>
        <w:tab/>
      </w:r>
    </w:p>
    <w:p w14:paraId="3A21C5C8">
      <w:pPr>
        <w:adjustRightInd w:val="0"/>
        <w:snapToGrid w:val="0"/>
        <w:spacing w:line="5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（一）项目完成情况。</w:t>
      </w:r>
    </w:p>
    <w:p w14:paraId="71ABDDE0">
      <w:pPr>
        <w:adjustRightInd w:val="0"/>
        <w:snapToGrid w:val="0"/>
        <w:spacing w:line="500" w:lineRule="exact"/>
        <w:ind w:firstLine="720"/>
        <w:rPr>
          <w:rFonts w:hint="eastAsia" w:ascii="仿宋_GB2312" w:hAnsi="仿宋_GB2312" w:eastAsia="仿宋_GB2312" w:cs="仿宋_GB2312"/>
          <w:b/>
          <w:sz w:val="32"/>
          <w:szCs w:val="32"/>
          <w:highlight w:val="yellow"/>
        </w:rPr>
      </w:pPr>
      <w:r>
        <w:rPr>
          <w:rFonts w:hint="eastAsia" w:ascii="仿宋_GB2312" w:hAnsi="仿宋_GB2312" w:eastAsia="仿宋_GB2312" w:cs="仿宋_GB2312"/>
          <w:sz w:val="32"/>
          <w:szCs w:val="32"/>
          <w:lang w:val="zh-CN"/>
        </w:rPr>
        <w:t>圆满完成既定培</w:t>
      </w:r>
      <w:r>
        <w:rPr>
          <w:rFonts w:hint="eastAsia" w:ascii="仿宋_GB2312" w:hAnsi="仿宋_GB2312" w:eastAsia="仿宋_GB2312" w:cs="仿宋_GB2312"/>
          <w:sz w:val="32"/>
          <w:szCs w:val="32"/>
        </w:rPr>
        <w:t>训计划，培训2天，参训62人。</w:t>
      </w:r>
    </w:p>
    <w:p w14:paraId="392ED0A8">
      <w:pPr>
        <w:adjustRightInd w:val="0"/>
        <w:snapToGrid w:val="0"/>
        <w:spacing w:line="5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（二）项目效益情况。</w:t>
      </w:r>
    </w:p>
    <w:p w14:paraId="69E7A2A4">
      <w:pPr>
        <w:adjustRightInd w:val="0"/>
        <w:snapToGrid w:val="0"/>
        <w:spacing w:line="5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各县（市）、相关部门相关人员进一步增强了对垃圾分类工作的认识、提高了政策理解、掌握了工作要求，也了解和学习了试点地区垃圾分类的经验做法，有利于运用学习成果指导实际工作。</w:t>
      </w:r>
    </w:p>
    <w:p w14:paraId="4502F9D1">
      <w:pPr>
        <w:adjustRightInd w:val="0"/>
        <w:snapToGrid w:val="0"/>
        <w:spacing w:line="500" w:lineRule="exact"/>
        <w:ind w:firstLine="720"/>
        <w:rPr>
          <w:rFonts w:hint="eastAsia" w:ascii="黑体" w:hAnsi="黑体" w:eastAsia="黑体" w:cs="黑体"/>
          <w:sz w:val="32"/>
          <w:szCs w:val="32"/>
        </w:rPr>
      </w:pPr>
      <w:r>
        <w:rPr>
          <w:rFonts w:hint="eastAsia" w:ascii="黑体" w:hAnsi="黑体" w:eastAsia="黑体" w:cs="黑体"/>
          <w:sz w:val="32"/>
          <w:szCs w:val="32"/>
        </w:rPr>
        <w:t>四、问题及建议</w:t>
      </w:r>
    </w:p>
    <w:p w14:paraId="6C1198B9">
      <w:pPr>
        <w:adjustRightInd w:val="0"/>
        <w:snapToGrid w:val="0"/>
        <w:spacing w:line="50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（一）存在的问题。</w:t>
      </w:r>
    </w:p>
    <w:p w14:paraId="06365B30">
      <w:pPr>
        <w:adjustRightInd w:val="0"/>
        <w:snapToGrid w:val="0"/>
        <w:spacing w:line="5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无</w:t>
      </w:r>
    </w:p>
    <w:p w14:paraId="6619BCF8">
      <w:pPr>
        <w:adjustRightInd w:val="0"/>
        <w:snapToGrid w:val="0"/>
        <w:spacing w:line="5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（二）相关建议。</w:t>
      </w:r>
    </w:p>
    <w:p w14:paraId="11CB53B1">
      <w:pPr>
        <w:adjustRightInd w:val="0"/>
        <w:snapToGrid w:val="0"/>
        <w:spacing w:line="5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无</w:t>
      </w:r>
    </w:p>
    <w:p w14:paraId="542D3CCB">
      <w:pPr>
        <w:rPr>
          <w:rFonts w:hint="eastAsia" w:ascii="仿宋_GB2312" w:hAnsi="仿宋_GB2312" w:eastAsia="仿宋_GB2312" w:cs="仿宋_GB2312"/>
          <w:sz w:val="32"/>
          <w:szCs w:val="32"/>
        </w:rPr>
      </w:pPr>
    </w:p>
    <w:p w14:paraId="47C0F2B1">
      <w:pPr>
        <w:widowControl/>
        <w:jc w:val="left"/>
        <w:rPr>
          <w:rStyle w:val="17"/>
          <w:rFonts w:hint="eastAsia" w:ascii="仿宋_GB2312" w:hAnsi="仿宋_GB2312" w:eastAsia="仿宋_GB2312" w:cs="仿宋_GB2312"/>
          <w:b w:val="0"/>
          <w:sz w:val="32"/>
          <w:szCs w:val="32"/>
        </w:rPr>
      </w:pPr>
    </w:p>
    <w:p w14:paraId="450A4EC0">
      <w:pPr>
        <w:widowControl/>
        <w:jc w:val="left"/>
        <w:rPr>
          <w:rStyle w:val="17"/>
          <w:rFonts w:ascii="黑体" w:hAnsi="黑体" w:eastAsia="黑体"/>
          <w:b w:val="0"/>
        </w:rPr>
      </w:pPr>
    </w:p>
    <w:p w14:paraId="736E9D1D">
      <w:pPr>
        <w:widowControl/>
        <w:jc w:val="left"/>
        <w:rPr>
          <w:rStyle w:val="17"/>
          <w:rFonts w:ascii="黑体" w:hAnsi="黑体" w:eastAsia="黑体"/>
          <w:b w:val="0"/>
        </w:rPr>
      </w:pPr>
    </w:p>
    <w:p w14:paraId="7B853B4B">
      <w:pPr>
        <w:spacing w:line="600" w:lineRule="exact"/>
        <w:jc w:val="center"/>
        <w:outlineLvl w:val="9"/>
        <w:rPr>
          <w:rFonts w:hint="eastAsia" w:ascii="黑体" w:hAnsi="黑体" w:eastAsia="黑体"/>
          <w:color w:val="000000"/>
          <w:sz w:val="44"/>
          <w:szCs w:val="44"/>
        </w:rPr>
      </w:pPr>
      <w:bookmarkStart w:id="81" w:name="_Toc15396618"/>
    </w:p>
    <w:p w14:paraId="1A01FF15">
      <w:pPr>
        <w:spacing w:line="600" w:lineRule="exact"/>
        <w:jc w:val="center"/>
        <w:outlineLvl w:val="9"/>
        <w:rPr>
          <w:rFonts w:hint="eastAsia" w:ascii="黑体" w:hAnsi="黑体" w:eastAsia="黑体"/>
          <w:color w:val="000000"/>
          <w:sz w:val="44"/>
          <w:szCs w:val="44"/>
        </w:rPr>
      </w:pPr>
    </w:p>
    <w:p w14:paraId="30F44E8A">
      <w:pPr>
        <w:spacing w:line="600" w:lineRule="exact"/>
        <w:jc w:val="center"/>
        <w:outlineLvl w:val="9"/>
        <w:rPr>
          <w:rFonts w:hint="eastAsia" w:ascii="黑体" w:hAnsi="黑体" w:eastAsia="黑体"/>
          <w:color w:val="000000"/>
          <w:sz w:val="44"/>
          <w:szCs w:val="44"/>
        </w:rPr>
      </w:pPr>
    </w:p>
    <w:p w14:paraId="09E445D7">
      <w:pPr>
        <w:spacing w:line="600" w:lineRule="exact"/>
        <w:jc w:val="center"/>
        <w:outlineLvl w:val="9"/>
        <w:rPr>
          <w:rFonts w:hint="eastAsia" w:ascii="黑体" w:hAnsi="黑体" w:eastAsia="黑体"/>
          <w:color w:val="000000"/>
          <w:sz w:val="44"/>
          <w:szCs w:val="44"/>
        </w:rPr>
      </w:pPr>
    </w:p>
    <w:p w14:paraId="403AC50C">
      <w:pPr>
        <w:spacing w:line="600" w:lineRule="exact"/>
        <w:jc w:val="center"/>
        <w:outlineLvl w:val="9"/>
        <w:rPr>
          <w:rFonts w:hint="eastAsia" w:ascii="黑体" w:hAnsi="黑体" w:eastAsia="黑体"/>
          <w:color w:val="000000"/>
          <w:sz w:val="44"/>
          <w:szCs w:val="44"/>
        </w:rPr>
      </w:pPr>
    </w:p>
    <w:p w14:paraId="5CF62289">
      <w:pPr>
        <w:spacing w:line="600" w:lineRule="exact"/>
        <w:jc w:val="center"/>
        <w:outlineLvl w:val="9"/>
        <w:rPr>
          <w:rFonts w:hint="eastAsia" w:ascii="黑体" w:hAnsi="黑体" w:eastAsia="黑体"/>
          <w:color w:val="000000"/>
          <w:sz w:val="44"/>
          <w:szCs w:val="44"/>
        </w:rPr>
      </w:pPr>
    </w:p>
    <w:p w14:paraId="5294C65F">
      <w:pPr>
        <w:spacing w:line="600" w:lineRule="exact"/>
        <w:jc w:val="center"/>
        <w:outlineLvl w:val="9"/>
        <w:rPr>
          <w:rFonts w:hint="eastAsia" w:ascii="黑体" w:hAnsi="黑体" w:eastAsia="黑体"/>
          <w:color w:val="000000"/>
          <w:sz w:val="44"/>
          <w:szCs w:val="44"/>
        </w:rPr>
      </w:pPr>
    </w:p>
    <w:p w14:paraId="5194532D">
      <w:pPr>
        <w:spacing w:line="600" w:lineRule="exact"/>
        <w:jc w:val="center"/>
        <w:outlineLvl w:val="9"/>
        <w:rPr>
          <w:rFonts w:hint="eastAsia" w:ascii="黑体" w:hAnsi="黑体" w:eastAsia="黑体"/>
          <w:color w:val="000000"/>
          <w:sz w:val="44"/>
          <w:szCs w:val="44"/>
        </w:rPr>
      </w:pPr>
    </w:p>
    <w:p w14:paraId="0FA1D7E7">
      <w:pPr>
        <w:spacing w:line="600" w:lineRule="exact"/>
        <w:jc w:val="both"/>
        <w:outlineLvl w:val="9"/>
        <w:rPr>
          <w:rFonts w:hint="eastAsia" w:ascii="黑体" w:hAnsi="黑体" w:eastAsia="黑体"/>
          <w:color w:val="000000"/>
          <w:sz w:val="44"/>
          <w:szCs w:val="44"/>
        </w:rPr>
      </w:pPr>
    </w:p>
    <w:p w14:paraId="5146005B">
      <w:pPr>
        <w:spacing w:line="600" w:lineRule="exact"/>
        <w:jc w:val="center"/>
        <w:outlineLvl w:val="0"/>
        <w:rPr>
          <w:rStyle w:val="17"/>
          <w:rFonts w:ascii="黑体" w:hAnsi="黑体" w:eastAsia="黑体"/>
          <w:b w:val="0"/>
        </w:rPr>
      </w:pPr>
      <w:bookmarkStart w:id="82" w:name="_Toc14172"/>
      <w:r>
        <w:rPr>
          <w:rFonts w:hint="eastAsia" w:ascii="黑体" w:hAnsi="黑体" w:eastAsia="黑体"/>
          <w:color w:val="000000"/>
          <w:sz w:val="44"/>
          <w:szCs w:val="44"/>
        </w:rPr>
        <w:t>第</w:t>
      </w:r>
      <w:r>
        <w:rPr>
          <w:rStyle w:val="17"/>
          <w:rFonts w:hint="eastAsia" w:ascii="黑体" w:hAnsi="黑体" w:eastAsia="黑体"/>
          <w:b w:val="0"/>
        </w:rPr>
        <w:t>五部分 附表</w:t>
      </w:r>
      <w:bookmarkEnd w:id="77"/>
      <w:bookmarkEnd w:id="81"/>
      <w:bookmarkEnd w:id="82"/>
    </w:p>
    <w:p w14:paraId="0890B9C6">
      <w:pPr>
        <w:spacing w:line="600" w:lineRule="exact"/>
        <w:jc w:val="center"/>
        <w:outlineLvl w:val="9"/>
        <w:rPr>
          <w:rFonts w:ascii="仿宋" w:hAnsi="仿宋" w:eastAsia="仿宋"/>
          <w:b/>
          <w:color w:val="000000"/>
          <w:sz w:val="44"/>
          <w:szCs w:val="44"/>
        </w:rPr>
      </w:pPr>
    </w:p>
    <w:p w14:paraId="343F1CB6">
      <w:pPr>
        <w:pStyle w:val="4"/>
        <w:rPr>
          <w:rFonts w:ascii="仿宋" w:hAnsi="仿宋" w:eastAsia="仿宋"/>
          <w:color w:val="000000"/>
        </w:rPr>
      </w:pPr>
      <w:bookmarkStart w:id="83" w:name="_Toc7641"/>
      <w:bookmarkStart w:id="84" w:name="_Toc15396619"/>
      <w:r>
        <w:rPr>
          <w:rFonts w:hint="eastAsia" w:ascii="仿宋" w:hAnsi="仿宋" w:eastAsia="仿宋"/>
          <w:b w:val="0"/>
          <w:color w:val="000000"/>
        </w:rPr>
        <w:t>一、收</w:t>
      </w:r>
      <w:r>
        <w:rPr>
          <w:rStyle w:val="18"/>
          <w:rFonts w:hint="eastAsia" w:ascii="仿宋" w:hAnsi="仿宋" w:eastAsia="仿宋"/>
          <w:b w:val="0"/>
          <w:bCs w:val="0"/>
        </w:rPr>
        <w:t>入支出决算总表</w:t>
      </w:r>
      <w:bookmarkEnd w:id="83"/>
      <w:bookmarkEnd w:id="84"/>
    </w:p>
    <w:p w14:paraId="669ADB73">
      <w:pPr>
        <w:pStyle w:val="4"/>
        <w:rPr>
          <w:rFonts w:ascii="仿宋" w:hAnsi="仿宋" w:eastAsia="仿宋"/>
          <w:color w:val="000000"/>
        </w:rPr>
      </w:pPr>
      <w:bookmarkStart w:id="85" w:name="_Toc15396620"/>
      <w:bookmarkStart w:id="86" w:name="_Toc27331"/>
      <w:r>
        <w:rPr>
          <w:rFonts w:hint="eastAsia" w:ascii="仿宋" w:hAnsi="仿宋" w:eastAsia="仿宋"/>
          <w:b w:val="0"/>
          <w:color w:val="000000"/>
        </w:rPr>
        <w:t>二、收</w:t>
      </w:r>
      <w:r>
        <w:rPr>
          <w:rStyle w:val="18"/>
          <w:rFonts w:hint="eastAsia" w:ascii="仿宋" w:hAnsi="仿宋" w:eastAsia="仿宋"/>
          <w:b w:val="0"/>
          <w:bCs w:val="0"/>
        </w:rPr>
        <w:t>入决算表</w:t>
      </w:r>
      <w:bookmarkEnd w:id="85"/>
      <w:bookmarkEnd w:id="86"/>
    </w:p>
    <w:p w14:paraId="58706C1F">
      <w:pPr>
        <w:pStyle w:val="4"/>
        <w:rPr>
          <w:rFonts w:ascii="仿宋" w:hAnsi="仿宋" w:eastAsia="仿宋"/>
          <w:color w:val="000000"/>
        </w:rPr>
      </w:pPr>
      <w:bookmarkStart w:id="87" w:name="_Toc15396621"/>
      <w:bookmarkStart w:id="88" w:name="_Toc26834"/>
      <w:r>
        <w:rPr>
          <w:rStyle w:val="18"/>
          <w:rFonts w:hint="eastAsia" w:ascii="仿宋" w:hAnsi="仿宋" w:eastAsia="仿宋"/>
          <w:b w:val="0"/>
          <w:bCs w:val="0"/>
        </w:rPr>
        <w:t>三、</w:t>
      </w:r>
      <w:r>
        <w:rPr>
          <w:rFonts w:hint="eastAsia" w:ascii="仿宋" w:hAnsi="仿宋" w:eastAsia="仿宋"/>
          <w:b w:val="0"/>
          <w:color w:val="000000"/>
        </w:rPr>
        <w:t>支</w:t>
      </w:r>
      <w:r>
        <w:rPr>
          <w:rStyle w:val="18"/>
          <w:rFonts w:hint="eastAsia" w:ascii="仿宋" w:hAnsi="仿宋" w:eastAsia="仿宋"/>
          <w:b w:val="0"/>
          <w:bCs w:val="0"/>
        </w:rPr>
        <w:t>出决算表</w:t>
      </w:r>
      <w:bookmarkEnd w:id="87"/>
      <w:bookmarkEnd w:id="88"/>
    </w:p>
    <w:p w14:paraId="09BFC93A">
      <w:pPr>
        <w:pStyle w:val="4"/>
        <w:rPr>
          <w:rFonts w:ascii="仿宋" w:hAnsi="仿宋" w:eastAsia="仿宋"/>
          <w:b w:val="0"/>
          <w:color w:val="000000"/>
        </w:rPr>
      </w:pPr>
      <w:bookmarkStart w:id="89" w:name="_Toc20077"/>
      <w:bookmarkStart w:id="90" w:name="_Toc15396622"/>
      <w:r>
        <w:rPr>
          <w:rStyle w:val="18"/>
          <w:rFonts w:hint="eastAsia" w:ascii="仿宋" w:hAnsi="仿宋" w:eastAsia="仿宋"/>
          <w:b w:val="0"/>
          <w:bCs w:val="0"/>
        </w:rPr>
        <w:t>四、</w:t>
      </w:r>
      <w:r>
        <w:rPr>
          <w:rFonts w:hint="eastAsia" w:ascii="仿宋" w:hAnsi="仿宋" w:eastAsia="仿宋"/>
          <w:b w:val="0"/>
          <w:color w:val="000000"/>
        </w:rPr>
        <w:t>财</w:t>
      </w:r>
      <w:r>
        <w:rPr>
          <w:rStyle w:val="18"/>
          <w:rFonts w:hint="eastAsia" w:ascii="仿宋" w:hAnsi="仿宋" w:eastAsia="仿宋"/>
          <w:b w:val="0"/>
          <w:bCs w:val="0"/>
        </w:rPr>
        <w:t>政拨款收入支出决算总表</w:t>
      </w:r>
      <w:bookmarkEnd w:id="89"/>
      <w:bookmarkEnd w:id="90"/>
    </w:p>
    <w:p w14:paraId="739EFF82">
      <w:pPr>
        <w:pStyle w:val="4"/>
        <w:rPr>
          <w:rStyle w:val="18"/>
          <w:rFonts w:ascii="仿宋" w:hAnsi="仿宋" w:eastAsia="仿宋"/>
          <w:b w:val="0"/>
          <w:bCs w:val="0"/>
        </w:rPr>
      </w:pPr>
      <w:bookmarkStart w:id="91" w:name="_Toc15396623"/>
      <w:bookmarkStart w:id="92" w:name="_Toc5049"/>
      <w:r>
        <w:rPr>
          <w:rStyle w:val="18"/>
          <w:rFonts w:hint="eastAsia" w:ascii="仿宋" w:hAnsi="仿宋" w:eastAsia="仿宋"/>
          <w:b w:val="0"/>
          <w:bCs w:val="0"/>
        </w:rPr>
        <w:t>五、</w:t>
      </w:r>
      <w:r>
        <w:rPr>
          <w:rFonts w:hint="eastAsia" w:ascii="仿宋" w:hAnsi="仿宋" w:eastAsia="仿宋"/>
          <w:b w:val="0"/>
          <w:color w:val="000000"/>
        </w:rPr>
        <w:t>财</w:t>
      </w:r>
      <w:r>
        <w:rPr>
          <w:rStyle w:val="18"/>
          <w:rFonts w:hint="eastAsia" w:ascii="仿宋" w:hAnsi="仿宋" w:eastAsia="仿宋"/>
          <w:b w:val="0"/>
          <w:bCs w:val="0"/>
        </w:rPr>
        <w:t>政拨款支出决算明细表</w:t>
      </w:r>
      <w:bookmarkEnd w:id="91"/>
      <w:bookmarkEnd w:id="92"/>
      <w:bookmarkStart w:id="93" w:name="_Toc15396624"/>
    </w:p>
    <w:p w14:paraId="0436B0C5">
      <w:pPr>
        <w:pStyle w:val="4"/>
        <w:rPr>
          <w:rFonts w:ascii="仿宋" w:hAnsi="仿宋" w:eastAsia="仿宋"/>
          <w:color w:val="000000"/>
        </w:rPr>
      </w:pPr>
      <w:bookmarkStart w:id="94" w:name="_Toc24880"/>
      <w:r>
        <w:rPr>
          <w:rStyle w:val="18"/>
          <w:rFonts w:hint="eastAsia" w:ascii="仿宋" w:hAnsi="仿宋" w:eastAsia="仿宋"/>
          <w:b w:val="0"/>
          <w:bCs w:val="0"/>
        </w:rPr>
        <w:t>六、</w:t>
      </w:r>
      <w:r>
        <w:rPr>
          <w:rFonts w:hint="eastAsia" w:ascii="仿宋" w:hAnsi="仿宋" w:eastAsia="仿宋"/>
          <w:b w:val="0"/>
          <w:color w:val="000000"/>
        </w:rPr>
        <w:t>一</w:t>
      </w:r>
      <w:r>
        <w:rPr>
          <w:rStyle w:val="18"/>
          <w:rFonts w:hint="eastAsia" w:ascii="仿宋" w:hAnsi="仿宋" w:eastAsia="仿宋"/>
          <w:b w:val="0"/>
          <w:bCs w:val="0"/>
        </w:rPr>
        <w:t>般公共预算财政拨款支出决算表</w:t>
      </w:r>
      <w:bookmarkEnd w:id="93"/>
      <w:bookmarkEnd w:id="94"/>
    </w:p>
    <w:p w14:paraId="6A0DDD75">
      <w:pPr>
        <w:pStyle w:val="4"/>
        <w:rPr>
          <w:rFonts w:ascii="仿宋" w:hAnsi="仿宋" w:eastAsia="仿宋"/>
          <w:color w:val="000000"/>
        </w:rPr>
      </w:pPr>
      <w:bookmarkStart w:id="95" w:name="_Toc15396625"/>
      <w:bookmarkStart w:id="96" w:name="_Toc25001"/>
      <w:r>
        <w:rPr>
          <w:rStyle w:val="18"/>
          <w:rFonts w:hint="eastAsia" w:ascii="仿宋" w:hAnsi="仿宋" w:eastAsia="仿宋"/>
          <w:b w:val="0"/>
          <w:bCs w:val="0"/>
        </w:rPr>
        <w:t>七、</w:t>
      </w:r>
      <w:r>
        <w:rPr>
          <w:rFonts w:hint="eastAsia" w:ascii="仿宋" w:hAnsi="仿宋" w:eastAsia="仿宋"/>
          <w:b w:val="0"/>
          <w:color w:val="000000"/>
        </w:rPr>
        <w:t>一</w:t>
      </w:r>
      <w:r>
        <w:rPr>
          <w:rStyle w:val="18"/>
          <w:rFonts w:hint="eastAsia" w:ascii="仿宋" w:hAnsi="仿宋" w:eastAsia="仿宋"/>
          <w:b w:val="0"/>
          <w:bCs w:val="0"/>
        </w:rPr>
        <w:t>般公共预算财政拨款支出决算明细表</w:t>
      </w:r>
      <w:bookmarkEnd w:id="95"/>
      <w:bookmarkEnd w:id="96"/>
    </w:p>
    <w:p w14:paraId="44519541">
      <w:pPr>
        <w:pStyle w:val="4"/>
        <w:rPr>
          <w:rFonts w:ascii="仿宋" w:hAnsi="仿宋" w:eastAsia="仿宋"/>
          <w:color w:val="000000"/>
        </w:rPr>
      </w:pPr>
      <w:bookmarkStart w:id="97" w:name="_Toc8916"/>
      <w:bookmarkStart w:id="98" w:name="_Toc15396626"/>
      <w:r>
        <w:rPr>
          <w:rStyle w:val="18"/>
          <w:rFonts w:hint="eastAsia" w:ascii="仿宋" w:hAnsi="仿宋" w:eastAsia="仿宋"/>
          <w:b w:val="0"/>
          <w:bCs w:val="0"/>
        </w:rPr>
        <w:t>八、</w:t>
      </w:r>
      <w:r>
        <w:rPr>
          <w:rFonts w:hint="eastAsia" w:ascii="仿宋" w:hAnsi="仿宋" w:eastAsia="仿宋"/>
          <w:b w:val="0"/>
          <w:color w:val="000000"/>
        </w:rPr>
        <w:t>一</w:t>
      </w:r>
      <w:r>
        <w:rPr>
          <w:rStyle w:val="18"/>
          <w:rFonts w:hint="eastAsia" w:ascii="仿宋" w:hAnsi="仿宋" w:eastAsia="仿宋"/>
          <w:b w:val="0"/>
          <w:bCs w:val="0"/>
        </w:rPr>
        <w:t>般公共预算财政拨款基本支出决算表</w:t>
      </w:r>
      <w:bookmarkEnd w:id="97"/>
      <w:bookmarkEnd w:id="98"/>
    </w:p>
    <w:p w14:paraId="54E4CCCB">
      <w:pPr>
        <w:pStyle w:val="4"/>
        <w:rPr>
          <w:rFonts w:ascii="仿宋" w:hAnsi="仿宋" w:eastAsia="仿宋"/>
          <w:color w:val="000000"/>
        </w:rPr>
      </w:pPr>
      <w:bookmarkStart w:id="99" w:name="_Toc15396627"/>
      <w:bookmarkStart w:id="100" w:name="_Toc24574"/>
      <w:r>
        <w:rPr>
          <w:rStyle w:val="18"/>
          <w:rFonts w:hint="eastAsia" w:ascii="仿宋" w:hAnsi="仿宋" w:eastAsia="仿宋"/>
          <w:b w:val="0"/>
          <w:bCs w:val="0"/>
        </w:rPr>
        <w:t>九、</w:t>
      </w:r>
      <w:r>
        <w:rPr>
          <w:rFonts w:hint="eastAsia" w:ascii="仿宋" w:hAnsi="仿宋" w:eastAsia="仿宋"/>
          <w:b w:val="0"/>
          <w:color w:val="000000"/>
        </w:rPr>
        <w:t>一</w:t>
      </w:r>
      <w:r>
        <w:rPr>
          <w:rStyle w:val="18"/>
          <w:rFonts w:hint="eastAsia" w:ascii="仿宋" w:hAnsi="仿宋" w:eastAsia="仿宋"/>
          <w:b w:val="0"/>
          <w:bCs w:val="0"/>
        </w:rPr>
        <w:t>般公共预算财政拨款项目支出决算表</w:t>
      </w:r>
      <w:bookmarkEnd w:id="99"/>
      <w:bookmarkEnd w:id="100"/>
    </w:p>
    <w:p w14:paraId="64B3E0ED">
      <w:pPr>
        <w:pStyle w:val="4"/>
        <w:rPr>
          <w:rFonts w:ascii="仿宋" w:hAnsi="仿宋" w:eastAsia="仿宋"/>
          <w:color w:val="000000"/>
        </w:rPr>
      </w:pPr>
      <w:bookmarkStart w:id="101" w:name="_Toc15396628"/>
      <w:bookmarkStart w:id="102" w:name="_Toc3377"/>
      <w:r>
        <w:rPr>
          <w:rStyle w:val="18"/>
          <w:rFonts w:hint="eastAsia" w:ascii="仿宋" w:hAnsi="仿宋" w:eastAsia="仿宋"/>
          <w:b w:val="0"/>
          <w:bCs w:val="0"/>
        </w:rPr>
        <w:t>十、</w:t>
      </w:r>
      <w:r>
        <w:rPr>
          <w:rFonts w:hint="eastAsia" w:ascii="仿宋" w:hAnsi="仿宋" w:eastAsia="仿宋"/>
          <w:b w:val="0"/>
          <w:color w:val="000000"/>
        </w:rPr>
        <w:t>一</w:t>
      </w:r>
      <w:r>
        <w:rPr>
          <w:rStyle w:val="18"/>
          <w:rFonts w:hint="eastAsia" w:ascii="仿宋" w:hAnsi="仿宋" w:eastAsia="仿宋"/>
          <w:b w:val="0"/>
          <w:bCs w:val="0"/>
        </w:rPr>
        <w:t>般公共预算财政拨款“三公”经费支出决算表</w:t>
      </w:r>
      <w:bookmarkEnd w:id="101"/>
      <w:bookmarkEnd w:id="102"/>
    </w:p>
    <w:p w14:paraId="45C42273">
      <w:pPr>
        <w:pStyle w:val="4"/>
        <w:rPr>
          <w:rFonts w:ascii="仿宋" w:hAnsi="仿宋" w:eastAsia="仿宋"/>
          <w:color w:val="000000"/>
        </w:rPr>
      </w:pPr>
      <w:bookmarkStart w:id="103" w:name="_Toc25459"/>
      <w:bookmarkStart w:id="104" w:name="_Toc15396629"/>
      <w:r>
        <w:rPr>
          <w:rStyle w:val="18"/>
          <w:rFonts w:hint="eastAsia" w:ascii="仿宋" w:hAnsi="仿宋" w:eastAsia="仿宋"/>
          <w:b w:val="0"/>
          <w:bCs w:val="0"/>
        </w:rPr>
        <w:t>十一、</w:t>
      </w:r>
      <w:r>
        <w:rPr>
          <w:rFonts w:hint="eastAsia" w:ascii="仿宋" w:hAnsi="仿宋" w:eastAsia="仿宋"/>
          <w:b w:val="0"/>
          <w:color w:val="000000"/>
        </w:rPr>
        <w:t>政</w:t>
      </w:r>
      <w:r>
        <w:rPr>
          <w:rStyle w:val="18"/>
          <w:rFonts w:hint="eastAsia" w:ascii="仿宋" w:hAnsi="仿宋" w:eastAsia="仿宋"/>
          <w:b w:val="0"/>
          <w:bCs w:val="0"/>
        </w:rPr>
        <w:t>府性基金预算财政拨款收入支出决算表</w:t>
      </w:r>
      <w:bookmarkEnd w:id="103"/>
      <w:bookmarkEnd w:id="104"/>
    </w:p>
    <w:p w14:paraId="0D2B3B4E">
      <w:pPr>
        <w:pStyle w:val="4"/>
        <w:rPr>
          <w:rFonts w:ascii="仿宋" w:hAnsi="仿宋" w:eastAsia="仿宋"/>
          <w:color w:val="000000"/>
        </w:rPr>
      </w:pPr>
      <w:bookmarkStart w:id="105" w:name="_Toc15396630"/>
      <w:bookmarkStart w:id="106" w:name="_Toc25423"/>
      <w:r>
        <w:rPr>
          <w:rStyle w:val="18"/>
          <w:rFonts w:hint="eastAsia" w:ascii="仿宋" w:hAnsi="仿宋" w:eastAsia="仿宋"/>
          <w:b w:val="0"/>
          <w:bCs w:val="0"/>
        </w:rPr>
        <w:t>十二、</w:t>
      </w:r>
      <w:r>
        <w:rPr>
          <w:rFonts w:hint="eastAsia" w:ascii="仿宋" w:hAnsi="仿宋" w:eastAsia="仿宋"/>
          <w:b w:val="0"/>
          <w:color w:val="000000"/>
        </w:rPr>
        <w:t>政</w:t>
      </w:r>
      <w:r>
        <w:rPr>
          <w:rStyle w:val="18"/>
          <w:rFonts w:hint="eastAsia" w:ascii="仿宋" w:hAnsi="仿宋" w:eastAsia="仿宋"/>
          <w:b w:val="0"/>
          <w:bCs w:val="0"/>
        </w:rPr>
        <w:t>府性基金预算财政拨款“三公”经费支出决算表</w:t>
      </w:r>
      <w:bookmarkEnd w:id="105"/>
      <w:bookmarkEnd w:id="106"/>
    </w:p>
    <w:p w14:paraId="29C066A3">
      <w:pPr>
        <w:pStyle w:val="4"/>
        <w:rPr>
          <w:rStyle w:val="18"/>
          <w:rFonts w:hint="eastAsia" w:ascii="仿宋" w:hAnsi="仿宋" w:eastAsia="仿宋"/>
          <w:b w:val="0"/>
          <w:bCs w:val="0"/>
        </w:rPr>
      </w:pPr>
      <w:bookmarkStart w:id="107" w:name="_Toc15396631"/>
      <w:bookmarkStart w:id="108" w:name="_Toc18239"/>
      <w:r>
        <w:rPr>
          <w:rStyle w:val="18"/>
          <w:rFonts w:hint="eastAsia" w:ascii="仿宋" w:hAnsi="仿宋" w:eastAsia="仿宋"/>
          <w:b w:val="0"/>
          <w:bCs w:val="0"/>
        </w:rPr>
        <w:t>十三、</w:t>
      </w:r>
      <w:bookmarkEnd w:id="107"/>
      <w:bookmarkEnd w:id="108"/>
      <w:r>
        <w:rPr>
          <w:rStyle w:val="18"/>
          <w:rFonts w:hint="eastAsia" w:ascii="仿宋" w:hAnsi="仿宋" w:eastAsia="仿宋"/>
          <w:b w:val="0"/>
          <w:bCs w:val="0"/>
        </w:rPr>
        <w:t>国有资本经营预算</w:t>
      </w:r>
      <w:r>
        <w:rPr>
          <w:rStyle w:val="18"/>
          <w:rFonts w:hint="eastAsia" w:ascii="仿宋" w:hAnsi="仿宋" w:eastAsia="仿宋"/>
          <w:b w:val="0"/>
          <w:bCs w:val="0"/>
          <w:lang w:val="en-US" w:eastAsia="zh-CN"/>
        </w:rPr>
        <w:t>财政拨款收入</w:t>
      </w:r>
      <w:r>
        <w:rPr>
          <w:rStyle w:val="18"/>
          <w:rFonts w:hint="eastAsia" w:ascii="仿宋" w:hAnsi="仿宋" w:eastAsia="仿宋"/>
          <w:b w:val="0"/>
          <w:bCs w:val="0"/>
        </w:rPr>
        <w:t>支出决算表</w:t>
      </w:r>
    </w:p>
    <w:p w14:paraId="080671E3">
      <w:pPr>
        <w:pStyle w:val="4"/>
        <w:rPr>
          <w:rStyle w:val="18"/>
          <w:rFonts w:hint="eastAsia" w:ascii="仿宋" w:hAnsi="仿宋" w:eastAsia="仿宋"/>
          <w:b w:val="0"/>
          <w:bCs w:val="0"/>
          <w:lang w:val="en-US" w:eastAsia="zh-CN"/>
        </w:rPr>
      </w:pPr>
      <w:r>
        <w:rPr>
          <w:rStyle w:val="18"/>
          <w:rFonts w:hint="eastAsia" w:ascii="仿宋" w:hAnsi="仿宋" w:eastAsia="仿宋"/>
          <w:b w:val="0"/>
          <w:bCs w:val="0"/>
          <w:lang w:val="en-US" w:eastAsia="zh-CN"/>
        </w:rPr>
        <w:t>十四、</w:t>
      </w:r>
      <w:r>
        <w:rPr>
          <w:rStyle w:val="18"/>
          <w:rFonts w:hint="eastAsia" w:ascii="仿宋" w:hAnsi="仿宋" w:eastAsia="仿宋"/>
          <w:b w:val="0"/>
          <w:bCs w:val="0"/>
        </w:rPr>
        <w:t>国有资本经营预算</w:t>
      </w:r>
      <w:r>
        <w:rPr>
          <w:rStyle w:val="18"/>
          <w:rFonts w:hint="eastAsia" w:ascii="仿宋" w:hAnsi="仿宋" w:eastAsia="仿宋"/>
          <w:b w:val="0"/>
          <w:bCs w:val="0"/>
          <w:lang w:val="en-US" w:eastAsia="zh-CN"/>
        </w:rPr>
        <w:t>财政拨款</w:t>
      </w:r>
      <w:r>
        <w:rPr>
          <w:rStyle w:val="18"/>
          <w:rFonts w:hint="eastAsia" w:ascii="仿宋" w:hAnsi="仿宋" w:eastAsia="仿宋"/>
          <w:b w:val="0"/>
          <w:bCs w:val="0"/>
        </w:rPr>
        <w:t>支出决算表</w:t>
      </w:r>
    </w:p>
    <w:sectPr>
      <w:footerReference r:id="rId8" w:type="first"/>
      <w:footerReference r:id="rId7"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方正小标宋简体">
    <w:altName w:val="方正舒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MS PGothic">
    <w:panose1 w:val="020B0600070205080204"/>
    <w:charset w:val="80"/>
    <w:family w:val="swiss"/>
    <w:pitch w:val="default"/>
    <w:sig w:usb0="E00002FF" w:usb1="6AC7FDFB" w:usb2="08000012" w:usb3="00000000" w:csb0="4002009F" w:csb1="DFD70000"/>
  </w:font>
  <w:font w:name="Dotum">
    <w:altName w:val="Malgun Gothic"/>
    <w:panose1 w:val="020B0600000101010101"/>
    <w:charset w:val="81"/>
    <w:family w:val="swiss"/>
    <w:pitch w:val="default"/>
    <w:sig w:usb0="00000000" w:usb1="00000000" w:usb2="00000030" w:usb3="00000000" w:csb0="4008009F" w:csb1="DFD70000"/>
  </w:font>
  <w:font w:name="文泉驿正黑">
    <w:altName w:val="黑体"/>
    <w:panose1 w:val="00000000000000000000"/>
    <w:charset w:val="01"/>
    <w:family w:val="auto"/>
    <w:pitch w:val="default"/>
    <w:sig w:usb0="00000000" w:usb1="00000000" w:usb2="00000000" w:usb3="00000000" w:csb0="00000000" w:csb1="00000000"/>
  </w:font>
  <w:font w:name="Lucida Sans">
    <w:altName w:val="Lucida Sans Unicode"/>
    <w:panose1 w:val="00000000000000000000"/>
    <w:charset w:val="01"/>
    <w:family w:val="auto"/>
    <w:pitch w:val="default"/>
    <w:sig w:usb0="00000000" w:usb1="00000000" w:usb2="00000000" w:usb3="00000000" w:csb0="00000000" w:csb1="00000000"/>
  </w:font>
  <w:font w:name="Calibri">
    <w:panose1 w:val="020F0502020204030204"/>
    <w:charset w:val="01"/>
    <w:family w:val="auto"/>
    <w:pitch w:val="default"/>
    <w:sig w:usb0="E4002EFF" w:usb1="C200247B" w:usb2="00000009" w:usb3="00000000" w:csb0="200001FF"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C5EF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noFill/>
                      <a:ln w="6350" cap="flat" cmpd="sng">
                        <a:noFill/>
                        <a:prstDash val="solid"/>
                        <a:round/>
                      </a:ln>
                      <a:effectLst/>
                    </wps:spPr>
                    <wps:txbx>
                      <w:txbxContent>
                        <w:p w14:paraId="448A5A13">
                          <w:pPr>
                            <w:pStyle w:val="9"/>
                            <w:rPr>
                              <w:rFonts w:hint="eastAsia" w:eastAsia="宋体"/>
                              <w:lang w:eastAsia="zh-CN"/>
                            </w:rPr>
                          </w:pPr>
                        </w:p>
                      </w:txbxContent>
                    </wps:txbx>
                    <wps:bodyPr vert="horz" wrap="none" lIns="0" tIns="0" rIns="0" bIns="0" anchor="t" anchorCtr="0" upright="0">
                      <a:spAutoFit/>
                    </wps:bodyPr>
                  </wps:wsp>
                </a:graphicData>
              </a:graphic>
            </wp:anchor>
          </w:drawing>
        </mc:Choice>
        <mc:Fallback>
          <w:pict>
            <v:rect id="文本框 7"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ct/0tQAAAAFAQAADwAAAAAAAAABACAAAAAiAAAAZHJzL2Rv&#10;d25yZXYueG1sUEsBAhQAFAAAAAgAh07iQPMbiA8FAgAABAQAAA4AAAAAAAAAAQAgAAAAIwEAAGRy&#10;cy9lMm9Eb2MueG1sUEsFBgAAAAAGAAYAWQEAAJoFAAAAAA==&#10;">
              <v:fill on="f" focussize="0,0"/>
              <v:stroke on="f" weight="0.5pt" joinstyle="round"/>
              <v:imagedata o:title=""/>
              <o:lock v:ext="edit" aspectratio="f"/>
              <v:textbox inset="0mm,0mm,0mm,0mm" style="mso-fit-shape-to-text:t;">
                <w:txbxContent>
                  <w:p w14:paraId="448A5A13">
                    <w:pPr>
                      <w:pStyle w:val="9"/>
                      <w:rPr>
                        <w:rFonts w:hint="eastAsia" w:eastAsia="宋体"/>
                        <w:lang w:eastAsia="zh-CN"/>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6A44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 cy="131445"/>
              <wp:effectExtent l="0" t="0" r="0" b="0"/>
              <wp:wrapNone/>
              <wp:docPr id="12" name="文本框 12"/>
              <wp:cNvGraphicFramePr/>
              <a:graphic xmlns:a="http://schemas.openxmlformats.org/drawingml/2006/main">
                <a:graphicData uri="http://schemas.microsoft.com/office/word/2010/wordprocessingShape">
                  <wps:wsp>
                    <wps:cNvSpPr/>
                    <wps:spPr>
                      <a:xfrm>
                        <a:off x="0" y="0"/>
                        <a:ext cx="76200" cy="131433"/>
                      </a:xfrm>
                      <a:prstGeom prst="rect">
                        <a:avLst/>
                      </a:prstGeom>
                      <a:noFill/>
                      <a:ln w="6350" cap="flat" cmpd="sng">
                        <a:noFill/>
                        <a:prstDash val="solid"/>
                        <a:round/>
                      </a:ln>
                      <a:effectLst/>
                    </wps:spPr>
                    <wps:txbx>
                      <w:txbxContent>
                        <w:p w14:paraId="3F583E52">
                          <w:pPr>
                            <w:pStyle w:val="9"/>
                            <w:rPr>
                              <w:rFonts w:hint="eastAsia" w:eastAsia="宋体"/>
                              <w:lang w:eastAsia="zh-CN"/>
                            </w:rPr>
                          </w:pPr>
                        </w:p>
                      </w:txbxContent>
                    </wps:txbx>
                    <wps:bodyPr vert="horz" wrap="none" lIns="0" tIns="0" rIns="0" bIns="0" anchor="t" anchorCtr="0" upright="0">
                      <a:spAutoFit/>
                    </wps:bodyPr>
                  </wps:wsp>
                </a:graphicData>
              </a:graphic>
            </wp:anchor>
          </w:drawing>
        </mc:Choice>
        <mc:Fallback>
          <w:pict>
            <v:rect id="文本框 12" o:spid="_x0000_s1026" o:spt="1" style="position:absolute;left:0pt;margin-top:0pt;height:10.35pt;width:6pt;mso-position-horizontal:outside;mso-position-horizontal-relative:margin;mso-wrap-style:none;z-index:251659264;mso-width-relative:page;mso-height-relative:page;" filled="f" stroked="f" coordsize="21600,21600" o:gfxdata="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Vfhx9UAAAADAQAADwAAAAAAAAABACAAAAAiAAAAZHJz&#10;L2Rvd25yZXYueG1sUEsBAhQAFAAAAAgAh07iQPbBeIoHAgAAAwQAAA4AAAAAAAAAAQAgAAAAJAEA&#10;AGRycy9lMm9Eb2MueG1sUEsFBgAAAAAGAAYAWQEAAJ0FAAAAAA==&#10;">
              <v:fill on="f" focussize="0,0"/>
              <v:stroke on="f" weight="0.5pt" joinstyle="round"/>
              <v:imagedata o:title=""/>
              <o:lock v:ext="edit" aspectratio="f"/>
              <v:textbox inset="0mm,0mm,0mm,0mm" style="mso-fit-shape-to-text:t;">
                <w:txbxContent>
                  <w:p w14:paraId="3F583E52">
                    <w:pPr>
                      <w:pStyle w:val="9"/>
                      <w:rPr>
                        <w:rFonts w:hint="eastAsia" w:eastAsia="宋体"/>
                        <w:lang w:eastAsia="zh-CN"/>
                      </w:rPr>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60D5E">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noFill/>
                      <a:ln w="6350" cap="flat" cmpd="sng">
                        <a:noFill/>
                        <a:prstDash val="solid"/>
                        <a:round/>
                      </a:ln>
                      <a:effectLst/>
                    </wps:spPr>
                    <wps:txbx>
                      <w:txbxContent>
                        <w:p w14:paraId="5AE710A0">
                          <w:pPr>
                            <w:pStyle w:val="9"/>
                            <w:rPr>
                              <w:rFonts w:hint="eastAsia" w:eastAsia="宋体"/>
                              <w:lang w:eastAsia="zh-CN"/>
                            </w:rPr>
                          </w:pPr>
                          <w:r>
                            <w:rPr>
                              <w:rFonts w:hint="eastAsia" w:ascii="Calibri" w:hAnsi="Calibri"/>
                              <w:color w:val="000000"/>
                              <w:lang w:eastAsia="zh-CN"/>
                            </w:rPr>
                            <w:fldChar w:fldCharType="begin"/>
                          </w:r>
                          <w:r>
                            <w:rPr>
                              <w:rFonts w:hint="eastAsia" w:ascii="Calibri" w:hAnsi="Calibri"/>
                              <w:color w:val="000000"/>
                              <w:lang w:eastAsia="zh-CN"/>
                            </w:rPr>
                            <w:instrText xml:space="preserve"> PAGE  \* MERGEFORMAT </w:instrText>
                          </w:r>
                          <w:r>
                            <w:rPr>
                              <w:rFonts w:hint="eastAsia" w:ascii="Calibri" w:hAnsi="Calibri"/>
                              <w:color w:val="000000"/>
                              <w:lang w:eastAsia="zh-CN"/>
                            </w:rPr>
                            <w:fldChar w:fldCharType="separate"/>
                          </w:r>
                          <w:r>
                            <w:rPr>
                              <w:rFonts w:hint="eastAsia" w:ascii="Calibri" w:hAnsi="Calibri"/>
                              <w:color w:val="000000"/>
                              <w:lang w:eastAsia="zh-CN"/>
                            </w:rPr>
                            <w:t>1</w:t>
                          </w:r>
                          <w:r>
                            <w:rPr>
                              <w:rFonts w:hint="eastAsia" w:ascii="Calibri" w:hAnsi="Calibri"/>
                              <w:color w:val="000000"/>
                              <w:lang w:eastAsia="zh-CN"/>
                            </w:rPr>
                            <w:fldChar w:fldCharType="end"/>
                          </w:r>
                        </w:p>
                      </w:txbxContent>
                    </wps:txbx>
                    <wps:bodyPr vert="horz" wrap="none" lIns="0" tIns="0" rIns="0" bIns="0" anchor="t" anchorCtr="0" upright="0">
                      <a:spAutoFit/>
                    </wps:bodyPr>
                  </wps:wsp>
                </a:graphicData>
              </a:graphic>
            </wp:anchor>
          </w:drawing>
        </mc:Choice>
        <mc:Fallback>
          <w:pict>
            <v:rect id="文本框 1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nLf9LUAAAABQEAAA8AAAAAAAAAAQAgAAAAIgAAAGRycy9k&#10;b3ducmV2LnhtbFBLAQIUABQAAAAIAIdO4kC39ZEPBgIAAAYEAAAOAAAAAAAAAAEAIAAAACMBAABk&#10;cnMvZTJvRG9jLnhtbFBLBQYAAAAABgAGAFkBAACbBQAAAAA=&#10;">
              <v:fill on="f" focussize="0,0"/>
              <v:stroke on="f" weight="0.5pt" joinstyle="round"/>
              <v:imagedata o:title=""/>
              <o:lock v:ext="edit" aspectratio="f"/>
              <v:textbox inset="0mm,0mm,0mm,0mm" style="mso-fit-shape-to-text:t;">
                <w:txbxContent>
                  <w:p w14:paraId="5AE710A0">
                    <w:pPr>
                      <w:pStyle w:val="9"/>
                      <w:rPr>
                        <w:rFonts w:hint="eastAsia" w:eastAsia="宋体"/>
                        <w:lang w:eastAsia="zh-CN"/>
                      </w:rPr>
                    </w:pPr>
                    <w:r>
                      <w:rPr>
                        <w:rFonts w:hint="eastAsia" w:ascii="Calibri" w:hAnsi="Calibri"/>
                        <w:color w:val="000000"/>
                        <w:lang w:eastAsia="zh-CN"/>
                      </w:rPr>
                      <w:fldChar w:fldCharType="begin"/>
                    </w:r>
                    <w:r>
                      <w:rPr>
                        <w:rFonts w:hint="eastAsia" w:ascii="Calibri" w:hAnsi="Calibri"/>
                        <w:color w:val="000000"/>
                        <w:lang w:eastAsia="zh-CN"/>
                      </w:rPr>
                      <w:instrText xml:space="preserve"> PAGE  \* MERGEFORMAT </w:instrText>
                    </w:r>
                    <w:r>
                      <w:rPr>
                        <w:rFonts w:hint="eastAsia" w:ascii="Calibri" w:hAnsi="Calibri"/>
                        <w:color w:val="000000"/>
                        <w:lang w:eastAsia="zh-CN"/>
                      </w:rPr>
                      <w:fldChar w:fldCharType="separate"/>
                    </w:r>
                    <w:r>
                      <w:rPr>
                        <w:rFonts w:hint="eastAsia" w:ascii="Calibri" w:hAnsi="Calibri"/>
                        <w:color w:val="000000"/>
                        <w:lang w:eastAsia="zh-CN"/>
                      </w:rPr>
                      <w:t>1</w:t>
                    </w:r>
                    <w:r>
                      <w:rPr>
                        <w:rFonts w:hint="eastAsia" w:ascii="Calibri" w:hAnsi="Calibri"/>
                        <w:color w:val="000000"/>
                        <w:lang w:eastAsia="zh-CN"/>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73A9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77800" cy="230505"/>
              <wp:effectExtent l="0" t="0" r="0" b="0"/>
              <wp:wrapNone/>
              <wp:docPr id="9" name="文本框 9"/>
              <wp:cNvGraphicFramePr/>
              <a:graphic xmlns:a="http://schemas.openxmlformats.org/drawingml/2006/main">
                <a:graphicData uri="http://schemas.microsoft.com/office/word/2010/wordprocessingShape">
                  <wps:wsp>
                    <wps:cNvSpPr/>
                    <wps:spPr>
                      <a:xfrm>
                        <a:off x="0" y="0"/>
                        <a:ext cx="177799" cy="230584"/>
                      </a:xfrm>
                      <a:prstGeom prst="rect">
                        <a:avLst/>
                      </a:prstGeom>
                      <a:noFill/>
                      <a:ln w="6350" cap="flat" cmpd="sng">
                        <a:noFill/>
                        <a:prstDash val="solid"/>
                        <a:round/>
                      </a:ln>
                      <a:effectLst/>
                    </wps:spPr>
                    <wps:txbx>
                      <w:txbxContent>
                        <w:p w14:paraId="377E39CE">
                          <w:pPr>
                            <w:pStyle w:val="9"/>
                            <w:rPr>
                              <w:rFonts w:hint="eastAsia" w:ascii="宋体" w:hAnsi="宋体" w:eastAsia="宋体" w:cs="宋体"/>
                              <w:sz w:val="28"/>
                              <w:szCs w:val="28"/>
                              <w:lang w:eastAsia="zh-CN"/>
                            </w:rPr>
                          </w:pPr>
                          <w:r>
                            <w:rPr>
                              <w:rFonts w:hint="eastAsia" w:ascii="宋体" w:hAnsi="宋体" w:eastAsia="宋体" w:cs="宋体"/>
                              <w:color w:val="000000"/>
                              <w:sz w:val="28"/>
                              <w:szCs w:val="28"/>
                              <w:lang w:eastAsia="zh-CN"/>
                            </w:rPr>
                            <w:fldChar w:fldCharType="begin"/>
                          </w:r>
                          <w:r>
                            <w:rPr>
                              <w:rFonts w:hint="eastAsia" w:ascii="宋体" w:hAnsi="宋体" w:eastAsia="宋体" w:cs="宋体"/>
                              <w:color w:val="000000"/>
                              <w:sz w:val="28"/>
                              <w:szCs w:val="28"/>
                              <w:lang w:eastAsia="zh-CN"/>
                            </w:rPr>
                            <w:instrText xml:space="preserve"> PAGE  \* MERGEFORMAT </w:instrText>
                          </w:r>
                          <w:r>
                            <w:rPr>
                              <w:rFonts w:hint="eastAsia" w:ascii="宋体" w:hAnsi="宋体" w:eastAsia="宋体" w:cs="宋体"/>
                              <w:color w:val="000000"/>
                              <w:sz w:val="28"/>
                              <w:szCs w:val="28"/>
                              <w:lang w:eastAsia="zh-CN"/>
                            </w:rPr>
                            <w:fldChar w:fldCharType="separate"/>
                          </w:r>
                          <w:r>
                            <w:rPr>
                              <w:rFonts w:hint="eastAsia" w:ascii="宋体" w:hAnsi="宋体" w:eastAsia="宋体" w:cs="宋体"/>
                              <w:color w:val="000000"/>
                              <w:sz w:val="28"/>
                              <w:szCs w:val="28"/>
                              <w:lang w:eastAsia="zh-CN"/>
                            </w:rPr>
                            <w:t>2</w:t>
                          </w:r>
                          <w:r>
                            <w:rPr>
                              <w:rFonts w:hint="eastAsia" w:ascii="宋体" w:hAnsi="宋体" w:eastAsia="宋体" w:cs="宋体"/>
                              <w:color w:val="000000"/>
                              <w:sz w:val="28"/>
                              <w:szCs w:val="28"/>
                              <w:lang w:eastAsia="zh-CN"/>
                            </w:rPr>
                            <w:fldChar w:fldCharType="end"/>
                          </w:r>
                        </w:p>
                      </w:txbxContent>
                    </wps:txbx>
                    <wps:bodyPr vert="horz" wrap="none" lIns="0" tIns="0" rIns="0" bIns="0" anchor="t" anchorCtr="0" upright="0">
                      <a:spAutoFit/>
                    </wps:bodyPr>
                  </wps:wsp>
                </a:graphicData>
              </a:graphic>
            </wp:anchor>
          </w:drawing>
        </mc:Choice>
        <mc:Fallback>
          <w:pict>
            <v:rect id="文本框 9" o:spid="_x0000_s1026" o:spt="1" style="position:absolute;left:0pt;margin-top:0pt;height:18.15pt;width:14pt;mso-position-horizontal:outside;mso-position-horizontal-relative:margin;mso-wrap-style:none;z-index:251659264;mso-width-relative:page;mso-height-relative:page;" filled="f" stroked="f" coordsize="21600,21600" o:gfxdata="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I9vJ7WAAAAAwEAAA8AAAAAAAAAAQAgAAAAIgAA&#10;AGRycy9kb3ducmV2LnhtbFBLAQIUABQAAAAIAIdO4kC9pdA4CgIAAAIEAAAOAAAAAAAAAAEAIAAA&#10;ACUBAABkcnMvZTJvRG9jLnhtbFBLBQYAAAAABgAGAFkBAAChBQAAAAA=&#10;">
              <v:fill on="f" focussize="0,0"/>
              <v:stroke on="f" weight="0.5pt" joinstyle="round"/>
              <v:imagedata o:title=""/>
              <o:lock v:ext="edit" aspectratio="f"/>
              <v:textbox inset="0mm,0mm,0mm,0mm" style="mso-fit-shape-to-text:t;">
                <w:txbxContent>
                  <w:p w14:paraId="377E39CE">
                    <w:pPr>
                      <w:pStyle w:val="9"/>
                      <w:rPr>
                        <w:rFonts w:hint="eastAsia" w:ascii="宋体" w:hAnsi="宋体" w:eastAsia="宋体" w:cs="宋体"/>
                        <w:sz w:val="28"/>
                        <w:szCs w:val="28"/>
                        <w:lang w:eastAsia="zh-CN"/>
                      </w:rPr>
                    </w:pPr>
                    <w:r>
                      <w:rPr>
                        <w:rFonts w:hint="eastAsia" w:ascii="宋体" w:hAnsi="宋体" w:eastAsia="宋体" w:cs="宋体"/>
                        <w:color w:val="000000"/>
                        <w:sz w:val="28"/>
                        <w:szCs w:val="28"/>
                        <w:lang w:eastAsia="zh-CN"/>
                      </w:rPr>
                      <w:fldChar w:fldCharType="begin"/>
                    </w:r>
                    <w:r>
                      <w:rPr>
                        <w:rFonts w:hint="eastAsia" w:ascii="宋体" w:hAnsi="宋体" w:eastAsia="宋体" w:cs="宋体"/>
                        <w:color w:val="000000"/>
                        <w:sz w:val="28"/>
                        <w:szCs w:val="28"/>
                        <w:lang w:eastAsia="zh-CN"/>
                      </w:rPr>
                      <w:instrText xml:space="preserve"> PAGE  \* MERGEFORMAT </w:instrText>
                    </w:r>
                    <w:r>
                      <w:rPr>
                        <w:rFonts w:hint="eastAsia" w:ascii="宋体" w:hAnsi="宋体" w:eastAsia="宋体" w:cs="宋体"/>
                        <w:color w:val="000000"/>
                        <w:sz w:val="28"/>
                        <w:szCs w:val="28"/>
                        <w:lang w:eastAsia="zh-CN"/>
                      </w:rPr>
                      <w:fldChar w:fldCharType="separate"/>
                    </w:r>
                    <w:r>
                      <w:rPr>
                        <w:rFonts w:hint="eastAsia" w:ascii="宋体" w:hAnsi="宋体" w:eastAsia="宋体" w:cs="宋体"/>
                        <w:color w:val="000000"/>
                        <w:sz w:val="28"/>
                        <w:szCs w:val="28"/>
                        <w:lang w:eastAsia="zh-CN"/>
                      </w:rPr>
                      <w:t>2</w:t>
                    </w:r>
                    <w:r>
                      <w:rPr>
                        <w:rFonts w:hint="eastAsia" w:ascii="宋体" w:hAnsi="宋体" w:eastAsia="宋体" w:cs="宋体"/>
                        <w:color w:val="000000"/>
                        <w:sz w:val="28"/>
                        <w:szCs w:val="28"/>
                        <w:lang w:eastAsia="zh-CN"/>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28A7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8900" cy="230505"/>
              <wp:effectExtent l="0" t="0" r="0" b="0"/>
              <wp:wrapNone/>
              <wp:docPr id="14" name="文本框 14"/>
              <wp:cNvGraphicFramePr/>
              <a:graphic xmlns:a="http://schemas.openxmlformats.org/drawingml/2006/main">
                <a:graphicData uri="http://schemas.microsoft.com/office/word/2010/wordprocessingShape">
                  <wps:wsp>
                    <wps:cNvSpPr/>
                    <wps:spPr>
                      <a:xfrm>
                        <a:off x="0" y="0"/>
                        <a:ext cx="88899" cy="230584"/>
                      </a:xfrm>
                      <a:prstGeom prst="rect">
                        <a:avLst/>
                      </a:prstGeom>
                      <a:noFill/>
                      <a:ln w="6350" cap="flat" cmpd="sng">
                        <a:noFill/>
                        <a:prstDash val="solid"/>
                        <a:round/>
                      </a:ln>
                      <a:effectLst/>
                    </wps:spPr>
                    <wps:txbx>
                      <w:txbxContent>
                        <w:p w14:paraId="461AB2CE">
                          <w:pPr>
                            <w:pStyle w:val="9"/>
                            <w:rPr>
                              <w:rFonts w:hint="eastAsia" w:ascii="宋体" w:hAnsi="宋体" w:eastAsia="宋体" w:cs="宋体"/>
                              <w:sz w:val="28"/>
                              <w:szCs w:val="28"/>
                              <w:lang w:eastAsia="zh-CN"/>
                            </w:rPr>
                          </w:pPr>
                          <w:r>
                            <w:rPr>
                              <w:rFonts w:hint="eastAsia" w:ascii="宋体" w:hAnsi="宋体" w:eastAsia="宋体" w:cs="宋体"/>
                              <w:color w:val="000000"/>
                              <w:sz w:val="28"/>
                              <w:szCs w:val="28"/>
                              <w:lang w:eastAsia="zh-CN"/>
                            </w:rPr>
                            <w:fldChar w:fldCharType="begin"/>
                          </w:r>
                          <w:r>
                            <w:rPr>
                              <w:rFonts w:hint="eastAsia" w:ascii="宋体" w:hAnsi="宋体" w:eastAsia="宋体" w:cs="宋体"/>
                              <w:color w:val="000000"/>
                              <w:sz w:val="28"/>
                              <w:szCs w:val="28"/>
                              <w:lang w:eastAsia="zh-CN"/>
                            </w:rPr>
                            <w:instrText xml:space="preserve"> PAGE  \* MERGEFORMAT </w:instrText>
                          </w:r>
                          <w:r>
                            <w:rPr>
                              <w:rFonts w:hint="eastAsia" w:ascii="宋体" w:hAnsi="宋体" w:eastAsia="宋体" w:cs="宋体"/>
                              <w:color w:val="000000"/>
                              <w:sz w:val="28"/>
                              <w:szCs w:val="28"/>
                              <w:lang w:eastAsia="zh-CN"/>
                            </w:rPr>
                            <w:fldChar w:fldCharType="separate"/>
                          </w:r>
                          <w:r>
                            <w:rPr>
                              <w:rFonts w:hint="eastAsia" w:ascii="宋体" w:hAnsi="宋体" w:eastAsia="宋体" w:cs="宋体"/>
                              <w:color w:val="000000"/>
                              <w:sz w:val="28"/>
                              <w:szCs w:val="28"/>
                              <w:lang w:eastAsia="zh-CN"/>
                            </w:rPr>
                            <w:t>1</w:t>
                          </w:r>
                          <w:r>
                            <w:rPr>
                              <w:rFonts w:hint="eastAsia" w:ascii="宋体" w:hAnsi="宋体" w:eastAsia="宋体" w:cs="宋体"/>
                              <w:color w:val="000000"/>
                              <w:sz w:val="28"/>
                              <w:szCs w:val="28"/>
                              <w:lang w:eastAsia="zh-CN"/>
                            </w:rPr>
                            <w:fldChar w:fldCharType="end"/>
                          </w:r>
                        </w:p>
                      </w:txbxContent>
                    </wps:txbx>
                    <wps:bodyPr vert="horz" wrap="none" lIns="0" tIns="0" rIns="0" bIns="0" anchor="t" anchorCtr="0" upright="0">
                      <a:spAutoFit/>
                    </wps:bodyPr>
                  </wps:wsp>
                </a:graphicData>
              </a:graphic>
            </wp:anchor>
          </w:drawing>
        </mc:Choice>
        <mc:Fallback>
          <w:pict>
            <v:rect id="文本框 14" o:spid="_x0000_s1026" o:spt="1" style="position:absolute;left:0pt;margin-top:0pt;height:18.15pt;width:7pt;mso-position-horizontal:outside;mso-position-horizontal-relative:margin;mso-wrap-style:none;z-index:251659264;mso-width-relative:page;mso-height-relative:page;" filled="f" stroked="f" coordsize="21600,21600" o:gfxdata="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iSsww1gAAAAMBAAAPAAAAAAAAAAEAIAAAACIA&#10;AABkcnMvZG93bnJldi54bWxQSwECFAAUAAAACACHTuJAXUX1XgsCAAADBAAADgAAAAAAAAABACAA&#10;AAAlAQAAZHJzL2Uyb0RvYy54bWxQSwUGAAAAAAYABgBZAQAAogUAAAAA&#10;">
              <v:fill on="f" focussize="0,0"/>
              <v:stroke on="f" weight="0.5pt" joinstyle="round"/>
              <v:imagedata o:title=""/>
              <o:lock v:ext="edit" aspectratio="f"/>
              <v:textbox inset="0mm,0mm,0mm,0mm" style="mso-fit-shape-to-text:t;">
                <w:txbxContent>
                  <w:p w14:paraId="461AB2CE">
                    <w:pPr>
                      <w:pStyle w:val="9"/>
                      <w:rPr>
                        <w:rFonts w:hint="eastAsia" w:ascii="宋体" w:hAnsi="宋体" w:eastAsia="宋体" w:cs="宋体"/>
                        <w:sz w:val="28"/>
                        <w:szCs w:val="28"/>
                        <w:lang w:eastAsia="zh-CN"/>
                      </w:rPr>
                    </w:pPr>
                    <w:r>
                      <w:rPr>
                        <w:rFonts w:hint="eastAsia" w:ascii="宋体" w:hAnsi="宋体" w:eastAsia="宋体" w:cs="宋体"/>
                        <w:color w:val="000000"/>
                        <w:sz w:val="28"/>
                        <w:szCs w:val="28"/>
                        <w:lang w:eastAsia="zh-CN"/>
                      </w:rPr>
                      <w:fldChar w:fldCharType="begin"/>
                    </w:r>
                    <w:r>
                      <w:rPr>
                        <w:rFonts w:hint="eastAsia" w:ascii="宋体" w:hAnsi="宋体" w:eastAsia="宋体" w:cs="宋体"/>
                        <w:color w:val="000000"/>
                        <w:sz w:val="28"/>
                        <w:szCs w:val="28"/>
                        <w:lang w:eastAsia="zh-CN"/>
                      </w:rPr>
                      <w:instrText xml:space="preserve"> PAGE  \* MERGEFORMAT </w:instrText>
                    </w:r>
                    <w:r>
                      <w:rPr>
                        <w:rFonts w:hint="eastAsia" w:ascii="宋体" w:hAnsi="宋体" w:eastAsia="宋体" w:cs="宋体"/>
                        <w:color w:val="000000"/>
                        <w:sz w:val="28"/>
                        <w:szCs w:val="28"/>
                        <w:lang w:eastAsia="zh-CN"/>
                      </w:rPr>
                      <w:fldChar w:fldCharType="separate"/>
                    </w:r>
                    <w:r>
                      <w:rPr>
                        <w:rFonts w:hint="eastAsia" w:ascii="宋体" w:hAnsi="宋体" w:eastAsia="宋体" w:cs="宋体"/>
                        <w:color w:val="000000"/>
                        <w:sz w:val="28"/>
                        <w:szCs w:val="28"/>
                        <w:lang w:eastAsia="zh-CN"/>
                      </w:rPr>
                      <w:t>1</w:t>
                    </w:r>
                    <w:r>
                      <w:rPr>
                        <w:rFonts w:hint="eastAsia" w:ascii="宋体" w:hAnsi="宋体" w:eastAsia="宋体" w:cs="宋体"/>
                        <w:color w:val="000000"/>
                        <w:sz w:val="28"/>
                        <w:szCs w:val="28"/>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7E1F1">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EB7EB"/>
    <w:multiLevelType w:val="singleLevel"/>
    <w:tmpl w:val="B7FEB7EB"/>
    <w:lvl w:ilvl="0" w:tentative="0">
      <w:start w:val="3"/>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YzIwYzU4OGExOTJkMGI2ODBiZTkwNDJhY2QyODg0YzYifQ=="/>
  </w:docVars>
  <w:rsids>
    <w:rsidRoot w:val="00000000"/>
    <w:rsid w:val="7DCD3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8"/>
    <w:qFormat/>
    <w:uiPriority w:val="0"/>
    <w:pPr>
      <w:keepNext/>
      <w:keepLines/>
      <w:spacing w:before="260" w:after="260" w:line="415" w:lineRule="auto"/>
      <w:outlineLvl w:val="1"/>
    </w:pPr>
    <w:rPr>
      <w:rFonts w:ascii="Cambria" w:hAnsi="Cambria" w:eastAsia="宋体" w:cs="Times New Roman"/>
      <w:b/>
      <w:bCs/>
      <w:sz w:val="32"/>
      <w:szCs w:val="32"/>
    </w:rPr>
  </w:style>
  <w:style w:type="paragraph" w:styleId="5">
    <w:name w:val="heading 3"/>
    <w:basedOn w:val="1"/>
    <w:next w:val="1"/>
    <w:link w:val="19"/>
    <w:qFormat/>
    <w:uiPriority w:val="0"/>
    <w:pPr>
      <w:keepNext/>
      <w:keepLines/>
      <w:spacing w:before="260" w:after="260" w:line="415" w:lineRule="auto"/>
      <w:outlineLvl w:val="2"/>
    </w:pPr>
    <w:rPr>
      <w:b/>
      <w:bCs/>
      <w:sz w:val="32"/>
      <w:szCs w:val="32"/>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toc 3"/>
    <w:basedOn w:val="1"/>
    <w:next w:val="1"/>
    <w:qFormat/>
    <w:uiPriority w:val="0"/>
    <w:pPr>
      <w:tabs>
        <w:tab w:val="right" w:leader="dot" w:pos="8296"/>
      </w:tabs>
      <w:ind w:left="400" w:leftChars="400"/>
    </w:pPr>
  </w:style>
  <w:style w:type="paragraph" w:styleId="8">
    <w:name w:val="Balloon Text"/>
    <w:basedOn w:val="1"/>
    <w:qFormat/>
    <w:uiPriority w:val="0"/>
    <w:rPr>
      <w:sz w:val="18"/>
      <w:szCs w:val="18"/>
    </w:rPr>
  </w:style>
  <w:style w:type="paragraph" w:styleId="9">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qFormat/>
    <w:uiPriority w:val="0"/>
    <w:pPr>
      <w:tabs>
        <w:tab w:val="right" w:leader="dot" w:pos="8296"/>
      </w:tabs>
      <w:spacing w:before="93"/>
      <w:jc w:val="center"/>
    </w:pPr>
    <w:rPr>
      <w:rFonts w:ascii="仿宋" w:hAnsi="仿宋" w:eastAsia="仿宋"/>
      <w:sz w:val="28"/>
      <w:szCs w:val="28"/>
    </w:rPr>
  </w:style>
  <w:style w:type="paragraph" w:styleId="12">
    <w:name w:val="toc 2"/>
    <w:basedOn w:val="1"/>
    <w:next w:val="1"/>
    <w:qFormat/>
    <w:uiPriority w:val="0"/>
    <w:pPr>
      <w:tabs>
        <w:tab w:val="right" w:leader="dot" w:pos="8296"/>
      </w:tabs>
      <w:ind w:left="200" w:leftChars="200"/>
    </w:p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customStyle="1" w:styleId="17">
    <w:name w:val="heading 1 Char"/>
    <w:basedOn w:val="14"/>
    <w:link w:val="3"/>
    <w:uiPriority w:val="0"/>
    <w:rPr>
      <w:rFonts w:ascii="Times New Roman" w:hAnsi="Times New Roman" w:eastAsia="宋体" w:cs="Times New Roman"/>
      <w:b/>
      <w:bCs/>
      <w:kern w:val="44"/>
      <w:sz w:val="44"/>
      <w:szCs w:val="44"/>
      <w:lang w:val="en-US" w:eastAsia="zh-CN" w:bidi="ar-SA"/>
    </w:rPr>
  </w:style>
  <w:style w:type="character" w:customStyle="1" w:styleId="18">
    <w:name w:val="heading 2 Char"/>
    <w:basedOn w:val="14"/>
    <w:link w:val="4"/>
    <w:uiPriority w:val="0"/>
    <w:rPr>
      <w:rFonts w:ascii="Cambria" w:hAnsi="Cambria" w:eastAsia="宋体" w:cs="Times New Roman"/>
      <w:b/>
      <w:bCs/>
      <w:kern w:val="2"/>
      <w:sz w:val="32"/>
      <w:szCs w:val="32"/>
      <w:lang w:val="en-US" w:eastAsia="zh-CN" w:bidi="ar-SA"/>
    </w:rPr>
  </w:style>
  <w:style w:type="character" w:customStyle="1" w:styleId="19">
    <w:name w:val="heading 3 Char"/>
    <w:basedOn w:val="14"/>
    <w:link w:val="5"/>
    <w:uiPriority w:val="0"/>
    <w:rPr>
      <w:rFonts w:ascii="Times New Roman" w:hAnsi="Times New Roman" w:eastAsia="宋体" w:cs="Times New Roman"/>
      <w:b/>
      <w:bCs/>
      <w:kern w:val="2"/>
      <w:sz w:val="32"/>
      <w:szCs w:val="32"/>
      <w:lang w:val="en-US" w:eastAsia="zh-CN" w:bidi="ar-SA"/>
    </w:rPr>
  </w:style>
  <w:style w:type="character" w:customStyle="1" w:styleId="20">
    <w:name w:val="Header Char"/>
    <w:basedOn w:val="14"/>
    <w:qFormat/>
    <w:uiPriority w:val="0"/>
    <w:rPr>
      <w:rFonts w:ascii="Times New Roman" w:hAnsi="Times New Roman"/>
      <w:sz w:val="18"/>
      <w:szCs w:val="18"/>
    </w:rPr>
  </w:style>
  <w:style w:type="character" w:customStyle="1" w:styleId="21">
    <w:name w:val="Footer Char"/>
    <w:basedOn w:val="14"/>
    <w:qFormat/>
    <w:uiPriority w:val="0"/>
    <w:rPr>
      <w:rFonts w:ascii="Times New Roman" w:hAnsi="Times New Roman"/>
      <w:sz w:val="18"/>
      <w:szCs w:val="18"/>
    </w:rPr>
  </w:style>
  <w:style w:type="character" w:customStyle="1" w:styleId="22">
    <w:name w:val="Body Text Char"/>
    <w:basedOn w:val="14"/>
    <w:qFormat/>
    <w:uiPriority w:val="0"/>
    <w:rPr>
      <w:rFonts w:ascii="Times New Roman" w:hAnsi="Times New Roman"/>
      <w:szCs w:val="24"/>
    </w:rPr>
  </w:style>
  <w:style w:type="paragraph" w:customStyle="1" w:styleId="23">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0"/>
    <w:pPr>
      <w:ind w:firstLine="200" w:firstLineChars="200"/>
    </w:pPr>
  </w:style>
  <w:style w:type="paragraph" w:customStyle="1" w:styleId="25">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6">
    <w:name w:val="TOC Heading"/>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character" w:customStyle="1" w:styleId="27">
    <w:name w:val="默认段落字体1"/>
    <w:qFormat/>
    <w:uiPriority w:val="0"/>
    <w:rPr>
      <w:sz w:val="22"/>
    </w:rPr>
  </w:style>
  <w:style w:type="paragraph" w:customStyle="1" w:styleId="28">
    <w:name w:val="四号正文"/>
    <w:basedOn w:val="1"/>
    <w:qFormat/>
    <w:uiPriority w:val="0"/>
    <w:pPr>
      <w:spacing w:line="360" w:lineRule="auto"/>
    </w:pPr>
    <w:rPr>
      <w:rFonts w:ascii="??" w:hAnsi="??" w:eastAsia="宋体"/>
      <w:color w:val="000000"/>
      <w:kern w:val="0"/>
      <w:sz w:val="28"/>
      <w:szCs w:val="21"/>
      <w:lang w:val="zh-CN"/>
    </w:rPr>
  </w:style>
  <w:style w:type="paragraph" w:customStyle="1" w:styleId="29">
    <w:name w:val="WPSOffice手动目录 1"/>
    <w:qFormat/>
    <w:uiPriority w:val="0"/>
    <w:rPr>
      <w:rFonts w:ascii="Calibri" w:hAnsi="Calibri" w:eastAsia="宋体" w:cs="Arial"/>
      <w:sz w:val="20"/>
      <w:szCs w:val="20"/>
      <w:lang w:val="en-US" w:eastAsia="zh-CN" w:bidi="ar-SA"/>
    </w:rPr>
  </w:style>
  <w:style w:type="paragraph" w:customStyle="1" w:styleId="30">
    <w:name w:val="WPSOffice手动目录 2"/>
    <w:qFormat/>
    <w:uiPriority w:val="0"/>
    <w:pPr>
      <w:ind w:left="200" w:leftChars="200"/>
    </w:pPr>
    <w:rPr>
      <w:rFonts w:ascii="Calibri" w:hAnsi="Calibri" w:eastAsia="宋体" w:cs="Arial"/>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2020年</c:v>
                </c:pt>
              </c:strCache>
            </c:strRef>
          </c:tx>
          <c:spPr>
            <a:solidFill>
              <a:srgbClr val="4F81BD"/>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000000"/>
                    </a:solidFill>
                    <a:latin typeface="Times New Roman" panose="02020603050405020304"/>
                    <a:ea typeface="文泉驿正黑"/>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收、支总计</c:v>
                </c:pt>
              </c:strCache>
            </c:strRef>
          </c:cat>
          <c:val>
            <c:numRef>
              <c:f>'Sheet1'!$B$2</c:f>
              <c:numCache>
                <c:formatCode>General</c:formatCode>
                <c:ptCount val="1"/>
                <c:pt idx="0">
                  <c:v>1458.97</c:v>
                </c:pt>
              </c:numCache>
            </c:numRef>
          </c:val>
        </c:ser>
        <c:ser>
          <c:idx val="1"/>
          <c:order val="1"/>
          <c:tx>
            <c:strRef>
              <c:f>'Sheet1'!$C$1</c:f>
              <c:strCache>
                <c:ptCount val="1"/>
                <c:pt idx="0">
                  <c:v>2021年</c:v>
                </c:pt>
              </c:strCache>
            </c:strRef>
          </c:tx>
          <c:spPr>
            <a:solidFill>
              <a:srgbClr val="C0504D"/>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000000"/>
                    </a:solidFill>
                    <a:latin typeface="Times New Roman" panose="02020603050405020304"/>
                    <a:ea typeface="文泉驿正黑"/>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收、支总计</c:v>
                </c:pt>
              </c:strCache>
            </c:strRef>
          </c:cat>
          <c:val>
            <c:numRef>
              <c:f>'Sheet1'!$C$2</c:f>
              <c:numCache>
                <c:formatCode>General</c:formatCode>
                <c:ptCount val="1"/>
                <c:pt idx="0">
                  <c:v>1297.57</c:v>
                </c:pt>
              </c:numCache>
            </c:numRef>
          </c:val>
        </c:ser>
        <c:dLbls>
          <c:showLegendKey val="0"/>
          <c:showVal val="0"/>
          <c:showCatName val="0"/>
          <c:showSerName val="0"/>
          <c:showPercent val="0"/>
          <c:showBubbleSize val="0"/>
        </c:dLbls>
        <c:gapWidth val="219"/>
        <c:overlap val="-27"/>
        <c:axId val="0"/>
        <c:axId val="1"/>
      </c:barChart>
      <c:catAx>
        <c:axId val="0"/>
        <c:scaling>
          <c:orientation val="minMax"/>
        </c:scaling>
        <c:delete val="0"/>
        <c:axPos val="b"/>
        <c:numFmt formatCode="General" sourceLinked="1"/>
        <c:majorTickMark val="none"/>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D9D9D9"/>
              </a:solidFill>
              <a:prstDash val="solid"/>
              <a:round/>
            </a:ln>
          </c:spPr>
        </c:majorGridlines>
        <c:numFmt formatCode="General" sourceLinked="1"/>
        <c:majorTickMark val="none"/>
        <c:minorTickMark val="none"/>
        <c:tickLblPos val="nextTo"/>
        <c:spPr>
          <a:ln w="9525" cap="flat" cmpd="sng">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crossAx val="0"/>
        <c:crosses val="autoZero"/>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legend>
    <c:plotVisOnly val="1"/>
    <c:dispBlanksAs val="gap"/>
    <c:showDLblsOverMax val="0"/>
    <c:extLst>
      <c:ext uri="{0b15fc19-7d7d-44ad-8c2d-2c3a37ce22c3}">
        <chartProps xmlns="https://web.wps.cn/et/2018/main" chartId="{7ea25cc1-c27c-48f9-a735-9a7b0dfae4ca}"/>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文泉驿正黑"/>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28901"/>
          <c:y val="0.116564415"/>
          <c:w val="0.36705202"/>
          <c:h val="0.7791411"/>
        </c:manualLayout>
      </c:layout>
      <c:pieChart>
        <c:varyColors val="1"/>
        <c:ser>
          <c:idx val="0"/>
          <c:order val="0"/>
          <c:tx>
            <c:strRef>
              <c:f>'Sheet1'!$A$2</c:f>
              <c:strCache>
                <c:ptCount val="1"/>
                <c:pt idx="0">
                  <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Lbls>
            <c:dLbl>
              <c:idx val="0"/>
              <c:delete val="1"/>
            </c:dLbl>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c:f>
              <c:strCache>
                <c:ptCount val="1"/>
                <c:pt idx="0">
                  <c:v>一般公共预算财政拨款收入</c:v>
                </c:pt>
              </c:strCache>
            </c:strRef>
          </c:cat>
          <c:val>
            <c:numRef>
              <c:f>'Sheet1'!$B$2</c:f>
              <c:numCache>
                <c:formatCode>0.00%</c:formatCode>
                <c:ptCount val="1"/>
                <c:pt idx="0">
                  <c:v>1</c:v>
                </c:pt>
              </c:numCache>
            </c:numRef>
          </c:val>
        </c:ser>
        <c:ser>
          <c:idx val="1"/>
          <c:order val="1"/>
          <c:tx>
            <c:strRef>
              <c:f>'Sheet1'!$A$3</c:f>
              <c:strCache>
                <c:ptCount val="1"/>
                <c:pt idx="0">
                  <c:v/>
                </c:pt>
              </c:strCache>
            </c:strRef>
          </c:tx>
          <c:spPr>
            <a:solidFill>
              <a:srgbClr val="993366"/>
            </a:solidFill>
            <a:ln w="12700">
              <a:solidFill>
                <a:srgbClr val="000000"/>
              </a:solidFill>
              <a:prstDash val="solid"/>
            </a:ln>
          </c:spPr>
          <c:explosion val="0"/>
          <c:dPt>
            <c:idx val="0"/>
            <c:bubble3D val="0"/>
            <c:spPr>
              <a:ln w="12700">
                <a:solidFill>
                  <a:srgbClr val="000000"/>
                </a:solidFill>
                <a:prstDash val="solid"/>
              </a:ln>
            </c:spPr>
          </c:dPt>
          <c:dLbls>
            <c:dLbl>
              <c:idx val="0"/>
              <c:delete val="1"/>
            </c:dLbl>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c:f>
              <c:strCache>
                <c:ptCount val="1"/>
                <c:pt idx="0">
                  <c:v>一般公共预算财政拨款收入</c:v>
                </c:pt>
              </c:strCache>
            </c:strRef>
          </c:cat>
          <c:val>
            <c:numRef>
              <c:f>'Sheet1'!$B$3</c:f>
              <c:numCache>
                <c:formatCode>General</c:formatCode>
                <c:ptCount val="1"/>
              </c:numCache>
            </c:numRef>
          </c:val>
        </c:ser>
        <c:dLbls>
          <c:showLegendKey val="0"/>
          <c:showVal val="0"/>
          <c:showCatName val="0"/>
          <c:showSerName val="0"/>
          <c:showPercent val="0"/>
          <c:showBubbleSize val="0"/>
          <c:showLeaderLines val="1"/>
        </c:dLbls>
        <c:firstSliceAng val="0"/>
      </c:pieChart>
      <c:spPr>
        <a:solidFill>
          <a:srgbClr val="C0C0C0"/>
        </a:solidFill>
        <a:ln w="12700">
          <a:solidFill>
            <a:srgbClr val="808080"/>
          </a:solidFill>
          <a:prstDash val="solid"/>
        </a:ln>
      </c:spPr>
    </c:plotArea>
    <c:legend>
      <c:legendPos val="r"/>
      <c:layout>
        <c:manualLayout>
          <c:xMode val="edge"/>
          <c:yMode val="edge"/>
          <c:x val="0.6676301"/>
          <c:y val="0.29447854"/>
          <c:w val="0.32080925"/>
          <c:h val="0.41104296"/>
        </c:manualLayout>
      </c:layout>
      <c:overlay val="0"/>
      <c:spPr>
        <a:noFill/>
        <a:ln w="3175">
          <a:solidFill>
            <a:srgbClr val="000000"/>
          </a:solidFill>
          <a:prstDash val="soli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0a9a9986-2c25-46e3-ab57-0d76f10eee06}"/>
      </c:ext>
    </c:extLst>
  </c:chart>
  <c:spPr>
    <a:noFill/>
    <a:ln w="9525" cap="flat" cmpd="sng">
      <a:noFill/>
      <a:prstDash val="solid"/>
      <a:round/>
    </a:ln>
  </c:spPr>
  <c:txPr>
    <a:bodyPr/>
    <a:lstStyle/>
    <a:p>
      <a:pPr>
        <a:defRPr lang="zh-CN" sz="8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0792"/>
          <c:y val="0.115384616"/>
          <c:w val="0.51079136"/>
          <c:h val="0.7802198"/>
        </c:manualLayout>
      </c:layout>
      <c:pieChart>
        <c:varyColors val="1"/>
        <c:ser>
          <c:idx val="0"/>
          <c:order val="0"/>
          <c:tx>
            <c:strRef>
              <c:f>'Sheet1'!$A$2</c:f>
              <c:strCache>
                <c:ptCount val="1"/>
                <c:pt idx="0">
                  <c:v>东部</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lgn="ctr">
                  <a:defRPr lang="zh-CN" sz="9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'Sheet1'!$B$1:$C$1</c:f>
              <c:strCache>
                <c:ptCount val="2"/>
                <c:pt idx="0">
                  <c:v>基本支出</c:v>
                </c:pt>
                <c:pt idx="1">
                  <c:v>项目支出</c:v>
                </c:pt>
              </c:strCache>
            </c:strRef>
          </c:cat>
          <c:val>
            <c:numRef>
              <c:f>'Sheet1'!$B$2:$C$2</c:f>
              <c:numCache>
                <c:formatCode>General</c:formatCode>
                <c:ptCount val="2"/>
                <c:pt idx="0">
                  <c:v>64.8</c:v>
                </c:pt>
                <c:pt idx="1">
                  <c:v>35.2</c:v>
                </c:pt>
              </c:numCache>
            </c:numRef>
          </c:val>
        </c:ser>
        <c:dLbls>
          <c:showLegendKey val="0"/>
          <c:showVal val="0"/>
          <c:showCatName val="0"/>
          <c:showSerName val="0"/>
          <c:showPercent val="0"/>
          <c:showBubbleSize val="0"/>
          <c:showLeaderLines val="1"/>
        </c:dLbls>
        <c:firstSliceAng val="0"/>
      </c:pieChart>
      <c:spPr>
        <a:solidFill>
          <a:srgbClr val="C0C0C0"/>
        </a:solidFill>
        <a:ln w="12700">
          <a:solidFill>
            <a:srgbClr val="808080"/>
          </a:solidFill>
          <a:prstDash val="solid"/>
        </a:ln>
      </c:spPr>
    </c:plotArea>
    <c:legend>
      <c:legendPos val="r"/>
      <c:layout>
        <c:manualLayout>
          <c:xMode val="edge"/>
          <c:yMode val="edge"/>
          <c:x val="0.7410072"/>
          <c:y val="0.4065934"/>
          <c:w val="0.24460432"/>
          <c:h val="0.1923077"/>
        </c:manualLayout>
      </c:layout>
      <c:overlay val="0"/>
      <c:spPr>
        <a:noFill/>
        <a:ln w="3175">
          <a:solidFill>
            <a:srgbClr val="000000"/>
          </a:solidFill>
          <a:prstDash val="solid"/>
        </a:ln>
      </c:spPr>
      <c:txPr>
        <a:bodyPr rot="0" spcFirstLastPara="0" vertOverflow="ellipsis" vert="horz" wrap="square" anchor="ctr" anchorCtr="1"/>
        <a:lstStyle/>
        <a:p>
          <a:pPr>
            <a:defRPr lang="zh-CN" sz="8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bf59e2a3-b754-4f1a-8f09-3dbf744c067a}"/>
      </c:ext>
    </c:extLst>
  </c:chart>
  <c:spPr>
    <a:noFill/>
    <a:ln w="9525" cap="flat" cmpd="sng">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2020年</c:v>
                </c:pt>
              </c:strCache>
            </c:strRef>
          </c:tx>
          <c:spPr>
            <a:solidFill>
              <a:srgbClr val="4F81BD"/>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000000"/>
                    </a:solidFill>
                    <a:latin typeface="Times New Roman" panose="02020603050405020304"/>
                    <a:ea typeface="文泉驿正黑"/>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财政拨款收、支总计</c:v>
                </c:pt>
              </c:strCache>
            </c:strRef>
          </c:cat>
          <c:val>
            <c:numRef>
              <c:f>'Sheet1'!$B$2</c:f>
              <c:numCache>
                <c:formatCode>General</c:formatCode>
                <c:ptCount val="1"/>
                <c:pt idx="0">
                  <c:v>1458.97</c:v>
                </c:pt>
              </c:numCache>
            </c:numRef>
          </c:val>
        </c:ser>
        <c:ser>
          <c:idx val="1"/>
          <c:order val="1"/>
          <c:tx>
            <c:strRef>
              <c:f>'Sheet1'!$C$1</c:f>
              <c:strCache>
                <c:ptCount val="1"/>
                <c:pt idx="0">
                  <c:v>2021年</c:v>
                </c:pt>
              </c:strCache>
            </c:strRef>
          </c:tx>
          <c:spPr>
            <a:solidFill>
              <a:srgbClr val="C0504D"/>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000000"/>
                    </a:solidFill>
                    <a:latin typeface="Times New Roman" panose="02020603050405020304"/>
                    <a:ea typeface="文泉驿正黑"/>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财政拨款收、支总计</c:v>
                </c:pt>
              </c:strCache>
            </c:strRef>
          </c:cat>
          <c:val>
            <c:numRef>
              <c:f>'Sheet1'!$C$2</c:f>
              <c:numCache>
                <c:formatCode>General</c:formatCode>
                <c:ptCount val="1"/>
                <c:pt idx="0">
                  <c:v>1297.57</c:v>
                </c:pt>
              </c:numCache>
            </c:numRef>
          </c:val>
        </c:ser>
        <c:dLbls>
          <c:showLegendKey val="0"/>
          <c:showVal val="0"/>
          <c:showCatName val="0"/>
          <c:showSerName val="0"/>
          <c:showPercent val="0"/>
          <c:showBubbleSize val="0"/>
        </c:dLbls>
        <c:gapWidth val="219"/>
        <c:overlap val="-27"/>
        <c:axId val="0"/>
        <c:axId val="1"/>
      </c:barChart>
      <c:catAx>
        <c:axId val="0"/>
        <c:scaling>
          <c:orientation val="minMax"/>
        </c:scaling>
        <c:delete val="0"/>
        <c:axPos val="b"/>
        <c:numFmt formatCode="General" sourceLinked="1"/>
        <c:majorTickMark val="none"/>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D9D9D9"/>
              </a:solidFill>
              <a:prstDash val="solid"/>
              <a:round/>
            </a:ln>
          </c:spPr>
        </c:majorGridlines>
        <c:numFmt formatCode="General" sourceLinked="1"/>
        <c:majorTickMark val="none"/>
        <c:minorTickMark val="none"/>
        <c:tickLblPos val="nextTo"/>
        <c:spPr>
          <a:ln w="9525" cap="flat" cmpd="sng">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crossAx val="0"/>
        <c:crosses val="autoZero"/>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legend>
    <c:plotVisOnly val="1"/>
    <c:dispBlanksAs val="gap"/>
    <c:showDLblsOverMax val="0"/>
    <c:extLst>
      <c:ext uri="{0b15fc19-7d7d-44ad-8c2d-2c3a37ce22c3}">
        <chartProps xmlns="https://web.wps.cn/et/2018/main" chartId="{02d3862a-2766-4a0a-a0d2-40fda03da32f}"/>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文泉驿正黑"/>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2020年</c:v>
                </c:pt>
              </c:strCache>
            </c:strRef>
          </c:tx>
          <c:spPr>
            <a:solidFill>
              <a:srgbClr val="4F81BD"/>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000000"/>
                    </a:solidFill>
                    <a:latin typeface="Times New Roman" panose="02020603050405020304"/>
                    <a:ea typeface="文泉驿正黑"/>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'Sheet1'!$B$2</c:f>
              <c:numCache>
                <c:formatCode>General</c:formatCode>
                <c:ptCount val="1"/>
                <c:pt idx="0">
                  <c:v>1458.97</c:v>
                </c:pt>
              </c:numCache>
            </c:numRef>
          </c:val>
        </c:ser>
        <c:ser>
          <c:idx val="1"/>
          <c:order val="1"/>
          <c:tx>
            <c:strRef>
              <c:f>'Sheet1'!$C$1</c:f>
              <c:strCache>
                <c:ptCount val="1"/>
                <c:pt idx="0">
                  <c:v>2021年</c:v>
                </c:pt>
              </c:strCache>
            </c:strRef>
          </c:tx>
          <c:spPr>
            <a:solidFill>
              <a:srgbClr val="C0504D"/>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000000"/>
                    </a:solidFill>
                    <a:latin typeface="Times New Roman" panose="02020603050405020304"/>
                    <a:ea typeface="文泉驿正黑"/>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'Sheet1'!$C$2</c:f>
              <c:numCache>
                <c:formatCode>General</c:formatCode>
                <c:ptCount val="1"/>
                <c:pt idx="0">
                  <c:v>1297.57</c:v>
                </c:pt>
              </c:numCache>
            </c:numRef>
          </c:val>
        </c:ser>
        <c:dLbls>
          <c:showLegendKey val="0"/>
          <c:showVal val="0"/>
          <c:showCatName val="0"/>
          <c:showSerName val="0"/>
          <c:showPercent val="0"/>
          <c:showBubbleSize val="0"/>
        </c:dLbls>
        <c:gapWidth val="219"/>
        <c:overlap val="-27"/>
        <c:axId val="0"/>
        <c:axId val="1"/>
      </c:barChart>
      <c:catAx>
        <c:axId val="0"/>
        <c:scaling>
          <c:orientation val="minMax"/>
        </c:scaling>
        <c:delete val="0"/>
        <c:axPos val="b"/>
        <c:numFmt formatCode="General" sourceLinked="1"/>
        <c:majorTickMark val="none"/>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D9D9D9"/>
              </a:solidFill>
              <a:prstDash val="solid"/>
              <a:round/>
            </a:ln>
          </c:spPr>
        </c:majorGridlines>
        <c:numFmt formatCode="General" sourceLinked="1"/>
        <c:majorTickMark val="none"/>
        <c:minorTickMark val="none"/>
        <c:tickLblPos val="nextTo"/>
        <c:spPr>
          <a:ln w="9525" cap="flat" cmpd="sng">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crossAx val="0"/>
        <c:crosses val="autoZero"/>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Lucida Sans"/>
            </a:defRPr>
          </a:pPr>
        </a:p>
      </c:txPr>
    </c:legend>
    <c:plotVisOnly val="1"/>
    <c:dispBlanksAs val="gap"/>
    <c:showDLblsOverMax val="0"/>
    <c:extLst>
      <c:ext uri="{0b15fc19-7d7d-44ad-8c2d-2c3a37ce22c3}">
        <chartProps xmlns="https://web.wps.cn/et/2018/main" chartId="{1b75282a-da14-4abb-af01-e7759615ebda}"/>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文泉驿正黑"/>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0792"/>
          <c:y val="0.115384616"/>
          <c:w val="0.51079136"/>
          <c:h val="0.7802198"/>
        </c:manualLayout>
      </c:layout>
      <c:pieChart>
        <c:varyColors val="1"/>
        <c:ser>
          <c:idx val="0"/>
          <c:order val="0"/>
          <c:tx>
            <c:strRef>
              <c:f>'Sheet1'!$A$2</c:f>
              <c:strCache>
                <c:ptCount val="1"/>
                <c:pt idx="0">
                  <c:v>东部</c:v>
                </c:pt>
              </c:strCache>
            </c:strRef>
          </c:tx>
          <c:spPr>
            <a:solidFill>
              <a:srgbClr val="4472C4"/>
            </a:solidFill>
          </c:spPr>
          <c:explosion val="0"/>
          <c:dPt>
            <c:idx val="0"/>
            <c:bubble3D val="0"/>
            <c:explosion val="0"/>
            <c:spPr>
              <a:solidFill>
                <a:srgbClr val="4F81BD"/>
              </a:solidFill>
              <a:ln>
                <a:noFill/>
              </a:ln>
            </c:spPr>
          </c:dPt>
          <c:dPt>
            <c:idx val="1"/>
            <c:bubble3D val="0"/>
            <c:spPr>
              <a:solidFill>
                <a:srgbClr val="C0504D"/>
              </a:solidFill>
              <a:ln>
                <a:noFill/>
              </a:ln>
            </c:spPr>
          </c:dPt>
          <c:dPt>
            <c:idx val="2"/>
            <c:bubble3D val="0"/>
            <c:spPr>
              <a:solidFill>
                <a:srgbClr val="9BBB59"/>
              </a:solidFill>
              <a:ln>
                <a:noFill/>
              </a:ln>
            </c:spPr>
          </c:dPt>
          <c:dPt>
            <c:idx val="3"/>
            <c:bubble3D val="0"/>
            <c:spPr>
              <a:solidFill>
                <a:srgbClr val="8064A2"/>
              </a:solidFill>
              <a:ln>
                <a:noFill/>
              </a:ln>
            </c:spPr>
          </c:dPt>
          <c:dLbls>
            <c:dLbl>
              <c:idx val="0"/>
              <c:delete val="1"/>
            </c:dLbl>
            <c:dLbl>
              <c:idx val="1"/>
              <c:delete val="1"/>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lgn="ctr">
                  <a:defRPr lang="zh-CN" sz="9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'Sheet1'!$B$1:$E$1</c:f>
              <c:strCache>
                <c:ptCount val="4"/>
                <c:pt idx="0">
                  <c:v>城乡社区支出</c:v>
                </c:pt>
                <c:pt idx="1">
                  <c:v>社会保障和就业支出</c:v>
                </c:pt>
                <c:pt idx="2">
                  <c:v>卫生健康支出</c:v>
                </c:pt>
                <c:pt idx="3">
                  <c:v>住房保障支出</c:v>
                </c:pt>
              </c:strCache>
            </c:strRef>
          </c:cat>
          <c:val>
            <c:numRef>
              <c:f>'Sheet1'!$B$2:$E$2</c:f>
              <c:numCache>
                <c:formatCode>General</c:formatCode>
                <c:ptCount val="4"/>
                <c:pt idx="0">
                  <c:v>86.45</c:v>
                </c:pt>
                <c:pt idx="1">
                  <c:v>6.24</c:v>
                </c:pt>
                <c:pt idx="2">
                  <c:v>3.11</c:v>
                </c:pt>
                <c:pt idx="3">
                  <c:v>4.2</c:v>
                </c:pt>
              </c:numCache>
            </c:numRef>
          </c:val>
        </c:ser>
        <c:dLbls>
          <c:showLegendKey val="0"/>
          <c:showVal val="0"/>
          <c:showCatName val="0"/>
          <c:showSerName val="0"/>
          <c:showPercent val="0"/>
          <c:showBubbleSize val="0"/>
          <c:showLeaderLines val="1"/>
        </c:dLbls>
        <c:firstSliceAng val="0"/>
      </c:pieChart>
      <c:spPr>
        <a:solidFill>
          <a:srgbClr val="C0C0C0"/>
        </a:solidFill>
        <a:ln w="12700">
          <a:solidFill>
            <a:srgbClr val="808080"/>
          </a:solidFill>
          <a:prstDash val="solid"/>
        </a:ln>
      </c:spPr>
    </c:plotArea>
    <c:legend>
      <c:legendPos val="r"/>
      <c:layout>
        <c:manualLayout>
          <c:xMode val="edge"/>
          <c:yMode val="edge"/>
          <c:x val="0.7410544"/>
          <c:y val="0.065681964"/>
          <c:w val="0.24454796"/>
          <c:h val="0.9239472"/>
        </c:manualLayout>
      </c:layout>
      <c:overlay val="0"/>
      <c:spPr>
        <a:noFill/>
        <a:ln w="3175">
          <a:solidFill>
            <a:srgbClr val="000000"/>
          </a:solidFill>
          <a:prstDash val="solid"/>
        </a:ln>
      </c:spPr>
      <c:txPr>
        <a:bodyPr rot="0" spcFirstLastPara="0" vertOverflow="ellipsis" vert="horz" wrap="square" anchor="ctr" anchorCtr="1"/>
        <a:lstStyle/>
        <a:p>
          <a:pPr>
            <a:defRPr lang="zh-CN" sz="8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18d30db5-7fee-407a-8486-07b84e77f454}"/>
      </c:ext>
    </c:extLst>
  </c:chart>
  <c:spPr>
    <a:noFill/>
    <a:ln w="9525" cap="flat" cmpd="sng">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0792"/>
          <c:y val="0.115384616"/>
          <c:w val="0.51079136"/>
          <c:h val="0.7802198"/>
        </c:manualLayout>
      </c:layout>
      <c:pieChart>
        <c:varyColors val="1"/>
        <c:ser>
          <c:idx val="0"/>
          <c:order val="0"/>
          <c:tx>
            <c:strRef>
              <c:f>'Sheet1'!$A$2</c:f>
              <c:strCache>
                <c:ptCount val="1"/>
                <c:pt idx="0">
                  <c:v>东部</c:v>
                </c:pt>
              </c:strCache>
            </c:strRef>
          </c:tx>
          <c:spPr>
            <a:solidFill>
              <a:srgbClr val="4472C4"/>
            </a:solidFill>
          </c:spPr>
          <c:explosion val="0"/>
          <c:dPt>
            <c:idx val="0"/>
            <c:bubble3D val="0"/>
            <c:explosion val="0"/>
            <c:spPr>
              <a:solidFill>
                <a:srgbClr val="4F81BD"/>
              </a:solidFill>
              <a:ln>
                <a:noFill/>
              </a:ln>
            </c:spPr>
          </c:dPt>
          <c:dPt>
            <c:idx val="1"/>
            <c:bubble3D val="0"/>
            <c:spPr>
              <a:solidFill>
                <a:srgbClr val="C0504D"/>
              </a:solidFill>
              <a:ln>
                <a:noFill/>
              </a:ln>
            </c:spPr>
          </c:dPt>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lgn="ctr">
                  <a:defRPr lang="zh-CN" sz="9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'Sheet1'!$B$1:$C$1</c:f>
              <c:strCache>
                <c:ptCount val="2"/>
                <c:pt idx="0">
                  <c:v>公务接待费</c:v>
                </c:pt>
                <c:pt idx="1">
                  <c:v>公务用车购置及公务用车运行维护费</c:v>
                </c:pt>
              </c:strCache>
            </c:strRef>
          </c:cat>
          <c:val>
            <c:numRef>
              <c:f>'Sheet1'!$B$2:$C$2</c:f>
              <c:numCache>
                <c:formatCode>General</c:formatCode>
                <c:ptCount val="2"/>
                <c:pt idx="0">
                  <c:v>1.09</c:v>
                </c:pt>
                <c:pt idx="1">
                  <c:v>98.91</c:v>
                </c:pt>
              </c:numCache>
            </c:numRef>
          </c:val>
        </c:ser>
        <c:dLbls>
          <c:showLegendKey val="0"/>
          <c:showVal val="0"/>
          <c:showCatName val="0"/>
          <c:showSerName val="0"/>
          <c:showPercent val="0"/>
          <c:showBubbleSize val="0"/>
          <c:showLeaderLines val="1"/>
        </c:dLbls>
        <c:firstSliceAng val="0"/>
      </c:pieChart>
      <c:spPr>
        <a:solidFill>
          <a:srgbClr val="C0C0C0"/>
        </a:solidFill>
        <a:ln w="12700">
          <a:solidFill>
            <a:srgbClr val="808080"/>
          </a:solidFill>
          <a:prstDash val="solid"/>
        </a:ln>
      </c:spPr>
    </c:plotArea>
    <c:legend>
      <c:legendPos val="r"/>
      <c:layout>
        <c:manualLayout>
          <c:xMode val="edge"/>
          <c:yMode val="edge"/>
          <c:x val="0.7410544"/>
          <c:y val="0.065681964"/>
          <c:w val="0.24454796"/>
          <c:h val="0.9239472"/>
        </c:manualLayout>
      </c:layout>
      <c:overlay val="0"/>
      <c:spPr>
        <a:noFill/>
        <a:ln w="3175">
          <a:solidFill>
            <a:srgbClr val="000000"/>
          </a:solidFill>
          <a:prstDash val="solid"/>
        </a:ln>
      </c:spPr>
      <c:txPr>
        <a:bodyPr rot="0" spcFirstLastPara="0" vertOverflow="ellipsis" vert="horz" wrap="square" anchor="ctr" anchorCtr="1"/>
        <a:lstStyle/>
        <a:p>
          <a:pPr>
            <a:defRPr lang="zh-CN" sz="8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09eb0b06-aefa-4399-8d90-0f339638388d}"/>
      </c:ext>
    </c:extLst>
  </c:chart>
  <c:spPr>
    <a:noFill/>
    <a:ln w="9525" cap="flat" cmpd="sng">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2D5584-05EE-4473-9A2D-7E667DDDC89D}">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41</Pages>
  <Words>15291</Words>
  <Characters>16600</Characters>
  <Lines>0</Lines>
  <Paragraphs>439</Paragraphs>
  <TotalTime>31</TotalTime>
  <ScaleCrop>false</ScaleCrop>
  <LinksUpToDate>false</LinksUpToDate>
  <CharactersWithSpaces>16778</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T.A.O</cp:lastModifiedBy>
  <cp:lastPrinted>2020-09-22T07:24:00Z</cp:lastPrinted>
  <dcterms:modified xsi:type="dcterms:W3CDTF">2026-04-17T02:58:13Z</dcterms:modified>
  <dc:title>四川省***</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BFEE7F463A4E40C1BD07450FA4C2AB48_13</vt:lpwstr>
  </property>
</Properties>
</file>