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8441"/>
      <w:bookmarkStart w:id="1" w:name="_Toc15396597"/>
      <w:bookmarkStart w:id="2" w:name="_Toc15396475"/>
      <w:bookmarkStart w:id="3" w:name="_Toc15377193"/>
      <w:bookmarkStart w:id="4" w:name="_Toc15377425"/>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2022年度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s="方正小标宋简体"/>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医疗保障局</w:t>
      </w:r>
      <w:r>
        <w:rPr>
          <w:rFonts w:hint="eastAsia" w:ascii="方正小标宋简体" w:eastAsia="方正小标宋简体" w:cs="方正小标宋简体"/>
          <w:sz w:val="72"/>
          <w:szCs w:val="72"/>
        </w:rPr>
        <w:t>部门</w:t>
      </w:r>
      <w:r>
        <w:rPr>
          <w:rFonts w:hint="eastAsia" w:ascii="方正小标宋简体" w:eastAsia="方正小标宋简体" w:cs="方正小标宋简体"/>
          <w:sz w:val="72"/>
          <w:szCs w:val="72"/>
          <w:lang w:val="en-US" w:eastAsia="zh-CN"/>
        </w:rPr>
        <w:t xml:space="preserve">  </w:t>
      </w:r>
      <w:r>
        <w:rPr>
          <w:rFonts w:hint="eastAsia" w:ascii="方正小标宋简体" w:eastAsia="方正小标宋简体" w:cs="方正小标宋简体"/>
          <w:sz w:val="72"/>
          <w:szCs w:val="72"/>
        </w:rPr>
        <w:t>决算</w:t>
      </w:r>
      <w:bookmarkEnd w:id="6"/>
      <w:bookmarkEnd w:id="7"/>
      <w:bookmarkEnd w:id="8"/>
      <w:bookmarkEnd w:id="9"/>
      <w:bookmarkEnd w:id="10"/>
      <w:bookmarkEnd w:id="11"/>
    </w:p>
    <w:p>
      <w:pPr>
        <w:widowControl/>
        <w:jc w:val="center"/>
        <w:rPr>
          <w:rFonts w:hint="eastAsia" w:ascii="黑体" w:eastAsia="黑体"/>
          <w:sz w:val="48"/>
          <w:szCs w:val="48"/>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公开时间：2023年</w:t>
      </w:r>
      <w:r>
        <w:rPr>
          <w:rFonts w:hint="eastAsia"/>
          <w:lang w:val="en-US" w:eastAsia="zh-CN"/>
        </w:rPr>
        <w:t>9</w:t>
      </w:r>
      <w:r>
        <w:rPr>
          <w:rFonts w:hint="eastAsia"/>
        </w:rPr>
        <w:t>月2</w:t>
      </w:r>
      <w:r>
        <w:rPr>
          <w:rFonts w:hint="eastAsia"/>
          <w:lang w:val="en-US" w:eastAsia="zh-CN"/>
        </w:rPr>
        <w:t>6</w:t>
      </w:r>
      <w:r>
        <w:rPr>
          <w:rFonts w:hint="eastAsia"/>
        </w:rPr>
        <w:t>日</w:t>
      </w:r>
    </w:p>
    <w:p/>
    <w:p>
      <w:pPr>
        <w:pStyle w:val="13"/>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p>
    <w:p>
      <w:pPr>
        <w:pStyle w:val="14"/>
        <w:adjustRightInd w:val="0"/>
        <w:snapToGrid w:val="0"/>
        <w:spacing w:line="440" w:lineRule="exact"/>
        <w:ind w:left="420"/>
        <w:jc w:val="left"/>
        <w:rPr>
          <w:rFonts w:ascii="仿宋" w:eastAsia="仿宋"/>
          <w:sz w:val="24"/>
        </w:rPr>
      </w:pPr>
      <w:r>
        <w:rPr>
          <w:rFonts w:hint="eastAsia"/>
          <w:sz w:val="24"/>
        </w:rPr>
        <w:t>一、部门职责</w:t>
      </w:r>
    </w:p>
    <w:p>
      <w:pPr>
        <w:pStyle w:val="14"/>
        <w:adjustRightInd w:val="0"/>
        <w:snapToGrid w:val="0"/>
        <w:spacing w:line="440" w:lineRule="exact"/>
        <w:ind w:left="420"/>
        <w:jc w:val="left"/>
        <w:rPr>
          <w:rFonts w:ascii="仿宋" w:eastAsia="仿宋" w:cs="Arial"/>
          <w:sz w:val="24"/>
        </w:rPr>
      </w:pPr>
      <w:r>
        <w:rPr>
          <w:rFonts w:hint="eastAsia"/>
          <w:sz w:val="24"/>
        </w:rPr>
        <w:t>二、机构设置</w:t>
      </w:r>
    </w:p>
    <w:p>
      <w:pPr>
        <w:pStyle w:val="13"/>
        <w:adjustRightInd w:val="0"/>
        <w:snapToGrid w:val="0"/>
        <w:spacing w:before="0" w:line="440" w:lineRule="exact"/>
        <w:jc w:val="left"/>
        <w:rPr>
          <w:sz w:val="24"/>
          <w:szCs w:val="24"/>
        </w:rPr>
      </w:pPr>
      <w:r>
        <w:rPr>
          <w:rFonts w:hint="eastAsia"/>
          <w:sz w:val="24"/>
        </w:rPr>
        <w:t>第二部分 2022年度部门决算情况说明</w:t>
      </w:r>
    </w:p>
    <w:p>
      <w:pPr>
        <w:pStyle w:val="14"/>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4"/>
        <w:adjustRightInd w:val="0"/>
        <w:snapToGrid w:val="0"/>
        <w:spacing w:line="440" w:lineRule="exact"/>
        <w:ind w:left="420"/>
        <w:jc w:val="left"/>
        <w:rPr>
          <w:rFonts w:ascii="仿宋" w:eastAsia="仿宋" w:cs="Arial"/>
          <w:sz w:val="24"/>
        </w:rPr>
      </w:pPr>
      <w:r>
        <w:rPr>
          <w:rFonts w:hint="eastAsia"/>
          <w:sz w:val="24"/>
        </w:rPr>
        <w:t>二、收入决算情况说明</w:t>
      </w:r>
    </w:p>
    <w:p>
      <w:pPr>
        <w:pStyle w:val="14"/>
        <w:adjustRightInd w:val="0"/>
        <w:snapToGrid w:val="0"/>
        <w:spacing w:line="440" w:lineRule="exact"/>
        <w:ind w:left="420"/>
        <w:jc w:val="left"/>
        <w:rPr>
          <w:rFonts w:ascii="仿宋" w:eastAsia="仿宋" w:cs="Arial"/>
          <w:sz w:val="24"/>
        </w:rPr>
      </w:pPr>
      <w:r>
        <w:rPr>
          <w:rFonts w:hint="eastAsia"/>
          <w:sz w:val="24"/>
        </w:rPr>
        <w:t>三、支出决算情况说明</w:t>
      </w:r>
    </w:p>
    <w:p>
      <w:pPr>
        <w:pStyle w:val="14"/>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4"/>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4"/>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4"/>
        <w:adjustRightInd w:val="0"/>
        <w:snapToGrid w:val="0"/>
        <w:spacing w:line="440" w:lineRule="exact"/>
        <w:ind w:left="420"/>
        <w:jc w:val="left"/>
        <w:rPr>
          <w:rFonts w:ascii="仿宋" w:eastAsia="仿宋" w:cs="Arial"/>
          <w:sz w:val="24"/>
        </w:rPr>
      </w:pPr>
      <w:r>
        <w:rPr>
          <w:rFonts w:hint="eastAsia"/>
          <w:sz w:val="24"/>
        </w:rPr>
        <w:t>七、财政拨款“三公”经费支出决算情况说明</w:t>
      </w:r>
    </w:p>
    <w:p>
      <w:pPr>
        <w:pStyle w:val="14"/>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4"/>
        <w:adjustRightInd w:val="0"/>
        <w:snapToGrid w:val="0"/>
        <w:spacing w:line="440" w:lineRule="exact"/>
        <w:ind w:left="0" w:leftChars="0"/>
        <w:jc w:val="left"/>
        <w:rPr>
          <w:rFonts w:ascii="宋体" w:cs="宋体"/>
          <w:sz w:val="24"/>
        </w:rPr>
      </w:pPr>
      <w:r>
        <w:rPr>
          <w:rFonts w:hint="eastAsia" w:ascii="宋体" w:cs="宋体"/>
          <w:sz w:val="24"/>
        </w:rPr>
        <w:t xml:space="preserve">    九、国有资本经营预算支出决算情况说明</w:t>
      </w:r>
    </w:p>
    <w:p>
      <w:pPr>
        <w:adjustRightInd w:val="0"/>
        <w:snapToGrid w:val="0"/>
        <w:spacing w:line="440" w:lineRule="exact"/>
        <w:ind w:firstLine="420" w:firstLineChars="175"/>
        <w:jc w:val="left"/>
        <w:rPr>
          <w:rFonts w:ascii="宋体" w:cs="宋体"/>
          <w:sz w:val="24"/>
        </w:rPr>
      </w:pPr>
      <w:r>
        <w:rPr>
          <w:rStyle w:val="19"/>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p>
    <w:p>
      <w:pPr>
        <w:pStyle w:val="13"/>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p>
    <w:p>
      <w:pPr>
        <w:pStyle w:val="13"/>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p>
    <w:p>
      <w:pPr>
        <w:pStyle w:val="14"/>
        <w:adjustRightInd w:val="0"/>
        <w:snapToGrid w:val="0"/>
        <w:spacing w:line="440" w:lineRule="exact"/>
        <w:ind w:left="420"/>
        <w:jc w:val="left"/>
        <w:rPr>
          <w:sz w:val="24"/>
        </w:rPr>
      </w:pPr>
      <w:r>
        <w:rPr>
          <w:rFonts w:hint="eastAsia"/>
          <w:sz w:val="24"/>
        </w:rPr>
        <w:t>一、收入支出决算总表</w:t>
      </w:r>
    </w:p>
    <w:p>
      <w:pPr>
        <w:pStyle w:val="14"/>
        <w:adjustRightInd w:val="0"/>
        <w:snapToGrid w:val="0"/>
        <w:spacing w:line="440" w:lineRule="exact"/>
        <w:ind w:left="420"/>
        <w:jc w:val="left"/>
        <w:rPr>
          <w:sz w:val="24"/>
        </w:rPr>
      </w:pPr>
      <w:r>
        <w:rPr>
          <w:rFonts w:hint="eastAsia"/>
          <w:sz w:val="24"/>
        </w:rPr>
        <w:t>二、收入决算表</w:t>
      </w:r>
    </w:p>
    <w:p>
      <w:pPr>
        <w:pStyle w:val="14"/>
        <w:adjustRightInd w:val="0"/>
        <w:snapToGrid w:val="0"/>
        <w:spacing w:line="440" w:lineRule="exact"/>
        <w:ind w:left="420"/>
        <w:jc w:val="left"/>
        <w:rPr>
          <w:sz w:val="24"/>
        </w:rPr>
      </w:pPr>
      <w:r>
        <w:rPr>
          <w:rFonts w:hint="eastAsia"/>
          <w:sz w:val="24"/>
        </w:rPr>
        <w:t>三、支出决算表</w:t>
      </w:r>
    </w:p>
    <w:p>
      <w:pPr>
        <w:pStyle w:val="14"/>
        <w:adjustRightInd w:val="0"/>
        <w:snapToGrid w:val="0"/>
        <w:spacing w:line="440" w:lineRule="exact"/>
        <w:ind w:left="420"/>
        <w:jc w:val="left"/>
        <w:rPr>
          <w:sz w:val="24"/>
        </w:rPr>
      </w:pPr>
      <w:r>
        <w:rPr>
          <w:rFonts w:hint="eastAsia"/>
          <w:sz w:val="24"/>
        </w:rPr>
        <w:t>四、财政拨款收入支出决算总表</w:t>
      </w:r>
    </w:p>
    <w:p>
      <w:pPr>
        <w:pStyle w:val="14"/>
        <w:adjustRightInd w:val="0"/>
        <w:snapToGrid w:val="0"/>
        <w:spacing w:line="440" w:lineRule="exact"/>
        <w:ind w:left="420"/>
        <w:jc w:val="left"/>
        <w:rPr>
          <w:sz w:val="24"/>
        </w:rPr>
      </w:pPr>
      <w:r>
        <w:rPr>
          <w:rFonts w:hint="eastAsia"/>
          <w:sz w:val="24"/>
        </w:rPr>
        <w:t>五、财政拨款支出决算明细表</w:t>
      </w:r>
    </w:p>
    <w:p>
      <w:pPr>
        <w:pStyle w:val="14"/>
        <w:adjustRightInd w:val="0"/>
        <w:snapToGrid w:val="0"/>
        <w:spacing w:line="440" w:lineRule="exact"/>
        <w:ind w:left="420"/>
        <w:jc w:val="left"/>
        <w:rPr>
          <w:sz w:val="24"/>
        </w:rPr>
      </w:pPr>
      <w:r>
        <w:rPr>
          <w:rFonts w:hint="eastAsia"/>
          <w:sz w:val="24"/>
        </w:rPr>
        <w:t>六、一般公共预算财政拨款支出决算表</w:t>
      </w:r>
    </w:p>
    <w:p>
      <w:pPr>
        <w:pStyle w:val="14"/>
        <w:adjustRightInd w:val="0"/>
        <w:snapToGrid w:val="0"/>
        <w:spacing w:line="440" w:lineRule="exact"/>
        <w:ind w:left="420"/>
        <w:jc w:val="left"/>
        <w:rPr>
          <w:sz w:val="24"/>
        </w:rPr>
      </w:pPr>
      <w:r>
        <w:rPr>
          <w:rFonts w:hint="eastAsia"/>
          <w:sz w:val="24"/>
        </w:rPr>
        <w:t>七、一般公共预算财政拨款支出决算明细表</w:t>
      </w:r>
    </w:p>
    <w:p>
      <w:pPr>
        <w:pStyle w:val="14"/>
        <w:adjustRightInd w:val="0"/>
        <w:snapToGrid w:val="0"/>
        <w:spacing w:line="440" w:lineRule="exact"/>
        <w:ind w:left="420"/>
        <w:jc w:val="left"/>
        <w:rPr>
          <w:sz w:val="24"/>
        </w:rPr>
      </w:pPr>
      <w:r>
        <w:rPr>
          <w:rFonts w:hint="eastAsia"/>
          <w:sz w:val="24"/>
        </w:rPr>
        <w:t>八、一般公共预算财政拨款基本支出决算明细表</w:t>
      </w:r>
    </w:p>
    <w:p>
      <w:pPr>
        <w:pStyle w:val="14"/>
        <w:adjustRightInd w:val="0"/>
        <w:snapToGrid w:val="0"/>
        <w:spacing w:line="440" w:lineRule="exact"/>
        <w:ind w:left="420"/>
        <w:jc w:val="left"/>
        <w:rPr>
          <w:sz w:val="24"/>
        </w:rPr>
      </w:pPr>
      <w:r>
        <w:rPr>
          <w:rFonts w:hint="eastAsia"/>
          <w:sz w:val="24"/>
        </w:rPr>
        <w:t>九、一般公共预算财政拨款项目支出决算表</w:t>
      </w:r>
    </w:p>
    <w:p>
      <w:pPr>
        <w:pStyle w:val="14"/>
        <w:adjustRightInd w:val="0"/>
        <w:snapToGrid w:val="0"/>
        <w:spacing w:line="440" w:lineRule="exact"/>
        <w:ind w:left="420"/>
        <w:jc w:val="left"/>
        <w:rPr>
          <w:sz w:val="24"/>
        </w:rPr>
      </w:pPr>
      <w:r>
        <w:rPr>
          <w:rFonts w:hint="eastAsia"/>
          <w:sz w:val="24"/>
        </w:rPr>
        <w:t>十、政府性基金预算财政拨款收入支出决算表</w:t>
      </w:r>
    </w:p>
    <w:p>
      <w:pPr>
        <w:pStyle w:val="14"/>
        <w:adjustRightInd w:val="0"/>
        <w:snapToGrid w:val="0"/>
        <w:spacing w:line="440" w:lineRule="exact"/>
        <w:ind w:left="420"/>
        <w:jc w:val="left"/>
        <w:rPr>
          <w:sz w:val="24"/>
        </w:rPr>
      </w:pPr>
      <w:r>
        <w:rPr>
          <w:rFonts w:hint="eastAsia"/>
          <w:sz w:val="24"/>
        </w:rPr>
        <w:t>十一、国有资本经营预算财政拨款收入支出决算表</w:t>
      </w:r>
    </w:p>
    <w:p>
      <w:pPr>
        <w:pStyle w:val="14"/>
        <w:adjustRightInd w:val="0"/>
        <w:snapToGrid w:val="0"/>
        <w:spacing w:line="440" w:lineRule="exact"/>
        <w:ind w:left="420"/>
        <w:jc w:val="left"/>
        <w:rPr>
          <w:sz w:val="24"/>
        </w:rPr>
      </w:pPr>
      <w:r>
        <w:rPr>
          <w:rFonts w:hint="eastAsia"/>
          <w:sz w:val="24"/>
        </w:rPr>
        <w:t>十二、国有资本经营预算财政拨款支出决算表</w:t>
      </w:r>
    </w:p>
    <w:p>
      <w:pPr>
        <w:pStyle w:val="14"/>
        <w:adjustRightInd w:val="0"/>
        <w:snapToGrid w:val="0"/>
        <w:spacing w:line="440" w:lineRule="exact"/>
        <w:ind w:left="420"/>
        <w:jc w:val="left"/>
        <w:rPr>
          <w:rFonts w:ascii="宋体" w:cs="宋体"/>
          <w:sz w:val="24"/>
        </w:rPr>
      </w:pPr>
      <w:r>
        <w:rPr>
          <w:rFonts w:hint="eastAsia"/>
          <w:sz w:val="24"/>
        </w:rPr>
        <w:t>十三、财政拨款“三公”经费支出决算表</w:t>
      </w:r>
    </w:p>
    <w:p>
      <w:pPr>
        <w:widowControl/>
        <w:adjustRightInd w:val="0"/>
        <w:snapToGrid w:val="0"/>
        <w:spacing w:line="440" w:lineRule="exact"/>
        <w:ind w:firstLine="1320" w:firstLineChars="550"/>
        <w:jc w:val="left"/>
        <w:rPr>
          <w:rFonts w:ascii="仿宋" w:eastAsia="仿宋"/>
          <w:sz w:val="24"/>
        </w:rPr>
      </w:pPr>
      <w:r>
        <w:rPr>
          <w:rFonts w:hint="eastAsia" w:ascii="仿宋" w:eastAsia="仿宋"/>
          <w:sz w:val="24"/>
          <w:lang w:eastAsia="zh-CN"/>
        </w:rPr>
        <w:t>（</w:t>
      </w:r>
      <w:r>
        <w:rPr>
          <w:rFonts w:ascii="仿宋" w:eastAsia="仿宋"/>
          <w:sz w:val="24"/>
        </w:rPr>
        <w:t>注：</w:t>
      </w:r>
      <w:r>
        <w:rPr>
          <w:rFonts w:hint="eastAsia" w:ascii="仿宋" w:eastAsia="仿宋"/>
          <w:sz w:val="24"/>
        </w:rPr>
        <w:t>请部门根据实际注明页码</w:t>
      </w:r>
      <w:r>
        <w:rPr>
          <w:rFonts w:hint="eastAsia" w:ascii="仿宋" w:eastAsia="仿宋"/>
          <w:sz w:val="24"/>
          <w:lang w:eastAsia="zh-CN"/>
        </w:rPr>
        <w:t>）</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7"/>
        <w:jc w:val="center"/>
        <w:rPr>
          <w:rStyle w:val="20"/>
          <w:rFonts w:ascii="黑体" w:eastAsia="黑体"/>
          <w:b/>
          <w:bCs w:val="0"/>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widowControl/>
        <w:jc w:val="left"/>
        <w:rPr>
          <w:rFonts w:ascii="黑体" w:eastAsia="黑体"/>
          <w:sz w:val="32"/>
          <w:szCs w:val="32"/>
        </w:rPr>
      </w:pPr>
    </w:p>
    <w:p>
      <w:pPr>
        <w:pStyle w:val="8"/>
        <w:numPr>
          <w:ilvl w:val="0"/>
          <w:numId w:val="1"/>
        </w:numPr>
        <w:rPr>
          <w:rFonts w:hint="eastAsia" w:ascii="黑体" w:eastAsia="黑体"/>
          <w:b w:val="0"/>
        </w:rPr>
      </w:pPr>
      <w:r>
        <w:rPr>
          <w:rFonts w:hint="eastAsia" w:ascii="黑体" w:eastAsia="黑体"/>
          <w:b w:val="0"/>
        </w:rPr>
        <w:t>部门职责</w:t>
      </w:r>
    </w:p>
    <w:p>
      <w:pPr>
        <w:pStyle w:val="6"/>
        <w:keepNext w:val="0"/>
        <w:keepLines w:val="0"/>
        <w:pageBreakBefore w:val="0"/>
        <w:widowControl/>
        <w:shd w:val="clear" w:fill="FFFFFF"/>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（一）基本情况。</w:t>
      </w:r>
    </w:p>
    <w:p>
      <w:pPr>
        <w:pStyle w:val="6"/>
        <w:keepNext w:val="0"/>
        <w:keepLines w:val="0"/>
        <w:pageBreakBefore w:val="0"/>
        <w:widowControl/>
        <w:shd w:val="clear"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1.主要职能。</w:t>
      </w:r>
    </w:p>
    <w:p>
      <w:pPr>
        <w:pStyle w:val="6"/>
        <w:keepNext w:val="0"/>
        <w:keepLines w:val="0"/>
        <w:pageBreakBefore w:val="0"/>
        <w:widowControl/>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kern w:val="0"/>
          <w:sz w:val="32"/>
          <w:szCs w:val="32"/>
          <w:lang w:val="en-US" w:eastAsia="zh-CN" w:bidi="ar"/>
        </w:rPr>
        <w:t>州医保局贯彻落实党中央关于医疗保障工作的方针政策和省委、州委的决策部署，在履行职责过程中坚持和加强党对医疗保障工作的集中统一领导，主要职责是：</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组织拟定并</w:t>
      </w:r>
      <w:r>
        <w:rPr>
          <w:rFonts w:hint="eastAsia" w:ascii="仿宋_GB2312" w:hAnsi="仿宋_GB2312" w:eastAsia="仿宋_GB2312" w:cs="仿宋_GB2312"/>
          <w:sz w:val="32"/>
          <w:szCs w:val="32"/>
          <w:lang w:val="en-US" w:eastAsia="zh-CN"/>
        </w:rPr>
        <w:t>实施医疗保障基金监督管理制度，建立健全医疗保障基金安全防控机制，监督强化全州医疗保障基金运行管理。</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组织拟订医疗保障筹资和待遇政策，完善动态调整和区域调剂平衡机制，统筹城乡医疗保障待遇标准，建立健全与筹资水平相适应的待遇调</w:t>
      </w:r>
      <w:r>
        <w:rPr>
          <w:rFonts w:hint="eastAsia" w:ascii="仿宋_GB2312" w:hAnsi="仿宋_GB2312" w:eastAsia="仿宋_GB2312" w:cs="仿宋_GB2312"/>
          <w:sz w:val="32"/>
          <w:szCs w:val="32"/>
          <w:lang w:eastAsia="zh-CN"/>
        </w:rPr>
        <w:t>整机制。组织实施长期护理保险制度改革。</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sz w:val="32"/>
          <w:szCs w:val="32"/>
          <w:lang w:eastAsia="zh-CN"/>
        </w:rPr>
        <w:t>五是</w:t>
      </w:r>
      <w:r>
        <w:rPr>
          <w:rFonts w:hint="eastAsia" w:ascii="仿宋_GB2312" w:hAnsi="仿宋_GB2312" w:eastAsia="仿宋_GB2312" w:cs="仿宋_GB2312"/>
          <w:sz w:val="32"/>
          <w:szCs w:val="32"/>
          <w:lang w:eastAsia="zh-CN"/>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sz w:val="32"/>
          <w:szCs w:val="32"/>
          <w:lang w:eastAsia="zh-CN"/>
        </w:rPr>
        <w:t>六是</w:t>
      </w:r>
      <w:r>
        <w:rPr>
          <w:rFonts w:hint="eastAsia" w:ascii="仿宋_GB2312" w:hAnsi="仿宋_GB2312" w:eastAsia="仿宋_GB2312" w:cs="仿宋_GB2312"/>
          <w:sz w:val="32"/>
          <w:szCs w:val="32"/>
          <w:lang w:eastAsia="zh-CN"/>
        </w:rPr>
        <w:t>贯彻落实药品、医用耗材的招标采购政策并监督实施。</w:t>
      </w:r>
      <w:r>
        <w:rPr>
          <w:rFonts w:hint="eastAsia" w:ascii="仿宋_GB2312" w:hAnsi="仿宋_GB2312" w:eastAsia="仿宋_GB2312" w:cs="仿宋_GB2312"/>
          <w:b/>
          <w:bCs/>
          <w:sz w:val="32"/>
          <w:szCs w:val="32"/>
          <w:lang w:eastAsia="zh-CN"/>
        </w:rPr>
        <w:t>七是</w:t>
      </w:r>
      <w:r>
        <w:rPr>
          <w:rFonts w:hint="eastAsia" w:ascii="仿宋_GB2312" w:hAnsi="仿宋_GB2312" w:eastAsia="仿宋_GB2312" w:cs="仿宋_GB2312"/>
          <w:sz w:val="32"/>
          <w:szCs w:val="32"/>
          <w:lang w:eastAsia="zh-CN"/>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sz w:val="32"/>
          <w:szCs w:val="32"/>
          <w:lang w:eastAsia="zh-CN"/>
        </w:rPr>
        <w:t>八是</w:t>
      </w:r>
      <w:r>
        <w:rPr>
          <w:rFonts w:hint="eastAsia" w:ascii="仿宋_GB2312" w:hAnsi="仿宋_GB2312" w:eastAsia="仿宋_GB2312" w:cs="仿宋_GB2312"/>
          <w:sz w:val="32"/>
          <w:szCs w:val="32"/>
          <w:lang w:eastAsia="zh-CN"/>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sz w:val="32"/>
          <w:szCs w:val="32"/>
          <w:lang w:eastAsia="zh-CN"/>
        </w:rPr>
        <w:t>九是</w:t>
      </w:r>
      <w:r>
        <w:rPr>
          <w:rFonts w:hint="eastAsia" w:ascii="仿宋_GB2312" w:hAnsi="仿宋_GB2312" w:eastAsia="仿宋_GB2312" w:cs="仿宋_GB2312"/>
          <w:sz w:val="32"/>
          <w:szCs w:val="32"/>
          <w:lang w:eastAsia="zh-CN"/>
        </w:rPr>
        <w:t>负责规划实施全州医疗保障信息化建设。组织开展医疗保障大数据管理和应用。</w:t>
      </w:r>
      <w:r>
        <w:rPr>
          <w:rFonts w:hint="eastAsia" w:ascii="仿宋_GB2312" w:hAnsi="仿宋_GB2312" w:eastAsia="仿宋_GB2312" w:cs="仿宋_GB2312"/>
          <w:b/>
          <w:bCs/>
          <w:sz w:val="32"/>
          <w:szCs w:val="32"/>
          <w:lang w:eastAsia="zh-CN"/>
        </w:rPr>
        <w:t>十是</w:t>
      </w:r>
      <w:r>
        <w:rPr>
          <w:rFonts w:hint="eastAsia" w:ascii="仿宋_GB2312" w:hAnsi="仿宋_GB2312" w:eastAsia="仿宋_GB2312" w:cs="仿宋_GB2312"/>
          <w:sz w:val="32"/>
          <w:szCs w:val="32"/>
          <w:lang w:eastAsia="zh-CN"/>
        </w:rPr>
        <w:t>负责职责范围内的安全生产和职业健康、生态环境保护、公共机构节能减排、审批服务便民化等工作。</w:t>
      </w:r>
      <w:r>
        <w:rPr>
          <w:rFonts w:hint="eastAsia" w:ascii="仿宋_GB2312" w:hAnsi="仿宋_GB2312" w:eastAsia="仿宋_GB2312" w:cs="仿宋_GB2312"/>
          <w:b/>
          <w:bCs/>
          <w:sz w:val="32"/>
          <w:szCs w:val="32"/>
          <w:lang w:eastAsia="zh-CN"/>
        </w:rPr>
        <w:t>十一是</w:t>
      </w:r>
      <w:r>
        <w:rPr>
          <w:rFonts w:hint="eastAsia" w:ascii="仿宋_GB2312" w:hAnsi="仿宋_GB2312" w:eastAsia="仿宋_GB2312" w:cs="仿宋_GB2312"/>
          <w:sz w:val="32"/>
          <w:szCs w:val="32"/>
          <w:lang w:eastAsia="zh-CN"/>
        </w:rPr>
        <w:t>完成州委、州政府交办的其他任务。</w:t>
      </w:r>
      <w:r>
        <w:rPr>
          <w:rFonts w:hint="eastAsia" w:ascii="仿宋_GB2312" w:hAnsi="仿宋_GB2312" w:eastAsia="仿宋_GB2312" w:cs="仿宋_GB2312"/>
          <w:b/>
          <w:bCs/>
          <w:sz w:val="32"/>
          <w:szCs w:val="32"/>
          <w:lang w:eastAsia="zh-CN"/>
        </w:rPr>
        <w:t>十二是</w:t>
      </w:r>
      <w:r>
        <w:rPr>
          <w:rFonts w:hint="eastAsia" w:ascii="仿宋_GB2312" w:hAnsi="仿宋_GB2312" w:eastAsia="仿宋_GB2312" w:cs="仿宋_GB2312"/>
          <w:sz w:val="32"/>
          <w:szCs w:val="32"/>
          <w:lang w:eastAsia="zh-CN"/>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sz w:val="32"/>
          <w:szCs w:val="32"/>
          <w:lang w:eastAsia="zh-CN"/>
        </w:rPr>
        <w:t>十三是</w:t>
      </w:r>
      <w:r>
        <w:rPr>
          <w:rFonts w:hint="eastAsia" w:ascii="仿宋_GB2312" w:hAnsi="仿宋_GB2312" w:eastAsia="仿宋_GB2312" w:cs="仿宋_GB2312"/>
          <w:sz w:val="32"/>
          <w:szCs w:val="32"/>
          <w:lang w:eastAsia="zh-CN"/>
        </w:rPr>
        <w:t>与州卫生健康委员会的有关职责分工。两部门在医疗、医保、医药等方面加强制度、政策衔接，建立沟通协商机制，协同推进改革，提高医疗资源使用效率和医疗保障水平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本单位本年度纳入本套决算编制范围的独立编制机构数共</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个，比上年增加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本单位本年度年末实有人数为</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lang w:eastAsia="zh-CN"/>
        </w:rPr>
        <w:t>人，比上年增加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人；年末实有离退休人数为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人，比上年增加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lang w:val="en-US" w:eastAsia="zh-CN"/>
        </w:rPr>
        <w:t>变动情况原因为：本年10月新增退休人员1人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年末其他人数为36人，比上年增加2人，变动情况原因为：本年编外运行2人。</w:t>
      </w:r>
    </w:p>
    <w:p>
      <w:pPr>
        <w:pStyle w:val="6"/>
        <w:keepNext w:val="0"/>
        <w:keepLines w:val="0"/>
        <w:pageBreakBefore w:val="0"/>
        <w:shd w:val="clear" w:fill="FFFFFF"/>
        <w:kinsoku/>
        <w:wordWrap/>
        <w:overflowPunct/>
        <w:topLinePunct w:val="0"/>
        <w:autoSpaceDE/>
        <w:autoSpaceDN/>
        <w:bidi w:val="0"/>
        <w:spacing w:beforeAutospacing="0" w:afterAutospacing="0" w:line="560" w:lineRule="exact"/>
        <w:ind w:firstLine="643" w:firstLineChars="200"/>
        <w:jc w:val="both"/>
        <w:textAlignment w:val="auto"/>
        <w:rPr>
          <w:rFonts w:hint="eastAsia" w:ascii="楷体_GB2312" w:hAnsi="楷体_GB2312" w:eastAsia="楷体_GB2312" w:cs="楷体_GB2312"/>
          <w:sz w:val="32"/>
          <w:szCs w:val="32"/>
        </w:rPr>
      </w:pPr>
      <w:r>
        <w:rPr>
          <w:rStyle w:val="18"/>
          <w:rFonts w:hint="eastAsia" w:ascii="楷体_GB2312" w:hAnsi="楷体_GB2312" w:eastAsia="楷体_GB2312" w:cs="楷体_GB2312"/>
          <w:sz w:val="32"/>
          <w:szCs w:val="32"/>
          <w:shd w:val="clear" w:fill="FFFFFF"/>
          <w:lang w:eastAsia="zh-CN"/>
        </w:rPr>
        <w:t>（二）当年取得的主要事业成效。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sz w:val="32"/>
          <w:szCs w:val="32"/>
          <w:lang w:val="en-US" w:eastAsia="zh-CN"/>
        </w:rPr>
        <w:t>1.完善公平适度的待遇保障机制。</w:t>
      </w:r>
      <w:r>
        <w:rPr>
          <w:rFonts w:hint="eastAsia" w:ascii="仿宋_GB2312" w:hAnsi="仿宋_GB2312" w:eastAsia="仿宋_GB2312" w:cs="仿宋_GB2312"/>
          <w:strike w:val="0"/>
          <w:dstrike w:val="0"/>
          <w:color w:val="auto"/>
          <w:sz w:val="32"/>
          <w:szCs w:val="32"/>
        </w:rPr>
        <w:t>严格落实国家医疗保障待遇清单制度，</w:t>
      </w:r>
      <w:r>
        <w:rPr>
          <w:rFonts w:hint="eastAsia" w:ascii="仿宋_GB2312" w:hAnsi="仿宋_GB2312" w:eastAsia="仿宋_GB2312" w:cs="仿宋_GB2312"/>
          <w:strike w:val="0"/>
          <w:dstrike w:val="0"/>
          <w:color w:val="auto"/>
          <w:sz w:val="32"/>
          <w:szCs w:val="32"/>
          <w:lang w:val="en-US" w:eastAsia="zh-CN"/>
        </w:rPr>
        <w:t>有序推进</w:t>
      </w:r>
      <w:r>
        <w:rPr>
          <w:rFonts w:hint="eastAsia" w:ascii="仿宋_GB2312" w:hAnsi="仿宋_GB2312" w:eastAsia="仿宋_GB2312" w:cs="仿宋_GB2312"/>
          <w:strike w:val="0"/>
          <w:dstrike w:val="0"/>
          <w:color w:val="auto"/>
          <w:sz w:val="32"/>
          <w:szCs w:val="32"/>
        </w:rPr>
        <w:t>清单外政策清理，</w:t>
      </w:r>
      <w:r>
        <w:rPr>
          <w:rFonts w:hint="eastAsia" w:ascii="仿宋_GB2312" w:hAnsi="仿宋_GB2312" w:eastAsia="仿宋_GB2312" w:cs="仿宋_GB2312"/>
          <w:strike w:val="0"/>
          <w:dstrike w:val="0"/>
          <w:color w:val="auto"/>
          <w:sz w:val="32"/>
          <w:szCs w:val="32"/>
          <w:lang w:val="en-US" w:eastAsia="zh-CN"/>
        </w:rPr>
        <w:t>有效</w:t>
      </w:r>
      <w:r>
        <w:rPr>
          <w:rFonts w:hint="eastAsia" w:ascii="仿宋_GB2312" w:hAnsi="仿宋_GB2312" w:eastAsia="仿宋_GB2312" w:cs="仿宋_GB2312"/>
          <w:strike w:val="0"/>
          <w:dstrike w:val="0"/>
          <w:color w:val="auto"/>
          <w:sz w:val="32"/>
          <w:szCs w:val="32"/>
        </w:rPr>
        <w:t>实现制度框架基本统一。</w:t>
      </w:r>
      <w:r>
        <w:rPr>
          <w:rFonts w:hint="eastAsia" w:ascii="仿宋_GB2312" w:hAnsi="仿宋_GB2312" w:eastAsia="仿宋_GB2312" w:cs="仿宋_GB2312"/>
          <w:strike w:val="0"/>
          <w:dstrike w:val="0"/>
          <w:color w:val="auto"/>
          <w:sz w:val="32"/>
          <w:szCs w:val="32"/>
          <w:lang w:val="en-US" w:eastAsia="zh-CN"/>
        </w:rPr>
        <w:t>优化</w:t>
      </w:r>
      <w:r>
        <w:rPr>
          <w:rFonts w:hint="eastAsia" w:ascii="仿宋_GB2312" w:hAnsi="仿宋_GB2312" w:eastAsia="仿宋_GB2312" w:cs="仿宋_GB2312"/>
          <w:b w:val="0"/>
          <w:bCs w:val="0"/>
          <w:color w:val="auto"/>
          <w:sz w:val="32"/>
          <w:szCs w:val="32"/>
          <w:lang w:val="en-US" w:eastAsia="zh-CN"/>
        </w:rPr>
        <w:t>完善职工、城乡居民基本医疗保险政策，</w:t>
      </w:r>
      <w:r>
        <w:rPr>
          <w:rFonts w:hint="eastAsia" w:ascii="仿宋_GB2312" w:hAnsi="仿宋_GB2312" w:eastAsia="仿宋_GB2312" w:cs="仿宋_GB2312"/>
          <w:color w:val="auto"/>
          <w:sz w:val="32"/>
          <w:szCs w:val="32"/>
          <w:lang w:val="en-US" w:eastAsia="zh-CN"/>
        </w:rPr>
        <w:t>落实缴费档次“两档合一”，同步提升待遇保障水平，稳步提高住院医疗待遇，优化完善门特保障范围。健全我州职工门诊保障机制，在全省率先出台</w:t>
      </w:r>
      <w:r>
        <w:rPr>
          <w:rFonts w:hint="eastAsia" w:ascii="仿宋_GB2312" w:hAnsi="微软雅黑" w:eastAsia="仿宋_GB2312" w:cs="仿宋_GB2312"/>
          <w:b w:val="0"/>
          <w:bCs w:val="0"/>
          <w:i w:val="0"/>
          <w:iCs w:val="0"/>
          <w:caps w:val="0"/>
          <w:color w:val="auto"/>
          <w:spacing w:val="0"/>
          <w:kern w:val="0"/>
          <w:sz w:val="32"/>
          <w:szCs w:val="32"/>
          <w:shd w:val="clear" w:color="auto" w:fill="FFFFFF"/>
          <w:lang w:val="en-US" w:eastAsia="zh-CN" w:bidi="ar"/>
        </w:rPr>
        <w:t>《职工基本医疗保险门诊共济保障机制实施细则》，</w:t>
      </w:r>
      <w:r>
        <w:rPr>
          <w:rFonts w:hint="eastAsia" w:ascii="仿宋_GB2312" w:hAnsi="仿宋_GB2312" w:eastAsia="仿宋_GB2312" w:cs="仿宋_GB2312"/>
          <w:color w:val="auto"/>
          <w:sz w:val="32"/>
          <w:szCs w:val="32"/>
        </w:rPr>
        <w:t>确保</w:t>
      </w:r>
      <w:r>
        <w:rPr>
          <w:rFonts w:hint="eastAsia" w:ascii="仿宋_GB2312" w:hAnsi="仿宋_GB2312" w:eastAsia="仿宋_GB2312" w:cs="仿宋_GB2312"/>
          <w:color w:val="auto"/>
          <w:sz w:val="32"/>
          <w:szCs w:val="32"/>
          <w:lang w:val="en-US" w:eastAsia="zh-CN"/>
        </w:rPr>
        <w:t>改革任务如期落地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高效完成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医疗救助</w:t>
      </w:r>
      <w:r>
        <w:rPr>
          <w:rFonts w:hint="eastAsia"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rPr>
        <w:t>级统筹</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w:t>
      </w:r>
      <w:r>
        <w:rPr>
          <w:rFonts w:hint="eastAsia" w:ascii="仿宋_GB2312" w:hAnsi="仿宋_GB2312" w:eastAsia="仿宋_GB2312" w:cs="仿宋_GB2312"/>
          <w:color w:val="auto"/>
          <w:sz w:val="32"/>
          <w:szCs w:val="32"/>
          <w:lang w:val="en-US" w:eastAsia="zh-CN"/>
        </w:rPr>
        <w:t>试点任务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印发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阿坝州</w:t>
      </w:r>
      <w:r>
        <w:rPr>
          <w:rFonts w:hint="eastAsia" w:ascii="仿宋_GB2312" w:hAnsi="仿宋_GB2312" w:eastAsia="仿宋_GB2312" w:cs="仿宋_GB2312"/>
          <w:color w:val="auto"/>
          <w:sz w:val="32"/>
          <w:szCs w:val="32"/>
        </w:rPr>
        <w:t>健全重特大疾病医疗保险和救助制度的实施意见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制</w:t>
      </w:r>
      <w:r>
        <w:rPr>
          <w:rFonts w:hint="eastAsia" w:ascii="仿宋_GB2312" w:hAnsi="仿宋_GB2312" w:eastAsia="仿宋_GB2312" w:cs="仿宋_GB2312"/>
          <w:b w:val="0"/>
          <w:bCs w:val="0"/>
          <w:color w:val="auto"/>
          <w:sz w:val="32"/>
          <w:szCs w:val="32"/>
          <w:lang w:val="en-US" w:eastAsia="zh-CN"/>
        </w:rPr>
        <w:t>定</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《阿坝州城乡医疗救助基金州级统筹管理办法》，弹好“政策统一+基金统筹 ”协作曲，</w:t>
      </w:r>
      <w:r>
        <w:rPr>
          <w:rFonts w:hint="eastAsia" w:ascii="仿宋_GB2312" w:hAnsi="仿宋_GB2312" w:eastAsia="仿宋_GB2312" w:cs="仿宋_GB2312"/>
          <w:b w:val="0"/>
          <w:bCs w:val="0"/>
          <w:color w:val="auto"/>
          <w:sz w:val="32"/>
          <w:szCs w:val="32"/>
          <w:lang w:val="en-US" w:eastAsia="zh-CN"/>
        </w:rPr>
        <w:t>我州困难群众获得医疗救助14335人，25901人次，累计</w:t>
      </w:r>
      <w:r>
        <w:rPr>
          <w:rFonts w:hint="default" w:ascii="Times New Roman" w:hAnsi="Times New Roman" w:eastAsia="仿宋_GB2312" w:cs="Times New Roman"/>
          <w:b w:val="0"/>
          <w:bCs w:val="0"/>
          <w:color w:val="auto"/>
          <w:kern w:val="21"/>
          <w:sz w:val="32"/>
          <w:szCs w:val="32"/>
        </w:rPr>
        <w:t>减轻医疗费用负担</w:t>
      </w:r>
      <w:r>
        <w:rPr>
          <w:rFonts w:hint="eastAsia" w:ascii="仿宋_GB2312" w:hAnsi="仿宋_GB2312" w:eastAsia="仿宋_GB2312" w:cs="仿宋_GB2312"/>
          <w:b w:val="0"/>
          <w:bCs w:val="0"/>
          <w:color w:val="auto"/>
          <w:sz w:val="32"/>
          <w:szCs w:val="32"/>
          <w:lang w:val="en-US" w:eastAsia="zh-CN"/>
        </w:rPr>
        <w:t>3185.82万元。有力有效推动大病保险顺利招标，特殊人员起付线降低50%，报销比例提高5％，最大限度发挥大病保险“补充保障”作用。截至三季度，</w:t>
      </w:r>
      <w:r>
        <w:rPr>
          <w:rFonts w:hint="eastAsia" w:ascii="仿宋_GB2312" w:hAnsi="仿宋_GB2312" w:eastAsia="仿宋_GB2312" w:cs="仿宋_GB2312"/>
          <w:b w:val="0"/>
          <w:bCs w:val="0"/>
          <w:color w:val="auto"/>
          <w:sz w:val="32"/>
          <w:szCs w:val="32"/>
          <w:lang w:eastAsia="zh-CN"/>
        </w:rPr>
        <w:t>全州大病保险报销</w:t>
      </w:r>
      <w:r>
        <w:rPr>
          <w:rFonts w:hint="eastAsia" w:ascii="仿宋_GB2312" w:hAnsi="仿宋_GB2312" w:eastAsia="仿宋_GB2312" w:cs="仿宋_GB2312"/>
          <w:b w:val="0"/>
          <w:bCs w:val="0"/>
          <w:color w:val="auto"/>
          <w:sz w:val="32"/>
          <w:szCs w:val="32"/>
          <w:lang w:val="en-US" w:eastAsia="zh-CN"/>
        </w:rPr>
        <w:t>5496人，8670人次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累计为大病医疗费用负担患者减负4211.23</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color w:val="auto"/>
          <w:sz w:val="32"/>
          <w:szCs w:val="32"/>
          <w:lang w:eastAsia="zh-CN"/>
        </w:rPr>
        <w:t>，其中困难群众</w:t>
      </w:r>
      <w:r>
        <w:rPr>
          <w:rFonts w:hint="eastAsia" w:ascii="仿宋_GB2312" w:hAnsi="仿宋_GB2312" w:eastAsia="仿宋_GB2312" w:cs="仿宋_GB2312"/>
          <w:b w:val="0"/>
          <w:bCs w:val="0"/>
          <w:color w:val="auto"/>
          <w:sz w:val="32"/>
          <w:szCs w:val="32"/>
        </w:rPr>
        <w:t>大病保险报销</w:t>
      </w:r>
      <w:r>
        <w:rPr>
          <w:rFonts w:hint="eastAsia" w:ascii="仿宋_GB2312" w:hAnsi="仿宋_GB2312" w:eastAsia="仿宋_GB2312" w:cs="仿宋_GB2312"/>
          <w:b w:val="0"/>
          <w:bCs w:val="0"/>
          <w:color w:val="auto"/>
          <w:sz w:val="32"/>
          <w:szCs w:val="32"/>
          <w:lang w:val="en-US" w:eastAsia="zh-CN"/>
        </w:rPr>
        <w:t>1739</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val="en-US" w:eastAsia="zh-CN"/>
        </w:rPr>
        <w:t>2282人次，减负1074.84</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sz w:val="32"/>
          <w:szCs w:val="32"/>
          <w:lang w:eastAsia="zh-CN"/>
        </w:rPr>
        <w:t>巩固全民参保成果，健全完善参保机制，</w:t>
      </w:r>
      <w:r>
        <w:rPr>
          <w:rFonts w:hint="default" w:ascii="仿宋_GB2312" w:hAnsi="仿宋_GB2312" w:eastAsia="仿宋_GB2312" w:cs="仿宋_GB2312"/>
          <w:b w:val="0"/>
          <w:bCs w:val="0"/>
          <w:sz w:val="32"/>
          <w:szCs w:val="32"/>
          <w:lang w:val="en-US" w:eastAsia="zh-CN"/>
        </w:rPr>
        <w:t>配合各级</w:t>
      </w:r>
      <w:r>
        <w:rPr>
          <w:rFonts w:hint="eastAsia" w:ascii="仿宋_GB2312" w:hAnsi="仿宋_GB2312" w:eastAsia="仿宋_GB2312" w:cs="仿宋_GB2312"/>
          <w:b w:val="0"/>
          <w:bCs w:val="0"/>
          <w:snapToGrid w:val="0"/>
          <w:spacing w:val="0"/>
          <w:kern w:val="21"/>
          <w:sz w:val="32"/>
          <w:szCs w:val="32"/>
          <w:lang w:val="en-US" w:eastAsia="zh-CN"/>
        </w:rPr>
        <w:t>财政部门落实2022年居民医保新增财政补助资金。</w:t>
      </w:r>
      <w:r>
        <w:rPr>
          <w:rFonts w:hint="eastAsia" w:ascii="仿宋_GB2312" w:hAnsi="仿宋_GB2312" w:eastAsia="仿宋_GB2312" w:cs="仿宋_GB2312"/>
          <w:b w:val="0"/>
          <w:bCs w:val="0"/>
          <w:sz w:val="32"/>
          <w:szCs w:val="32"/>
          <w:lang w:val="en-US" w:eastAsia="zh-CN"/>
        </w:rPr>
        <w:t>全州城乡居民参保达到6</w:t>
      </w:r>
      <w:r>
        <w:rPr>
          <w:rFonts w:hint="eastAsia" w:ascii="仿宋_GB2312" w:hAnsi="仿宋_GB2312" w:eastAsia="仿宋_GB2312" w:cs="仿宋_GB2312"/>
          <w:b w:val="0"/>
          <w:bCs w:val="0"/>
          <w:color w:val="auto"/>
          <w:sz w:val="32"/>
          <w:szCs w:val="32"/>
          <w:lang w:val="en-US" w:eastAsia="zh-CN"/>
        </w:rPr>
        <w:t>7.78万人，完成目标任务的100.41%，拨付资金</w:t>
      </w:r>
      <w:r>
        <w:rPr>
          <w:rFonts w:hint="eastAsia" w:ascii="仿宋_GB2312" w:hAnsi="仿宋_GB2312" w:eastAsia="仿宋_GB2312" w:cs="仿宋_GB2312"/>
          <w:b w:val="0"/>
          <w:bCs w:val="0"/>
          <w:sz w:val="32"/>
          <w:szCs w:val="32"/>
          <w:lang w:val="en-US" w:eastAsia="zh-CN"/>
        </w:rPr>
        <w:t>39376.22万元。</w:t>
      </w:r>
      <w:r>
        <w:rPr>
          <w:rFonts w:hint="eastAsia" w:ascii="仿宋_GB2312" w:hAnsi="仿宋_GB2312" w:eastAsia="仿宋_GB2312" w:cs="仿宋_GB2312"/>
          <w:b w:val="0"/>
          <w:bCs w:val="0"/>
          <w:snapToGrid w:val="0"/>
          <w:color w:val="auto"/>
          <w:spacing w:val="0"/>
          <w:kern w:val="21"/>
          <w:sz w:val="32"/>
          <w:szCs w:val="32"/>
          <w:lang w:val="en-US" w:eastAsia="zh-CN"/>
        </w:rPr>
        <w:t>持续做好“两病”门诊用药保障，加强部门数据共享，进一步简化流程，落实“一单制”结算、“长期处方”制度。积极应对“6.10”地</w:t>
      </w:r>
      <w:r>
        <w:rPr>
          <w:rFonts w:hint="eastAsia" w:ascii="仿宋_GB2312" w:hAnsi="仿宋_GB2312" w:eastAsia="仿宋_GB2312" w:cs="仿宋_GB2312"/>
          <w:snapToGrid w:val="0"/>
          <w:color w:val="auto"/>
          <w:spacing w:val="0"/>
          <w:kern w:val="21"/>
          <w:sz w:val="32"/>
          <w:szCs w:val="32"/>
          <w:lang w:val="en-US" w:eastAsia="zh-CN"/>
        </w:rPr>
        <w:t>震灾后医疗保障工作，</w:t>
      </w:r>
      <w:r>
        <w:rPr>
          <w:rFonts w:hint="eastAsia" w:ascii="仿宋_GB2312" w:hAnsi="仿宋_GB2312" w:eastAsia="仿宋_GB2312" w:cs="仿宋_GB2312"/>
          <w:sz w:val="32"/>
          <w:szCs w:val="32"/>
          <w:lang w:val="en-US" w:eastAsia="zh-CN"/>
        </w:rPr>
        <w:t>出台</w:t>
      </w:r>
      <w:r>
        <w:rPr>
          <w:rFonts w:hint="eastAsia" w:ascii="仿宋_GB2312" w:hAnsi="仿宋_GB2312" w:eastAsia="仿宋_GB2312" w:cs="仿宋_GB2312"/>
          <w:sz w:val="32"/>
          <w:szCs w:val="32"/>
        </w:rPr>
        <w:t>医疗保障九条措施，</w:t>
      </w:r>
      <w:r>
        <w:rPr>
          <w:rFonts w:hint="eastAsia" w:ascii="仿宋_GB2312" w:hAnsi="仿宋_GB2312" w:eastAsia="仿宋_GB2312" w:cs="仿宋_GB2312"/>
          <w:color w:val="auto"/>
          <w:sz w:val="32"/>
          <w:szCs w:val="32"/>
        </w:rPr>
        <w:t>切实落实“两个确保”。</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2.巩固拓展医疗保障脱贫成果，有效衔接乡村振兴战略。</w:t>
      </w:r>
      <w:r>
        <w:rPr>
          <w:rFonts w:hint="eastAsia" w:ascii="仿宋_GB2312" w:hAnsi="仿宋_GB2312" w:eastAsia="仿宋_GB2312" w:cs="仿宋_GB2312"/>
          <w:color w:val="auto"/>
          <w:sz w:val="32"/>
          <w:szCs w:val="32"/>
          <w:lang w:val="en-US" w:eastAsia="zh-CN"/>
        </w:rPr>
        <w:t>深入落实《关于巩固拓展医疗保障脱贫攻坚成果有效衔接乡村振兴战略的实施意见》，继续落实困难群众“三增两续一渐退”分类资助参保政策，强化部门数据共享，确保重点人员“应保尽保”。落实高额费用患者负担监测预警机制和防范化解因病致贫返贫长效机制，坚决避免规模化因病致贫返贫问题。持续跟踪督办国省督导调研、考核评估反馈问题，确保困难群众基本医疗有保障。除死亡、参军、服刑等无法参保情况外，实现农村低收入人口参保率达100%，实现困难人群基本医保、大病保险、医疗救助三重制度保障全覆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rPr>
          <w:rFonts w:hint="eastAsia" w:ascii="仿宋_GB2312" w:hAnsi="宋体" w:eastAsia="仿宋_GB2312" w:cs="仿宋_GB2312"/>
          <w:b w:val="0"/>
          <w:bCs w:val="0"/>
          <w:color w:val="000000"/>
          <w:kern w:val="0"/>
          <w:sz w:val="31"/>
          <w:szCs w:val="31"/>
          <w:lang w:val="en-US" w:eastAsia="zh-CN" w:bidi="ar"/>
        </w:rPr>
      </w:pPr>
      <w:r>
        <w:rPr>
          <w:rFonts w:hint="eastAsia" w:ascii="仿宋_GB2312" w:hAnsi="仿宋_GB2312" w:eastAsia="仿宋_GB2312" w:cs="仿宋_GB2312"/>
          <w:b/>
          <w:bCs/>
          <w:sz w:val="32"/>
          <w:szCs w:val="32"/>
          <w:lang w:val="en-US" w:eastAsia="zh-CN"/>
        </w:rPr>
        <w:t>3.坚决打击欺诈骗保行为，深入推进行业领域突出问题治理。</w:t>
      </w:r>
      <w:r>
        <w:rPr>
          <w:rFonts w:hint="eastAsia" w:ascii="仿宋_GB2312" w:hAnsi="仿宋_GB2312" w:eastAsia="仿宋_GB2312" w:cs="仿宋_GB2312"/>
          <w:snapToGrid w:val="0"/>
          <w:color w:val="auto"/>
          <w:spacing w:val="0"/>
          <w:kern w:val="21"/>
          <w:sz w:val="32"/>
          <w:szCs w:val="32"/>
          <w:lang w:val="en-US" w:eastAsia="zh-CN"/>
        </w:rPr>
        <w:t>以4月全国医保基金监管集中宣传月活动为契机，加大典型案例曝光力度，大力开展基金监管相关政策措施和法律法规的系统宣传、培训。制定《阿坝州人民政府关于推进医疗保障基金监管制度体系改革的实施方案》《阿坝州人民政府办公室关于进一步健全阿坝州打击欺诈骗取医保基金工作联席会议制度的通知》等制度文件，建立由分管副州长为召集人的联席会议制度，充分发挥各级人民政府在基金监管法治建设、标准制定、行政执法、信息共享等方面的主导作用，确保基金安全可持续。</w:t>
      </w:r>
      <w:r>
        <w:rPr>
          <w:rFonts w:hint="eastAsia" w:ascii="仿宋_GB2312" w:hAnsi="仿宋_GB2312" w:eastAsia="仿宋_GB2312" w:cs="仿宋_GB2312"/>
          <w:color w:val="auto"/>
          <w:kern w:val="0"/>
          <w:sz w:val="32"/>
          <w:szCs w:val="32"/>
          <w:lang w:val="en-US" w:eastAsia="zh-CN" w:bidi="ar"/>
        </w:rPr>
        <w:t>聘请三方会计事务所对7家经办机构开展专项审计，</w:t>
      </w:r>
      <w:r>
        <w:rPr>
          <w:rFonts w:hint="eastAsia" w:ascii="仿宋_GB2312" w:hAnsi="仿宋_GB2312" w:eastAsia="仿宋_GB2312" w:cs="仿宋_GB2312"/>
          <w:snapToGrid w:val="0"/>
          <w:color w:val="auto"/>
          <w:spacing w:val="0"/>
          <w:kern w:val="21"/>
          <w:sz w:val="32"/>
          <w:szCs w:val="32"/>
          <w:lang w:val="en-US" w:eastAsia="zh-CN"/>
        </w:rPr>
        <w:t>积极配合国家、省开展飞行检查，组织开展全州基金监管抽查复查工作</w:t>
      </w:r>
      <w:r>
        <w:rPr>
          <w:rFonts w:hint="eastAsia" w:ascii="仿宋_GB2312" w:hAnsi="仿宋_GB2312" w:eastAsia="仿宋_GB2312" w:cs="仿宋_GB2312"/>
          <w:snapToGrid w:val="0"/>
          <w:color w:val="auto"/>
          <w:spacing w:val="0"/>
          <w:kern w:val="21"/>
          <w:sz w:val="32"/>
          <w:szCs w:val="32"/>
          <w:lang w:eastAsia="zh-CN"/>
        </w:rPr>
        <w:t>，</w:t>
      </w:r>
      <w:r>
        <w:rPr>
          <w:rFonts w:hint="eastAsia" w:ascii="仿宋_GB2312" w:hAnsi="仿宋_GB2312" w:eastAsia="仿宋_GB2312" w:cs="仿宋_GB2312"/>
          <w:snapToGrid w:val="0"/>
          <w:color w:val="auto"/>
          <w:spacing w:val="0"/>
          <w:kern w:val="21"/>
          <w:sz w:val="32"/>
          <w:szCs w:val="32"/>
          <w:lang w:val="en-US" w:eastAsia="zh-CN"/>
        </w:rPr>
        <w:t>严</w:t>
      </w:r>
      <w:r>
        <w:rPr>
          <w:rFonts w:hint="eastAsia" w:ascii="仿宋_GB2312" w:hAnsi="仿宋_GB2312" w:eastAsia="仿宋_GB2312" w:cs="仿宋_GB2312"/>
          <w:b w:val="0"/>
          <w:bCs w:val="0"/>
          <w:snapToGrid w:val="0"/>
          <w:color w:val="auto"/>
          <w:spacing w:val="0"/>
          <w:kern w:val="21"/>
          <w:sz w:val="32"/>
          <w:szCs w:val="32"/>
          <w:lang w:val="en-US" w:eastAsia="zh-CN"/>
        </w:rPr>
        <w:t>厉打击医保领域违法违规行为，</w:t>
      </w:r>
      <w:r>
        <w:rPr>
          <w:rFonts w:hint="eastAsia" w:ascii="仿宋_GB2312" w:hAnsi="仿宋_GB2312" w:eastAsia="仿宋_GB2312" w:cs="仿宋_GB2312"/>
          <w:b w:val="0"/>
          <w:bCs w:val="0"/>
          <w:color w:val="auto"/>
          <w:kern w:val="0"/>
          <w:sz w:val="32"/>
          <w:szCs w:val="32"/>
          <w:lang w:val="en-US" w:eastAsia="zh-CN" w:bidi="ar"/>
        </w:rPr>
        <w:t>保持医保基金监管高压态势。</w:t>
      </w:r>
      <w:r>
        <w:rPr>
          <w:rFonts w:hint="eastAsia" w:ascii="仿宋_GB2312" w:hAnsi="微软雅黑" w:eastAsia="仿宋_GB2312"/>
          <w:b w:val="0"/>
          <w:bCs w:val="0"/>
          <w:color w:val="030303"/>
          <w:sz w:val="32"/>
          <w:szCs w:val="32"/>
          <w:lang w:val="en-US" w:eastAsia="zh-CN"/>
        </w:rPr>
        <w:t>全州共</w:t>
      </w:r>
      <w:r>
        <w:rPr>
          <w:rFonts w:hint="eastAsia" w:ascii="仿宋_GB2312" w:hAnsi="仿宋_GB2312" w:eastAsia="仿宋_GB2312" w:cs="仿宋_GB2312"/>
          <w:b w:val="0"/>
          <w:bCs w:val="0"/>
          <w:color w:val="000000"/>
          <w:sz w:val="32"/>
          <w:szCs w:val="32"/>
          <w:lang w:val="en-US" w:eastAsia="zh-CN"/>
        </w:rPr>
        <w:t>处理违法违规使用医保基金定点医药机构</w:t>
      </w:r>
      <w:r>
        <w:rPr>
          <w:rFonts w:hint="default" w:ascii="仿宋_GB2312" w:hAnsi="仿宋_GB2312" w:eastAsia="仿宋_GB2312" w:cs="仿宋_GB2312"/>
          <w:b w:val="0"/>
          <w:bCs w:val="0"/>
          <w:color w:val="000000"/>
          <w:sz w:val="32"/>
          <w:szCs w:val="32"/>
          <w:lang w:eastAsia="zh-CN"/>
        </w:rPr>
        <w:t>249</w:t>
      </w:r>
      <w:r>
        <w:rPr>
          <w:rFonts w:hint="eastAsia" w:ascii="仿宋_GB2312" w:hAnsi="仿宋_GB2312" w:eastAsia="仿宋_GB2312" w:cs="仿宋_GB2312"/>
          <w:b w:val="0"/>
          <w:bCs w:val="0"/>
          <w:color w:val="000000"/>
          <w:sz w:val="32"/>
          <w:szCs w:val="32"/>
          <w:lang w:val="en-US" w:eastAsia="zh-CN"/>
        </w:rPr>
        <w:t>家，</w:t>
      </w:r>
      <w:r>
        <w:rPr>
          <w:rFonts w:hint="default" w:ascii="仿宋_GB2312" w:hAnsi="仿宋_GB2312" w:eastAsia="仿宋_GB2312" w:cs="仿宋_GB2312"/>
          <w:b w:val="0"/>
          <w:bCs w:val="0"/>
          <w:color w:val="000000"/>
          <w:sz w:val="32"/>
          <w:szCs w:val="32"/>
          <w:lang w:eastAsia="zh-CN"/>
        </w:rPr>
        <w:t>共计</w:t>
      </w:r>
      <w:r>
        <w:rPr>
          <w:rFonts w:hint="eastAsia" w:ascii="仿宋_GB2312" w:hAnsi="仿宋_GB2312" w:eastAsia="仿宋_GB2312" w:cs="仿宋_GB2312"/>
          <w:b w:val="0"/>
          <w:bCs w:val="0"/>
          <w:color w:val="000000"/>
          <w:sz w:val="32"/>
          <w:szCs w:val="32"/>
          <w:lang w:val="en-US" w:eastAsia="zh-CN"/>
        </w:rPr>
        <w:t>追回本金及处违约金</w:t>
      </w:r>
      <w:r>
        <w:rPr>
          <w:rFonts w:hint="default" w:ascii="仿宋_GB2312" w:hAnsi="仿宋_GB2312" w:eastAsia="仿宋_GB2312" w:cs="仿宋_GB2312"/>
          <w:b w:val="0"/>
          <w:bCs w:val="0"/>
          <w:color w:val="000000"/>
          <w:sz w:val="32"/>
          <w:szCs w:val="32"/>
          <w:lang w:eastAsia="zh-CN"/>
        </w:rPr>
        <w:t>、行政罚款</w:t>
      </w:r>
      <w:r>
        <w:rPr>
          <w:rFonts w:hint="eastAsia" w:ascii="仿宋_GB2312" w:hAnsi="仿宋_GB2312" w:eastAsia="仿宋_GB2312" w:cs="仿宋_GB2312"/>
          <w:b w:val="0"/>
          <w:bCs w:val="0"/>
          <w:color w:val="000000"/>
          <w:sz w:val="32"/>
          <w:szCs w:val="32"/>
          <w:lang w:val="en-US" w:eastAsia="zh-CN"/>
        </w:rPr>
        <w:t>等共计</w:t>
      </w:r>
      <w:r>
        <w:rPr>
          <w:rFonts w:hint="default" w:ascii="仿宋_GB2312" w:hAnsi="仿宋_GB2312" w:eastAsia="仿宋_GB2312" w:cs="仿宋_GB2312"/>
          <w:b w:val="0"/>
          <w:bCs w:val="0"/>
          <w:color w:val="000000"/>
          <w:sz w:val="32"/>
          <w:szCs w:val="32"/>
          <w:lang w:eastAsia="zh-CN"/>
        </w:rPr>
        <w:t>464.91</w:t>
      </w:r>
      <w:r>
        <w:rPr>
          <w:rFonts w:hint="eastAsia" w:ascii="仿宋_GB2312" w:hAnsi="仿宋_GB2312" w:eastAsia="仿宋_GB2312" w:cs="仿宋_GB2312"/>
          <w:b w:val="0"/>
          <w:bCs w:val="0"/>
          <w:color w:val="000000"/>
          <w:sz w:val="32"/>
          <w:szCs w:val="32"/>
          <w:lang w:val="en-US" w:eastAsia="zh-CN"/>
        </w:rPr>
        <w:t>万元；处理违法违规</w:t>
      </w:r>
      <w:r>
        <w:rPr>
          <w:rFonts w:hint="default" w:ascii="仿宋_GB2312" w:hAnsi="仿宋_GB2312" w:eastAsia="仿宋_GB2312" w:cs="仿宋_GB2312"/>
          <w:b w:val="0"/>
          <w:bCs w:val="0"/>
          <w:color w:val="000000"/>
          <w:sz w:val="32"/>
          <w:szCs w:val="32"/>
          <w:lang w:eastAsia="zh-CN"/>
        </w:rPr>
        <w:t>参保</w:t>
      </w:r>
      <w:r>
        <w:rPr>
          <w:rFonts w:hint="eastAsia" w:ascii="仿宋_GB2312" w:hAnsi="仿宋_GB2312" w:eastAsia="仿宋_GB2312" w:cs="仿宋_GB2312"/>
          <w:b w:val="0"/>
          <w:bCs w:val="0"/>
          <w:color w:val="000000"/>
          <w:sz w:val="32"/>
          <w:szCs w:val="32"/>
          <w:lang w:val="en-US" w:eastAsia="zh-CN"/>
        </w:rPr>
        <w:t>人员3人，其中：移交司法机关1人次、暂停医疗费用联网结算3人次，追回本金及处罚款共计0.58万元；曝光违法违规使用医保基金典型案例</w:t>
      </w:r>
      <w:r>
        <w:rPr>
          <w:rFonts w:hint="default" w:ascii="仿宋_GB2312" w:hAnsi="仿宋_GB2312" w:eastAsia="仿宋_GB2312" w:cs="仿宋_GB2312"/>
          <w:b w:val="0"/>
          <w:bCs w:val="0"/>
          <w:color w:val="000000"/>
          <w:sz w:val="32"/>
          <w:szCs w:val="32"/>
          <w:highlight w:val="none"/>
          <w:lang w:eastAsia="zh-CN"/>
        </w:rPr>
        <w:t>153</w:t>
      </w:r>
      <w:r>
        <w:rPr>
          <w:rFonts w:hint="eastAsia" w:ascii="仿宋_GB2312" w:hAnsi="仿宋_GB2312" w:eastAsia="仿宋_GB2312" w:cs="仿宋_GB2312"/>
          <w:b w:val="0"/>
          <w:bCs w:val="0"/>
          <w:color w:val="000000"/>
          <w:sz w:val="32"/>
          <w:szCs w:val="32"/>
          <w:lang w:val="en-US" w:eastAsia="zh-CN"/>
        </w:rPr>
        <w:t>件。全面排查冒用死亡人员参保信息骗取医保基金等违法违规行为，</w:t>
      </w:r>
      <w:r>
        <w:rPr>
          <w:rFonts w:hint="eastAsia" w:ascii="仿宋_GB2312" w:hAnsi="宋体" w:eastAsia="仿宋_GB2312" w:cs="仿宋_GB2312"/>
          <w:b w:val="0"/>
          <w:bCs w:val="0"/>
          <w:color w:val="000000"/>
          <w:kern w:val="0"/>
          <w:sz w:val="31"/>
          <w:szCs w:val="31"/>
          <w:lang w:val="en-US" w:eastAsia="zh-CN" w:bidi="ar"/>
        </w:rPr>
        <w:t>经</w:t>
      </w:r>
      <w:r>
        <w:rPr>
          <w:rFonts w:ascii="仿宋_GB2312" w:hAnsi="宋体" w:eastAsia="仿宋_GB2312" w:cs="仿宋_GB2312"/>
          <w:b w:val="0"/>
          <w:bCs w:val="0"/>
          <w:color w:val="000000"/>
          <w:kern w:val="0"/>
          <w:sz w:val="31"/>
          <w:szCs w:val="31"/>
          <w:lang w:val="en-US" w:eastAsia="zh-CN" w:bidi="ar"/>
        </w:rPr>
        <w:t>核实，全州死亡后</w:t>
      </w:r>
      <w:r>
        <w:rPr>
          <w:rFonts w:hint="eastAsia" w:ascii="仿宋_GB2312" w:hAnsi="宋体" w:eastAsia="仿宋_GB2312" w:cs="仿宋_GB2312"/>
          <w:b w:val="0"/>
          <w:bCs w:val="0"/>
          <w:color w:val="000000"/>
          <w:kern w:val="0"/>
          <w:sz w:val="31"/>
          <w:szCs w:val="31"/>
          <w:lang w:val="en-US" w:eastAsia="zh-CN" w:bidi="ar"/>
        </w:rPr>
        <w:t>享受待遇302条次，共计追回金额10088.99元。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both"/>
        <w:textAlignment w:val="top"/>
        <w:outlineLvl w:val="1"/>
        <w:rPr>
          <w:rFonts w:hint="eastAsia" w:ascii="仿宋_GB2312" w:hAnsi="仿宋_GB2312" w:eastAsia="仿宋_GB2312" w:cs="仿宋_GB2312"/>
          <w:b/>
          <w:bCs/>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4.提高异地就医直接结算保障服务能力。</w:t>
      </w:r>
      <w:r>
        <w:rPr>
          <w:rFonts w:hint="eastAsia" w:ascii="仿宋_GB2312" w:hAnsi="仿宋_GB2312" w:eastAsia="仿宋_GB2312" w:cs="仿宋_GB2312"/>
          <w:sz w:val="32"/>
          <w:szCs w:val="32"/>
        </w:rPr>
        <w:t>推进高血压、糖尿病、恶性肿瘤门诊放化疗、尿毒症透析、器官移植术后抗排异治疗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个门诊慢特病相关治疗费用跨省直接结算</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kern w:val="0"/>
          <w:sz w:val="32"/>
          <w:szCs w:val="32"/>
          <w:lang w:val="en-US" w:eastAsia="zh-CN" w:bidi="ar"/>
        </w:rPr>
        <w:t>持续优化异地就医备案管理，实现省内和川渝跨省就医免备案</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kern w:val="0"/>
          <w:sz w:val="32"/>
          <w:szCs w:val="32"/>
          <w:lang w:val="en-US" w:eastAsia="zh-CN" w:bidi="ar"/>
        </w:rPr>
        <w:t>在全省创新开展跨统筹区异地门诊慢特病认定工作，病种认定办理时限由原来的20个工作日缩短到30分钟。创新在都江堰市设立异地医保服务站，缩短</w:t>
      </w:r>
      <w:r>
        <w:rPr>
          <w:rFonts w:hint="eastAsia" w:ascii="仿宋_GB2312" w:hAnsi="仿宋_GB2312" w:eastAsia="仿宋_GB2312" w:cs="仿宋_GB2312"/>
          <w:b w:val="0"/>
          <w:bCs w:val="0"/>
          <w:kern w:val="0"/>
          <w:sz w:val="32"/>
          <w:szCs w:val="32"/>
          <w:lang w:val="en-US" w:eastAsia="zh-CN" w:bidi="ar"/>
        </w:rPr>
        <w:t>服务半径，推动服务下沉。全州参保人员异地就医直接</w:t>
      </w:r>
      <w:r>
        <w:rPr>
          <w:rFonts w:hint="eastAsia" w:ascii="仿宋_GB2312" w:hAnsi="仿宋_GB2312" w:eastAsia="仿宋_GB2312" w:cs="仿宋_GB2312"/>
          <w:b w:val="0"/>
          <w:bCs w:val="0"/>
          <w:kern w:val="0"/>
          <w:sz w:val="32"/>
          <w:szCs w:val="32"/>
          <w:lang w:val="en" w:eastAsia="zh-CN" w:bidi="ar"/>
        </w:rPr>
        <w:t>结算</w:t>
      </w:r>
      <w:r>
        <w:rPr>
          <w:rFonts w:hint="eastAsia" w:ascii="仿宋_GB2312" w:hAnsi="仿宋_GB2312" w:eastAsia="仿宋_GB2312" w:cs="仿宋_GB2312"/>
          <w:b w:val="0"/>
          <w:bCs w:val="0"/>
          <w:kern w:val="0"/>
          <w:sz w:val="32"/>
          <w:szCs w:val="32"/>
          <w:lang w:val="en-US" w:eastAsia="zh-CN" w:bidi="ar"/>
        </w:rPr>
        <w:t>101.14万人次，医疗费用93459万元，医保支付66979万元。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both"/>
        <w:textAlignment w:val="top"/>
        <w:outlineLvl w:val="1"/>
        <w:rPr>
          <w:rFonts w:hint="eastAsia" w:ascii="仿宋_GB2312" w:hAnsi="仿宋_GB2312" w:eastAsia="仿宋_GB2312" w:cs="仿宋_GB2312"/>
          <w:b/>
          <w:bCs/>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5.协同推进“三医”联动改革。</w:t>
      </w:r>
      <w:r>
        <w:rPr>
          <w:rFonts w:hint="eastAsia" w:ascii="仿宋_GB2312" w:hAnsi="仿宋_GB2312" w:eastAsia="仿宋_GB2312" w:cs="仿宋_GB2312"/>
          <w:b w:val="0"/>
          <w:bCs w:val="0"/>
          <w:sz w:val="32"/>
          <w:szCs w:val="32"/>
          <w:lang w:eastAsia="zh-CN"/>
        </w:rPr>
        <w:t>扎</w:t>
      </w:r>
      <w:r>
        <w:rPr>
          <w:rFonts w:hint="eastAsia" w:ascii="仿宋_GB2312" w:hAnsi="仿宋_GB2312" w:eastAsia="仿宋_GB2312" w:cs="仿宋_GB2312"/>
          <w:sz w:val="32"/>
          <w:szCs w:val="32"/>
          <w:lang w:eastAsia="zh-CN"/>
        </w:rPr>
        <w:t>实开展</w:t>
      </w:r>
      <w:r>
        <w:rPr>
          <w:rFonts w:hint="eastAsia" w:ascii="仿宋_GB2312" w:hAnsi="仿宋_GB2312" w:eastAsia="仿宋_GB2312" w:cs="仿宋_GB2312"/>
          <w:sz w:val="32"/>
          <w:szCs w:val="32"/>
          <w:lang w:val="en-US" w:eastAsia="zh-CN"/>
        </w:rPr>
        <w:t>DRG</w:t>
      </w:r>
      <w:r>
        <w:rPr>
          <w:rFonts w:hint="eastAsia" w:ascii="仿宋_GB2312" w:hAnsi="仿宋_GB2312" w:eastAsia="仿宋_GB2312" w:cs="仿宋_GB2312"/>
          <w:sz w:val="32"/>
          <w:szCs w:val="32"/>
        </w:rPr>
        <w:t>支付方式改革三年行动，</w:t>
      </w:r>
      <w:r>
        <w:rPr>
          <w:rFonts w:hint="eastAsia" w:ascii="仿宋_GB2312" w:hAnsi="仿宋_GB2312" w:eastAsia="仿宋_GB2312" w:cs="仿宋_GB2312"/>
          <w:kern w:val="0"/>
          <w:sz w:val="32"/>
          <w:szCs w:val="32"/>
          <w:lang w:val="en-US" w:eastAsia="zh-CN" w:bidi="ar"/>
        </w:rPr>
        <w:t>督促汶川县、九寨沟县完成县域内紧密型医疗卫生共同体建设，认定“双通道”管理药店1家。6次下调新型冠状病毒核酸检测项目价格，新增、修订83个医疗服务项目，启动医疗服务价格动态调整评估工作。稳步推进运用新的“三流合一”省级药械招采平台，落实国家、省级、省际联盟药品和医用耗材集中带量</w:t>
      </w:r>
      <w:r>
        <w:rPr>
          <w:rFonts w:hint="eastAsia" w:ascii="仿宋_GB2312" w:hAnsi="仿宋_GB2312" w:eastAsia="仿宋_GB2312" w:cs="仿宋_GB2312"/>
          <w:b w:val="0"/>
          <w:bCs w:val="0"/>
          <w:kern w:val="0"/>
          <w:sz w:val="32"/>
          <w:szCs w:val="32"/>
          <w:lang w:val="en-US" w:eastAsia="zh-CN" w:bidi="ar"/>
        </w:rPr>
        <w:t>采购工作，积极推动我州非集采药械“三议三保”增量扩面工作，</w:t>
      </w:r>
      <w:r>
        <w:rPr>
          <w:rFonts w:hint="default" w:ascii="仿宋_GB2312" w:hAnsi="仿宋_GB2312" w:eastAsia="仿宋_GB2312" w:cs="仿宋_GB2312"/>
          <w:b w:val="0"/>
          <w:bCs w:val="0"/>
          <w:kern w:val="0"/>
          <w:sz w:val="32"/>
          <w:szCs w:val="32"/>
          <w:lang w:val="en-US" w:eastAsia="zh-CN" w:bidi="ar"/>
        </w:rPr>
        <w:t>完成第二批非集采药品和第一批医用耗材议价工作，113个药品，平均降幅6.4%</w:t>
      </w:r>
      <w:r>
        <w:rPr>
          <w:rFonts w:hint="eastAsia" w:ascii="仿宋_GB2312" w:hAnsi="仿宋_GB2312" w:eastAsia="仿宋_GB2312" w:cs="仿宋_GB2312"/>
          <w:b w:val="0"/>
          <w:bCs w:val="0"/>
          <w:kern w:val="0"/>
          <w:sz w:val="32"/>
          <w:szCs w:val="32"/>
          <w:lang w:val="en-US" w:eastAsia="zh-CN" w:bidi="ar"/>
        </w:rPr>
        <w:t>，</w:t>
      </w:r>
      <w:r>
        <w:rPr>
          <w:rFonts w:hint="default" w:ascii="仿宋_GB2312" w:hAnsi="仿宋_GB2312" w:eastAsia="仿宋_GB2312" w:cs="仿宋_GB2312"/>
          <w:b w:val="0"/>
          <w:bCs w:val="0"/>
          <w:kern w:val="0"/>
          <w:sz w:val="32"/>
          <w:szCs w:val="32"/>
          <w:lang w:val="en-US" w:eastAsia="zh-CN" w:bidi="ar"/>
        </w:rPr>
        <w:t>最高降幅57.7%，8类医用耗材平均降幅46.91%，最高降幅88.27%。</w:t>
      </w:r>
      <w:r>
        <w:rPr>
          <w:rFonts w:hint="eastAsia" w:ascii="仿宋_GB2312" w:hAnsi="仿宋_GB2312" w:eastAsia="仿宋_GB2312" w:cs="仿宋_GB2312"/>
          <w:b w:val="0"/>
          <w:bCs w:val="0"/>
          <w:kern w:val="0"/>
          <w:sz w:val="32"/>
          <w:szCs w:val="32"/>
          <w:lang w:val="en-US" w:eastAsia="zh-CN" w:bidi="ar"/>
        </w:rPr>
        <w:t>印发《落实国家组织药械集中带量采购医保资金结余留用工作实施方案》，切实发挥结余留用政策的激励导向作用，提升医疗机构和医务人员参与改革的积极性。集采药品种类扩大至248种，药品平均降幅52%。冠脉支架、人工关节等多批高值耗材集采平均降价超过80%，年累计节约费用达到千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color w:val="auto"/>
          <w:spacing w:val="0"/>
          <w:kern w:val="21"/>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
        </w:rPr>
        <w:t>6.优化医保公共管理服务。</w:t>
      </w:r>
      <w:r>
        <w:rPr>
          <w:rFonts w:hint="eastAsia" w:ascii="仿宋_GB2312" w:hAnsi="仿宋_GB2312" w:eastAsia="仿宋_GB2312" w:cs="仿宋_GB2312"/>
          <w:sz w:val="32"/>
          <w:szCs w:val="32"/>
          <w:lang w:val="en-US" w:eastAsia="zh-CN"/>
        </w:rPr>
        <w:t>严格落实全州医疗保障经办政务服务事项清单，加强经办精细化管理，优化公共服务，提高适老化水平。</w:t>
      </w:r>
      <w:r>
        <w:rPr>
          <w:rFonts w:hint="eastAsia" w:ascii="仿宋_GB2312" w:hAnsi="仿宋_GB2312" w:eastAsia="仿宋_GB2312" w:cs="仿宋_GB2312"/>
          <w:b w:val="0"/>
          <w:bCs w:val="0"/>
          <w:sz w:val="32"/>
          <w:szCs w:val="32"/>
          <w:lang w:val="en-US" w:eastAsia="zh-CN"/>
        </w:rPr>
        <w:t>全州174个乡镇及15个社区实现17项医保服务事项入驻，较省局规定符合我州医保政策的15项医保服务事项增加2项服务事项，1139个村（社区）实现医保业务代帮代办，完成基层便民服务机构进驻全覆盖。全州基层便民服务机构共办理（代办）医保服务事项47554件，其中，乡镇办理医保服务36014件，村（社区）帮代办医保服务11540件。</w:t>
      </w:r>
      <w:r>
        <w:rPr>
          <w:rFonts w:hint="eastAsia" w:ascii="仿宋_GB2312" w:hAnsi="仿宋_GB2312" w:eastAsia="仿宋_GB2312" w:cs="仿宋_GB2312"/>
          <w:b w:val="0"/>
          <w:bCs w:val="0"/>
          <w:color w:val="auto"/>
          <w:spacing w:val="0"/>
          <w:kern w:val="21"/>
          <w:sz w:val="32"/>
          <w:szCs w:val="32"/>
          <w:lang w:val="en-US" w:eastAsia="zh-CN" w:bidi="ar-SA"/>
        </w:rPr>
        <w:t>及时在四川一体化政务服务平台认领和配置完善相关服务事项，通过流程再造，办理时限缩减60.09</w:t>
      </w:r>
      <w:r>
        <w:rPr>
          <w:rFonts w:hint="eastAsia" w:ascii="仿宋_GB2312" w:hAnsi="仿宋_GB2312" w:eastAsia="仿宋_GB2312" w:cs="仿宋_GB2312"/>
          <w:color w:val="auto"/>
          <w:spacing w:val="0"/>
          <w:kern w:val="21"/>
          <w:sz w:val="32"/>
          <w:szCs w:val="32"/>
          <w:lang w:val="en-US" w:eastAsia="zh-CN" w:bidi="ar-SA"/>
        </w:rPr>
        <w:t>%，申办材料精简4.55%。加快推进医保信息化建设及应用，推进“川渝通办”“跨省通办”，全面实行基本医保、大病保险、医疗救助等制度待遇“一站</w:t>
      </w:r>
      <w:r>
        <w:rPr>
          <w:rFonts w:hint="eastAsia" w:ascii="Times New Roman" w:hAnsi="Times New Roman" w:eastAsia="仿宋_GB2312" w:cs="Times New Roman"/>
          <w:color w:val="auto"/>
          <w:spacing w:val="0"/>
          <w:kern w:val="21"/>
          <w:sz w:val="32"/>
          <w:szCs w:val="32"/>
          <w:lang w:val="en-US" w:eastAsia="zh-CN" w:bidi="ar-SA"/>
        </w:rPr>
        <w:t>式服务、一窗口办理、一单制结算”。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color w:val="auto"/>
          <w:spacing w:val="0"/>
          <w:kern w:val="21"/>
          <w:sz w:val="32"/>
          <w:szCs w:val="32"/>
          <w:lang w:val="en-US" w:eastAsia="zh-CN" w:bidi="ar-SA"/>
        </w:rPr>
      </w:pPr>
      <w:r>
        <w:rPr>
          <w:rFonts w:hint="eastAsia" w:ascii="仿宋_GB2312" w:hAnsi="仿宋_GB2312" w:eastAsia="仿宋_GB2312" w:cs="仿宋_GB2312"/>
          <w:b/>
          <w:bCs/>
          <w:snapToGrid/>
          <w:color w:val="auto"/>
          <w:spacing w:val="0"/>
          <w:sz w:val="32"/>
          <w:szCs w:val="32"/>
          <w:lang w:val="en-US" w:eastAsia="zh-CN" w:bidi="ar-SA"/>
        </w:rPr>
        <w:t>7.</w:t>
      </w:r>
      <w:r>
        <w:rPr>
          <w:rFonts w:hint="eastAsia" w:ascii="仿宋_GB2312" w:hAnsi="仿宋_GB2312" w:eastAsia="仿宋_GB2312" w:cs="仿宋_GB2312"/>
          <w:b/>
          <w:bCs/>
          <w:snapToGrid/>
          <w:color w:val="auto"/>
          <w:spacing w:val="0"/>
          <w:sz w:val="32"/>
          <w:szCs w:val="32"/>
          <w:lang w:bidi="ar-SA"/>
        </w:rPr>
        <w:t>严防新冠肺炎疫情，维护群众健康。</w:t>
      </w:r>
      <w:r>
        <w:rPr>
          <w:rFonts w:hint="eastAsia" w:ascii="仿宋_GB2312" w:hAnsi="Times New Roman" w:eastAsia="仿宋_GB2312" w:cs="方正仿宋_GBK"/>
          <w:bCs/>
          <w:color w:val="auto"/>
          <w:kern w:val="2"/>
          <w:sz w:val="32"/>
          <w:szCs w:val="32"/>
          <w:lang w:val="en-US" w:eastAsia="zh-CN" w:bidi="ar-SA"/>
        </w:rPr>
        <w:t>落</w:t>
      </w:r>
      <w:r>
        <w:rPr>
          <w:rFonts w:hint="eastAsia" w:ascii="仿宋_GB2312" w:hAnsi="仿宋_GB2312" w:eastAsia="仿宋_GB2312" w:cs="仿宋_GB2312"/>
          <w:bCs/>
          <w:color w:val="auto"/>
          <w:kern w:val="2"/>
          <w:sz w:val="32"/>
          <w:szCs w:val="32"/>
          <w:lang w:val="en-US" w:eastAsia="zh-CN" w:bidi="ar-SA"/>
        </w:rPr>
        <w:t>实新</w:t>
      </w:r>
      <w:r>
        <w:rPr>
          <w:rFonts w:hint="eastAsia" w:ascii="仿宋_GB2312" w:hAnsi="仿宋_GB2312" w:eastAsia="仿宋_GB2312" w:cs="仿宋_GB2312"/>
          <w:bCs/>
          <w:color w:val="auto"/>
          <w:kern w:val="2"/>
          <w:sz w:val="32"/>
          <w:szCs w:val="32"/>
          <w:highlight w:val="none"/>
          <w:lang w:val="en-US" w:eastAsia="zh-CN" w:bidi="ar-SA"/>
        </w:rPr>
        <w:t>冠疫苗费用接种费用保障工</w:t>
      </w:r>
      <w:r>
        <w:rPr>
          <w:rFonts w:hint="eastAsia" w:ascii="仿宋_GB2312" w:hAnsi="仿宋_GB2312" w:eastAsia="仿宋_GB2312" w:cs="仿宋_GB2312"/>
          <w:b w:val="0"/>
          <w:bCs/>
          <w:color w:val="auto"/>
          <w:kern w:val="2"/>
          <w:sz w:val="32"/>
          <w:szCs w:val="32"/>
          <w:highlight w:val="none"/>
          <w:lang w:val="en-US" w:eastAsia="zh-CN" w:bidi="ar-SA"/>
        </w:rPr>
        <w:t>作，我州累计清算新冠疫苗接种人员207.87万人次，累计发生新冠病毒疫苗接种费用1651.8万元，累计结算疫苗费用7262.1万元。</w:t>
      </w:r>
      <w:r>
        <w:rPr>
          <w:rFonts w:hint="eastAsia" w:ascii="仿宋_GB2312" w:hAnsi="仿宋_GB2312" w:eastAsia="仿宋_GB2312" w:cs="仿宋_GB2312"/>
          <w:b w:val="0"/>
          <w:bCs/>
          <w:color w:val="auto"/>
          <w:spacing w:val="0"/>
          <w:kern w:val="21"/>
          <w:sz w:val="32"/>
          <w:szCs w:val="32"/>
          <w:lang w:val="en-US" w:eastAsia="zh-CN" w:bidi="ar-SA"/>
        </w:rPr>
        <w:t>全力保障新冠肺炎患者救治医疗费用，向阿坝州人民医院、汶川县人民医院、九寨沟县医共体管理中心预付新冠肺炎资金共350万元。结算170人次新冠肺炎患者医疗费用36.91万元。</w:t>
      </w:r>
    </w:p>
    <w:p>
      <w:pPr>
        <w:numPr>
          <w:ilvl w:val="0"/>
          <w:numId w:val="0"/>
        </w:numPr>
      </w:pPr>
    </w:p>
    <w:p>
      <w:pPr>
        <w:pStyle w:val="8"/>
        <w:rPr>
          <w:rStyle w:val="21"/>
          <w:b w:val="0"/>
          <w:bCs w:val="0"/>
        </w:rPr>
      </w:pPr>
      <w:bookmarkStart w:id="14" w:name="_Toc15377200"/>
      <w:bookmarkStart w:id="15" w:name="_Toc15396601"/>
      <w:r>
        <w:rPr>
          <w:rFonts w:hint="eastAsia" w:ascii="黑体" w:eastAsia="黑体"/>
          <w:b w:val="0"/>
        </w:rPr>
        <w:t>二、机</w:t>
      </w:r>
      <w:r>
        <w:rPr>
          <w:rStyle w:val="21"/>
          <w:rFonts w:hint="eastAsia" w:ascii="黑体" w:eastAsia="黑体"/>
          <w:b w:val="0"/>
          <w:bCs w:val="0"/>
        </w:rPr>
        <w:t>构设置</w:t>
      </w:r>
      <w:bookmarkEnd w:id="14"/>
      <w:bookmarkEnd w:id="15"/>
    </w:p>
    <w:p>
      <w:pPr>
        <w:pageBreakBefore w:val="0"/>
        <w:kinsoku/>
        <w:wordWrap/>
        <w:overflowPunct/>
        <w:topLinePunct w:val="0"/>
        <w:autoSpaceDE/>
        <w:autoSpaceDN/>
        <w:bidi w:val="0"/>
        <w:spacing w:line="560" w:lineRule="atLeast"/>
        <w:ind w:left="0" w:right="0" w:firstLine="800" w:firstLineChars="250"/>
        <w:textAlignment w:val="auto"/>
        <w:rPr>
          <w:rFonts w:hint="eastAsia" w:ascii="仿宋_GB2312" w:hAnsi="仿宋_GB2312" w:eastAsia="仿宋_GB2312" w:cs="仿宋_GB2312"/>
          <w:sz w:val="32"/>
          <w:szCs w:val="32"/>
        </w:rPr>
      </w:pPr>
      <w:bookmarkStart w:id="16" w:name="_Toc15377204"/>
      <w:bookmarkStart w:id="17" w:name="_Toc15396602"/>
      <w:r>
        <w:rPr>
          <w:rFonts w:hint="eastAsia" w:ascii="仿宋_GB2312" w:hAnsi="仿宋_GB2312" w:eastAsia="仿宋_GB2312" w:cs="仿宋_GB2312"/>
          <w:sz w:val="32"/>
          <w:szCs w:val="32"/>
          <w:lang w:val="en-US" w:eastAsia="zh-CN"/>
        </w:rPr>
        <w:t>阿坝州医疗保障局</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10"/>
        <w:pageBreakBefore w:val="0"/>
        <w:kinsoku/>
        <w:wordWrap/>
        <w:overflowPunct/>
        <w:topLinePunct w:val="0"/>
        <w:autoSpaceDE/>
        <w:autoSpaceDN/>
        <w:bidi w:val="0"/>
        <w:adjustRightInd w:val="0"/>
        <w:snapToGrid w:val="0"/>
        <w:spacing w:before="0" w:beforeLines="0" w:line="560" w:lineRule="atLeast"/>
        <w:ind w:left="0" w:right="0" w:firstLine="665" w:firstLineChars="208"/>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阿坝州医疗保障局</w:t>
      </w:r>
      <w:r>
        <w:rPr>
          <w:rFonts w:hint="eastAsia" w:ascii="仿宋_GB2312" w:hAnsi="仿宋_GB2312" w:eastAsia="仿宋_GB2312" w:cs="仿宋_GB2312"/>
          <w:sz w:val="32"/>
          <w:szCs w:val="32"/>
        </w:rPr>
        <w:t>2021年度部门决算编制范围的二级预算单位包括：</w:t>
      </w:r>
    </w:p>
    <w:p>
      <w:pPr>
        <w:pStyle w:val="10"/>
        <w:pageBreakBefore w:val="0"/>
        <w:numPr>
          <w:ilvl w:val="0"/>
          <w:numId w:val="2"/>
        </w:numPr>
        <w:kinsoku/>
        <w:wordWrap/>
        <w:overflowPunct/>
        <w:topLinePunct w:val="0"/>
        <w:autoSpaceDE/>
        <w:autoSpaceDN/>
        <w:bidi w:val="0"/>
        <w:adjustRightInd w:val="0"/>
        <w:snapToGrid w:val="0"/>
        <w:spacing w:before="0" w:beforeLines="0" w:line="560" w:lineRule="atLeast"/>
        <w:ind w:left="-480" w:leftChars="0" w:right="0" w:rightChars="0" w:firstLine="1280" w:firstLineChars="400"/>
        <w:textAlignment w:val="auto"/>
        <w:outlineLvl w:val="2"/>
        <w:rPr>
          <w:rFonts w:hint="eastAsia" w:ascii="仿宋_GB2312" w:hAnsi="仿宋_GB2312" w:eastAsia="仿宋_GB2312" w:cs="仿宋_GB2312"/>
          <w:sz w:val="32"/>
          <w:szCs w:val="32"/>
          <w:lang w:val="en-US" w:eastAsia="zh-CN"/>
        </w:rPr>
      </w:pPr>
      <w:bookmarkStart w:id="18" w:name="_Toc15306276"/>
      <w:bookmarkStart w:id="19" w:name="_Toc15377202"/>
      <w:bookmarkStart w:id="20" w:name="_Toc15378449"/>
      <w:bookmarkStart w:id="21" w:name="_Toc15377433"/>
      <w:r>
        <w:rPr>
          <w:rFonts w:hint="eastAsia" w:ascii="仿宋_GB2312" w:hAnsi="仿宋_GB2312" w:eastAsia="仿宋_GB2312" w:cs="仿宋_GB2312"/>
          <w:sz w:val="32"/>
          <w:szCs w:val="32"/>
          <w:lang w:val="en-US" w:eastAsia="zh-CN"/>
        </w:rPr>
        <w:t>阿坝州医疗保障事务中心</w:t>
      </w:r>
      <w:bookmarkEnd w:id="18"/>
      <w:bookmarkEnd w:id="19"/>
      <w:bookmarkEnd w:id="20"/>
      <w:bookmarkEnd w:id="21"/>
    </w:p>
    <w:p>
      <w:pPr>
        <w:pStyle w:val="10"/>
        <w:pageBreakBefore w:val="0"/>
        <w:widowControl w:val="0"/>
        <w:numPr>
          <w:ilvl w:val="0"/>
          <w:numId w:val="0"/>
        </w:numPr>
        <w:kinsoku/>
        <w:wordWrap/>
        <w:overflowPunct/>
        <w:topLinePunct w:val="0"/>
        <w:autoSpaceDE/>
        <w:autoSpaceDN/>
        <w:bidi w:val="0"/>
        <w:adjustRightInd w:val="0"/>
        <w:snapToGrid w:val="0"/>
        <w:spacing w:before="0" w:beforeLines="0" w:line="560" w:lineRule="atLeast"/>
        <w:ind w:right="0" w:rightChars="0"/>
        <w:jc w:val="both"/>
        <w:textAlignment w:val="auto"/>
        <w:outlineLvl w:val="2"/>
        <w:rPr>
          <w:rFonts w:hint="eastAsia" w:ascii="仿宋_GB2312" w:hAnsi="仿宋_GB2312" w:eastAsia="仿宋_GB2312" w:cs="仿宋_GB2312"/>
          <w:sz w:val="32"/>
          <w:szCs w:val="32"/>
          <w:lang w:val="en-US" w:eastAsia="zh-CN"/>
        </w:rPr>
      </w:pPr>
    </w:p>
    <w:p>
      <w:pPr>
        <w:pStyle w:val="10"/>
        <w:pageBreakBefore w:val="0"/>
        <w:widowControl w:val="0"/>
        <w:numPr>
          <w:ilvl w:val="0"/>
          <w:numId w:val="0"/>
        </w:numPr>
        <w:kinsoku/>
        <w:wordWrap/>
        <w:overflowPunct/>
        <w:topLinePunct w:val="0"/>
        <w:autoSpaceDE/>
        <w:autoSpaceDN/>
        <w:bidi w:val="0"/>
        <w:adjustRightInd w:val="0"/>
        <w:snapToGrid w:val="0"/>
        <w:spacing w:before="0" w:beforeLines="0" w:line="560" w:lineRule="atLeast"/>
        <w:ind w:right="0" w:rightChars="0"/>
        <w:jc w:val="both"/>
        <w:textAlignment w:val="auto"/>
        <w:outlineLvl w:val="2"/>
        <w:rPr>
          <w:rFonts w:hint="eastAsia" w:ascii="仿宋_GB2312" w:hAnsi="仿宋_GB2312" w:eastAsia="仿宋_GB2312" w:cs="仿宋_GB2312"/>
          <w:sz w:val="32"/>
          <w:szCs w:val="32"/>
          <w:lang w:val="en-US" w:eastAsia="zh-CN"/>
        </w:rPr>
      </w:pPr>
    </w:p>
    <w:p>
      <w:pPr>
        <w:pStyle w:val="7"/>
        <w:ind w:right="440"/>
        <w:jc w:val="center"/>
        <w:rPr>
          <w:rStyle w:val="20"/>
          <w:rFonts w:ascii="黑体" w:eastAsia="黑体"/>
          <w:b w:val="0"/>
          <w:bCs/>
        </w:rPr>
      </w:pPr>
      <w:r>
        <w:rPr>
          <w:rFonts w:hint="eastAsia" w:ascii="黑体" w:eastAsia="黑体"/>
          <w:b w:val="0"/>
        </w:rPr>
        <w:t>第二部分 2022年度</w:t>
      </w:r>
      <w:r>
        <w:rPr>
          <w:rStyle w:val="20"/>
          <w:rFonts w:hint="eastAsia" w:ascii="黑体" w:eastAsia="黑体"/>
          <w:b w:val="0"/>
          <w:bCs/>
        </w:rPr>
        <w:t>部门决算情况说明</w:t>
      </w:r>
      <w:bookmarkEnd w:id="16"/>
      <w:bookmarkEnd w:id="17"/>
    </w:p>
    <w:p/>
    <w:p>
      <w:pPr>
        <w:pStyle w:val="27"/>
        <w:numPr>
          <w:ilvl w:val="0"/>
          <w:numId w:val="3"/>
        </w:numPr>
        <w:spacing w:line="600" w:lineRule="exact"/>
        <w:ind w:firstLineChars="0"/>
        <w:outlineLvl w:val="1"/>
        <w:rPr>
          <w:rStyle w:val="21"/>
          <w:rFonts w:ascii="黑体" w:eastAsia="黑体"/>
          <w:b w:val="0"/>
        </w:rPr>
      </w:pPr>
      <w:bookmarkStart w:id="22" w:name="_Toc15396603"/>
      <w:bookmarkStart w:id="23" w:name="_Toc15377205"/>
      <w:r>
        <w:rPr>
          <w:rFonts w:hint="eastAsia" w:ascii="黑体" w:eastAsia="黑体"/>
          <w:sz w:val="32"/>
          <w:szCs w:val="32"/>
        </w:rPr>
        <w:t>收</w:t>
      </w:r>
      <w:r>
        <w:rPr>
          <w:rStyle w:val="21"/>
          <w:rFonts w:hint="eastAsia" w:ascii="黑体" w:eastAsia="黑体"/>
          <w:b w:val="0"/>
        </w:rPr>
        <w:t>入支出决算总体情况说明</w:t>
      </w:r>
      <w:bookmarkEnd w:id="22"/>
      <w:bookmarkEnd w:id="23"/>
    </w:p>
    <w:p>
      <w:pPr>
        <w:pStyle w:val="6"/>
        <w:keepNext w:val="0"/>
        <w:keepLines w:val="0"/>
        <w:pageBreakBefore w:val="0"/>
        <w:shd w:val="clear" w:fill="FFFFFF"/>
        <w:kinsoku/>
        <w:wordWrap/>
        <w:overflowPunct/>
        <w:topLinePunct w:val="0"/>
        <w:autoSpaceDE/>
        <w:autoSpaceDN/>
        <w:bidi w:val="0"/>
        <w:spacing w:beforeAutospacing="0" w:afterAutospacing="0" w:line="560" w:lineRule="exact"/>
        <w:ind w:left="0" w:firstLine="640" w:firstLineChars="200"/>
        <w:jc w:val="both"/>
        <w:textAlignment w:val="auto"/>
        <w:rPr>
          <w:rFonts w:hint="eastAsia" w:ascii="仿宋_GB2312" w:hAnsi="仿宋_GB2312" w:eastAsia="仿宋_GB2312" w:cs="仿宋_GB2312"/>
          <w:b w:val="0"/>
          <w:bCs/>
          <w:sz w:val="32"/>
          <w:szCs w:val="32"/>
          <w:shd w:val="clear" w:fill="FFFFFF"/>
          <w:lang w:eastAsia="zh-CN"/>
        </w:rPr>
      </w:pPr>
      <w:r>
        <w:rPr>
          <w:rFonts w:hint="eastAsia" w:ascii="仿宋" w:eastAsia="仿宋"/>
          <w:sz w:val="32"/>
          <w:szCs w:val="32"/>
        </w:rPr>
        <w:t>2022年度收、支总计</w:t>
      </w:r>
      <w:r>
        <w:rPr>
          <w:rFonts w:hint="eastAsia" w:ascii="仿宋" w:eastAsia="仿宋"/>
          <w:sz w:val="32"/>
          <w:szCs w:val="32"/>
          <w:lang w:val="en-US" w:eastAsia="zh-CN"/>
        </w:rPr>
        <w:t>1252.33</w:t>
      </w:r>
      <w:r>
        <w:rPr>
          <w:rFonts w:hint="eastAsia" w:ascii="仿宋" w:eastAsia="仿宋"/>
          <w:sz w:val="32"/>
          <w:szCs w:val="32"/>
        </w:rPr>
        <w:t>万元。与2021年相比，收、支总计各增加</w:t>
      </w:r>
      <w:r>
        <w:rPr>
          <w:rFonts w:hint="eastAsia" w:ascii="仿宋" w:eastAsia="仿宋"/>
          <w:sz w:val="32"/>
          <w:szCs w:val="32"/>
          <w:lang w:val="en-US" w:eastAsia="zh-CN"/>
        </w:rPr>
        <w:t>148.65</w:t>
      </w:r>
      <w:r>
        <w:rPr>
          <w:rFonts w:hint="eastAsia" w:ascii="仿宋" w:eastAsia="仿宋"/>
          <w:sz w:val="32"/>
          <w:szCs w:val="32"/>
        </w:rPr>
        <w:t>万元，增长</w:t>
      </w:r>
      <w:r>
        <w:rPr>
          <w:rFonts w:hint="eastAsia" w:ascii="仿宋" w:eastAsia="仿宋"/>
          <w:sz w:val="32"/>
          <w:szCs w:val="32"/>
          <w:lang w:val="en-US" w:eastAsia="zh-CN"/>
        </w:rPr>
        <w:t>13.47</w:t>
      </w:r>
      <w:r>
        <w:rPr>
          <w:rFonts w:ascii="仿宋" w:eastAsia="仿宋"/>
          <w:sz w:val="32"/>
          <w:szCs w:val="32"/>
        </w:rPr>
        <w:t>%</w:t>
      </w:r>
      <w:r>
        <w:rPr>
          <w:rFonts w:hint="eastAsia" w:ascii="仿宋" w:eastAsia="仿宋"/>
          <w:sz w:val="32"/>
          <w:szCs w:val="32"/>
        </w:rPr>
        <w:t>。</w:t>
      </w:r>
      <w:r>
        <w:rPr>
          <w:rFonts w:hint="eastAsia" w:ascii="仿宋_GB2312" w:hAnsi="仿宋" w:eastAsia="仿宋_GB2312" w:cs="宋体"/>
          <w:kern w:val="0"/>
          <w:sz w:val="32"/>
          <w:szCs w:val="32"/>
          <w:lang w:val="en-US" w:eastAsia="zh-CN" w:bidi="ar"/>
        </w:rPr>
        <w:t>本年度一般公共预算财政拨款收入相比上年度增加213.81万元，主要原因：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基本支出，202</w:t>
      </w:r>
      <w:r>
        <w:rPr>
          <w:rFonts w:hint="eastAsia" w:ascii="仿宋_GB2312" w:hAnsi="仿宋_GB2312" w:eastAsia="仿宋_GB2312" w:cs="仿宋_GB2312"/>
          <w:sz w:val="32"/>
          <w:szCs w:val="32"/>
          <w:lang w:val="en-US" w:eastAsia="zh-CN"/>
        </w:rPr>
        <w:t>2编外运行2</w:t>
      </w:r>
      <w:r>
        <w:rPr>
          <w:rFonts w:hint="eastAsia" w:ascii="仿宋_GB2312" w:hAnsi="仿宋_GB2312" w:eastAsia="仿宋_GB2312" w:cs="仿宋_GB2312"/>
          <w:sz w:val="32"/>
          <w:szCs w:val="32"/>
        </w:rPr>
        <w:t>名职工，经费支出增加；202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年社保</w:t>
      </w:r>
      <w:r>
        <w:rPr>
          <w:rFonts w:hint="eastAsia" w:ascii="仿宋_GB2312" w:hAnsi="仿宋_GB2312" w:eastAsia="仿宋_GB2312" w:cs="仿宋_GB2312"/>
          <w:sz w:val="32"/>
          <w:szCs w:val="32"/>
          <w:lang w:val="en-US" w:eastAsia="zh-CN"/>
        </w:rPr>
        <w:t>基数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公积金基数、</w:t>
      </w:r>
      <w:r>
        <w:rPr>
          <w:rFonts w:hint="eastAsia" w:ascii="仿宋_GB2312" w:hAnsi="仿宋_GB2312" w:eastAsia="仿宋_GB2312" w:cs="仿宋_GB2312"/>
          <w:sz w:val="32"/>
          <w:szCs w:val="32"/>
        </w:rPr>
        <w:t>工资基数增加</w:t>
      </w:r>
      <w:r>
        <w:rPr>
          <w:rStyle w:val="18"/>
          <w:rFonts w:hint="eastAsia" w:ascii="仿宋_GB2312" w:hAnsi="仿宋_GB2312" w:eastAsia="仿宋_GB2312" w:cs="仿宋_GB2312"/>
          <w:b w:val="0"/>
          <w:bCs/>
          <w:sz w:val="32"/>
          <w:szCs w:val="32"/>
          <w:shd w:val="clear" w:fill="FFFFFF"/>
          <w:lang w:eastAsia="zh-CN"/>
        </w:rPr>
        <w:t>。</w:t>
      </w:r>
      <w:r>
        <w:rPr>
          <w:rStyle w:val="18"/>
          <w:rFonts w:hint="eastAsia" w:ascii="仿宋_GB2312" w:hAnsi="仿宋_GB2312" w:eastAsia="仿宋_GB2312" w:cs="仿宋_GB2312"/>
          <w:b/>
          <w:bCs w:val="0"/>
          <w:sz w:val="32"/>
          <w:szCs w:val="32"/>
          <w:shd w:val="clear" w:fill="FFFFFF"/>
          <w:lang w:eastAsia="zh-CN"/>
        </w:rPr>
        <w:t>二是</w:t>
      </w:r>
      <w:r>
        <w:rPr>
          <w:rStyle w:val="18"/>
          <w:rFonts w:hint="eastAsia" w:ascii="仿宋_GB2312" w:hAnsi="仿宋_GB2312" w:eastAsia="仿宋_GB2312" w:cs="仿宋_GB2312"/>
          <w:b w:val="0"/>
          <w:bCs/>
          <w:sz w:val="32"/>
          <w:szCs w:val="32"/>
          <w:shd w:val="clear" w:fill="FFFFFF"/>
          <w:lang w:val="en-US" w:eastAsia="zh-CN"/>
        </w:rPr>
        <w:t>项目支出</w:t>
      </w:r>
      <w:r>
        <w:rPr>
          <w:rStyle w:val="18"/>
          <w:rFonts w:hint="eastAsia" w:ascii="仿宋_GB2312" w:hAnsi="仿宋_GB2312" w:eastAsia="仿宋_GB2312" w:cs="仿宋_GB2312"/>
          <w:b w:val="0"/>
          <w:bCs/>
          <w:sz w:val="32"/>
          <w:szCs w:val="32"/>
          <w:shd w:val="clear" w:fill="FFFFFF"/>
          <w:lang w:eastAsia="zh-CN"/>
        </w:rPr>
        <w:t>较202</w:t>
      </w:r>
      <w:r>
        <w:rPr>
          <w:rStyle w:val="18"/>
          <w:rFonts w:hint="eastAsia" w:ascii="仿宋_GB2312" w:hAnsi="仿宋_GB2312" w:eastAsia="仿宋_GB2312" w:cs="仿宋_GB2312"/>
          <w:b w:val="0"/>
          <w:bCs/>
          <w:sz w:val="32"/>
          <w:szCs w:val="32"/>
          <w:shd w:val="clear" w:fill="FFFFFF"/>
          <w:lang w:val="en-US" w:eastAsia="zh-CN"/>
        </w:rPr>
        <w:t>1</w:t>
      </w:r>
      <w:r>
        <w:rPr>
          <w:rStyle w:val="18"/>
          <w:rFonts w:hint="eastAsia" w:ascii="仿宋_GB2312" w:hAnsi="仿宋_GB2312" w:eastAsia="仿宋_GB2312" w:cs="仿宋_GB2312"/>
          <w:b w:val="0"/>
          <w:bCs/>
          <w:sz w:val="32"/>
          <w:szCs w:val="32"/>
          <w:shd w:val="clear" w:fill="FFFFFF"/>
          <w:lang w:eastAsia="zh-CN"/>
        </w:rPr>
        <w:t>年</w:t>
      </w:r>
      <w:r>
        <w:rPr>
          <w:rStyle w:val="18"/>
          <w:rFonts w:hint="eastAsia" w:ascii="仿宋_GB2312" w:hAnsi="仿宋_GB2312" w:eastAsia="仿宋_GB2312" w:cs="仿宋_GB2312"/>
          <w:b w:val="0"/>
          <w:bCs/>
          <w:sz w:val="32"/>
          <w:szCs w:val="32"/>
          <w:shd w:val="clear" w:fill="FFFFFF"/>
          <w:lang w:val="en-US" w:eastAsia="zh-CN"/>
        </w:rPr>
        <w:t>减少55.65</w:t>
      </w:r>
      <w:r>
        <w:rPr>
          <w:rStyle w:val="18"/>
          <w:rFonts w:hint="eastAsia" w:ascii="仿宋_GB2312" w:hAnsi="仿宋_GB2312" w:eastAsia="仿宋_GB2312" w:cs="仿宋_GB2312"/>
          <w:b w:val="0"/>
          <w:bCs/>
          <w:sz w:val="32"/>
          <w:szCs w:val="32"/>
          <w:shd w:val="clear" w:fill="FFFFFF"/>
          <w:lang w:eastAsia="zh-CN"/>
        </w:rPr>
        <w:t>万元</w:t>
      </w:r>
      <w:r>
        <w:rPr>
          <w:rFonts w:hint="eastAsia" w:ascii="仿宋_GB2312" w:hAnsi="仿宋_GB2312" w:eastAsia="仿宋_GB2312" w:cs="仿宋_GB2312"/>
          <w:b w:val="0"/>
          <w:bCs/>
          <w:sz w:val="32"/>
          <w:szCs w:val="32"/>
          <w:shd w:val="clear" w:fill="FFFFFF"/>
          <w:lang w:eastAsia="zh-CN"/>
        </w:rPr>
        <w:t>。</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本年度社会保障和就业支出相比上年度增加30.79万元，主要原因：一</w:t>
      </w:r>
      <w:r>
        <w:rPr>
          <w:rFonts w:hint="eastAsia" w:ascii="仿宋_GB2312" w:hAnsi="仿宋" w:eastAsia="仿宋_GB2312" w:cs="宋体"/>
          <w:b/>
          <w:bCs/>
          <w:kern w:val="0"/>
          <w:sz w:val="32"/>
          <w:szCs w:val="32"/>
          <w:lang w:val="en-US" w:eastAsia="zh-CN" w:bidi="ar"/>
        </w:rPr>
        <w:t>是</w:t>
      </w:r>
      <w:r>
        <w:rPr>
          <w:rFonts w:hint="eastAsia" w:ascii="仿宋_GB2312" w:hAnsi="仿宋" w:eastAsia="仿宋_GB2312" w:cs="宋体"/>
          <w:kern w:val="0"/>
          <w:sz w:val="32"/>
          <w:szCs w:val="32"/>
          <w:lang w:val="en-US" w:eastAsia="zh-CN" w:bidi="ar"/>
        </w:rPr>
        <w:t>2022年社保基数、工资基数、公积金基数增加；</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2022年包含退休人员一人建房补助1万元，2021年无此项资金。</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卫生健康支出相比上年度增加109.45万元，主要原因：</w:t>
      </w:r>
      <w:r>
        <w:rPr>
          <w:rFonts w:hint="eastAsia" w:ascii="仿宋_GB2312" w:hAnsi="仿宋" w:eastAsia="仿宋_GB2312" w:cs="宋体"/>
          <w:b/>
          <w:bCs/>
          <w:kern w:val="0"/>
          <w:sz w:val="32"/>
          <w:szCs w:val="32"/>
          <w:lang w:val="en-US" w:eastAsia="zh-CN" w:bidi="ar"/>
        </w:rPr>
        <w:t>一是</w:t>
      </w:r>
      <w:r>
        <w:rPr>
          <w:rFonts w:hint="eastAsia" w:ascii="仿宋_GB2312" w:hAnsi="仿宋" w:eastAsia="仿宋_GB2312" w:cs="宋体"/>
          <w:kern w:val="0"/>
          <w:sz w:val="32"/>
          <w:szCs w:val="32"/>
          <w:lang w:val="en-US" w:eastAsia="zh-CN" w:bidi="ar"/>
        </w:rPr>
        <w:t>2022年支出包含2022年财政代缴离休人员医疗费16万元，2021年无此项资金；</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2022年社保基数、工资基数增加；</w:t>
      </w:r>
      <w:r>
        <w:rPr>
          <w:rFonts w:hint="eastAsia" w:ascii="仿宋_GB2312" w:hAnsi="仿宋" w:eastAsia="仿宋_GB2312" w:cs="宋体"/>
          <w:b/>
          <w:bCs/>
          <w:kern w:val="0"/>
          <w:sz w:val="32"/>
          <w:szCs w:val="32"/>
          <w:lang w:val="en-US" w:eastAsia="zh-CN" w:bidi="ar"/>
        </w:rPr>
        <w:t>三是</w:t>
      </w:r>
      <w:r>
        <w:rPr>
          <w:rFonts w:hint="eastAsia" w:ascii="仿宋_GB2312" w:hAnsi="仿宋" w:eastAsia="仿宋_GB2312" w:cs="宋体"/>
          <w:kern w:val="0"/>
          <w:sz w:val="32"/>
          <w:szCs w:val="32"/>
          <w:lang w:val="en-US" w:eastAsia="zh-CN" w:bidi="ar"/>
        </w:rPr>
        <w:t>项目较2021年减少55.65万元。</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shd w:val="clear" w:fill="FFFFFF"/>
          <w:lang w:eastAsia="zh-CN"/>
        </w:rPr>
      </w:pPr>
      <w:r>
        <w:rPr>
          <w:rFonts w:hint="eastAsia" w:ascii="仿宋_GB2312" w:hAnsi="仿宋" w:eastAsia="仿宋_GB2312" w:cs="宋体"/>
          <w:kern w:val="0"/>
          <w:sz w:val="32"/>
          <w:szCs w:val="32"/>
          <w:lang w:val="en-US" w:eastAsia="zh-CN" w:bidi="ar"/>
        </w:rPr>
        <w:t>住房保障支出相比上年度增加8.41万元，主要原因：</w:t>
      </w:r>
      <w:r>
        <w:rPr>
          <w:rFonts w:hint="eastAsia" w:ascii="仿宋_GB2312" w:hAnsi="仿宋" w:eastAsia="仿宋_GB2312" w:cs="宋体"/>
          <w:b/>
          <w:bCs/>
          <w:kern w:val="0"/>
          <w:sz w:val="32"/>
          <w:szCs w:val="32"/>
          <w:lang w:val="en-US" w:eastAsia="zh-CN" w:bidi="ar"/>
        </w:rPr>
        <w:t>一是</w:t>
      </w:r>
      <w:r>
        <w:rPr>
          <w:rFonts w:hint="eastAsia" w:ascii="仿宋_GB2312" w:hAnsi="仿宋" w:eastAsia="仿宋_GB2312" w:cs="宋体"/>
          <w:b w:val="0"/>
          <w:bCs w:val="0"/>
          <w:kern w:val="0"/>
          <w:sz w:val="32"/>
          <w:szCs w:val="32"/>
          <w:lang w:val="en-US" w:eastAsia="zh-CN" w:bidi="ar"/>
        </w:rPr>
        <w:t>2022年编外运行2人，人员支出</w:t>
      </w:r>
      <w:r>
        <w:rPr>
          <w:rFonts w:hint="eastAsia" w:ascii="仿宋_GB2312" w:hAnsi="仿宋" w:eastAsia="仿宋_GB2312" w:cs="宋体"/>
          <w:kern w:val="0"/>
          <w:sz w:val="32"/>
          <w:szCs w:val="32"/>
          <w:lang w:val="en-US" w:eastAsia="zh-CN" w:bidi="ar"/>
        </w:rPr>
        <w:t>增加；</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工资基数调整，公积金基数增加。</w:t>
      </w:r>
    </w:p>
    <w:p>
      <w:pPr>
        <w:pStyle w:val="6"/>
        <w:keepNext w:val="0"/>
        <w:keepLines w:val="0"/>
        <w:pageBreakBefore w:val="0"/>
        <w:shd w:val="clear" w:fill="FFFFFF"/>
        <w:kinsoku/>
        <w:wordWrap/>
        <w:overflowPunct/>
        <w:topLinePunct w:val="0"/>
        <w:autoSpaceDE/>
        <w:autoSpaceDN/>
        <w:bidi w:val="0"/>
        <w:spacing w:beforeAutospacing="0" w:afterAutospacing="0" w:line="560" w:lineRule="exact"/>
        <w:ind w:left="0" w:firstLine="640" w:firstLineChars="200"/>
        <w:jc w:val="both"/>
        <w:textAlignment w:val="auto"/>
        <w:rPr>
          <w:rFonts w:hint="eastAsia" w:ascii="仿宋" w:eastAsia="仿宋"/>
          <w:sz w:val="32"/>
          <w:szCs w:val="32"/>
          <w:lang w:eastAsia="zh-CN"/>
        </w:rPr>
      </w:pPr>
    </w:p>
    <w:p>
      <w:pPr>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256530" cy="1625600"/>
            <wp:effectExtent l="4445" t="4445" r="15875" b="82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rPr>
          <w:rFonts w:hint="eastAsia"/>
          <w:lang w:eastAsia="zh-CN"/>
        </w:rPr>
      </w:pP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spacing w:line="600" w:lineRule="exact"/>
        <w:ind w:firstLine="640" w:firstLineChars="200"/>
        <w:jc w:val="left"/>
        <w:rPr>
          <w:rFonts w:ascii="仿宋_GB2312" w:eastAsia="仿宋_GB2312"/>
          <w:sz w:val="32"/>
          <w:szCs w:val="32"/>
        </w:rPr>
      </w:pPr>
    </w:p>
    <w:p>
      <w:pPr>
        <w:pStyle w:val="27"/>
        <w:numPr>
          <w:ilvl w:val="0"/>
          <w:numId w:val="3"/>
        </w:numPr>
        <w:spacing w:line="600" w:lineRule="exact"/>
        <w:ind w:firstLineChars="0"/>
        <w:outlineLvl w:val="1"/>
        <w:rPr>
          <w:rStyle w:val="21"/>
          <w:rFonts w:ascii="黑体" w:eastAsia="黑体"/>
          <w:b w:val="0"/>
        </w:rPr>
      </w:pPr>
      <w:bookmarkStart w:id="24" w:name="_Toc15377206"/>
      <w:bookmarkStart w:id="25" w:name="_Toc15396604"/>
      <w:r>
        <w:rPr>
          <w:rFonts w:hint="eastAsia" w:ascii="黑体" w:eastAsia="黑体"/>
          <w:sz w:val="32"/>
          <w:szCs w:val="32"/>
        </w:rPr>
        <w:t>收</w:t>
      </w:r>
      <w:r>
        <w:rPr>
          <w:rStyle w:val="21"/>
          <w:rFonts w:hint="eastAsia" w:ascii="黑体" w:eastAsia="黑体"/>
          <w:b w:val="0"/>
        </w:rPr>
        <w:t>入决算情况说明</w:t>
      </w:r>
      <w:bookmarkEnd w:id="24"/>
      <w:bookmarkEnd w:id="25"/>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eastAsia" w:ascii="仿宋_GB2312" w:hAnsi="仿宋" w:eastAsia="仿宋_GB2312"/>
          <w:sz w:val="32"/>
          <w:szCs w:val="32"/>
          <w:lang w:eastAsia="zh-CN"/>
        </w:rPr>
      </w:pPr>
      <w:r>
        <w:rPr>
          <w:rFonts w:ascii="仿宋" w:eastAsia="仿宋"/>
          <w:sz w:val="32"/>
          <w:szCs w:val="32"/>
        </w:rPr>
        <w:t>20</w:t>
      </w:r>
      <w:r>
        <w:rPr>
          <w:rFonts w:hint="eastAsia" w:ascii="仿宋" w:eastAsia="仿宋"/>
          <w:sz w:val="32"/>
          <w:szCs w:val="32"/>
        </w:rPr>
        <w:t>22年本年收入合计</w:t>
      </w:r>
      <w:r>
        <w:rPr>
          <w:rFonts w:hint="eastAsia" w:ascii="仿宋" w:eastAsia="仿宋"/>
          <w:sz w:val="32"/>
          <w:szCs w:val="32"/>
          <w:lang w:val="en-US" w:eastAsia="zh-CN"/>
        </w:rPr>
        <w:t>1252.33</w:t>
      </w:r>
      <w:r>
        <w:rPr>
          <w:rFonts w:hint="eastAsia" w:ascii="仿宋" w:eastAsia="仿宋"/>
          <w:sz w:val="32"/>
          <w:szCs w:val="32"/>
        </w:rPr>
        <w:t>万元，</w:t>
      </w:r>
      <w:r>
        <w:rPr>
          <w:rFonts w:hint="eastAsia" w:ascii="仿宋_GB2312" w:hAnsi="仿宋" w:eastAsia="仿宋_GB2312"/>
          <w:sz w:val="32"/>
          <w:szCs w:val="32"/>
          <w:lang w:val="en-US" w:eastAsia="zh-CN"/>
        </w:rPr>
        <w:t>均为</w:t>
      </w:r>
      <w:r>
        <w:rPr>
          <w:rFonts w:hint="eastAsia" w:ascii="仿宋_GB2312" w:hAnsi="仿宋" w:eastAsia="仿宋_GB2312"/>
          <w:sz w:val="32"/>
          <w:szCs w:val="32"/>
          <w:lang w:eastAsia="zh-CN"/>
        </w:rPr>
        <w:t>一般公共预算财政拨款收入，</w:t>
      </w:r>
      <w:r>
        <w:rPr>
          <w:rFonts w:hint="eastAsia" w:ascii="仿宋_GB2312" w:hAnsi="仿宋" w:eastAsia="仿宋_GB2312"/>
          <w:sz w:val="32"/>
          <w:szCs w:val="32"/>
          <w:lang w:val="en-US" w:eastAsia="zh-CN"/>
        </w:rPr>
        <w:t>占比100%</w:t>
      </w:r>
      <w:r>
        <w:rPr>
          <w:rFonts w:hint="eastAsia" w:ascii="仿宋_GB2312" w:hAnsi="仿宋" w:eastAsia="仿宋_GB2312"/>
          <w:sz w:val="32"/>
          <w:szCs w:val="32"/>
          <w:lang w:eastAsia="zh-CN"/>
        </w:rPr>
        <w:t>；</w:t>
      </w:r>
    </w:p>
    <w:p>
      <w:pPr>
        <w:pStyle w:val="4"/>
      </w:pPr>
      <w:r>
        <w:drawing>
          <wp:inline distT="0" distB="0" distL="114300" distR="114300">
            <wp:extent cx="5256530" cy="1985010"/>
            <wp:effectExtent l="4445" t="4445" r="15875" b="107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_GB2312" w:eastAsia="仿宋_GB2312"/>
          <w:sz w:val="32"/>
          <w:szCs w:val="32"/>
        </w:rPr>
      </w:pPr>
      <w:r>
        <w:rPr>
          <w:rFonts w:hint="eastAsia" w:ascii="仿宋" w:eastAsia="仿宋"/>
          <w:sz w:val="32"/>
          <w:szCs w:val="32"/>
        </w:rPr>
        <w:t>（图2：收入决算结构图）（饼状图）</w:t>
      </w:r>
    </w:p>
    <w:p>
      <w:pPr>
        <w:pStyle w:val="27"/>
        <w:numPr>
          <w:ilvl w:val="0"/>
          <w:numId w:val="3"/>
        </w:numPr>
        <w:spacing w:line="600" w:lineRule="exact"/>
        <w:ind w:firstLineChars="0"/>
        <w:outlineLvl w:val="1"/>
        <w:rPr>
          <w:rStyle w:val="21"/>
          <w:rFonts w:ascii="黑体" w:eastAsia="黑体"/>
          <w:b w:val="0"/>
        </w:rPr>
      </w:pPr>
      <w:bookmarkStart w:id="26" w:name="_Toc15377207"/>
      <w:bookmarkStart w:id="27" w:name="_Toc15396605"/>
      <w:r>
        <w:rPr>
          <w:rFonts w:hint="eastAsia" w:ascii="黑体" w:eastAsia="黑体"/>
          <w:sz w:val="32"/>
          <w:szCs w:val="32"/>
        </w:rPr>
        <w:t>支</w:t>
      </w:r>
      <w:r>
        <w:rPr>
          <w:rStyle w:val="21"/>
          <w:rFonts w:hint="eastAsia" w:ascii="黑体" w:eastAsia="黑体"/>
          <w:b w:val="0"/>
        </w:rPr>
        <w:t>出决算情况说明</w:t>
      </w:r>
      <w:bookmarkEnd w:id="26"/>
      <w:bookmarkEnd w:id="27"/>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ascii="仿宋" w:eastAsia="仿宋"/>
          <w:sz w:val="32"/>
          <w:szCs w:val="32"/>
        </w:rPr>
        <w:t>20</w:t>
      </w:r>
      <w:r>
        <w:rPr>
          <w:rFonts w:hint="eastAsia" w:ascii="仿宋" w:eastAsia="仿宋"/>
          <w:sz w:val="32"/>
          <w:szCs w:val="32"/>
        </w:rPr>
        <w:t>22年本年支出合计</w:t>
      </w:r>
      <w:r>
        <w:rPr>
          <w:rFonts w:hint="eastAsia" w:ascii="仿宋_GB2312" w:hAnsi="仿宋" w:eastAsia="仿宋_GB2312" w:cs="宋体"/>
          <w:kern w:val="0"/>
          <w:sz w:val="32"/>
          <w:szCs w:val="32"/>
          <w:lang w:val="en-US" w:eastAsia="zh-CN" w:bidi="ar"/>
        </w:rPr>
        <w:t>1252.33万元。其中：社会保障和就业支出为102.61万元，占比8.19%；卫生健康支出为1094.46万元，占比87.39%；住房保障支出为55.26万元，占比4.41%。</w:t>
      </w:r>
    </w:p>
    <w:p>
      <w:pPr>
        <w:rPr>
          <w:rFonts w:hint="eastAsia" w:ascii="仿宋_GB2312" w:hAnsi="仿宋" w:eastAsia="仿宋_GB2312" w:cs="宋体"/>
          <w:kern w:val="0"/>
          <w:sz w:val="32"/>
          <w:szCs w:val="32"/>
          <w:lang w:val="en-US" w:eastAsia="zh-CN" w:bidi="ar"/>
        </w:rPr>
      </w:pPr>
    </w:p>
    <w:p>
      <w:pPr>
        <w:pStyle w:val="2"/>
        <w:rPr>
          <w:rFonts w:hint="eastAsia" w:ascii="仿宋_GB2312" w:hAnsi="仿宋" w:eastAsia="仿宋_GB2312" w:cs="宋体"/>
          <w:kern w:val="0"/>
          <w:sz w:val="32"/>
          <w:szCs w:val="32"/>
          <w:lang w:val="en-US" w:eastAsia="zh-CN" w:bidi="ar"/>
        </w:rPr>
      </w:pPr>
      <w:r>
        <w:rPr>
          <w:rFonts w:hint="eastAsia" w:ascii="仿宋" w:eastAsia="仿宋"/>
          <w:sz w:val="32"/>
          <w:szCs w:val="32"/>
          <w:lang w:eastAsia="zh-CN"/>
        </w:rPr>
        <w:drawing>
          <wp:inline distT="0" distB="0" distL="114300" distR="114300">
            <wp:extent cx="3754120" cy="2291080"/>
            <wp:effectExtent l="4445" t="4445" r="13335"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4"/>
        <w:rPr>
          <w:rFonts w:hint="default"/>
          <w:lang w:val="en-US"/>
        </w:rPr>
      </w:pPr>
    </w:p>
    <w:p>
      <w:pPr>
        <w:spacing w:line="600" w:lineRule="exact"/>
        <w:ind w:firstLine="640" w:firstLineChars="200"/>
        <w:rPr>
          <w:rFonts w:ascii="仿宋_GB2312" w:eastAsia="仿宋_GB2312"/>
          <w:sz w:val="32"/>
          <w:szCs w:val="32"/>
        </w:rPr>
      </w:pPr>
      <w:r>
        <w:rPr>
          <w:rFonts w:hint="eastAsia" w:ascii="仿宋" w:eastAsia="仿宋"/>
          <w:sz w:val="32"/>
          <w:szCs w:val="32"/>
        </w:rPr>
        <w:t>（图3：支出决算结构图）（饼状图）</w:t>
      </w:r>
    </w:p>
    <w:p>
      <w:pPr>
        <w:spacing w:line="600" w:lineRule="exact"/>
        <w:ind w:firstLine="640" w:firstLineChars="200"/>
        <w:outlineLvl w:val="1"/>
        <w:rPr>
          <w:rStyle w:val="21"/>
          <w:rFonts w:ascii="黑体" w:eastAsia="黑体"/>
          <w:b w:val="0"/>
        </w:rPr>
      </w:pPr>
      <w:bookmarkStart w:id="28" w:name="_Toc15377208"/>
      <w:bookmarkStart w:id="29" w:name="_Toc15396606"/>
      <w:r>
        <w:rPr>
          <w:rFonts w:hint="eastAsia" w:ascii="黑体" w:eastAsia="黑体"/>
          <w:sz w:val="32"/>
          <w:szCs w:val="32"/>
        </w:rPr>
        <w:t>四、财</w:t>
      </w:r>
      <w:r>
        <w:rPr>
          <w:rStyle w:val="21"/>
          <w:rFonts w:hint="eastAsia" w:ascii="黑体" w:eastAsia="黑体"/>
          <w:b w:val="0"/>
        </w:rPr>
        <w:t>政拨款收入支出决算总体情况说明</w:t>
      </w:r>
      <w:bookmarkEnd w:id="28"/>
      <w:bookmarkEnd w:id="29"/>
    </w:p>
    <w:p>
      <w:pPr>
        <w:pStyle w:val="6"/>
        <w:keepNext w:val="0"/>
        <w:keepLines w:val="0"/>
        <w:pageBreakBefore w:val="0"/>
        <w:shd w:val="clear" w:fill="FFFFFF"/>
        <w:kinsoku/>
        <w:wordWrap/>
        <w:overflowPunct/>
        <w:topLinePunct w:val="0"/>
        <w:autoSpaceDE/>
        <w:autoSpaceDN/>
        <w:bidi w:val="0"/>
        <w:spacing w:beforeAutospacing="0" w:afterAutospacing="0" w:line="560" w:lineRule="exact"/>
        <w:ind w:left="0" w:firstLine="640" w:firstLineChars="200"/>
        <w:jc w:val="both"/>
        <w:textAlignment w:val="auto"/>
        <w:rPr>
          <w:rFonts w:hint="eastAsia" w:ascii="仿宋_GB2312" w:hAnsi="仿宋_GB2312" w:eastAsia="仿宋_GB2312" w:cs="仿宋_GB2312"/>
          <w:b w:val="0"/>
          <w:bCs/>
          <w:sz w:val="32"/>
          <w:szCs w:val="32"/>
          <w:shd w:val="clear" w:fill="FFFFFF"/>
          <w:lang w:eastAsia="zh-CN"/>
        </w:rPr>
      </w:pPr>
      <w:r>
        <w:rPr>
          <w:rFonts w:ascii="仿宋" w:eastAsia="仿宋"/>
          <w:sz w:val="32"/>
          <w:szCs w:val="32"/>
        </w:rPr>
        <w:t>20</w:t>
      </w:r>
      <w:r>
        <w:rPr>
          <w:rFonts w:hint="eastAsia" w:ascii="仿宋" w:eastAsia="仿宋"/>
          <w:sz w:val="32"/>
          <w:szCs w:val="32"/>
        </w:rPr>
        <w:t>22年财政拨款收、支总计</w:t>
      </w:r>
      <w:r>
        <w:rPr>
          <w:rFonts w:hint="eastAsia" w:ascii="仿宋_GB2312" w:hAnsi="仿宋" w:eastAsia="仿宋_GB2312"/>
          <w:sz w:val="32"/>
          <w:szCs w:val="32"/>
          <w:lang w:val="en-US" w:eastAsia="zh-CN"/>
        </w:rPr>
        <w:t>1252.33</w:t>
      </w:r>
      <w:r>
        <w:rPr>
          <w:rFonts w:hint="eastAsia" w:ascii="仿宋" w:eastAsia="仿宋"/>
          <w:sz w:val="32"/>
          <w:szCs w:val="32"/>
        </w:rPr>
        <w:t>万元。与2021年相比，收、支总计各增加</w:t>
      </w:r>
      <w:r>
        <w:rPr>
          <w:rFonts w:hint="eastAsia" w:ascii="仿宋" w:eastAsia="仿宋"/>
          <w:sz w:val="32"/>
          <w:szCs w:val="32"/>
          <w:lang w:val="en-US" w:eastAsia="zh-CN"/>
        </w:rPr>
        <w:t>148.65</w:t>
      </w:r>
      <w:r>
        <w:rPr>
          <w:rFonts w:hint="eastAsia" w:ascii="仿宋" w:eastAsia="仿宋"/>
          <w:sz w:val="32"/>
          <w:szCs w:val="32"/>
        </w:rPr>
        <w:t>万元，增长</w:t>
      </w:r>
      <w:r>
        <w:rPr>
          <w:rFonts w:hint="eastAsia" w:ascii="仿宋" w:eastAsia="仿宋"/>
          <w:sz w:val="32"/>
          <w:szCs w:val="32"/>
          <w:lang w:val="en-US" w:eastAsia="zh-CN"/>
        </w:rPr>
        <w:t>13.47</w:t>
      </w:r>
      <w:r>
        <w:rPr>
          <w:rFonts w:ascii="仿宋" w:eastAsia="仿宋"/>
          <w:sz w:val="32"/>
          <w:szCs w:val="32"/>
        </w:rPr>
        <w:t>%</w:t>
      </w:r>
      <w:r>
        <w:rPr>
          <w:rFonts w:hint="eastAsia" w:ascii="仿宋" w:eastAsia="仿宋"/>
          <w:sz w:val="32"/>
          <w:szCs w:val="32"/>
        </w:rPr>
        <w:t>。</w:t>
      </w:r>
      <w:r>
        <w:rPr>
          <w:rFonts w:hint="eastAsia" w:ascii="仿宋_GB2312" w:hAnsi="仿宋" w:eastAsia="仿宋_GB2312" w:cs="宋体"/>
          <w:kern w:val="0"/>
          <w:sz w:val="32"/>
          <w:szCs w:val="32"/>
          <w:lang w:val="en-US" w:eastAsia="zh-CN" w:bidi="ar"/>
        </w:rPr>
        <w:t>本年度一般公共预算财政拨款收入相比上年度增加213.81万元，主要原因：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基本支出，202</w:t>
      </w:r>
      <w:r>
        <w:rPr>
          <w:rFonts w:hint="eastAsia" w:ascii="仿宋_GB2312" w:hAnsi="仿宋_GB2312" w:eastAsia="仿宋_GB2312" w:cs="仿宋_GB2312"/>
          <w:sz w:val="32"/>
          <w:szCs w:val="32"/>
          <w:lang w:val="en-US" w:eastAsia="zh-CN"/>
        </w:rPr>
        <w:t>2编外运行2</w:t>
      </w:r>
      <w:r>
        <w:rPr>
          <w:rFonts w:hint="eastAsia" w:ascii="仿宋_GB2312" w:hAnsi="仿宋_GB2312" w:eastAsia="仿宋_GB2312" w:cs="仿宋_GB2312"/>
          <w:sz w:val="32"/>
          <w:szCs w:val="32"/>
        </w:rPr>
        <w:t>名职工，经费支出增加；202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年社保</w:t>
      </w:r>
      <w:r>
        <w:rPr>
          <w:rFonts w:hint="eastAsia" w:ascii="仿宋_GB2312" w:hAnsi="仿宋_GB2312" w:eastAsia="仿宋_GB2312" w:cs="仿宋_GB2312"/>
          <w:sz w:val="32"/>
          <w:szCs w:val="32"/>
          <w:lang w:val="en-US" w:eastAsia="zh-CN"/>
        </w:rPr>
        <w:t>基数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公积金基数、</w:t>
      </w:r>
      <w:r>
        <w:rPr>
          <w:rFonts w:hint="eastAsia" w:ascii="仿宋_GB2312" w:hAnsi="仿宋_GB2312" w:eastAsia="仿宋_GB2312" w:cs="仿宋_GB2312"/>
          <w:sz w:val="32"/>
          <w:szCs w:val="32"/>
        </w:rPr>
        <w:t>工资基数增加</w:t>
      </w:r>
      <w:r>
        <w:rPr>
          <w:rStyle w:val="18"/>
          <w:rFonts w:hint="eastAsia" w:ascii="仿宋_GB2312" w:hAnsi="仿宋_GB2312" w:eastAsia="仿宋_GB2312" w:cs="仿宋_GB2312"/>
          <w:b w:val="0"/>
          <w:bCs/>
          <w:sz w:val="32"/>
          <w:szCs w:val="32"/>
          <w:shd w:val="clear" w:fill="FFFFFF"/>
          <w:lang w:eastAsia="zh-CN"/>
        </w:rPr>
        <w:t>。</w:t>
      </w:r>
      <w:r>
        <w:rPr>
          <w:rStyle w:val="18"/>
          <w:rFonts w:hint="eastAsia" w:ascii="仿宋_GB2312" w:hAnsi="仿宋_GB2312" w:eastAsia="仿宋_GB2312" w:cs="仿宋_GB2312"/>
          <w:b/>
          <w:bCs w:val="0"/>
          <w:sz w:val="32"/>
          <w:szCs w:val="32"/>
          <w:shd w:val="clear" w:fill="FFFFFF"/>
          <w:lang w:eastAsia="zh-CN"/>
        </w:rPr>
        <w:t>二是</w:t>
      </w:r>
      <w:r>
        <w:rPr>
          <w:rStyle w:val="18"/>
          <w:rFonts w:hint="eastAsia" w:ascii="仿宋_GB2312" w:hAnsi="仿宋_GB2312" w:eastAsia="仿宋_GB2312" w:cs="仿宋_GB2312"/>
          <w:b w:val="0"/>
          <w:bCs/>
          <w:sz w:val="32"/>
          <w:szCs w:val="32"/>
          <w:shd w:val="clear" w:fill="FFFFFF"/>
          <w:lang w:val="en-US" w:eastAsia="zh-CN"/>
        </w:rPr>
        <w:t>项目支出</w:t>
      </w:r>
      <w:r>
        <w:rPr>
          <w:rStyle w:val="18"/>
          <w:rFonts w:hint="eastAsia" w:ascii="仿宋_GB2312" w:hAnsi="仿宋_GB2312" w:eastAsia="仿宋_GB2312" w:cs="仿宋_GB2312"/>
          <w:b w:val="0"/>
          <w:bCs/>
          <w:sz w:val="32"/>
          <w:szCs w:val="32"/>
          <w:shd w:val="clear" w:fill="FFFFFF"/>
          <w:lang w:eastAsia="zh-CN"/>
        </w:rPr>
        <w:t>较202</w:t>
      </w:r>
      <w:r>
        <w:rPr>
          <w:rStyle w:val="18"/>
          <w:rFonts w:hint="eastAsia" w:ascii="仿宋_GB2312" w:hAnsi="仿宋_GB2312" w:eastAsia="仿宋_GB2312" w:cs="仿宋_GB2312"/>
          <w:b w:val="0"/>
          <w:bCs/>
          <w:sz w:val="32"/>
          <w:szCs w:val="32"/>
          <w:shd w:val="clear" w:fill="FFFFFF"/>
          <w:lang w:val="en-US" w:eastAsia="zh-CN"/>
        </w:rPr>
        <w:t>1</w:t>
      </w:r>
      <w:r>
        <w:rPr>
          <w:rStyle w:val="18"/>
          <w:rFonts w:hint="eastAsia" w:ascii="仿宋_GB2312" w:hAnsi="仿宋_GB2312" w:eastAsia="仿宋_GB2312" w:cs="仿宋_GB2312"/>
          <w:b w:val="0"/>
          <w:bCs/>
          <w:sz w:val="32"/>
          <w:szCs w:val="32"/>
          <w:shd w:val="clear" w:fill="FFFFFF"/>
          <w:lang w:eastAsia="zh-CN"/>
        </w:rPr>
        <w:t>年</w:t>
      </w:r>
      <w:r>
        <w:rPr>
          <w:rStyle w:val="18"/>
          <w:rFonts w:hint="eastAsia" w:ascii="仿宋_GB2312" w:hAnsi="仿宋_GB2312" w:eastAsia="仿宋_GB2312" w:cs="仿宋_GB2312"/>
          <w:b w:val="0"/>
          <w:bCs/>
          <w:sz w:val="32"/>
          <w:szCs w:val="32"/>
          <w:shd w:val="clear" w:fill="FFFFFF"/>
          <w:lang w:val="en-US" w:eastAsia="zh-CN"/>
        </w:rPr>
        <w:t>减少55.65</w:t>
      </w:r>
      <w:r>
        <w:rPr>
          <w:rStyle w:val="18"/>
          <w:rFonts w:hint="eastAsia" w:ascii="仿宋_GB2312" w:hAnsi="仿宋_GB2312" w:eastAsia="仿宋_GB2312" w:cs="仿宋_GB2312"/>
          <w:b w:val="0"/>
          <w:bCs/>
          <w:sz w:val="32"/>
          <w:szCs w:val="32"/>
          <w:shd w:val="clear" w:fill="FFFFFF"/>
          <w:lang w:eastAsia="zh-CN"/>
        </w:rPr>
        <w:t>万元</w:t>
      </w:r>
      <w:r>
        <w:rPr>
          <w:rFonts w:hint="eastAsia" w:ascii="仿宋_GB2312" w:hAnsi="仿宋_GB2312" w:eastAsia="仿宋_GB2312" w:cs="仿宋_GB2312"/>
          <w:b w:val="0"/>
          <w:bCs/>
          <w:sz w:val="32"/>
          <w:szCs w:val="32"/>
          <w:shd w:val="clear" w:fill="FFFFFF"/>
          <w:lang w:eastAsia="zh-CN"/>
        </w:rPr>
        <w:t>。</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本年度社会保障和就业支出相比上年度增加30.79万元，主要原因：一</w:t>
      </w:r>
      <w:r>
        <w:rPr>
          <w:rFonts w:hint="eastAsia" w:ascii="仿宋_GB2312" w:hAnsi="仿宋" w:eastAsia="仿宋_GB2312" w:cs="宋体"/>
          <w:b/>
          <w:bCs/>
          <w:kern w:val="0"/>
          <w:sz w:val="32"/>
          <w:szCs w:val="32"/>
          <w:lang w:val="en-US" w:eastAsia="zh-CN" w:bidi="ar"/>
        </w:rPr>
        <w:t>是</w:t>
      </w:r>
      <w:r>
        <w:rPr>
          <w:rFonts w:hint="eastAsia" w:ascii="仿宋_GB2312" w:hAnsi="仿宋" w:eastAsia="仿宋_GB2312" w:cs="宋体"/>
          <w:kern w:val="0"/>
          <w:sz w:val="32"/>
          <w:szCs w:val="32"/>
          <w:lang w:val="en-US" w:eastAsia="zh-CN" w:bidi="ar"/>
        </w:rPr>
        <w:t>2022年社保基数、工资基数、公积金基数增加；</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2022年包含退休人员一人建房补助1万元，2021年无此项资金。</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卫生健康支出相比上年度增加109.45万元，主要原因：</w:t>
      </w:r>
      <w:r>
        <w:rPr>
          <w:rFonts w:hint="eastAsia" w:ascii="仿宋_GB2312" w:hAnsi="仿宋" w:eastAsia="仿宋_GB2312" w:cs="宋体"/>
          <w:b/>
          <w:bCs/>
          <w:kern w:val="0"/>
          <w:sz w:val="32"/>
          <w:szCs w:val="32"/>
          <w:lang w:val="en-US" w:eastAsia="zh-CN" w:bidi="ar"/>
        </w:rPr>
        <w:t>一是</w:t>
      </w:r>
      <w:r>
        <w:rPr>
          <w:rFonts w:hint="eastAsia" w:ascii="仿宋_GB2312" w:hAnsi="仿宋" w:eastAsia="仿宋_GB2312" w:cs="宋体"/>
          <w:kern w:val="0"/>
          <w:sz w:val="32"/>
          <w:szCs w:val="32"/>
          <w:lang w:val="en-US" w:eastAsia="zh-CN" w:bidi="ar"/>
        </w:rPr>
        <w:t>2022年支出包含2022年财政代缴离休人员医疗费16万元，2021年无此项资金；</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2022年社保基数、工资基数增加；</w:t>
      </w:r>
      <w:r>
        <w:rPr>
          <w:rFonts w:hint="eastAsia" w:ascii="仿宋_GB2312" w:hAnsi="仿宋" w:eastAsia="仿宋_GB2312" w:cs="宋体"/>
          <w:b/>
          <w:bCs/>
          <w:kern w:val="0"/>
          <w:sz w:val="32"/>
          <w:szCs w:val="32"/>
          <w:lang w:val="en-US" w:eastAsia="zh-CN" w:bidi="ar"/>
        </w:rPr>
        <w:t>三是</w:t>
      </w:r>
      <w:r>
        <w:rPr>
          <w:rFonts w:hint="eastAsia" w:ascii="仿宋_GB2312" w:hAnsi="仿宋" w:eastAsia="仿宋_GB2312" w:cs="宋体"/>
          <w:kern w:val="0"/>
          <w:sz w:val="32"/>
          <w:szCs w:val="32"/>
          <w:lang w:val="en-US" w:eastAsia="zh-CN" w:bidi="ar"/>
        </w:rPr>
        <w:t>项目较2021年减少55.65万元。</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shd w:val="clear" w:fill="FFFFFF"/>
          <w:lang w:eastAsia="zh-CN"/>
        </w:rPr>
      </w:pPr>
      <w:r>
        <w:rPr>
          <w:rFonts w:hint="eastAsia" w:ascii="仿宋_GB2312" w:hAnsi="仿宋" w:eastAsia="仿宋_GB2312" w:cs="宋体"/>
          <w:kern w:val="0"/>
          <w:sz w:val="32"/>
          <w:szCs w:val="32"/>
          <w:lang w:val="en-US" w:eastAsia="zh-CN" w:bidi="ar"/>
        </w:rPr>
        <w:t>住房保障支出相比上年度增加8.41万元，主要原因：</w:t>
      </w:r>
      <w:r>
        <w:rPr>
          <w:rFonts w:hint="eastAsia" w:ascii="仿宋_GB2312" w:hAnsi="仿宋" w:eastAsia="仿宋_GB2312" w:cs="宋体"/>
          <w:b/>
          <w:bCs/>
          <w:kern w:val="0"/>
          <w:sz w:val="32"/>
          <w:szCs w:val="32"/>
          <w:lang w:val="en-US" w:eastAsia="zh-CN" w:bidi="ar"/>
        </w:rPr>
        <w:t>一是</w:t>
      </w:r>
      <w:r>
        <w:rPr>
          <w:rFonts w:hint="eastAsia" w:ascii="仿宋_GB2312" w:hAnsi="仿宋" w:eastAsia="仿宋_GB2312" w:cs="宋体"/>
          <w:b w:val="0"/>
          <w:bCs w:val="0"/>
          <w:kern w:val="0"/>
          <w:sz w:val="32"/>
          <w:szCs w:val="32"/>
          <w:lang w:val="en-US" w:eastAsia="zh-CN" w:bidi="ar"/>
        </w:rPr>
        <w:t>2022年编外运行2人，人员支出</w:t>
      </w:r>
      <w:r>
        <w:rPr>
          <w:rFonts w:hint="eastAsia" w:ascii="仿宋_GB2312" w:hAnsi="仿宋" w:eastAsia="仿宋_GB2312" w:cs="宋体"/>
          <w:kern w:val="0"/>
          <w:sz w:val="32"/>
          <w:szCs w:val="32"/>
          <w:lang w:val="en-US" w:eastAsia="zh-CN" w:bidi="ar"/>
        </w:rPr>
        <w:t>增加；</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工资基数调整，公积金基数增加。</w:t>
      </w:r>
    </w:p>
    <w:p>
      <w:pPr>
        <w:spacing w:line="600" w:lineRule="exact"/>
        <w:ind w:firstLine="640"/>
        <w:rPr>
          <w:rFonts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lang w:eastAsia="zh-CN"/>
        </w:rPr>
        <w:drawing>
          <wp:anchor distT="0" distB="0" distL="114300" distR="114300" simplePos="0" relativeHeight="251661312" behindDoc="0" locked="0" layoutInCell="1" allowOverlap="1">
            <wp:simplePos x="0" y="0"/>
            <wp:positionH relativeFrom="column">
              <wp:posOffset>410845</wp:posOffset>
            </wp:positionH>
            <wp:positionV relativeFrom="paragraph">
              <wp:posOffset>-1576705</wp:posOffset>
            </wp:positionV>
            <wp:extent cx="4685665" cy="1868805"/>
            <wp:effectExtent l="4445" t="4445" r="15240" b="1270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sz w:val="32"/>
          <w:szCs w:val="32"/>
        </w:rPr>
        <w:t>（图4：财政拨款收、支决算总计变动情况）（柱状图）</w:t>
      </w:r>
    </w:p>
    <w:p>
      <w:pPr>
        <w:spacing w:line="600" w:lineRule="exact"/>
        <w:ind w:firstLine="640"/>
        <w:rPr>
          <w:rFonts w:ascii="仿宋" w:eastAsia="仿宋"/>
          <w:b/>
          <w:sz w:val="32"/>
          <w:szCs w:val="32"/>
        </w:rPr>
      </w:pPr>
    </w:p>
    <w:p>
      <w:pPr>
        <w:spacing w:line="600" w:lineRule="exact"/>
        <w:ind w:firstLine="640" w:firstLineChars="200"/>
        <w:outlineLvl w:val="1"/>
        <w:rPr>
          <w:rStyle w:val="21"/>
          <w:rFonts w:ascii="黑体" w:eastAsia="黑体"/>
          <w:b w:val="0"/>
        </w:rPr>
      </w:pPr>
      <w:bookmarkStart w:id="30" w:name="_Toc15377209"/>
      <w:bookmarkStart w:id="31" w:name="_Toc15396607"/>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0"/>
      <w:bookmarkEnd w:id="31"/>
    </w:p>
    <w:p>
      <w:pPr>
        <w:spacing w:line="600" w:lineRule="exact"/>
        <w:ind w:firstLine="643" w:firstLineChars="200"/>
        <w:outlineLvl w:val="2"/>
        <w:rPr>
          <w:rFonts w:ascii="仿宋" w:eastAsia="仿宋"/>
          <w:b/>
          <w:sz w:val="32"/>
          <w:szCs w:val="32"/>
        </w:rPr>
      </w:pPr>
      <w:bookmarkStart w:id="32" w:name="_Toc15377210"/>
      <w:r>
        <w:rPr>
          <w:rFonts w:hint="eastAsia" w:ascii="仿宋" w:eastAsia="仿宋"/>
          <w:b/>
          <w:sz w:val="32"/>
          <w:szCs w:val="32"/>
        </w:rPr>
        <w:t>（一）一般公共预算财政拨款支出决算总体情况</w:t>
      </w:r>
      <w:bookmarkEnd w:id="32"/>
    </w:p>
    <w:p>
      <w:pPr>
        <w:pStyle w:val="6"/>
        <w:keepNext w:val="0"/>
        <w:keepLines w:val="0"/>
        <w:pageBreakBefore w:val="0"/>
        <w:shd w:val="clear" w:fill="FFFFFF"/>
        <w:kinsoku/>
        <w:wordWrap/>
        <w:overflowPunct/>
        <w:topLinePunct w:val="0"/>
        <w:autoSpaceDE/>
        <w:autoSpaceDN/>
        <w:bidi w:val="0"/>
        <w:spacing w:beforeAutospacing="0" w:afterAutospacing="0" w:line="560" w:lineRule="exact"/>
        <w:ind w:left="0" w:firstLine="640" w:firstLineChars="200"/>
        <w:jc w:val="both"/>
        <w:textAlignment w:val="auto"/>
        <w:rPr>
          <w:rFonts w:hint="eastAsia" w:ascii="仿宋_GB2312" w:hAnsi="仿宋_GB2312" w:eastAsia="仿宋_GB2312" w:cs="仿宋_GB2312"/>
          <w:b w:val="0"/>
          <w:bCs/>
          <w:sz w:val="32"/>
          <w:szCs w:val="32"/>
          <w:shd w:val="clear" w:fill="FFFFFF"/>
          <w:lang w:eastAsia="zh-CN"/>
        </w:rPr>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1252.33</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21年相比，一般公共预算财政拨款支出增加</w:t>
      </w:r>
      <w:r>
        <w:rPr>
          <w:rFonts w:hint="eastAsia" w:ascii="仿宋" w:eastAsia="仿宋"/>
          <w:sz w:val="32"/>
          <w:szCs w:val="32"/>
          <w:lang w:val="en-US" w:eastAsia="zh-CN"/>
        </w:rPr>
        <w:t>213.81</w:t>
      </w:r>
      <w:r>
        <w:rPr>
          <w:rFonts w:hint="eastAsia" w:ascii="仿宋" w:eastAsia="仿宋"/>
          <w:sz w:val="32"/>
          <w:szCs w:val="32"/>
        </w:rPr>
        <w:t>万元，增长</w:t>
      </w:r>
      <w:r>
        <w:rPr>
          <w:rFonts w:hint="eastAsia" w:ascii="仿宋" w:eastAsia="仿宋"/>
          <w:sz w:val="32"/>
          <w:szCs w:val="32"/>
          <w:lang w:val="en-US" w:eastAsia="zh-CN"/>
        </w:rPr>
        <w:t>20.59</w:t>
      </w:r>
      <w:r>
        <w:rPr>
          <w:rFonts w:ascii="仿宋" w:eastAsia="仿宋"/>
          <w:sz w:val="32"/>
          <w:szCs w:val="32"/>
        </w:rPr>
        <w:t>%</w:t>
      </w:r>
      <w:r>
        <w:rPr>
          <w:rFonts w:hint="eastAsia" w:ascii="仿宋" w:eastAsia="仿宋"/>
          <w:sz w:val="32"/>
          <w:szCs w:val="32"/>
        </w:rPr>
        <w:t>。</w:t>
      </w:r>
      <w:r>
        <w:rPr>
          <w:rFonts w:hint="eastAsia" w:ascii="仿宋_GB2312" w:hAnsi="仿宋" w:eastAsia="仿宋_GB2312" w:cs="宋体"/>
          <w:kern w:val="0"/>
          <w:sz w:val="32"/>
          <w:szCs w:val="32"/>
          <w:lang w:val="en-US" w:eastAsia="zh-CN" w:bidi="ar"/>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基本支出，202</w:t>
      </w:r>
      <w:r>
        <w:rPr>
          <w:rFonts w:hint="eastAsia" w:ascii="仿宋_GB2312" w:hAnsi="仿宋_GB2312" w:eastAsia="仿宋_GB2312" w:cs="仿宋_GB2312"/>
          <w:sz w:val="32"/>
          <w:szCs w:val="32"/>
          <w:lang w:val="en-US" w:eastAsia="zh-CN"/>
        </w:rPr>
        <w:t>2编外运行2</w:t>
      </w:r>
      <w:r>
        <w:rPr>
          <w:rFonts w:hint="eastAsia" w:ascii="仿宋_GB2312" w:hAnsi="仿宋_GB2312" w:eastAsia="仿宋_GB2312" w:cs="仿宋_GB2312"/>
          <w:sz w:val="32"/>
          <w:szCs w:val="32"/>
        </w:rPr>
        <w:t>名职工，经费支出增加；202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年社保</w:t>
      </w:r>
      <w:r>
        <w:rPr>
          <w:rFonts w:hint="eastAsia" w:ascii="仿宋_GB2312" w:hAnsi="仿宋_GB2312" w:eastAsia="仿宋_GB2312" w:cs="仿宋_GB2312"/>
          <w:sz w:val="32"/>
          <w:szCs w:val="32"/>
          <w:lang w:val="en-US" w:eastAsia="zh-CN"/>
        </w:rPr>
        <w:t>基数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公积金基数、</w:t>
      </w:r>
      <w:r>
        <w:rPr>
          <w:rFonts w:hint="eastAsia" w:ascii="仿宋_GB2312" w:hAnsi="仿宋_GB2312" w:eastAsia="仿宋_GB2312" w:cs="仿宋_GB2312"/>
          <w:sz w:val="32"/>
          <w:szCs w:val="32"/>
        </w:rPr>
        <w:t>工资基数增加</w:t>
      </w:r>
      <w:r>
        <w:rPr>
          <w:rStyle w:val="18"/>
          <w:rFonts w:hint="eastAsia" w:ascii="仿宋_GB2312" w:hAnsi="仿宋_GB2312" w:eastAsia="仿宋_GB2312" w:cs="仿宋_GB2312"/>
          <w:b w:val="0"/>
          <w:bCs/>
          <w:sz w:val="32"/>
          <w:szCs w:val="32"/>
          <w:shd w:val="clear" w:fill="FFFFFF"/>
          <w:lang w:eastAsia="zh-CN"/>
        </w:rPr>
        <w:t>。</w:t>
      </w:r>
      <w:r>
        <w:rPr>
          <w:rStyle w:val="18"/>
          <w:rFonts w:hint="eastAsia" w:ascii="仿宋_GB2312" w:hAnsi="仿宋_GB2312" w:eastAsia="仿宋_GB2312" w:cs="仿宋_GB2312"/>
          <w:b/>
          <w:bCs w:val="0"/>
          <w:sz w:val="32"/>
          <w:szCs w:val="32"/>
          <w:shd w:val="clear" w:fill="FFFFFF"/>
          <w:lang w:eastAsia="zh-CN"/>
        </w:rPr>
        <w:t>二是</w:t>
      </w:r>
      <w:r>
        <w:rPr>
          <w:rStyle w:val="18"/>
          <w:rFonts w:hint="eastAsia" w:ascii="仿宋_GB2312" w:hAnsi="仿宋_GB2312" w:eastAsia="仿宋_GB2312" w:cs="仿宋_GB2312"/>
          <w:b w:val="0"/>
          <w:bCs/>
          <w:sz w:val="32"/>
          <w:szCs w:val="32"/>
          <w:shd w:val="clear" w:fill="FFFFFF"/>
          <w:lang w:val="en-US" w:eastAsia="zh-CN"/>
        </w:rPr>
        <w:t>项目支出</w:t>
      </w:r>
      <w:r>
        <w:rPr>
          <w:rStyle w:val="18"/>
          <w:rFonts w:hint="eastAsia" w:ascii="仿宋_GB2312" w:hAnsi="仿宋_GB2312" w:eastAsia="仿宋_GB2312" w:cs="仿宋_GB2312"/>
          <w:b w:val="0"/>
          <w:bCs/>
          <w:sz w:val="32"/>
          <w:szCs w:val="32"/>
          <w:shd w:val="clear" w:fill="FFFFFF"/>
          <w:lang w:eastAsia="zh-CN"/>
        </w:rPr>
        <w:t>较202</w:t>
      </w:r>
      <w:r>
        <w:rPr>
          <w:rStyle w:val="18"/>
          <w:rFonts w:hint="eastAsia" w:ascii="仿宋_GB2312" w:hAnsi="仿宋_GB2312" w:eastAsia="仿宋_GB2312" w:cs="仿宋_GB2312"/>
          <w:b w:val="0"/>
          <w:bCs/>
          <w:sz w:val="32"/>
          <w:szCs w:val="32"/>
          <w:shd w:val="clear" w:fill="FFFFFF"/>
          <w:lang w:val="en-US" w:eastAsia="zh-CN"/>
        </w:rPr>
        <w:t>1</w:t>
      </w:r>
      <w:r>
        <w:rPr>
          <w:rStyle w:val="18"/>
          <w:rFonts w:hint="eastAsia" w:ascii="仿宋_GB2312" w:hAnsi="仿宋_GB2312" w:eastAsia="仿宋_GB2312" w:cs="仿宋_GB2312"/>
          <w:b w:val="0"/>
          <w:bCs/>
          <w:sz w:val="32"/>
          <w:szCs w:val="32"/>
          <w:shd w:val="clear" w:fill="FFFFFF"/>
          <w:lang w:eastAsia="zh-CN"/>
        </w:rPr>
        <w:t>年</w:t>
      </w:r>
      <w:r>
        <w:rPr>
          <w:rStyle w:val="18"/>
          <w:rFonts w:hint="eastAsia" w:ascii="仿宋_GB2312" w:hAnsi="仿宋_GB2312" w:eastAsia="仿宋_GB2312" w:cs="仿宋_GB2312"/>
          <w:b w:val="0"/>
          <w:bCs/>
          <w:sz w:val="32"/>
          <w:szCs w:val="32"/>
          <w:shd w:val="clear" w:fill="FFFFFF"/>
          <w:lang w:val="en-US" w:eastAsia="zh-CN"/>
        </w:rPr>
        <w:t>减少55.65</w:t>
      </w:r>
      <w:r>
        <w:rPr>
          <w:rStyle w:val="18"/>
          <w:rFonts w:hint="eastAsia" w:ascii="仿宋_GB2312" w:hAnsi="仿宋_GB2312" w:eastAsia="仿宋_GB2312" w:cs="仿宋_GB2312"/>
          <w:b w:val="0"/>
          <w:bCs/>
          <w:sz w:val="32"/>
          <w:szCs w:val="32"/>
          <w:shd w:val="clear" w:fill="FFFFFF"/>
          <w:lang w:eastAsia="zh-CN"/>
        </w:rPr>
        <w:t>万元</w:t>
      </w:r>
      <w:r>
        <w:rPr>
          <w:rFonts w:hint="eastAsia" w:ascii="仿宋_GB2312" w:hAnsi="仿宋_GB2312" w:eastAsia="仿宋_GB2312" w:cs="仿宋_GB2312"/>
          <w:b w:val="0"/>
          <w:bCs/>
          <w:sz w:val="32"/>
          <w:szCs w:val="32"/>
          <w:shd w:val="clear" w:fill="FFFFFF"/>
          <w:lang w:eastAsia="zh-CN"/>
        </w:rPr>
        <w:t>。</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本年度社会保障和就业支出相比上年度增加30.79万元，主要原因：一</w:t>
      </w:r>
      <w:r>
        <w:rPr>
          <w:rFonts w:hint="eastAsia" w:ascii="仿宋_GB2312" w:hAnsi="仿宋" w:eastAsia="仿宋_GB2312" w:cs="宋体"/>
          <w:b/>
          <w:bCs/>
          <w:kern w:val="0"/>
          <w:sz w:val="32"/>
          <w:szCs w:val="32"/>
          <w:lang w:val="en-US" w:eastAsia="zh-CN" w:bidi="ar"/>
        </w:rPr>
        <w:t>是</w:t>
      </w:r>
      <w:r>
        <w:rPr>
          <w:rFonts w:hint="eastAsia" w:ascii="仿宋_GB2312" w:hAnsi="仿宋" w:eastAsia="仿宋_GB2312" w:cs="宋体"/>
          <w:kern w:val="0"/>
          <w:sz w:val="32"/>
          <w:szCs w:val="32"/>
          <w:lang w:val="en-US" w:eastAsia="zh-CN" w:bidi="ar"/>
        </w:rPr>
        <w:t>2022年社保基数、工资基数、公积金基数增加；</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2022年包含退休人员一人建房补助1万元，2021年无此项资金。</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卫生健康支出相比上年度增加109.45万元，主要原因：</w:t>
      </w:r>
      <w:r>
        <w:rPr>
          <w:rFonts w:hint="eastAsia" w:ascii="仿宋_GB2312" w:hAnsi="仿宋" w:eastAsia="仿宋_GB2312" w:cs="宋体"/>
          <w:b/>
          <w:bCs/>
          <w:kern w:val="0"/>
          <w:sz w:val="32"/>
          <w:szCs w:val="32"/>
          <w:lang w:val="en-US" w:eastAsia="zh-CN" w:bidi="ar"/>
        </w:rPr>
        <w:t>一是</w:t>
      </w:r>
      <w:r>
        <w:rPr>
          <w:rFonts w:hint="eastAsia" w:ascii="仿宋_GB2312" w:hAnsi="仿宋" w:eastAsia="仿宋_GB2312" w:cs="宋体"/>
          <w:kern w:val="0"/>
          <w:sz w:val="32"/>
          <w:szCs w:val="32"/>
          <w:lang w:val="en-US" w:eastAsia="zh-CN" w:bidi="ar"/>
        </w:rPr>
        <w:t>2022年支出包含2022年财政代缴离休人员医疗费16万元，2021年无此项资金；</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2022年社保基数、工资基数增加；</w:t>
      </w:r>
      <w:r>
        <w:rPr>
          <w:rFonts w:hint="eastAsia" w:ascii="仿宋_GB2312" w:hAnsi="仿宋" w:eastAsia="仿宋_GB2312" w:cs="宋体"/>
          <w:b/>
          <w:bCs/>
          <w:kern w:val="0"/>
          <w:sz w:val="32"/>
          <w:szCs w:val="32"/>
          <w:lang w:val="en-US" w:eastAsia="zh-CN" w:bidi="ar"/>
        </w:rPr>
        <w:t>三是</w:t>
      </w:r>
      <w:r>
        <w:rPr>
          <w:rFonts w:hint="eastAsia" w:ascii="仿宋_GB2312" w:hAnsi="仿宋" w:eastAsia="仿宋_GB2312" w:cs="宋体"/>
          <w:kern w:val="0"/>
          <w:sz w:val="32"/>
          <w:szCs w:val="32"/>
          <w:lang w:val="en-US" w:eastAsia="zh-CN" w:bidi="ar"/>
        </w:rPr>
        <w:t>项目较2021年减少55.65万元。</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 w:eastAsia="仿宋_GB2312" w:cs="宋体"/>
          <w:kern w:val="0"/>
          <w:sz w:val="32"/>
          <w:szCs w:val="32"/>
          <w:lang w:val="en-US" w:eastAsia="zh-CN" w:bidi="ar"/>
        </w:rPr>
      </w:pPr>
      <w:r>
        <w:rPr>
          <w:rFonts w:hint="eastAsia" w:ascii="仿宋_GB2312" w:hAnsi="仿宋" w:eastAsia="仿宋_GB2312" w:cs="宋体"/>
          <w:kern w:val="0"/>
          <w:sz w:val="32"/>
          <w:szCs w:val="32"/>
          <w:lang w:val="en-US" w:eastAsia="zh-CN" w:bidi="ar"/>
        </w:rPr>
        <w:t>住房保障支出相比上年度增加8.41万元，主要原因：</w:t>
      </w:r>
      <w:r>
        <w:rPr>
          <w:rFonts w:hint="eastAsia" w:ascii="仿宋_GB2312" w:hAnsi="仿宋" w:eastAsia="仿宋_GB2312" w:cs="宋体"/>
          <w:b/>
          <w:bCs/>
          <w:kern w:val="0"/>
          <w:sz w:val="32"/>
          <w:szCs w:val="32"/>
          <w:lang w:val="en-US" w:eastAsia="zh-CN" w:bidi="ar"/>
        </w:rPr>
        <w:t>一是</w:t>
      </w:r>
      <w:r>
        <w:rPr>
          <w:rFonts w:hint="eastAsia" w:ascii="仿宋_GB2312" w:hAnsi="仿宋" w:eastAsia="仿宋_GB2312" w:cs="宋体"/>
          <w:b w:val="0"/>
          <w:bCs w:val="0"/>
          <w:kern w:val="0"/>
          <w:sz w:val="32"/>
          <w:szCs w:val="32"/>
          <w:lang w:val="en-US" w:eastAsia="zh-CN" w:bidi="ar"/>
        </w:rPr>
        <w:t>2022年编外运行2人，人员支出</w:t>
      </w:r>
      <w:r>
        <w:rPr>
          <w:rFonts w:hint="eastAsia" w:ascii="仿宋_GB2312" w:hAnsi="仿宋" w:eastAsia="仿宋_GB2312" w:cs="宋体"/>
          <w:kern w:val="0"/>
          <w:sz w:val="32"/>
          <w:szCs w:val="32"/>
          <w:lang w:val="en-US" w:eastAsia="zh-CN" w:bidi="ar"/>
        </w:rPr>
        <w:t>增加；</w:t>
      </w:r>
      <w:r>
        <w:rPr>
          <w:rFonts w:hint="eastAsia" w:ascii="仿宋_GB2312" w:hAnsi="仿宋" w:eastAsia="仿宋_GB2312" w:cs="宋体"/>
          <w:b/>
          <w:bCs/>
          <w:kern w:val="0"/>
          <w:sz w:val="32"/>
          <w:szCs w:val="32"/>
          <w:lang w:val="en-US" w:eastAsia="zh-CN" w:bidi="ar"/>
        </w:rPr>
        <w:t>二是</w:t>
      </w:r>
      <w:r>
        <w:rPr>
          <w:rFonts w:hint="eastAsia" w:ascii="仿宋_GB2312" w:hAnsi="仿宋" w:eastAsia="仿宋_GB2312" w:cs="宋体"/>
          <w:kern w:val="0"/>
          <w:sz w:val="32"/>
          <w:szCs w:val="32"/>
          <w:lang w:val="en-US" w:eastAsia="zh-CN" w:bidi="ar"/>
        </w:rPr>
        <w:t>工资基数调整，公积金基数增加。</w:t>
      </w:r>
    </w:p>
    <w:p>
      <w:r>
        <w:rPr>
          <w:rFonts w:hint="eastAsia" w:ascii="仿宋" w:eastAsia="仿宋"/>
          <w:sz w:val="32"/>
          <w:szCs w:val="32"/>
          <w:lang w:eastAsia="zh-CN"/>
        </w:rPr>
        <w:drawing>
          <wp:inline distT="0" distB="0" distL="114300" distR="114300">
            <wp:extent cx="5160645" cy="2828925"/>
            <wp:effectExtent l="4445" t="4445" r="16510"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3" w:name="_Toc15377211"/>
      <w:r>
        <w:rPr>
          <w:rFonts w:hint="eastAsia" w:ascii="仿宋" w:eastAsia="仿宋"/>
          <w:b/>
          <w:sz w:val="32"/>
          <w:szCs w:val="32"/>
        </w:rPr>
        <w:t>（二）一般公共预算财政拨款支出决算结构情况</w:t>
      </w:r>
      <w:bookmarkEnd w:id="33"/>
    </w:p>
    <w:p>
      <w:pPr>
        <w:spacing w:line="600" w:lineRule="exact"/>
        <w:ind w:firstLine="640"/>
        <w:rPr>
          <w:rFonts w:hint="eastAsia" w:ascii="仿宋_GB2312" w:hAnsi="仿宋" w:eastAsia="仿宋_GB2312" w:cs="宋体"/>
          <w:kern w:val="0"/>
          <w:sz w:val="32"/>
          <w:szCs w:val="32"/>
          <w:lang w:val="en-US" w:eastAsia="zh-CN" w:bidi="ar"/>
        </w:rPr>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1252.33</w:t>
      </w:r>
      <w:r>
        <w:rPr>
          <w:rFonts w:hint="eastAsia" w:ascii="仿宋" w:eastAsia="仿宋"/>
          <w:sz w:val="32"/>
          <w:szCs w:val="32"/>
        </w:rPr>
        <w:t>万元，主要用于以下方面</w:t>
      </w:r>
      <w:r>
        <w:rPr>
          <w:rFonts w:hint="eastAsia" w:ascii="仿宋" w:eastAsia="仿宋"/>
          <w:sz w:val="32"/>
          <w:szCs w:val="32"/>
          <w:lang w:eastAsia="zh-CN"/>
        </w:rPr>
        <w:t>：</w:t>
      </w:r>
      <w:r>
        <w:rPr>
          <w:rFonts w:hint="eastAsia" w:ascii="仿宋_GB2312" w:hAnsi="仿宋" w:eastAsia="仿宋_GB2312" w:cs="宋体"/>
          <w:kern w:val="0"/>
          <w:sz w:val="32"/>
          <w:szCs w:val="32"/>
          <w:lang w:val="en-US" w:eastAsia="zh-CN" w:bidi="ar"/>
        </w:rPr>
        <w:t>社会保障和就业支出为102.61万元，占比8.19%；卫生健康支出为1094.46万元，占比87.39%；住房保障支出为55.26万元，占比4.41%。</w:t>
      </w:r>
    </w:p>
    <w:p>
      <w:pPr>
        <w:pStyle w:val="2"/>
        <w:rPr>
          <w:rFonts w:hint="eastAsia" w:ascii="仿宋_GB2312" w:hAnsi="仿宋" w:eastAsia="仿宋_GB2312" w:cs="宋体"/>
          <w:kern w:val="0"/>
          <w:sz w:val="32"/>
          <w:szCs w:val="32"/>
          <w:lang w:val="en-US" w:eastAsia="zh-CN" w:bidi="ar"/>
        </w:rPr>
      </w:pPr>
    </w:p>
    <w:p>
      <w:pPr>
        <w:pStyle w:val="4"/>
        <w:rPr>
          <w:rFonts w:hint="eastAsia" w:ascii="仿宋_GB2312" w:hAnsi="仿宋" w:eastAsia="仿宋_GB2312" w:cs="宋体"/>
          <w:kern w:val="0"/>
          <w:sz w:val="32"/>
          <w:szCs w:val="32"/>
          <w:lang w:val="en-US" w:eastAsia="zh-CN" w:bidi="ar"/>
        </w:rPr>
      </w:pPr>
    </w:p>
    <w:p>
      <w:pPr>
        <w:pStyle w:val="5"/>
        <w:rPr>
          <w:rFonts w:hint="eastAsia"/>
          <w:lang w:val="en-US" w:eastAsia="zh-CN"/>
        </w:rPr>
      </w:pPr>
      <w:bookmarkStart w:id="71" w:name="_GoBack"/>
      <w:bookmarkEnd w:id="71"/>
    </w:p>
    <w:p>
      <w:pPr>
        <w:pStyle w:val="2"/>
        <w:rPr>
          <w:rFonts w:hint="eastAsia" w:ascii="仿宋_GB2312" w:hAnsi="仿宋" w:eastAsia="仿宋_GB2312" w:cs="宋体"/>
          <w:kern w:val="0"/>
          <w:sz w:val="32"/>
          <w:szCs w:val="32"/>
          <w:lang w:val="en-US" w:eastAsia="zh-CN" w:bidi="ar"/>
        </w:rPr>
      </w:pPr>
    </w:p>
    <w:p>
      <w:pPr>
        <w:pStyle w:val="4"/>
        <w:rPr>
          <w:rFonts w:hint="eastAsia" w:ascii="仿宋_GB2312" w:hAnsi="仿宋" w:eastAsia="仿宋_GB2312" w:cs="宋体"/>
          <w:kern w:val="0"/>
          <w:sz w:val="32"/>
          <w:szCs w:val="32"/>
          <w:lang w:val="en-US" w:eastAsia="zh-CN" w:bidi="ar"/>
        </w:rPr>
      </w:pPr>
      <w:r>
        <w:rPr>
          <w:rFonts w:hint="eastAsia" w:ascii="仿宋" w:eastAsia="仿宋"/>
          <w:sz w:val="32"/>
          <w:szCs w:val="32"/>
          <w:lang w:eastAsia="zh-CN"/>
        </w:rPr>
        <w:drawing>
          <wp:anchor distT="0" distB="0" distL="114300" distR="114300" simplePos="0" relativeHeight="251660288" behindDoc="0" locked="0" layoutInCell="1" allowOverlap="1">
            <wp:simplePos x="0" y="0"/>
            <wp:positionH relativeFrom="column">
              <wp:posOffset>31115</wp:posOffset>
            </wp:positionH>
            <wp:positionV relativeFrom="paragraph">
              <wp:posOffset>-903605</wp:posOffset>
            </wp:positionV>
            <wp:extent cx="5527040" cy="2448560"/>
            <wp:effectExtent l="4445" t="4445" r="12065" b="234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ind w:left="0" w:leftChars="0" w:firstLine="0" w:firstLineChars="0"/>
        <w:rPr>
          <w:rFonts w:hint="eastAsia" w:ascii="仿宋_GB2312" w:hAnsi="仿宋" w:eastAsia="仿宋_GB2312" w:cs="宋体"/>
          <w:kern w:val="0"/>
          <w:sz w:val="32"/>
          <w:szCs w:val="32"/>
          <w:lang w:val="en-US" w:eastAsia="zh-CN" w:bidi="ar"/>
        </w:rPr>
      </w:pPr>
    </w:p>
    <w:p>
      <w:pPr>
        <w:spacing w:line="600" w:lineRule="exact"/>
        <w:ind w:firstLine="640" w:firstLineChars="200"/>
        <w:rPr>
          <w:rFonts w:hint="eastAsia" w:ascii="仿宋" w:eastAsia="仿宋"/>
          <w:sz w:val="32"/>
          <w:szCs w:val="32"/>
        </w:rPr>
      </w:pPr>
    </w:p>
    <w:p>
      <w:pPr>
        <w:spacing w:line="600" w:lineRule="exact"/>
        <w:rPr>
          <w:rFonts w:hint="eastAsia"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4" w:name="_Toc15377212"/>
      <w:r>
        <w:rPr>
          <w:rFonts w:hint="eastAsia" w:ascii="仿宋" w:eastAsia="仿宋"/>
          <w:b/>
          <w:sz w:val="32"/>
          <w:szCs w:val="32"/>
        </w:rPr>
        <w:t>（三）一般公共预算财政拨款支出决算具体情况</w:t>
      </w:r>
      <w:bookmarkEnd w:id="34"/>
    </w:p>
    <w:p>
      <w:pPr>
        <w:spacing w:line="600" w:lineRule="exact"/>
        <w:ind w:firstLine="643" w:firstLineChars="200"/>
        <w:outlineLvl w:val="2"/>
        <w:rPr>
          <w:rStyle w:val="18"/>
          <w:rFonts w:hint="eastAsia" w:ascii="仿宋" w:eastAsia="仿宋"/>
          <w:bCs/>
          <w:sz w:val="32"/>
          <w:szCs w:val="32"/>
        </w:rPr>
      </w:pPr>
      <w:bookmarkStart w:id="35" w:name="_Toc15378460"/>
      <w:bookmarkStart w:id="36" w:name="_Toc15377444"/>
      <w:bookmarkStart w:id="37" w:name="_Toc15377213"/>
      <w:r>
        <w:rPr>
          <w:rFonts w:hint="eastAsia" w:ascii="仿宋" w:eastAsia="仿宋"/>
          <w:b/>
          <w:sz w:val="32"/>
          <w:szCs w:val="32"/>
        </w:rPr>
        <w:t>2022年一般公共预算支出决算数为</w:t>
      </w:r>
      <w:r>
        <w:rPr>
          <w:rFonts w:hint="eastAsia" w:ascii="仿宋" w:eastAsia="仿宋"/>
          <w:b/>
          <w:sz w:val="32"/>
          <w:szCs w:val="32"/>
          <w:lang w:val="en-US" w:eastAsia="zh-CN"/>
        </w:rPr>
        <w:t>1252.33</w:t>
      </w:r>
      <w:r>
        <w:rPr>
          <w:rFonts w:hint="eastAsia" w:ascii="仿宋" w:eastAsia="仿宋"/>
          <w:sz w:val="32"/>
          <w:szCs w:val="32"/>
        </w:rPr>
        <w:t>，</w:t>
      </w:r>
      <w:r>
        <w:rPr>
          <w:rStyle w:val="18"/>
          <w:rFonts w:hint="eastAsia" w:ascii="仿宋" w:eastAsia="仿宋"/>
          <w:bCs/>
          <w:sz w:val="32"/>
          <w:szCs w:val="32"/>
        </w:rPr>
        <w:t>完成预算</w:t>
      </w:r>
      <w:r>
        <w:rPr>
          <w:rStyle w:val="18"/>
          <w:rFonts w:hint="eastAsia" w:ascii="仿宋" w:eastAsia="仿宋"/>
          <w:bCs/>
          <w:sz w:val="32"/>
          <w:szCs w:val="32"/>
          <w:lang w:val="en-US" w:eastAsia="zh-CN"/>
        </w:rPr>
        <w:t>100</w:t>
      </w:r>
      <w:r>
        <w:rPr>
          <w:rStyle w:val="18"/>
          <w:rFonts w:ascii="仿宋" w:eastAsia="仿宋"/>
          <w:bCs/>
          <w:sz w:val="32"/>
          <w:szCs w:val="32"/>
        </w:rPr>
        <w:t>%</w:t>
      </w:r>
      <w:r>
        <w:rPr>
          <w:rStyle w:val="18"/>
          <w:rFonts w:hint="eastAsia" w:ascii="仿宋" w:eastAsia="仿宋"/>
          <w:bCs/>
          <w:sz w:val="32"/>
          <w:szCs w:val="32"/>
        </w:rPr>
        <w:t>。其中：</w:t>
      </w:r>
      <w:bookmarkEnd w:id="35"/>
      <w:bookmarkEnd w:id="36"/>
      <w:bookmarkEnd w:id="37"/>
    </w:p>
    <w:p>
      <w:pPr>
        <w:keepNext w:val="0"/>
        <w:keepLines w:val="0"/>
        <w:pageBreakBefore w:val="0"/>
        <w:kinsoku/>
        <w:overflowPunct/>
        <w:topLinePunct w:val="0"/>
        <w:autoSpaceDE/>
        <w:autoSpaceDN/>
        <w:bidi w:val="0"/>
        <w:snapToGrid w:val="0"/>
        <w:spacing w:beforeAutospacing="0" w:afterAutospacing="0" w:line="560" w:lineRule="exact"/>
        <w:ind w:firstLine="640" w:firstLineChars="200"/>
        <w:jc w:val="both"/>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社会保险和就业支出（208）人力资源和社会保障事务（01）社会保险经办机构（09）：本年支出1.0万元，完成调整预算数100%。</w:t>
      </w:r>
    </w:p>
    <w:p>
      <w:pPr>
        <w:keepNext w:val="0"/>
        <w:keepLines w:val="0"/>
        <w:pageBreakBefore w:val="0"/>
        <w:kinsoku/>
        <w:overflowPunct/>
        <w:topLinePunct w:val="0"/>
        <w:autoSpaceDE/>
        <w:autoSpaceDN/>
        <w:bidi w:val="0"/>
        <w:snapToGrid w:val="0"/>
        <w:spacing w:beforeAutospacing="0" w:afterAutospacing="0" w:line="560"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社会保障和就业支出（208）行政事业单位离退休（05）机关事业单位基本养老保险缴费支出（05）：本年支出</w:t>
      </w:r>
      <w:r>
        <w:rPr>
          <w:rFonts w:hint="eastAsia" w:ascii="仿宋_GB2312" w:hAnsi="仿宋" w:eastAsia="仿宋_GB2312"/>
          <w:sz w:val="32"/>
          <w:szCs w:val="32"/>
          <w:lang w:val="en-US" w:eastAsia="zh-CN"/>
        </w:rPr>
        <w:t>67.74</w:t>
      </w:r>
      <w:r>
        <w:rPr>
          <w:rFonts w:hint="eastAsia" w:ascii="仿宋_GB2312" w:hAnsi="仿宋" w:eastAsia="仿宋_GB2312"/>
          <w:sz w:val="32"/>
          <w:szCs w:val="32"/>
        </w:rPr>
        <w:t>万元，完成调整预算数100%</w:t>
      </w:r>
      <w:r>
        <w:rPr>
          <w:rFonts w:hint="eastAsia" w:ascii="仿宋_GB2312" w:hAnsi="仿宋" w:eastAsia="仿宋_GB2312"/>
          <w:sz w:val="32"/>
          <w:szCs w:val="32"/>
          <w:lang w:eastAsia="zh-CN"/>
        </w:rPr>
        <w:t>。</w:t>
      </w:r>
    </w:p>
    <w:p>
      <w:pPr>
        <w:keepNext w:val="0"/>
        <w:keepLines w:val="0"/>
        <w:pageBreakBefore w:val="0"/>
        <w:kinsoku/>
        <w:overflowPunct/>
        <w:topLinePunct w:val="0"/>
        <w:autoSpaceDE/>
        <w:autoSpaceDN/>
        <w:bidi w:val="0"/>
        <w:snapToGrid w:val="0"/>
        <w:spacing w:beforeAutospacing="0" w:afterAutospacing="0" w:line="560"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社会保障和就业支出（208）行政事业单位离退休（05）机关事业单位职业年金缴费支出（06）：本年支出</w:t>
      </w:r>
      <w:r>
        <w:rPr>
          <w:rFonts w:hint="eastAsia" w:ascii="仿宋_GB2312" w:hAnsi="仿宋" w:eastAsia="仿宋_GB2312"/>
          <w:sz w:val="32"/>
          <w:szCs w:val="32"/>
          <w:lang w:val="en-US" w:eastAsia="zh-CN"/>
        </w:rPr>
        <w:t>33.87</w:t>
      </w:r>
      <w:r>
        <w:rPr>
          <w:rFonts w:hint="eastAsia" w:ascii="仿宋_GB2312" w:hAnsi="仿宋" w:eastAsia="仿宋_GB2312"/>
          <w:sz w:val="32"/>
          <w:szCs w:val="32"/>
        </w:rPr>
        <w:t>万元，完成调整预算数100%</w:t>
      </w:r>
      <w:r>
        <w:rPr>
          <w:rFonts w:hint="eastAsia" w:ascii="仿宋_GB2312" w:hAnsi="仿宋" w:eastAsia="仿宋_GB2312"/>
          <w:sz w:val="32"/>
          <w:szCs w:val="32"/>
          <w:lang w:eastAsia="zh-CN"/>
        </w:rPr>
        <w:t>。</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卫生健康支出（210）行政事业单位医疗（11）行政单位医疗（01）：本年支出</w:t>
      </w:r>
      <w:r>
        <w:rPr>
          <w:rFonts w:hint="eastAsia" w:ascii="仿宋_GB2312" w:hAnsi="仿宋" w:eastAsia="仿宋_GB2312"/>
          <w:sz w:val="32"/>
          <w:szCs w:val="32"/>
          <w:lang w:val="en-US" w:eastAsia="zh-CN"/>
        </w:rPr>
        <w:t>45.16</w:t>
      </w:r>
      <w:r>
        <w:rPr>
          <w:rFonts w:hint="eastAsia" w:ascii="仿宋_GB2312" w:hAnsi="仿宋" w:eastAsia="仿宋_GB2312"/>
          <w:sz w:val="32"/>
          <w:szCs w:val="32"/>
        </w:rPr>
        <w:t>万元，完成调整预算数100%</w:t>
      </w:r>
      <w:r>
        <w:rPr>
          <w:rFonts w:hint="eastAsia" w:ascii="仿宋_GB2312" w:hAnsi="仿宋" w:eastAsia="仿宋_GB2312"/>
          <w:sz w:val="32"/>
          <w:szCs w:val="32"/>
          <w:lang w:eastAsia="zh-CN"/>
        </w:rPr>
        <w:t>。</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卫生健康支出（210）行政事业单位医疗（11）公务员医疗补助（03）：本年支出</w:t>
      </w:r>
      <w:r>
        <w:rPr>
          <w:rFonts w:hint="eastAsia" w:ascii="仿宋_GB2312" w:hAnsi="仿宋" w:eastAsia="仿宋_GB2312"/>
          <w:sz w:val="32"/>
          <w:szCs w:val="32"/>
          <w:lang w:val="en-US" w:eastAsia="zh-CN"/>
        </w:rPr>
        <w:t>6.7</w:t>
      </w:r>
      <w:r>
        <w:rPr>
          <w:rFonts w:hint="eastAsia" w:ascii="仿宋_GB2312" w:hAnsi="仿宋" w:eastAsia="仿宋_GB2312"/>
          <w:sz w:val="32"/>
          <w:szCs w:val="32"/>
        </w:rPr>
        <w:t>万元，完成调整预算数100%</w:t>
      </w:r>
      <w:r>
        <w:rPr>
          <w:rFonts w:hint="eastAsia" w:ascii="仿宋_GB2312" w:hAnsi="仿宋" w:eastAsia="仿宋_GB2312"/>
          <w:sz w:val="32"/>
          <w:szCs w:val="32"/>
          <w:lang w:eastAsia="zh-CN"/>
        </w:rPr>
        <w:t>。</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default"/>
          <w:lang w:val="en-US" w:eastAsia="zh-CN"/>
        </w:rPr>
      </w:pPr>
      <w:r>
        <w:rPr>
          <w:rFonts w:hint="eastAsia" w:ascii="仿宋_GB2312" w:hAnsi="仿宋" w:eastAsia="仿宋_GB2312"/>
          <w:sz w:val="32"/>
          <w:szCs w:val="32"/>
        </w:rPr>
        <w:t>卫生健康支出（210）医疗保障管理事务（15）行政运行（01）；本年支出</w:t>
      </w:r>
      <w:r>
        <w:rPr>
          <w:rFonts w:hint="eastAsia" w:ascii="仿宋_GB2312" w:hAnsi="仿宋" w:eastAsia="仿宋_GB2312"/>
          <w:sz w:val="32"/>
          <w:szCs w:val="32"/>
          <w:lang w:val="en-US" w:eastAsia="zh-CN"/>
        </w:rPr>
        <w:t>761.94</w:t>
      </w:r>
      <w:r>
        <w:rPr>
          <w:rFonts w:hint="eastAsia" w:ascii="仿宋_GB2312" w:hAnsi="仿宋" w:eastAsia="仿宋_GB2312"/>
          <w:sz w:val="32"/>
          <w:szCs w:val="32"/>
        </w:rPr>
        <w:t>万元，完成</w:t>
      </w:r>
      <w:r>
        <w:rPr>
          <w:rFonts w:hint="eastAsia" w:ascii="仿宋_GB2312" w:hAnsi="仿宋" w:eastAsia="仿宋_GB2312"/>
          <w:sz w:val="32"/>
          <w:szCs w:val="32"/>
          <w:lang w:val="en-US" w:eastAsia="zh-CN"/>
        </w:rPr>
        <w:t>年初</w:t>
      </w:r>
      <w:r>
        <w:rPr>
          <w:rFonts w:hint="eastAsia" w:ascii="仿宋_GB2312" w:hAnsi="仿宋" w:eastAsia="仿宋_GB2312"/>
          <w:sz w:val="32"/>
          <w:szCs w:val="32"/>
        </w:rPr>
        <w:t>预算</w:t>
      </w:r>
      <w:r>
        <w:rPr>
          <w:rFonts w:hint="eastAsia" w:ascii="仿宋_GB2312" w:hAnsi="仿宋" w:eastAsia="仿宋_GB2312"/>
          <w:sz w:val="32"/>
          <w:szCs w:val="32"/>
          <w:lang w:val="en-US" w:eastAsia="zh-CN"/>
        </w:rPr>
        <w:t>99.2</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b/>
          <w:bCs/>
          <w:color w:val="000000" w:themeColor="text1"/>
          <w:sz w:val="32"/>
          <w:szCs w:val="32"/>
          <w:lang w:val="en-US" w:eastAsia="zh-CN"/>
          <w14:textFill>
            <w14:solidFill>
              <w14:schemeClr w14:val="tx1"/>
            </w14:solidFill>
          </w14:textFill>
        </w:rPr>
        <w:t>一是</w:t>
      </w:r>
      <w:r>
        <w:rPr>
          <w:rFonts w:hint="eastAsia" w:ascii="仿宋_GB2312" w:hAnsi="仿宋" w:eastAsia="仿宋_GB2312"/>
          <w:b w:val="0"/>
          <w:bCs w:val="0"/>
          <w:color w:val="000000" w:themeColor="text1"/>
          <w:sz w:val="32"/>
          <w:szCs w:val="32"/>
          <w:lang w:val="en-US" w:eastAsia="zh-CN"/>
          <w14:textFill>
            <w14:solidFill>
              <w14:schemeClr w14:val="tx1"/>
            </w14:solidFill>
          </w14:textFill>
        </w:rPr>
        <w:t>工资福利支出中</w:t>
      </w:r>
      <w:r>
        <w:rPr>
          <w:rFonts w:hint="eastAsia" w:ascii="仿宋_GB2312" w:hAnsi="仿宋" w:eastAsia="仿宋_GB2312"/>
          <w:color w:val="000000" w:themeColor="text1"/>
          <w:sz w:val="32"/>
          <w:szCs w:val="32"/>
          <w:lang w:val="en-US" w:eastAsia="zh-CN"/>
          <w14:textFill>
            <w14:solidFill>
              <w14:schemeClr w14:val="tx1"/>
            </w14:solidFill>
          </w14:textFill>
        </w:rPr>
        <w:t>残疾人就业保障金调整后预算4.19万元，决算3.94万元，完成预算94.03%</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lang w:val="en-US" w:eastAsia="zh-CN"/>
          <w14:textFill>
            <w14:solidFill>
              <w14:schemeClr w14:val="tx1"/>
            </w14:solidFill>
          </w14:textFill>
        </w:rPr>
        <w:t>二是</w:t>
      </w:r>
      <w:r>
        <w:rPr>
          <w:rFonts w:hint="eastAsia" w:ascii="仿宋_GB2312" w:hAnsi="仿宋" w:eastAsia="仿宋_GB2312"/>
          <w:b w:val="0"/>
          <w:bCs w:val="0"/>
          <w:color w:val="000000" w:themeColor="text1"/>
          <w:sz w:val="32"/>
          <w:szCs w:val="32"/>
          <w:lang w:val="en-US" w:eastAsia="zh-CN"/>
          <w14:textFill>
            <w14:solidFill>
              <w14:schemeClr w14:val="tx1"/>
            </w14:solidFill>
          </w14:textFill>
        </w:rPr>
        <w:t>商品服务支出中</w:t>
      </w:r>
      <w:r>
        <w:rPr>
          <w:rFonts w:hint="eastAsia" w:ascii="仿宋_GB2312" w:hAnsi="仿宋" w:eastAsia="仿宋_GB2312"/>
          <w:color w:val="000000" w:themeColor="text1"/>
          <w:sz w:val="32"/>
          <w:szCs w:val="32"/>
          <w:lang w:val="en-US" w:eastAsia="zh-CN"/>
          <w14:textFill>
            <w14:solidFill>
              <w14:schemeClr w14:val="tx1"/>
            </w14:solidFill>
          </w14:textFill>
        </w:rPr>
        <w:t>培训费调整后预算2.65万元，决算0.53万元，完成预算20%；公务接待费调整后预算1.27万元，决算0.47万元，完成预算37%。</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default" w:ascii="仿宋_GB2312" w:hAnsi="仿宋" w:eastAsia="仿宋_GB2312"/>
          <w:color w:val="0000FF"/>
          <w:sz w:val="32"/>
          <w:szCs w:val="32"/>
          <w:lang w:val="en-US"/>
        </w:rPr>
      </w:pPr>
      <w:r>
        <w:rPr>
          <w:rFonts w:hint="eastAsia" w:ascii="仿宋_GB2312" w:hAnsi="仿宋" w:eastAsia="仿宋_GB2312"/>
          <w:sz w:val="32"/>
          <w:szCs w:val="32"/>
        </w:rPr>
        <w:t>卫生健康支出（210）医疗保障管理事务（15） 一般行政管理事务（02）：本年支出</w:t>
      </w:r>
      <w:r>
        <w:rPr>
          <w:rFonts w:hint="eastAsia" w:ascii="仿宋_GB2312" w:hAnsi="仿宋" w:eastAsia="仿宋_GB2312"/>
          <w:sz w:val="32"/>
          <w:szCs w:val="32"/>
          <w:lang w:val="en-US" w:eastAsia="zh-CN"/>
        </w:rPr>
        <w:t>19.14</w:t>
      </w:r>
      <w:r>
        <w:rPr>
          <w:rFonts w:hint="eastAsia" w:ascii="仿宋_GB2312" w:hAnsi="仿宋" w:eastAsia="仿宋_GB2312"/>
          <w:sz w:val="32"/>
          <w:szCs w:val="32"/>
        </w:rPr>
        <w:t>万元，完成</w:t>
      </w:r>
      <w:r>
        <w:rPr>
          <w:rFonts w:hint="eastAsia" w:ascii="仿宋_GB2312" w:hAnsi="仿宋" w:eastAsia="仿宋_GB2312"/>
          <w:sz w:val="32"/>
          <w:szCs w:val="32"/>
          <w:lang w:val="en-US" w:eastAsia="zh-CN"/>
        </w:rPr>
        <w:t>年初</w:t>
      </w:r>
      <w:r>
        <w:rPr>
          <w:rFonts w:hint="eastAsia" w:ascii="仿宋_GB2312" w:hAnsi="仿宋" w:eastAsia="仿宋_GB2312"/>
          <w:sz w:val="32"/>
          <w:szCs w:val="32"/>
        </w:rPr>
        <w:t>预算数</w:t>
      </w:r>
      <w:r>
        <w:rPr>
          <w:rFonts w:hint="eastAsia" w:ascii="仿宋_GB2312" w:hAnsi="仿宋" w:eastAsia="仿宋_GB2312"/>
          <w:sz w:val="32"/>
          <w:szCs w:val="32"/>
          <w:lang w:val="en-US" w:eastAsia="zh-CN"/>
        </w:rPr>
        <w:t>66.35</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因受疫情影响，年初计划开展的部分培训，无法正常开展。</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医疗保障系统工作人员能力提升培训班年初</w:t>
      </w:r>
      <w:r>
        <w:rPr>
          <w:rFonts w:hint="eastAsia" w:ascii="仿宋_GB2312" w:hAnsi="仿宋" w:eastAsia="仿宋_GB2312"/>
          <w:color w:val="000000" w:themeColor="text1"/>
          <w:sz w:val="32"/>
          <w:szCs w:val="32"/>
          <w:lang w:val="en-US" w:eastAsia="zh-CN"/>
          <w14:textFill>
            <w14:solidFill>
              <w14:schemeClr w14:val="tx1"/>
            </w14:solidFill>
          </w14:textFill>
        </w:rPr>
        <w:t>预算15万元，支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出11.31万元，完成预算75.4%。</w:t>
      </w:r>
      <w:r>
        <w:rPr>
          <w:rFonts w:hint="eastAsia" w:ascii="仿宋_GB2312" w:hAnsi="仿宋" w:eastAsia="仿宋_GB2312"/>
          <w:b/>
          <w:bCs/>
          <w:color w:val="000000" w:themeColor="text1"/>
          <w:sz w:val="32"/>
          <w:szCs w:val="32"/>
          <w:highlight w:val="none"/>
          <w:lang w:val="en-US" w:eastAsia="zh-CN"/>
          <w14:textFill>
            <w14:solidFill>
              <w14:schemeClr w14:val="tx1"/>
            </w14:solidFill>
          </w14:textFill>
        </w:rPr>
        <w:t>二是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阿坝州支付方式改革培训预算10.86万元，支出5.84万元，完成预算53.78%；</w:t>
      </w:r>
      <w:r>
        <w:rPr>
          <w:rFonts w:hint="eastAsia" w:ascii="仿宋_GB2312" w:hAnsi="仿宋" w:eastAsia="仿宋_GB2312"/>
          <w:b/>
          <w:bCs/>
          <w:color w:val="000000" w:themeColor="text1"/>
          <w:sz w:val="32"/>
          <w:szCs w:val="32"/>
          <w:highlight w:val="none"/>
          <w:lang w:val="en-US" w:eastAsia="zh-CN"/>
          <w14:textFill>
            <w14:solidFill>
              <w14:schemeClr w14:val="tx1"/>
            </w14:solidFill>
          </w14:textFill>
        </w:rPr>
        <w:t>三是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聘请法律顾问工作经费预算2万元，支出2万元，完成预算100%。</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卫生健康支出（210）医疗保障管理事务（15）</w:t>
      </w:r>
      <w:r>
        <w:rPr>
          <w:rFonts w:hint="eastAsia" w:ascii="仿宋_GB2312" w:hAnsi="仿宋" w:eastAsia="仿宋_GB2312"/>
          <w:sz w:val="32"/>
          <w:szCs w:val="32"/>
          <w:lang w:val="en-US" w:eastAsia="zh-CN"/>
        </w:rPr>
        <w:t>医疗保障政策管理</w:t>
      </w:r>
      <w:r>
        <w:rPr>
          <w:rFonts w:hint="eastAsia" w:ascii="仿宋_GB2312" w:hAnsi="仿宋" w:eastAsia="仿宋_GB2312"/>
          <w:sz w:val="32"/>
          <w:szCs w:val="32"/>
        </w:rPr>
        <w:t>（</w:t>
      </w:r>
      <w:r>
        <w:rPr>
          <w:rFonts w:hint="eastAsia" w:ascii="仿宋_GB2312" w:hAnsi="仿宋" w:eastAsia="仿宋_GB2312"/>
          <w:sz w:val="32"/>
          <w:szCs w:val="32"/>
          <w:lang w:val="en-US" w:eastAsia="zh-CN"/>
        </w:rPr>
        <w:t>05</w:t>
      </w:r>
      <w:r>
        <w:rPr>
          <w:rFonts w:hint="eastAsia" w:ascii="仿宋_GB2312" w:hAnsi="仿宋" w:eastAsia="仿宋_GB2312"/>
          <w:sz w:val="32"/>
          <w:szCs w:val="32"/>
        </w:rPr>
        <w:t>）：</w:t>
      </w:r>
      <w:r>
        <w:rPr>
          <w:rFonts w:hint="eastAsia" w:ascii="仿宋_GB2312" w:hAnsi="仿宋" w:eastAsia="仿宋_GB2312"/>
          <w:sz w:val="32"/>
          <w:szCs w:val="32"/>
          <w:lang w:val="en-US" w:eastAsia="zh-CN"/>
        </w:rPr>
        <w:t>本年支出89.07万元，完成年初预算数73.61%。</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医保政策宣传费年初预算20万元，支出19.99万元，完成年初预算数99.95%；</w:t>
      </w:r>
      <w:r>
        <w:rPr>
          <w:rFonts w:hint="eastAsia" w:ascii="仿宋_GB2312" w:hAnsi="仿宋" w:eastAsia="仿宋_GB2312"/>
          <w:b/>
          <w:bCs/>
          <w:sz w:val="32"/>
          <w:szCs w:val="32"/>
          <w:lang w:val="en-US" w:eastAsia="zh-CN"/>
        </w:rPr>
        <w:t>二是</w:t>
      </w:r>
      <w:r>
        <w:rPr>
          <w:rFonts w:hint="eastAsia" w:ascii="仿宋_GB2312" w:hAnsi="仿宋" w:eastAsia="仿宋_GB2312"/>
          <w:b w:val="0"/>
          <w:bCs w:val="0"/>
          <w:sz w:val="32"/>
          <w:szCs w:val="32"/>
          <w:lang w:val="en-US" w:eastAsia="zh-CN"/>
        </w:rPr>
        <w:t>医疗救助运行分析经费年初预算10万元，支出5.61万元，完成年初</w:t>
      </w:r>
      <w:r>
        <w:rPr>
          <w:rFonts w:hint="eastAsia" w:ascii="仿宋_GB2312" w:hAnsi="仿宋" w:eastAsia="仿宋_GB2312"/>
          <w:sz w:val="32"/>
          <w:szCs w:val="32"/>
          <w:lang w:val="en-US" w:eastAsia="zh-CN"/>
        </w:rPr>
        <w:t>预算数56.1%；</w:t>
      </w:r>
      <w:r>
        <w:rPr>
          <w:rFonts w:hint="eastAsia" w:ascii="仿宋_GB2312" w:hAnsi="仿宋" w:eastAsia="仿宋_GB2312"/>
          <w:b/>
          <w:bCs/>
          <w:sz w:val="32"/>
          <w:szCs w:val="32"/>
          <w:lang w:val="en-US" w:eastAsia="zh-CN"/>
        </w:rPr>
        <w:t>三是</w:t>
      </w:r>
      <w:r>
        <w:rPr>
          <w:rFonts w:hint="eastAsia" w:ascii="仿宋_GB2312" w:hAnsi="仿宋" w:eastAsia="仿宋_GB2312"/>
          <w:sz w:val="32"/>
          <w:szCs w:val="32"/>
          <w:lang w:val="en-US" w:eastAsia="zh-CN"/>
        </w:rPr>
        <w:t>2022年阿坝州深化医疗服务价格改革专题研究年初预算20万元，支出12.3万元，完成年初预算数61.5%；</w:t>
      </w:r>
      <w:r>
        <w:rPr>
          <w:rFonts w:hint="eastAsia" w:ascii="仿宋_GB2312" w:hAnsi="仿宋" w:eastAsia="仿宋_GB2312"/>
          <w:b/>
          <w:bCs/>
          <w:sz w:val="32"/>
          <w:szCs w:val="32"/>
          <w:lang w:val="en-US" w:eastAsia="zh-CN"/>
        </w:rPr>
        <w:t>四是</w:t>
      </w:r>
      <w:r>
        <w:rPr>
          <w:rFonts w:hint="eastAsia" w:ascii="仿宋_GB2312" w:hAnsi="仿宋" w:eastAsia="仿宋_GB2312"/>
          <w:sz w:val="32"/>
          <w:szCs w:val="32"/>
          <w:lang w:val="en-US" w:eastAsia="zh-CN"/>
        </w:rPr>
        <w:t>成都都江堰地区协议管理年初预算10万元，支出2.63万元，完成年初预算数26.3%；</w:t>
      </w:r>
      <w:r>
        <w:rPr>
          <w:rFonts w:hint="eastAsia" w:ascii="仿宋_GB2312" w:hAnsi="仿宋" w:eastAsia="仿宋_GB2312"/>
          <w:b/>
          <w:bCs/>
          <w:sz w:val="32"/>
          <w:szCs w:val="32"/>
          <w:lang w:val="en-US" w:eastAsia="zh-CN"/>
        </w:rPr>
        <w:t>五是</w:t>
      </w:r>
      <w:r>
        <w:rPr>
          <w:rFonts w:hint="eastAsia" w:ascii="仿宋_GB2312" w:hAnsi="仿宋" w:eastAsia="仿宋_GB2312"/>
          <w:sz w:val="32"/>
          <w:szCs w:val="32"/>
          <w:lang w:val="en-US" w:eastAsia="zh-CN"/>
        </w:rPr>
        <w:t>集中带量采购及非集采药械议价工作专项经费年初预算35万元，支出23.64万元，完成年初预算数26.3%；</w:t>
      </w:r>
      <w:r>
        <w:rPr>
          <w:rFonts w:hint="eastAsia" w:ascii="仿宋_GB2312" w:hAnsi="仿宋" w:eastAsia="仿宋_GB2312"/>
          <w:b/>
          <w:bCs/>
          <w:sz w:val="32"/>
          <w:szCs w:val="32"/>
          <w:lang w:val="en-US" w:eastAsia="zh-CN"/>
        </w:rPr>
        <w:t>六是</w:t>
      </w:r>
      <w:r>
        <w:rPr>
          <w:rFonts w:hint="eastAsia" w:ascii="仿宋_GB2312" w:hAnsi="仿宋" w:eastAsia="仿宋_GB2312"/>
          <w:sz w:val="32"/>
          <w:szCs w:val="32"/>
          <w:lang w:val="en-US" w:eastAsia="zh-CN"/>
        </w:rPr>
        <w:t>审计稽核经费年初预算6万元，支出4.9万元，完成年初预算数81.67%；</w:t>
      </w:r>
      <w:r>
        <w:rPr>
          <w:rFonts w:hint="eastAsia" w:ascii="仿宋_GB2312" w:hAnsi="仿宋" w:eastAsia="仿宋_GB2312"/>
          <w:b/>
          <w:bCs/>
          <w:sz w:val="32"/>
          <w:szCs w:val="32"/>
          <w:lang w:val="en-US" w:eastAsia="zh-CN"/>
        </w:rPr>
        <w:t>七是</w:t>
      </w:r>
      <w:r>
        <w:rPr>
          <w:rFonts w:hint="eastAsia" w:ascii="仿宋_GB2312" w:hAnsi="仿宋" w:eastAsia="仿宋_GB2312"/>
          <w:sz w:val="32"/>
          <w:szCs w:val="32"/>
          <w:lang w:val="en-US" w:eastAsia="zh-CN"/>
        </w:rPr>
        <w:t>医保基金监管和医保经办机构、定点医药机构监督检查工作经费年初预算20万元，支出20万元，完成年初预算数100%；</w:t>
      </w:r>
    </w:p>
    <w:p>
      <w:pPr>
        <w:pStyle w:val="2"/>
        <w:keepNext w:val="0"/>
        <w:keepLines w:val="0"/>
        <w:pageBreakBefore w:val="0"/>
        <w:kinsoku/>
        <w:overflowPunct/>
        <w:topLinePunct w:val="0"/>
        <w:autoSpaceDE/>
        <w:autoSpaceDN/>
        <w:bidi w:val="0"/>
        <w:spacing w:beforeAutospacing="0" w:afterAutospacing="0" w:line="560" w:lineRule="exact"/>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卫生健康支出（210）医疗保障管理事务（15）</w:t>
      </w:r>
      <w:r>
        <w:rPr>
          <w:rFonts w:hint="eastAsia" w:ascii="仿宋_GB2312" w:hAnsi="仿宋" w:eastAsia="仿宋_GB2312"/>
          <w:sz w:val="32"/>
          <w:szCs w:val="32"/>
          <w:lang w:val="en-US" w:eastAsia="zh-CN"/>
        </w:rPr>
        <w:t>医疗保障经办事务</w:t>
      </w:r>
      <w:r>
        <w:rPr>
          <w:rFonts w:hint="eastAsia" w:ascii="仿宋_GB2312" w:hAnsi="仿宋" w:eastAsia="仿宋_GB2312"/>
          <w:sz w:val="32"/>
          <w:szCs w:val="32"/>
        </w:rPr>
        <w:t>（</w:t>
      </w:r>
      <w:r>
        <w:rPr>
          <w:rFonts w:hint="eastAsia" w:ascii="仿宋_GB2312" w:hAnsi="仿宋" w:eastAsia="仿宋_GB2312"/>
          <w:sz w:val="32"/>
          <w:szCs w:val="32"/>
          <w:lang w:val="en-US" w:eastAsia="zh-CN"/>
        </w:rPr>
        <w:t>06</w:t>
      </w:r>
      <w:r>
        <w:rPr>
          <w:rFonts w:hint="eastAsia" w:ascii="仿宋_GB2312" w:hAnsi="仿宋" w:eastAsia="仿宋_GB2312"/>
          <w:sz w:val="32"/>
          <w:szCs w:val="32"/>
        </w:rPr>
        <w:t>）：</w:t>
      </w:r>
      <w:r>
        <w:rPr>
          <w:rFonts w:hint="eastAsia" w:ascii="仿宋_GB2312" w:hAnsi="仿宋" w:eastAsia="仿宋_GB2312"/>
          <w:sz w:val="32"/>
          <w:szCs w:val="32"/>
          <w:lang w:val="en-US" w:eastAsia="zh-CN"/>
        </w:rPr>
        <w:t>本年支出50.6万元，完成年初预算数94.76%。</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异地就医驻点服务年初预算5万元，支出4.21万元，完成年初预算数84.2%；</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医保基金预决算培训会年初预算10万元，支出8.08万元，完成年初预算数80.8%；</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全省医疗保障一体化大数据平台阿坝州骨干网络链路租赁费年初预算38.4万元，支出38.31万元，完成年初预算数99.77%；</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卫生健康支出（210）医疗保障管理事务（15）其他医疗保障经办事务支出（99）：本年支出</w:t>
      </w:r>
      <w:r>
        <w:rPr>
          <w:rFonts w:hint="eastAsia" w:ascii="仿宋_GB2312" w:hAnsi="仿宋" w:eastAsia="仿宋_GB2312"/>
          <w:sz w:val="32"/>
          <w:szCs w:val="32"/>
          <w:lang w:val="en-US" w:eastAsia="zh-CN"/>
        </w:rPr>
        <w:t>121.86</w:t>
      </w:r>
      <w:r>
        <w:rPr>
          <w:rFonts w:hint="eastAsia" w:ascii="仿宋_GB2312" w:hAnsi="仿宋" w:eastAsia="仿宋_GB2312"/>
          <w:sz w:val="32"/>
          <w:szCs w:val="32"/>
        </w:rPr>
        <w:t>万元，完成预算</w:t>
      </w:r>
      <w:r>
        <w:rPr>
          <w:rFonts w:hint="eastAsia" w:ascii="仿宋_GB2312" w:hAnsi="仿宋" w:eastAsia="仿宋_GB2312"/>
          <w:sz w:val="32"/>
          <w:szCs w:val="32"/>
          <w:lang w:val="en-US" w:eastAsia="zh-CN"/>
        </w:rPr>
        <w:t>92.85</w:t>
      </w:r>
      <w:r>
        <w:rPr>
          <w:rFonts w:hint="eastAsia" w:ascii="仿宋_GB2312" w:hAnsi="仿宋" w:eastAsia="仿宋_GB2312"/>
          <w:sz w:val="32"/>
          <w:szCs w:val="32"/>
        </w:rPr>
        <w:t>%。差异原因</w:t>
      </w:r>
      <w:r>
        <w:rPr>
          <w:rFonts w:hint="eastAsia" w:hAnsi="仿宋" w:eastAsia="仿宋_GB2312"/>
          <w:sz w:val="32"/>
          <w:szCs w:val="32"/>
          <w:lang w:eastAsia="zh-CN"/>
        </w:rPr>
        <w:t>：</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2020年中央医疗服务和保障能力提升资金预算8.76万元，支出8.76万元，完成预算100%；</w:t>
      </w:r>
      <w:r>
        <w:rPr>
          <w:rFonts w:hint="eastAsia" w:ascii="仿宋_GB2312" w:hAnsi="仿宋" w:eastAsia="仿宋_GB2312"/>
          <w:b/>
          <w:bCs/>
          <w:sz w:val="32"/>
          <w:szCs w:val="32"/>
          <w:lang w:val="en-US" w:eastAsia="zh-CN"/>
        </w:rPr>
        <w:t>二是</w:t>
      </w:r>
      <w:r>
        <w:rPr>
          <w:rFonts w:hint="eastAsia" w:ascii="仿宋_GB2312" w:hAnsi="仿宋" w:eastAsia="仿宋_GB2312"/>
          <w:sz w:val="32"/>
          <w:szCs w:val="32"/>
          <w:lang w:val="en-US" w:eastAsia="zh-CN"/>
        </w:rPr>
        <w:t>2022年中央医疗服务与保障能力提升资金预算110万元，支出109.14万元，完成预算99.22%。</w:t>
      </w:r>
      <w:r>
        <w:rPr>
          <w:rFonts w:hint="eastAsia" w:ascii="仿宋_GB2312" w:hAnsi="仿宋" w:eastAsia="仿宋_GB2312"/>
          <w:b/>
          <w:bCs/>
          <w:sz w:val="32"/>
          <w:szCs w:val="32"/>
          <w:lang w:val="en-US" w:eastAsia="zh-CN"/>
        </w:rPr>
        <w:t>三是</w:t>
      </w:r>
      <w:r>
        <w:rPr>
          <w:rFonts w:hint="eastAsia" w:ascii="仿宋_GB2312" w:hAnsi="仿宋" w:eastAsia="仿宋_GB2312"/>
          <w:sz w:val="32"/>
          <w:szCs w:val="32"/>
          <w:lang w:val="en-US" w:eastAsia="zh-CN"/>
        </w:rPr>
        <w:t>2021年人社公共服务建设资金预算2.42万元，支出2.42万元，完成预算100%；</w:t>
      </w:r>
      <w:r>
        <w:rPr>
          <w:rFonts w:hint="eastAsia" w:ascii="仿宋_GB2312" w:hAnsi="仿宋" w:eastAsia="仿宋_GB2312"/>
          <w:b/>
          <w:bCs/>
          <w:sz w:val="32"/>
          <w:szCs w:val="32"/>
          <w:lang w:val="en-US" w:eastAsia="zh-CN"/>
        </w:rPr>
        <w:t>四是</w:t>
      </w:r>
      <w:r>
        <w:rPr>
          <w:rFonts w:hint="eastAsia" w:ascii="仿宋_GB2312" w:hAnsi="仿宋" w:eastAsia="仿宋_GB2312"/>
          <w:sz w:val="32"/>
          <w:szCs w:val="32"/>
          <w:lang w:val="en-US" w:eastAsia="zh-CN"/>
        </w:rPr>
        <w:t>2022年人社公共服务建设资金预算10万元，支出1.48万元，完成预算14.8%；</w:t>
      </w:r>
      <w:r>
        <w:rPr>
          <w:rFonts w:hint="eastAsia" w:ascii="仿宋_GB2312" w:hAnsi="仿宋" w:eastAsia="仿宋_GB2312"/>
          <w:b/>
          <w:bCs/>
          <w:sz w:val="32"/>
          <w:szCs w:val="32"/>
          <w:lang w:val="en-US" w:eastAsia="zh-CN"/>
        </w:rPr>
        <w:t>五是</w:t>
      </w:r>
      <w:r>
        <w:rPr>
          <w:rFonts w:hint="eastAsia" w:ascii="仿宋_GB2312" w:hAnsi="仿宋" w:eastAsia="仿宋_GB2312"/>
          <w:sz w:val="32"/>
          <w:szCs w:val="32"/>
          <w:lang w:val="en-US" w:eastAsia="zh-CN"/>
        </w:rPr>
        <w:t xml:space="preserve">举报奖励金预算0.07万元，支出0.07万元，完成预算100%。 </w:t>
      </w:r>
    </w:p>
    <w:p>
      <w:pPr>
        <w:keepNext w:val="0"/>
        <w:keepLines w:val="0"/>
        <w:pageBreakBefore w:val="0"/>
        <w:kinsoku/>
        <w:overflowPunct/>
        <w:topLinePunct w:val="0"/>
        <w:autoSpaceDE/>
        <w:autoSpaceDN/>
        <w:bidi w:val="0"/>
        <w:snapToGrid w:val="0"/>
        <w:spacing w:beforeAutospacing="0" w:afterAutospacing="0" w:line="560" w:lineRule="exact"/>
        <w:ind w:firstLine="640" w:firstLineChars="200"/>
        <w:jc w:val="both"/>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rPr>
        <w:t>住房保障支出（221）住房改革支出（02）住房公积金（01）：本年支出</w:t>
      </w:r>
      <w:r>
        <w:rPr>
          <w:rFonts w:hint="eastAsia" w:ascii="仿宋_GB2312" w:hAnsi="仿宋" w:eastAsia="仿宋_GB2312"/>
          <w:sz w:val="32"/>
          <w:szCs w:val="32"/>
          <w:lang w:val="en-US" w:eastAsia="zh-CN"/>
        </w:rPr>
        <w:t>55.26</w:t>
      </w:r>
      <w:r>
        <w:rPr>
          <w:rFonts w:hint="eastAsia" w:ascii="仿宋_GB2312" w:hAnsi="仿宋" w:eastAsia="仿宋_GB2312"/>
          <w:sz w:val="32"/>
          <w:szCs w:val="32"/>
        </w:rPr>
        <w:t>万元，完成调整预算数100%</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 xml:space="preserve">  </w:t>
      </w:r>
    </w:p>
    <w:p>
      <w:pPr>
        <w:spacing w:line="600" w:lineRule="exact"/>
        <w:ind w:firstLine="640"/>
        <w:rPr>
          <w:rFonts w:ascii="仿宋" w:eastAsia="仿宋"/>
          <w:b/>
          <w:sz w:val="32"/>
          <w:szCs w:val="32"/>
        </w:rPr>
      </w:pPr>
    </w:p>
    <w:p>
      <w:pPr>
        <w:tabs>
          <w:tab w:val="right" w:pos="8306"/>
        </w:tabs>
        <w:spacing w:line="600" w:lineRule="exact"/>
        <w:ind w:firstLine="640"/>
        <w:outlineLvl w:val="1"/>
        <w:rPr>
          <w:rStyle w:val="21"/>
        </w:rPr>
      </w:pPr>
      <w:bookmarkStart w:id="38" w:name="_Toc15377214"/>
      <w:bookmarkStart w:id="39" w:name="_Toc1539660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38"/>
      <w:bookmarkEnd w:id="39"/>
      <w:r>
        <w:rPr>
          <w:rStyle w:val="21"/>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22年一般公共预算财政拨款基本支出</w:t>
      </w:r>
      <w:r>
        <w:rPr>
          <w:rFonts w:hint="eastAsia" w:ascii="仿宋" w:eastAsia="仿宋"/>
          <w:sz w:val="32"/>
          <w:szCs w:val="32"/>
          <w:lang w:val="en-US" w:eastAsia="zh-CN"/>
        </w:rPr>
        <w:t>971.67</w:t>
      </w:r>
      <w:r>
        <w:rPr>
          <w:rFonts w:hint="eastAsia" w:ascii="仿宋" w:eastAsia="仿宋"/>
          <w:sz w:val="32"/>
          <w:szCs w:val="32"/>
        </w:rPr>
        <w:t>万元，其中：</w:t>
      </w:r>
    </w:p>
    <w:p>
      <w:pPr>
        <w:spacing w:line="600" w:lineRule="exact"/>
        <w:ind w:firstLine="645"/>
        <w:rPr>
          <w:rFonts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901.78</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69.89</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eastAsia="仿宋"/>
          <w:b/>
          <w:sz w:val="32"/>
          <w:szCs w:val="32"/>
        </w:rPr>
      </w:pPr>
    </w:p>
    <w:p>
      <w:pPr>
        <w:spacing w:line="600" w:lineRule="exact"/>
        <w:ind w:firstLine="640"/>
        <w:outlineLvl w:val="1"/>
        <w:rPr>
          <w:rStyle w:val="21"/>
          <w:rFonts w:ascii="黑体" w:eastAsia="黑体"/>
          <w:b w:val="0"/>
        </w:rPr>
      </w:pPr>
      <w:bookmarkStart w:id="40" w:name="_Toc15396609"/>
      <w:bookmarkStart w:id="41" w:name="_Toc15377215"/>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40"/>
      <w:bookmarkEnd w:id="41"/>
    </w:p>
    <w:p>
      <w:pPr>
        <w:spacing w:line="600" w:lineRule="exact"/>
        <w:ind w:firstLine="640"/>
        <w:outlineLvl w:val="2"/>
        <w:rPr>
          <w:rFonts w:ascii="仿宋" w:eastAsia="仿宋"/>
          <w:b/>
          <w:sz w:val="32"/>
          <w:szCs w:val="32"/>
        </w:rPr>
      </w:pPr>
      <w:bookmarkStart w:id="42" w:name="_Toc15377216"/>
      <w:r>
        <w:rPr>
          <w:rFonts w:hint="eastAsia" w:ascii="仿宋" w:eastAsia="仿宋"/>
          <w:b/>
          <w:sz w:val="32"/>
          <w:szCs w:val="32"/>
        </w:rPr>
        <w:t>（一）“三公”经费财政拨款支出决算总体情况说明</w:t>
      </w:r>
      <w:bookmarkEnd w:id="42"/>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22年“三公”经费财政拨款支出决算为</w:t>
      </w:r>
      <w:r>
        <w:rPr>
          <w:rFonts w:hint="eastAsia" w:ascii="仿宋" w:eastAsia="仿宋"/>
          <w:sz w:val="32"/>
          <w:szCs w:val="32"/>
          <w:lang w:val="en-US" w:eastAsia="zh-CN"/>
        </w:rPr>
        <w:t>23.39</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，较上年增加</w:t>
      </w:r>
      <w:r>
        <w:rPr>
          <w:rFonts w:hint="eastAsia" w:ascii="仿宋" w:eastAsia="仿宋"/>
          <w:sz w:val="32"/>
          <w:szCs w:val="32"/>
          <w:lang w:val="en-US" w:eastAsia="zh-CN"/>
        </w:rPr>
        <w:t>0.33</w:t>
      </w:r>
      <w:r>
        <w:rPr>
          <w:rFonts w:hint="eastAsia" w:ascii="仿宋" w:eastAsia="仿宋"/>
          <w:sz w:val="32"/>
          <w:szCs w:val="32"/>
        </w:rPr>
        <w:t>万元，增长</w:t>
      </w:r>
      <w:r>
        <w:rPr>
          <w:rFonts w:hint="eastAsia" w:ascii="仿宋" w:eastAsia="仿宋"/>
          <w:sz w:val="32"/>
          <w:szCs w:val="32"/>
          <w:lang w:val="en-US" w:eastAsia="zh-CN"/>
        </w:rPr>
        <w:t>1.43</w:t>
      </w:r>
      <w:r>
        <w:rPr>
          <w:rFonts w:hint="eastAsia" w:ascii="仿宋" w:eastAsia="仿宋"/>
          <w:sz w:val="32"/>
          <w:szCs w:val="32"/>
        </w:rPr>
        <w:t>%。决算数</w:t>
      </w:r>
      <w:r>
        <w:rPr>
          <w:rFonts w:hint="eastAsia" w:ascii="仿宋" w:eastAsia="仿宋"/>
          <w:sz w:val="32"/>
          <w:szCs w:val="32"/>
          <w:lang w:val="en-US" w:eastAsia="zh-CN"/>
        </w:rPr>
        <w:t>与</w:t>
      </w:r>
      <w:r>
        <w:rPr>
          <w:rFonts w:hint="eastAsia" w:ascii="仿宋" w:eastAsia="仿宋"/>
          <w:sz w:val="32"/>
          <w:szCs w:val="32"/>
        </w:rPr>
        <w:t>预算数持平的主要原因是</w:t>
      </w:r>
      <w:r>
        <w:rPr>
          <w:rFonts w:hint="eastAsia" w:ascii="仿宋" w:eastAsia="仿宋"/>
          <w:sz w:val="32"/>
          <w:szCs w:val="32"/>
          <w:lang w:val="en-US" w:eastAsia="zh-CN"/>
        </w:rPr>
        <w:t>遵循了“厉行节约，反对浪费”原则</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43" w:name="_Toc15377217"/>
      <w:r>
        <w:rPr>
          <w:rFonts w:hint="eastAsia" w:ascii="仿宋" w:eastAsia="仿宋"/>
          <w:b/>
          <w:sz w:val="32"/>
          <w:szCs w:val="32"/>
        </w:rPr>
        <w:t>（二）“三公”经费财政拨款支出决算具体情况说明</w:t>
      </w:r>
      <w:bookmarkEnd w:id="43"/>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22年“三公”经费财政拨款支出决算中，因公出国（境）费支出决算</w:t>
      </w:r>
      <w:r>
        <w:rPr>
          <w:rFonts w:hint="eastAsia" w:ascii="仿宋" w:eastAsia="仿宋"/>
          <w:sz w:val="32"/>
          <w:szCs w:val="32"/>
          <w:lang w:val="en-US" w:eastAsia="zh-CN"/>
        </w:rPr>
        <w:t>0.00</w:t>
      </w:r>
      <w:r>
        <w:rPr>
          <w:rFonts w:hint="eastAsia" w:ascii="仿宋" w:eastAsia="仿宋"/>
          <w:sz w:val="32"/>
          <w:szCs w:val="32"/>
        </w:rPr>
        <w:t>万元；公务用车购置及运行维护费支出决算</w:t>
      </w:r>
      <w:r>
        <w:rPr>
          <w:rFonts w:hint="eastAsia" w:ascii="仿宋" w:eastAsia="仿宋"/>
          <w:sz w:val="32"/>
          <w:szCs w:val="32"/>
          <w:lang w:val="en-US" w:eastAsia="zh-CN"/>
        </w:rPr>
        <w:t>22.92</w:t>
      </w:r>
      <w:r>
        <w:rPr>
          <w:rFonts w:hint="eastAsia" w:ascii="仿宋" w:eastAsia="仿宋"/>
          <w:sz w:val="32"/>
          <w:szCs w:val="32"/>
        </w:rPr>
        <w:t>万元，占</w:t>
      </w:r>
      <w:r>
        <w:rPr>
          <w:rFonts w:hint="eastAsia" w:ascii="仿宋" w:eastAsia="仿宋"/>
          <w:sz w:val="32"/>
          <w:szCs w:val="32"/>
          <w:lang w:val="en-US" w:eastAsia="zh-CN"/>
        </w:rPr>
        <w:t>97.99</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0.47</w:t>
      </w:r>
      <w:r>
        <w:rPr>
          <w:rFonts w:hint="eastAsia" w:ascii="仿宋" w:eastAsia="仿宋"/>
          <w:sz w:val="32"/>
          <w:szCs w:val="32"/>
        </w:rPr>
        <w:t>万元，占</w:t>
      </w:r>
      <w:r>
        <w:rPr>
          <w:rFonts w:hint="eastAsia" w:ascii="仿宋" w:eastAsia="仿宋"/>
          <w:sz w:val="32"/>
          <w:szCs w:val="32"/>
          <w:lang w:val="en-US" w:eastAsia="zh-CN"/>
        </w:rPr>
        <w:t>2.01</w:t>
      </w:r>
      <w:r>
        <w:rPr>
          <w:rFonts w:ascii="仿宋" w:eastAsia="仿宋"/>
          <w:sz w:val="32"/>
          <w:szCs w:val="32"/>
        </w:rPr>
        <w:t>%</w:t>
      </w:r>
      <w:r>
        <w:rPr>
          <w:rFonts w:hint="eastAsia" w:ascii="仿宋" w:eastAsia="仿宋"/>
          <w:sz w:val="32"/>
          <w:szCs w:val="32"/>
        </w:rPr>
        <w:t>。具体情况如下：</w:t>
      </w:r>
    </w:p>
    <w:p>
      <w:pPr>
        <w:pStyle w:val="2"/>
        <w:rPr>
          <w:rFonts w:hint="eastAsia" w:ascii="仿宋" w:eastAsia="仿宋"/>
          <w:sz w:val="32"/>
          <w:szCs w:val="32"/>
        </w:rPr>
      </w:pPr>
      <w:r>
        <w:rPr>
          <w:rFonts w:hint="eastAsia" w:ascii="仿宋" w:eastAsia="仿宋"/>
          <w:sz w:val="32"/>
          <w:szCs w:val="32"/>
          <w:lang w:eastAsia="zh-CN"/>
        </w:rPr>
        <w:drawing>
          <wp:inline distT="0" distB="0" distL="114300" distR="114300">
            <wp:extent cx="4294505" cy="2861310"/>
            <wp:effectExtent l="4445" t="4445" r="6350" b="107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4"/>
      </w:pPr>
    </w:p>
    <w:p>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pPr>
        <w:pStyle w:val="6"/>
        <w:keepNext w:val="0"/>
        <w:keepLines w:val="0"/>
        <w:pageBreakBefore w:val="0"/>
        <w:numPr>
          <w:ilvl w:val="0"/>
          <w:numId w:val="4"/>
        </w:numPr>
        <w:shd w:val="clear" w:fill="FFFFFF"/>
        <w:kinsoku/>
        <w:overflowPunct/>
        <w:topLinePunct w:val="0"/>
        <w:autoSpaceDE/>
        <w:autoSpaceDN/>
        <w:bidi w:val="0"/>
        <w:spacing w:beforeAutospacing="0" w:afterAutospacing="0" w:line="560" w:lineRule="exact"/>
        <w:ind w:firstLine="643" w:firstLineChars="200"/>
        <w:jc w:val="both"/>
        <w:textAlignment w:val="auto"/>
        <w:rPr>
          <w:rStyle w:val="18"/>
          <w:rFonts w:hint="eastAsia" w:ascii="仿宋" w:eastAsia="仿宋"/>
          <w:b w:val="0"/>
          <w:bCs/>
          <w:sz w:val="32"/>
          <w:szCs w:val="32"/>
        </w:rPr>
      </w:pPr>
      <w:r>
        <w:rPr>
          <w:rFonts w:hint="eastAsia" w:ascii="仿宋_GB2312" w:eastAsia="仿宋_GB2312"/>
          <w:b/>
          <w:sz w:val="32"/>
          <w:szCs w:val="32"/>
        </w:rPr>
        <w:t>因公出国（境）经费支出</w:t>
      </w:r>
      <w:r>
        <w:rPr>
          <w:rFonts w:hint="eastAsia" w:ascii="仿宋_GB2312" w:eastAsia="仿宋_GB2312"/>
          <w:sz w:val="32"/>
          <w:szCs w:val="32"/>
          <w:lang w:val="en-US" w:eastAsia="zh-CN"/>
        </w:rPr>
        <w:t>0.00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hAnsi="仿宋" w:eastAsia="仿宋_GB2312"/>
          <w:sz w:val="32"/>
          <w:szCs w:val="32"/>
          <w:lang w:eastAsia="zh-CN"/>
        </w:rPr>
        <w:t>相比上年度减少</w:t>
      </w:r>
      <w:r>
        <w:rPr>
          <w:rFonts w:hint="eastAsia" w:ascii="仿宋_GB2312" w:hAnsi="仿宋" w:eastAsia="仿宋_GB2312"/>
          <w:sz w:val="32"/>
          <w:szCs w:val="32"/>
          <w:lang w:val="en-US" w:eastAsia="zh-CN"/>
        </w:rPr>
        <w:t>0.00</w:t>
      </w:r>
      <w:r>
        <w:rPr>
          <w:rFonts w:hint="eastAsia" w:ascii="仿宋_GB2312" w:hAnsi="仿宋" w:eastAsia="仿宋_GB2312"/>
          <w:sz w:val="32"/>
          <w:szCs w:val="32"/>
          <w:lang w:eastAsia="zh-CN"/>
        </w:rPr>
        <w:t>万元。</w:t>
      </w:r>
    </w:p>
    <w:p>
      <w:pPr>
        <w:pStyle w:val="6"/>
        <w:keepNext w:val="0"/>
        <w:keepLines w:val="0"/>
        <w:pageBreakBefore w:val="0"/>
        <w:numPr>
          <w:ilvl w:val="0"/>
          <w:numId w:val="4"/>
        </w:numPr>
        <w:shd w:val="clear" w:fill="FFFFFF"/>
        <w:kinsoku/>
        <w:overflowPunct/>
        <w:topLinePunct w:val="0"/>
        <w:autoSpaceDE/>
        <w:autoSpaceDN/>
        <w:bidi w:val="0"/>
        <w:spacing w:beforeAutospacing="0" w:afterAutospacing="0" w:line="560" w:lineRule="exact"/>
        <w:ind w:firstLine="643" w:firstLineChars="200"/>
        <w:jc w:val="both"/>
        <w:textAlignment w:val="auto"/>
        <w:rPr>
          <w:rFonts w:ascii="仿宋_GB2312" w:eastAsia="仿宋_GB2312"/>
          <w:b/>
          <w:sz w:val="32"/>
          <w:szCs w:val="32"/>
        </w:rPr>
      </w:pPr>
      <w:r>
        <w:rPr>
          <w:rFonts w:hint="eastAsia" w:ascii="仿宋_GB2312" w:hAnsi="Times New Roman" w:eastAsia="仿宋_GB2312" w:cs="Times New Roman"/>
          <w:b/>
          <w:sz w:val="32"/>
          <w:szCs w:val="32"/>
        </w:rPr>
        <w:t>公务用</w:t>
      </w:r>
      <w:r>
        <w:rPr>
          <w:rFonts w:hint="eastAsia" w:ascii="仿宋_GB2312" w:eastAsia="仿宋_GB2312"/>
          <w:b/>
          <w:sz w:val="32"/>
          <w:szCs w:val="32"/>
        </w:rPr>
        <w:t>车购置及运行维护费支出</w:t>
      </w:r>
      <w:r>
        <w:rPr>
          <w:rFonts w:hint="eastAsia" w:ascii="仿宋_GB2312" w:eastAsia="仿宋_GB2312"/>
          <w:sz w:val="32"/>
          <w:szCs w:val="32"/>
          <w:lang w:val="en-US" w:eastAsia="zh-CN"/>
        </w:rPr>
        <w:t>22.92</w:t>
      </w:r>
      <w:r>
        <w:rPr>
          <w:rFonts w:hint="eastAsia" w:ascii="仿宋_GB2312" w:eastAsia="仿宋_GB2312"/>
          <w:sz w:val="32"/>
          <w:szCs w:val="32"/>
        </w:rPr>
        <w:t>万元</w:t>
      </w:r>
      <w:r>
        <w:rPr>
          <w:rFonts w:hint="eastAsia" w:ascii="仿宋_GB2312" w:eastAsia="仿宋_GB2312"/>
          <w:sz w:val="32"/>
          <w:szCs w:val="32"/>
          <w:lang w:eastAsia="zh-CN"/>
        </w:rPr>
        <w:t>，</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0.36</w:t>
      </w:r>
      <w:r>
        <w:rPr>
          <w:rFonts w:hint="eastAsia" w:ascii="仿宋_GB2312" w:eastAsia="仿宋_GB2312"/>
          <w:sz w:val="32"/>
          <w:szCs w:val="32"/>
        </w:rPr>
        <w:t>万元，增长</w:t>
      </w:r>
      <w:r>
        <w:rPr>
          <w:rFonts w:hint="eastAsia" w:ascii="仿宋_GB2312" w:eastAsia="仿宋_GB2312"/>
          <w:sz w:val="32"/>
          <w:szCs w:val="32"/>
          <w:lang w:val="en-US" w:eastAsia="zh-CN"/>
        </w:rPr>
        <w:t>1.58</w:t>
      </w:r>
      <w:r>
        <w:rPr>
          <w:rFonts w:ascii="仿宋_GB2312" w:eastAsia="仿宋_GB2312"/>
          <w:sz w:val="32"/>
          <w:szCs w:val="32"/>
        </w:rPr>
        <w:t>%</w:t>
      </w:r>
      <w:r>
        <w:rPr>
          <w:rFonts w:hint="eastAsia" w:ascii="仿宋_GB2312" w:eastAsia="仿宋_GB2312"/>
          <w:sz w:val="32"/>
          <w:szCs w:val="32"/>
        </w:rPr>
        <w:t>。</w:t>
      </w:r>
      <w:r>
        <w:rPr>
          <w:rFonts w:hint="eastAsia" w:ascii="仿宋_GB2312" w:hAnsi="仿宋" w:eastAsia="仿宋_GB2312"/>
          <w:sz w:val="32"/>
          <w:szCs w:val="32"/>
          <w:lang w:eastAsia="zh-CN"/>
        </w:rPr>
        <w:t>主要原因：</w:t>
      </w:r>
      <w:r>
        <w:rPr>
          <w:rFonts w:hint="eastAsia" w:ascii="仿宋_GB2312" w:hAnsi="仿宋" w:eastAsia="仿宋_GB2312"/>
          <w:b/>
          <w:bCs/>
          <w:sz w:val="32"/>
          <w:szCs w:val="32"/>
          <w:lang w:eastAsia="zh-CN"/>
        </w:rPr>
        <w:t>一是</w:t>
      </w: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2</w:t>
      </w:r>
      <w:r>
        <w:rPr>
          <w:rFonts w:hint="eastAsia" w:ascii="仿宋_GB2312" w:hAnsi="仿宋" w:eastAsia="仿宋_GB2312"/>
          <w:sz w:val="32"/>
          <w:szCs w:val="32"/>
          <w:lang w:eastAsia="zh-CN"/>
        </w:rPr>
        <w:t>年无公车购置；</w:t>
      </w:r>
      <w:r>
        <w:rPr>
          <w:rFonts w:hint="eastAsia" w:ascii="仿宋_GB2312" w:hAnsi="仿宋" w:eastAsia="仿宋_GB2312"/>
          <w:b/>
          <w:bCs/>
          <w:sz w:val="32"/>
          <w:szCs w:val="32"/>
          <w:lang w:val="en-US" w:eastAsia="zh-CN"/>
        </w:rPr>
        <w:t>二是</w:t>
      </w:r>
      <w:r>
        <w:rPr>
          <w:rFonts w:hint="eastAsia" w:ascii="仿宋_GB2312" w:hAnsi="仿宋" w:eastAsia="仿宋_GB2312"/>
          <w:b w:val="0"/>
          <w:bCs w:val="0"/>
          <w:sz w:val="32"/>
          <w:szCs w:val="32"/>
          <w:lang w:val="en-US" w:eastAsia="zh-CN"/>
        </w:rPr>
        <w:t>基本支出公车运行维护费较上年减少1.68万元，项目支出公车运行维护费较上年增加2.04万元；</w:t>
      </w:r>
      <w:r>
        <w:rPr>
          <w:rFonts w:hint="eastAsia" w:ascii="仿宋_GB2312" w:hAnsi="仿宋" w:eastAsia="仿宋_GB2312"/>
          <w:b/>
          <w:bCs/>
          <w:sz w:val="32"/>
          <w:szCs w:val="32"/>
          <w:lang w:val="en-US" w:eastAsia="zh-CN"/>
        </w:rPr>
        <w:t>三</w:t>
      </w:r>
      <w:r>
        <w:rPr>
          <w:rFonts w:hint="eastAsia" w:ascii="仿宋_GB2312" w:hAnsi="仿宋" w:eastAsia="仿宋_GB2312"/>
          <w:b/>
          <w:bCs/>
          <w:sz w:val="32"/>
          <w:szCs w:val="32"/>
          <w:lang w:eastAsia="zh-CN"/>
        </w:rPr>
        <w:t>是</w:t>
      </w:r>
      <w:r>
        <w:rPr>
          <w:rFonts w:hint="eastAsia" w:ascii="仿宋_GB2312" w:hAnsi="仿宋" w:eastAsia="仿宋_GB2312"/>
          <w:sz w:val="32"/>
          <w:szCs w:val="32"/>
          <w:lang w:val="en-US" w:eastAsia="zh-CN"/>
        </w:rPr>
        <w:t>厉行节约，严格执行公车管理，严格把关公车运行维护费支出关口。</w:t>
      </w:r>
    </w:p>
    <w:p>
      <w:pPr>
        <w:keepNext w:val="0"/>
        <w:keepLines w:val="0"/>
        <w:pageBreakBefore w:val="0"/>
        <w:kinsoku/>
        <w:wordWrap/>
        <w:overflowPunct/>
        <w:topLinePunct w:val="0"/>
        <w:bidi w:val="0"/>
        <w:spacing w:line="560" w:lineRule="exact"/>
        <w:ind w:firstLine="640" w:firstLineChars="200"/>
        <w:textAlignment w:val="auto"/>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hAnsi="仿宋_GB2312" w:eastAsia="仿宋_GB2312" w:cs="仿宋_GB2312"/>
          <w:sz w:val="32"/>
          <w:szCs w:val="32"/>
        </w:rPr>
        <w:t>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年12月底，单位共有公务用车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22.92</w:t>
      </w:r>
      <w:r>
        <w:rPr>
          <w:rFonts w:hint="eastAsia" w:ascii="仿宋_GB2312" w:eastAsia="仿宋_GB2312"/>
          <w:sz w:val="32"/>
          <w:szCs w:val="32"/>
        </w:rPr>
        <w:t>万元。主要用于</w:t>
      </w:r>
      <w:r>
        <w:rPr>
          <w:rFonts w:hint="eastAsia" w:ascii="仿宋_GB2312" w:hAnsi="仿宋_GB2312" w:eastAsia="仿宋_GB2312" w:cs="仿宋_GB2312"/>
          <w:b w:val="0"/>
          <w:i w:val="0"/>
          <w:caps w:val="0"/>
          <w:spacing w:val="0"/>
          <w:w w:val="100"/>
          <w:sz w:val="32"/>
          <w:szCs w:val="32"/>
          <w:lang w:val="en-US" w:eastAsia="zh-CN"/>
        </w:rPr>
        <w:t>医疗监管、审计稽核、医疗服务价格、药械集中带量采购、政策宣传、信息化建设</w:t>
      </w:r>
      <w:r>
        <w:rPr>
          <w:rFonts w:hint="eastAsia" w:ascii="仿宋_GB2312" w:eastAsia="仿宋_GB2312"/>
          <w:sz w:val="32"/>
          <w:szCs w:val="32"/>
          <w:lang w:val="en-US" w:eastAsia="zh-CN"/>
        </w:rPr>
        <w:t>以及按照省、州重点工作安排部署所开展的重点工作</w:t>
      </w:r>
      <w:r>
        <w:rPr>
          <w:rFonts w:hint="eastAsia" w:ascii="仿宋_GB2312" w:eastAsia="仿宋_GB2312"/>
          <w:sz w:val="32"/>
          <w:szCs w:val="32"/>
        </w:rPr>
        <w:t>等所需的公务用车燃料费、维修费、过路过桥费、保险费等支出。</w:t>
      </w:r>
    </w:p>
    <w:p>
      <w:pPr>
        <w:pStyle w:val="6"/>
        <w:keepNext w:val="0"/>
        <w:keepLines w:val="0"/>
        <w:pageBreakBefore w:val="0"/>
        <w:shd w:val="clear" w:fill="FFFFFF"/>
        <w:kinsoku/>
        <w:overflowPunct/>
        <w:topLinePunct w:val="0"/>
        <w:autoSpaceDE/>
        <w:autoSpaceDN/>
        <w:bidi w:val="0"/>
        <w:spacing w:beforeAutospacing="0" w:afterAutospacing="0" w:line="560" w:lineRule="exact"/>
        <w:ind w:firstLine="643" w:firstLineChars="200"/>
        <w:jc w:val="both"/>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0.47</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0.02</w:t>
      </w:r>
      <w:r>
        <w:rPr>
          <w:rFonts w:hint="eastAsia" w:ascii="仿宋_GB2312" w:eastAsia="仿宋_GB2312"/>
          <w:sz w:val="32"/>
          <w:szCs w:val="32"/>
        </w:rPr>
        <w:t>万元，下降</w:t>
      </w:r>
      <w:r>
        <w:rPr>
          <w:rFonts w:hint="eastAsia" w:ascii="仿宋_GB2312" w:eastAsia="仿宋_GB2312"/>
          <w:sz w:val="32"/>
          <w:szCs w:val="32"/>
          <w:lang w:val="en-US" w:eastAsia="zh-CN"/>
        </w:rPr>
        <w:t>4.09</w:t>
      </w:r>
      <w:r>
        <w:rPr>
          <w:rFonts w:ascii="仿宋_GB2312" w:eastAsia="仿宋_GB2312"/>
          <w:sz w:val="32"/>
          <w:szCs w:val="32"/>
        </w:rPr>
        <w:t>%</w:t>
      </w:r>
      <w:r>
        <w:rPr>
          <w:rFonts w:hint="eastAsia" w:ascii="仿宋_GB2312" w:eastAsia="仿宋_GB2312"/>
          <w:sz w:val="32"/>
          <w:szCs w:val="32"/>
        </w:rPr>
        <w:t>。</w:t>
      </w:r>
      <w:r>
        <w:rPr>
          <w:rFonts w:hint="eastAsia" w:ascii="仿宋_GB2312" w:hAnsi="仿宋" w:eastAsia="仿宋_GB2312"/>
          <w:sz w:val="32"/>
          <w:szCs w:val="32"/>
          <w:lang w:eastAsia="zh-CN"/>
        </w:rPr>
        <w:t>主要原因：</w:t>
      </w:r>
      <w:r>
        <w:rPr>
          <w:rFonts w:hint="eastAsia" w:ascii="仿宋_GB2312" w:hAnsi="仿宋" w:eastAsia="仿宋_GB2312"/>
          <w:b/>
          <w:bCs/>
          <w:sz w:val="32"/>
          <w:szCs w:val="32"/>
          <w:lang w:eastAsia="zh-CN"/>
        </w:rPr>
        <w:t>一是</w:t>
      </w:r>
      <w:r>
        <w:rPr>
          <w:rFonts w:hint="eastAsia" w:ascii="仿宋_GB2312" w:hAnsi="仿宋" w:eastAsia="仿宋_GB2312"/>
          <w:sz w:val="32"/>
          <w:szCs w:val="32"/>
          <w:lang w:eastAsia="zh-CN"/>
        </w:rPr>
        <w:t>厉行节约，严格把关公务接待费支出；</w:t>
      </w:r>
      <w:r>
        <w:rPr>
          <w:rFonts w:hint="eastAsia" w:ascii="仿宋_GB2312" w:hAnsi="仿宋" w:eastAsia="仿宋_GB2312"/>
          <w:b/>
          <w:bCs/>
          <w:sz w:val="32"/>
          <w:szCs w:val="32"/>
          <w:lang w:eastAsia="zh-CN"/>
        </w:rPr>
        <w:t>二是</w:t>
      </w: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2</w:t>
      </w:r>
      <w:r>
        <w:rPr>
          <w:rFonts w:hint="eastAsia" w:ascii="仿宋_GB2312" w:hAnsi="仿宋" w:eastAsia="仿宋_GB2312"/>
          <w:sz w:val="32"/>
          <w:szCs w:val="32"/>
          <w:lang w:eastAsia="zh-CN"/>
        </w:rPr>
        <w:t>年公务接待</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次，接待39人次，</w:t>
      </w:r>
      <w:r>
        <w:rPr>
          <w:rFonts w:hint="eastAsia" w:ascii="仿宋_GB2312" w:hAnsi="仿宋" w:eastAsia="仿宋_GB2312"/>
          <w:sz w:val="32"/>
          <w:szCs w:val="32"/>
          <w:lang w:val="en-US" w:eastAsia="zh-CN"/>
        </w:rPr>
        <w:t>较</w:t>
      </w: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1</w:t>
      </w:r>
      <w:r>
        <w:rPr>
          <w:rFonts w:hint="eastAsia" w:ascii="仿宋_GB2312" w:hAnsi="仿宋" w:eastAsia="仿宋_GB2312"/>
          <w:sz w:val="32"/>
          <w:szCs w:val="32"/>
          <w:lang w:eastAsia="zh-CN"/>
        </w:rPr>
        <w:t>年减少</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次</w:t>
      </w:r>
      <w:r>
        <w:rPr>
          <w:rFonts w:hint="eastAsia" w:ascii="仿宋_GB2312" w:hAnsi="仿宋" w:eastAsia="仿宋_GB2312"/>
          <w:sz w:val="32"/>
          <w:szCs w:val="32"/>
          <w:lang w:val="en-US" w:eastAsia="zh-CN"/>
        </w:rPr>
        <w:t>，公务接待费降低</w:t>
      </w:r>
      <w:r>
        <w:rPr>
          <w:rFonts w:hint="eastAsia" w:ascii="仿宋_GB2312" w:hAnsi="仿宋" w:eastAsia="仿宋_GB2312"/>
          <w:sz w:val="32"/>
          <w:szCs w:val="32"/>
          <w:lang w:eastAsia="zh-CN"/>
        </w:rPr>
        <w:t>。</w:t>
      </w:r>
    </w:p>
    <w:p>
      <w:pPr>
        <w:spacing w:line="600" w:lineRule="exact"/>
        <w:ind w:firstLine="640"/>
        <w:rPr>
          <w:rFonts w:hint="eastAsia"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0.47</w:t>
      </w:r>
      <w:r>
        <w:rPr>
          <w:rFonts w:hint="eastAsia" w:ascii="仿宋_GB2312" w:eastAsia="仿宋_GB2312"/>
          <w:sz w:val="32"/>
          <w:szCs w:val="32"/>
        </w:rPr>
        <w:t>万元，主要</w:t>
      </w:r>
      <w:r>
        <w:rPr>
          <w:rFonts w:hint="eastAsia" w:ascii="仿宋_GB2312" w:eastAsia="仿宋_GB2312"/>
          <w:sz w:val="32"/>
          <w:szCs w:val="32"/>
          <w:lang w:eastAsia="zh-CN"/>
        </w:rPr>
        <w:t>用于</w:t>
      </w:r>
      <w:r>
        <w:rPr>
          <w:rFonts w:hint="eastAsia" w:ascii="仿宋_GB2312" w:hAnsi="仿宋_GB2312" w:eastAsia="仿宋_GB2312" w:cs="仿宋_GB2312"/>
          <w:b w:val="0"/>
          <w:i w:val="0"/>
          <w:caps w:val="0"/>
          <w:spacing w:val="0"/>
          <w:w w:val="100"/>
          <w:sz w:val="32"/>
          <w:szCs w:val="32"/>
          <w:lang w:val="en-US" w:eastAsia="zh-CN"/>
        </w:rPr>
        <w:t>开展医疗保障工作执行公务、开展业务活动开支的用餐费</w:t>
      </w:r>
      <w:r>
        <w:rPr>
          <w:rFonts w:hint="eastAsia" w:ascii="仿宋_GB2312" w:eastAsia="仿宋_GB2312"/>
          <w:sz w:val="32"/>
          <w:szCs w:val="32"/>
        </w:rPr>
        <w:t>。国内公务接待</w:t>
      </w:r>
      <w:r>
        <w:rPr>
          <w:rFonts w:hint="eastAsia" w:ascii="仿宋_GB2312" w:eastAsia="仿宋_GB2312"/>
          <w:sz w:val="32"/>
          <w:szCs w:val="32"/>
          <w:lang w:val="en-US" w:eastAsia="zh-CN"/>
        </w:rPr>
        <w:t>3</w:t>
      </w:r>
      <w:r>
        <w:rPr>
          <w:rFonts w:hint="eastAsia" w:ascii="仿宋_GB2312" w:eastAsia="仿宋_GB2312"/>
          <w:sz w:val="32"/>
          <w:szCs w:val="32"/>
        </w:rPr>
        <w:t>批次，</w:t>
      </w:r>
      <w:r>
        <w:rPr>
          <w:rFonts w:hint="eastAsia" w:ascii="仿宋_GB2312" w:eastAsia="仿宋_GB2312"/>
          <w:sz w:val="32"/>
          <w:szCs w:val="32"/>
          <w:lang w:val="en-US" w:eastAsia="zh-CN"/>
        </w:rPr>
        <w:t>39</w:t>
      </w:r>
      <w:r>
        <w:rPr>
          <w:rFonts w:hint="eastAsia" w:ascii="仿宋_GB2312" w:eastAsia="仿宋_GB2312"/>
          <w:sz w:val="32"/>
          <w:szCs w:val="32"/>
        </w:rPr>
        <w:t>人次，共计支出</w:t>
      </w:r>
      <w:r>
        <w:rPr>
          <w:rFonts w:hint="eastAsia" w:ascii="仿宋_GB2312" w:eastAsia="仿宋_GB2312"/>
          <w:sz w:val="32"/>
          <w:szCs w:val="32"/>
          <w:lang w:val="en-US" w:eastAsia="zh-CN"/>
        </w:rPr>
        <w:t>0.47</w:t>
      </w:r>
      <w:r>
        <w:rPr>
          <w:rFonts w:hint="eastAsia" w:ascii="仿宋_GB2312" w:eastAsia="仿宋_GB2312"/>
          <w:sz w:val="32"/>
          <w:szCs w:val="32"/>
        </w:rPr>
        <w:t>万元，具体内容包括：</w:t>
      </w:r>
    </w:p>
    <w:p>
      <w:pPr>
        <w:spacing w:line="600" w:lineRule="exact"/>
        <w:ind w:firstLine="640" w:firstLineChars="200"/>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（1）1月支付凉山州医保局学习考察药品、耗材议价工作餐费1200元；</w:t>
      </w:r>
    </w:p>
    <w:p>
      <w:pPr>
        <w:spacing w:line="600" w:lineRule="exact"/>
        <w:ind w:firstLine="640" w:firstLineChars="200"/>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（2）7月支付省医疗保障基金飞行检查工作接待费3000元；</w:t>
      </w:r>
    </w:p>
    <w:p>
      <w:pPr>
        <w:spacing w:line="600" w:lineRule="exact"/>
        <w:ind w:firstLine="640" w:firstLineChars="200"/>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（3）12月支付省医保局赴我州开展2022年全省基金监督巡查工作餐费530元。</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44" w:name="_Toc15396610"/>
      <w:bookmarkStart w:id="45" w:name="_Toc15377218"/>
    </w:p>
    <w:p>
      <w:pPr>
        <w:spacing w:line="600" w:lineRule="exact"/>
        <w:ind w:firstLine="640"/>
        <w:outlineLvl w:val="1"/>
        <w:rPr>
          <w:rStyle w:val="21"/>
          <w:rFonts w:ascii="黑体" w:eastAsia="黑体"/>
        </w:rPr>
      </w:pPr>
      <w:r>
        <w:rPr>
          <w:rFonts w:hint="eastAsia" w:ascii="黑体" w:eastAsia="黑体"/>
          <w:sz w:val="32"/>
          <w:szCs w:val="32"/>
        </w:rPr>
        <w:t>八、</w:t>
      </w:r>
      <w:r>
        <w:rPr>
          <w:rStyle w:val="21"/>
          <w:rFonts w:hint="eastAsia" w:ascii="黑体" w:eastAsia="黑体"/>
          <w:b w:val="0"/>
        </w:rPr>
        <w:t>政府性基金预算支出决算情况说明</w:t>
      </w:r>
      <w:bookmarkEnd w:id="44"/>
      <w:bookmarkEnd w:id="4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5"/>
        </w:numPr>
        <w:spacing w:line="600" w:lineRule="exact"/>
        <w:ind w:firstLine="640"/>
        <w:outlineLvl w:val="1"/>
        <w:rPr>
          <w:rStyle w:val="21"/>
          <w:rFonts w:ascii="黑体" w:eastAsia="黑体"/>
          <w:b w:val="0"/>
        </w:rPr>
      </w:pPr>
      <w:bookmarkStart w:id="46" w:name="_Toc15396611"/>
      <w:bookmarkStart w:id="47" w:name="_Toc15377219"/>
      <w:r>
        <w:rPr>
          <w:rStyle w:val="21"/>
          <w:rFonts w:hint="eastAsia" w:ascii="黑体" w:eastAsia="黑体"/>
          <w:b w:val="0"/>
        </w:rPr>
        <w:t>国有资本经营预算支出决算情况说明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5"/>
        </w:numPr>
        <w:spacing w:line="600" w:lineRule="exact"/>
        <w:ind w:firstLine="640"/>
        <w:outlineLvl w:val="1"/>
        <w:rPr>
          <w:rStyle w:val="21"/>
          <w:rFonts w:ascii="黑体" w:eastAsia="黑体"/>
          <w:b w:val="0"/>
        </w:rPr>
      </w:pPr>
      <w:bookmarkStart w:id="48" w:name="_Toc15377221"/>
      <w:bookmarkStart w:id="49" w:name="_Toc15396612"/>
      <w:r>
        <w:rPr>
          <w:rStyle w:val="21"/>
          <w:rFonts w:hint="eastAsia" w:ascii="黑体" w:eastAsia="黑体"/>
          <w:b w:val="0"/>
        </w:rPr>
        <w:t>其他重要事项的情况说明</w:t>
      </w:r>
      <w:bookmarkEnd w:id="48"/>
      <w:bookmarkEnd w:id="49"/>
    </w:p>
    <w:p>
      <w:pPr>
        <w:spacing w:line="600" w:lineRule="exact"/>
        <w:ind w:firstLine="643" w:firstLineChars="200"/>
        <w:outlineLvl w:val="2"/>
        <w:rPr>
          <w:rFonts w:ascii="仿宋" w:eastAsia="仿宋"/>
          <w:sz w:val="32"/>
          <w:szCs w:val="32"/>
        </w:rPr>
      </w:pPr>
      <w:bookmarkStart w:id="50" w:name="_Toc15377222"/>
      <w:r>
        <w:rPr>
          <w:rFonts w:hint="eastAsia" w:ascii="仿宋" w:eastAsia="仿宋"/>
          <w:b/>
          <w:sz w:val="32"/>
          <w:szCs w:val="32"/>
        </w:rPr>
        <w:t>（一）机关运行经费支出情况</w:t>
      </w:r>
      <w:bookmarkEnd w:id="5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val="en-US" w:eastAsia="zh-CN"/>
        </w:rPr>
        <w:t>阿坝州医疗保障局</w:t>
      </w:r>
      <w:r>
        <w:rPr>
          <w:rFonts w:hint="eastAsia" w:ascii="仿宋_GB2312" w:eastAsia="仿宋_GB2312"/>
          <w:sz w:val="32"/>
          <w:szCs w:val="32"/>
        </w:rPr>
        <w:t>机关运行经费支出</w:t>
      </w:r>
      <w:r>
        <w:rPr>
          <w:rFonts w:hint="eastAsia" w:ascii="仿宋_GB2312" w:eastAsia="仿宋_GB2312"/>
          <w:sz w:val="32"/>
          <w:szCs w:val="32"/>
          <w:lang w:val="en-US" w:eastAsia="zh-CN"/>
        </w:rPr>
        <w:t>69.89</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55.5</w:t>
      </w:r>
      <w:r>
        <w:rPr>
          <w:rFonts w:hint="eastAsia" w:ascii="仿宋_GB2312" w:eastAsia="仿宋_GB2312"/>
          <w:sz w:val="32"/>
          <w:szCs w:val="32"/>
        </w:rPr>
        <w:t>万元，下降</w:t>
      </w:r>
      <w:r>
        <w:rPr>
          <w:rFonts w:hint="eastAsia" w:ascii="仿宋_GB2312" w:eastAsia="仿宋_GB2312"/>
          <w:sz w:val="32"/>
          <w:szCs w:val="32"/>
          <w:lang w:val="en-US" w:eastAsia="zh-CN"/>
        </w:rPr>
        <w:t>44.26</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hAnsi="仿宋_GB2312" w:eastAsia="仿宋_GB2312" w:cs="仿宋_GB2312"/>
          <w:kern w:val="0"/>
          <w:sz w:val="32"/>
          <w:szCs w:val="32"/>
          <w:lang w:val="en-US" w:eastAsia="zh-CN" w:bidi="ar-SA"/>
        </w:rPr>
        <w:t>本年厉行节约，严格把控经费支出关口。</w:t>
      </w:r>
    </w:p>
    <w:p>
      <w:pPr>
        <w:autoSpaceDE w:val="0"/>
        <w:autoSpaceDN w:val="0"/>
        <w:adjustRightInd w:val="0"/>
        <w:spacing w:line="600" w:lineRule="exact"/>
        <w:ind w:firstLine="643" w:firstLineChars="200"/>
        <w:jc w:val="left"/>
        <w:outlineLvl w:val="2"/>
        <w:rPr>
          <w:rFonts w:ascii="仿宋" w:eastAsia="仿宋"/>
          <w:b/>
          <w:sz w:val="32"/>
          <w:szCs w:val="32"/>
        </w:rPr>
      </w:pPr>
      <w:bookmarkStart w:id="51" w:name="_Toc15377223"/>
      <w:r>
        <w:rPr>
          <w:rFonts w:hint="eastAsia" w:ascii="仿宋" w:eastAsia="仿宋"/>
          <w:b/>
          <w:sz w:val="32"/>
          <w:szCs w:val="32"/>
        </w:rPr>
        <w:t>（二）政府采购支出情况</w:t>
      </w:r>
      <w:bookmarkEnd w:id="5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val="en-US" w:eastAsia="zh-CN"/>
        </w:rPr>
        <w:t>阿坝州医疗保障局</w:t>
      </w:r>
      <w:r>
        <w:rPr>
          <w:rFonts w:hint="eastAsia" w:ascii="仿宋_GB2312" w:eastAsia="仿宋_GB2312"/>
          <w:sz w:val="32"/>
          <w:szCs w:val="32"/>
        </w:rPr>
        <w:t>政府采购支出总额</w:t>
      </w:r>
      <w:r>
        <w:rPr>
          <w:rFonts w:hint="eastAsia" w:ascii="仿宋_GB2312" w:eastAsia="仿宋_GB2312"/>
          <w:sz w:val="32"/>
          <w:szCs w:val="32"/>
          <w:lang w:val="en-US" w:eastAsia="zh-CN"/>
        </w:rPr>
        <w:t>51.48</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51.48</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val="en-US" w:eastAsia="zh-CN"/>
        </w:rPr>
        <w:t>采购医疗保障工作所需物品</w:t>
      </w:r>
      <w:r>
        <w:rPr>
          <w:rFonts w:hint="eastAsia" w:ascii="仿宋_GB2312" w:eastAsia="仿宋_GB2312"/>
          <w:sz w:val="32"/>
          <w:szCs w:val="32"/>
        </w:rPr>
        <w:t>。授予中小企业合同金额</w:t>
      </w:r>
      <w:r>
        <w:rPr>
          <w:rFonts w:hint="eastAsia" w:ascii="仿宋_GB2312" w:eastAsia="仿宋_GB2312"/>
          <w:sz w:val="32"/>
          <w:szCs w:val="32"/>
          <w:lang w:val="en-US" w:eastAsia="zh-CN"/>
        </w:rPr>
        <w:t>5.48</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10.63</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5.47</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10.63</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2" w:name="_Toc15377224"/>
      <w:r>
        <w:rPr>
          <w:rFonts w:hint="eastAsia" w:ascii="仿宋" w:eastAsia="仿宋"/>
          <w:b/>
          <w:sz w:val="32"/>
          <w:szCs w:val="32"/>
        </w:rPr>
        <w:t>（三）国有资产占有使用情况</w:t>
      </w:r>
      <w:bookmarkEnd w:id="52"/>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hAnsi="仿宋_GB2312" w:eastAsia="仿宋_GB2312" w:cs="仿宋_GB2312"/>
          <w:b w:val="0"/>
          <w:i w:val="0"/>
          <w:caps w:val="0"/>
          <w:spacing w:val="0"/>
          <w:w w:val="100"/>
          <w:sz w:val="32"/>
          <w:szCs w:val="32"/>
          <w:lang w:val="en-US" w:eastAsia="zh-CN"/>
        </w:rPr>
        <w:t>州医疗保障局</w:t>
      </w:r>
      <w:r>
        <w:rPr>
          <w:rFonts w:hint="eastAsia" w:ascii="仿宋_GB2312" w:eastAsia="仿宋_GB2312"/>
          <w:sz w:val="32"/>
          <w:szCs w:val="32"/>
        </w:rPr>
        <w:t>共有车辆</w:t>
      </w:r>
      <w:r>
        <w:rPr>
          <w:rFonts w:hint="eastAsia" w:ascii="仿宋_GB2312" w:eastAsia="仿宋_GB2312"/>
          <w:sz w:val="32"/>
          <w:szCs w:val="32"/>
          <w:lang w:val="en-US" w:eastAsia="zh-CN"/>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widowControl/>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根据预算绩效管理要求，本部门在2022年度预算编制阶段，组织对医疗救助运行分析经费</w:t>
      </w:r>
      <w:r>
        <w:rPr>
          <w:rFonts w:hint="eastAsia" w:ascii="仿宋_GB2312" w:eastAsia="仿宋_GB2312" w:cs="仿宋_GB2312"/>
          <w:sz w:val="32"/>
          <w:szCs w:val="32"/>
          <w:lang w:eastAsia="zh-CN"/>
        </w:rPr>
        <w:t>、异地就医驻点服务、阿坝州支付方式改革培训、医保基金监管和医保经办机构、定点医药机构监督检查工作经费、2022年阿坝州深化医疗服务价格改革专题研究</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个项目开展绩效监控。同时，本部门对202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年部门整体开展绩效自评，《202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w:t>
      </w:r>
      <w:r>
        <w:rPr>
          <w:rFonts w:hint="eastAsia" w:ascii="仿宋_GB2312" w:hAnsi="仿宋_GB2312" w:eastAsia="仿宋_GB2312" w:cs="仿宋_GB2312"/>
          <w:b w:val="0"/>
          <w:i w:val="0"/>
          <w:caps w:val="0"/>
          <w:spacing w:val="0"/>
          <w:w w:val="100"/>
          <w:sz w:val="32"/>
          <w:szCs w:val="32"/>
          <w:lang w:val="en-US" w:eastAsia="zh-CN"/>
        </w:rPr>
        <w:t>州医疗保障局</w:t>
      </w:r>
      <w:r>
        <w:rPr>
          <w:rFonts w:hint="eastAsia" w:ascii="仿宋_GB2312" w:eastAsia="仿宋_GB2312" w:cs="仿宋_GB2312"/>
          <w:sz w:val="32"/>
          <w:szCs w:val="32"/>
        </w:rPr>
        <w:t>部门整体绩效评价报告》见附件（第四部分）。</w:t>
      </w:r>
    </w:p>
    <w:p>
      <w:pPr>
        <w:widowControl/>
        <w:ind w:firstLine="643" w:firstLineChars="200"/>
        <w:jc w:val="left"/>
        <w:rPr>
          <w:rFonts w:ascii="仿宋_GB2312" w:eastAsia="仿宋_GB2312"/>
          <w:b/>
          <w:sz w:val="32"/>
          <w:szCs w:val="32"/>
        </w:rPr>
      </w:pPr>
      <w:r>
        <w:rPr>
          <w:rFonts w:ascii="仿宋_GB2312" w:eastAsia="仿宋_GB2312"/>
          <w:b/>
          <w:sz w:val="32"/>
          <w:szCs w:val="32"/>
        </w:rPr>
        <w:br w:type="page"/>
      </w:r>
    </w:p>
    <w:p>
      <w:pPr>
        <w:numPr>
          <w:ilvl w:val="0"/>
          <w:numId w:val="6"/>
        </w:numPr>
        <w:spacing w:line="600" w:lineRule="exact"/>
        <w:ind w:firstLine="660" w:firstLineChars="150"/>
        <w:jc w:val="center"/>
        <w:outlineLvl w:val="0"/>
        <w:rPr>
          <w:rStyle w:val="20"/>
          <w:rFonts w:ascii="黑体" w:eastAsia="黑体"/>
          <w:b w:val="0"/>
        </w:rPr>
      </w:pPr>
      <w:bookmarkStart w:id="53" w:name="_Toc15377225"/>
      <w:bookmarkStart w:id="54" w:name="_Toc15396613"/>
      <w:r>
        <w:rPr>
          <w:rFonts w:hint="eastAsia" w:ascii="黑体" w:eastAsia="黑体"/>
          <w:sz w:val="44"/>
          <w:szCs w:val="44"/>
        </w:rPr>
        <w:t>名</w:t>
      </w:r>
      <w:r>
        <w:rPr>
          <w:rStyle w:val="20"/>
          <w:rFonts w:hint="eastAsia" w:ascii="黑体" w:eastAsia="黑体"/>
          <w:b w:val="0"/>
        </w:rPr>
        <w:t>词解释</w:t>
      </w:r>
      <w:bookmarkEnd w:id="53"/>
      <w:bookmarkEnd w:id="54"/>
    </w:p>
    <w:p>
      <w:pPr>
        <w:spacing w:line="600" w:lineRule="exact"/>
        <w:jc w:val="left"/>
        <w:rPr>
          <w:rFonts w:ascii="宋体"/>
          <w:b/>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bookmarkStart w:id="55" w:name="_Toc15377226"/>
      <w:r>
        <w:rPr>
          <w:rFonts w:hint="eastAsia" w:ascii="仿宋_GB2312" w:hAnsi="仿宋" w:eastAsia="仿宋_GB2312" w:cs="Times New Roman"/>
          <w:sz w:val="32"/>
          <w:szCs w:val="32"/>
          <w:lang w:val="en-US" w:eastAsia="zh-CN"/>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 xml:space="preserve">2.年初结转和结余：指以前年度尚未完成、结转到本年按有关规定继续使用的资金。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4.社会保障和就业支出（208）行政事业单位养老支出（05）机关事业单位基本养老保险缴费支出（05）：反映机关事业单位实施养老保险制度由单位缴纳的基本养老保险费支出。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社会保障和就业支出（208）行政事业单位养老支出（05）机关事业单位职业年金缴费支出（06）：反映机关事业单位实施养老保险制度有单位实际缴纳的职业年金支出。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5.卫生健康支出（210）行政事业单位医疗（11）行政单位医疗（01）：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卫生健康支出（210）行政事业单位医疗（11）公务员医疗补助（03）：反映财政部门安排的公务员医疗补助经费。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卫生健康支出（210）医疗保障管理事务（15）行政运行（01）：反映行政单位（包括实行公务员管理的事业单位）的基本支出。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卫生健康支出（210）医疗保障管理事务（15）一般行政管理事务（02）：反映行政单位（包括实行公务员管理的事业单位）未单独设置项级科目的其他项目支出。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卫生健康支出（210）医疗保障管理事务（15）信息化建设（04）：反映医疗保障部门用于信息化建设、开发、运行维护和数据分析等方面支出。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卫生健康支出（210）医疗保障管理事务（15）其他医疗保障管理事务支出（99）：反映除上述项目以外的其他用于医疗保障管理事务方面的支出。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卫生健康支出（210）其他卫生健康支出（99）其他卫生健康支出（99）：反映除上述项目以外的其他用于卫生健康方面的支出。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6.住房保障支出（221）住房改革支出（02）住房公积金（01）：反映行政事业单位按人力资源和社会保障部、财政部规定的基本工资和津补贴以及规定比例为职工缴纳的住房公积金。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7.基本支出：指为保障机构正常运转、完成日常工作任务而发生的人员支出和公用支出。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 xml:space="preserve">8.项目支出：指在基本支出之外为完成特定行政任务和事业发展目标所发生的支出。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0"/>
          <w:rFonts w:hint="eastAsia" w:ascii="黑体" w:eastAsia="黑体"/>
          <w:b w:val="0"/>
        </w:rPr>
      </w:pPr>
      <w:r>
        <w:rPr>
          <w:rFonts w:ascii="宋体"/>
          <w:b/>
          <w:sz w:val="44"/>
          <w:szCs w:val="44"/>
        </w:rPr>
        <w:br w:type="page"/>
      </w:r>
      <w:bookmarkStart w:id="56" w:name="_Toc15396614"/>
      <w:r>
        <w:rPr>
          <w:rFonts w:hint="eastAsia" w:ascii="黑体" w:eastAsia="黑体"/>
          <w:sz w:val="44"/>
          <w:szCs w:val="44"/>
        </w:rPr>
        <w:t>第</w:t>
      </w:r>
      <w:r>
        <w:rPr>
          <w:rStyle w:val="20"/>
          <w:rFonts w:hint="eastAsia" w:ascii="黑体" w:eastAsia="黑体"/>
          <w:b w:val="0"/>
        </w:rPr>
        <w:t>四部分 附件</w:t>
      </w:r>
      <w:bookmarkEnd w:id="56"/>
    </w:p>
    <w:p>
      <w:pPr>
        <w:pStyle w:val="2"/>
        <w:rPr>
          <w:rStyle w:val="20"/>
          <w:rFonts w:hint="eastAsia" w:ascii="黑体" w:eastAsia="黑体"/>
          <w:b w:val="0"/>
        </w:rPr>
      </w:pPr>
    </w:p>
    <w:p>
      <w:pPr>
        <w:pStyle w:val="4"/>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eastAsia="zh-CN" w:bidi="ar-SA"/>
        </w:rPr>
        <w:t>202</w:t>
      </w:r>
      <w:r>
        <w:rPr>
          <w:rFonts w:hint="eastAsia" w:ascii="方正小标宋简体" w:hAnsi="方正小标宋简体" w:eastAsia="方正小标宋简体" w:cs="方正小标宋简体"/>
          <w:kern w:val="2"/>
          <w:sz w:val="44"/>
          <w:szCs w:val="44"/>
          <w:lang w:val="en-US" w:eastAsia="zh-CN" w:bidi="ar-SA"/>
        </w:rPr>
        <w:t>2</w:t>
      </w:r>
      <w:r>
        <w:rPr>
          <w:rFonts w:hint="eastAsia" w:ascii="方正小标宋简体" w:hAnsi="方正小标宋简体" w:eastAsia="方正小标宋简体" w:cs="方正小标宋简体"/>
          <w:kern w:val="2"/>
          <w:sz w:val="44"/>
          <w:szCs w:val="44"/>
          <w:lang w:eastAsia="zh-CN" w:bidi="ar-SA"/>
        </w:rPr>
        <w:t>年</w:t>
      </w:r>
      <w:r>
        <w:rPr>
          <w:rFonts w:hint="eastAsia" w:ascii="方正小标宋简体" w:hAnsi="方正小标宋简体" w:eastAsia="方正小标宋简体" w:cs="方正小标宋简体"/>
          <w:kern w:val="2"/>
          <w:sz w:val="44"/>
          <w:szCs w:val="44"/>
          <w:lang w:val="en-US" w:eastAsia="zh-CN" w:bidi="ar-SA"/>
        </w:rPr>
        <w:t>阿坝州医疗保障局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部门整体支出绩效评价报告</w:t>
      </w:r>
    </w:p>
    <w:p>
      <w:pPr>
        <w:pStyle w:val="6"/>
        <w:keepNext w:val="0"/>
        <w:keepLines w:val="0"/>
        <w:pageBreakBefore w:val="0"/>
        <w:widowControl/>
        <w:shd w:val="clear"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shd w:val="clear" w:fill="FFFFFF"/>
          <w:lang w:val="en-US" w:eastAsia="zh-CN"/>
        </w:rPr>
      </w:pPr>
      <w:r>
        <w:rPr>
          <w:rFonts w:hint="eastAsia" w:ascii="黑体" w:hAnsi="黑体" w:eastAsia="黑体" w:cs="黑体"/>
          <w:sz w:val="32"/>
          <w:szCs w:val="32"/>
          <w:shd w:val="clear" w:fill="FFFFFF"/>
          <w:lang w:val="en-US" w:eastAsia="zh-CN"/>
        </w:rPr>
        <w:t>一、部门（单位）概况</w:t>
      </w:r>
    </w:p>
    <w:p>
      <w:pPr>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 xml:space="preserve">   （一）机构组成。</w:t>
      </w:r>
    </w:p>
    <w:p>
      <w:pPr>
        <w:keepNext w:val="0"/>
        <w:keepLines w:val="0"/>
        <w:pageBreakBefore w:val="0"/>
        <w:widowControl/>
        <w:kinsoku/>
        <w:wordWrap/>
        <w:overflowPunct/>
        <w:topLinePunct w:val="0"/>
        <w:autoSpaceDE/>
        <w:autoSpaceDN/>
        <w:bidi w:val="0"/>
        <w:adjustRightInd w:val="0"/>
        <w:snapToGrid w:val="0"/>
        <w:spacing w:line="540" w:lineRule="exact"/>
        <w:ind w:left="0" w:firstLine="640" w:firstLineChars="200"/>
        <w:jc w:val="both"/>
        <w:textAlignment w:val="auto"/>
        <w:rPr>
          <w:rFonts w:hint="eastAsia"/>
          <w:lang w:val="en-US" w:eastAsia="zh-CN"/>
        </w:rPr>
      </w:pPr>
      <w:r>
        <w:rPr>
          <w:rFonts w:hint="eastAsia" w:ascii="仿宋_GB2312" w:eastAsia="仿宋_GB2312"/>
          <w:sz w:val="32"/>
          <w:szCs w:val="32"/>
          <w:lang w:val="en-US" w:eastAsia="zh-CN"/>
        </w:rPr>
        <w:t>州编委核定阿坝州医疗保障局内设2科1室，即：办公室、服务保障科、监督指导科。阿坝州医疗保障事务中心属阿坝州医疗保障局下设参公事业单位，内设办公室、统筹科、审核结算科、异地就医结算科、城乡居民与生育保险科、基金管理科、医药服务科、审计稽核科、统计分析科。</w:t>
      </w:r>
    </w:p>
    <w:p>
      <w:pPr>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（二）机构职能。</w:t>
      </w:r>
    </w:p>
    <w:p>
      <w:pPr>
        <w:keepNext w:val="0"/>
        <w:keepLines w:val="0"/>
        <w:pageBreakBefore w:val="0"/>
        <w:widowControl/>
        <w:kinsoku/>
        <w:wordWrap/>
        <w:overflowPunct/>
        <w:topLinePunct w:val="0"/>
        <w:autoSpaceDE/>
        <w:autoSpaceDN/>
        <w:bidi w:val="0"/>
        <w:adjustRightInd w:val="0"/>
        <w:snapToGrid w:val="0"/>
        <w:spacing w:line="540" w:lineRule="exact"/>
        <w:ind w:left="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州医保局贯彻落实党中央关于医疗保障工作的方针政策和省委、州委的决策部署，在履行职责过程中坚持和加强党对医疗保障工作的集中统一领导，主要职责是：一是贯彻落实医疗保险、生育保险、医疗救助等医疗保障法律法规，拟定执行医疗保障自治法规、规范性文件草案的具体办法，拟定全州医疗保障事业发展规划、政策和标准，并组织实施和监督检查。二是组织拟定并</w:t>
      </w:r>
    </w:p>
    <w:p>
      <w:pPr>
        <w:keepNext w:val="0"/>
        <w:keepLines w:val="0"/>
        <w:pageBreakBefore w:val="0"/>
        <w:widowControl/>
        <w:kinsoku/>
        <w:wordWrap/>
        <w:overflowPunct/>
        <w:topLinePunct w:val="0"/>
        <w:autoSpaceDE/>
        <w:autoSpaceDN/>
        <w:bidi w:val="0"/>
        <w:adjustRightInd w:val="0"/>
        <w:snapToGrid w:val="0"/>
        <w:spacing w:line="540" w:lineRule="exact"/>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实施医疗保障基金监督管理制度，建立健全医疗保障基金安全防控机制，监督强化全州医疗保障基金运行管理。三是组织拟订医疗保障筹资和待遇政策，完善动态调整和区域调剂平衡机制，统筹城乡医疗保障待遇标准，建立健全与筹资水平相适应的待遇调整机制。组织实施长期护理保险制度改革。四是贯彻落实全省城乡统一的药品、医用耗材、医疗服务项目、医疗服务设施等医疗保障目录和支付标准并监督管理。拟订全州特殊医用材料、特殊检查和治疗、医院制剂等相关目录和支付标准并监督实施。五是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六是贯彻落实药品、医用耗材的招标采购政策并监督实施。七是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八是负责全州医疗保障经办管理和公共服务体系建设。拟订和完善异地就医管理和费用结算政策。建立健全医疗保障关系转移接续制度。监督管理全州医保经办服务工作。开展医疗保障领域对外合作交流。九是负责规划实施全州医疗保障信息化建设。组织开展医疗保障大数据管理和应用。十是负责职责范围内的安全生产和职业健康、生态环境保护、公共机构节能减排、审批服务便民化等工作。十一是完成州委、州政府交办的其他任务。十二是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十三是与州卫生健康委员会的有关职责分工。两部门在医疗、医保、医药等方面加强制度、政策衔接，建立沟通协商机制，协同推进改革，提高医疗资源使用效率和医疗保障水平</w:t>
      </w:r>
    </w:p>
    <w:p>
      <w:pPr>
        <w:numPr>
          <w:ilvl w:val="0"/>
          <w:numId w:val="0"/>
        </w:numPr>
        <w:ind w:leftChars="0" w:firstLine="643" w:firstLineChars="200"/>
        <w:rPr>
          <w:rFonts w:hint="eastAsia" w:ascii="仿宋_GB2312" w:hAnsi="仿宋_GB2312" w:eastAsia="仿宋_GB2312" w:cs="仿宋_GB2312"/>
          <w:kern w:val="0"/>
          <w:sz w:val="32"/>
          <w:szCs w:val="32"/>
          <w:lang w:val="en-US" w:eastAsia="zh-CN" w:bidi="ar"/>
        </w:rPr>
      </w:pPr>
      <w:r>
        <w:rPr>
          <w:rFonts w:hint="eastAsia" w:ascii="楷体_GB2312" w:hAnsi="楷体_GB2312" w:eastAsia="楷体_GB2312" w:cs="楷体_GB2312"/>
          <w:b/>
          <w:bCs/>
          <w:kern w:val="2"/>
          <w:sz w:val="32"/>
          <w:szCs w:val="32"/>
          <w:lang w:val="en-US" w:eastAsia="zh-CN" w:bidi="ar-SA"/>
        </w:rPr>
        <w:t>（三）人员概况</w:t>
      </w:r>
      <w:r>
        <w:rPr>
          <w:rFonts w:hint="eastAsia" w:ascii="仿宋_GB2312" w:hAnsi="仿宋_GB2312" w:eastAsia="仿宋_GB2312" w:cs="仿宋_GB2312"/>
          <w:kern w:val="0"/>
          <w:sz w:val="32"/>
          <w:szCs w:val="32"/>
          <w:lang w:val="en-US" w:eastAsia="zh-CN" w:bidi="ar"/>
        </w:rPr>
        <w:t>。</w:t>
      </w:r>
    </w:p>
    <w:p>
      <w:pPr>
        <w:keepNext w:val="0"/>
        <w:keepLines w:val="0"/>
        <w:pageBreakBefore w:val="0"/>
        <w:widowControl/>
        <w:kinsoku/>
        <w:wordWrap/>
        <w:overflowPunct/>
        <w:topLinePunct w:val="0"/>
        <w:autoSpaceDE/>
        <w:autoSpaceDN/>
        <w:bidi w:val="0"/>
        <w:adjustRightInd w:val="0"/>
        <w:snapToGrid w:val="0"/>
        <w:spacing w:line="540" w:lineRule="exact"/>
        <w:ind w:left="0" w:firstLine="640" w:firstLineChars="200"/>
        <w:jc w:val="both"/>
        <w:textAlignment w:val="auto"/>
        <w:rPr>
          <w:rFonts w:hint="eastAsia"/>
          <w:lang w:val="en-US" w:eastAsia="zh-CN"/>
        </w:rPr>
      </w:pPr>
      <w:r>
        <w:rPr>
          <w:rFonts w:hint="eastAsia" w:ascii="仿宋_GB2312" w:eastAsia="仿宋_GB2312"/>
          <w:sz w:val="32"/>
          <w:szCs w:val="32"/>
          <w:lang w:val="en-US" w:eastAsia="zh-CN"/>
        </w:rPr>
        <w:t>按照《中共阿坝州委办公室阿坝州人民政府办公室关于印发〈阿坝州医疗保障局职能配置、内设机构和人员编制规定〉的通知》（阿委办发〔2019〕32号），我局行政编制7名，机关工勤人员事业编制2名。阿坝州医疗保障事务中心参公编制25名。</w:t>
      </w:r>
    </w:p>
    <w:p>
      <w:pPr>
        <w:ind w:firstLine="640" w:firstLineChars="200"/>
        <w:rPr>
          <w:rFonts w:hint="eastAsia" w:ascii="黑体" w:hAnsi="黑体" w:eastAsia="黑体" w:cs="黑体"/>
          <w:kern w:val="0"/>
          <w:sz w:val="32"/>
          <w:szCs w:val="32"/>
          <w:shd w:val="clear" w:fill="FFFFFF"/>
          <w:lang w:val="en-US" w:eastAsia="zh-CN" w:bidi="ar"/>
        </w:rPr>
      </w:pPr>
      <w:r>
        <w:rPr>
          <w:rFonts w:hint="eastAsia" w:ascii="黑体" w:hAnsi="黑体" w:eastAsia="黑体" w:cs="黑体"/>
          <w:kern w:val="0"/>
          <w:sz w:val="32"/>
          <w:szCs w:val="32"/>
          <w:shd w:val="clear" w:fill="FFFFFF"/>
          <w:lang w:val="en-US" w:eastAsia="zh-CN" w:bidi="ar"/>
        </w:rPr>
        <w:t>二、部门财政资金收支情况</w:t>
      </w:r>
    </w:p>
    <w:p>
      <w:pPr>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（一）部门财政资金收入情况。</w:t>
      </w:r>
    </w:p>
    <w:p>
      <w:pPr>
        <w:keepNext w:val="0"/>
        <w:keepLines w:val="0"/>
        <w:pageBreakBefore w:val="0"/>
        <w:widowControl/>
        <w:kinsoku/>
        <w:wordWrap/>
        <w:overflowPunct/>
        <w:topLinePunct w:val="0"/>
        <w:autoSpaceDE/>
        <w:autoSpaceDN/>
        <w:bidi w:val="0"/>
        <w:adjustRightInd w:val="0"/>
        <w:snapToGrid w:val="0"/>
        <w:spacing w:line="540" w:lineRule="exact"/>
        <w:ind w:left="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zh-CN" w:eastAsia="zh-CN"/>
        </w:rPr>
        <w:t>20</w:t>
      </w:r>
      <w:r>
        <w:rPr>
          <w:rFonts w:hint="eastAsia" w:ascii="仿宋_GB2312" w:eastAsia="仿宋_GB2312"/>
          <w:sz w:val="32"/>
          <w:szCs w:val="32"/>
          <w:lang w:val="en-US" w:eastAsia="zh-CN"/>
        </w:rPr>
        <w:t>22</w:t>
      </w:r>
      <w:r>
        <w:rPr>
          <w:rFonts w:hint="eastAsia" w:ascii="仿宋_GB2312" w:eastAsia="仿宋_GB2312"/>
          <w:sz w:val="32"/>
          <w:szCs w:val="32"/>
          <w:lang w:val="zh-CN" w:eastAsia="zh-CN"/>
        </w:rPr>
        <w:t>年</w:t>
      </w:r>
      <w:r>
        <w:rPr>
          <w:rFonts w:hint="eastAsia" w:ascii="仿宋_GB2312" w:eastAsia="仿宋_GB2312"/>
          <w:sz w:val="32"/>
          <w:szCs w:val="32"/>
          <w:lang w:val="en-US" w:eastAsia="zh-CN"/>
        </w:rPr>
        <w:t>收入年初预算数1066.06万元，调整后预算数1252.33万元，收入决算数1252.33万元。</w:t>
      </w:r>
    </w:p>
    <w:p>
      <w:pPr>
        <w:numPr>
          <w:ilvl w:val="0"/>
          <w:numId w:val="0"/>
        </w:numPr>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（二）部门财政资金支出情况。</w:t>
      </w:r>
    </w:p>
    <w:p>
      <w:pPr>
        <w:keepNext w:val="0"/>
        <w:keepLines w:val="0"/>
        <w:pageBreakBefore w:val="0"/>
        <w:widowControl/>
        <w:kinsoku/>
        <w:wordWrap/>
        <w:overflowPunct/>
        <w:topLinePunct w:val="0"/>
        <w:autoSpaceDE/>
        <w:autoSpaceDN/>
        <w:bidi w:val="0"/>
        <w:adjustRightInd w:val="0"/>
        <w:snapToGrid w:val="0"/>
        <w:spacing w:line="540" w:lineRule="exact"/>
        <w:ind w:left="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zh-CN" w:eastAsia="zh-CN"/>
        </w:rPr>
        <w:t>20</w:t>
      </w:r>
      <w:r>
        <w:rPr>
          <w:rFonts w:hint="eastAsia" w:ascii="仿宋_GB2312" w:eastAsia="仿宋_GB2312"/>
          <w:sz w:val="32"/>
          <w:szCs w:val="32"/>
          <w:lang w:val="en-US" w:eastAsia="zh-CN"/>
        </w:rPr>
        <w:t>22</w:t>
      </w:r>
      <w:r>
        <w:rPr>
          <w:rFonts w:hint="eastAsia" w:ascii="仿宋_GB2312" w:eastAsia="仿宋_GB2312"/>
          <w:sz w:val="32"/>
          <w:szCs w:val="32"/>
          <w:lang w:val="zh-CN" w:eastAsia="zh-CN"/>
        </w:rPr>
        <w:t>年</w:t>
      </w:r>
      <w:r>
        <w:rPr>
          <w:rFonts w:hint="eastAsia" w:ascii="仿宋_GB2312" w:eastAsia="仿宋_GB2312"/>
          <w:sz w:val="32"/>
          <w:szCs w:val="32"/>
          <w:lang w:val="en-US" w:eastAsia="zh-CN"/>
        </w:rPr>
        <w:t>支出年初预算数1066.06万元，调整后预算数1252.33万元，本年支出决算数1252.33万元，其中：基本支出971.67万元；项目支出280.66万元。</w:t>
      </w:r>
    </w:p>
    <w:p>
      <w:pPr>
        <w:ind w:firstLine="640" w:firstLineChars="200"/>
        <w:rPr>
          <w:rFonts w:hint="eastAsia"/>
          <w:lang w:val="en-US" w:eastAsia="zh-CN"/>
        </w:rPr>
      </w:pPr>
      <w:r>
        <w:rPr>
          <w:rFonts w:hint="eastAsia" w:ascii="黑体" w:hAnsi="黑体" w:eastAsia="黑体" w:cs="黑体"/>
          <w:kern w:val="0"/>
          <w:sz w:val="32"/>
          <w:szCs w:val="32"/>
          <w:shd w:val="clear" w:fill="FFFFFF"/>
          <w:lang w:val="en-US" w:eastAsia="zh-CN" w:bidi="ar"/>
        </w:rPr>
        <w:t>三、部门整体预算绩效管理情况。</w:t>
      </w:r>
    </w:p>
    <w:p>
      <w:pPr>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（一）部门预算管理。</w:t>
      </w:r>
    </w:p>
    <w:p>
      <w:pPr>
        <w:pStyle w:val="2"/>
        <w:keepNext w:val="0"/>
        <w:keepLines w:val="0"/>
        <w:pageBreakBefore w:val="0"/>
        <w:widowControl w:val="0"/>
        <w:kinsoku/>
        <w:wordWrap/>
        <w:overflowPunct/>
        <w:topLinePunct w:val="0"/>
        <w:autoSpaceDE/>
        <w:autoSpaceDN/>
        <w:bidi w:val="0"/>
        <w:spacing w:line="540" w:lineRule="exact"/>
        <w:textAlignment w:val="auto"/>
        <w:rPr>
          <w:rFonts w:hint="eastAsia" w:ascii="仿宋_GB2312" w:eastAsia="仿宋_GB2312" w:cs="宋体"/>
          <w:b/>
          <w:bCs/>
          <w:color w:val="000000"/>
          <w:kern w:val="0"/>
          <w:sz w:val="32"/>
          <w:szCs w:val="32"/>
          <w:shd w:val="clear" w:color="auto" w:fill="FFFFFF"/>
          <w:lang w:val="zh-CN" w:eastAsia="zh-CN" w:bidi="ar-SA"/>
        </w:rPr>
      </w:pPr>
      <w:r>
        <w:rPr>
          <w:rFonts w:hint="eastAsia" w:ascii="仿宋_GB2312" w:eastAsia="仿宋_GB2312" w:cs="宋体"/>
          <w:b/>
          <w:bCs/>
          <w:color w:val="000000"/>
          <w:kern w:val="0"/>
          <w:sz w:val="32"/>
          <w:szCs w:val="32"/>
          <w:shd w:val="clear" w:color="auto" w:fill="FFFFFF"/>
          <w:lang w:val="en-US" w:eastAsia="zh-CN" w:bidi="ar-SA"/>
        </w:rPr>
        <w:t>1.</w:t>
      </w:r>
      <w:r>
        <w:rPr>
          <w:rFonts w:hint="eastAsia" w:ascii="仿宋_GB2312" w:eastAsia="仿宋_GB2312" w:cs="宋体"/>
          <w:b/>
          <w:bCs/>
          <w:color w:val="000000"/>
          <w:kern w:val="0"/>
          <w:sz w:val="32"/>
          <w:szCs w:val="32"/>
          <w:shd w:val="clear" w:color="auto" w:fill="FFFFFF"/>
          <w:lang w:val="zh-CN" w:eastAsia="zh-CN" w:bidi="ar-SA"/>
        </w:rPr>
        <w:t>预算编制</w:t>
      </w:r>
    </w:p>
    <w:p>
      <w:pPr>
        <w:pStyle w:val="2"/>
        <w:keepNext w:val="0"/>
        <w:keepLines w:val="0"/>
        <w:pageBreakBefore w:val="0"/>
        <w:widowControl w:val="0"/>
        <w:kinsoku/>
        <w:wordWrap/>
        <w:overflowPunct/>
        <w:topLinePunct w:val="0"/>
        <w:autoSpaceDE/>
        <w:autoSpaceDN/>
        <w:bidi w:val="0"/>
        <w:spacing w:line="540" w:lineRule="exact"/>
        <w:ind w:left="0" w:leftChars="0" w:firstLine="643" w:firstLineChars="200"/>
        <w:textAlignment w:val="auto"/>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1</w:t>
      </w:r>
      <w:r>
        <w:rPr>
          <w:rFonts w:hint="eastAsia" w:ascii="仿宋_GB2312" w:eastAsia="仿宋_GB2312" w:cs="宋体"/>
          <w:b/>
          <w:bCs/>
          <w:color w:val="000000"/>
          <w:kern w:val="0"/>
          <w:sz w:val="32"/>
          <w:szCs w:val="32"/>
          <w:shd w:val="clear" w:color="auto" w:fill="FFFFFF"/>
          <w:lang w:val="zh-CN" w:eastAsia="zh-CN" w:bidi="ar-SA"/>
        </w:rPr>
        <w:t>）目标制定</w:t>
      </w:r>
      <w:r>
        <w:rPr>
          <w:rFonts w:hint="eastAsia" w:ascii="仿宋_GB2312" w:eastAsia="仿宋_GB2312" w:cs="宋体"/>
          <w:b/>
          <w:bCs/>
          <w:color w:val="000000"/>
          <w:kern w:val="0"/>
          <w:sz w:val="32"/>
          <w:szCs w:val="32"/>
          <w:shd w:val="clear" w:color="auto" w:fill="FFFFFF"/>
          <w:lang w:val="en-US" w:eastAsia="zh-CN" w:bidi="ar-SA"/>
        </w:rPr>
        <w:t>。</w:t>
      </w:r>
      <w:r>
        <w:rPr>
          <w:rFonts w:hint="eastAsia" w:ascii="仿宋_GB2312" w:eastAsia="仿宋_GB2312" w:cs="宋体"/>
          <w:color w:val="000000"/>
          <w:kern w:val="0"/>
          <w:sz w:val="32"/>
          <w:szCs w:val="32"/>
          <w:shd w:val="clear" w:color="auto" w:fill="FFFFFF"/>
          <w:lang w:val="zh-CN" w:eastAsia="zh-CN" w:bidi="ar-SA"/>
        </w:rPr>
        <w:t>严格按照州级部门预算编制通知和有关要求，按时完成基础库、项目库报送工作，按时完成20</w:t>
      </w:r>
      <w:r>
        <w:rPr>
          <w:rFonts w:hint="eastAsia" w:ascii="仿宋_GB2312" w:eastAsia="仿宋_GB2312" w:cs="宋体"/>
          <w:color w:val="000000"/>
          <w:kern w:val="0"/>
          <w:sz w:val="32"/>
          <w:szCs w:val="32"/>
          <w:shd w:val="clear" w:color="auto" w:fill="FFFFFF"/>
          <w:lang w:val="en-US" w:eastAsia="zh-CN" w:bidi="ar-SA"/>
        </w:rPr>
        <w:t>22</w:t>
      </w:r>
      <w:r>
        <w:rPr>
          <w:rFonts w:hint="eastAsia" w:ascii="仿宋_GB2312" w:eastAsia="仿宋_GB2312" w:cs="宋体"/>
          <w:color w:val="000000"/>
          <w:kern w:val="0"/>
          <w:sz w:val="32"/>
          <w:szCs w:val="32"/>
          <w:shd w:val="clear" w:color="auto" w:fill="FFFFFF"/>
          <w:lang w:val="zh-CN" w:eastAsia="zh-CN" w:bidi="ar-SA"/>
        </w:rPr>
        <w:t>年预算编制工作，并按时提交部门预算草案。按规定编制政府采购预算，预算编制全面、科学。20</w:t>
      </w:r>
      <w:r>
        <w:rPr>
          <w:rFonts w:hint="eastAsia" w:ascii="仿宋_GB2312" w:eastAsia="仿宋_GB2312" w:cs="宋体"/>
          <w:color w:val="000000"/>
          <w:kern w:val="0"/>
          <w:sz w:val="32"/>
          <w:szCs w:val="32"/>
          <w:shd w:val="clear" w:color="auto" w:fill="FFFFFF"/>
          <w:lang w:val="en-US" w:eastAsia="zh-CN" w:bidi="ar-SA"/>
        </w:rPr>
        <w:t>22</w:t>
      </w:r>
      <w:r>
        <w:rPr>
          <w:rFonts w:hint="eastAsia" w:ascii="仿宋_GB2312" w:eastAsia="仿宋_GB2312" w:cs="宋体"/>
          <w:color w:val="000000"/>
          <w:kern w:val="0"/>
          <w:sz w:val="32"/>
          <w:szCs w:val="32"/>
          <w:shd w:val="clear" w:color="auto" w:fill="FFFFFF"/>
          <w:lang w:val="zh-CN" w:eastAsia="zh-CN" w:bidi="ar-SA"/>
        </w:rPr>
        <w:t>年部门决算、绩效目标填报，年末结余结转严格按照州财政局的要求认真完成。</w:t>
      </w:r>
    </w:p>
    <w:p>
      <w:pPr>
        <w:pStyle w:val="2"/>
        <w:keepNext w:val="0"/>
        <w:keepLines w:val="0"/>
        <w:pageBreakBefore w:val="0"/>
        <w:kinsoku/>
        <w:overflowPunct/>
        <w:topLinePunct w:val="0"/>
        <w:autoSpaceDE/>
        <w:autoSpaceDN/>
        <w:bidi w:val="0"/>
        <w:spacing w:beforeAutospacing="0" w:afterAutospacing="0" w:line="560" w:lineRule="exact"/>
        <w:ind w:left="0" w:leftChars="0" w:firstLine="643" w:firstLineChars="200"/>
        <w:textAlignment w:val="auto"/>
        <w:rPr>
          <w:rFonts w:hint="eastAsia" w:ascii="仿宋_GB2312" w:hAnsi="仿宋" w:eastAsia="仿宋_GB2312"/>
          <w:sz w:val="32"/>
          <w:szCs w:val="32"/>
        </w:rPr>
      </w:pPr>
      <w:r>
        <w:rPr>
          <w:rFonts w:hint="eastAsia" w:ascii="仿宋_GB2312" w:eastAsia="仿宋_GB2312" w:cs="宋体"/>
          <w:b/>
          <w:bCs/>
          <w:color w:val="000000"/>
          <w:kern w:val="0"/>
          <w:sz w:val="32"/>
          <w:szCs w:val="32"/>
          <w:shd w:val="clear" w:color="auto" w:fill="FFFFFF"/>
          <w:lang w:val="en-US" w:eastAsia="zh-CN" w:bidi="ar-SA"/>
        </w:rPr>
        <w:t>（2）</w:t>
      </w:r>
      <w:r>
        <w:rPr>
          <w:rFonts w:hint="eastAsia" w:ascii="仿宋_GB2312" w:eastAsia="仿宋_GB2312" w:cs="宋体"/>
          <w:b/>
          <w:bCs/>
          <w:color w:val="000000"/>
          <w:kern w:val="0"/>
          <w:sz w:val="32"/>
          <w:szCs w:val="32"/>
          <w:shd w:val="clear" w:color="auto" w:fill="FFFFFF"/>
          <w:lang w:val="zh-CN" w:eastAsia="zh-CN" w:bidi="ar-SA"/>
        </w:rPr>
        <w:t>目标实现。</w:t>
      </w:r>
      <w:r>
        <w:rPr>
          <w:rFonts w:hint="eastAsia" w:ascii="仿宋_GB2312" w:hAnsi="仿宋" w:eastAsia="仿宋_GB2312"/>
          <w:sz w:val="32"/>
          <w:szCs w:val="32"/>
        </w:rPr>
        <w:t>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年项目支出预算合计</w:t>
      </w:r>
      <w:r>
        <w:rPr>
          <w:rFonts w:hint="eastAsia" w:ascii="仿宋_GB2312" w:hAnsi="仿宋" w:eastAsia="仿宋_GB2312"/>
          <w:sz w:val="32"/>
          <w:szCs w:val="32"/>
          <w:lang w:val="en-US" w:eastAsia="zh-CN"/>
        </w:rPr>
        <w:t>323.43</w:t>
      </w:r>
      <w:r>
        <w:rPr>
          <w:rFonts w:hint="eastAsia" w:ascii="仿宋_GB2312" w:hAnsi="仿宋" w:eastAsia="仿宋_GB2312"/>
          <w:sz w:val="32"/>
          <w:szCs w:val="32"/>
        </w:rPr>
        <w:t>万元，支出合计</w:t>
      </w:r>
      <w:r>
        <w:rPr>
          <w:rFonts w:hint="eastAsia" w:ascii="仿宋_GB2312" w:hAnsi="仿宋" w:eastAsia="仿宋_GB2312"/>
          <w:sz w:val="32"/>
          <w:szCs w:val="32"/>
          <w:lang w:val="en-US" w:eastAsia="zh-CN"/>
        </w:rPr>
        <w:t>280.66</w:t>
      </w:r>
      <w:r>
        <w:rPr>
          <w:rFonts w:hint="eastAsia" w:ascii="仿宋_GB2312" w:hAnsi="仿宋" w:eastAsia="仿宋_GB2312"/>
          <w:sz w:val="32"/>
          <w:szCs w:val="32"/>
        </w:rPr>
        <w:t>万元。</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default" w:ascii="仿宋_GB2312" w:hAnsi="仿宋" w:eastAsia="仿宋_GB2312"/>
          <w:color w:val="0000FF"/>
          <w:sz w:val="32"/>
          <w:szCs w:val="32"/>
          <w:lang w:val="en-US"/>
        </w:rPr>
      </w:pPr>
      <w:r>
        <w:rPr>
          <w:rFonts w:hint="eastAsia" w:ascii="仿宋_GB2312" w:hAnsi="仿宋" w:eastAsia="仿宋_GB2312"/>
          <w:sz w:val="32"/>
          <w:szCs w:val="32"/>
        </w:rPr>
        <w:t>卫生健康支出（210）医疗保障管理事务（15） 一般行政管理事务（02）：本年支出</w:t>
      </w:r>
      <w:r>
        <w:rPr>
          <w:rFonts w:hint="eastAsia" w:ascii="仿宋_GB2312" w:hAnsi="仿宋" w:eastAsia="仿宋_GB2312"/>
          <w:sz w:val="32"/>
          <w:szCs w:val="32"/>
          <w:lang w:val="en-US" w:eastAsia="zh-CN"/>
        </w:rPr>
        <w:t>19.14</w:t>
      </w:r>
      <w:r>
        <w:rPr>
          <w:rFonts w:hint="eastAsia" w:ascii="仿宋_GB2312" w:hAnsi="仿宋" w:eastAsia="仿宋_GB2312"/>
          <w:sz w:val="32"/>
          <w:szCs w:val="32"/>
        </w:rPr>
        <w:t>万元，完成</w:t>
      </w:r>
      <w:r>
        <w:rPr>
          <w:rFonts w:hint="eastAsia" w:ascii="仿宋_GB2312" w:hAnsi="仿宋" w:eastAsia="仿宋_GB2312"/>
          <w:sz w:val="32"/>
          <w:szCs w:val="32"/>
          <w:lang w:val="en-US" w:eastAsia="zh-CN"/>
        </w:rPr>
        <w:t>年初</w:t>
      </w:r>
      <w:r>
        <w:rPr>
          <w:rFonts w:hint="eastAsia" w:ascii="仿宋_GB2312" w:hAnsi="仿宋" w:eastAsia="仿宋_GB2312"/>
          <w:sz w:val="32"/>
          <w:szCs w:val="32"/>
        </w:rPr>
        <w:t>预算数</w:t>
      </w:r>
      <w:r>
        <w:rPr>
          <w:rFonts w:hint="eastAsia" w:ascii="仿宋_GB2312" w:hAnsi="仿宋" w:eastAsia="仿宋_GB2312"/>
          <w:sz w:val="32"/>
          <w:szCs w:val="32"/>
          <w:lang w:val="en-US" w:eastAsia="zh-CN"/>
        </w:rPr>
        <w:t>66.35</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因受疫情影响，年初计划开展的部分培训，无法正常开展。</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医疗保障系统工作人员能力提升培训班年初</w:t>
      </w:r>
      <w:r>
        <w:rPr>
          <w:rFonts w:hint="eastAsia" w:ascii="仿宋_GB2312" w:hAnsi="仿宋" w:eastAsia="仿宋_GB2312"/>
          <w:color w:val="000000" w:themeColor="text1"/>
          <w:sz w:val="32"/>
          <w:szCs w:val="32"/>
          <w:lang w:val="en-US" w:eastAsia="zh-CN"/>
          <w14:textFill>
            <w14:solidFill>
              <w14:schemeClr w14:val="tx1"/>
            </w14:solidFill>
          </w14:textFill>
        </w:rPr>
        <w:t>预算15万元，支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出11.31万元，完成预算75.4%。</w:t>
      </w:r>
      <w:r>
        <w:rPr>
          <w:rFonts w:hint="eastAsia" w:ascii="仿宋_GB2312" w:hAnsi="仿宋" w:eastAsia="仿宋_GB2312"/>
          <w:b/>
          <w:bCs/>
          <w:color w:val="000000" w:themeColor="text1"/>
          <w:sz w:val="32"/>
          <w:szCs w:val="32"/>
          <w:highlight w:val="none"/>
          <w:lang w:val="en-US" w:eastAsia="zh-CN"/>
          <w14:textFill>
            <w14:solidFill>
              <w14:schemeClr w14:val="tx1"/>
            </w14:solidFill>
          </w14:textFill>
        </w:rPr>
        <w:t>二是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阿坝州支付方式改革培训预算10.86万元，支出5.84万元，完成预算53.78%；</w:t>
      </w:r>
      <w:r>
        <w:rPr>
          <w:rFonts w:hint="eastAsia" w:ascii="仿宋_GB2312" w:hAnsi="仿宋" w:eastAsia="仿宋_GB2312"/>
          <w:b/>
          <w:bCs/>
          <w:color w:val="000000" w:themeColor="text1"/>
          <w:sz w:val="32"/>
          <w:szCs w:val="32"/>
          <w:highlight w:val="none"/>
          <w:lang w:val="en-US" w:eastAsia="zh-CN"/>
          <w14:textFill>
            <w14:solidFill>
              <w14:schemeClr w14:val="tx1"/>
            </w14:solidFill>
          </w14:textFill>
        </w:rPr>
        <w:t>三是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聘请法律顾问工作经费预算2万元，支出2万元，完成预算100%。</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卫生健康支出（210）医疗保障管理事务（15）</w:t>
      </w:r>
      <w:r>
        <w:rPr>
          <w:rFonts w:hint="eastAsia" w:ascii="仿宋_GB2312" w:hAnsi="仿宋" w:eastAsia="仿宋_GB2312"/>
          <w:sz w:val="32"/>
          <w:szCs w:val="32"/>
          <w:lang w:val="en-US" w:eastAsia="zh-CN"/>
        </w:rPr>
        <w:t>医疗保障政策管理</w:t>
      </w:r>
      <w:r>
        <w:rPr>
          <w:rFonts w:hint="eastAsia" w:ascii="仿宋_GB2312" w:hAnsi="仿宋" w:eastAsia="仿宋_GB2312"/>
          <w:sz w:val="32"/>
          <w:szCs w:val="32"/>
        </w:rPr>
        <w:t>（</w:t>
      </w:r>
      <w:r>
        <w:rPr>
          <w:rFonts w:hint="eastAsia" w:ascii="仿宋_GB2312" w:hAnsi="仿宋" w:eastAsia="仿宋_GB2312"/>
          <w:sz w:val="32"/>
          <w:szCs w:val="32"/>
          <w:lang w:val="en-US" w:eastAsia="zh-CN"/>
        </w:rPr>
        <w:t>05</w:t>
      </w:r>
      <w:r>
        <w:rPr>
          <w:rFonts w:hint="eastAsia" w:ascii="仿宋_GB2312" w:hAnsi="仿宋" w:eastAsia="仿宋_GB2312"/>
          <w:sz w:val="32"/>
          <w:szCs w:val="32"/>
        </w:rPr>
        <w:t>）：</w:t>
      </w:r>
      <w:r>
        <w:rPr>
          <w:rFonts w:hint="eastAsia" w:ascii="仿宋_GB2312" w:hAnsi="仿宋" w:eastAsia="仿宋_GB2312"/>
          <w:sz w:val="32"/>
          <w:szCs w:val="32"/>
          <w:lang w:val="en-US" w:eastAsia="zh-CN"/>
        </w:rPr>
        <w:t>本年支出89.07万元，完成年初预算数73.61%。</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医保政策宣传费年初预算20万元，支出19.99万元，完成年初预算数99.95%；</w:t>
      </w:r>
      <w:r>
        <w:rPr>
          <w:rFonts w:hint="eastAsia" w:ascii="仿宋_GB2312" w:hAnsi="仿宋" w:eastAsia="仿宋_GB2312"/>
          <w:b/>
          <w:bCs/>
          <w:sz w:val="32"/>
          <w:szCs w:val="32"/>
          <w:lang w:val="en-US" w:eastAsia="zh-CN"/>
        </w:rPr>
        <w:t>二是</w:t>
      </w:r>
      <w:r>
        <w:rPr>
          <w:rFonts w:hint="eastAsia" w:ascii="仿宋_GB2312" w:hAnsi="仿宋" w:eastAsia="仿宋_GB2312"/>
          <w:b w:val="0"/>
          <w:bCs w:val="0"/>
          <w:sz w:val="32"/>
          <w:szCs w:val="32"/>
          <w:lang w:val="en-US" w:eastAsia="zh-CN"/>
        </w:rPr>
        <w:t>医疗救助运行分析经费年初预算10万元，支出5.61万元，完成年初</w:t>
      </w:r>
      <w:r>
        <w:rPr>
          <w:rFonts w:hint="eastAsia" w:ascii="仿宋_GB2312" w:hAnsi="仿宋" w:eastAsia="仿宋_GB2312"/>
          <w:sz w:val="32"/>
          <w:szCs w:val="32"/>
          <w:lang w:val="en-US" w:eastAsia="zh-CN"/>
        </w:rPr>
        <w:t>预算数56.1%；</w:t>
      </w:r>
      <w:r>
        <w:rPr>
          <w:rFonts w:hint="eastAsia" w:ascii="仿宋_GB2312" w:hAnsi="仿宋" w:eastAsia="仿宋_GB2312"/>
          <w:b/>
          <w:bCs/>
          <w:sz w:val="32"/>
          <w:szCs w:val="32"/>
          <w:lang w:val="en-US" w:eastAsia="zh-CN"/>
        </w:rPr>
        <w:t>三是</w:t>
      </w:r>
      <w:r>
        <w:rPr>
          <w:rFonts w:hint="eastAsia" w:ascii="仿宋_GB2312" w:hAnsi="仿宋" w:eastAsia="仿宋_GB2312"/>
          <w:sz w:val="32"/>
          <w:szCs w:val="32"/>
          <w:lang w:val="en-US" w:eastAsia="zh-CN"/>
        </w:rPr>
        <w:t>2022年阿坝州深化医疗服务价格改革专题研究年初预算20万元，支出12.3万元，完成年初预算数61.5%；</w:t>
      </w:r>
      <w:r>
        <w:rPr>
          <w:rFonts w:hint="eastAsia" w:ascii="仿宋_GB2312" w:hAnsi="仿宋" w:eastAsia="仿宋_GB2312"/>
          <w:b/>
          <w:bCs/>
          <w:sz w:val="32"/>
          <w:szCs w:val="32"/>
          <w:lang w:val="en-US" w:eastAsia="zh-CN"/>
        </w:rPr>
        <w:t>四是</w:t>
      </w:r>
      <w:r>
        <w:rPr>
          <w:rFonts w:hint="eastAsia" w:ascii="仿宋_GB2312" w:hAnsi="仿宋" w:eastAsia="仿宋_GB2312"/>
          <w:sz w:val="32"/>
          <w:szCs w:val="32"/>
          <w:lang w:val="en-US" w:eastAsia="zh-CN"/>
        </w:rPr>
        <w:t>成都都江堰地区协议管理年初预算10万元，支出2.63万元，完成年初预算数26.3%；</w:t>
      </w:r>
      <w:r>
        <w:rPr>
          <w:rFonts w:hint="eastAsia" w:ascii="仿宋_GB2312" w:hAnsi="仿宋" w:eastAsia="仿宋_GB2312"/>
          <w:b/>
          <w:bCs/>
          <w:sz w:val="32"/>
          <w:szCs w:val="32"/>
          <w:lang w:val="en-US" w:eastAsia="zh-CN"/>
        </w:rPr>
        <w:t>五是</w:t>
      </w:r>
      <w:r>
        <w:rPr>
          <w:rFonts w:hint="eastAsia" w:ascii="仿宋_GB2312" w:hAnsi="仿宋" w:eastAsia="仿宋_GB2312"/>
          <w:sz w:val="32"/>
          <w:szCs w:val="32"/>
          <w:lang w:val="en-US" w:eastAsia="zh-CN"/>
        </w:rPr>
        <w:t>集中带量采购及非集采药械议价工作专项经费年初预算35万元，支出23.64万元，完成年初预算数67.54%；</w:t>
      </w:r>
      <w:r>
        <w:rPr>
          <w:rFonts w:hint="eastAsia" w:ascii="仿宋_GB2312" w:hAnsi="仿宋" w:eastAsia="仿宋_GB2312"/>
          <w:b/>
          <w:bCs/>
          <w:sz w:val="32"/>
          <w:szCs w:val="32"/>
          <w:lang w:val="en-US" w:eastAsia="zh-CN"/>
        </w:rPr>
        <w:t>六是</w:t>
      </w:r>
      <w:r>
        <w:rPr>
          <w:rFonts w:hint="eastAsia" w:ascii="仿宋_GB2312" w:hAnsi="仿宋" w:eastAsia="仿宋_GB2312"/>
          <w:sz w:val="32"/>
          <w:szCs w:val="32"/>
          <w:lang w:val="en-US" w:eastAsia="zh-CN"/>
        </w:rPr>
        <w:t>审计稽核经费年初预算6万元，支出4.9万元，完成年初预算数81.67%；</w:t>
      </w:r>
      <w:r>
        <w:rPr>
          <w:rFonts w:hint="eastAsia" w:ascii="仿宋_GB2312" w:hAnsi="仿宋" w:eastAsia="仿宋_GB2312"/>
          <w:b/>
          <w:bCs/>
          <w:sz w:val="32"/>
          <w:szCs w:val="32"/>
          <w:lang w:val="en-US" w:eastAsia="zh-CN"/>
        </w:rPr>
        <w:t>七是</w:t>
      </w:r>
      <w:r>
        <w:rPr>
          <w:rFonts w:hint="eastAsia" w:ascii="仿宋_GB2312" w:hAnsi="仿宋" w:eastAsia="仿宋_GB2312"/>
          <w:sz w:val="32"/>
          <w:szCs w:val="32"/>
          <w:lang w:val="en-US" w:eastAsia="zh-CN"/>
        </w:rPr>
        <w:t>医保基金监管和医保经办机构、定点医药机构监督检查工作经费年初预算20万元，支出20万元，完成年初预算数100%。</w:t>
      </w:r>
    </w:p>
    <w:p>
      <w:pPr>
        <w:pStyle w:val="2"/>
        <w:keepNext w:val="0"/>
        <w:keepLines w:val="0"/>
        <w:pageBreakBefore w:val="0"/>
        <w:kinsoku/>
        <w:overflowPunct/>
        <w:topLinePunct w:val="0"/>
        <w:autoSpaceDE/>
        <w:autoSpaceDN/>
        <w:bidi w:val="0"/>
        <w:spacing w:beforeAutospacing="0" w:afterAutospacing="0" w:line="560" w:lineRule="exact"/>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卫生健康支出（210）医疗保障管理事务（15）</w:t>
      </w:r>
      <w:r>
        <w:rPr>
          <w:rFonts w:hint="eastAsia" w:ascii="仿宋_GB2312" w:hAnsi="仿宋" w:eastAsia="仿宋_GB2312"/>
          <w:sz w:val="32"/>
          <w:szCs w:val="32"/>
          <w:lang w:val="en-US" w:eastAsia="zh-CN"/>
        </w:rPr>
        <w:t>医疗保障经办事务</w:t>
      </w:r>
      <w:r>
        <w:rPr>
          <w:rFonts w:hint="eastAsia" w:ascii="仿宋_GB2312" w:hAnsi="仿宋" w:eastAsia="仿宋_GB2312"/>
          <w:sz w:val="32"/>
          <w:szCs w:val="32"/>
        </w:rPr>
        <w:t>（</w:t>
      </w:r>
      <w:r>
        <w:rPr>
          <w:rFonts w:hint="eastAsia" w:ascii="仿宋_GB2312" w:hAnsi="仿宋" w:eastAsia="仿宋_GB2312"/>
          <w:sz w:val="32"/>
          <w:szCs w:val="32"/>
          <w:lang w:val="en-US" w:eastAsia="zh-CN"/>
        </w:rPr>
        <w:t>06</w:t>
      </w:r>
      <w:r>
        <w:rPr>
          <w:rFonts w:hint="eastAsia" w:ascii="仿宋_GB2312" w:hAnsi="仿宋" w:eastAsia="仿宋_GB2312"/>
          <w:sz w:val="32"/>
          <w:szCs w:val="32"/>
        </w:rPr>
        <w:t>）：</w:t>
      </w:r>
      <w:r>
        <w:rPr>
          <w:rFonts w:hint="eastAsia" w:ascii="仿宋_GB2312" w:hAnsi="仿宋" w:eastAsia="仿宋_GB2312"/>
          <w:sz w:val="32"/>
          <w:szCs w:val="32"/>
          <w:lang w:val="en-US" w:eastAsia="zh-CN"/>
        </w:rPr>
        <w:t>本年支出50.6万元，完成年初预算数94.76%。</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异地就医驻点服务年初预算5万元，支出4.21万元，完成年初预算数84.2%；二</w:t>
      </w:r>
      <w:r>
        <w:rPr>
          <w:rFonts w:hint="eastAsia" w:ascii="仿宋_GB2312" w:hAnsi="仿宋" w:eastAsia="仿宋_GB2312"/>
          <w:b/>
          <w:bCs/>
          <w:sz w:val="32"/>
          <w:szCs w:val="32"/>
          <w:lang w:val="en-US" w:eastAsia="zh-CN"/>
        </w:rPr>
        <w:t>是</w:t>
      </w:r>
      <w:r>
        <w:rPr>
          <w:rFonts w:hint="eastAsia" w:ascii="仿宋_GB2312" w:hAnsi="仿宋" w:eastAsia="仿宋_GB2312"/>
          <w:sz w:val="32"/>
          <w:szCs w:val="32"/>
          <w:lang w:val="en-US" w:eastAsia="zh-CN"/>
        </w:rPr>
        <w:t>医保基金预决算培训会年初预算10万元，支出8.08万元，完成年初预算数80.8%；三</w:t>
      </w:r>
      <w:r>
        <w:rPr>
          <w:rFonts w:hint="eastAsia" w:ascii="仿宋_GB2312" w:hAnsi="仿宋" w:eastAsia="仿宋_GB2312"/>
          <w:b/>
          <w:bCs/>
          <w:sz w:val="32"/>
          <w:szCs w:val="32"/>
          <w:lang w:val="en-US" w:eastAsia="zh-CN"/>
        </w:rPr>
        <w:t>是</w:t>
      </w:r>
      <w:r>
        <w:rPr>
          <w:rFonts w:hint="eastAsia" w:ascii="仿宋_GB2312" w:hAnsi="仿宋" w:eastAsia="仿宋_GB2312"/>
          <w:sz w:val="32"/>
          <w:szCs w:val="32"/>
          <w:lang w:val="en-US" w:eastAsia="zh-CN"/>
        </w:rPr>
        <w:t>全省医疗保障一体化大数据平台阿坝州骨干网络链路租赁费年初预算38.4万元，支出38.31万元，完成年初预算数99.77%；</w:t>
      </w:r>
    </w:p>
    <w:p>
      <w:pPr>
        <w:pStyle w:val="2"/>
        <w:keepNext w:val="0"/>
        <w:keepLines w:val="0"/>
        <w:pageBreakBefore w:val="0"/>
        <w:kinsoku/>
        <w:overflowPunct/>
        <w:topLinePunct w:val="0"/>
        <w:autoSpaceDE/>
        <w:autoSpaceDN/>
        <w:bidi w:val="0"/>
        <w:spacing w:beforeAutospacing="0" w:afterAutospacing="0" w:line="560" w:lineRule="exact"/>
        <w:ind w:firstLine="640"/>
        <w:jc w:val="both"/>
        <w:textAlignment w:val="auto"/>
        <w:rPr>
          <w:rFonts w:hint="eastAsia" w:ascii="仿宋_GB2312" w:eastAsia="仿宋_GB2312" w:cs="宋体"/>
          <w:b/>
          <w:bCs/>
          <w:color w:val="000000"/>
          <w:kern w:val="0"/>
          <w:sz w:val="32"/>
          <w:szCs w:val="32"/>
          <w:shd w:val="clear" w:color="auto" w:fill="FFFFFF"/>
          <w:lang w:val="zh-CN" w:eastAsia="zh-CN" w:bidi="ar-SA"/>
        </w:rPr>
      </w:pPr>
      <w:r>
        <w:rPr>
          <w:rFonts w:hint="eastAsia" w:ascii="仿宋_GB2312" w:hAnsi="仿宋" w:eastAsia="仿宋_GB2312"/>
          <w:sz w:val="32"/>
          <w:szCs w:val="32"/>
        </w:rPr>
        <w:t>卫生健康支出（210）医疗保障管理事务（15）其他医疗保障经办事务支出（99）：本年支出</w:t>
      </w:r>
      <w:r>
        <w:rPr>
          <w:rFonts w:hint="eastAsia" w:ascii="仿宋_GB2312" w:hAnsi="仿宋" w:eastAsia="仿宋_GB2312"/>
          <w:sz w:val="32"/>
          <w:szCs w:val="32"/>
          <w:lang w:val="en-US" w:eastAsia="zh-CN"/>
        </w:rPr>
        <w:t>121.86</w:t>
      </w:r>
      <w:r>
        <w:rPr>
          <w:rFonts w:hint="eastAsia" w:ascii="仿宋_GB2312" w:hAnsi="仿宋" w:eastAsia="仿宋_GB2312"/>
          <w:sz w:val="32"/>
          <w:szCs w:val="32"/>
        </w:rPr>
        <w:t>万元，完成预算</w:t>
      </w:r>
      <w:r>
        <w:rPr>
          <w:rFonts w:hint="eastAsia" w:ascii="仿宋_GB2312" w:hAnsi="仿宋" w:eastAsia="仿宋_GB2312"/>
          <w:sz w:val="32"/>
          <w:szCs w:val="32"/>
          <w:lang w:val="en-US" w:eastAsia="zh-CN"/>
        </w:rPr>
        <w:t>92.85</w:t>
      </w:r>
      <w:r>
        <w:rPr>
          <w:rFonts w:hint="eastAsia" w:ascii="仿宋_GB2312" w:hAnsi="仿宋" w:eastAsia="仿宋_GB2312"/>
          <w:sz w:val="32"/>
          <w:szCs w:val="32"/>
        </w:rPr>
        <w:t>%。差异原因</w:t>
      </w:r>
      <w:r>
        <w:rPr>
          <w:rFonts w:hint="eastAsia" w:ascii="仿宋_GB2312" w:hAnsi="仿宋" w:eastAsia="仿宋_GB2312"/>
          <w:sz w:val="32"/>
          <w:szCs w:val="32"/>
          <w:lang w:eastAsia="zh-CN"/>
        </w:rPr>
        <w:t>：</w:t>
      </w:r>
      <w:r>
        <w:rPr>
          <w:rFonts w:hint="eastAsia" w:ascii="仿宋_GB2312" w:hAnsi="仿宋" w:eastAsia="仿宋_GB2312"/>
          <w:b/>
          <w:bCs/>
          <w:sz w:val="32"/>
          <w:szCs w:val="32"/>
          <w:lang w:val="en-US" w:eastAsia="zh-CN"/>
        </w:rPr>
        <w:t>一是</w:t>
      </w:r>
      <w:r>
        <w:rPr>
          <w:rFonts w:hint="eastAsia" w:ascii="仿宋_GB2312" w:hAnsi="仿宋" w:eastAsia="仿宋_GB2312"/>
          <w:sz w:val="32"/>
          <w:szCs w:val="32"/>
          <w:lang w:val="en-US" w:eastAsia="zh-CN"/>
        </w:rPr>
        <w:t>2020年中央医疗服务和保障能力提升资金预算8.76万元，支出8.76万元，完成预算100%；</w:t>
      </w:r>
      <w:r>
        <w:rPr>
          <w:rFonts w:hint="eastAsia" w:ascii="仿宋_GB2312" w:hAnsi="仿宋" w:eastAsia="仿宋_GB2312"/>
          <w:b/>
          <w:bCs/>
          <w:sz w:val="32"/>
          <w:szCs w:val="32"/>
          <w:lang w:val="en-US" w:eastAsia="zh-CN"/>
        </w:rPr>
        <w:t>二是</w:t>
      </w:r>
      <w:r>
        <w:rPr>
          <w:rFonts w:hint="eastAsia" w:ascii="仿宋_GB2312" w:hAnsi="仿宋" w:eastAsia="仿宋_GB2312"/>
          <w:sz w:val="32"/>
          <w:szCs w:val="32"/>
          <w:lang w:val="en-US" w:eastAsia="zh-CN"/>
        </w:rPr>
        <w:t>2022年中央医疗服务与保障能力提升资金预算110万元，支出109.14万元，完成预算99.22%。</w:t>
      </w:r>
      <w:r>
        <w:rPr>
          <w:rFonts w:hint="eastAsia" w:ascii="仿宋_GB2312" w:hAnsi="仿宋" w:eastAsia="仿宋_GB2312"/>
          <w:b/>
          <w:bCs/>
          <w:sz w:val="32"/>
          <w:szCs w:val="32"/>
          <w:lang w:val="en-US" w:eastAsia="zh-CN"/>
        </w:rPr>
        <w:t>三是</w:t>
      </w:r>
      <w:r>
        <w:rPr>
          <w:rFonts w:hint="eastAsia" w:ascii="仿宋_GB2312" w:hAnsi="仿宋" w:eastAsia="仿宋_GB2312"/>
          <w:sz w:val="32"/>
          <w:szCs w:val="32"/>
          <w:lang w:val="en-US" w:eastAsia="zh-CN"/>
        </w:rPr>
        <w:t>2021年人社公共服务建设资金预算2.42万元，支出2.42万元，完成预算100%；</w:t>
      </w:r>
      <w:r>
        <w:rPr>
          <w:rFonts w:hint="eastAsia" w:ascii="仿宋_GB2312" w:hAnsi="仿宋" w:eastAsia="仿宋_GB2312"/>
          <w:b/>
          <w:bCs/>
          <w:sz w:val="32"/>
          <w:szCs w:val="32"/>
          <w:lang w:val="en-US" w:eastAsia="zh-CN"/>
        </w:rPr>
        <w:t>四是</w:t>
      </w:r>
      <w:r>
        <w:rPr>
          <w:rFonts w:hint="eastAsia" w:ascii="仿宋_GB2312" w:hAnsi="仿宋" w:eastAsia="仿宋_GB2312"/>
          <w:sz w:val="32"/>
          <w:szCs w:val="32"/>
          <w:lang w:val="en-US" w:eastAsia="zh-CN"/>
        </w:rPr>
        <w:t>2022年人社公共服务建设资金预算10万元，支出1.48万元，完成预算14.8%；</w:t>
      </w:r>
      <w:r>
        <w:rPr>
          <w:rFonts w:hint="eastAsia" w:ascii="仿宋_GB2312" w:hAnsi="仿宋" w:eastAsia="仿宋_GB2312"/>
          <w:b/>
          <w:bCs/>
          <w:sz w:val="32"/>
          <w:szCs w:val="32"/>
          <w:lang w:val="en-US" w:eastAsia="zh-CN"/>
        </w:rPr>
        <w:t>五是</w:t>
      </w:r>
      <w:r>
        <w:rPr>
          <w:rFonts w:hint="eastAsia" w:ascii="仿宋_GB2312" w:hAnsi="仿宋" w:eastAsia="仿宋_GB2312"/>
          <w:sz w:val="32"/>
          <w:szCs w:val="32"/>
          <w:lang w:val="en-US" w:eastAsia="zh-CN"/>
        </w:rPr>
        <w:t xml:space="preserve">举报奖励金预算0.07万元，支出0.07万元，完成预算100%。 </w:t>
      </w:r>
    </w:p>
    <w:p>
      <w:pPr>
        <w:pStyle w:val="4"/>
        <w:keepNext w:val="0"/>
        <w:keepLines w:val="0"/>
        <w:pageBreakBefore w:val="0"/>
        <w:widowControl/>
        <w:kinsoku/>
        <w:wordWrap/>
        <w:overflowPunct/>
        <w:topLinePunct w:val="0"/>
        <w:autoSpaceDE/>
        <w:autoSpaceDN/>
        <w:bidi w:val="0"/>
        <w:adjustRightInd/>
        <w:snapToGrid w:val="0"/>
        <w:spacing w:line="560" w:lineRule="atLeast"/>
        <w:ind w:firstLine="643" w:firstLineChars="200"/>
        <w:textAlignment w:val="auto"/>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3</w:t>
      </w:r>
      <w:r>
        <w:rPr>
          <w:rFonts w:hint="eastAsia" w:ascii="仿宋_GB2312" w:eastAsia="仿宋_GB2312" w:cs="宋体"/>
          <w:b/>
          <w:bCs/>
          <w:color w:val="000000"/>
          <w:kern w:val="0"/>
          <w:sz w:val="32"/>
          <w:szCs w:val="32"/>
          <w:shd w:val="clear" w:color="auto" w:fill="FFFFFF"/>
          <w:lang w:val="zh-CN" w:eastAsia="zh-CN" w:bidi="ar-SA"/>
        </w:rPr>
        <w:t>）预算编制准确。</w:t>
      </w:r>
      <w:r>
        <w:rPr>
          <w:rFonts w:hint="eastAsia" w:ascii="仿宋_GB2312" w:hAnsi="仿宋" w:eastAsia="仿宋_GB2312" w:cstheme="minorBidi"/>
          <w:kern w:val="2"/>
          <w:sz w:val="32"/>
          <w:szCs w:val="32"/>
          <w:lang w:val="en-US" w:eastAsia="zh-CN" w:bidi="ar-SA"/>
        </w:rPr>
        <w:t>2022年</w:t>
      </w:r>
      <w:r>
        <w:rPr>
          <w:rFonts w:hint="eastAsia" w:ascii="仿宋_GB2312" w:hAnsi="仿宋" w:eastAsia="仿宋_GB2312" w:cstheme="minorBidi"/>
          <w:kern w:val="2"/>
          <w:sz w:val="32"/>
          <w:szCs w:val="32"/>
          <w:lang w:val="zh-CN" w:eastAsia="zh-CN" w:bidi="ar-SA"/>
        </w:rPr>
        <w:t>部门年初预算编制科学、准确，</w:t>
      </w:r>
      <w:r>
        <w:rPr>
          <w:rFonts w:hint="eastAsia" w:ascii="仿宋_GB2312" w:hAnsi="仿宋" w:eastAsia="仿宋_GB2312" w:cstheme="minorBidi"/>
          <w:kern w:val="2"/>
          <w:sz w:val="32"/>
          <w:szCs w:val="32"/>
          <w:lang w:val="en-US" w:eastAsia="zh-CN" w:bidi="ar-SA"/>
        </w:rPr>
        <w:t>项目支出预算编制与本部门2022年主要工作任务相适应。</w:t>
      </w:r>
    </w:p>
    <w:p>
      <w:pPr>
        <w:pStyle w:val="2"/>
        <w:keepNext w:val="0"/>
        <w:keepLines w:val="0"/>
        <w:pageBreakBefore w:val="0"/>
        <w:widowControl w:val="0"/>
        <w:tabs>
          <w:tab w:val="center" w:pos="4422"/>
        </w:tabs>
        <w:kinsoku/>
        <w:wordWrap/>
        <w:overflowPunct/>
        <w:topLinePunct w:val="0"/>
        <w:autoSpaceDE/>
        <w:autoSpaceDN/>
        <w:bidi w:val="0"/>
        <w:spacing w:line="540" w:lineRule="exact"/>
        <w:ind w:firstLine="643" w:firstLineChars="200"/>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b/>
          <w:bCs/>
          <w:color w:val="000000"/>
          <w:kern w:val="0"/>
          <w:sz w:val="32"/>
          <w:szCs w:val="32"/>
          <w:shd w:val="clear" w:color="auto" w:fill="FFFFFF"/>
          <w:lang w:val="en-US" w:eastAsia="zh-CN" w:bidi="ar-SA"/>
        </w:rPr>
        <w:t>2.预算执行</w:t>
      </w:r>
      <w:r>
        <w:rPr>
          <w:rFonts w:hint="eastAsia" w:ascii="仿宋_GB2312" w:eastAsia="仿宋_GB2312" w:cs="宋体"/>
          <w:color w:val="000000"/>
          <w:kern w:val="0"/>
          <w:sz w:val="32"/>
          <w:szCs w:val="32"/>
          <w:shd w:val="clear" w:color="auto" w:fill="FFFFFF"/>
          <w:lang w:val="zh-CN" w:eastAsia="zh-CN" w:bidi="ar-SA"/>
        </w:rPr>
        <w:t xml:space="preserve">  </w:t>
      </w:r>
      <w:r>
        <w:rPr>
          <w:rFonts w:hint="eastAsia" w:ascii="仿宋_GB2312" w:eastAsia="仿宋_GB2312" w:cs="宋体"/>
          <w:color w:val="000000"/>
          <w:kern w:val="0"/>
          <w:sz w:val="32"/>
          <w:szCs w:val="32"/>
          <w:shd w:val="clear" w:color="auto" w:fill="FFFFFF"/>
          <w:lang w:val="zh-CN" w:eastAsia="zh-CN" w:bidi="ar-SA"/>
        </w:rPr>
        <w:tab/>
      </w:r>
    </w:p>
    <w:p>
      <w:pPr>
        <w:pStyle w:val="2"/>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eastAsia" w:ascii="仿宋_GB2312" w:eastAsia="仿宋_GB2312"/>
          <w:sz w:val="32"/>
          <w:szCs w:val="32"/>
        </w:rPr>
      </w:pP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1</w:t>
      </w: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支出控制。</w:t>
      </w:r>
      <w:r>
        <w:rPr>
          <w:rFonts w:hint="eastAsia" w:ascii="仿宋_GB2312" w:eastAsia="仿宋_GB2312"/>
          <w:sz w:val="32"/>
          <w:szCs w:val="32"/>
        </w:rPr>
        <w:t>预算支出严格按照预算科目执行，不同预算科目、预算级次或者项目间的预算资金调剂均按规定办理。</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jc w:val="both"/>
        <w:textAlignment w:val="auto"/>
        <w:rPr>
          <w:rFonts w:ascii="仿宋_GB2312" w:eastAsia="仿宋_GB2312" w:cs="宋体"/>
          <w:color w:val="000000"/>
          <w:kern w:val="0"/>
          <w:sz w:val="32"/>
          <w:szCs w:val="32"/>
          <w:shd w:val="clear" w:color="auto" w:fill="FFFFFF"/>
          <w:lang w:val="en-US" w:eastAsia="zh-CN" w:bidi="ar-SA"/>
        </w:rPr>
      </w:pPr>
      <w:r>
        <w:rPr>
          <w:rFonts w:hint="eastAsia" w:ascii="仿宋_GB2312" w:eastAsia="仿宋_GB2312" w:cs="宋体"/>
          <w:b/>
          <w:bCs/>
          <w:color w:val="000000"/>
          <w:kern w:val="0"/>
          <w:sz w:val="32"/>
          <w:szCs w:val="32"/>
          <w:shd w:val="clear" w:color="auto" w:fill="FFFFFF"/>
          <w:lang w:val="en-US" w:eastAsia="zh-CN" w:bidi="ar-SA"/>
        </w:rPr>
        <w:t>（</w:t>
      </w:r>
      <w:r>
        <w:rPr>
          <w:rFonts w:hint="eastAsia" w:ascii="仿宋_GB2312" w:cs="宋体"/>
          <w:b/>
          <w:bCs/>
          <w:color w:val="000000"/>
          <w:kern w:val="0"/>
          <w:sz w:val="32"/>
          <w:szCs w:val="32"/>
          <w:shd w:val="clear" w:color="auto" w:fill="FFFFFF"/>
          <w:lang w:val="en-US" w:eastAsia="zh-CN" w:bidi="ar-SA"/>
        </w:rPr>
        <w:t>2</w:t>
      </w:r>
      <w:r>
        <w:rPr>
          <w:rFonts w:hint="eastAsia" w:ascii="仿宋_GB2312" w:eastAsia="仿宋_GB2312" w:cs="宋体"/>
          <w:b/>
          <w:bCs/>
          <w:color w:val="000000"/>
          <w:kern w:val="0"/>
          <w:sz w:val="32"/>
          <w:szCs w:val="32"/>
          <w:shd w:val="clear" w:color="auto" w:fill="FFFFFF"/>
          <w:lang w:val="en-US" w:eastAsia="zh-CN" w:bidi="ar-SA"/>
        </w:rPr>
        <w:t>）动态调整。</w:t>
      </w:r>
      <w:r>
        <w:rPr>
          <w:rFonts w:hint="eastAsia" w:ascii="仿宋_GB2312" w:eastAsia="仿宋_GB2312" w:cs="宋体" w:hAnsiTheme="minorHAnsi"/>
          <w:color w:val="000000"/>
          <w:kern w:val="0"/>
          <w:sz w:val="32"/>
          <w:szCs w:val="32"/>
          <w:shd w:val="clear" w:color="auto" w:fill="FFFFFF"/>
          <w:lang w:val="en-US" w:eastAsia="zh-CN" w:bidi="ar-SA"/>
        </w:rPr>
        <w:t>我单位</w:t>
      </w:r>
      <w:r>
        <w:rPr>
          <w:rFonts w:hint="eastAsia" w:ascii="仿宋_GB2312" w:eastAsia="仿宋_GB2312" w:cs="宋体" w:hAnsiTheme="minorHAnsi"/>
          <w:color w:val="000000"/>
          <w:kern w:val="0"/>
          <w:sz w:val="32"/>
          <w:szCs w:val="32"/>
          <w:shd w:val="clear" w:color="auto" w:fill="FFFFFF"/>
          <w:lang w:val="zh-CN" w:eastAsia="zh-CN" w:bidi="ar-SA"/>
        </w:rPr>
        <w:t>资金拨付严格按照审批程序和手续，预决算信息及时进行公开，对预算实行动态管理，整体预算管理符合相关标准和要求。制度建设比较健全，各类专项资金均明确相应管理办法，确保资金使用符合规定。</w:t>
      </w:r>
    </w:p>
    <w:p>
      <w:pPr>
        <w:pStyle w:val="4"/>
        <w:ind w:firstLine="643" w:firstLineChars="200"/>
        <w:rPr>
          <w:rFonts w:hint="default"/>
          <w:lang w:val="en-US" w:eastAsia="zh-CN"/>
        </w:rPr>
      </w:pP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3</w:t>
      </w: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执行进度。</w:t>
      </w:r>
      <w:r>
        <w:rPr>
          <w:rFonts w:hint="eastAsia" w:ascii="仿宋_GB2312" w:eastAsia="仿宋_GB2312" w:cs="宋体"/>
          <w:color w:val="000000"/>
          <w:kern w:val="0"/>
          <w:sz w:val="32"/>
          <w:szCs w:val="32"/>
          <w:shd w:val="clear" w:color="auto" w:fill="FFFFFF"/>
          <w:lang w:val="en-US" w:eastAsia="zh-CN" w:bidi="ar-SA"/>
        </w:rPr>
        <w:t>2022年6月实际支付进度67.21%；9月实际支付进度75.29%；11月实际支付进度82.47%。</w:t>
      </w:r>
      <w:r>
        <w:rPr>
          <w:rFonts w:hint="eastAsia" w:ascii="仿宋_GB2312" w:eastAsia="仿宋_GB2312" w:cs="宋体"/>
          <w:color w:val="000000"/>
          <w:kern w:val="0"/>
          <w:sz w:val="32"/>
          <w:szCs w:val="32"/>
          <w:shd w:val="clear" w:color="auto" w:fill="FFFFFF"/>
          <w:lang w:val="zh-CN" w:eastAsia="zh-CN" w:bidi="ar-SA"/>
        </w:rPr>
        <w:t xml:space="preserve">  </w:t>
      </w:r>
    </w:p>
    <w:p>
      <w:pPr>
        <w:pStyle w:val="2"/>
        <w:keepNext w:val="0"/>
        <w:keepLines w:val="0"/>
        <w:pageBreakBefore w:val="0"/>
        <w:widowControl w:val="0"/>
        <w:kinsoku/>
        <w:wordWrap/>
        <w:overflowPunct/>
        <w:topLinePunct w:val="0"/>
        <w:autoSpaceDE/>
        <w:autoSpaceDN/>
        <w:bidi w:val="0"/>
        <w:spacing w:line="540" w:lineRule="exact"/>
        <w:textAlignment w:val="auto"/>
        <w:rPr>
          <w:rFonts w:ascii="仿宋_GB2312" w:eastAsia="仿宋_GB2312" w:cs="宋体"/>
          <w:color w:val="000000"/>
          <w:kern w:val="0"/>
          <w:sz w:val="32"/>
          <w:szCs w:val="32"/>
          <w:shd w:val="clear" w:color="auto" w:fill="FFFFFF"/>
          <w:lang w:val="en-US" w:eastAsia="zh-CN" w:bidi="ar-SA"/>
        </w:rPr>
      </w:pPr>
      <w:r>
        <w:rPr>
          <w:rFonts w:hint="eastAsia" w:ascii="仿宋_GB2312" w:eastAsia="仿宋_GB2312" w:cs="宋体"/>
          <w:b/>
          <w:bCs/>
          <w:color w:val="000000"/>
          <w:kern w:val="0"/>
          <w:sz w:val="32"/>
          <w:szCs w:val="32"/>
          <w:shd w:val="clear" w:color="auto" w:fill="FFFFFF"/>
          <w:lang w:val="en-US" w:eastAsia="zh-CN" w:bidi="ar-SA"/>
        </w:rPr>
        <w:t>3.</w:t>
      </w:r>
      <w:r>
        <w:rPr>
          <w:rFonts w:hint="eastAsia" w:ascii="仿宋_GB2312" w:eastAsia="仿宋_GB2312" w:cs="宋体"/>
          <w:b/>
          <w:bCs/>
          <w:color w:val="000000"/>
          <w:kern w:val="0"/>
          <w:sz w:val="32"/>
          <w:szCs w:val="32"/>
          <w:shd w:val="clear" w:color="auto" w:fill="FFFFFF"/>
          <w:lang w:val="zh-CN" w:eastAsia="zh-CN" w:bidi="ar-SA"/>
        </w:rPr>
        <w:t xml:space="preserve">完成结果 </w:t>
      </w:r>
      <w:r>
        <w:rPr>
          <w:rFonts w:hint="eastAsia" w:ascii="仿宋_GB2312" w:hAnsi="宋体" w:eastAsia="仿宋_GB2312" w:cs="宋体"/>
          <w:color w:val="000000"/>
          <w:kern w:val="0"/>
          <w:sz w:val="32"/>
          <w:szCs w:val="32"/>
          <w:shd w:val="clear" w:color="auto" w:fill="FFFFFF"/>
          <w:lang w:val="zh-CN" w:eastAsia="zh-CN" w:bidi="ar-SA"/>
        </w:rPr>
        <w:t xml:space="preserve">                            </w:t>
      </w:r>
      <w:r>
        <w:rPr>
          <w:rFonts w:hint="eastAsia" w:ascii="仿宋_GB2312" w:hAnsi="宋体" w:eastAsia="仿宋_GB2312" w:cs="宋体"/>
          <w:color w:val="000000"/>
          <w:kern w:val="0"/>
          <w:sz w:val="32"/>
          <w:szCs w:val="32"/>
          <w:shd w:val="clear" w:color="auto" w:fill="FFFFFF"/>
          <w:lang w:val="en-US" w:eastAsia="zh-CN" w:bidi="ar-SA"/>
        </w:rPr>
        <w:t xml:space="preserve">         </w:t>
      </w:r>
    </w:p>
    <w:p>
      <w:pPr>
        <w:pStyle w:val="2"/>
        <w:rPr>
          <w:rFonts w:hint="eastAsia" w:ascii="仿宋_GB2312" w:eastAsia="仿宋_GB2312" w:cs="宋体"/>
          <w:b/>
          <w:bCs/>
          <w:color w:val="000000"/>
          <w:kern w:val="0"/>
          <w:sz w:val="32"/>
          <w:szCs w:val="32"/>
          <w:shd w:val="clear" w:color="auto" w:fill="FFFFFF"/>
          <w:lang w:val="en-US" w:eastAsia="zh-CN" w:bidi="ar-SA"/>
        </w:rPr>
      </w:pP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1</w:t>
      </w:r>
      <w:r>
        <w:rPr>
          <w:rFonts w:hint="eastAsia" w:ascii="仿宋_GB2312" w:eastAsia="仿宋_GB2312" w:cs="宋体"/>
          <w:b/>
          <w:bCs/>
          <w:color w:val="000000"/>
          <w:kern w:val="0"/>
          <w:sz w:val="32"/>
          <w:szCs w:val="32"/>
          <w:shd w:val="clear" w:color="auto" w:fill="FFFFFF"/>
          <w:lang w:val="zh-CN" w:eastAsia="zh-CN" w:bidi="ar-SA"/>
        </w:rPr>
        <w:t>）</w:t>
      </w:r>
      <w:r>
        <w:rPr>
          <w:rFonts w:hint="eastAsia" w:ascii="仿宋_GB2312" w:eastAsia="仿宋_GB2312" w:cs="宋体"/>
          <w:b/>
          <w:bCs/>
          <w:color w:val="000000"/>
          <w:kern w:val="0"/>
          <w:sz w:val="32"/>
          <w:szCs w:val="32"/>
          <w:shd w:val="clear" w:color="auto" w:fill="FFFFFF"/>
          <w:lang w:val="en-US" w:eastAsia="zh-CN" w:bidi="ar-SA"/>
        </w:rPr>
        <w:t>预算完成。</w:t>
      </w:r>
      <w:r>
        <w:rPr>
          <w:rFonts w:hint="eastAsia" w:ascii="仿宋_GB2312" w:eastAsia="仿宋_GB2312" w:cs="宋体"/>
          <w:color w:val="000000"/>
          <w:kern w:val="0"/>
          <w:sz w:val="32"/>
          <w:szCs w:val="32"/>
          <w:shd w:val="clear" w:color="auto" w:fill="FFFFFF"/>
          <w:lang w:val="en-US" w:eastAsia="zh-CN" w:bidi="ar-SA"/>
        </w:rPr>
        <w:t>2022年部门预算调整后支出数1252.33万元，决算数1252.33万元，完成调整后预算数100%。</w:t>
      </w:r>
    </w:p>
    <w:p>
      <w:pPr>
        <w:pStyle w:val="4"/>
        <w:ind w:firstLine="640" w:firstLineChars="200"/>
        <w:rPr>
          <w:rFonts w:hint="eastAsia" w:ascii="楷体_GB2312" w:hAnsi="楷体_GB2312" w:eastAsia="楷体_GB2312" w:cs="楷体_GB2312"/>
          <w:b/>
          <w:bCs/>
          <w:kern w:val="2"/>
          <w:sz w:val="32"/>
          <w:szCs w:val="32"/>
          <w:lang w:val="zh-CN" w:eastAsia="zh-CN" w:bidi="ar-SA"/>
        </w:rPr>
      </w:pPr>
      <w:r>
        <w:rPr>
          <w:rFonts w:hint="eastAsia" w:ascii="仿宋_GB2312" w:eastAsia="仿宋_GB2312" w:cs="宋体"/>
          <w:color w:val="000000"/>
          <w:kern w:val="0"/>
          <w:sz w:val="32"/>
          <w:szCs w:val="32"/>
          <w:shd w:val="clear" w:color="auto" w:fill="FFFFFF"/>
          <w:lang w:val="en-US" w:eastAsia="zh-CN" w:bidi="ar-SA"/>
        </w:rPr>
        <w:t>（</w:t>
      </w:r>
      <w:r>
        <w:rPr>
          <w:rFonts w:hint="eastAsia" w:ascii="仿宋_GB2312" w:eastAsia="仿宋_GB2312" w:cs="宋体"/>
          <w:b/>
          <w:bCs/>
          <w:color w:val="000000"/>
          <w:kern w:val="0"/>
          <w:sz w:val="32"/>
          <w:szCs w:val="32"/>
          <w:shd w:val="clear" w:color="auto" w:fill="FFFFFF"/>
          <w:lang w:val="en-US" w:eastAsia="zh-CN" w:bidi="ar-SA"/>
        </w:rPr>
        <w:t>2）</w:t>
      </w:r>
      <w:r>
        <w:rPr>
          <w:rFonts w:hint="eastAsia" w:ascii="仿宋_GB2312" w:cs="宋体"/>
          <w:b/>
          <w:bCs/>
          <w:color w:val="000000"/>
          <w:kern w:val="0"/>
          <w:sz w:val="32"/>
          <w:szCs w:val="32"/>
          <w:shd w:val="clear" w:color="auto" w:fill="FFFFFF"/>
          <w:lang w:val="en-US" w:eastAsia="zh-CN" w:bidi="ar-SA"/>
        </w:rPr>
        <w:t>违规记录。</w:t>
      </w:r>
      <w:r>
        <w:rPr>
          <w:rFonts w:hint="eastAsia" w:ascii="仿宋_GB2312" w:eastAsia="仿宋_GB2312" w:cs="宋体" w:hAnsiTheme="minorHAnsi"/>
          <w:color w:val="000000"/>
          <w:kern w:val="0"/>
          <w:sz w:val="32"/>
          <w:szCs w:val="32"/>
          <w:shd w:val="clear" w:color="auto" w:fill="FFFFFF"/>
          <w:lang w:val="en-US" w:eastAsia="zh-CN" w:bidi="ar-SA"/>
        </w:rPr>
        <w:t>无</w:t>
      </w:r>
    </w:p>
    <w:p>
      <w:pPr>
        <w:ind w:firstLine="643" w:firstLineChars="20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（二）结果应用情况。</w:t>
      </w:r>
    </w:p>
    <w:p>
      <w:pPr>
        <w:ind w:firstLine="643" w:firstLineChars="200"/>
        <w:rPr>
          <w:rFonts w:ascii="仿宋_GB2312" w:eastAsia="仿宋_GB2312" w:cs="宋体"/>
          <w:color w:val="000000"/>
          <w:kern w:val="0"/>
          <w:szCs w:val="32"/>
          <w:shd w:val="clear" w:color="auto" w:fill="FFFFFF"/>
          <w:lang w:val="en-US" w:eastAsia="zh-CN"/>
        </w:rPr>
      </w:pPr>
      <w:r>
        <w:rPr>
          <w:rFonts w:hint="eastAsia" w:ascii="仿宋_GB2312" w:hAnsi="宋体" w:eastAsia="仿宋_GB2312" w:cs="宋体"/>
          <w:b/>
          <w:bCs/>
          <w:color w:val="000000"/>
          <w:kern w:val="0"/>
          <w:sz w:val="32"/>
          <w:szCs w:val="32"/>
          <w:shd w:val="clear" w:color="auto" w:fill="FFFFFF"/>
          <w:lang w:val="en-US" w:eastAsia="zh-CN" w:bidi="ar-SA"/>
        </w:rPr>
        <w:t>1.</w:t>
      </w:r>
      <w:r>
        <w:rPr>
          <w:rFonts w:hint="eastAsia" w:ascii="仿宋_GB2312" w:hAnsi="宋体" w:eastAsia="仿宋_GB2312" w:cs="宋体"/>
          <w:b/>
          <w:bCs/>
          <w:color w:val="000000"/>
          <w:kern w:val="0"/>
          <w:sz w:val="32"/>
          <w:szCs w:val="32"/>
          <w:shd w:val="clear" w:color="auto" w:fill="FFFFFF"/>
          <w:lang w:val="zh-CN" w:eastAsia="zh-CN" w:bidi="ar-SA"/>
        </w:rPr>
        <w:t>绩效自评公开。</w:t>
      </w:r>
      <w:r>
        <w:rPr>
          <w:rFonts w:hint="eastAsia" w:ascii="仿宋_GB2312" w:hAnsi="宋体" w:eastAsia="仿宋_GB2312" w:cs="宋体"/>
          <w:color w:val="000000"/>
          <w:kern w:val="0"/>
          <w:sz w:val="32"/>
          <w:szCs w:val="32"/>
          <w:shd w:val="clear" w:color="auto" w:fill="FFFFFF"/>
          <w:lang w:val="en-US" w:eastAsia="zh-CN" w:bidi="ar-SA"/>
        </w:rPr>
        <w:t>按照相关要求，及时向社会公开本部门2021年决算以及2022年预算情况。</w:t>
      </w:r>
    </w:p>
    <w:p>
      <w:pPr>
        <w:pStyle w:val="2"/>
        <w:keepNext w:val="0"/>
        <w:keepLines w:val="0"/>
        <w:pageBreakBefore w:val="0"/>
        <w:widowControl w:val="0"/>
        <w:kinsoku/>
        <w:wordWrap/>
        <w:overflowPunct/>
        <w:topLinePunct w:val="0"/>
        <w:autoSpaceDE/>
        <w:autoSpaceDN/>
        <w:bidi w:val="0"/>
        <w:spacing w:line="540" w:lineRule="exact"/>
        <w:ind w:left="0" w:firstLine="643" w:firstLineChars="200"/>
        <w:textAlignment w:val="auto"/>
        <w:rPr>
          <w:rFonts w:hint="eastAsia"/>
          <w:lang w:val="en-US" w:eastAsia="zh-CN"/>
        </w:rPr>
      </w:pPr>
      <w:r>
        <w:rPr>
          <w:rFonts w:hint="eastAsia" w:ascii="仿宋_GB2312" w:hAnsi="宋体" w:eastAsia="仿宋_GB2312" w:cs="宋体"/>
          <w:b/>
          <w:bCs/>
          <w:color w:val="000000"/>
          <w:kern w:val="0"/>
          <w:sz w:val="32"/>
          <w:szCs w:val="32"/>
          <w:shd w:val="clear" w:color="auto" w:fill="FFFFFF"/>
          <w:lang w:val="en-US" w:eastAsia="zh-CN" w:bidi="ar-SA"/>
        </w:rPr>
        <w:t>2.</w:t>
      </w:r>
      <w:r>
        <w:rPr>
          <w:rFonts w:hint="eastAsia" w:ascii="仿宋_GB2312" w:hAnsi="宋体" w:eastAsia="仿宋_GB2312" w:cs="宋体"/>
          <w:b/>
          <w:bCs/>
          <w:color w:val="000000"/>
          <w:kern w:val="0"/>
          <w:sz w:val="32"/>
          <w:szCs w:val="32"/>
          <w:shd w:val="clear" w:color="auto" w:fill="FFFFFF"/>
          <w:lang w:val="zh-CN" w:eastAsia="zh-CN" w:bidi="ar-SA"/>
        </w:rPr>
        <w:t>评价结果整改、</w:t>
      </w:r>
      <w:r>
        <w:rPr>
          <w:rFonts w:hint="eastAsia" w:ascii="仿宋_GB2312" w:hAnsi="宋体" w:eastAsia="仿宋_GB2312" w:cs="宋体"/>
          <w:b/>
          <w:bCs/>
          <w:color w:val="000000"/>
          <w:kern w:val="0"/>
          <w:sz w:val="32"/>
          <w:szCs w:val="32"/>
          <w:shd w:val="clear" w:color="auto" w:fill="FFFFFF"/>
          <w:lang w:val="en-US" w:eastAsia="zh-CN" w:bidi="ar-SA"/>
        </w:rPr>
        <w:t>应用反馈</w:t>
      </w:r>
      <w:r>
        <w:rPr>
          <w:rFonts w:hint="eastAsia" w:ascii="仿宋_GB2312" w:hAnsi="宋体" w:eastAsia="仿宋_GB2312" w:cs="宋体"/>
          <w:b/>
          <w:bCs/>
          <w:color w:val="000000"/>
          <w:kern w:val="0"/>
          <w:sz w:val="32"/>
          <w:szCs w:val="32"/>
          <w:shd w:val="clear" w:color="auto" w:fill="FFFFFF"/>
          <w:lang w:val="zh-CN" w:eastAsia="zh-CN" w:bidi="ar-SA"/>
        </w:rPr>
        <w:t>。</w:t>
      </w:r>
      <w:r>
        <w:rPr>
          <w:rFonts w:hint="eastAsia" w:ascii="仿宋_GB2312" w:hAnsi="宋体" w:eastAsia="仿宋_GB2312" w:cs="宋体"/>
          <w:color w:val="000000"/>
          <w:kern w:val="0"/>
          <w:sz w:val="32"/>
          <w:szCs w:val="32"/>
          <w:shd w:val="clear" w:color="auto" w:fill="FFFFFF"/>
          <w:lang w:val="zh-CN" w:eastAsia="zh-CN" w:bidi="ar-SA"/>
        </w:rPr>
        <w:t>绩效管理结果与预算安排进行挂钩，</w:t>
      </w:r>
      <w:r>
        <w:rPr>
          <w:rFonts w:hint="eastAsia" w:ascii="仿宋_GB2312" w:hAnsi="宋体" w:eastAsia="仿宋_GB2312" w:cs="宋体"/>
          <w:color w:val="000000"/>
          <w:kern w:val="0"/>
          <w:sz w:val="32"/>
          <w:szCs w:val="32"/>
          <w:shd w:val="clear" w:color="auto" w:fill="FFFFFF"/>
          <w:lang w:val="en-US" w:eastAsia="zh-CN" w:bidi="ar-SA"/>
        </w:rPr>
        <w:t>并在</w:t>
      </w:r>
      <w:r>
        <w:rPr>
          <w:rFonts w:hint="eastAsia" w:ascii="仿宋_GB2312" w:hAnsi="宋体" w:eastAsia="仿宋_GB2312" w:cs="宋体"/>
          <w:color w:val="000000"/>
          <w:kern w:val="0"/>
          <w:sz w:val="32"/>
          <w:szCs w:val="32"/>
          <w:shd w:val="clear" w:color="auto" w:fill="FFFFFF"/>
          <w:lang w:val="zh-CN" w:eastAsia="zh-CN" w:bidi="ar-SA"/>
        </w:rPr>
        <w:t>部门在规定时间内向财政部门反馈应用绩效结果报告。</w:t>
      </w:r>
    </w:p>
    <w:p>
      <w:pPr>
        <w:ind w:firstLine="640" w:firstLineChars="200"/>
        <w:rPr>
          <w:rFonts w:hint="eastAsia" w:ascii="仿宋_GB2312" w:hAnsi="仿宋_GB2312" w:eastAsia="仿宋_GB2312" w:cs="仿宋_GB2312"/>
          <w:kern w:val="0"/>
          <w:sz w:val="32"/>
          <w:szCs w:val="32"/>
          <w:lang w:val="en-US" w:eastAsia="zh-CN" w:bidi="ar"/>
        </w:rPr>
      </w:pPr>
      <w:r>
        <w:rPr>
          <w:rFonts w:hint="eastAsia" w:ascii="黑体" w:hAnsi="黑体" w:eastAsia="黑体" w:cs="黑体"/>
          <w:kern w:val="0"/>
          <w:sz w:val="32"/>
          <w:szCs w:val="32"/>
          <w:shd w:val="clear" w:fill="FFFFFF"/>
          <w:lang w:val="en-US" w:eastAsia="zh-CN" w:bidi="ar"/>
        </w:rPr>
        <w:t>四、评价结论及建议</w:t>
      </w:r>
    </w:p>
    <w:p>
      <w:pPr>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2022年部门整体支出绩效评价得分85.1分，其中：部门预算总体绩效27.17分；部门预算项目绩效15.79分；专项预算绩效28.14分；绩效结果应用方面14分；自评质量方面（部门在自评时，此项指标无需打分，部门自评满分为94分）。</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lang w:val="en-US" w:eastAsia="zh-CN"/>
        </w:rPr>
      </w:pPr>
      <w:r>
        <w:rPr>
          <w:rFonts w:hint="eastAsia" w:ascii="仿宋_GB2312" w:eastAsia="仿宋_GB2312" w:cs="宋体"/>
          <w:color w:val="000000"/>
          <w:kern w:val="0"/>
          <w:sz w:val="32"/>
          <w:szCs w:val="32"/>
          <w:shd w:val="clear" w:color="auto" w:fill="FFFFFF"/>
          <w:lang w:val="en-US" w:eastAsia="zh-CN" w:bidi="ar-SA"/>
        </w:rPr>
        <w:t>2022年</w:t>
      </w:r>
      <w:r>
        <w:rPr>
          <w:rFonts w:ascii="仿宋_GB2312" w:eastAsia="仿宋_GB2312" w:cs="宋体"/>
          <w:color w:val="000000"/>
          <w:kern w:val="0"/>
          <w:sz w:val="32"/>
          <w:szCs w:val="32"/>
          <w:shd w:val="clear" w:color="auto" w:fill="FFFFFF"/>
          <w:lang w:val="en-US" w:eastAsia="zh-CN" w:bidi="ar-SA"/>
        </w:rPr>
        <w:t>严格</w:t>
      </w:r>
      <w:r>
        <w:rPr>
          <w:rFonts w:hint="eastAsia" w:ascii="仿宋_GB2312" w:eastAsia="仿宋_GB2312" w:cs="宋体"/>
          <w:color w:val="000000"/>
          <w:kern w:val="0"/>
          <w:sz w:val="32"/>
          <w:szCs w:val="32"/>
          <w:shd w:val="clear" w:color="auto" w:fill="FFFFFF"/>
          <w:lang w:val="zh-CN" w:eastAsia="zh-CN" w:bidi="ar-SA"/>
        </w:rPr>
        <w:t>执行《预算法》，强化预算约束</w:t>
      </w:r>
      <w:r>
        <w:rPr>
          <w:rFonts w:hint="eastAsia" w:ascii="仿宋_GB2312" w:eastAsia="仿宋_GB2312" w:cs="宋体"/>
          <w:color w:val="000000"/>
          <w:kern w:val="0"/>
          <w:sz w:val="32"/>
          <w:szCs w:val="32"/>
          <w:shd w:val="clear" w:color="auto" w:fill="FFFFFF"/>
          <w:lang w:val="en-US" w:eastAsia="zh-CN" w:bidi="ar-SA"/>
        </w:rPr>
        <w:t>。</w:t>
      </w:r>
      <w:r>
        <w:rPr>
          <w:rFonts w:ascii="仿宋_GB2312" w:eastAsia="仿宋_GB2312" w:cs="宋体"/>
          <w:color w:val="000000"/>
          <w:kern w:val="0"/>
          <w:sz w:val="32"/>
          <w:szCs w:val="32"/>
          <w:shd w:val="clear" w:color="auto" w:fill="FFFFFF"/>
          <w:lang w:val="en-US" w:eastAsia="zh-CN" w:bidi="ar-SA"/>
        </w:rPr>
        <w:t>财政支出目标明确、具体，决策程序科学、有效，项目管理较为完善，项目目标和效果基本达成</w:t>
      </w:r>
      <w:r>
        <w:rPr>
          <w:rFonts w:hint="eastAsia" w:ascii="仿宋_GB2312" w:eastAsia="仿宋_GB2312" w:cs="宋体"/>
          <w:color w:val="000000"/>
          <w:kern w:val="0"/>
          <w:sz w:val="32"/>
          <w:szCs w:val="32"/>
          <w:shd w:val="clear" w:color="auto" w:fill="FFFFFF"/>
          <w:lang w:val="en-US" w:eastAsia="zh-CN" w:bidi="ar-SA"/>
        </w:rPr>
        <w:t>，项目的实施切实为阿坝州医保经办机构医疗服务与保障能力提升提供了有力的资金保障</w:t>
      </w:r>
      <w:r>
        <w:rPr>
          <w:rFonts w:ascii="仿宋_GB2312" w:eastAsia="仿宋_GB2312" w:cs="宋体"/>
          <w:color w:val="000000"/>
          <w:kern w:val="0"/>
          <w:sz w:val="32"/>
          <w:szCs w:val="32"/>
          <w:shd w:val="clear" w:color="auto" w:fill="FFFFFF"/>
          <w:lang w:val="en-US" w:eastAsia="zh-CN" w:bidi="ar-SA"/>
        </w:rPr>
        <w:t>。</w:t>
      </w:r>
    </w:p>
    <w:p>
      <w:pPr>
        <w:numPr>
          <w:ilvl w:val="0"/>
          <w:numId w:val="0"/>
        </w:numPr>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（二）存在问题。</w:t>
      </w:r>
    </w:p>
    <w:p>
      <w:pPr>
        <w:pStyle w:val="2"/>
        <w:keepNext w:val="0"/>
        <w:keepLines w:val="0"/>
        <w:pageBreakBefore w:val="0"/>
        <w:widowControl w:val="0"/>
        <w:kinsoku/>
        <w:wordWrap/>
        <w:overflowPunct/>
        <w:topLinePunct w:val="0"/>
        <w:autoSpaceDE/>
        <w:autoSpaceDN/>
        <w:bidi w:val="0"/>
        <w:spacing w:line="540" w:lineRule="exact"/>
        <w:ind w:left="0" w:firstLine="640" w:firstLineChars="200"/>
        <w:jc w:val="both"/>
        <w:textAlignment w:val="auto"/>
        <w:rPr>
          <w:rFonts w:hint="eastAsia"/>
          <w:lang w:val="en-US" w:eastAsia="zh-CN"/>
        </w:rPr>
      </w:pPr>
      <w:r>
        <w:rPr>
          <w:rFonts w:hint="eastAsia" w:ascii="仿宋_GB2312" w:eastAsia="仿宋_GB2312"/>
          <w:sz w:val="32"/>
          <w:szCs w:val="32"/>
          <w:lang w:val="zh-CN"/>
        </w:rPr>
        <w:t>预算支出不均衡。影响相关经费支出进度的主要原因：</w:t>
      </w:r>
      <w:r>
        <w:rPr>
          <w:rFonts w:hint="eastAsia" w:ascii="仿宋_GB2312" w:eastAsia="仿宋_GB2312"/>
          <w:b/>
          <w:bCs/>
          <w:sz w:val="32"/>
          <w:szCs w:val="32"/>
          <w:lang w:val="zh-CN"/>
        </w:rPr>
        <w:t>一是</w:t>
      </w:r>
      <w:r>
        <w:rPr>
          <w:rFonts w:hint="eastAsia" w:ascii="仿宋_GB2312" w:eastAsia="仿宋_GB2312"/>
          <w:sz w:val="32"/>
          <w:szCs w:val="32"/>
          <w:lang w:val="en-US" w:eastAsia="zh-CN"/>
        </w:rPr>
        <w:t>信息化建设类项目周期长，</w:t>
      </w:r>
      <w:r>
        <w:rPr>
          <w:rFonts w:hint="eastAsia" w:ascii="仿宋_GB2312" w:eastAsia="仿宋_GB2312" w:cs="仿宋_GB2312"/>
          <w:b w:val="0"/>
          <w:bCs w:val="0"/>
          <w:color w:val="000000"/>
          <w:sz w:val="32"/>
          <w:szCs w:val="32"/>
          <w:lang w:val="en-US" w:eastAsia="zh-CN" w:bidi="ar-SA"/>
        </w:rPr>
        <w:t>确保支付的准确性，在测试验收、系统运行平稳且支付符合政策要求后，予以支付</w:t>
      </w:r>
      <w:r>
        <w:rPr>
          <w:rFonts w:hint="eastAsia" w:ascii="仿宋_GB2312" w:eastAsia="仿宋_GB2312"/>
          <w:sz w:val="32"/>
          <w:szCs w:val="32"/>
        </w:rPr>
        <w:t>；</w:t>
      </w:r>
      <w:r>
        <w:rPr>
          <w:rFonts w:hint="eastAsia" w:ascii="仿宋_GB2312" w:eastAsia="仿宋_GB2312" w:cs="仿宋_GB2312"/>
          <w:b/>
          <w:bCs/>
          <w:color w:val="000000"/>
          <w:kern w:val="2"/>
          <w:sz w:val="32"/>
          <w:szCs w:val="32"/>
          <w:lang w:val="en-US" w:eastAsia="zh-CN" w:bidi="ar-SA"/>
        </w:rPr>
        <w:t>二是</w:t>
      </w:r>
      <w:r>
        <w:rPr>
          <w:rFonts w:hint="eastAsia" w:ascii="仿宋_GB2312" w:eastAsia="仿宋_GB2312" w:cs="仿宋_GB2312"/>
          <w:b w:val="0"/>
          <w:bCs w:val="0"/>
          <w:color w:val="000000"/>
          <w:kern w:val="2"/>
          <w:sz w:val="32"/>
          <w:szCs w:val="32"/>
          <w:lang w:val="en-US" w:eastAsia="zh-CN" w:bidi="ar-SA"/>
        </w:rPr>
        <w:t>部分预算项目相关工作已经开展工作，但因合同约定等原因，费用待工作完成后予以支付。四是</w:t>
      </w:r>
      <w:r>
        <w:rPr>
          <w:rFonts w:hint="eastAsia" w:ascii="仿宋_GB2312" w:eastAsia="仿宋_GB2312"/>
          <w:sz w:val="32"/>
          <w:szCs w:val="32"/>
          <w:lang w:val="en-US" w:eastAsia="zh-CN"/>
        </w:rPr>
        <w:t>由于疫情原因，影响各项工作开展；</w:t>
      </w:r>
      <w:r>
        <w:rPr>
          <w:rFonts w:hint="eastAsia" w:ascii="仿宋_GB2312" w:eastAsia="仿宋_GB2312"/>
          <w:b/>
          <w:bCs/>
          <w:sz w:val="32"/>
          <w:szCs w:val="32"/>
          <w:lang w:val="en-US" w:eastAsia="zh-CN"/>
        </w:rPr>
        <w:t>三</w:t>
      </w:r>
      <w:r>
        <w:rPr>
          <w:rFonts w:hint="eastAsia" w:ascii="仿宋_GB2312" w:eastAsia="仿宋_GB2312"/>
          <w:b/>
          <w:bCs/>
          <w:sz w:val="32"/>
          <w:szCs w:val="32"/>
          <w:lang w:val="zh-CN"/>
        </w:rPr>
        <w:t>是</w:t>
      </w:r>
      <w:r>
        <w:rPr>
          <w:rFonts w:hint="eastAsia" w:ascii="仿宋_GB2312" w:eastAsia="仿宋_GB2312"/>
          <w:sz w:val="32"/>
          <w:szCs w:val="32"/>
          <w:lang w:val="zh-CN"/>
        </w:rPr>
        <w:t>水电</w:t>
      </w:r>
      <w:r>
        <w:rPr>
          <w:rFonts w:hint="eastAsia" w:ascii="仿宋_GB2312" w:eastAsia="仿宋_GB2312"/>
          <w:sz w:val="32"/>
          <w:szCs w:val="32"/>
        </w:rPr>
        <w:t>等</w:t>
      </w:r>
      <w:r>
        <w:rPr>
          <w:rFonts w:hint="eastAsia" w:ascii="仿宋_GB2312" w:eastAsia="仿宋_GB2312"/>
          <w:sz w:val="32"/>
          <w:szCs w:val="32"/>
          <w:lang w:val="zh-CN"/>
        </w:rPr>
        <w:t>相关费用在下半年才</w:t>
      </w:r>
      <w:r>
        <w:rPr>
          <w:rFonts w:hint="eastAsia" w:ascii="仿宋_GB2312" w:eastAsia="仿宋_GB2312"/>
          <w:sz w:val="32"/>
          <w:szCs w:val="32"/>
        </w:rPr>
        <w:t>进行</w:t>
      </w:r>
      <w:r>
        <w:rPr>
          <w:rFonts w:hint="eastAsia" w:ascii="仿宋_GB2312" w:eastAsia="仿宋_GB2312"/>
          <w:sz w:val="32"/>
          <w:szCs w:val="32"/>
          <w:lang w:val="zh-CN"/>
        </w:rPr>
        <w:t>分摊</w:t>
      </w:r>
      <w:r>
        <w:rPr>
          <w:rFonts w:hint="eastAsia" w:ascii="仿宋_GB2312" w:eastAsia="仿宋_GB2312"/>
          <w:sz w:val="32"/>
          <w:szCs w:val="32"/>
        </w:rPr>
        <w:t>支出</w:t>
      </w:r>
      <w:r>
        <w:rPr>
          <w:rFonts w:hint="eastAsia" w:ascii="仿宋_GB2312" w:eastAsia="仿宋_GB2312"/>
          <w:sz w:val="32"/>
          <w:szCs w:val="32"/>
          <w:lang w:eastAsia="zh-CN"/>
        </w:rPr>
        <w:t>，</w:t>
      </w:r>
      <w:r>
        <w:rPr>
          <w:rFonts w:hint="eastAsia" w:ascii="仿宋_GB2312" w:eastAsia="仿宋_GB2312"/>
          <w:sz w:val="32"/>
          <w:szCs w:val="32"/>
          <w:lang w:val="zh-CN"/>
        </w:rPr>
        <w:t>职工的体检工作</w:t>
      </w:r>
      <w:r>
        <w:rPr>
          <w:rFonts w:hint="eastAsia" w:ascii="仿宋_GB2312" w:eastAsia="仿宋_GB2312"/>
          <w:sz w:val="32"/>
          <w:szCs w:val="32"/>
        </w:rPr>
        <w:t>在下半年</w:t>
      </w:r>
      <w:r>
        <w:rPr>
          <w:rFonts w:hint="eastAsia" w:ascii="仿宋_GB2312" w:eastAsia="仿宋_GB2312"/>
          <w:sz w:val="32"/>
          <w:szCs w:val="32"/>
          <w:lang w:val="zh-CN"/>
        </w:rPr>
        <w:t>完成</w:t>
      </w:r>
      <w:r>
        <w:rPr>
          <w:rFonts w:hint="eastAsia" w:ascii="仿宋_GB2312" w:eastAsia="仿宋_GB2312"/>
          <w:sz w:val="32"/>
          <w:szCs w:val="32"/>
          <w:lang w:val="en-US" w:eastAsia="zh-CN"/>
        </w:rPr>
        <w:t>支付</w:t>
      </w:r>
      <w:r>
        <w:rPr>
          <w:rFonts w:hint="eastAsia" w:ascii="仿宋_GB2312" w:eastAsia="仿宋_GB2312"/>
          <w:sz w:val="32"/>
          <w:szCs w:val="32"/>
          <w:lang w:val="zh-CN"/>
        </w:rPr>
        <w:t>。</w:t>
      </w:r>
    </w:p>
    <w:p>
      <w:pPr>
        <w:numPr>
          <w:ilvl w:val="0"/>
          <w:numId w:val="0"/>
        </w:numPr>
        <w:ind w:leftChars="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 xml:space="preserve">   （三）改进建议。</w:t>
      </w:r>
    </w:p>
    <w:p>
      <w:pPr>
        <w:pStyle w:val="2"/>
        <w:keepNext w:val="0"/>
        <w:keepLines w:val="0"/>
        <w:pageBreakBefore w:val="0"/>
        <w:widowControl w:val="0"/>
        <w:kinsoku/>
        <w:wordWrap/>
        <w:overflowPunct/>
        <w:topLinePunct w:val="0"/>
        <w:autoSpaceDE/>
        <w:autoSpaceDN/>
        <w:bidi w:val="0"/>
        <w:spacing w:line="540" w:lineRule="exact"/>
        <w:ind w:firstLine="610" w:firstLineChars="0"/>
        <w:jc w:val="both"/>
        <w:textAlignment w:val="auto"/>
        <w:rPr>
          <w:rFonts w:hint="eastAsia" w:ascii="仿宋_GB2312" w:eastAsia="仿宋_GB2312"/>
          <w:sz w:val="32"/>
          <w:szCs w:val="32"/>
          <w:lang w:val="zh-CN"/>
        </w:rPr>
      </w:pPr>
      <w:r>
        <w:rPr>
          <w:rFonts w:hint="eastAsia" w:ascii="仿宋_GB2312" w:eastAsia="仿宋_GB2312"/>
          <w:sz w:val="32"/>
          <w:szCs w:val="32"/>
          <w:lang w:val="zh-CN"/>
        </w:rPr>
        <w:t>针对存在的问题，我</w:t>
      </w:r>
      <w:r>
        <w:rPr>
          <w:rFonts w:hint="eastAsia" w:ascii="仿宋_GB2312" w:eastAsia="仿宋_GB2312"/>
          <w:sz w:val="32"/>
          <w:szCs w:val="32"/>
        </w:rPr>
        <w:t>局</w:t>
      </w:r>
      <w:r>
        <w:rPr>
          <w:rFonts w:hint="eastAsia" w:ascii="仿宋_GB2312" w:eastAsia="仿宋_GB2312"/>
          <w:sz w:val="32"/>
          <w:szCs w:val="32"/>
          <w:lang w:val="zh-CN"/>
        </w:rPr>
        <w:t>按照部门预算进度做好以下工作：</w:t>
      </w:r>
      <w:r>
        <w:rPr>
          <w:rFonts w:hint="eastAsia" w:ascii="仿宋_GB2312" w:eastAsia="仿宋_GB2312"/>
          <w:b/>
          <w:bCs/>
          <w:sz w:val="32"/>
          <w:szCs w:val="32"/>
          <w:lang w:val="zh-CN"/>
        </w:rPr>
        <w:t>一是</w:t>
      </w:r>
      <w:r>
        <w:rPr>
          <w:rFonts w:hint="eastAsia" w:ascii="仿宋_GB2312" w:eastAsia="仿宋_GB2312"/>
          <w:sz w:val="32"/>
          <w:szCs w:val="32"/>
          <w:lang w:val="zh-CN"/>
        </w:rPr>
        <w:t>严格按照厉行节约原则，严把经费支出关；</w:t>
      </w:r>
      <w:r>
        <w:rPr>
          <w:rFonts w:hint="eastAsia" w:ascii="仿宋_GB2312" w:eastAsia="仿宋_GB2312"/>
          <w:b/>
          <w:bCs/>
          <w:sz w:val="32"/>
          <w:szCs w:val="32"/>
          <w:lang w:val="zh-CN"/>
        </w:rPr>
        <w:t>二是</w:t>
      </w:r>
      <w:r>
        <w:rPr>
          <w:rFonts w:hint="eastAsia" w:ascii="仿宋_GB2312" w:eastAsia="仿宋_GB2312"/>
          <w:sz w:val="32"/>
          <w:szCs w:val="32"/>
          <w:lang w:val="zh-CN"/>
        </w:rPr>
        <w:t>根据年初工作安排，按进度推进专项工作的顺利开展，确保经费的使用进度规范、合理。</w:t>
      </w:r>
    </w:p>
    <w:p>
      <w:pPr>
        <w:pStyle w:val="2"/>
        <w:spacing w:line="560" w:lineRule="exact"/>
        <w:ind w:left="420" w:firstLine="640"/>
        <w:rPr>
          <w:sz w:val="32"/>
          <w:lang w:val="zh-CN"/>
        </w:rPr>
      </w:pPr>
    </w:p>
    <w:p>
      <w:pPr>
        <w:pStyle w:val="10"/>
        <w:spacing w:before="93"/>
        <w:rPr>
          <w:rFonts w:cs="宋体"/>
          <w:sz w:val="32"/>
          <w:szCs w:val="32"/>
          <w:shd w:val="clear" w:color="auto" w:fill="FFFFFF"/>
          <w:lang w:val="zh-CN"/>
        </w:rPr>
      </w:pPr>
    </w:p>
    <w:p>
      <w:pPr>
        <w:pStyle w:val="10"/>
        <w:spacing w:before="93"/>
        <w:rPr>
          <w:sz w:val="32"/>
          <w:szCs w:val="32"/>
        </w:rPr>
      </w:pPr>
      <w:r>
        <w:rPr>
          <w:rFonts w:hint="eastAsia" w:cs="宋体"/>
          <w:sz w:val="32"/>
          <w:szCs w:val="32"/>
          <w:shd w:val="clear" w:color="auto" w:fill="FFFFFF"/>
          <w:lang w:val="zh-CN"/>
        </w:rPr>
        <w:t>附件</w:t>
      </w:r>
      <w:r>
        <w:rPr>
          <w:rFonts w:hint="eastAsia" w:cs="宋体"/>
          <w:sz w:val="32"/>
          <w:szCs w:val="32"/>
          <w:shd w:val="clear" w:color="auto" w:fill="FFFFFF"/>
        </w:rPr>
        <w:t>2</w:t>
      </w:r>
    </w:p>
    <w:p>
      <w:pPr>
        <w:pStyle w:val="30"/>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_GBK" w:eastAsia="方正小标宋_GBK" w:cs="方正小标宋简体"/>
          <w:color w:val="auto"/>
          <w:kern w:val="2"/>
          <w:sz w:val="40"/>
          <w:szCs w:val="40"/>
        </w:rPr>
      </w:pPr>
      <w:r>
        <w:rPr>
          <w:rFonts w:hint="eastAsia" w:ascii="方正小标宋_GBK" w:eastAsia="方正小标宋_GBK" w:cs="方正小标宋简体"/>
          <w:color w:val="auto"/>
          <w:kern w:val="2"/>
          <w:sz w:val="40"/>
          <w:szCs w:val="40"/>
          <w:lang w:val="en-US" w:eastAsia="zh-CN"/>
        </w:rPr>
        <w:t>2023年</w:t>
      </w:r>
      <w:r>
        <w:rPr>
          <w:rFonts w:hint="eastAsia" w:ascii="方正小标宋_GBK" w:eastAsia="方正小标宋_GBK" w:cs="方正小标宋简体"/>
          <w:color w:val="auto"/>
          <w:kern w:val="2"/>
          <w:sz w:val="40"/>
          <w:szCs w:val="40"/>
          <w:lang w:eastAsia="zh-CN"/>
        </w:rPr>
        <w:t>专项预算项目支出</w:t>
      </w:r>
      <w:r>
        <w:rPr>
          <w:rFonts w:hint="eastAsia" w:ascii="方正小标宋_GBK" w:eastAsia="方正小标宋_GBK" w:cs="方正小标宋简体"/>
          <w:color w:val="auto"/>
          <w:kern w:val="2"/>
          <w:sz w:val="40"/>
          <w:szCs w:val="40"/>
        </w:rPr>
        <w:t>绩效自评报告</w:t>
      </w:r>
    </w:p>
    <w:p>
      <w:pPr>
        <w:keepNext w:val="0"/>
        <w:keepLines w:val="0"/>
        <w:pageBreakBefore w:val="0"/>
        <w:widowControl w:val="0"/>
        <w:tabs>
          <w:tab w:val="left" w:pos="3885"/>
        </w:tabs>
        <w:kinsoku/>
        <w:wordWrap/>
        <w:overflowPunct/>
        <w:topLinePunct w:val="0"/>
        <w:bidi w:val="0"/>
        <w:snapToGrid w:val="0"/>
        <w:spacing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rPr>
        <w:t>2022年中央医疗服务与保障能力提升资金</w:t>
      </w:r>
      <w:r>
        <w:rPr>
          <w:rFonts w:hint="eastAsia" w:ascii="仿宋_GB2312" w:hAnsi="仿宋_GB2312" w:eastAsia="仿宋_GB2312" w:cs="仿宋_GB2312"/>
          <w:sz w:val="32"/>
          <w:szCs w:val="32"/>
          <w:lang w:eastAsia="zh-CN"/>
        </w:rPr>
        <w:t>）</w:t>
      </w:r>
    </w:p>
    <w:p>
      <w:pPr>
        <w:pStyle w:val="30"/>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_GBK" w:eastAsia="方正小标宋_GBK" w:cs="方正小标宋简体"/>
          <w:color w:val="auto"/>
          <w:kern w:val="2"/>
          <w:sz w:val="40"/>
          <w:szCs w:val="40"/>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1．项目主管部门在该项目管理中的职能。</w:t>
      </w:r>
    </w:p>
    <w:p>
      <w:pPr>
        <w:keepNext w:val="0"/>
        <w:keepLines w:val="0"/>
        <w:pageBreakBefore w:val="0"/>
        <w:widowControl w:val="0"/>
        <w:kinsoku/>
        <w:wordWrap/>
        <w:overflowPunct/>
        <w:topLinePunct w:val="0"/>
        <w:autoSpaceDE/>
        <w:autoSpaceDN/>
        <w:bidi w:val="0"/>
        <w:spacing w:line="560" w:lineRule="exact"/>
        <w:ind w:left="0" w:firstLine="643"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kern w:val="0"/>
          <w:sz w:val="32"/>
          <w:szCs w:val="32"/>
          <w:lang w:eastAsia="zh-CN"/>
        </w:rPr>
        <w:t>一是</w:t>
      </w:r>
      <w:r>
        <w:rPr>
          <w:rFonts w:hint="eastAsia" w:ascii="仿宋_GB2312" w:hAnsi="仿宋_GB2312" w:eastAsia="仿宋_GB2312" w:cs="仿宋_GB2312"/>
          <w:kern w:val="0"/>
          <w:sz w:val="32"/>
          <w:szCs w:val="32"/>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0"/>
          <w:sz w:val="32"/>
          <w:szCs w:val="32"/>
          <w:lang w:eastAsia="zh-CN"/>
        </w:rPr>
        <w:t>二是</w:t>
      </w:r>
      <w:r>
        <w:rPr>
          <w:rFonts w:hint="eastAsia" w:ascii="仿宋_GB2312" w:hAnsi="仿宋_GB2312" w:eastAsia="仿宋_GB2312" w:cs="仿宋_GB2312"/>
          <w:kern w:val="0"/>
          <w:sz w:val="32"/>
          <w:szCs w:val="32"/>
        </w:rPr>
        <w:t>组织拟定并实施医疗保障基金监督管理制度，建立健全医疗保障基金安全防控机制，监督强化全州医疗保障基金运行管理。</w:t>
      </w:r>
      <w:r>
        <w:rPr>
          <w:rFonts w:hint="eastAsia" w:ascii="仿宋_GB2312" w:hAnsi="仿宋_GB2312" w:eastAsia="仿宋_GB2312" w:cs="仿宋_GB2312"/>
          <w:b/>
          <w:bCs/>
          <w:kern w:val="0"/>
          <w:sz w:val="32"/>
          <w:szCs w:val="32"/>
          <w:lang w:eastAsia="zh-CN"/>
        </w:rPr>
        <w:t>三是</w:t>
      </w:r>
      <w:r>
        <w:rPr>
          <w:rFonts w:hint="eastAsia" w:ascii="仿宋_GB2312" w:hAnsi="仿宋_GB2312" w:eastAsia="仿宋_GB2312" w:cs="仿宋_GB2312"/>
          <w:kern w:val="0"/>
          <w:sz w:val="32"/>
          <w:szCs w:val="32"/>
        </w:rPr>
        <w:t>组织拟订医疗保障筹资和待遇政策，完善动态调整和区域调剂平衡机制，统筹城乡医疗保障待遇标准，建立健全与筹资水平相适应的待遇调整机制。组织实施长期护理保险制度改革。</w:t>
      </w:r>
      <w:r>
        <w:rPr>
          <w:rFonts w:hint="eastAsia" w:ascii="仿宋_GB2312" w:hAnsi="仿宋_GB2312" w:eastAsia="仿宋_GB2312" w:cs="仿宋_GB2312"/>
          <w:b/>
          <w:bCs/>
          <w:kern w:val="0"/>
          <w:sz w:val="32"/>
          <w:szCs w:val="32"/>
          <w:lang w:eastAsia="zh-CN"/>
        </w:rPr>
        <w:t>四是</w:t>
      </w:r>
      <w:r>
        <w:rPr>
          <w:rFonts w:hint="eastAsia" w:ascii="仿宋_GB2312" w:hAnsi="仿宋_GB2312" w:eastAsia="仿宋_GB2312" w:cs="仿宋_GB2312"/>
          <w:kern w:val="0"/>
          <w:sz w:val="32"/>
          <w:szCs w:val="32"/>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kern w:val="0"/>
          <w:sz w:val="32"/>
          <w:szCs w:val="32"/>
          <w:lang w:eastAsia="zh-CN"/>
        </w:rPr>
        <w:t>五是</w:t>
      </w:r>
      <w:r>
        <w:rPr>
          <w:rFonts w:hint="eastAsia" w:ascii="仿宋_GB2312" w:hAnsi="仿宋_GB2312" w:eastAsia="仿宋_GB2312" w:cs="仿宋_GB2312"/>
          <w:kern w:val="0"/>
          <w:sz w:val="32"/>
          <w:szCs w:val="32"/>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kern w:val="0"/>
          <w:sz w:val="32"/>
          <w:szCs w:val="32"/>
          <w:lang w:eastAsia="zh-CN"/>
        </w:rPr>
        <w:t>六是</w:t>
      </w:r>
      <w:r>
        <w:rPr>
          <w:rFonts w:hint="eastAsia" w:ascii="仿宋_GB2312" w:hAnsi="仿宋_GB2312" w:eastAsia="仿宋_GB2312" w:cs="仿宋_GB2312"/>
          <w:kern w:val="0"/>
          <w:sz w:val="32"/>
          <w:szCs w:val="32"/>
        </w:rPr>
        <w:t>贯彻落实药品、医用耗材的招标采购政策并监督实施。</w:t>
      </w:r>
      <w:r>
        <w:rPr>
          <w:rFonts w:hint="eastAsia" w:ascii="仿宋_GB2312" w:hAnsi="仿宋_GB2312" w:eastAsia="仿宋_GB2312" w:cs="仿宋_GB2312"/>
          <w:b/>
          <w:bCs/>
          <w:kern w:val="0"/>
          <w:sz w:val="32"/>
          <w:szCs w:val="32"/>
          <w:lang w:eastAsia="zh-CN"/>
        </w:rPr>
        <w:t>七是</w:t>
      </w:r>
      <w:r>
        <w:rPr>
          <w:rFonts w:hint="eastAsia" w:ascii="仿宋_GB2312" w:hAnsi="仿宋_GB2312" w:eastAsia="仿宋_GB2312" w:cs="仿宋_GB2312"/>
          <w:kern w:val="0"/>
          <w:sz w:val="32"/>
          <w:szCs w:val="32"/>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kern w:val="0"/>
          <w:sz w:val="32"/>
          <w:szCs w:val="32"/>
          <w:lang w:eastAsia="zh-CN"/>
        </w:rPr>
        <w:t>八是</w:t>
      </w:r>
      <w:r>
        <w:rPr>
          <w:rFonts w:hint="eastAsia" w:ascii="仿宋_GB2312" w:hAnsi="仿宋_GB2312" w:eastAsia="仿宋_GB2312" w:cs="仿宋_GB2312"/>
          <w:kern w:val="0"/>
          <w:sz w:val="32"/>
          <w:szCs w:val="32"/>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kern w:val="0"/>
          <w:sz w:val="32"/>
          <w:szCs w:val="32"/>
          <w:lang w:eastAsia="zh-CN"/>
        </w:rPr>
        <w:t>九是</w:t>
      </w:r>
      <w:r>
        <w:rPr>
          <w:rFonts w:hint="eastAsia" w:ascii="仿宋_GB2312" w:hAnsi="仿宋_GB2312" w:eastAsia="仿宋_GB2312" w:cs="仿宋_GB2312"/>
          <w:kern w:val="0"/>
          <w:sz w:val="32"/>
          <w:szCs w:val="32"/>
        </w:rPr>
        <w:t>负责规划实施全州医疗保障信息化建设。组织开展医疗保障大数据管理和应用。</w:t>
      </w:r>
      <w:r>
        <w:rPr>
          <w:rFonts w:hint="eastAsia" w:ascii="仿宋_GB2312" w:hAnsi="仿宋_GB2312" w:eastAsia="仿宋_GB2312" w:cs="仿宋_GB2312"/>
          <w:b/>
          <w:bCs/>
          <w:kern w:val="0"/>
          <w:sz w:val="32"/>
          <w:szCs w:val="32"/>
          <w:lang w:eastAsia="zh-CN"/>
        </w:rPr>
        <w:t>十是</w:t>
      </w:r>
      <w:r>
        <w:rPr>
          <w:rFonts w:hint="eastAsia" w:ascii="仿宋_GB2312" w:hAnsi="仿宋_GB2312" w:eastAsia="仿宋_GB2312" w:cs="仿宋_GB2312"/>
          <w:kern w:val="0"/>
          <w:sz w:val="32"/>
          <w:szCs w:val="32"/>
        </w:rPr>
        <w:t>负责职责范围内的安全生产和职业健康、生态环境保护、公共机构节能减排、审批服务便民化等工作</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十一是</w:t>
      </w:r>
      <w:r>
        <w:rPr>
          <w:rFonts w:hint="eastAsia" w:ascii="仿宋_GB2312" w:hAnsi="仿宋_GB2312" w:eastAsia="仿宋_GB2312" w:cs="仿宋_GB2312"/>
          <w:kern w:val="0"/>
          <w:sz w:val="32"/>
          <w:szCs w:val="32"/>
        </w:rPr>
        <w:t>完成州委、州政府交办的其他任务。</w:t>
      </w:r>
      <w:r>
        <w:rPr>
          <w:rFonts w:hint="eastAsia" w:ascii="仿宋_GB2312" w:hAnsi="仿宋_GB2312" w:eastAsia="仿宋_GB2312" w:cs="仿宋_GB2312"/>
          <w:b/>
          <w:bCs/>
          <w:kern w:val="0"/>
          <w:sz w:val="32"/>
          <w:szCs w:val="32"/>
          <w:lang w:eastAsia="zh-CN"/>
        </w:rPr>
        <w:t>十二是</w:t>
      </w:r>
      <w:r>
        <w:rPr>
          <w:rFonts w:hint="eastAsia" w:ascii="仿宋_GB2312" w:hAnsi="仿宋_GB2312" w:eastAsia="仿宋_GB2312" w:cs="仿宋_GB2312"/>
          <w:kern w:val="0"/>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kern w:val="0"/>
          <w:sz w:val="32"/>
          <w:szCs w:val="32"/>
          <w:lang w:eastAsia="zh-CN"/>
        </w:rPr>
        <w:t>十三是</w:t>
      </w:r>
      <w:r>
        <w:rPr>
          <w:rFonts w:hint="eastAsia" w:ascii="仿宋_GB2312" w:hAnsi="仿宋_GB2312" w:eastAsia="仿宋_GB2312" w:cs="仿宋_GB2312"/>
          <w:kern w:val="0"/>
          <w:sz w:val="32"/>
          <w:szCs w:val="32"/>
        </w:rPr>
        <w:t>与州卫生健康委员会的有关职责分工。两部门在医疗、医保、医药等方面加强制度、政策衔接，建立沟通协商机制，协同推进改革，提高医疗资源使用效率和医疗保障水平</w:t>
      </w:r>
      <w:r>
        <w:rPr>
          <w:rFonts w:hint="eastAsia" w:ascii="仿宋_GB2312" w:hAnsi="仿宋_GB2312" w:eastAsia="仿宋_GB2312" w:cs="仿宋_GB2312"/>
          <w:kern w:val="0"/>
          <w:sz w:val="32"/>
          <w:szCs w:val="32"/>
          <w:lang w:eastAsia="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项目立项、资金申报的依据。</w:t>
      </w:r>
    </w:p>
    <w:p>
      <w:pPr>
        <w:keepNext w:val="0"/>
        <w:keepLines w:val="0"/>
        <w:pageBreakBefore w:val="0"/>
        <w:kinsoku/>
        <w:wordWrap/>
        <w:overflowPunct/>
        <w:topLinePunct w:val="0"/>
        <w:bidi w:val="0"/>
        <w:adjustRightInd/>
        <w:spacing w:before="0" w:line="560" w:lineRule="exact"/>
        <w:ind w:left="0" w:leftChars="0" w:right="0" w:firstLine="664" w:firstLineChars="200"/>
        <w:jc w:val="left"/>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2022年医疗服务与保障能力提升中央财政补助资金以《财政部 国家医保局关于下达2022年医疗服务与保障能力提升补助资金（医疗保障服务能力建设部分）预算的通知》（财社〔2022〕39号）、《四川省财政厅 四川省医疗保障局关于提前关于下达 2022年医疗服务与保障能力提升中央财政补助资金预算的通知》（川财社〔2021〕151号）、《四川省财政厅  四川省医疗保障局关于下达2022年医疗服务与保障能力提升中央财政补助资金（医疗保障服务能力建设部分）预算的通知》《阿坝州财政局 阿坝州医疗保障局关于下达2022年医疗服务与保障能力提升中央财政补助资金预算的通知》（阿州财社〔2022〕17 号）、《阿坝州医疗保障局关于请求分配2022年医疗服务与保障能力中央财政补助资金的函》《阿坝州医疗保障局关于请求分配2022年医疗服务与保障能力中央财政补助资金（医疗保障服务能力提升部分）的函》等相关文件为决策依据，严格按照2022年中央财政医疗服务与保障能力提升补助资金的批复用途，认真进行项目实施。</w:t>
      </w: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adjustRightInd/>
        <w:snapToGrid/>
        <w:spacing w:line="560" w:lineRule="exact"/>
        <w:ind w:left="0" w:firstLine="664"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val="0"/>
          <w:bCs w:val="0"/>
          <w:spacing w:val="6"/>
          <w:sz w:val="32"/>
          <w:szCs w:val="32"/>
          <w:lang w:val="en-US" w:eastAsia="zh-CN" w:bidi="ar-SA"/>
        </w:rPr>
        <w:t>根据《财政厅 省卫生健康委 省医疗保障局 省中医药管理局关于印发基本公共卫生服务等4项补助资金管理办法的通知》（川财社〔2019〕76号）中《四川省医疗服务与保障能力提升补助资金管理办法》</w:t>
      </w:r>
      <w:r>
        <w:rPr>
          <w:rFonts w:hint="eastAsia" w:ascii="仿宋_GB2312" w:hAnsi="仿宋_GB2312" w:eastAsia="仿宋_GB2312" w:cs="仿宋_GB2312"/>
          <w:sz w:val="32"/>
          <w:szCs w:val="32"/>
          <w:lang w:val="en-US" w:eastAsia="zh-CN"/>
        </w:rPr>
        <w:t>。严格按照2022年中央财政医疗服务与保障能力提升补助资金的批复用途，2022年认真进行项目实施，该项目的实施切实为阿坝州医保经办机构医疗服务与保障能力提升提供了有力的资金保障。</w:t>
      </w: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资金分配的原则及考虑因素。</w:t>
      </w:r>
    </w:p>
    <w:p>
      <w:pPr>
        <w:pStyle w:val="27"/>
        <w:keepNext w:val="0"/>
        <w:keepLines w:val="0"/>
        <w:pageBreakBefore w:val="0"/>
        <w:widowControl w:val="0"/>
        <w:numPr>
          <w:ilvl w:val="0"/>
          <w:numId w:val="0"/>
        </w:numPr>
        <w:tabs>
          <w:tab w:val="left" w:pos="3028"/>
        </w:tabs>
        <w:kinsoku/>
        <w:wordWrap/>
        <w:overflowPunct/>
        <w:topLinePunct w:val="0"/>
        <w:autoSpaceDE w:val="0"/>
        <w:autoSpaceDN w:val="0"/>
        <w:bidi w:val="0"/>
        <w:adjustRightInd/>
        <w:snapToGrid/>
        <w:spacing w:before="0" w:after="0" w:line="560" w:lineRule="exact"/>
        <w:ind w:left="0" w:leftChars="0" w:right="0" w:rightChars="0" w:firstLine="664" w:firstLineChars="200"/>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2022年中央财政医疗服务与保障能力提升补助资金预算合计376万元，经局第 1 次、第 13 次党组会议，充分考虑我州</w:t>
      </w:r>
      <w:r>
        <w:rPr>
          <w:rFonts w:hint="eastAsia" w:ascii="仿宋_GB2312" w:hAnsi="仿宋_GB2312" w:eastAsia="仿宋_GB2312" w:cs="仿宋_GB2312"/>
          <w:spacing w:val="6"/>
          <w:sz w:val="32"/>
          <w:szCs w:val="32"/>
          <w:lang w:val="en-US" w:eastAsia="zh-CN"/>
        </w:rPr>
        <w:t>各县（市）财政情况、信息化建设工作开展等实际情况</w:t>
      </w:r>
      <w:r>
        <w:rPr>
          <w:rFonts w:hint="eastAsia" w:ascii="仿宋_GB2312" w:hAnsi="仿宋_GB2312" w:eastAsia="仿宋_GB2312" w:cs="仿宋_GB2312"/>
          <w:b w:val="0"/>
          <w:bCs w:val="0"/>
          <w:spacing w:val="6"/>
          <w:sz w:val="32"/>
          <w:szCs w:val="32"/>
          <w:lang w:val="en-US" w:eastAsia="zh-CN" w:bidi="ar-SA"/>
        </w:rPr>
        <w:t>，分配至全州辖区13个县（市）级医疗保障</w:t>
      </w:r>
      <w:r>
        <w:rPr>
          <w:rFonts w:hint="eastAsia" w:ascii="仿宋_GB2312" w:hAnsi="仿宋_GB2312" w:eastAsia="仿宋_GB2312" w:cs="仿宋_GB2312"/>
          <w:b w:val="0"/>
          <w:bCs w:val="0"/>
          <w:spacing w:val="6"/>
          <w:sz w:val="32"/>
          <w:szCs w:val="32"/>
          <w:highlight w:val="none"/>
          <w:lang w:val="en-US" w:eastAsia="zh-CN" w:bidi="ar-SA"/>
        </w:rPr>
        <w:t>局、卧龙特别行政区人事与劳动保障局266万元</w:t>
      </w:r>
      <w:r>
        <w:rPr>
          <w:rFonts w:hint="eastAsia" w:ascii="仿宋_GB2312" w:hAnsi="仿宋_GB2312" w:eastAsia="仿宋_GB2312" w:cs="仿宋_GB2312"/>
          <w:b w:val="0"/>
          <w:bCs w:val="0"/>
          <w:spacing w:val="6"/>
          <w:sz w:val="32"/>
          <w:szCs w:val="32"/>
          <w:lang w:val="en-US" w:eastAsia="zh-CN" w:bidi="ar-SA"/>
        </w:rPr>
        <w:t>，留存州本级110万元。</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pacing w:val="6"/>
          <w:sz w:val="32"/>
          <w:szCs w:val="32"/>
          <w:lang w:val="en-US" w:eastAsia="zh-CN"/>
        </w:rPr>
        <w:t>2022年中央下达我州医疗服务与保障能力提升补助资金预算合计376万元。 其中：353万元于2022年2月下达指标；23万元于2022年7月下达指标。</w:t>
      </w:r>
    </w:p>
    <w:p>
      <w:pPr>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项目应实现的具体绩效目标。</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一是提升医保信息化水平，加强网络、信息安全、基础设施等方面建设；进一步夯实技术基础，切实保障医保信息系统高效、安全运行，提高数据采集质量和速度；二是</w:t>
      </w:r>
      <w:r>
        <w:rPr>
          <w:rFonts w:hint="eastAsia" w:ascii="仿宋_GB2312" w:hAnsi="仿宋_GB2312" w:eastAsia="仿宋_GB2312" w:cs="仿宋_GB2312"/>
          <w:spacing w:val="6"/>
          <w:sz w:val="32"/>
          <w:szCs w:val="32"/>
          <w:u w:val="none"/>
          <w:lang w:val="en-US" w:eastAsia="zh-CN"/>
        </w:rPr>
        <w:t>加大</w:t>
      </w:r>
      <w:r>
        <w:rPr>
          <w:rFonts w:hint="eastAsia" w:ascii="仿宋_GB2312" w:hAnsi="仿宋_GB2312" w:eastAsia="仿宋_GB2312" w:cs="仿宋_GB2312"/>
          <w:spacing w:val="6"/>
          <w:sz w:val="32"/>
          <w:szCs w:val="32"/>
          <w:lang w:val="en-US" w:eastAsia="zh-CN"/>
        </w:rPr>
        <w:t>打击欺诈骗保工作力度，切实保障医保基金合理有效使用；三是加快推进医保支付方式改革和DRG试点工作；四是有效提升监管能力，加强监管体系、监管队伍建设；五是有效提升宣传引导、经办服务、人力队伍建设等医疗保障服务能力；六是提高居民政策知晓率，巩固参保率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pStyle w:val="10"/>
        <w:keepNext w:val="0"/>
        <w:keepLines w:val="0"/>
        <w:pageBreakBefore w:val="0"/>
        <w:widowControl w:val="0"/>
        <w:kinsoku/>
        <w:wordWrap/>
        <w:overflowPunct/>
        <w:topLinePunct w:val="0"/>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 xml:space="preserve">评价人员于2023年5月30日了解项目基本情况并收集项目文件资料、设计调查问卷，2023年6月5日结束评价工作。         </w:t>
      </w:r>
    </w:p>
    <w:p>
      <w:pPr>
        <w:pStyle w:val="10"/>
        <w:keepNext w:val="0"/>
        <w:keepLines w:val="0"/>
        <w:pageBreakBefore w:val="0"/>
        <w:widowControl w:val="0"/>
        <w:kinsoku/>
        <w:wordWrap/>
        <w:overflowPunct/>
        <w:topLinePunct w:val="0"/>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主要评价过程如下：</w:t>
      </w:r>
    </w:p>
    <w:p>
      <w:pPr>
        <w:pStyle w:val="10"/>
        <w:keepNext w:val="0"/>
        <w:keepLines w:val="0"/>
        <w:pageBreakBefore w:val="0"/>
        <w:widowControl w:val="0"/>
        <w:kinsoku/>
        <w:wordWrap/>
        <w:overflowPunct/>
        <w:topLinePunct w:val="0"/>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1.了解专项资金的基本情况，听取项目实施情况介绍；</w:t>
      </w:r>
    </w:p>
    <w:p>
      <w:pPr>
        <w:pStyle w:val="10"/>
        <w:keepNext w:val="0"/>
        <w:keepLines w:val="0"/>
        <w:pageBreakBefore w:val="0"/>
        <w:widowControl w:val="0"/>
        <w:kinsoku/>
        <w:wordWrap/>
        <w:overflowPunct/>
        <w:topLinePunct w:val="0"/>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2.现场调查取证，查看项目实施情况，核查项目资金收支账目等相关资料，为整个评价指标体系评分收集基础数据；</w:t>
      </w:r>
    </w:p>
    <w:p>
      <w:pPr>
        <w:pStyle w:val="10"/>
        <w:keepNext w:val="0"/>
        <w:keepLines w:val="0"/>
        <w:pageBreakBefore w:val="0"/>
        <w:widowControl w:val="0"/>
        <w:kinsoku/>
        <w:wordWrap/>
        <w:overflowPunct/>
        <w:topLinePunct w:val="0"/>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3.对资金使用效益评分，分析、检验项目资金的使用是否实现绩效目标；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4.经过定量和定性分析形成评价结论，经过复核后，形成项目绩效评价报告。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为进一步加强医疗保障能力建设，按照</w:t>
      </w:r>
      <w:r>
        <w:rPr>
          <w:rFonts w:hint="eastAsia" w:ascii="仿宋_GB2312" w:hAnsi="仿宋_GB2312" w:eastAsia="仿宋_GB2312" w:cs="仿宋_GB2312"/>
          <w:b w:val="0"/>
          <w:bCs w:val="0"/>
          <w:spacing w:val="6"/>
          <w:sz w:val="32"/>
          <w:szCs w:val="32"/>
          <w:lang w:val="en-US" w:eastAsia="zh-CN" w:bidi="ar-SA"/>
        </w:rPr>
        <w:t>《四川省财政厅 四川省医疗保障局关于提前关于下达 2022年医疗服务与保障能力提升中央财政补助资金预算的通知》（川财社〔2021〕151号）、《四川省财政厅  四川省医疗保障局关于下达2022年医疗服务与保障能力提升中央财政补助资金（医疗保障服务能力建设部分）预算的通知》文件精神，</w:t>
      </w:r>
      <w:r>
        <w:rPr>
          <w:rFonts w:hint="eastAsia" w:ascii="仿宋_GB2312" w:hAnsi="仿宋_GB2312" w:eastAsia="仿宋_GB2312" w:cs="仿宋_GB2312"/>
          <w:spacing w:val="6"/>
          <w:sz w:val="32"/>
          <w:szCs w:val="32"/>
          <w:lang w:val="en-US" w:eastAsia="zh-CN"/>
        </w:rPr>
        <w:t>下达我州医疗服务与保障能力提升补助资金预算合计376万元。</w:t>
      </w:r>
    </w:p>
    <w:p>
      <w:pPr>
        <w:keepNext w:val="0"/>
        <w:keepLines w:val="0"/>
        <w:pageBreakBefore w:val="0"/>
        <w:widowControl w:val="0"/>
        <w:numPr>
          <w:ilvl w:val="0"/>
          <w:numId w:val="9"/>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资金计划、到位及使用情况。</w:t>
      </w:r>
    </w:p>
    <w:tbl>
      <w:tblPr>
        <w:tblStyle w:val="15"/>
        <w:tblpPr w:leftFromText="180" w:rightFromText="180" w:vertAnchor="text" w:horzAnchor="page" w:tblpX="1230" w:tblpY="364"/>
        <w:tblOverlap w:val="never"/>
        <w:tblW w:w="9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410"/>
        <w:gridCol w:w="1560"/>
        <w:gridCol w:w="1530"/>
        <w:gridCol w:w="1020"/>
        <w:gridCol w:w="2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22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项目</w:t>
            </w:r>
          </w:p>
        </w:tc>
        <w:tc>
          <w:tcPr>
            <w:tcW w:w="141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资金计划</w:t>
            </w:r>
          </w:p>
        </w:tc>
        <w:tc>
          <w:tcPr>
            <w:tcW w:w="156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到位时间</w:t>
            </w:r>
          </w:p>
        </w:tc>
        <w:tc>
          <w:tcPr>
            <w:tcW w:w="153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使用情况</w:t>
            </w:r>
          </w:p>
        </w:tc>
        <w:tc>
          <w:tcPr>
            <w:tcW w:w="102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使用率</w:t>
            </w:r>
          </w:p>
        </w:tc>
        <w:tc>
          <w:tcPr>
            <w:tcW w:w="2419"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结转情况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trPr>
        <w:tc>
          <w:tcPr>
            <w:tcW w:w="122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zh-CN" w:eastAsia="zh-CN"/>
              </w:rPr>
            </w:pPr>
            <w:r>
              <w:rPr>
                <w:rFonts w:hint="eastAsia" w:ascii="仿宋_GB2312" w:hAnsi="仿宋_GB2312" w:eastAsia="仿宋_GB2312" w:cs="仿宋_GB2312"/>
                <w:b w:val="0"/>
                <w:bCs w:val="0"/>
                <w:sz w:val="22"/>
                <w:szCs w:val="22"/>
                <w:lang w:val="en-US" w:eastAsia="zh-CN"/>
              </w:rPr>
              <w:t>2022年中央医疗服务与保障能力提升补助资金</w:t>
            </w:r>
          </w:p>
        </w:tc>
        <w:tc>
          <w:tcPr>
            <w:tcW w:w="141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376万元（全州）</w:t>
            </w:r>
          </w:p>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其中：州本级110万元；全州县市分配266万元</w:t>
            </w:r>
          </w:p>
        </w:tc>
        <w:tc>
          <w:tcPr>
            <w:tcW w:w="156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left"/>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1、353万于2022年1月到位       2、23万元于2022年7月到位</w:t>
            </w:r>
          </w:p>
        </w:tc>
        <w:tc>
          <w:tcPr>
            <w:tcW w:w="153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left"/>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332.12（州本级109.13万元；各县市222.99万元）</w:t>
            </w:r>
          </w:p>
          <w:p>
            <w:pPr>
              <w:pStyle w:val="2"/>
              <w:ind w:left="0" w:firstLine="0" w:firstLineChars="0"/>
              <w:rPr>
                <w:rFonts w:hint="eastAsia" w:ascii="仿宋_GB2312" w:hAnsi="仿宋_GB2312" w:eastAsia="仿宋_GB2312" w:cs="仿宋_GB2312"/>
                <w:b w:val="0"/>
                <w:bCs w:val="0"/>
                <w:kern w:val="2"/>
                <w:sz w:val="22"/>
                <w:szCs w:val="22"/>
                <w:lang w:val="en-US" w:eastAsia="zh-CN" w:bidi="ar-SA"/>
              </w:rPr>
            </w:pPr>
          </w:p>
          <w:p>
            <w:pPr>
              <w:pStyle w:val="2"/>
              <w:rPr>
                <w:rFonts w:hint="eastAsia" w:ascii="仿宋_GB2312" w:hAnsi="仿宋_GB2312" w:eastAsia="仿宋_GB2312" w:cs="仿宋_GB2312"/>
                <w:sz w:val="22"/>
                <w:szCs w:val="22"/>
                <w:lang w:val="en-US" w:eastAsia="zh-CN"/>
              </w:rPr>
            </w:pPr>
          </w:p>
        </w:tc>
        <w:tc>
          <w:tcPr>
            <w:tcW w:w="102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zh-CN" w:eastAsia="zh-CN"/>
              </w:rPr>
            </w:pPr>
            <w:r>
              <w:rPr>
                <w:rFonts w:hint="eastAsia" w:ascii="仿宋_GB2312" w:hAnsi="仿宋_GB2312" w:eastAsia="仿宋_GB2312" w:cs="仿宋_GB2312"/>
                <w:b w:val="0"/>
                <w:bCs w:val="0"/>
                <w:sz w:val="22"/>
                <w:szCs w:val="22"/>
                <w:lang w:val="en-US" w:eastAsia="zh-CN"/>
              </w:rPr>
              <w:t>88.33%</w:t>
            </w:r>
          </w:p>
        </w:tc>
        <w:tc>
          <w:tcPr>
            <w:tcW w:w="2419"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eastAsia"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43.87万元（州本级0.87万元、金川县20万元、壤塘县20万元、卧龙3万元）</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eastAsia="仿宋_GB2312" w:cs="仿宋_GB2312"/>
          <w:b/>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pStyle w:val="10"/>
        <w:keepNext w:val="0"/>
        <w:keepLines w:val="0"/>
        <w:pageBreakBefore w:val="0"/>
        <w:widowControl w:val="0"/>
        <w:kinsoku/>
        <w:wordWrap/>
        <w:overflowPunct/>
        <w:topLinePunct w:val="0"/>
        <w:autoSpaceDE w:val="0"/>
        <w:autoSpaceDN w:val="0"/>
        <w:bidi w:val="0"/>
        <w:adjustRightInd/>
        <w:snapToGrid/>
        <w:spacing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项目资金的使用符合国家财经法规和财务管理制度及有关专项资金管理办法规定；资金拨付有完整的审批程序和手续；符合项目预算批复或合同规定用途；不存在截留、挤占、挪用、虚列支出等情况。根据《政府会计制度》的规定，设立了“行政支出－项目支出－财政拨款支出</w:t>
      </w:r>
      <w:r>
        <w:rPr>
          <w:rFonts w:hint="eastAsia" w:hAnsi="仿宋_GB2312" w:cs="仿宋_GB2312"/>
          <w:b w:val="0"/>
          <w:bCs w:val="0"/>
          <w:spacing w:val="6"/>
          <w:sz w:val="32"/>
          <w:szCs w:val="32"/>
          <w:lang w:val="en-US" w:eastAsia="zh-CN" w:bidi="ar-SA"/>
        </w:rPr>
        <w:t>—2022年</w:t>
      </w:r>
      <w:r>
        <w:rPr>
          <w:rFonts w:hint="eastAsia" w:ascii="仿宋_GB2312" w:hAnsi="仿宋_GB2312" w:eastAsia="仿宋_GB2312" w:cs="仿宋_GB2312"/>
          <w:b w:val="0"/>
          <w:bCs w:val="0"/>
          <w:spacing w:val="6"/>
          <w:sz w:val="32"/>
          <w:szCs w:val="32"/>
          <w:lang w:val="en-US" w:eastAsia="zh-CN" w:bidi="ar-SA"/>
        </w:rPr>
        <w:t xml:space="preserve">中央财政医疗服务与保障能力提升补助资金”项目明细科目专账进行核算；严格财经纪律，项目经费支出及时，财务处理及时合规；财务管理制度健全完善。 </w:t>
      </w:r>
    </w:p>
    <w:p>
      <w:pPr>
        <w:pStyle w:val="10"/>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kern w:val="2"/>
          <w:sz w:val="32"/>
          <w:szCs w:val="32"/>
          <w:lang w:val="zh-CN" w:eastAsia="zh-CN" w:bidi="ar-SA"/>
        </w:rPr>
        <w:t>项目监管情况。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right="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color w:val="auto"/>
          <w:kern w:val="2"/>
          <w:sz w:val="32"/>
          <w:szCs w:val="32"/>
          <w:u w:val="none"/>
          <w:vertAlign w:val="baseline"/>
          <w:lang w:val="en-US" w:eastAsia="zh-CN" w:bidi="ar-SA"/>
        </w:rPr>
        <w:t>阿州财监绩〔2022〕18号</w:t>
      </w:r>
      <w:r>
        <w:rPr>
          <w:rFonts w:hint="eastAsia" w:ascii="仿宋_GB2312" w:hAnsi="仿宋_GB2312" w:eastAsia="仿宋_GB2312" w:cs="仿宋_GB2312"/>
          <w:sz w:val="32"/>
          <w:szCs w:val="32"/>
          <w:lang w:val="zh-CN"/>
        </w:rPr>
        <w:t>文件要求，</w:t>
      </w:r>
      <w:r>
        <w:rPr>
          <w:rFonts w:hint="eastAsia" w:ascii="仿宋_GB2312" w:hAnsi="仿宋_GB2312" w:eastAsia="仿宋_GB2312" w:cs="仿宋_GB2312"/>
          <w:sz w:val="32"/>
          <w:szCs w:val="32"/>
          <w:lang w:val="en-US" w:eastAsia="zh-CN"/>
        </w:rPr>
        <w:t>开展2022年部门、政策和项目支出绩效评价，并根据</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项目支出</w:t>
      </w:r>
      <w:r>
        <w:rPr>
          <w:rFonts w:hint="eastAsia" w:ascii="仿宋_GB2312" w:hAnsi="仿宋_GB2312" w:eastAsia="仿宋_GB2312" w:cs="仿宋_GB2312"/>
          <w:sz w:val="32"/>
          <w:szCs w:val="32"/>
          <w:lang w:val="zh-CN"/>
        </w:rPr>
        <w:t>绩效管理</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撰写部门整体绩效评价、各项目支出绩效评价。同时</w:t>
      </w:r>
      <w:r>
        <w:rPr>
          <w:rFonts w:hint="eastAsia" w:ascii="仿宋_GB2312" w:hAnsi="仿宋_GB2312" w:eastAsia="仿宋_GB2312" w:cs="仿宋_GB2312"/>
          <w:sz w:val="32"/>
          <w:szCs w:val="32"/>
          <w:lang w:val="zh-CN"/>
        </w:rPr>
        <w:t>对我</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2021年1-8月</w:t>
      </w:r>
      <w:r>
        <w:rPr>
          <w:rFonts w:hint="eastAsia" w:ascii="仿宋_GB2312" w:hAnsi="仿宋_GB2312" w:eastAsia="仿宋_GB2312" w:cs="仿宋_GB2312"/>
          <w:sz w:val="32"/>
          <w:szCs w:val="32"/>
          <w:lang w:val="zh-CN"/>
        </w:rPr>
        <w:t>财政资金使用管理情况，按照《阿坝州</w:t>
      </w:r>
      <w:r>
        <w:rPr>
          <w:rFonts w:hint="eastAsia" w:ascii="仿宋_GB2312" w:hAnsi="仿宋_GB2312" w:eastAsia="仿宋_GB2312" w:cs="仿宋_GB2312"/>
          <w:sz w:val="32"/>
          <w:szCs w:val="32"/>
          <w:lang w:val="en-US" w:eastAsia="zh-CN"/>
        </w:rPr>
        <w:t>州级2022年</w:t>
      </w:r>
      <w:r>
        <w:rPr>
          <w:rFonts w:hint="eastAsia" w:ascii="仿宋_GB2312" w:hAnsi="仿宋_GB2312" w:eastAsia="仿宋_GB2312" w:cs="仿宋_GB2312"/>
          <w:sz w:val="32"/>
          <w:szCs w:val="32"/>
          <w:lang w:val="zh-CN"/>
        </w:rPr>
        <w:t>预算绩效管理</w:t>
      </w:r>
      <w:r>
        <w:rPr>
          <w:rFonts w:hint="eastAsia" w:ascii="仿宋_GB2312" w:hAnsi="仿宋_GB2312" w:eastAsia="仿宋_GB2312" w:cs="仿宋_GB2312"/>
          <w:sz w:val="32"/>
          <w:szCs w:val="32"/>
          <w:lang w:val="en-US" w:eastAsia="zh-CN"/>
        </w:rPr>
        <w:t>工作要点</w:t>
      </w:r>
      <w:r>
        <w:rPr>
          <w:rFonts w:hint="eastAsia" w:ascii="仿宋_GB2312" w:hAnsi="仿宋_GB2312" w:eastAsia="仿宋_GB2312" w:cs="仿宋_GB2312"/>
          <w:sz w:val="32"/>
          <w:szCs w:val="32"/>
          <w:lang w:val="zh-CN"/>
        </w:rPr>
        <w:t>》认真开展自评工作，撰写部门自评报告。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项目绩效情况</w:t>
      </w:r>
      <w:r>
        <w:rPr>
          <w:rFonts w:hint="eastAsia" w:ascii="仿宋_GB2312" w:hAnsi="仿宋_GB2312" w:eastAsia="仿宋_GB2312" w:cs="仿宋_GB2312"/>
          <w:sz w:val="32"/>
          <w:szCs w:val="32"/>
          <w:lang w:val="zh-CN"/>
        </w:rPr>
        <w:tab/>
      </w:r>
    </w:p>
    <w:p>
      <w:pPr>
        <w:keepNext w:val="0"/>
        <w:keepLines w:val="0"/>
        <w:pageBreakBefore w:val="0"/>
        <w:widowControl w:val="0"/>
        <w:kinsoku/>
        <w:wordWrap/>
        <w:overflowPunct/>
        <w:topLinePunct w:val="0"/>
        <w:autoSpaceDE/>
        <w:autoSpaceDN/>
        <w:bidi w:val="0"/>
        <w:adjustRightInd/>
        <w:snapToGrid/>
        <w:spacing w:line="560" w:lineRule="exact"/>
        <w:ind w:firstLine="667"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（一）项目决策。</w:t>
      </w:r>
      <w:r>
        <w:rPr>
          <w:rFonts w:hint="eastAsia" w:ascii="仿宋_GB2312" w:hAnsi="仿宋_GB2312" w:eastAsia="仿宋_GB2312" w:cs="仿宋_GB2312"/>
          <w:b w:val="0"/>
          <w:bCs w:val="0"/>
          <w:spacing w:val="6"/>
          <w:kern w:val="2"/>
          <w:sz w:val="32"/>
          <w:szCs w:val="32"/>
          <w:lang w:val="en-US" w:eastAsia="zh-CN" w:bidi="ar-SA"/>
        </w:rPr>
        <w:t>严格按照2022年中央财政医疗服务与保障能力提升补助资金的批复用途，认真进行项目实施。决策过程通过对项目决策程序规范性评价，表明项目绩效目标清晰、具体，决策程序科学、有效，项目预算准确、合理，项目预算金额的取得建立了测算方法和标准。</w:t>
      </w:r>
    </w:p>
    <w:p>
      <w:pPr>
        <w:pStyle w:val="2"/>
        <w:spacing w:line="560" w:lineRule="exact"/>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（二）项目实施。</w:t>
      </w:r>
      <w:r>
        <w:rPr>
          <w:rFonts w:hint="eastAsia" w:ascii="仿宋_GB2312" w:hAnsi="仿宋_GB2312" w:eastAsia="仿宋_GB2312" w:cs="仿宋_GB2312"/>
          <w:b w:val="0"/>
          <w:bCs w:val="0"/>
          <w:spacing w:val="6"/>
          <w:sz w:val="32"/>
          <w:szCs w:val="32"/>
          <w:lang w:val="en-US" w:eastAsia="zh-CN" w:bidi="ar-SA"/>
        </w:rPr>
        <w:t>资金分配及时，资金分配管理科学合理、规范有序且资金分配方向与规划计划支持方向相符合。加强组织协调，严格遵循专款专用、严禁挤占挪用的原则，确</w:t>
      </w:r>
      <w:r>
        <w:rPr>
          <w:rFonts w:hint="eastAsia" w:ascii="仿宋_GB2312" w:hAnsi="仿宋_GB2312" w:eastAsia="仿宋_GB2312" w:cs="仿宋_GB2312"/>
          <w:b w:val="0"/>
          <w:bCs w:val="0"/>
          <w:spacing w:val="6"/>
          <w:kern w:val="2"/>
          <w:sz w:val="32"/>
          <w:szCs w:val="32"/>
          <w:lang w:val="en-US" w:eastAsia="zh-CN" w:bidi="ar-SA"/>
        </w:rPr>
        <w:t>保项目顺利实施。</w:t>
      </w:r>
    </w:p>
    <w:p>
      <w:pPr>
        <w:pStyle w:val="2"/>
        <w:numPr>
          <w:ilvl w:val="-1"/>
          <w:numId w:val="0"/>
        </w:numPr>
        <w:ind w:firstLine="667"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b/>
          <w:bCs/>
          <w:spacing w:val="6"/>
          <w:kern w:val="2"/>
          <w:sz w:val="32"/>
          <w:szCs w:val="32"/>
          <w:lang w:val="en-US" w:eastAsia="zh-CN" w:bidi="ar-SA"/>
        </w:rPr>
        <w:t>（三）完成结果。</w:t>
      </w:r>
      <w:r>
        <w:rPr>
          <w:rFonts w:hint="eastAsia" w:ascii="仿宋_GB2312" w:hAnsi="仿宋_GB2312" w:eastAsia="仿宋_GB2312" w:cs="仿宋_GB2312"/>
          <w:b w:val="0"/>
          <w:bCs w:val="0"/>
          <w:spacing w:val="6"/>
          <w:kern w:val="2"/>
          <w:sz w:val="32"/>
          <w:szCs w:val="32"/>
          <w:lang w:val="en-US" w:eastAsia="zh-CN" w:bidi="ar-SA"/>
        </w:rPr>
        <w:t>预算376万元，执行332.12万元，结余43.87万元，完成率88.33%。</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left="0" w:leftChars="0" w:right="0" w:rightChars="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1.数量指标</w:t>
      </w:r>
    </w:p>
    <w:p>
      <w:pPr>
        <w:keepNext w:val="0"/>
        <w:keepLines w:val="0"/>
        <w:pageBreakBefore w:val="0"/>
        <w:widowControl w:val="0"/>
        <w:kinsoku/>
        <w:wordWrap/>
        <w:overflowPunct/>
        <w:topLinePunct w:val="0"/>
        <w:bidi w:val="0"/>
        <w:adjustRightInd/>
        <w:spacing w:before="0" w:line="560" w:lineRule="exact"/>
        <w:ind w:left="0" w:leftChars="0" w:right="0" w:firstLine="664" w:firstLineChars="200"/>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未召开医保工作省级新闻发布会</w:t>
      </w:r>
      <w:r>
        <w:rPr>
          <w:rFonts w:hint="eastAsia" w:ascii="仿宋_GB2312" w:hAnsi="仿宋_GB2312" w:eastAsia="仿宋_GB2312" w:cs="仿宋_GB2312"/>
          <w:b w:val="0"/>
          <w:bCs w:val="0"/>
          <w:spacing w:val="6"/>
          <w:sz w:val="32"/>
          <w:szCs w:val="32"/>
          <w:highlight w:val="none"/>
          <w:lang w:val="en-US" w:eastAsia="zh-CN" w:bidi="ar-SA"/>
        </w:rPr>
        <w:t>；主动公开所有“主动公开”文件，提升政府信息</w:t>
      </w:r>
      <w:r>
        <w:rPr>
          <w:rFonts w:hint="eastAsia" w:ascii="仿宋_GB2312" w:hAnsi="仿宋_GB2312" w:eastAsia="仿宋_GB2312" w:cs="仿宋_GB2312"/>
          <w:b w:val="0"/>
          <w:bCs w:val="0"/>
          <w:spacing w:val="6"/>
          <w:sz w:val="32"/>
          <w:szCs w:val="32"/>
          <w:lang w:val="en-US" w:eastAsia="zh-CN" w:bidi="ar-SA"/>
        </w:rPr>
        <w:t>公开的透明性和公开性；及时报送工作信息，质量较高。</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left="0" w:leftChars="0" w:right="0" w:rightChars="0" w:firstLine="616"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highlight w:val="none"/>
          <w:lang w:val="en-US" w:eastAsia="zh-CN" w:bidi="ar-SA"/>
        </w:rPr>
        <w:t>医保新闻宣传、政府信息工作和政策研究能力等方面培训有所提高。</w:t>
      </w:r>
      <w:r>
        <w:rPr>
          <w:rFonts w:hint="eastAsia" w:ascii="仿宋_GB2312" w:hAnsi="仿宋_GB2312" w:eastAsia="仿宋_GB2312" w:cs="仿宋_GB2312"/>
          <w:b w:val="0"/>
          <w:bCs w:val="0"/>
          <w:spacing w:val="6"/>
          <w:sz w:val="32"/>
          <w:szCs w:val="32"/>
          <w:lang w:val="en-US" w:eastAsia="zh-CN" w:bidi="ar-SA"/>
        </w:rPr>
        <w:t>在官网和微信公众号发布政策文件和解读情况，落实专人负责网站及微信公众号的运行、</w:t>
      </w:r>
      <w:r>
        <w:rPr>
          <w:rFonts w:hint="eastAsia" w:ascii="仿宋_GB2312" w:hAnsi="仿宋_GB2312" w:eastAsia="仿宋_GB2312" w:cs="仿宋_GB2312"/>
          <w:b w:val="0"/>
          <w:bCs w:val="0"/>
          <w:spacing w:val="6"/>
          <w:sz w:val="32"/>
          <w:szCs w:val="32"/>
          <w:highlight w:val="none"/>
          <w:lang w:val="en-US" w:eastAsia="zh-CN" w:bidi="ar-SA"/>
        </w:rPr>
        <w:t>维护。</w:t>
      </w:r>
    </w:p>
    <w:p>
      <w:pPr>
        <w:keepNext w:val="0"/>
        <w:keepLines w:val="0"/>
        <w:pageBreakBefore w:val="0"/>
        <w:widowControl w:val="0"/>
        <w:kinsoku/>
        <w:wordWrap/>
        <w:overflowPunct/>
        <w:topLinePunct w:val="0"/>
        <w:bidi w:val="0"/>
        <w:adjustRightInd/>
        <w:spacing w:before="0" w:line="560" w:lineRule="exact"/>
        <w:ind w:left="0" w:leftChars="0" w:right="0" w:firstLine="616" w:firstLineChars="200"/>
        <w:rPr>
          <w:rFonts w:hint="eastAsia" w:ascii="仿宋_GB2312" w:hAnsi="仿宋_GB2312" w:eastAsia="仿宋_GB2312" w:cs="仿宋_GB2312"/>
          <w:b w:val="0"/>
          <w:bCs w:val="0"/>
          <w:spacing w:val="6"/>
          <w:sz w:val="32"/>
          <w:szCs w:val="32"/>
          <w:highlight w:val="none"/>
          <w:lang w:val="en-US" w:eastAsia="zh-CN" w:bidi="ar-SA"/>
        </w:rPr>
      </w:pPr>
      <w:r>
        <w:rPr>
          <w:rFonts w:hint="eastAsia" w:ascii="仿宋_GB2312" w:hAnsi="仿宋_GB2312" w:eastAsia="仿宋_GB2312" w:cs="仿宋_GB2312"/>
          <w:b w:val="0"/>
          <w:bCs w:val="0"/>
          <w:spacing w:val="-6"/>
          <w:sz w:val="32"/>
          <w:szCs w:val="32"/>
          <w:highlight w:val="none"/>
          <w:lang w:bidi="ar-SA"/>
        </w:rPr>
        <w:t>推进医保信息化建设</w:t>
      </w:r>
      <w:r>
        <w:rPr>
          <w:rFonts w:hint="eastAsia" w:ascii="仿宋_GB2312" w:hAnsi="仿宋_GB2312" w:eastAsia="仿宋_GB2312" w:cs="仿宋_GB2312"/>
          <w:spacing w:val="-6"/>
          <w:sz w:val="32"/>
          <w:szCs w:val="32"/>
          <w:lang w:bidi="ar-SA"/>
        </w:rPr>
        <w:t>。</w:t>
      </w:r>
      <w:r>
        <w:rPr>
          <w:rFonts w:hint="eastAsia" w:ascii="仿宋_GB2312" w:hAnsi="仿宋_GB2312" w:eastAsia="仿宋_GB2312" w:cs="仿宋_GB2312"/>
          <w:b w:val="0"/>
          <w:bCs w:val="0"/>
          <w:spacing w:val="6"/>
          <w:sz w:val="32"/>
          <w:szCs w:val="32"/>
          <w:lang w:val="en-US" w:eastAsia="zh-CN" w:bidi="ar-SA"/>
        </w:rPr>
        <w:t>医保信息系统验收合格率、医保信息系统正常运行率大于等于90</w:t>
      </w:r>
      <w:r>
        <w:rPr>
          <w:rFonts w:hint="eastAsia" w:ascii="仿宋_GB2312" w:hAnsi="仿宋_GB2312" w:eastAsia="仿宋_GB2312" w:cs="仿宋_GB2312"/>
          <w:b w:val="0"/>
          <w:bCs w:val="0"/>
          <w:spacing w:val="6"/>
          <w:sz w:val="32"/>
          <w:szCs w:val="32"/>
          <w:lang w:val="en-US" w:eastAsia="zh-CN" w:bidi="ar-SA"/>
        </w:rPr>
        <w:drawing>
          <wp:inline distT="0" distB="0" distL="0" distR="0">
            <wp:extent cx="85090" cy="154940"/>
            <wp:effectExtent l="0" t="0" r="10160" b="1651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a:picLocks noChangeAspect="1"/>
                    </pic:cNvPicPr>
                  </pic:nvPicPr>
                  <pic:blipFill>
                    <a:blip r:embed="rId15"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b w:val="0"/>
          <w:bCs w:val="0"/>
          <w:spacing w:val="6"/>
          <w:sz w:val="32"/>
          <w:szCs w:val="32"/>
          <w:lang w:val="en-US" w:eastAsia="zh-CN" w:bidi="ar-SA"/>
        </w:rPr>
        <w:t>；医保信息系统重大安全事件响应时间小于等于60分钟、医保信息系统运行维护响应时间小于等于30分钟；</w:t>
      </w:r>
      <w:r>
        <w:rPr>
          <w:rFonts w:hint="eastAsia" w:ascii="仿宋_GB2312" w:hAnsi="仿宋_GB2312" w:eastAsia="仿宋_GB2312" w:cs="仿宋_GB2312"/>
          <w:b w:val="0"/>
          <w:bCs w:val="0"/>
          <w:spacing w:val="6"/>
          <w:sz w:val="32"/>
          <w:szCs w:val="32"/>
          <w:highlight w:val="none"/>
          <w:lang w:val="en-US" w:eastAsia="zh-CN" w:bidi="ar-SA"/>
        </w:rPr>
        <w:t>统筹地区飞行检查覆盖率 100</w:t>
      </w:r>
      <w:r>
        <w:rPr>
          <w:rFonts w:hint="eastAsia" w:ascii="仿宋_GB2312" w:hAnsi="仿宋_GB2312" w:eastAsia="仿宋_GB2312" w:cs="仿宋_GB2312"/>
          <w:b w:val="0"/>
          <w:bCs w:val="0"/>
          <w:spacing w:val="6"/>
          <w:sz w:val="32"/>
          <w:szCs w:val="32"/>
          <w:highlight w:val="none"/>
          <w:lang w:val="en-US" w:eastAsia="zh-CN" w:bidi="ar-SA"/>
        </w:rPr>
        <w:drawing>
          <wp:inline distT="0" distB="0" distL="0" distR="0">
            <wp:extent cx="85090" cy="154940"/>
            <wp:effectExtent l="0" t="0" r="10160" b="1651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a:picLocks noChangeAspect="1"/>
                    </pic:cNvPicPr>
                  </pic:nvPicPr>
                  <pic:blipFill>
                    <a:blip r:embed="rId15"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b w:val="0"/>
          <w:bCs w:val="0"/>
          <w:spacing w:val="6"/>
          <w:sz w:val="32"/>
          <w:szCs w:val="32"/>
          <w:highlight w:val="none"/>
          <w:lang w:val="en-US" w:eastAsia="zh-CN" w:bidi="ar-SA"/>
        </w:rPr>
        <w:t>。</w:t>
      </w:r>
    </w:p>
    <w:p>
      <w:pPr>
        <w:keepNext w:val="0"/>
        <w:keepLines w:val="0"/>
        <w:pageBreakBefore w:val="0"/>
        <w:widowControl w:val="0"/>
        <w:kinsoku/>
        <w:wordWrap/>
        <w:overflowPunct/>
        <w:topLinePunct w:val="0"/>
        <w:bidi w:val="0"/>
        <w:adjustRightInd/>
        <w:spacing w:before="0" w:line="560" w:lineRule="exact"/>
        <w:ind w:left="0" w:leftChars="0" w:right="0"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6"/>
          <w:sz w:val="32"/>
          <w:szCs w:val="32"/>
          <w:highlight w:val="none"/>
          <w:lang w:val="en-US" w:eastAsia="zh-CN" w:bidi="ar-SA"/>
        </w:rPr>
        <w:t>扎实开展DRG支付方式改革三年行动，督促汶川县、九寨沟县完成县域内紧密型医疗卫生共同体建设，认定“双通道”管理药店1家。</w:t>
      </w:r>
    </w:p>
    <w:p>
      <w:pPr>
        <w:pStyle w:val="10"/>
        <w:keepNext w:val="0"/>
        <w:keepLines w:val="0"/>
        <w:pageBreakBefore w:val="0"/>
        <w:widowControl w:val="0"/>
        <w:numPr>
          <w:ilvl w:val="0"/>
          <w:numId w:val="10"/>
        </w:numPr>
        <w:kinsoku/>
        <w:wordWrap/>
        <w:overflowPunct/>
        <w:topLinePunct w:val="0"/>
        <w:autoSpaceDE w:val="0"/>
        <w:autoSpaceDN w:val="0"/>
        <w:bidi w:val="0"/>
        <w:adjustRightInd/>
        <w:snapToGrid/>
        <w:spacing w:before="0" w:line="560" w:lineRule="exact"/>
        <w:ind w:left="0" w:leftChars="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质量指标</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left="0" w:leftChars="0" w:right="0" w:rightChars="0" w:firstLine="616" w:firstLineChars="200"/>
        <w:textAlignment w:val="auto"/>
        <w:rPr>
          <w:rFonts w:hint="eastAsia" w:ascii="仿宋_GB2312" w:hAnsi="仿宋_GB2312" w:eastAsia="仿宋_GB2312" w:cs="仿宋_GB2312"/>
          <w:b w:val="0"/>
          <w:bCs w:val="0"/>
          <w:color w:val="000000"/>
          <w:spacing w:val="-6"/>
          <w:sz w:val="32"/>
          <w:szCs w:val="32"/>
          <w:lang w:eastAsia="zh-CN" w:bidi="ar-SA"/>
        </w:rPr>
      </w:pPr>
      <w:r>
        <w:rPr>
          <w:rFonts w:hint="eastAsia" w:ascii="仿宋_GB2312" w:hAnsi="仿宋_GB2312" w:eastAsia="仿宋_GB2312" w:cs="仿宋_GB2312"/>
          <w:b w:val="0"/>
          <w:bCs w:val="0"/>
          <w:color w:val="000000"/>
          <w:spacing w:val="-6"/>
          <w:sz w:val="32"/>
          <w:szCs w:val="32"/>
          <w:lang w:val="en-US" w:eastAsia="zh-CN" w:bidi="ar-SA"/>
        </w:rPr>
        <w:t>医保法治化建设能力有所提高</w:t>
      </w:r>
      <w:r>
        <w:rPr>
          <w:rFonts w:hint="eastAsia" w:ascii="仿宋_GB2312" w:hAnsi="仿宋_GB2312" w:eastAsia="仿宋_GB2312" w:cs="仿宋_GB2312"/>
          <w:b w:val="0"/>
          <w:bCs w:val="0"/>
          <w:color w:val="000000"/>
          <w:spacing w:val="-6"/>
          <w:sz w:val="32"/>
          <w:szCs w:val="32"/>
          <w:lang w:bidi="ar-SA"/>
        </w:rPr>
        <w:t>。聘请法律顾问</w:t>
      </w:r>
      <w:r>
        <w:rPr>
          <w:rFonts w:hint="eastAsia" w:ascii="仿宋_GB2312" w:hAnsi="仿宋_GB2312" w:eastAsia="仿宋_GB2312" w:cs="仿宋_GB2312"/>
          <w:b w:val="0"/>
          <w:bCs w:val="0"/>
          <w:color w:val="000000"/>
          <w:spacing w:val="-6"/>
          <w:sz w:val="32"/>
          <w:szCs w:val="32"/>
          <w:lang w:eastAsia="zh-CN" w:bidi="ar-SA"/>
        </w:rPr>
        <w:t>，</w:t>
      </w:r>
      <w:r>
        <w:rPr>
          <w:rFonts w:hint="eastAsia" w:ascii="仿宋_GB2312" w:hAnsi="仿宋_GB2312" w:eastAsia="仿宋_GB2312" w:cs="仿宋_GB2312"/>
          <w:b w:val="0"/>
          <w:bCs w:val="0"/>
          <w:color w:val="000000"/>
          <w:spacing w:val="-6"/>
          <w:sz w:val="32"/>
          <w:szCs w:val="32"/>
          <w:lang w:bidi="ar-SA"/>
        </w:rPr>
        <w:t>建立健全党政机关法律顾问制度</w:t>
      </w:r>
      <w:r>
        <w:rPr>
          <w:rFonts w:hint="eastAsia" w:ascii="仿宋_GB2312" w:hAnsi="仿宋_GB2312" w:eastAsia="仿宋_GB2312" w:cs="仿宋_GB2312"/>
          <w:b w:val="0"/>
          <w:bCs w:val="0"/>
          <w:color w:val="000000"/>
          <w:spacing w:val="-6"/>
          <w:sz w:val="32"/>
          <w:szCs w:val="32"/>
          <w:lang w:eastAsia="zh-CN" w:bidi="ar-SA"/>
        </w:rPr>
        <w:t>，</w:t>
      </w:r>
      <w:r>
        <w:rPr>
          <w:rFonts w:hint="eastAsia" w:ascii="仿宋_GB2312" w:hAnsi="仿宋_GB2312" w:eastAsia="仿宋_GB2312" w:cs="仿宋_GB2312"/>
          <w:b w:val="0"/>
          <w:bCs w:val="0"/>
          <w:color w:val="000000"/>
          <w:spacing w:val="-6"/>
          <w:sz w:val="32"/>
          <w:szCs w:val="32"/>
          <w:lang w:val="en-US" w:eastAsia="zh-CN" w:bidi="ar-SA"/>
        </w:rPr>
        <w:t>提升</w:t>
      </w:r>
      <w:r>
        <w:rPr>
          <w:rFonts w:hint="eastAsia" w:ascii="仿宋_GB2312" w:hAnsi="仿宋_GB2312" w:eastAsia="仿宋_GB2312" w:cs="仿宋_GB2312"/>
          <w:b w:val="0"/>
          <w:bCs w:val="0"/>
          <w:color w:val="000000"/>
          <w:spacing w:val="-6"/>
          <w:sz w:val="32"/>
          <w:szCs w:val="32"/>
          <w:lang w:bidi="ar-SA"/>
        </w:rPr>
        <w:t>医保法治建设能力情况</w:t>
      </w:r>
      <w:r>
        <w:rPr>
          <w:rFonts w:hint="eastAsia" w:ascii="仿宋_GB2312" w:hAnsi="仿宋_GB2312" w:eastAsia="仿宋_GB2312" w:cs="仿宋_GB2312"/>
          <w:b w:val="0"/>
          <w:bCs w:val="0"/>
          <w:color w:val="000000"/>
          <w:spacing w:val="-6"/>
          <w:sz w:val="32"/>
          <w:szCs w:val="32"/>
          <w:lang w:eastAsia="zh-CN" w:bidi="ar-SA"/>
        </w:rPr>
        <w:t>。</w:t>
      </w:r>
    </w:p>
    <w:p>
      <w:pPr>
        <w:pStyle w:val="4"/>
        <w:keepNext w:val="0"/>
        <w:keepLines w:val="0"/>
        <w:pageBreakBefore w:val="0"/>
        <w:widowControl w:val="0"/>
        <w:kinsoku/>
        <w:wordWrap/>
        <w:overflowPunct/>
        <w:topLinePunct w:val="0"/>
        <w:autoSpaceDE/>
        <w:autoSpaceDN/>
        <w:bidi w:val="0"/>
        <w:adjustRightInd/>
        <w:spacing w:before="0" w:line="560" w:lineRule="exact"/>
        <w:ind w:left="0" w:leftChars="0" w:right="0" w:firstLine="616" w:firstLineChars="200"/>
        <w:textAlignment w:val="auto"/>
        <w:rPr>
          <w:rFonts w:hint="eastAsia" w:ascii="仿宋_GB2312" w:hAnsi="仿宋_GB2312" w:eastAsia="仿宋_GB2312" w:cs="仿宋_GB2312"/>
          <w:b w:val="0"/>
          <w:bCs w:val="0"/>
          <w:snapToGrid w:val="0"/>
          <w:spacing w:val="-6"/>
          <w:kern w:val="0"/>
          <w:sz w:val="32"/>
          <w:szCs w:val="32"/>
          <w:lang w:val="en-US" w:eastAsia="zh-CN" w:bidi="ar-SA"/>
        </w:rPr>
      </w:pPr>
      <w:r>
        <w:rPr>
          <w:rFonts w:hint="eastAsia" w:ascii="仿宋_GB2312" w:hAnsi="仿宋_GB2312" w:eastAsia="仿宋_GB2312" w:cs="仿宋_GB2312"/>
          <w:b w:val="0"/>
          <w:bCs w:val="0"/>
          <w:snapToGrid w:val="0"/>
          <w:spacing w:val="-6"/>
          <w:kern w:val="0"/>
          <w:sz w:val="32"/>
          <w:szCs w:val="32"/>
          <w:lang w:val="en-US" w:eastAsia="zh-CN" w:bidi="ar-SA"/>
        </w:rPr>
        <w:t>基金预警和风险防控防范和化解系统风险能力有所提高。维护基金运行安全，健全风险评估预警机制，密切监管基金运行重点指标，开展实时监测和风险评估，加强中长期精算平衡。强化经办机构内控管理，健全组织机构、业务运行、基金财务、信息系统和内部控制的监督与检查等方面的内控工作机制，打造公开透明、运作规范、管理科学、监控有效、考评严格的内控体系。确保信息数据和网络安全，开展医疗保障网络信息安全攻防演练，不断完善网络信息安全管理体系，确保全州医保平台安全、稳定、高效运行。</w:t>
      </w:r>
    </w:p>
    <w:p>
      <w:pPr>
        <w:pStyle w:val="4"/>
        <w:keepNext w:val="0"/>
        <w:keepLines w:val="0"/>
        <w:pageBreakBefore w:val="0"/>
        <w:widowControl w:val="0"/>
        <w:kinsoku/>
        <w:wordWrap/>
        <w:overflowPunct/>
        <w:topLinePunct w:val="0"/>
        <w:autoSpaceDE/>
        <w:autoSpaceDN/>
        <w:bidi w:val="0"/>
        <w:adjustRightInd/>
        <w:spacing w:before="0" w:line="560" w:lineRule="exact"/>
        <w:ind w:left="0" w:leftChars="0" w:right="0" w:firstLine="616" w:firstLineChars="200"/>
        <w:textAlignment w:val="auto"/>
        <w:rPr>
          <w:rFonts w:hint="eastAsia" w:ascii="仿宋_GB2312" w:hAnsi="仿宋_GB2312" w:eastAsia="仿宋_GB2312" w:cs="仿宋_GB2312"/>
          <w:b w:val="0"/>
          <w:bCs w:val="0"/>
          <w:snapToGrid w:val="0"/>
          <w:spacing w:val="-6"/>
          <w:kern w:val="0"/>
          <w:sz w:val="32"/>
          <w:szCs w:val="32"/>
        </w:rPr>
      </w:pPr>
      <w:r>
        <w:rPr>
          <w:rFonts w:hint="eastAsia" w:ascii="仿宋_GB2312" w:hAnsi="仿宋_GB2312" w:eastAsia="仿宋_GB2312" w:cs="仿宋_GB2312"/>
          <w:b w:val="0"/>
          <w:bCs w:val="0"/>
          <w:snapToGrid w:val="0"/>
          <w:color w:val="000000"/>
          <w:spacing w:val="-6"/>
          <w:kern w:val="2"/>
          <w:sz w:val="32"/>
          <w:szCs w:val="32"/>
          <w:lang w:val="en-US" w:eastAsia="zh-CN" w:bidi="ar-SA"/>
        </w:rPr>
        <w:t>医保标准化水平显著提</w:t>
      </w:r>
      <w:r>
        <w:rPr>
          <w:rFonts w:hint="eastAsia" w:ascii="仿宋_GB2312" w:hAnsi="仿宋_GB2312" w:eastAsia="仿宋_GB2312" w:cs="仿宋_GB2312"/>
          <w:b w:val="0"/>
          <w:bCs w:val="0"/>
          <w:snapToGrid w:val="0"/>
          <w:color w:val="000000"/>
          <w:spacing w:val="-6"/>
          <w:kern w:val="2"/>
          <w:sz w:val="32"/>
          <w:szCs w:val="32"/>
          <w:highlight w:val="none"/>
          <w:lang w:val="en-US" w:eastAsia="zh-CN" w:bidi="ar-SA"/>
        </w:rPr>
        <w:t>升。</w:t>
      </w:r>
      <w:r>
        <w:rPr>
          <w:rFonts w:hint="eastAsia" w:ascii="仿宋_GB2312" w:hAnsi="仿宋_GB2312" w:eastAsia="仿宋_GB2312" w:cs="仿宋_GB2312"/>
          <w:b w:val="0"/>
          <w:bCs w:val="0"/>
          <w:snapToGrid w:val="0"/>
          <w:spacing w:val="-6"/>
          <w:kern w:val="0"/>
          <w:sz w:val="32"/>
          <w:szCs w:val="32"/>
          <w:highlight w:val="none"/>
          <w:lang w:val="en-US" w:eastAsia="zh-CN" w:bidi="ar-SA"/>
        </w:rPr>
        <w:t>加强医保经办服务体系建设，将医保经办服务网络向基层延伸，探索实施基层医保网格化服务管理。健全完善医保协议管理，简化优化定点申请程序，推进“互联网+医疗”等新服务模式。</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firstLine="616" w:firstLineChars="200"/>
        <w:textAlignment w:val="auto"/>
        <w:rPr>
          <w:rFonts w:hint="eastAsia" w:ascii="仿宋_GB2312" w:hAnsi="仿宋_GB2312" w:eastAsia="仿宋_GB2312" w:cs="仿宋_GB2312"/>
          <w:b w:val="0"/>
          <w:bCs w:val="0"/>
          <w:color w:val="000000"/>
          <w:spacing w:val="-6"/>
          <w:kern w:val="0"/>
          <w:sz w:val="32"/>
          <w:szCs w:val="32"/>
          <w:lang w:bidi="ar"/>
        </w:rPr>
      </w:pPr>
      <w:r>
        <w:rPr>
          <w:rFonts w:hint="eastAsia" w:ascii="仿宋_GB2312" w:hAnsi="仿宋_GB2312" w:eastAsia="仿宋_GB2312" w:cs="仿宋_GB2312"/>
          <w:b w:val="0"/>
          <w:bCs w:val="0"/>
          <w:snapToGrid w:val="0"/>
          <w:color w:val="000000"/>
          <w:spacing w:val="-6"/>
          <w:kern w:val="2"/>
          <w:sz w:val="32"/>
          <w:szCs w:val="32"/>
          <w:lang w:val="en-US" w:eastAsia="zh-CN" w:bidi="ar-SA"/>
        </w:rPr>
        <w:t>经办服务能力有所提高。</w:t>
      </w:r>
      <w:r>
        <w:rPr>
          <w:rFonts w:hint="eastAsia" w:ascii="仿宋_GB2312" w:hAnsi="仿宋_GB2312" w:eastAsia="仿宋_GB2312" w:cs="仿宋_GB2312"/>
          <w:sz w:val="32"/>
          <w:szCs w:val="32"/>
          <w:lang w:val="en-US" w:eastAsia="zh-CN"/>
        </w:rPr>
        <w:t>严格落实全州医疗保障经办政务服务事项清单，加强经办精细化管理，优化公共服务，提高适老化水平。</w:t>
      </w:r>
      <w:r>
        <w:rPr>
          <w:rFonts w:hint="eastAsia" w:ascii="仿宋_GB2312" w:hAnsi="仿宋_GB2312" w:eastAsia="仿宋_GB2312" w:cs="仿宋_GB2312"/>
          <w:b w:val="0"/>
          <w:bCs w:val="0"/>
          <w:sz w:val="32"/>
          <w:szCs w:val="32"/>
          <w:lang w:val="en-US" w:eastAsia="zh-CN"/>
        </w:rPr>
        <w:t>全州174个乡镇及15个社区实现17项医保服务事项入驻，较省局规定符合我州医保政策的15项医保服务事项增加2项服务事项，1139个村（社区）实现医保业务代帮代办，完成基层便民服务机构进</w:t>
      </w:r>
      <w:r>
        <w:rPr>
          <w:rFonts w:hint="eastAsia" w:ascii="仿宋_GB2312" w:hAnsi="仿宋_GB2312" w:eastAsia="仿宋_GB2312" w:cs="仿宋_GB2312"/>
          <w:b w:val="0"/>
          <w:bCs w:val="0"/>
          <w:sz w:val="32"/>
          <w:szCs w:val="32"/>
          <w:highlight w:val="none"/>
          <w:lang w:val="en-US" w:eastAsia="zh-CN"/>
        </w:rPr>
        <w:t>驻全覆盖。全州</w:t>
      </w:r>
      <w:r>
        <w:rPr>
          <w:rFonts w:hint="eastAsia" w:ascii="仿宋_GB2312" w:hAnsi="仿宋_GB2312" w:eastAsia="仿宋_GB2312" w:cs="仿宋_GB2312"/>
          <w:b w:val="0"/>
          <w:bCs w:val="0"/>
          <w:sz w:val="32"/>
          <w:szCs w:val="32"/>
          <w:lang w:val="en-US" w:eastAsia="zh-CN"/>
        </w:rPr>
        <w:t>基层便民服务机构共办理（代办）医保服务事项47554件，其中，乡镇办理医保服务36014件，村（社区）帮代办医保服务11540件。及时在四川一体化政务服务平台认领和配置完善相关服务事项，通过流程再造，办理时限缩减60.09%，申办材料精简4.55%。加</w:t>
      </w:r>
      <w:r>
        <w:rPr>
          <w:rFonts w:hint="eastAsia" w:ascii="仿宋_GB2312" w:hAnsi="仿宋_GB2312" w:eastAsia="仿宋_GB2312" w:cs="仿宋_GB2312"/>
          <w:color w:val="auto"/>
          <w:spacing w:val="0"/>
          <w:kern w:val="21"/>
          <w:sz w:val="32"/>
          <w:szCs w:val="32"/>
          <w:lang w:val="en-US" w:eastAsia="zh-CN" w:bidi="ar-SA"/>
        </w:rPr>
        <w:t>快推进医保信息化建设及应用，推进“川渝通办”“跨省通办”，全面实行基本医保、大病保险、医疗救助等制度待遇“一站式服务、一窗口办理、一单制结算”。</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right="0" w:firstLine="616" w:firstLineChars="200"/>
        <w:jc w:val="left"/>
        <w:rPr>
          <w:rFonts w:hint="eastAsia" w:ascii="仿宋_GB2312" w:hAnsi="仿宋_GB2312" w:eastAsia="仿宋_GB2312" w:cs="仿宋_GB2312"/>
          <w:b w:val="0"/>
          <w:bCs w:val="0"/>
          <w:color w:val="000000"/>
          <w:spacing w:val="-6"/>
          <w:sz w:val="32"/>
          <w:szCs w:val="32"/>
          <w:lang w:bidi="ar-SA"/>
        </w:rPr>
      </w:pPr>
      <w:r>
        <w:rPr>
          <w:rFonts w:hint="eastAsia" w:ascii="仿宋_GB2312" w:hAnsi="仿宋_GB2312" w:eastAsia="仿宋_GB2312" w:cs="仿宋_GB2312"/>
          <w:b w:val="0"/>
          <w:bCs w:val="0"/>
          <w:snapToGrid w:val="0"/>
          <w:color w:val="000000"/>
          <w:spacing w:val="-6"/>
          <w:sz w:val="32"/>
          <w:szCs w:val="32"/>
          <w:lang w:val="en-US" w:eastAsia="zh-CN" w:bidi="ar-SA"/>
        </w:rPr>
        <w:t>医保综合监管能力显著提升</w:t>
      </w:r>
      <w:r>
        <w:rPr>
          <w:rFonts w:hint="eastAsia" w:ascii="仿宋_GB2312" w:hAnsi="仿宋_GB2312" w:eastAsia="仿宋_GB2312" w:cs="仿宋_GB2312"/>
          <w:b w:val="0"/>
          <w:bCs w:val="0"/>
          <w:snapToGrid w:val="0"/>
          <w:color w:val="000000"/>
          <w:spacing w:val="-6"/>
          <w:sz w:val="32"/>
          <w:szCs w:val="32"/>
          <w:lang w:bidi="ar-SA"/>
        </w:rPr>
        <w:t>。</w:t>
      </w:r>
      <w:r>
        <w:rPr>
          <w:rFonts w:hint="eastAsia" w:ascii="仿宋_GB2312" w:hAnsi="仿宋_GB2312" w:eastAsia="仿宋_GB2312" w:cs="仿宋_GB2312"/>
          <w:snapToGrid w:val="0"/>
          <w:color w:val="auto"/>
          <w:spacing w:val="0"/>
          <w:kern w:val="21"/>
          <w:sz w:val="32"/>
          <w:szCs w:val="32"/>
          <w:lang w:val="en-US" w:eastAsia="zh-CN"/>
        </w:rPr>
        <w:t>以4月全国医保基金监管集中宣传月活动为契机，加大典型案例曝光力度，大力开展基金监管相关政策措施和法律法规的系统宣传、培训。制定《阿坝州人民政府关于推进医疗保障基金监管制度体系改革的实施方案》《阿坝州人民政府办公室关于进一步健全阿坝州打击欺诈骗取医保基金工作联席会议制度的通知》等制度文件，建立由分管副州长为召集人的联席会议制度，充分发挥各级人民政府在基金监管法治建设、标准制定、行政执法、信息共享等方面的主导作用，确保基金安全可持续。</w:t>
      </w:r>
      <w:r>
        <w:rPr>
          <w:rFonts w:hint="eastAsia" w:ascii="仿宋_GB2312" w:hAnsi="仿宋_GB2312" w:eastAsia="仿宋_GB2312" w:cs="仿宋_GB2312"/>
          <w:color w:val="auto"/>
          <w:kern w:val="0"/>
          <w:sz w:val="32"/>
          <w:szCs w:val="32"/>
          <w:lang w:val="en-US" w:eastAsia="zh-CN" w:bidi="ar"/>
        </w:rPr>
        <w:t>聘请第三方会计事务所对7家经办机构开展专项审计，</w:t>
      </w:r>
      <w:r>
        <w:rPr>
          <w:rFonts w:hint="eastAsia" w:ascii="仿宋_GB2312" w:hAnsi="仿宋_GB2312" w:eastAsia="仿宋_GB2312" w:cs="仿宋_GB2312"/>
          <w:snapToGrid w:val="0"/>
          <w:color w:val="auto"/>
          <w:spacing w:val="0"/>
          <w:kern w:val="21"/>
          <w:sz w:val="32"/>
          <w:szCs w:val="32"/>
          <w:lang w:val="en-US" w:eastAsia="zh-CN"/>
        </w:rPr>
        <w:t>积极配合国家、省开展飞行检查，组织开展全州基金监管抽查复查工作</w:t>
      </w:r>
      <w:r>
        <w:rPr>
          <w:rFonts w:hint="eastAsia" w:ascii="仿宋_GB2312" w:hAnsi="仿宋_GB2312" w:eastAsia="仿宋_GB2312" w:cs="仿宋_GB2312"/>
          <w:snapToGrid w:val="0"/>
          <w:color w:val="auto"/>
          <w:spacing w:val="0"/>
          <w:kern w:val="21"/>
          <w:sz w:val="32"/>
          <w:szCs w:val="32"/>
          <w:lang w:eastAsia="zh-CN"/>
        </w:rPr>
        <w:t>，</w:t>
      </w:r>
      <w:r>
        <w:rPr>
          <w:rFonts w:hint="eastAsia" w:ascii="仿宋_GB2312" w:hAnsi="仿宋_GB2312" w:eastAsia="仿宋_GB2312" w:cs="仿宋_GB2312"/>
          <w:snapToGrid w:val="0"/>
          <w:color w:val="auto"/>
          <w:spacing w:val="0"/>
          <w:kern w:val="21"/>
          <w:sz w:val="32"/>
          <w:szCs w:val="32"/>
          <w:lang w:val="en-US" w:eastAsia="zh-CN"/>
        </w:rPr>
        <w:t>严厉打击医保领域违法违规行为，</w:t>
      </w:r>
      <w:r>
        <w:rPr>
          <w:rFonts w:hint="eastAsia" w:ascii="仿宋_GB2312" w:hAnsi="仿宋_GB2312" w:eastAsia="仿宋_GB2312" w:cs="仿宋_GB2312"/>
          <w:color w:val="auto"/>
          <w:kern w:val="0"/>
          <w:sz w:val="32"/>
          <w:szCs w:val="32"/>
          <w:lang w:val="en-US" w:eastAsia="zh-CN" w:bidi="ar"/>
        </w:rPr>
        <w:t>保持医保基金监</w:t>
      </w:r>
      <w:r>
        <w:rPr>
          <w:rFonts w:hint="eastAsia" w:ascii="仿宋_GB2312" w:hAnsi="仿宋_GB2312" w:eastAsia="仿宋_GB2312" w:cs="仿宋_GB2312"/>
          <w:color w:val="auto"/>
          <w:kern w:val="0"/>
          <w:sz w:val="32"/>
          <w:szCs w:val="32"/>
          <w:highlight w:val="none"/>
          <w:lang w:val="en-US" w:eastAsia="zh-CN" w:bidi="ar"/>
        </w:rPr>
        <w:t>管高压态势</w:t>
      </w:r>
      <w:r>
        <w:rPr>
          <w:rFonts w:hint="eastAsia" w:ascii="仿宋_GB2312" w:hAnsi="仿宋_GB2312" w:eastAsia="仿宋_GB2312" w:cs="仿宋_GB2312"/>
          <w:b w:val="0"/>
          <w:bCs w:val="0"/>
          <w:spacing w:val="-6"/>
          <w:sz w:val="32"/>
          <w:szCs w:val="32"/>
          <w:highlight w:val="none"/>
          <w:lang w:val="en-US" w:eastAsia="zh-CN" w:bidi="ar-SA"/>
        </w:rPr>
        <w:t>。全州共处理违法违规使用医保基金定点医药机构249家，共计追回本金</w:t>
      </w:r>
      <w:r>
        <w:rPr>
          <w:rFonts w:hint="eastAsia" w:ascii="仿宋_GB2312" w:hAnsi="仿宋_GB2312" w:eastAsia="仿宋_GB2312" w:cs="仿宋_GB2312"/>
          <w:b w:val="0"/>
          <w:bCs w:val="0"/>
          <w:spacing w:val="-6"/>
          <w:sz w:val="32"/>
          <w:szCs w:val="32"/>
          <w:lang w:val="en-US" w:eastAsia="zh-CN" w:bidi="ar-SA"/>
        </w:rPr>
        <w:t>及处违约金、行政罚款等共计464.91万元；处理违法违规参保人员3人，其中：移交司法机关1人次、暂停医疗费用联网结算3人次，追回本金及处罚款共计0.58万元；曝光违法违规使用医保基金典型案例153件。全面排查冒用死亡人员参保信息骗取医保基金等违法违规行为，经核实，全州死亡后享受待遇302条次，共计追回金额10088.99元。</w:t>
      </w:r>
    </w:p>
    <w:p>
      <w:pPr>
        <w:keepNext w:val="0"/>
        <w:keepLines w:val="0"/>
        <w:pageBreakBefore w:val="0"/>
        <w:widowControl/>
        <w:kinsoku/>
        <w:wordWrap/>
        <w:overflowPunct/>
        <w:topLinePunct w:val="0"/>
        <w:autoSpaceDE/>
        <w:autoSpaceDN/>
        <w:bidi w:val="0"/>
        <w:adjustRightInd/>
        <w:snapToGrid/>
        <w:spacing w:before="0" w:beforeAutospacing="0" w:afterAutospacing="0" w:line="560" w:lineRule="exact"/>
        <w:ind w:left="0" w:leftChars="0" w:right="0" w:firstLine="616" w:firstLineChars="200"/>
        <w:jc w:val="both"/>
        <w:textAlignment w:val="top"/>
        <w:outlineLvl w:val="1"/>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bidi="ar-SA"/>
        </w:rPr>
        <w:t>异地就医</w:t>
      </w:r>
      <w:r>
        <w:rPr>
          <w:rFonts w:hint="eastAsia" w:ascii="仿宋_GB2312" w:hAnsi="仿宋_GB2312" w:eastAsia="仿宋_GB2312" w:cs="仿宋_GB2312"/>
          <w:b w:val="0"/>
          <w:bCs w:val="0"/>
          <w:spacing w:val="-6"/>
          <w:sz w:val="32"/>
          <w:szCs w:val="32"/>
          <w:lang w:val="en-US" w:eastAsia="zh-CN" w:bidi="ar-SA"/>
        </w:rPr>
        <w:t>直接结算率有所提高</w:t>
      </w:r>
      <w:r>
        <w:rPr>
          <w:rFonts w:hint="eastAsia" w:ascii="仿宋_GB2312" w:hAnsi="仿宋_GB2312" w:eastAsia="仿宋_GB2312" w:cs="仿宋_GB2312"/>
          <w:b w:val="0"/>
          <w:bCs w:val="0"/>
          <w:spacing w:val="-6"/>
          <w:sz w:val="32"/>
          <w:szCs w:val="32"/>
          <w:lang w:bidi="ar-SA"/>
        </w:rPr>
        <w:t>。</w:t>
      </w:r>
      <w:r>
        <w:rPr>
          <w:rFonts w:hint="eastAsia" w:ascii="仿宋_GB2312" w:hAnsi="仿宋_GB2312" w:eastAsia="仿宋_GB2312" w:cs="仿宋_GB2312"/>
          <w:sz w:val="32"/>
          <w:szCs w:val="32"/>
        </w:rPr>
        <w:t>推进高血压、糖尿病、恶性肿瘤门诊放化疗、尿毒症透析、器官移植术后抗排异治疗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个门诊慢特病相关治疗费用跨省直接结算</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kern w:val="0"/>
          <w:sz w:val="32"/>
          <w:szCs w:val="32"/>
          <w:lang w:val="en-US" w:eastAsia="zh-CN" w:bidi="ar"/>
        </w:rPr>
        <w:t>持续优化异地就医备案管理，先后实现省内和川渝跨省就医免备案</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kern w:val="0"/>
          <w:sz w:val="32"/>
          <w:szCs w:val="32"/>
          <w:lang w:val="en-US" w:eastAsia="zh-CN" w:bidi="ar"/>
        </w:rPr>
        <w:t>在全省创新开展跨统筹区异地门诊慢特病认定工作，病种认定办理时限由原来的20个工作日缩短到30分钟。创新在都江堰市设立异地医保服务站，缩短服务半径，推动服务下沉。</w:t>
      </w:r>
      <w:r>
        <w:rPr>
          <w:rFonts w:hint="eastAsia" w:ascii="仿宋_GB2312" w:hAnsi="仿宋_GB2312" w:eastAsia="仿宋_GB2312" w:cs="仿宋_GB2312"/>
          <w:b w:val="0"/>
          <w:bCs w:val="0"/>
          <w:spacing w:val="-6"/>
          <w:sz w:val="32"/>
          <w:szCs w:val="32"/>
          <w:lang w:val="en-US" w:eastAsia="zh-CN" w:bidi="ar-SA"/>
        </w:rPr>
        <w:t>全州参保人员异地就医直接</w:t>
      </w:r>
      <w:r>
        <w:rPr>
          <w:rFonts w:hint="eastAsia" w:ascii="仿宋_GB2312" w:hAnsi="仿宋_GB2312" w:eastAsia="仿宋_GB2312" w:cs="仿宋_GB2312"/>
          <w:b w:val="0"/>
          <w:bCs w:val="0"/>
          <w:spacing w:val="-6"/>
          <w:sz w:val="32"/>
          <w:szCs w:val="32"/>
          <w:lang w:val="en" w:eastAsia="zh-CN" w:bidi="ar-SA"/>
        </w:rPr>
        <w:t>结算</w:t>
      </w:r>
      <w:r>
        <w:rPr>
          <w:rFonts w:hint="eastAsia" w:ascii="仿宋_GB2312" w:hAnsi="仿宋_GB2312" w:eastAsia="仿宋_GB2312" w:cs="仿宋_GB2312"/>
          <w:b w:val="0"/>
          <w:bCs w:val="0"/>
          <w:spacing w:val="-6"/>
          <w:sz w:val="32"/>
          <w:szCs w:val="32"/>
          <w:lang w:val="en-US" w:eastAsia="zh-CN" w:bidi="ar-SA"/>
        </w:rPr>
        <w:t>101.14万人次，医疗费用93459万元，医保支付66979万元。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医保新闻宣传、政府信息工作和政策研究能力等方面培训有所提高。加大政策宣传力度，进一步提高行政水平，完善医疗保障政策体系，医疗保障知晓率进一步提升，群众医保满意度进一步增强。</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left="0" w:leftChars="0" w:right="0" w:rightChars="0" w:firstLine="640" w:firstLineChars="200"/>
        <w:textAlignment w:val="auto"/>
        <w:rPr>
          <w:rFonts w:hint="eastAsia" w:ascii="仿宋_GB2312" w:hAnsi="仿宋_GB2312" w:eastAsia="仿宋_GB2312" w:cs="仿宋_GB2312"/>
          <w:b w:val="0"/>
          <w:bCs w:val="0"/>
          <w:color w:val="000000"/>
          <w:spacing w:val="-6"/>
          <w:sz w:val="32"/>
          <w:szCs w:val="32"/>
          <w:lang w:bidi="ar-SA"/>
        </w:rPr>
      </w:pPr>
      <w:r>
        <w:rPr>
          <w:rFonts w:hint="eastAsia" w:ascii="仿宋_GB2312" w:hAnsi="仿宋_GB2312" w:eastAsia="仿宋_GB2312" w:cs="仿宋_GB2312"/>
          <w:kern w:val="0"/>
          <w:sz w:val="32"/>
          <w:szCs w:val="32"/>
          <w:lang w:val="en-US" w:eastAsia="zh-CN" w:bidi="ar"/>
        </w:rPr>
        <w:t>按时按要</w:t>
      </w:r>
      <w:r>
        <w:rPr>
          <w:rFonts w:hint="eastAsia" w:ascii="仿宋_GB2312" w:hAnsi="仿宋_GB2312" w:eastAsia="仿宋_GB2312" w:cs="仿宋_GB2312"/>
          <w:b w:val="0"/>
          <w:bCs w:val="0"/>
          <w:color w:val="000000"/>
          <w:spacing w:val="-6"/>
          <w:sz w:val="32"/>
          <w:szCs w:val="32"/>
          <w:lang w:val="en-US" w:eastAsia="zh-CN" w:bidi="ar-SA"/>
        </w:rPr>
        <w:t>求落实医疗服务、药品价格政策。</w:t>
      </w:r>
      <w:r>
        <w:rPr>
          <w:rFonts w:hint="eastAsia" w:ascii="仿宋_GB2312" w:hAnsi="仿宋_GB2312" w:eastAsia="仿宋_GB2312" w:cs="仿宋_GB2312"/>
          <w:kern w:val="0"/>
          <w:sz w:val="32"/>
          <w:szCs w:val="32"/>
          <w:lang w:val="en-US" w:eastAsia="zh-CN" w:bidi="ar"/>
        </w:rPr>
        <w:t>6次下调新型冠状病毒核酸检测项目价格，新增、修订83个医疗服务项目，启动医疗服务价格动态调整评估工作</w:t>
      </w:r>
      <w:r>
        <w:rPr>
          <w:rFonts w:hint="eastAsia" w:ascii="仿宋_GB2312" w:hAnsi="仿宋_GB2312" w:eastAsia="仿宋_GB2312" w:cs="仿宋_GB2312"/>
          <w:b w:val="0"/>
          <w:bCs w:val="0"/>
          <w:color w:val="000000"/>
          <w:spacing w:val="-6"/>
          <w:sz w:val="32"/>
          <w:szCs w:val="32"/>
          <w:lang w:bidi="ar-SA"/>
        </w:rPr>
        <w:t>。</w:t>
      </w:r>
    </w:p>
    <w:p>
      <w:pPr>
        <w:keepNext w:val="0"/>
        <w:keepLines w:val="0"/>
        <w:pageBreakBefore w:val="0"/>
        <w:widowControl/>
        <w:kinsoku/>
        <w:wordWrap/>
        <w:overflowPunct/>
        <w:topLinePunct w:val="0"/>
        <w:autoSpaceDE/>
        <w:autoSpaceDN/>
        <w:bidi w:val="0"/>
        <w:adjustRightInd/>
        <w:snapToGrid/>
        <w:spacing w:before="0" w:beforeAutospacing="0" w:afterAutospacing="0" w:line="560" w:lineRule="exact"/>
        <w:ind w:left="0" w:leftChars="0" w:right="0" w:firstLine="616" w:firstLineChars="200"/>
        <w:jc w:val="both"/>
        <w:textAlignment w:val="top"/>
        <w:outlineLvl w:val="1"/>
        <w:rPr>
          <w:rFonts w:hint="eastAsia" w:ascii="仿宋_GB2312" w:hAnsi="仿宋_GB2312" w:eastAsia="仿宋_GB2312" w:cs="仿宋_GB2312"/>
          <w:spacing w:val="-6"/>
          <w:sz w:val="32"/>
          <w:szCs w:val="32"/>
          <w:lang w:bidi="ar-SA"/>
        </w:rPr>
      </w:pPr>
      <w:r>
        <w:rPr>
          <w:rFonts w:hint="eastAsia" w:ascii="仿宋_GB2312" w:hAnsi="仿宋_GB2312" w:eastAsia="仿宋_GB2312" w:cs="仿宋_GB2312"/>
          <w:b w:val="0"/>
          <w:bCs w:val="0"/>
          <w:color w:val="000000"/>
          <w:spacing w:val="-6"/>
          <w:sz w:val="32"/>
          <w:szCs w:val="32"/>
          <w:lang w:val="en-US" w:eastAsia="zh-CN" w:bidi="ar-SA"/>
        </w:rPr>
        <w:t>药品、医用耗材招标采购政策落实和执行情况。</w:t>
      </w:r>
      <w:r>
        <w:rPr>
          <w:rFonts w:hint="eastAsia" w:ascii="仿宋_GB2312" w:hAnsi="仿宋_GB2312" w:eastAsia="仿宋_GB2312" w:cs="仿宋_GB2312"/>
          <w:kern w:val="0"/>
          <w:sz w:val="32"/>
          <w:szCs w:val="32"/>
          <w:lang w:val="en-US" w:eastAsia="zh-CN" w:bidi="ar"/>
        </w:rPr>
        <w:t>稳步推进运用新的“三流合一”省级药械招采平台，落实国家、省级、省际联盟药品和医用耗材集中带量</w:t>
      </w:r>
      <w:r>
        <w:rPr>
          <w:rFonts w:hint="eastAsia" w:ascii="仿宋_GB2312" w:hAnsi="仿宋_GB2312" w:eastAsia="仿宋_GB2312" w:cs="仿宋_GB2312"/>
          <w:b w:val="0"/>
          <w:bCs w:val="0"/>
          <w:spacing w:val="-6"/>
          <w:sz w:val="32"/>
          <w:szCs w:val="32"/>
          <w:lang w:val="en-US" w:eastAsia="zh-CN" w:bidi="ar-SA"/>
        </w:rPr>
        <w:t>采购工作，积极推动我州非集采药械“三议三保”增量扩面工作，完成第二批非集采药品和第一批医用耗材议价工作，113个药品，平均降幅6.4%，最高降幅57.7%，8类医用耗材平均降幅46.91%，最高降幅88.27%。印发《落实国家组织药械集中带量采购医保资金结余留用工作实施方案》，切实发挥结余留用政策的激励导向作用，提升医疗机构和医务人员参与改革的积极性。集采药品种类扩大至248种，药品平均降幅52%。冠脉支架、人工关节等多批高值耗材集采平均降价超过80%，年累计节约费用达到千万元。</w:t>
      </w:r>
    </w:p>
    <w:p>
      <w:pPr>
        <w:pStyle w:val="10"/>
        <w:keepNext w:val="0"/>
        <w:keepLines w:val="0"/>
        <w:pageBreakBefore w:val="0"/>
        <w:widowControl w:val="0"/>
        <w:numPr>
          <w:ilvl w:val="-1"/>
          <w:numId w:val="0"/>
        </w:numPr>
        <w:tabs>
          <w:tab w:val="left" w:pos="0"/>
        </w:tabs>
        <w:kinsoku/>
        <w:wordWrap/>
        <w:overflowPunct/>
        <w:topLinePunct w:val="0"/>
        <w:autoSpaceDE w:val="0"/>
        <w:autoSpaceDN w:val="0"/>
        <w:bidi w:val="0"/>
        <w:adjustRightInd/>
        <w:snapToGrid/>
        <w:spacing w:line="560" w:lineRule="exact"/>
        <w:ind w:left="720" w:firstLine="0"/>
        <w:textAlignment w:val="auto"/>
        <w:rPr>
          <w:rFonts w:hint="eastAsia" w:ascii="仿宋_GB2312" w:hAnsi="仿宋_GB2312" w:eastAsia="仿宋_GB2312" w:cs="仿宋_GB2312"/>
          <w:b/>
          <w:bCs/>
          <w:spacing w:val="6"/>
          <w:kern w:val="2"/>
          <w:sz w:val="32"/>
          <w:szCs w:val="32"/>
          <w:lang w:val="en-US" w:eastAsia="zh-CN" w:bidi="ar-SA"/>
        </w:rPr>
      </w:pP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bCs/>
          <w:spacing w:val="6"/>
          <w:kern w:val="2"/>
          <w:sz w:val="32"/>
          <w:szCs w:val="32"/>
          <w:lang w:val="en-US" w:eastAsia="zh-CN" w:bidi="ar-SA"/>
        </w:rPr>
        <w:t>项目效果。</w:t>
      </w:r>
    </w:p>
    <w:p>
      <w:pPr>
        <w:pStyle w:val="27"/>
        <w:numPr>
          <w:ilvl w:val="0"/>
          <w:numId w:val="0"/>
        </w:numPr>
        <w:tabs>
          <w:tab w:val="left" w:pos="3028"/>
        </w:tabs>
        <w:autoSpaceDE w:val="0"/>
        <w:autoSpaceDN w:val="0"/>
        <w:snapToGrid/>
        <w:spacing w:line="560" w:lineRule="exact"/>
        <w:ind w:firstLine="664" w:firstLineChars="2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val="0"/>
          <w:bCs w:val="0"/>
          <w:spacing w:val="6"/>
          <w:sz w:val="32"/>
          <w:szCs w:val="32"/>
          <w:lang w:val="en-US" w:eastAsia="zh-CN" w:bidi="ar-SA"/>
        </w:rPr>
        <w:t>2022年中央财政医疗服务与保障能力提升补助资金预算合计376万元，经局第 1 次、第 13 次党组会议，充分考虑我州</w:t>
      </w:r>
      <w:r>
        <w:rPr>
          <w:rFonts w:hint="eastAsia" w:ascii="仿宋_GB2312" w:hAnsi="仿宋_GB2312" w:eastAsia="仿宋_GB2312" w:cs="仿宋_GB2312"/>
          <w:spacing w:val="6"/>
          <w:sz w:val="32"/>
          <w:szCs w:val="32"/>
          <w:lang w:val="en-US" w:eastAsia="zh-CN"/>
        </w:rPr>
        <w:t>各县（市）财政情况、信息化建设工作开展等实际情况</w:t>
      </w:r>
      <w:r>
        <w:rPr>
          <w:rFonts w:hint="eastAsia" w:ascii="仿宋_GB2312" w:hAnsi="仿宋_GB2312" w:eastAsia="仿宋_GB2312" w:cs="仿宋_GB2312"/>
          <w:b w:val="0"/>
          <w:bCs w:val="0"/>
          <w:spacing w:val="6"/>
          <w:sz w:val="32"/>
          <w:szCs w:val="32"/>
          <w:lang w:val="en-US" w:eastAsia="zh-CN" w:bidi="ar-SA"/>
        </w:rPr>
        <w:t>，分配至全州辖区13个县（市）级医疗保障</w:t>
      </w:r>
      <w:r>
        <w:rPr>
          <w:rFonts w:hint="eastAsia" w:ascii="仿宋_GB2312" w:hAnsi="仿宋_GB2312" w:eastAsia="仿宋_GB2312" w:cs="仿宋_GB2312"/>
          <w:b w:val="0"/>
          <w:bCs w:val="0"/>
          <w:spacing w:val="6"/>
          <w:sz w:val="32"/>
          <w:szCs w:val="32"/>
          <w:highlight w:val="none"/>
          <w:lang w:val="en-US" w:eastAsia="zh-CN" w:bidi="ar-SA"/>
        </w:rPr>
        <w:t>局、卧龙特别行政区人事与劳动保障局266万元</w:t>
      </w:r>
      <w:r>
        <w:rPr>
          <w:rFonts w:hint="eastAsia" w:ascii="仿宋_GB2312" w:hAnsi="仿宋_GB2312" w:eastAsia="仿宋_GB2312" w:cs="仿宋_GB2312"/>
          <w:b w:val="0"/>
          <w:bCs w:val="0"/>
          <w:spacing w:val="6"/>
          <w:sz w:val="32"/>
          <w:szCs w:val="32"/>
          <w:lang w:val="en-US" w:eastAsia="zh-CN" w:bidi="ar-SA"/>
        </w:rPr>
        <w:t>，留存州本级110万元。资金分配管理科学合理、规范有序。资金分配及时，资金分配方向与规划计划支持方向相符合。加强组织协调，确保项目顺利实施。严格遵循专款专用、严禁挤占挪用的原则。</w:t>
      </w:r>
      <w:r>
        <w:rPr>
          <w:rFonts w:hint="eastAsia" w:ascii="仿宋_GB2312" w:hAnsi="仿宋_GB2312" w:eastAsia="仿宋_GB2312" w:cs="仿宋_GB2312"/>
          <w:kern w:val="0"/>
          <w:sz w:val="32"/>
          <w:szCs w:val="32"/>
          <w:lang w:val="en-US" w:eastAsia="zh-CN" w:bidi="ar"/>
        </w:rPr>
        <w:t>参保人员对医保服务的满意度≥90%</w:t>
      </w:r>
    </w:p>
    <w:p>
      <w:pPr>
        <w:pStyle w:val="10"/>
        <w:keepNext w:val="0"/>
        <w:keepLines w:val="0"/>
        <w:pageBreakBefore w:val="0"/>
        <w:widowControl w:val="0"/>
        <w:kinsoku/>
        <w:wordWrap/>
        <w:overflowPunct/>
        <w:topLinePunct w:val="0"/>
        <w:bidi w:val="0"/>
        <w:adjustRightInd/>
        <w:snapToGrid/>
        <w:spacing w:line="560" w:lineRule="exact"/>
        <w:ind w:firstLine="667"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（五）基础管理。</w:t>
      </w:r>
      <w:r>
        <w:rPr>
          <w:rFonts w:hint="eastAsia" w:ascii="仿宋_GB2312" w:hAnsi="仿宋_GB2312" w:eastAsia="仿宋_GB2312" w:cs="仿宋_GB2312"/>
          <w:b w:val="0"/>
          <w:bCs w:val="0"/>
          <w:spacing w:val="6"/>
          <w:sz w:val="32"/>
          <w:szCs w:val="32"/>
          <w:lang w:val="en-US" w:eastAsia="zh-CN" w:bidi="ar-SA"/>
        </w:rPr>
        <w:t>项目申报真实、准确，严格资金使用审核把关，实施切实为阿坝州医保系统服务与保障能力提升提供了有力的资金保障。</w:t>
      </w:r>
    </w:p>
    <w:p>
      <w:pPr>
        <w:pStyle w:val="27"/>
        <w:keepNext w:val="0"/>
        <w:keepLines w:val="0"/>
        <w:pageBreakBefore w:val="0"/>
        <w:widowControl w:val="0"/>
        <w:tabs>
          <w:tab w:val="left" w:pos="3028"/>
        </w:tabs>
        <w:kinsoku/>
        <w:wordWrap/>
        <w:overflowPunct/>
        <w:topLinePunct w:val="0"/>
        <w:autoSpaceDE w:val="0"/>
        <w:autoSpaceDN w:val="0"/>
        <w:bidi w:val="0"/>
        <w:adjustRightInd/>
        <w:snapToGrid/>
        <w:spacing w:after="0" w:line="560" w:lineRule="exact"/>
        <w:ind w:left="0" w:firstLine="688"/>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（六）社会效益。</w:t>
      </w:r>
      <w:r>
        <w:rPr>
          <w:rFonts w:hint="eastAsia" w:ascii="仿宋_GB2312" w:hAnsi="仿宋_GB2312" w:eastAsia="仿宋_GB2312" w:cs="仿宋_GB2312"/>
          <w:b w:val="0"/>
          <w:bCs w:val="0"/>
          <w:spacing w:val="6"/>
          <w:sz w:val="32"/>
          <w:szCs w:val="32"/>
          <w:lang w:val="en-US" w:eastAsia="zh-CN" w:bidi="ar-SA"/>
        </w:rPr>
        <w:t>资金使用率88.33%，不存在因制度机制、操作流程、管理疏漏、数据缺失等导致资金结余，闲置浪费的情况。</w:t>
      </w:r>
    </w:p>
    <w:p>
      <w:pPr>
        <w:pStyle w:val="27"/>
        <w:numPr>
          <w:ilvl w:val="-1"/>
          <w:numId w:val="0"/>
        </w:numPr>
        <w:tabs>
          <w:tab w:val="left" w:pos="2708"/>
        </w:tabs>
        <w:autoSpaceDE/>
        <w:autoSpaceDN/>
        <w:snapToGrid/>
        <w:spacing w:line="560" w:lineRule="exact"/>
        <w:ind w:left="0" w:firstLine="643"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2"/>
          <w:sz w:val="32"/>
          <w:szCs w:val="32"/>
          <w:lang w:val="en-US" w:eastAsia="zh-CN" w:bidi="ar-SA"/>
        </w:rPr>
        <w:t>（七）可持续性。</w:t>
      </w:r>
      <w:r>
        <w:rPr>
          <w:rFonts w:hint="eastAsia" w:ascii="仿宋_GB2312" w:hAnsi="仿宋_GB2312" w:eastAsia="仿宋_GB2312" w:cs="仿宋_GB2312"/>
          <w:b w:val="0"/>
          <w:bCs w:val="0"/>
          <w:kern w:val="2"/>
          <w:sz w:val="32"/>
          <w:szCs w:val="32"/>
          <w:lang w:val="en-US" w:eastAsia="zh-CN" w:bidi="ar-SA"/>
        </w:rPr>
        <w:t>具有较强的可持续性。</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keepNext w:val="0"/>
        <w:keepLines w:val="0"/>
        <w:pageBreakBefore w:val="0"/>
        <w:widowControl w:val="0"/>
        <w:tabs>
          <w:tab w:val="left" w:pos="6268"/>
        </w:tabs>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r>
        <w:rPr>
          <w:rFonts w:hint="eastAsia" w:ascii="仿宋_GB2312" w:hAnsi="仿宋_GB2312" w:eastAsia="仿宋_GB2312" w:cs="仿宋_GB2312"/>
          <w:b/>
          <w:sz w:val="32"/>
          <w:szCs w:val="32"/>
          <w:lang w:val="zh-CN"/>
        </w:rPr>
        <w:tab/>
      </w:r>
    </w:p>
    <w:p>
      <w:pPr>
        <w:pStyle w:val="10"/>
        <w:keepNext w:val="0"/>
        <w:keepLines w:val="0"/>
        <w:pageBreakBefore w:val="0"/>
        <w:widowControl w:val="0"/>
        <w:kinsoku/>
        <w:wordWrap/>
        <w:overflowPunct/>
        <w:topLinePunct w:val="0"/>
        <w:bidi w:val="0"/>
        <w:adjustRightInd/>
        <w:snapToGrid/>
        <w:spacing w:line="560" w:lineRule="exact"/>
        <w:ind w:firstLine="664"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pacing w:val="6"/>
          <w:sz w:val="32"/>
          <w:szCs w:val="32"/>
          <w:lang w:val="en-US" w:eastAsia="zh-CN" w:bidi="ar-SA"/>
        </w:rPr>
        <w:t>绩效评价总体得分为90.9分，其中：项目决策方面</w:t>
      </w:r>
      <w:r>
        <w:rPr>
          <w:rFonts w:hint="eastAsia" w:ascii="仿宋_GB2312" w:hAnsi="仿宋_GB2312" w:eastAsia="仿宋_GB2312" w:cs="仿宋_GB2312"/>
          <w:b w:val="0"/>
          <w:bCs w:val="0"/>
          <w:spacing w:val="6"/>
          <w:sz w:val="32"/>
          <w:szCs w:val="32"/>
          <w:highlight w:val="none"/>
          <w:lang w:val="en-US" w:eastAsia="zh-CN" w:bidi="ar-SA"/>
        </w:rPr>
        <w:t>总分8分，评价得分7 分；项目实施方面总分9分，评价得分9 分；完成结果方面总分 23分，评价得分 16.65分；项目效果方面总分20分，评价得分20 分；基础管理、社会效益方面总分30分，评价得分28.25 分；可持续性方面总分10分，评价得分10分。</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kern w:val="2"/>
          <w:sz w:val="32"/>
          <w:szCs w:val="32"/>
          <w:lang w:val="en-US" w:eastAsia="zh-CN" w:bidi="ar-SA"/>
        </w:rPr>
        <w:t>严格按照 2022年中央财政医疗服务与保障能力提升补助资金的批复用途，2022年认真进行项目实施，该项目的实施切实为阿坝州医保系统服务与保障能力提升提供了有力的资金保障。</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0" w:leftChars="0" w:right="0" w:rightChars="0" w:firstLine="616" w:firstLineChars="200"/>
        <w:jc w:val="left"/>
        <w:textAlignment w:val="auto"/>
        <w:rPr>
          <w:rFonts w:hint="eastAsia" w:ascii="仿宋_GB2312" w:hAnsi="仿宋_GB2312" w:eastAsia="仿宋_GB2312" w:cs="仿宋_GB2312"/>
          <w:b/>
          <w:bCs/>
          <w:color w:val="000000"/>
          <w:spacing w:val="-6"/>
          <w:kern w:val="0"/>
          <w:sz w:val="32"/>
          <w:szCs w:val="32"/>
          <w:lang w:val="en-US" w:eastAsia="zh-CN" w:bidi="ar-SA"/>
        </w:rPr>
      </w:pPr>
      <w:r>
        <w:rPr>
          <w:rFonts w:hint="eastAsia" w:ascii="仿宋_GB2312" w:hAnsi="仿宋_GB2312" w:eastAsia="仿宋_GB2312" w:cs="仿宋_GB2312"/>
          <w:b w:val="0"/>
          <w:bCs w:val="0"/>
          <w:color w:val="000000"/>
          <w:spacing w:val="-6"/>
          <w:kern w:val="0"/>
          <w:sz w:val="32"/>
          <w:szCs w:val="32"/>
          <w:lang w:val="en-US" w:eastAsia="zh-CN" w:bidi="ar-SA"/>
        </w:rPr>
        <w:t>个别县（市）中央医疗服务与保障能力提升资金执行进度有待加强。</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eastAsia" w:ascii="仿宋_GB2312" w:hAnsi="仿宋_GB2312" w:eastAsia="仿宋_GB2312" w:cs="仿宋_GB2312"/>
          <w:b w:val="0"/>
          <w:bCs w:val="0"/>
          <w:color w:val="000000"/>
          <w:spacing w:val="-6"/>
          <w:kern w:val="0"/>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严格按照资金的批复用途，认真进行项目实施，确保资金执行率，并加强</w:t>
      </w:r>
      <w:r>
        <w:rPr>
          <w:rFonts w:hint="eastAsia" w:ascii="仿宋_GB2312" w:hAnsi="仿宋_GB2312" w:eastAsia="仿宋_GB2312" w:cs="仿宋_GB2312"/>
          <w:b w:val="0"/>
          <w:bCs w:val="0"/>
          <w:color w:val="000000"/>
          <w:spacing w:val="-6"/>
          <w:kern w:val="0"/>
          <w:sz w:val="32"/>
          <w:szCs w:val="32"/>
          <w:lang w:val="en-US" w:eastAsia="zh-CN" w:bidi="ar-SA"/>
        </w:rPr>
        <w:t>各县（市）医疗保障与服务能力提升专项补助资金绩效考核。</w:t>
      </w:r>
    </w:p>
    <w:p>
      <w:pPr>
        <w:pStyle w:val="30"/>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仿宋_GB2312" w:eastAsia="仿宋_GB2312" w:cs="仿宋_GB2312"/>
          <w:b/>
          <w:bCs/>
          <w:color w:val="auto"/>
          <w:kern w:val="2"/>
          <w:sz w:val="40"/>
          <w:szCs w:val="40"/>
        </w:rPr>
      </w:pPr>
      <w:r>
        <w:rPr>
          <w:rStyle w:val="20"/>
          <w:rFonts w:hint="eastAsia" w:ascii="仿宋_GB2312" w:hAnsi="仿宋_GB2312" w:eastAsia="仿宋_GB2312" w:cs="仿宋_GB2312"/>
          <w:b w:val="0"/>
          <w:sz w:val="32"/>
          <w:szCs w:val="32"/>
        </w:rPr>
        <w:br w:type="page"/>
      </w:r>
      <w:r>
        <w:rPr>
          <w:rFonts w:hint="eastAsia" w:ascii="仿宋_GB2312" w:hAnsi="仿宋_GB2312" w:eastAsia="仿宋_GB2312" w:cs="仿宋_GB2312"/>
          <w:b/>
          <w:bCs/>
          <w:color w:val="auto"/>
          <w:kern w:val="2"/>
          <w:sz w:val="40"/>
          <w:szCs w:val="40"/>
          <w:lang w:val="en-US" w:eastAsia="zh-CN"/>
        </w:rPr>
        <w:t>2023年</w:t>
      </w:r>
      <w:r>
        <w:rPr>
          <w:rFonts w:hint="eastAsia" w:ascii="仿宋_GB2312" w:hAnsi="仿宋_GB2312" w:eastAsia="仿宋_GB2312" w:cs="仿宋_GB2312"/>
          <w:b/>
          <w:bCs/>
          <w:color w:val="auto"/>
          <w:kern w:val="2"/>
          <w:sz w:val="40"/>
          <w:szCs w:val="40"/>
          <w:lang w:eastAsia="zh-CN"/>
        </w:rPr>
        <w:t>专项预算项目支出</w:t>
      </w:r>
      <w:r>
        <w:rPr>
          <w:rFonts w:hint="eastAsia" w:ascii="仿宋_GB2312" w:hAnsi="仿宋_GB2312" w:eastAsia="仿宋_GB2312" w:cs="仿宋_GB2312"/>
          <w:b/>
          <w:bCs/>
          <w:color w:val="auto"/>
          <w:kern w:val="2"/>
          <w:sz w:val="40"/>
          <w:szCs w:val="40"/>
        </w:rPr>
        <w:t>绩效自评报告</w:t>
      </w:r>
    </w:p>
    <w:p>
      <w:pPr>
        <w:keepNext w:val="0"/>
        <w:keepLines w:val="0"/>
        <w:pageBreakBefore w:val="0"/>
        <w:widowControl w:val="0"/>
        <w:tabs>
          <w:tab w:val="left" w:pos="3885"/>
        </w:tabs>
        <w:kinsoku/>
        <w:wordWrap/>
        <w:overflowPunct/>
        <w:topLinePunct w:val="0"/>
        <w:bidi w:val="0"/>
        <w:snapToGrid w:val="0"/>
        <w:spacing w:line="560" w:lineRule="exact"/>
        <w:ind w:left="0" w:right="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lang w:val="en-US" w:eastAsia="zh-CN"/>
        </w:rPr>
        <w:t>社保公共服务能力提升资金</w:t>
      </w:r>
      <w:r>
        <w:rPr>
          <w:rFonts w:hint="eastAsia" w:ascii="仿宋_GB2312" w:hAnsi="仿宋_GB2312" w:eastAsia="仿宋_GB2312" w:cs="仿宋_GB2312"/>
          <w:b/>
          <w:bCs/>
          <w:sz w:val="32"/>
          <w:szCs w:val="32"/>
          <w:lang w:eastAsia="zh-CN"/>
        </w:rPr>
        <w:t>）</w:t>
      </w:r>
    </w:p>
    <w:p>
      <w:pPr>
        <w:pStyle w:val="30"/>
        <w:keepNext w:val="0"/>
        <w:keepLines w:val="0"/>
        <w:pageBreakBefore w:val="0"/>
        <w:widowControl w:val="0"/>
        <w:kinsoku/>
        <w:wordWrap/>
        <w:overflowPunct/>
        <w:topLinePunct w:val="0"/>
        <w:autoSpaceDE/>
        <w:autoSpaceDN/>
        <w:bidi w:val="0"/>
        <w:spacing w:line="560" w:lineRule="exact"/>
        <w:ind w:left="0" w:right="0" w:firstLine="640"/>
        <w:jc w:val="center"/>
        <w:textAlignment w:val="auto"/>
        <w:rPr>
          <w:rFonts w:hint="eastAsia" w:ascii="仿宋_GB2312" w:hAnsi="仿宋_GB2312" w:eastAsia="仿宋_GB2312" w:cs="仿宋_GB2312"/>
          <w:color w:val="auto"/>
          <w:kern w:val="2"/>
          <w:sz w:val="24"/>
          <w:szCs w:val="24"/>
        </w:rPr>
      </w:pP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1．说明项目主管部门（单位）在该项目管理中的职能。</w:t>
      </w:r>
    </w:p>
    <w:p>
      <w:pPr>
        <w:keepNext w:val="0"/>
        <w:keepLines w:val="0"/>
        <w:pageBreakBefore w:val="0"/>
        <w:widowControl w:val="0"/>
        <w:kinsoku/>
        <w:wordWrap/>
        <w:overflowPunct/>
        <w:topLinePunct w:val="0"/>
        <w:autoSpaceDE/>
        <w:autoSpaceDN/>
        <w:bidi w:val="0"/>
        <w:spacing w:line="560" w:lineRule="exact"/>
        <w:ind w:left="0" w:right="0" w:rightChars="0" w:firstLine="643"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kern w:val="0"/>
          <w:sz w:val="32"/>
          <w:szCs w:val="32"/>
          <w:lang w:eastAsia="zh-CN"/>
        </w:rPr>
        <w:t>一是</w:t>
      </w:r>
      <w:r>
        <w:rPr>
          <w:rFonts w:hint="eastAsia" w:ascii="仿宋_GB2312" w:hAnsi="仿宋_GB2312" w:eastAsia="仿宋_GB2312" w:cs="仿宋_GB2312"/>
          <w:kern w:val="0"/>
          <w:sz w:val="32"/>
          <w:szCs w:val="32"/>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0"/>
          <w:sz w:val="32"/>
          <w:szCs w:val="32"/>
          <w:lang w:eastAsia="zh-CN"/>
        </w:rPr>
        <w:t>二是</w:t>
      </w:r>
      <w:r>
        <w:rPr>
          <w:rFonts w:hint="eastAsia" w:ascii="仿宋_GB2312" w:hAnsi="仿宋_GB2312" w:eastAsia="仿宋_GB2312" w:cs="仿宋_GB2312"/>
          <w:kern w:val="0"/>
          <w:sz w:val="32"/>
          <w:szCs w:val="32"/>
        </w:rPr>
        <w:t>组织拟定并实施医疗保障基金监督管理制度，建立健全医疗保障基金安全防控机制，监督强化全州医疗保障基金运行管理。</w:t>
      </w:r>
      <w:r>
        <w:rPr>
          <w:rFonts w:hint="eastAsia" w:ascii="仿宋_GB2312" w:hAnsi="仿宋_GB2312" w:eastAsia="仿宋_GB2312" w:cs="仿宋_GB2312"/>
          <w:b/>
          <w:bCs/>
          <w:kern w:val="0"/>
          <w:sz w:val="32"/>
          <w:szCs w:val="32"/>
          <w:lang w:eastAsia="zh-CN"/>
        </w:rPr>
        <w:t>三是</w:t>
      </w:r>
      <w:r>
        <w:rPr>
          <w:rFonts w:hint="eastAsia" w:ascii="仿宋_GB2312" w:hAnsi="仿宋_GB2312" w:eastAsia="仿宋_GB2312" w:cs="仿宋_GB2312"/>
          <w:kern w:val="0"/>
          <w:sz w:val="32"/>
          <w:szCs w:val="32"/>
        </w:rPr>
        <w:t>组织拟订医疗保障筹资和待遇政策，完善动态调整和区域调剂平衡机制，统筹城乡医疗保障待遇标准，建立健全与筹资水平相适应的待遇调整机制。组织实施长期护理保险制度改革。</w:t>
      </w:r>
      <w:r>
        <w:rPr>
          <w:rFonts w:hint="eastAsia" w:ascii="仿宋_GB2312" w:hAnsi="仿宋_GB2312" w:eastAsia="仿宋_GB2312" w:cs="仿宋_GB2312"/>
          <w:b/>
          <w:bCs/>
          <w:kern w:val="0"/>
          <w:sz w:val="32"/>
          <w:szCs w:val="32"/>
          <w:lang w:eastAsia="zh-CN"/>
        </w:rPr>
        <w:t>四是</w:t>
      </w:r>
      <w:r>
        <w:rPr>
          <w:rFonts w:hint="eastAsia" w:ascii="仿宋_GB2312" w:hAnsi="仿宋_GB2312" w:eastAsia="仿宋_GB2312" w:cs="仿宋_GB2312"/>
          <w:kern w:val="0"/>
          <w:sz w:val="32"/>
          <w:szCs w:val="32"/>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kern w:val="0"/>
          <w:sz w:val="32"/>
          <w:szCs w:val="32"/>
          <w:lang w:eastAsia="zh-CN"/>
        </w:rPr>
        <w:t>五是</w:t>
      </w:r>
      <w:r>
        <w:rPr>
          <w:rFonts w:hint="eastAsia" w:ascii="仿宋_GB2312" w:hAnsi="仿宋_GB2312" w:eastAsia="仿宋_GB2312" w:cs="仿宋_GB2312"/>
          <w:kern w:val="0"/>
          <w:sz w:val="32"/>
          <w:szCs w:val="32"/>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kern w:val="0"/>
          <w:sz w:val="32"/>
          <w:szCs w:val="32"/>
          <w:lang w:eastAsia="zh-CN"/>
        </w:rPr>
        <w:t>六是</w:t>
      </w:r>
      <w:r>
        <w:rPr>
          <w:rFonts w:hint="eastAsia" w:ascii="仿宋_GB2312" w:hAnsi="仿宋_GB2312" w:eastAsia="仿宋_GB2312" w:cs="仿宋_GB2312"/>
          <w:kern w:val="0"/>
          <w:sz w:val="32"/>
          <w:szCs w:val="32"/>
        </w:rPr>
        <w:t>贯彻落实药品、医用耗材的招标采购政策并监督实施。</w:t>
      </w:r>
      <w:r>
        <w:rPr>
          <w:rFonts w:hint="eastAsia" w:ascii="仿宋_GB2312" w:hAnsi="仿宋_GB2312" w:eastAsia="仿宋_GB2312" w:cs="仿宋_GB2312"/>
          <w:b/>
          <w:bCs/>
          <w:kern w:val="0"/>
          <w:sz w:val="32"/>
          <w:szCs w:val="32"/>
          <w:lang w:eastAsia="zh-CN"/>
        </w:rPr>
        <w:t>七是</w:t>
      </w:r>
      <w:r>
        <w:rPr>
          <w:rFonts w:hint="eastAsia" w:ascii="仿宋_GB2312" w:hAnsi="仿宋_GB2312" w:eastAsia="仿宋_GB2312" w:cs="仿宋_GB2312"/>
          <w:kern w:val="0"/>
          <w:sz w:val="32"/>
          <w:szCs w:val="32"/>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kern w:val="0"/>
          <w:sz w:val="32"/>
          <w:szCs w:val="32"/>
          <w:lang w:eastAsia="zh-CN"/>
        </w:rPr>
        <w:t>八是</w:t>
      </w:r>
      <w:r>
        <w:rPr>
          <w:rFonts w:hint="eastAsia" w:ascii="仿宋_GB2312" w:hAnsi="仿宋_GB2312" w:eastAsia="仿宋_GB2312" w:cs="仿宋_GB2312"/>
          <w:kern w:val="0"/>
          <w:sz w:val="32"/>
          <w:szCs w:val="32"/>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kern w:val="0"/>
          <w:sz w:val="32"/>
          <w:szCs w:val="32"/>
          <w:lang w:eastAsia="zh-CN"/>
        </w:rPr>
        <w:t>九是</w:t>
      </w:r>
      <w:r>
        <w:rPr>
          <w:rFonts w:hint="eastAsia" w:ascii="仿宋_GB2312" w:hAnsi="仿宋_GB2312" w:eastAsia="仿宋_GB2312" w:cs="仿宋_GB2312"/>
          <w:kern w:val="0"/>
          <w:sz w:val="32"/>
          <w:szCs w:val="32"/>
        </w:rPr>
        <w:t>负责规划实施全州医疗保障信息化建设。组织开展医疗保障大数据管理和应用。</w:t>
      </w:r>
      <w:r>
        <w:rPr>
          <w:rFonts w:hint="eastAsia" w:ascii="仿宋_GB2312" w:hAnsi="仿宋_GB2312" w:eastAsia="仿宋_GB2312" w:cs="仿宋_GB2312"/>
          <w:b/>
          <w:bCs/>
          <w:kern w:val="0"/>
          <w:sz w:val="32"/>
          <w:szCs w:val="32"/>
          <w:lang w:eastAsia="zh-CN"/>
        </w:rPr>
        <w:t>十是</w:t>
      </w:r>
      <w:r>
        <w:rPr>
          <w:rFonts w:hint="eastAsia" w:ascii="仿宋_GB2312" w:hAnsi="仿宋_GB2312" w:eastAsia="仿宋_GB2312" w:cs="仿宋_GB2312"/>
          <w:kern w:val="0"/>
          <w:sz w:val="32"/>
          <w:szCs w:val="32"/>
        </w:rPr>
        <w:t>负责职责范围内的安全生产和职业健康、生态环境保护、公共机构节能减排、审批服务便民化等工作</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十一是</w:t>
      </w:r>
      <w:r>
        <w:rPr>
          <w:rFonts w:hint="eastAsia" w:ascii="仿宋_GB2312" w:hAnsi="仿宋_GB2312" w:eastAsia="仿宋_GB2312" w:cs="仿宋_GB2312"/>
          <w:kern w:val="0"/>
          <w:sz w:val="32"/>
          <w:szCs w:val="32"/>
        </w:rPr>
        <w:t>完成州委、州政府交办的其他任务。</w:t>
      </w:r>
      <w:r>
        <w:rPr>
          <w:rFonts w:hint="eastAsia" w:ascii="仿宋_GB2312" w:hAnsi="仿宋_GB2312" w:eastAsia="仿宋_GB2312" w:cs="仿宋_GB2312"/>
          <w:b/>
          <w:bCs/>
          <w:kern w:val="0"/>
          <w:sz w:val="32"/>
          <w:szCs w:val="32"/>
          <w:lang w:eastAsia="zh-CN"/>
        </w:rPr>
        <w:t>十二是</w:t>
      </w:r>
      <w:r>
        <w:rPr>
          <w:rFonts w:hint="eastAsia" w:ascii="仿宋_GB2312" w:hAnsi="仿宋_GB2312" w:eastAsia="仿宋_GB2312" w:cs="仿宋_GB2312"/>
          <w:kern w:val="0"/>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kern w:val="0"/>
          <w:sz w:val="32"/>
          <w:szCs w:val="32"/>
          <w:lang w:eastAsia="zh-CN"/>
        </w:rPr>
        <w:t>十三是</w:t>
      </w:r>
      <w:r>
        <w:rPr>
          <w:rFonts w:hint="eastAsia" w:ascii="仿宋_GB2312" w:hAnsi="仿宋_GB2312" w:eastAsia="仿宋_GB2312" w:cs="仿宋_GB2312"/>
          <w:kern w:val="0"/>
          <w:sz w:val="32"/>
          <w:szCs w:val="32"/>
        </w:rPr>
        <w:t>与州卫生健康委员会的有关职责分工。两部门在医疗、医保、医药等方面加强制度、政策衔接，建立沟通协商机制，协同推进改革，提高医疗资源使用效率和医疗保障水平</w:t>
      </w:r>
      <w:r>
        <w:rPr>
          <w:rFonts w:hint="eastAsia" w:ascii="仿宋_GB2312" w:hAnsi="仿宋_GB2312" w:eastAsia="仿宋_GB2312" w:cs="仿宋_GB2312"/>
          <w:kern w:val="0"/>
          <w:sz w:val="32"/>
          <w:szCs w:val="32"/>
          <w:lang w:eastAsia="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项目立项、资金申报的依据。</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kern w:val="0"/>
          <w:sz w:val="32"/>
          <w:szCs w:val="32"/>
        </w:rPr>
        <w:t>四川省财政厅</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四川省人力资源和社会保障厅</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四川省医疗保障局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关于下达 2022年省级财政社保公共服务能力建设资金的通知</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川财社〔2022〕10号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和</w:t>
      </w:r>
      <w:r>
        <w:rPr>
          <w:rFonts w:hint="eastAsia" w:ascii="仿宋_GB2312" w:hAnsi="仿宋_GB2312" w:eastAsia="仿宋_GB2312" w:cs="仿宋_GB2312"/>
          <w:kern w:val="0"/>
          <w:sz w:val="32"/>
          <w:szCs w:val="32"/>
        </w:rPr>
        <w:t>阿坝州财政局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阿坝州医疗保障局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关于下达2022年省级财政社保公共服务能力建设资金的通知</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阿州财社〔2022〕54号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spacing w:val="6"/>
          <w:sz w:val="32"/>
          <w:szCs w:val="32"/>
          <w:lang w:val="en-US" w:eastAsia="zh-CN" w:bidi="ar-SA"/>
        </w:rPr>
        <w:t>等相关文件为决策依据，严格按照2022年</w:t>
      </w:r>
      <w:r>
        <w:rPr>
          <w:rFonts w:hint="eastAsia" w:ascii="仿宋_GB2312" w:hAnsi="仿宋_GB2312" w:eastAsia="仿宋_GB2312" w:cs="仿宋_GB2312"/>
          <w:kern w:val="0"/>
          <w:sz w:val="32"/>
          <w:szCs w:val="32"/>
        </w:rPr>
        <w:t>社保公共服务能力建设</w:t>
      </w:r>
      <w:r>
        <w:rPr>
          <w:rFonts w:hint="eastAsia" w:ascii="仿宋_GB2312" w:hAnsi="仿宋_GB2312" w:eastAsia="仿宋_GB2312" w:cs="仿宋_GB2312"/>
          <w:b w:val="0"/>
          <w:bCs w:val="0"/>
          <w:spacing w:val="6"/>
          <w:sz w:val="32"/>
          <w:szCs w:val="32"/>
          <w:lang w:val="en-US" w:eastAsia="zh-CN" w:bidi="ar-SA"/>
        </w:rPr>
        <w:t>资金的批复用途，认真进行项目实施。</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2022年阿坝州</w:t>
      </w:r>
      <w:r>
        <w:rPr>
          <w:rFonts w:hint="eastAsia" w:ascii="仿宋_GB2312" w:hAnsi="仿宋_GB2312" w:eastAsia="仿宋_GB2312" w:cs="仿宋_GB2312"/>
          <w:kern w:val="0"/>
          <w:sz w:val="32"/>
          <w:szCs w:val="32"/>
        </w:rPr>
        <w:t>社保公共服务能力建设资金</w:t>
      </w:r>
      <w:r>
        <w:rPr>
          <w:rFonts w:hint="eastAsia" w:ascii="仿宋_GB2312" w:hAnsi="仿宋_GB2312" w:eastAsia="仿宋_GB2312" w:cs="仿宋_GB2312"/>
          <w:kern w:val="0"/>
          <w:sz w:val="32"/>
          <w:szCs w:val="32"/>
          <w:lang w:val="en-US" w:eastAsia="zh-CN"/>
        </w:rPr>
        <w:t>合计269万元，其中州医保局社保基金预决算管理资金10万元。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zh-CN"/>
        </w:rPr>
        <w:t>项目应实现的具体绩效目标，包括目标的量化、细化情况以及项目实施进度计划等。</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强化医疗保险基金预决算管理工作，完善社保基金预决算管理办法，做好基金预决算及预算执行情况动态分析，切实构建社会保险基金预决算监督管理的长效机制。</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按时按质报送2022年决算、2022年预算调整、执行，2023年预算，认真进行基金运行情况分析。</w:t>
      </w:r>
    </w:p>
    <w:p>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lang w:val="zh-CN"/>
        </w:rPr>
        <w:t>分析评价申报内容是否与实际相符，申报目标是否合理可行。</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kern w:val="2"/>
          <w:sz w:val="32"/>
          <w:szCs w:val="32"/>
          <w:lang w:val="en-US" w:eastAsia="zh-CN" w:bidi="ar-SA"/>
        </w:rPr>
        <w:t>资金使用严格按照预算绩效目标管理使用，重点用于</w:t>
      </w:r>
      <w:r>
        <w:rPr>
          <w:rFonts w:hint="eastAsia" w:ascii="仿宋_GB2312" w:hAnsi="仿宋_GB2312" w:eastAsia="仿宋_GB2312" w:cs="仿宋_GB2312"/>
          <w:kern w:val="0"/>
          <w:sz w:val="32"/>
          <w:szCs w:val="32"/>
        </w:rPr>
        <w:t>社会保险基金管理有关的设施设备购置、预决算会审、管理、人员培训等支出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kern w:val="2"/>
          <w:sz w:val="32"/>
          <w:szCs w:val="32"/>
          <w:lang w:val="en-US" w:eastAsia="zh-CN" w:bidi="ar-SA"/>
        </w:rPr>
        <w:t>提高了资金使用效益。</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pStyle w:val="10"/>
        <w:keepNext w:val="0"/>
        <w:keepLines w:val="0"/>
        <w:pageBreakBefore w:val="0"/>
        <w:widowControl w:val="0"/>
        <w:kinsoku/>
        <w:wordWrap/>
        <w:overflowPunct/>
        <w:topLinePunct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 xml:space="preserve">评价人员于2023年5月30日了解项目基本情况并收集项目文件资料、设计调查问卷，2023年6月6日结束评价工作。         </w:t>
      </w:r>
    </w:p>
    <w:p>
      <w:pPr>
        <w:pStyle w:val="10"/>
        <w:keepNext w:val="0"/>
        <w:keepLines w:val="0"/>
        <w:pageBreakBefore w:val="0"/>
        <w:widowControl w:val="0"/>
        <w:kinsoku/>
        <w:wordWrap/>
        <w:overflowPunct/>
        <w:topLinePunct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主要评价过程如下：</w:t>
      </w:r>
    </w:p>
    <w:p>
      <w:pPr>
        <w:pStyle w:val="10"/>
        <w:keepNext w:val="0"/>
        <w:keepLines w:val="0"/>
        <w:pageBreakBefore w:val="0"/>
        <w:widowControl w:val="0"/>
        <w:kinsoku/>
        <w:wordWrap/>
        <w:overflowPunct/>
        <w:topLinePunct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1.了解专项资金的基本情况，听取项目实施情况介绍；</w:t>
      </w:r>
    </w:p>
    <w:p>
      <w:pPr>
        <w:pStyle w:val="10"/>
        <w:keepNext w:val="0"/>
        <w:keepLines w:val="0"/>
        <w:pageBreakBefore w:val="0"/>
        <w:widowControl w:val="0"/>
        <w:kinsoku/>
        <w:wordWrap/>
        <w:overflowPunct/>
        <w:topLinePunct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2.现场调查取证，查看项目实施情况，核查项目资金收支账目等相关资料，为整个评价指标体系评分收集基础数据；</w:t>
      </w:r>
    </w:p>
    <w:p>
      <w:pPr>
        <w:pStyle w:val="10"/>
        <w:keepNext w:val="0"/>
        <w:keepLines w:val="0"/>
        <w:pageBreakBefore w:val="0"/>
        <w:widowControl w:val="0"/>
        <w:kinsoku/>
        <w:wordWrap/>
        <w:overflowPunct/>
        <w:topLinePunct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3.对资金使用效益评分，分析、检验项目资金的使用是否实现绩效目标；</w:t>
      </w:r>
    </w:p>
    <w:p>
      <w:pPr>
        <w:pStyle w:val="2"/>
        <w:keepNext w:val="0"/>
        <w:keepLines w:val="0"/>
        <w:pageBreakBefore w:val="0"/>
        <w:widowControl w:val="0"/>
        <w:kinsoku/>
        <w:wordWrap/>
        <w:overflowPunct/>
        <w:topLinePunct w:val="0"/>
        <w:bidi w:val="0"/>
        <w:spacing w:line="560" w:lineRule="exact"/>
        <w:ind w:left="0" w:right="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pacing w:val="6"/>
          <w:sz w:val="32"/>
          <w:szCs w:val="32"/>
          <w:lang w:val="en-US" w:eastAsia="zh-CN" w:bidi="ar-SA"/>
        </w:rPr>
        <w:t>4.经过定量和定性分析形成评价结论，经过复核后，形成项目绩效评价报告。</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2022年阿坝州</w:t>
      </w:r>
      <w:r>
        <w:rPr>
          <w:rFonts w:hint="eastAsia" w:ascii="仿宋_GB2312" w:hAnsi="仿宋_GB2312" w:eastAsia="仿宋_GB2312" w:cs="仿宋_GB2312"/>
          <w:kern w:val="0"/>
          <w:sz w:val="32"/>
          <w:szCs w:val="32"/>
        </w:rPr>
        <w:t>社保公共服务能力建设资金</w:t>
      </w:r>
      <w:r>
        <w:rPr>
          <w:rFonts w:hint="eastAsia" w:ascii="仿宋_GB2312" w:hAnsi="仿宋_GB2312" w:eastAsia="仿宋_GB2312" w:cs="仿宋_GB2312"/>
          <w:kern w:val="0"/>
          <w:sz w:val="32"/>
          <w:szCs w:val="32"/>
          <w:lang w:val="en-US" w:eastAsia="zh-CN"/>
        </w:rPr>
        <w:t>合计269万元，其中州医保局社保基金预决算管理资金10万元。</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rPr>
        <w:t>1．资金计划。</w:t>
      </w:r>
      <w:r>
        <w:rPr>
          <w:rFonts w:hint="eastAsia" w:ascii="仿宋_GB2312" w:hAnsi="仿宋_GB2312" w:eastAsia="仿宋_GB2312" w:cs="仿宋_GB2312"/>
          <w:b w:val="0"/>
          <w:bCs w:val="0"/>
          <w:kern w:val="2"/>
          <w:sz w:val="32"/>
          <w:szCs w:val="32"/>
          <w:lang w:val="en-US" w:eastAsia="zh-CN" w:bidi="ar-SA"/>
        </w:rPr>
        <w:t>重点用于</w:t>
      </w:r>
      <w:r>
        <w:rPr>
          <w:rFonts w:hint="eastAsia" w:ascii="仿宋_GB2312" w:hAnsi="仿宋_GB2312" w:eastAsia="仿宋_GB2312" w:cs="仿宋_GB2312"/>
          <w:kern w:val="0"/>
          <w:sz w:val="32"/>
          <w:szCs w:val="32"/>
        </w:rPr>
        <w:t>社会保险基金管理有关的设施设备购置、预决算会审、管理、人员培训等支出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lang w:val="en-US" w:eastAsia="zh-CN"/>
        </w:rPr>
        <w:t>以实际发生额计入社保公共服务能力提升资金。</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2．资金到位、</w:t>
      </w:r>
      <w:r>
        <w:rPr>
          <w:rFonts w:hint="eastAsia" w:ascii="仿宋_GB2312" w:hAnsi="仿宋_GB2312" w:eastAsia="仿宋_GB2312" w:cs="仿宋_GB2312"/>
          <w:b/>
          <w:bCs/>
          <w:sz w:val="32"/>
          <w:szCs w:val="32"/>
          <w:lang w:val="en-US" w:eastAsia="zh-CN"/>
        </w:rPr>
        <w:t>资金使用情况</w:t>
      </w:r>
      <w:r>
        <w:rPr>
          <w:rFonts w:hint="eastAsia" w:ascii="仿宋_GB2312" w:hAnsi="仿宋_GB2312" w:eastAsia="仿宋_GB2312" w:cs="仿宋_GB2312"/>
          <w:b/>
          <w:bCs/>
          <w:sz w:val="32"/>
          <w:szCs w:val="32"/>
          <w:lang w:val="zh-CN"/>
        </w:rPr>
        <w:t>。</w:t>
      </w:r>
    </w:p>
    <w:tbl>
      <w:tblPr>
        <w:tblStyle w:val="16"/>
        <w:tblpPr w:leftFromText="180" w:rightFromText="180" w:vertAnchor="text" w:horzAnchor="page" w:tblpX="1515" w:tblpY="604"/>
        <w:tblOverlap w:val="never"/>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410"/>
        <w:gridCol w:w="1920"/>
        <w:gridCol w:w="1515"/>
        <w:gridCol w:w="1140"/>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22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项目</w:t>
            </w:r>
          </w:p>
        </w:tc>
        <w:tc>
          <w:tcPr>
            <w:tcW w:w="141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资金计划</w:t>
            </w:r>
          </w:p>
        </w:tc>
        <w:tc>
          <w:tcPr>
            <w:tcW w:w="192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到位时间</w:t>
            </w:r>
          </w:p>
        </w:tc>
        <w:tc>
          <w:tcPr>
            <w:tcW w:w="151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使用情况</w:t>
            </w:r>
          </w:p>
        </w:tc>
        <w:tc>
          <w:tcPr>
            <w:tcW w:w="114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使用率</w:t>
            </w:r>
          </w:p>
        </w:tc>
        <w:tc>
          <w:tcPr>
            <w:tcW w:w="133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结转情况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22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right="0" w:rightChars="0"/>
              <w:jc w:val="center"/>
              <w:textAlignment w:val="auto"/>
              <w:rPr>
                <w:rFonts w:hint="eastAsia" w:ascii="仿宋_GB2312" w:hAnsi="仿宋_GB2312" w:eastAsia="仿宋_GB2312" w:cs="仿宋_GB2312"/>
                <w:b w:val="0"/>
                <w:bCs w:val="0"/>
                <w:sz w:val="24"/>
                <w:szCs w:val="24"/>
                <w:lang w:val="zh-CN" w:eastAsia="zh-CN"/>
              </w:rPr>
            </w:pPr>
            <w:r>
              <w:rPr>
                <w:rFonts w:hint="eastAsia" w:ascii="仿宋_GB2312" w:hAnsi="仿宋_GB2312" w:eastAsia="仿宋_GB2312" w:cs="仿宋_GB2312"/>
                <w:b w:val="0"/>
                <w:bCs w:val="0"/>
                <w:sz w:val="24"/>
                <w:szCs w:val="24"/>
                <w:lang w:val="en-US" w:eastAsia="zh-CN"/>
              </w:rPr>
              <w:t>2022年社保公共服务能力建设资金</w:t>
            </w:r>
          </w:p>
        </w:tc>
        <w:tc>
          <w:tcPr>
            <w:tcW w:w="141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10万元</w:t>
            </w:r>
          </w:p>
        </w:tc>
        <w:tc>
          <w:tcPr>
            <w:tcW w:w="192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right="0" w:rightChars="0"/>
              <w:jc w:val="left"/>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2022年5月到位</w:t>
            </w:r>
          </w:p>
        </w:tc>
        <w:tc>
          <w:tcPr>
            <w:tcW w:w="1515" w:type="dxa"/>
          </w:tcPr>
          <w:p>
            <w:pPr>
              <w:pStyle w:val="2"/>
              <w:keepNext w:val="0"/>
              <w:keepLines w:val="0"/>
              <w:pageBreakBefore w:val="0"/>
              <w:widowControl w:val="0"/>
              <w:kinsoku/>
              <w:wordWrap/>
              <w:overflowPunct/>
              <w:topLinePunct w:val="0"/>
              <w:autoSpaceDE/>
              <w:autoSpaceDN/>
              <w:bidi w:val="0"/>
              <w:spacing w:line="360" w:lineRule="exact"/>
              <w:ind w:left="0" w:leftChars="0" w:right="0" w:firstLine="0" w:firstLineChars="0"/>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2022年支出1.48万元</w:t>
            </w:r>
          </w:p>
          <w:p>
            <w:pPr>
              <w:pStyle w:val="2"/>
              <w:keepNext w:val="0"/>
              <w:keepLines w:val="0"/>
              <w:pageBreakBefore w:val="0"/>
              <w:widowControl w:val="0"/>
              <w:kinsoku/>
              <w:wordWrap/>
              <w:overflowPunct/>
              <w:topLinePunct w:val="0"/>
              <w:autoSpaceDE/>
              <w:autoSpaceDN/>
              <w:bidi w:val="0"/>
              <w:spacing w:line="360" w:lineRule="exact"/>
              <w:ind w:left="0" w:right="0"/>
              <w:textAlignment w:val="auto"/>
              <w:rPr>
                <w:rFonts w:hint="eastAsia" w:ascii="仿宋_GB2312" w:hAnsi="仿宋_GB2312" w:eastAsia="仿宋_GB2312" w:cs="仿宋_GB2312"/>
                <w:sz w:val="24"/>
                <w:szCs w:val="24"/>
                <w:lang w:val="en-US" w:eastAsia="zh-CN"/>
              </w:rPr>
            </w:pPr>
          </w:p>
        </w:tc>
        <w:tc>
          <w:tcPr>
            <w:tcW w:w="114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right="0" w:rightChars="0"/>
              <w:jc w:val="center"/>
              <w:textAlignment w:val="auto"/>
              <w:rPr>
                <w:rFonts w:hint="eastAsia" w:ascii="仿宋_GB2312" w:hAnsi="仿宋_GB2312" w:eastAsia="仿宋_GB2312" w:cs="仿宋_GB2312"/>
                <w:b w:val="0"/>
                <w:bCs w:val="0"/>
                <w:sz w:val="24"/>
                <w:szCs w:val="24"/>
                <w:lang w:val="zh-CN" w:eastAsia="zh-CN"/>
              </w:rPr>
            </w:pPr>
            <w:r>
              <w:rPr>
                <w:rFonts w:hint="eastAsia" w:ascii="仿宋_GB2312" w:hAnsi="仿宋_GB2312" w:eastAsia="仿宋_GB2312" w:cs="仿宋_GB2312"/>
                <w:b w:val="0"/>
                <w:bCs w:val="0"/>
                <w:sz w:val="24"/>
                <w:szCs w:val="24"/>
                <w:lang w:val="en-US" w:eastAsia="zh-CN"/>
              </w:rPr>
              <w:t>14.8%</w:t>
            </w:r>
          </w:p>
        </w:tc>
        <w:tc>
          <w:tcPr>
            <w:tcW w:w="133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right="0" w:rightChars="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8.52万元</w:t>
            </w:r>
          </w:p>
        </w:tc>
      </w:tr>
    </w:tbl>
    <w:p>
      <w:pPr>
        <w:pStyle w:val="4"/>
        <w:keepNext w:val="0"/>
        <w:keepLines w:val="0"/>
        <w:pageBreakBefore w:val="0"/>
        <w:widowControl w:val="0"/>
        <w:kinsoku/>
        <w:wordWrap/>
        <w:overflowPunct/>
        <w:topLinePunct w:val="0"/>
        <w:autoSpaceDE/>
        <w:autoSpaceDN/>
        <w:bidi w:val="0"/>
        <w:spacing w:line="360" w:lineRule="exact"/>
        <w:ind w:left="0" w:right="0"/>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项目资金的使用符合国家财经法规和财务管理制度及有关专项资金管理办法规定；资金拨付有完整的审批程序和手续；符合项目预算批复或合同规定用途；不存在截留、挤占、挪用、虚列支出等情况。根据《政府会计制度》的规定，设立了“行政支出－项目支出－财政拨款支出</w:t>
      </w:r>
      <w:r>
        <w:rPr>
          <w:rFonts w:hint="eastAsia" w:hAnsi="仿宋_GB2312" w:cs="仿宋_GB2312"/>
          <w:b w:val="0"/>
          <w:bCs w:val="0"/>
          <w:spacing w:val="6"/>
          <w:sz w:val="32"/>
          <w:szCs w:val="32"/>
          <w:lang w:val="en-US" w:eastAsia="zh-CN" w:bidi="ar-SA"/>
        </w:rPr>
        <w:t>—2022年</w:t>
      </w:r>
      <w:r>
        <w:rPr>
          <w:rFonts w:hint="eastAsia" w:ascii="仿宋_GB2312" w:hAnsi="仿宋_GB2312" w:eastAsia="仿宋_GB2312" w:cs="仿宋_GB2312"/>
          <w:kern w:val="0"/>
          <w:sz w:val="32"/>
          <w:szCs w:val="32"/>
        </w:rPr>
        <w:t>社保公共服务能力建设</w:t>
      </w:r>
      <w:r>
        <w:rPr>
          <w:rFonts w:hint="eastAsia" w:ascii="仿宋_GB2312" w:hAnsi="仿宋_GB2312" w:eastAsia="仿宋_GB2312" w:cs="仿宋_GB2312"/>
          <w:b w:val="0"/>
          <w:bCs w:val="0"/>
          <w:spacing w:val="6"/>
          <w:sz w:val="32"/>
          <w:szCs w:val="32"/>
          <w:lang w:val="en-US" w:eastAsia="zh-CN" w:bidi="ar-SA"/>
        </w:rPr>
        <w:t xml:space="preserve">资金”项目明细科目专账进行核算；严格财经纪律，项目经费支出及时，财务处理及时合规；财务管理制度健全完善。 </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right="0" w:firstLine="7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（一）项目组织架构及实施流程。</w:t>
      </w:r>
    </w:p>
    <w:p>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该项目由州医疗保障局制定计划并组织实施，主要用于一是按时按质按量报送</w:t>
      </w:r>
      <w:r>
        <w:rPr>
          <w:rFonts w:hint="eastAsia" w:ascii="仿宋_GB2312" w:hAnsi="仿宋_GB2312" w:eastAsia="仿宋_GB2312" w:cs="仿宋_GB2312"/>
          <w:kern w:val="0"/>
          <w:sz w:val="32"/>
          <w:szCs w:val="32"/>
          <w:lang w:val="en-US" w:eastAsia="zh-CN"/>
        </w:rPr>
        <w:t>2022年决算、2022年预算调整、执行，2023年预算，认真进行基金运行情况分析</w:t>
      </w:r>
      <w:r>
        <w:rPr>
          <w:rFonts w:hint="eastAsia" w:ascii="仿宋_GB2312" w:hAnsi="仿宋_GB2312" w:eastAsia="仿宋_GB2312" w:cs="仿宋_GB2312"/>
          <w:b w:val="0"/>
          <w:bCs w:val="0"/>
          <w:spacing w:val="6"/>
          <w:sz w:val="32"/>
          <w:szCs w:val="32"/>
          <w:lang w:val="en-US" w:eastAsia="zh-CN" w:bidi="ar-SA"/>
        </w:rPr>
        <w:t>，报表编报质量进一步提高；二是</w:t>
      </w:r>
      <w:r>
        <w:rPr>
          <w:rFonts w:hint="eastAsia" w:ascii="仿宋_GB2312" w:hAnsi="仿宋_GB2312" w:eastAsia="仿宋_GB2312" w:cs="仿宋_GB2312"/>
          <w:kern w:val="0"/>
          <w:sz w:val="32"/>
          <w:szCs w:val="32"/>
          <w:lang w:val="en-US" w:eastAsia="zh-CN"/>
        </w:rPr>
        <w:t>开展社保基金预决算人员培训</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三是预决算有关人员差旅费</w:t>
      </w:r>
      <w:r>
        <w:rPr>
          <w:rFonts w:hint="eastAsia" w:ascii="仿宋_GB2312" w:hAnsi="仿宋_GB2312" w:eastAsia="仿宋_GB2312" w:cs="仿宋_GB2312"/>
          <w:b w:val="0"/>
          <w:bCs w:val="0"/>
          <w:spacing w:val="6"/>
          <w:sz w:val="32"/>
          <w:szCs w:val="32"/>
          <w:lang w:val="en-US" w:eastAsia="zh-CN" w:bidi="ar-SA"/>
        </w:rPr>
        <w:t>。</w:t>
      </w:r>
    </w:p>
    <w:p>
      <w:pPr>
        <w:pStyle w:val="10"/>
        <w:keepNext w:val="0"/>
        <w:keepLines w:val="0"/>
        <w:pageBreakBefore w:val="0"/>
        <w:widowControl w:val="0"/>
        <w:numPr>
          <w:ilvl w:val="0"/>
          <w:numId w:val="9"/>
        </w:numPr>
        <w:kinsoku/>
        <w:wordWrap/>
        <w:overflowPunct/>
        <w:topLinePunct w:val="0"/>
        <w:autoSpaceDE/>
        <w:autoSpaceDN/>
        <w:bidi w:val="0"/>
        <w:spacing w:line="560" w:lineRule="exact"/>
        <w:ind w:left="0" w:leftChars="0" w:right="0" w:rightChars="0" w:firstLine="720" w:firstLineChars="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pStyle w:val="10"/>
        <w:keepNext w:val="0"/>
        <w:keepLines w:val="0"/>
        <w:pageBreakBefore w:val="0"/>
        <w:widowControl w:val="0"/>
        <w:numPr>
          <w:ilvl w:val="0"/>
          <w:numId w:val="0"/>
        </w:numPr>
        <w:kinsoku/>
        <w:wordWrap/>
        <w:overflowPunct/>
        <w:topLinePunct w:val="0"/>
        <w:autoSpaceDE/>
        <w:autoSpaceDN/>
        <w:bidi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rPr>
        <w:t>四川省财政厅</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四川省人力资源和社会保障厅</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四川省医疗保障局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关于下达 2022年省级财政社保公共服务能力建设资金的通知</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川财社〔2022〕10号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和</w:t>
      </w:r>
      <w:r>
        <w:rPr>
          <w:rFonts w:hint="eastAsia" w:ascii="仿宋_GB2312" w:hAnsi="仿宋_GB2312" w:eastAsia="仿宋_GB2312" w:cs="仿宋_GB2312"/>
          <w:kern w:val="0"/>
          <w:sz w:val="32"/>
          <w:szCs w:val="32"/>
        </w:rPr>
        <w:t>阿坝州财政局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阿坝州医疗保障局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关于下达 2022 年省级财政社保公共服务能力建设资金的通知</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阿州财社〔2022〕54号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kern w:val="2"/>
          <w:sz w:val="32"/>
          <w:szCs w:val="32"/>
          <w:lang w:val="en-US" w:eastAsia="zh-CN" w:bidi="ar-SA"/>
        </w:rPr>
        <w:t>文件的相关规定；项目实施的人员条件、场地设备、信息支撑等落实到位。项目管理制度比较健全完善，执行有效。</w:t>
      </w:r>
    </w:p>
    <w:p>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（三）项目监管情况。</w:t>
      </w:r>
    </w:p>
    <w:p>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zh-CN" w:eastAsia="zh-CN" w:bidi="ar-SA"/>
        </w:rPr>
        <w:t>根据《阿坝州财政局关于开展 2023 年财政重点绩效评价工作的通知》（阿州财监绩〔2023〕17 号）文件要求，</w:t>
      </w:r>
      <w:r>
        <w:rPr>
          <w:rFonts w:hint="eastAsia" w:ascii="仿宋_GB2312" w:hAnsi="仿宋_GB2312" w:eastAsia="仿宋_GB2312" w:cs="仿宋_GB2312"/>
          <w:b w:val="0"/>
          <w:bCs w:val="0"/>
          <w:spacing w:val="6"/>
          <w:sz w:val="32"/>
          <w:szCs w:val="32"/>
          <w:lang w:val="en-US" w:eastAsia="zh-CN" w:bidi="ar-SA"/>
        </w:rPr>
        <w:t>开展2022年部门、政策和项目支出绩效评价，并根据</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项目支出</w:t>
      </w:r>
      <w:r>
        <w:rPr>
          <w:rFonts w:hint="eastAsia" w:ascii="仿宋_GB2312" w:hAnsi="仿宋_GB2312" w:eastAsia="仿宋_GB2312" w:cs="仿宋_GB2312"/>
          <w:b w:val="0"/>
          <w:bCs w:val="0"/>
          <w:spacing w:val="6"/>
          <w:sz w:val="32"/>
          <w:szCs w:val="32"/>
          <w:lang w:val="zh-CN" w:eastAsia="zh-CN" w:bidi="ar-SA"/>
        </w:rPr>
        <w:t>绩效管理</w:t>
      </w:r>
      <w:r>
        <w:rPr>
          <w:rFonts w:hint="eastAsia" w:ascii="仿宋_GB2312" w:hAnsi="仿宋_GB2312" w:eastAsia="仿宋_GB2312" w:cs="仿宋_GB2312"/>
          <w:b w:val="0"/>
          <w:bCs w:val="0"/>
          <w:spacing w:val="6"/>
          <w:sz w:val="32"/>
          <w:szCs w:val="32"/>
          <w:lang w:val="en-US" w:eastAsia="zh-CN" w:bidi="ar-SA"/>
        </w:rPr>
        <w:t>办法</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撰写部门整体绩效评价、各项目支出绩效评价。</w:t>
      </w:r>
      <w:r>
        <w:rPr>
          <w:rFonts w:hint="eastAsia" w:ascii="仿宋_GB2312" w:hAnsi="仿宋_GB2312" w:eastAsia="仿宋_GB2312" w:cs="仿宋_GB2312"/>
          <w:b w:val="0"/>
          <w:bCs w:val="0"/>
          <w:spacing w:val="6"/>
          <w:sz w:val="32"/>
          <w:szCs w:val="32"/>
          <w:lang w:val="zh-CN" w:eastAsia="zh-CN" w:bidi="ar-SA"/>
        </w:rPr>
        <w:t>根据《</w:t>
      </w:r>
      <w:r>
        <w:rPr>
          <w:rFonts w:hint="eastAsia" w:ascii="仿宋_GB2312" w:hAnsi="仿宋_GB2312" w:eastAsia="仿宋_GB2312" w:cs="仿宋_GB2312"/>
          <w:b w:val="0"/>
          <w:bCs w:val="0"/>
          <w:spacing w:val="6"/>
          <w:sz w:val="32"/>
          <w:szCs w:val="32"/>
          <w:lang w:val="en-US" w:eastAsia="zh-CN" w:bidi="ar-SA"/>
        </w:rPr>
        <w:t>阿坝州财政局关于开展2022年度绩效运行自行监控</w:t>
      </w:r>
    </w:p>
    <w:p>
      <w:pPr>
        <w:pStyle w:val="10"/>
        <w:keepNext w:val="0"/>
        <w:keepLines w:val="0"/>
        <w:pageBreakBefore w:val="0"/>
        <w:widowControl w:val="0"/>
        <w:kinsoku/>
        <w:wordWrap/>
        <w:overflowPunct/>
        <w:topLinePunct w:val="0"/>
        <w:autoSpaceDE w:val="0"/>
        <w:autoSpaceDN w:val="0"/>
        <w:bidi w:val="0"/>
        <w:adjustRightInd/>
        <w:snapToGrid/>
        <w:spacing w:line="560" w:lineRule="exact"/>
        <w:ind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6"/>
          <w:sz w:val="32"/>
          <w:szCs w:val="32"/>
          <w:lang w:val="en-US" w:eastAsia="zh-CN" w:bidi="ar-SA"/>
        </w:rPr>
        <w:t>工作的通知</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（阿州财监绩〔2022〕18号）</w:t>
      </w:r>
      <w:r>
        <w:rPr>
          <w:rFonts w:hint="eastAsia" w:ascii="仿宋_GB2312" w:hAnsi="仿宋_GB2312" w:eastAsia="仿宋_GB2312" w:cs="仿宋_GB2312"/>
          <w:b w:val="0"/>
          <w:bCs w:val="0"/>
          <w:spacing w:val="6"/>
          <w:sz w:val="32"/>
          <w:szCs w:val="32"/>
          <w:lang w:val="zh-CN" w:eastAsia="zh-CN" w:bidi="ar-SA"/>
        </w:rPr>
        <w:t>文件要求，我</w:t>
      </w:r>
      <w:r>
        <w:rPr>
          <w:rFonts w:hint="eastAsia" w:ascii="仿宋_GB2312" w:hAnsi="仿宋_GB2312" w:eastAsia="仿宋_GB2312" w:cs="仿宋_GB2312"/>
          <w:b w:val="0"/>
          <w:bCs w:val="0"/>
          <w:spacing w:val="6"/>
          <w:sz w:val="32"/>
          <w:szCs w:val="32"/>
          <w:lang w:val="en-US" w:eastAsia="zh-CN" w:bidi="ar-SA"/>
        </w:rPr>
        <w:t>局</w:t>
      </w:r>
      <w:r>
        <w:rPr>
          <w:rFonts w:hint="eastAsia" w:ascii="仿宋_GB2312" w:hAnsi="仿宋_GB2312" w:eastAsia="仿宋_GB2312" w:cs="仿宋_GB2312"/>
          <w:b w:val="0"/>
          <w:bCs w:val="0"/>
          <w:spacing w:val="6"/>
          <w:sz w:val="32"/>
          <w:szCs w:val="32"/>
          <w:lang w:val="zh-CN" w:eastAsia="zh-CN" w:bidi="ar-SA"/>
        </w:rPr>
        <w:t>对</w:t>
      </w:r>
      <w:r>
        <w:rPr>
          <w:rFonts w:hint="eastAsia" w:ascii="仿宋_GB2312" w:hAnsi="仿宋_GB2312" w:eastAsia="仿宋_GB2312" w:cs="仿宋_GB2312"/>
          <w:b w:val="0"/>
          <w:bCs w:val="0"/>
          <w:spacing w:val="6"/>
          <w:sz w:val="32"/>
          <w:szCs w:val="32"/>
          <w:lang w:val="en-US" w:eastAsia="zh-CN" w:bidi="ar-SA"/>
        </w:rPr>
        <w:t>2022年1-8月</w:t>
      </w:r>
      <w:r>
        <w:rPr>
          <w:rFonts w:hint="eastAsia" w:ascii="仿宋_GB2312" w:hAnsi="仿宋_GB2312" w:eastAsia="仿宋_GB2312" w:cs="仿宋_GB2312"/>
          <w:b w:val="0"/>
          <w:bCs w:val="0"/>
          <w:spacing w:val="6"/>
          <w:sz w:val="32"/>
          <w:szCs w:val="32"/>
          <w:lang w:val="zh-CN" w:eastAsia="zh-CN" w:bidi="ar-SA"/>
        </w:rPr>
        <w:t>财政资金使用管理情况，认真开展自评工作，撰写部门自评报告。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项目绩效情况</w:t>
      </w:r>
      <w:r>
        <w:rPr>
          <w:rFonts w:hint="eastAsia" w:ascii="仿宋_GB2312" w:hAnsi="仿宋_GB2312" w:eastAsia="仿宋_GB2312" w:cs="仿宋_GB2312"/>
          <w:b w:val="0"/>
          <w:bCs w:val="0"/>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67"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1.项目决策。</w:t>
      </w:r>
      <w:r>
        <w:rPr>
          <w:rFonts w:hint="eastAsia" w:ascii="仿宋_GB2312" w:hAnsi="仿宋_GB2312" w:eastAsia="仿宋_GB2312" w:cs="仿宋_GB2312"/>
          <w:b w:val="0"/>
          <w:bCs w:val="0"/>
          <w:spacing w:val="6"/>
          <w:kern w:val="2"/>
          <w:sz w:val="32"/>
          <w:szCs w:val="32"/>
          <w:lang w:val="en-US" w:eastAsia="zh-CN" w:bidi="ar-SA"/>
        </w:rPr>
        <w:t>严格按照2022年</w:t>
      </w:r>
      <w:r>
        <w:rPr>
          <w:rFonts w:hint="eastAsia" w:ascii="仿宋_GB2312" w:hAnsi="仿宋_GB2312" w:eastAsia="仿宋_GB2312" w:cs="仿宋_GB2312"/>
          <w:kern w:val="0"/>
          <w:sz w:val="32"/>
          <w:szCs w:val="32"/>
        </w:rPr>
        <w:t>社保公共服务能力建设资金</w:t>
      </w:r>
      <w:r>
        <w:rPr>
          <w:rFonts w:hint="eastAsia" w:ascii="仿宋_GB2312" w:hAnsi="仿宋_GB2312" w:eastAsia="仿宋_GB2312" w:cs="仿宋_GB2312"/>
          <w:b w:val="0"/>
          <w:bCs w:val="0"/>
          <w:spacing w:val="6"/>
          <w:kern w:val="2"/>
          <w:sz w:val="32"/>
          <w:szCs w:val="32"/>
          <w:lang w:val="en-US" w:eastAsia="zh-CN" w:bidi="ar-SA"/>
        </w:rPr>
        <w:t>的批复用途，认真进行项目实施。决策过程通过对项目决策程序规范性评价，表明项目绩效目标清晰、具体，决策程序科学、有效，项目预算准确、合理，项目预算金额的取得建立了测算方法和标准。</w:t>
      </w:r>
    </w:p>
    <w:p>
      <w:pPr>
        <w:pStyle w:val="2"/>
        <w:keepNext w:val="0"/>
        <w:keepLines w:val="0"/>
        <w:pageBreakBefore w:val="0"/>
        <w:widowControl w:val="0"/>
        <w:kinsoku/>
        <w:wordWrap/>
        <w:overflowPunct/>
        <w:topLinePunct w:val="0"/>
        <w:bidi w:val="0"/>
        <w:spacing w:line="560" w:lineRule="exact"/>
        <w:ind w:left="0" w:right="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2.项目实施。</w:t>
      </w:r>
      <w:r>
        <w:rPr>
          <w:rFonts w:hint="eastAsia" w:ascii="仿宋_GB2312" w:hAnsi="仿宋_GB2312" w:eastAsia="仿宋_GB2312" w:cs="仿宋_GB2312"/>
          <w:b w:val="0"/>
          <w:bCs w:val="0"/>
          <w:spacing w:val="6"/>
          <w:sz w:val="32"/>
          <w:szCs w:val="32"/>
          <w:lang w:val="en-US" w:eastAsia="zh-CN" w:bidi="ar-SA"/>
        </w:rPr>
        <w:t>资金分配及时，资金分配管理科学合理、规范有序且资金分配方向与规划计划支持方向相符合。加强组织协调，严格遵循专款专用、严禁挤占挪用的原则，确</w:t>
      </w:r>
      <w:r>
        <w:rPr>
          <w:rFonts w:hint="eastAsia" w:ascii="仿宋_GB2312" w:hAnsi="仿宋_GB2312" w:eastAsia="仿宋_GB2312" w:cs="仿宋_GB2312"/>
          <w:b w:val="0"/>
          <w:bCs w:val="0"/>
          <w:spacing w:val="6"/>
          <w:kern w:val="2"/>
          <w:sz w:val="32"/>
          <w:szCs w:val="32"/>
          <w:lang w:val="en-US" w:eastAsia="zh-CN" w:bidi="ar-SA"/>
        </w:rPr>
        <w:t>保项目顺利实施。</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rightChars="0" w:firstLine="667"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3.完成结果。</w:t>
      </w:r>
      <w:r>
        <w:rPr>
          <w:rFonts w:hint="eastAsia" w:ascii="仿宋_GB2312" w:hAnsi="仿宋_GB2312" w:eastAsia="仿宋_GB2312" w:cs="仿宋_GB2312"/>
          <w:b w:val="0"/>
          <w:bCs w:val="0"/>
          <w:spacing w:val="6"/>
          <w:kern w:val="2"/>
          <w:sz w:val="32"/>
          <w:szCs w:val="32"/>
          <w:lang w:val="en-US" w:eastAsia="zh-CN" w:bidi="ar-SA"/>
        </w:rPr>
        <w:t>预算10万元，执行1.48万元，结余8.52万元，完成率14.8%。</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该项资金当年主要用于基金预决算人员差旅费，因工作需要，将剩余8.52万元结转至2023年使用。</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leftChars="0" w:right="0" w:rightChars="0" w:firstLine="667" w:firstLineChars="200"/>
        <w:textAlignment w:val="auto"/>
        <w:rPr>
          <w:rFonts w:hint="eastAsia" w:ascii="仿宋_GB2312" w:hAnsi="仿宋_GB2312" w:eastAsia="仿宋_GB2312" w:cs="仿宋_GB2312"/>
          <w:b/>
          <w:bCs/>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4.项目效果。</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rightChars="0" w:firstLine="640"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kern w:val="0"/>
          <w:sz w:val="32"/>
          <w:szCs w:val="32"/>
          <w:lang w:val="en-US" w:eastAsia="zh-CN"/>
        </w:rPr>
        <w:t>强化医疗保险基金预决算管理工作，完善社保基金预决算管理办法，做好基金预决算及预算执行情况动态分析，切实构建社会保险基金预决算监督管理的长效机制。</w:t>
      </w:r>
    </w:p>
    <w:p>
      <w:pPr>
        <w:pStyle w:val="10"/>
        <w:keepNext w:val="0"/>
        <w:keepLines w:val="0"/>
        <w:pageBreakBefore w:val="0"/>
        <w:widowControl w:val="0"/>
        <w:kinsoku/>
        <w:wordWrap/>
        <w:overflowPunct/>
        <w:topLinePunct w:val="0"/>
        <w:bidi w:val="0"/>
        <w:adjustRightInd/>
        <w:snapToGrid/>
        <w:spacing w:line="560" w:lineRule="exact"/>
        <w:ind w:left="0" w:right="0" w:firstLine="667"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5.基础管理。</w:t>
      </w:r>
      <w:r>
        <w:rPr>
          <w:rFonts w:hint="eastAsia" w:ascii="仿宋_GB2312" w:hAnsi="仿宋_GB2312" w:eastAsia="仿宋_GB2312" w:cs="仿宋_GB2312"/>
          <w:b w:val="0"/>
          <w:bCs w:val="0"/>
          <w:spacing w:val="6"/>
          <w:sz w:val="32"/>
          <w:szCs w:val="32"/>
          <w:lang w:val="en-US" w:eastAsia="zh-CN" w:bidi="ar-SA"/>
        </w:rPr>
        <w:t>项目申报真实、准确，严格资金使用审核把关，实施切实为阿坝州医保系统服务与保障能力提升提供了有力的资金保障。</w:t>
      </w:r>
    </w:p>
    <w:p>
      <w:pPr>
        <w:pStyle w:val="27"/>
        <w:keepNext w:val="0"/>
        <w:keepLines w:val="0"/>
        <w:pageBreakBefore w:val="0"/>
        <w:widowControl w:val="0"/>
        <w:numPr>
          <w:ilvl w:val="0"/>
          <w:numId w:val="0"/>
        </w:numPr>
        <w:tabs>
          <w:tab w:val="left" w:pos="3028"/>
        </w:tabs>
        <w:kinsoku/>
        <w:wordWrap/>
        <w:overflowPunct/>
        <w:topLinePunct w:val="0"/>
        <w:autoSpaceDE w:val="0"/>
        <w:autoSpaceDN w:val="0"/>
        <w:bidi w:val="0"/>
        <w:adjustRightInd/>
        <w:snapToGrid/>
        <w:spacing w:after="0" w:line="560" w:lineRule="exact"/>
        <w:ind w:left="0" w:right="0" w:rightChars="0" w:firstLine="688"/>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6.社会效益。</w:t>
      </w:r>
      <w:r>
        <w:rPr>
          <w:rFonts w:hint="eastAsia" w:ascii="仿宋_GB2312" w:hAnsi="仿宋_GB2312" w:eastAsia="仿宋_GB2312" w:cs="仿宋_GB2312"/>
          <w:b w:val="0"/>
          <w:bCs w:val="0"/>
          <w:spacing w:val="6"/>
          <w:sz w:val="32"/>
          <w:szCs w:val="32"/>
          <w:lang w:val="en-US" w:eastAsia="zh-CN" w:bidi="ar-SA"/>
        </w:rPr>
        <w:t>不存在因制度机制、操作流程、管理疏漏、数据缺失等导致资金结余，闲置浪费的情况。</w:t>
      </w:r>
    </w:p>
    <w:p>
      <w:pPr>
        <w:pStyle w:val="27"/>
        <w:keepNext w:val="0"/>
        <w:keepLines w:val="0"/>
        <w:pageBreakBefore w:val="0"/>
        <w:widowControl w:val="0"/>
        <w:numPr>
          <w:ilvl w:val="0"/>
          <w:numId w:val="0"/>
        </w:numPr>
        <w:tabs>
          <w:tab w:val="left" w:pos="2708"/>
        </w:tabs>
        <w:kinsoku/>
        <w:wordWrap/>
        <w:overflowPunct/>
        <w:topLinePunct w:val="0"/>
        <w:autoSpaceDE/>
        <w:autoSpaceDN/>
        <w:bidi w:val="0"/>
        <w:adjustRightInd/>
        <w:snapToGrid/>
        <w:spacing w:after="0" w:line="560" w:lineRule="exact"/>
        <w:ind w:left="0" w:right="0" w:rightChars="0" w:firstLine="643" w:firstLineChars="200"/>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kern w:val="2"/>
          <w:sz w:val="32"/>
          <w:szCs w:val="32"/>
          <w:lang w:val="en-US" w:eastAsia="zh-CN" w:bidi="ar-SA"/>
        </w:rPr>
        <w:t>7.可持续性。</w:t>
      </w:r>
      <w:r>
        <w:rPr>
          <w:rFonts w:hint="eastAsia" w:ascii="仿宋_GB2312" w:hAnsi="仿宋_GB2312" w:eastAsia="仿宋_GB2312" w:cs="仿宋_GB2312"/>
          <w:b w:val="0"/>
          <w:bCs w:val="0"/>
          <w:kern w:val="2"/>
          <w:sz w:val="32"/>
          <w:szCs w:val="32"/>
          <w:lang w:val="en-US" w:eastAsia="zh-CN" w:bidi="ar-SA"/>
        </w:rPr>
        <w:t>具有较强的可持续性。</w:t>
      </w:r>
    </w:p>
    <w:p>
      <w:pPr>
        <w:pStyle w:val="10"/>
        <w:keepNext w:val="0"/>
        <w:keepLines w:val="0"/>
        <w:pageBreakBefore w:val="0"/>
        <w:widowControl w:val="0"/>
        <w:kinsoku/>
        <w:wordWrap/>
        <w:overflowPunct/>
        <w:topLinePunct w:val="0"/>
        <w:bidi w:val="0"/>
        <w:spacing w:line="560" w:lineRule="exact"/>
        <w:ind w:left="0" w:right="0" w:firstLine="643"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lang w:val="en-US" w:eastAsia="zh-CN"/>
        </w:rPr>
        <w:t>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进一步提高</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基金预决算报表质量，保证基金报表的数据准确性，为基金的安全可持续运行提供数据支撑。</w:t>
      </w:r>
    </w:p>
    <w:p>
      <w:pPr>
        <w:pStyle w:val="4"/>
        <w:keepNext w:val="0"/>
        <w:keepLines w:val="0"/>
        <w:pageBreakBefore w:val="0"/>
        <w:widowControl w:val="0"/>
        <w:kinsoku/>
        <w:wordWrap/>
        <w:overflowPunct/>
        <w:topLinePunct w:val="0"/>
        <w:bidi w:val="0"/>
        <w:spacing w:line="560" w:lineRule="exact"/>
        <w:ind w:left="0" w:right="0"/>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、评价结论及建议</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pStyle w:val="10"/>
        <w:keepNext w:val="0"/>
        <w:keepLines w:val="0"/>
        <w:pageBreakBefore w:val="0"/>
        <w:widowControl w:val="0"/>
        <w:kinsoku/>
        <w:wordWrap/>
        <w:overflowPunct/>
        <w:topLinePunct w:val="0"/>
        <w:bidi w:val="0"/>
        <w:adjustRightInd/>
        <w:snapToGrid/>
        <w:spacing w:line="560" w:lineRule="exact"/>
        <w:ind w:left="0" w:right="0" w:firstLine="664"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pacing w:val="6"/>
          <w:sz w:val="32"/>
          <w:szCs w:val="32"/>
          <w:lang w:val="en-US" w:eastAsia="zh-CN" w:bidi="ar-SA"/>
        </w:rPr>
        <w:t>绩效评价总体得分为86.18分，其中：项目决策方面</w:t>
      </w:r>
      <w:r>
        <w:rPr>
          <w:rFonts w:hint="eastAsia" w:ascii="仿宋_GB2312" w:hAnsi="仿宋_GB2312" w:eastAsia="仿宋_GB2312" w:cs="仿宋_GB2312"/>
          <w:b w:val="0"/>
          <w:bCs w:val="0"/>
          <w:spacing w:val="6"/>
          <w:sz w:val="32"/>
          <w:szCs w:val="32"/>
          <w:highlight w:val="none"/>
          <w:lang w:val="en-US" w:eastAsia="zh-CN" w:bidi="ar-SA"/>
        </w:rPr>
        <w:t>总分12分，评价得分12 分；项目实施方面总分11分，评价得分11 分；完成结果方面总分17分，评价得分12分；项目效果方面总分20分，评价得分20 分；基础管理、社会效益方面总分30分，评价得分23.18 分；可持续性方面总分10分，评价得分8分。</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该项目完成年初预算目标任务。该</w:t>
      </w:r>
      <w:r>
        <w:rPr>
          <w:rFonts w:hint="eastAsia" w:ascii="仿宋_GB2312" w:hAnsi="仿宋_GB2312" w:eastAsia="仿宋_GB2312" w:cs="仿宋_GB2312"/>
          <w:sz w:val="32"/>
          <w:szCs w:val="32"/>
        </w:rPr>
        <w:t>项目的实施进一步规范</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全州15个医保经办机构的医保基金财务管理工作，提高</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我州医疗保险基金财务预决算报表质量，达到为医保基金政策的调整提供数据支撑，确保医保基金的安全可持续运行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完成年初目标任务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pStyle w:val="10"/>
        <w:keepNext w:val="0"/>
        <w:keepLines w:val="0"/>
        <w:pageBreakBefore w:val="0"/>
        <w:widowControl w:val="0"/>
        <w:kinsoku/>
        <w:wordWrap/>
        <w:overflowPunct/>
        <w:topLinePunct w:val="0"/>
        <w:autoSpaceDE/>
        <w:autoSpaceDN/>
        <w:bidi w:val="0"/>
        <w:spacing w:line="560" w:lineRule="exact"/>
        <w:ind w:left="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2"/>
          <w:sz w:val="32"/>
          <w:szCs w:val="32"/>
          <w:lang w:val="en-US" w:eastAsia="zh-CN" w:bidi="ar-SA"/>
        </w:rPr>
        <w:t>1.预算执行率14.8%，主</w:t>
      </w:r>
      <w:r>
        <w:rPr>
          <w:rFonts w:hint="eastAsia" w:ascii="仿宋_GB2312" w:hAnsi="仿宋_GB2312" w:eastAsia="仿宋_GB2312" w:cs="仿宋_GB2312"/>
          <w:b w:val="0"/>
          <w:bCs w:val="0"/>
          <w:spacing w:val="6"/>
          <w:sz w:val="32"/>
          <w:szCs w:val="32"/>
          <w:highlight w:val="none"/>
          <w:lang w:val="en-US" w:eastAsia="zh-CN" w:bidi="ar-SA"/>
        </w:rPr>
        <w:t>要原因是：该项资金2022年主要用于开展全州基金预决算统计报表培训、开展2021年医保基金决算编制会审工作，因2022年部门预算项目基金预决算培训10万元，结转2021年社保公共服务能力建设资金2.42万元，资金能够保障相关费用，故将2022年</w:t>
      </w:r>
      <w:r>
        <w:rPr>
          <w:rFonts w:hint="eastAsia" w:ascii="仿宋_GB2312" w:hAnsi="仿宋_GB2312" w:eastAsia="仿宋_GB2312" w:cs="仿宋_GB2312"/>
          <w:sz w:val="32"/>
          <w:szCs w:val="32"/>
          <w:lang w:val="en-US" w:eastAsia="zh-CN"/>
        </w:rPr>
        <w:t>社保公共服务能力提升资金8.52万元</w:t>
      </w:r>
      <w:r>
        <w:rPr>
          <w:rFonts w:hint="eastAsia" w:ascii="仿宋_GB2312" w:hAnsi="仿宋_GB2312" w:eastAsia="仿宋_GB2312" w:cs="仿宋_GB2312"/>
          <w:b w:val="0"/>
          <w:bCs w:val="0"/>
          <w:spacing w:val="6"/>
          <w:sz w:val="32"/>
          <w:szCs w:val="32"/>
          <w:highlight w:val="none"/>
          <w:lang w:val="en-US" w:eastAsia="zh-CN" w:bidi="ar-SA"/>
        </w:rPr>
        <w:t>作为结转资金，在 2023年使用。</w:t>
      </w:r>
      <w:r>
        <w:rPr>
          <w:rFonts w:hint="eastAsia" w:ascii="仿宋_GB2312" w:hAnsi="仿宋_GB2312" w:eastAsia="仿宋_GB2312" w:cs="仿宋_GB2312"/>
          <w:b w:val="0"/>
          <w:bCs w:val="0"/>
          <w:spacing w:val="6"/>
          <w:sz w:val="32"/>
          <w:szCs w:val="32"/>
          <w:highlight w:val="none"/>
          <w:lang w:val="zh-CN" w:eastAsia="zh-CN" w:bidi="ar-SA"/>
        </w:rPr>
        <w:tab/>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val="0"/>
          <w:bCs w:val="0"/>
          <w:kern w:val="2"/>
          <w:sz w:val="32"/>
          <w:szCs w:val="32"/>
          <w:lang w:val="en-US" w:eastAsia="zh-CN" w:bidi="ar-SA"/>
        </w:rPr>
        <w:t>严格按照资金的批复用途，认真进行项目实施，确保资金执行率</w:t>
      </w:r>
      <w:r>
        <w:rPr>
          <w:rFonts w:hint="eastAsia" w:ascii="仿宋_GB2312" w:hAnsi="仿宋_GB2312" w:eastAsia="仿宋_GB2312" w:cs="仿宋_GB2312"/>
          <w:b w:val="0"/>
          <w:bCs w:val="0"/>
          <w:color w:val="000000"/>
          <w:spacing w:val="-6"/>
          <w:kern w:val="0"/>
          <w:sz w:val="32"/>
          <w:szCs w:val="32"/>
          <w:lang w:val="en-US" w:eastAsia="zh-CN" w:bidi="ar-SA"/>
        </w:rPr>
        <w:t>。</w:t>
      </w:r>
    </w:p>
    <w:p>
      <w:pPr>
        <w:widowControl/>
        <w:jc w:val="left"/>
        <w:rPr>
          <w:rStyle w:val="20"/>
          <w:rFonts w:ascii="黑体" w:eastAsia="黑体"/>
          <w:b w:val="0"/>
        </w:rPr>
      </w:pPr>
    </w:p>
    <w:p>
      <w:pPr>
        <w:pStyle w:val="2"/>
        <w:rPr>
          <w:rStyle w:val="20"/>
          <w:rFonts w:ascii="黑体" w:eastAsia="黑体"/>
          <w:b w:val="0"/>
        </w:rPr>
      </w:pPr>
    </w:p>
    <w:p>
      <w:pPr>
        <w:pStyle w:val="4"/>
      </w:pPr>
    </w:p>
    <w:p>
      <w:pPr>
        <w:spacing w:line="600" w:lineRule="exact"/>
        <w:jc w:val="center"/>
        <w:outlineLvl w:val="0"/>
        <w:rPr>
          <w:rFonts w:ascii="仿宋" w:eastAsia="仿宋"/>
        </w:rPr>
      </w:pPr>
      <w:bookmarkStart w:id="57" w:name="_Toc15396618"/>
      <w:r>
        <w:rPr>
          <w:rFonts w:hint="eastAsia" w:ascii="黑体" w:eastAsia="黑体"/>
          <w:sz w:val="44"/>
          <w:szCs w:val="44"/>
        </w:rPr>
        <w:t>第</w:t>
      </w:r>
      <w:r>
        <w:rPr>
          <w:rStyle w:val="20"/>
          <w:rFonts w:hint="eastAsia" w:ascii="黑体" w:eastAsia="黑体"/>
          <w:b w:val="0"/>
        </w:rPr>
        <w:t>五部分 附表</w:t>
      </w:r>
      <w:bookmarkEnd w:id="55"/>
      <w:bookmarkEnd w:id="57"/>
      <w:bookmarkStart w:id="58" w:name="_Toc15396619"/>
    </w:p>
    <w:p>
      <w:pPr>
        <w:pStyle w:val="8"/>
        <w:rPr>
          <w:rFonts w:ascii="仿宋" w:eastAsia="仿宋"/>
        </w:rPr>
      </w:pPr>
      <w:r>
        <w:rPr>
          <w:rFonts w:hint="eastAsia" w:ascii="仿宋" w:eastAsia="仿宋"/>
          <w:b w:val="0"/>
        </w:rPr>
        <w:t>一、收</w:t>
      </w:r>
      <w:r>
        <w:rPr>
          <w:rStyle w:val="21"/>
          <w:rFonts w:hint="eastAsia" w:ascii="仿宋" w:eastAsia="仿宋"/>
          <w:b w:val="0"/>
          <w:bCs w:val="0"/>
        </w:rPr>
        <w:t>入支出决算总表</w:t>
      </w:r>
      <w:bookmarkEnd w:id="58"/>
    </w:p>
    <w:p>
      <w:pPr>
        <w:pStyle w:val="8"/>
        <w:rPr>
          <w:rFonts w:ascii="仿宋" w:eastAsia="仿宋"/>
        </w:rPr>
      </w:pPr>
      <w:bookmarkStart w:id="59" w:name="_Toc15396620"/>
      <w:r>
        <w:rPr>
          <w:rFonts w:hint="eastAsia" w:ascii="仿宋" w:eastAsia="仿宋"/>
          <w:b w:val="0"/>
        </w:rPr>
        <w:t>二、收</w:t>
      </w:r>
      <w:r>
        <w:rPr>
          <w:rStyle w:val="21"/>
          <w:rFonts w:hint="eastAsia" w:ascii="仿宋" w:eastAsia="仿宋"/>
          <w:b w:val="0"/>
          <w:bCs w:val="0"/>
        </w:rPr>
        <w:t>入决算表</w:t>
      </w:r>
      <w:bookmarkEnd w:id="59"/>
    </w:p>
    <w:p>
      <w:pPr>
        <w:pStyle w:val="8"/>
        <w:rPr>
          <w:rFonts w:ascii="仿宋" w:eastAsia="仿宋"/>
        </w:rPr>
      </w:pPr>
      <w:bookmarkStart w:id="60"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60"/>
    </w:p>
    <w:p>
      <w:pPr>
        <w:pStyle w:val="8"/>
        <w:rPr>
          <w:rFonts w:ascii="仿宋" w:eastAsia="仿宋"/>
          <w:b w:val="0"/>
        </w:rPr>
      </w:pPr>
      <w:bookmarkStart w:id="61" w:name="_Toc15396622"/>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61"/>
    </w:p>
    <w:p>
      <w:pPr>
        <w:pStyle w:val="8"/>
        <w:rPr>
          <w:rStyle w:val="21"/>
          <w:rFonts w:ascii="仿宋" w:eastAsia="仿宋"/>
          <w:b w:val="0"/>
          <w:bCs w:val="0"/>
        </w:rPr>
      </w:pPr>
      <w:bookmarkStart w:id="62" w:name="_Toc15396623"/>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62"/>
      <w:bookmarkStart w:id="63" w:name="_Toc15396624"/>
    </w:p>
    <w:p>
      <w:pPr>
        <w:pStyle w:val="8"/>
        <w:rPr>
          <w:rFonts w:ascii="仿宋" w:eastAsia="仿宋"/>
        </w:rPr>
      </w:pPr>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63"/>
    </w:p>
    <w:p>
      <w:pPr>
        <w:pStyle w:val="8"/>
        <w:rPr>
          <w:rFonts w:ascii="仿宋" w:eastAsia="仿宋"/>
        </w:rPr>
      </w:pPr>
      <w:bookmarkStart w:id="64" w:name="_Toc15396625"/>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64"/>
    </w:p>
    <w:p>
      <w:pPr>
        <w:pStyle w:val="8"/>
        <w:rPr>
          <w:rFonts w:ascii="仿宋" w:eastAsia="仿宋"/>
        </w:rPr>
      </w:pPr>
      <w:bookmarkStart w:id="65" w:name="_Toc15396626"/>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65"/>
    </w:p>
    <w:p>
      <w:pPr>
        <w:pStyle w:val="8"/>
        <w:rPr>
          <w:rFonts w:ascii="仿宋" w:eastAsia="仿宋"/>
        </w:rPr>
      </w:pPr>
      <w:bookmarkStart w:id="66" w:name="_Toc15396627"/>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66"/>
    </w:p>
    <w:p>
      <w:pPr>
        <w:pStyle w:val="8"/>
        <w:rPr>
          <w:rFonts w:ascii="仿宋" w:eastAsia="仿宋"/>
        </w:rPr>
      </w:pPr>
      <w:bookmarkStart w:id="67" w:name="_Toc15396628"/>
      <w:r>
        <w:rPr>
          <w:rStyle w:val="21"/>
          <w:rFonts w:hint="eastAsia" w:ascii="仿宋" w:eastAsia="仿宋"/>
          <w:b w:val="0"/>
          <w:bCs w:val="0"/>
        </w:rPr>
        <w:t>十、</w:t>
      </w:r>
      <w:bookmarkEnd w:id="67"/>
      <w:r>
        <w:rPr>
          <w:rFonts w:hint="eastAsia" w:ascii="仿宋" w:eastAsia="仿宋"/>
          <w:b w:val="0"/>
        </w:rPr>
        <w:t>政</w:t>
      </w:r>
      <w:r>
        <w:rPr>
          <w:rStyle w:val="21"/>
          <w:rFonts w:hint="eastAsia" w:ascii="仿宋" w:eastAsia="仿宋"/>
          <w:b w:val="0"/>
          <w:bCs w:val="0"/>
        </w:rPr>
        <w:t>府性基金预算财政拨款收入支出决算表</w:t>
      </w:r>
    </w:p>
    <w:p>
      <w:pPr>
        <w:pStyle w:val="8"/>
        <w:rPr>
          <w:rFonts w:ascii="仿宋" w:eastAsia="仿宋"/>
        </w:rPr>
      </w:pPr>
      <w:bookmarkStart w:id="68" w:name="_Toc15396629"/>
      <w:r>
        <w:rPr>
          <w:rStyle w:val="21"/>
          <w:rFonts w:hint="eastAsia" w:ascii="仿宋" w:eastAsia="仿宋"/>
          <w:b w:val="0"/>
          <w:bCs w:val="0"/>
        </w:rPr>
        <w:t>十一、</w:t>
      </w:r>
      <w:bookmarkEnd w:id="68"/>
      <w:r>
        <w:rPr>
          <w:rFonts w:hint="eastAsia" w:ascii="仿宋" w:eastAsia="仿宋"/>
          <w:b w:val="0"/>
        </w:rPr>
        <w:t>国</w:t>
      </w:r>
      <w:r>
        <w:rPr>
          <w:rStyle w:val="21"/>
          <w:rFonts w:hint="eastAsia" w:ascii="仿宋" w:eastAsia="仿宋"/>
          <w:b w:val="0"/>
          <w:bCs w:val="0"/>
        </w:rPr>
        <w:t>有资本经营预算财政拨款收入支出决算表</w:t>
      </w:r>
    </w:p>
    <w:p>
      <w:pPr>
        <w:pStyle w:val="8"/>
        <w:rPr>
          <w:rFonts w:ascii="仿宋" w:eastAsia="仿宋"/>
        </w:rPr>
      </w:pPr>
      <w:bookmarkStart w:id="69" w:name="_Toc15396630"/>
      <w:r>
        <w:rPr>
          <w:rStyle w:val="21"/>
          <w:rFonts w:hint="eastAsia" w:ascii="仿宋" w:eastAsia="仿宋"/>
          <w:b w:val="0"/>
          <w:bCs w:val="0"/>
        </w:rPr>
        <w:t>十二、</w:t>
      </w:r>
      <w:bookmarkEnd w:id="69"/>
      <w:r>
        <w:rPr>
          <w:rStyle w:val="21"/>
          <w:rFonts w:hint="eastAsia" w:ascii="仿宋" w:eastAsia="仿宋"/>
          <w:b w:val="0"/>
          <w:bCs w:val="0"/>
        </w:rPr>
        <w:t>国有资本经营预算财政拨款支出决算表</w:t>
      </w:r>
    </w:p>
    <w:p>
      <w:pPr>
        <w:pStyle w:val="8"/>
        <w:rPr>
          <w:rFonts w:eastAsia="仿宋"/>
        </w:rPr>
      </w:pPr>
      <w:bookmarkStart w:id="70" w:name="_Toc15396631"/>
      <w:r>
        <w:rPr>
          <w:rStyle w:val="21"/>
          <w:rFonts w:hint="eastAsia" w:ascii="仿宋" w:eastAsia="仿宋"/>
          <w:b w:val="0"/>
          <w:bCs w:val="0"/>
        </w:rPr>
        <w:t>十三、</w:t>
      </w:r>
      <w:bookmarkEnd w:id="70"/>
      <w:r>
        <w:rPr>
          <w:rStyle w:val="21"/>
          <w:rFonts w:hint="eastAsia" w:ascii="仿宋" w:eastAsia="仿宋"/>
          <w:b w:val="0"/>
          <w:bCs w:val="0"/>
        </w:rPr>
        <w:t>财政拨款“三公”经费支出决算表</w:t>
      </w:r>
    </w:p>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41616354"/>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541616354"/>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6B2178"/>
    <w:multiLevelType w:val="singleLevel"/>
    <w:tmpl w:val="876B2178"/>
    <w:lvl w:ilvl="0" w:tentative="0">
      <w:start w:val="2"/>
      <w:numFmt w:val="chineseCounting"/>
      <w:suff w:val="nothing"/>
      <w:lvlText w:val="（%1）"/>
      <w:lvlJc w:val="left"/>
      <w:pPr>
        <w:tabs>
          <w:tab w:val="left" w:pos="0"/>
        </w:tabs>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091EEBC"/>
    <w:multiLevelType w:val="singleLevel"/>
    <w:tmpl w:val="E091EEBC"/>
    <w:lvl w:ilvl="0" w:tentative="0">
      <w:start w:val="1"/>
      <w:numFmt w:val="decimal"/>
      <w:lvlText w:val="%1."/>
      <w:lvlJc w:val="left"/>
      <w:pPr>
        <w:tabs>
          <w:tab w:val="left" w:pos="312"/>
        </w:tabs>
      </w:pPr>
      <w:rPr>
        <w:rFonts w:hint="default"/>
        <w:b/>
        <w:bCs/>
      </w:rPr>
    </w:lvl>
  </w:abstractNum>
  <w:abstractNum w:abstractNumId="3">
    <w:nsid w:val="E0BA49E4"/>
    <w:multiLevelType w:val="singleLevel"/>
    <w:tmpl w:val="E0BA49E4"/>
    <w:lvl w:ilvl="0" w:tentative="0">
      <w:start w:val="1"/>
      <w:numFmt w:val="decimal"/>
      <w:lvlText w:val="%1."/>
      <w:lvlJc w:val="left"/>
      <w:pPr>
        <w:tabs>
          <w:tab w:val="left" w:pos="312"/>
        </w:tabs>
      </w:pPr>
    </w:lvl>
  </w:abstractNum>
  <w:abstractNum w:abstractNumId="4">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5">
    <w:nsid w:val="F38BC9ED"/>
    <w:multiLevelType w:val="singleLevel"/>
    <w:tmpl w:val="F38BC9ED"/>
    <w:lvl w:ilvl="0" w:tentative="0">
      <w:start w:val="2"/>
      <w:numFmt w:val="decimal"/>
      <w:lvlText w:val="%1."/>
      <w:lvlJc w:val="left"/>
      <w:pPr>
        <w:tabs>
          <w:tab w:val="left" w:pos="312"/>
        </w:tabs>
      </w:pPr>
    </w:lvl>
  </w:abstractNum>
  <w:abstractNum w:abstractNumId="6">
    <w:nsid w:val="0053832C"/>
    <w:multiLevelType w:val="singleLevel"/>
    <w:tmpl w:val="0053832C"/>
    <w:lvl w:ilvl="0" w:tentative="0">
      <w:start w:val="2"/>
      <w:numFmt w:val="chineseCounting"/>
      <w:suff w:val="nothing"/>
      <w:lvlText w:val="（%1）"/>
      <w:lvlJc w:val="left"/>
      <w:rPr>
        <w:rFonts w:hint="eastAsia"/>
      </w:rPr>
    </w:lvl>
  </w:abstractNum>
  <w:abstractNum w:abstractNumId="7">
    <w:nsid w:val="0B4B1FA7"/>
    <w:multiLevelType w:val="singleLevel"/>
    <w:tmpl w:val="0B4B1FA7"/>
    <w:lvl w:ilvl="0" w:tentative="0">
      <w:start w:val="2"/>
      <w:numFmt w:val="decimal"/>
      <w:suff w:val="nothing"/>
      <w:lvlText w:val="%1．"/>
      <w:lvlJc w:val="left"/>
      <w:pPr>
        <w:tabs>
          <w:tab w:val="left" w:pos="0"/>
        </w:tabs>
        <w:ind w:left="0" w:firstLine="0"/>
      </w:pPr>
    </w:lvl>
  </w:abstractNum>
  <w:abstractNum w:abstractNumId="8">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146B403C"/>
    <w:multiLevelType w:val="singleLevel"/>
    <w:tmpl w:val="146B403C"/>
    <w:lvl w:ilvl="0" w:tentative="0">
      <w:start w:val="1"/>
      <w:numFmt w:val="chineseCounting"/>
      <w:suff w:val="nothing"/>
      <w:lvlText w:val="%1、"/>
      <w:lvlJc w:val="left"/>
      <w:rPr>
        <w:rFonts w:hint="eastAsia"/>
      </w:rPr>
    </w:lvl>
  </w:abstractNum>
  <w:abstractNum w:abstractNumId="10">
    <w:nsid w:val="21C4E95B"/>
    <w:multiLevelType w:val="singleLevel"/>
    <w:tmpl w:val="21C4E95B"/>
    <w:lvl w:ilvl="0" w:tentative="0">
      <w:start w:val="2"/>
      <w:numFmt w:val="decimal"/>
      <w:suff w:val="nothing"/>
      <w:lvlText w:val="%1．"/>
      <w:lvlJc w:val="left"/>
      <w:pPr>
        <w:tabs>
          <w:tab w:val="left" w:pos="0"/>
        </w:tabs>
        <w:ind w:left="0" w:firstLine="0"/>
      </w:pPr>
    </w:lvl>
  </w:abstractNum>
  <w:abstractNum w:abstractNumId="11">
    <w:nsid w:val="4FA2ECE0"/>
    <w:multiLevelType w:val="singleLevel"/>
    <w:tmpl w:val="4FA2ECE0"/>
    <w:lvl w:ilvl="0" w:tentative="0">
      <w:start w:val="1"/>
      <w:numFmt w:val="chineseCounting"/>
      <w:suff w:val="nothing"/>
      <w:lvlText w:val="%1、"/>
      <w:lvlJc w:val="left"/>
      <w:rPr>
        <w:rFonts w:hint="eastAsia"/>
      </w:rPr>
    </w:lvl>
  </w:abstractNum>
  <w:num w:numId="1">
    <w:abstractNumId w:val="11"/>
  </w:num>
  <w:num w:numId="2">
    <w:abstractNumId w:val="3"/>
  </w:num>
  <w:num w:numId="3">
    <w:abstractNumId w:val="8"/>
  </w:num>
  <w:num w:numId="4">
    <w:abstractNumId w:val="2"/>
  </w:num>
  <w:num w:numId="5">
    <w:abstractNumId w:val="1"/>
  </w:num>
  <w:num w:numId="6">
    <w:abstractNumId w:val="4"/>
  </w:num>
  <w:num w:numId="7">
    <w:abstractNumId w:val="10"/>
  </w:num>
  <w:num w:numId="8">
    <w:abstractNumId w:val="7"/>
  </w:num>
  <w:num w:numId="9">
    <w:abstractNumId w:val="0"/>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YmNlYWRjMTcyMTc3Yjk3Y2ZkY2IyZjUxZTJhMWYifQ=="/>
  </w:docVars>
  <w:rsids>
    <w:rsidRoot w:val="005346C9"/>
    <w:rsid w:val="002C1B69"/>
    <w:rsid w:val="005346C9"/>
    <w:rsid w:val="007C6D18"/>
    <w:rsid w:val="09E35B78"/>
    <w:rsid w:val="289F7FC3"/>
    <w:rsid w:val="2A900B3D"/>
    <w:rsid w:val="2C723060"/>
    <w:rsid w:val="3D9F60E2"/>
    <w:rsid w:val="42994A5B"/>
    <w:rsid w:val="4E3E5563"/>
    <w:rsid w:val="52A0412E"/>
    <w:rsid w:val="52D7511B"/>
    <w:rsid w:val="592B1229"/>
    <w:rsid w:val="643E4FFA"/>
    <w:rsid w:val="788D7EA7"/>
    <w:rsid w:val="7B156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8">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9">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4">
    <w:name w:val="footer"/>
    <w:basedOn w:val="1"/>
    <w:next w:val="5"/>
    <w:qFormat/>
    <w:uiPriority w:val="0"/>
    <w:pPr>
      <w:tabs>
        <w:tab w:val="center" w:pos="4153"/>
        <w:tab w:val="right" w:pos="8306"/>
      </w:tabs>
      <w:snapToGrid w:val="0"/>
      <w:jc w:val="left"/>
    </w:pPr>
    <w:rPr>
      <w:rFonts w:ascii="Calibri" w:hAnsi="Calibri"/>
      <w:kern w:val="0"/>
      <w:sz w:val="18"/>
      <w:szCs w:val="18"/>
    </w:rPr>
  </w:style>
  <w:style w:type="paragraph" w:styleId="5">
    <w:name w:val="header"/>
    <w:basedOn w:val="1"/>
    <w:next w:val="6"/>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6">
    <w:name w:val="Normal (Web)"/>
    <w:basedOn w:val="1"/>
    <w:next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0">
    <w:name w:val="Body Text"/>
    <w:basedOn w:val="1"/>
    <w:qFormat/>
    <w:uiPriority w:val="0"/>
    <w:pPr>
      <w:spacing w:beforeLines="30"/>
    </w:pPr>
    <w:rPr>
      <w:rFonts w:ascii="仿宋_GB2312" w:eastAsia="仿宋_GB2312"/>
      <w:kern w:val="0"/>
      <w:sz w:val="30"/>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7"/>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8"/>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7"/>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7"/>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1038.52</c:v>
                </c:pt>
                <c:pt idx="1">
                  <c:v>1103.68</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1252.33</c:v>
                </c:pt>
                <c:pt idx="1">
                  <c:v>1252.33</c:v>
                </c:pt>
              </c:numCache>
            </c:numRef>
          </c:val>
        </c:ser>
        <c:dLbls>
          <c:showLegendKey val="0"/>
          <c:showVal val="1"/>
          <c:showCatName val="0"/>
          <c:showSerName val="0"/>
          <c:showPercent val="0"/>
          <c:showBubbleSize val="0"/>
        </c:dLbls>
        <c:gapWidth val="246"/>
        <c:overlap val="-28"/>
        <c:axId val="533865040"/>
        <c:axId val="653923829"/>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533865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3923829"/>
        <c:crosses val="autoZero"/>
        <c:auto val="1"/>
        <c:lblAlgn val="ctr"/>
        <c:lblOffset val="100"/>
        <c:noMultiLvlLbl val="0"/>
      </c:catAx>
      <c:valAx>
        <c:axId val="653923829"/>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8650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一般公共预算财政拨款收入</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0</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0353143866377714"/>
                  <c:y val="0.13365750050074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a:t>
                    </a:r>
                    <a:r>
                      <a:rPr lang="en-US" altLang="zh-CN"/>
                      <a:t>.19</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87</a:t>
                    </a:r>
                    <a:r>
                      <a:rPr lang="en-US" altLang="zh-CN"/>
                      <a:t>.39</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4.41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社会保障和就业支出</c:v>
                </c:pt>
                <c:pt idx="1">
                  <c:v>卫生健康支出</c:v>
                </c:pt>
                <c:pt idx="2">
                  <c:v>住房保障支出</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8.19</c:v>
                </c:pt>
                <c:pt idx="1">
                  <c:v>87.39</c:v>
                </c:pt>
                <c:pt idx="2">
                  <c:v>4.41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1038.52</c:v>
                </c:pt>
                <c:pt idx="1">
                  <c:v>1103.68</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1252.33</c:v>
                </c:pt>
                <c:pt idx="1">
                  <c:v>1252.33</c:v>
                </c:pt>
              </c:numCache>
            </c:numRef>
          </c:val>
        </c:ser>
        <c:dLbls>
          <c:showLegendKey val="0"/>
          <c:showVal val="1"/>
          <c:showCatName val="0"/>
          <c:showSerName val="0"/>
          <c:showPercent val="0"/>
          <c:showBubbleSize val="0"/>
        </c:dLbls>
        <c:gapWidth val="246"/>
        <c:overlap val="-28"/>
        <c:axId val="533865040"/>
        <c:axId val="653923829"/>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533865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3923829"/>
        <c:crosses val="autoZero"/>
        <c:auto val="1"/>
        <c:lblAlgn val="ctr"/>
        <c:lblOffset val="100"/>
        <c:noMultiLvlLbl val="0"/>
      </c:catAx>
      <c:valAx>
        <c:axId val="653923829"/>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8650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一般公共预算支出</c:v>
                </c:pt>
              </c:strCache>
            </c:strRef>
          </c:cat>
          <c:val>
            <c:numRef>
              <c:f>Sheet1!$B$2</c:f>
              <c:numCache>
                <c:formatCode>General</c:formatCode>
                <c:ptCount val="1"/>
                <c:pt idx="0">
                  <c:v>1038.52</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一般公共预算支出</c:v>
                </c:pt>
              </c:strCache>
            </c:strRef>
          </c:cat>
          <c:val>
            <c:numRef>
              <c:f>Sheet1!$C$2</c:f>
              <c:numCache>
                <c:formatCode>General</c:formatCode>
                <c:ptCount val="1"/>
                <c:pt idx="0">
                  <c:v>1252.33</c:v>
                </c:pt>
              </c:numCache>
            </c:numRef>
          </c:val>
        </c:ser>
        <c:dLbls>
          <c:showLegendKey val="0"/>
          <c:showVal val="1"/>
          <c:showCatName val="0"/>
          <c:showSerName val="0"/>
          <c:showPercent val="0"/>
          <c:showBubbleSize val="0"/>
        </c:dLbls>
        <c:gapWidth val="75"/>
        <c:overlap val="0"/>
        <c:axId val="819087216"/>
        <c:axId val="578385229"/>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c15:sqref>
                        </c15:formulaRef>
                      </c:ext>
                    </c:extLst>
                    <c:strCache>
                      <c:ptCount val="1"/>
                      <c:pt idx="0">
                        <c:v>一般公共预算支出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19087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8385229"/>
        <c:crosses val="autoZero"/>
        <c:auto val="1"/>
        <c:lblAlgn val="ctr"/>
        <c:lblOffset val="100"/>
        <c:noMultiLvlLbl val="0"/>
      </c:catAx>
      <c:valAx>
        <c:axId val="578385229"/>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0872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8.19</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a:t>
                    </a:r>
                    <a:r>
                      <a:rPr lang="en-US" altLang="zh-CN"/>
                      <a:t>7.39</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4.41</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0.00%</c:formatCode>
                <c:ptCount val="3"/>
                <c:pt idx="0">
                  <c:v>0.0651</c:v>
                </c:pt>
                <c:pt idx="1">
                  <c:v>0.8925</c:v>
                </c:pt>
                <c:pt idx="2">
                  <c:v>0.0424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0.00%</c:formatCode>
                <c:ptCount val="3"/>
                <c:pt idx="0">
                  <c:v>0.9799</c:v>
                </c:pt>
                <c:pt idx="1">
                  <c:v>0.0201</c:v>
                </c:pt>
                <c:pt idx="2" c:formatCode="General">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1226</Words>
  <Characters>6991</Characters>
  <Lines>58</Lines>
  <Paragraphs>16</Paragraphs>
  <TotalTime>15</TotalTime>
  <ScaleCrop>false</ScaleCrop>
  <LinksUpToDate>false</LinksUpToDate>
  <CharactersWithSpaces>8201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 niin</cp:lastModifiedBy>
  <cp:lastPrinted>2023-07-31T02:35:00Z</cp:lastPrinted>
  <dcterms:modified xsi:type="dcterms:W3CDTF">2023-09-26T09:31:03Z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0ABB837E3BA845C1A4F3F403906A5EAF_13</vt:lpwstr>
  </property>
</Properties>
</file>