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atLeast"/>
        <w:jc w:val="center"/>
        <w:outlineLvl w:val="0"/>
        <w:rPr>
          <w:rFonts w:ascii="方正小标宋简体" w:eastAsia="方正小标宋简体"/>
          <w:sz w:val="72"/>
          <w:szCs w:val="72"/>
        </w:rPr>
      </w:pPr>
      <w:bookmarkStart w:id="0" w:name="_Toc15377193"/>
      <w:bookmarkStart w:id="1" w:name="_Toc15378441"/>
      <w:bookmarkStart w:id="2" w:name="_Toc15396475"/>
      <w:bookmarkStart w:id="3" w:name="_Toc15377425"/>
      <w:bookmarkStart w:id="4" w:name="_Toc15396597"/>
      <w:bookmarkStart w:id="5" w:name="_Toc15306267"/>
    </w:p>
    <w:p>
      <w:pPr>
        <w:pageBreakBefore w:val="0"/>
        <w:kinsoku/>
        <w:wordWrap/>
        <w:overflowPunct/>
        <w:topLinePunct w:val="0"/>
        <w:bidi w:val="0"/>
        <w:spacing w:line="560" w:lineRule="atLeast"/>
        <w:jc w:val="center"/>
        <w:outlineLvl w:val="0"/>
        <w:rPr>
          <w:rFonts w:ascii="方正小标宋简体" w:eastAsia="方正小标宋简体"/>
          <w:sz w:val="72"/>
          <w:szCs w:val="72"/>
        </w:rPr>
      </w:pPr>
    </w:p>
    <w:p>
      <w:pPr>
        <w:pageBreakBefore w:val="0"/>
        <w:kinsoku/>
        <w:wordWrap/>
        <w:overflowPunct/>
        <w:topLinePunct w:val="0"/>
        <w:bidi w:val="0"/>
        <w:spacing w:line="560" w:lineRule="atLeast"/>
        <w:jc w:val="center"/>
        <w:outlineLvl w:val="0"/>
        <w:rPr>
          <w:rFonts w:ascii="方正小标宋简体" w:eastAsia="方正小标宋简体"/>
          <w:sz w:val="72"/>
          <w:szCs w:val="72"/>
        </w:rPr>
      </w:pPr>
    </w:p>
    <w:p>
      <w:pPr>
        <w:pageBreakBefore w:val="0"/>
        <w:kinsoku/>
        <w:wordWrap/>
        <w:overflowPunct/>
        <w:topLinePunct w:val="0"/>
        <w:bidi w:val="0"/>
        <w:adjustRightInd w:val="0"/>
        <w:snapToGrid w:val="0"/>
        <w:spacing w:line="560" w:lineRule="atLeast"/>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pPr>
        <w:pageBreakBefore w:val="0"/>
        <w:kinsoku/>
        <w:wordWrap/>
        <w:overflowPunct/>
        <w:topLinePunct w:val="0"/>
        <w:bidi w:val="0"/>
        <w:adjustRightInd w:val="0"/>
        <w:snapToGrid w:val="0"/>
        <w:spacing w:line="560" w:lineRule="atLeast"/>
        <w:jc w:val="center"/>
        <w:outlineLvl w:val="0"/>
        <w:rPr>
          <w:rFonts w:hint="eastAsia" w:ascii="方正小标宋简体" w:eastAsia="方正小标宋简体" w:cs="方正小标宋简体"/>
          <w:sz w:val="72"/>
          <w:szCs w:val="72"/>
          <w:lang w:val="en-US" w:eastAsia="zh-CN"/>
        </w:rPr>
      </w:pPr>
      <w:bookmarkStart w:id="6" w:name="_Toc15378442"/>
      <w:bookmarkStart w:id="7" w:name="_Toc15377426"/>
      <w:bookmarkStart w:id="8" w:name="_Toc15377194"/>
      <w:bookmarkStart w:id="9" w:name="_Toc15396476"/>
      <w:bookmarkStart w:id="10" w:name="_Toc15396598"/>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医疗保障局</w:t>
      </w:r>
    </w:p>
    <w:p>
      <w:pPr>
        <w:pageBreakBefore w:val="0"/>
        <w:kinsoku/>
        <w:wordWrap/>
        <w:overflowPunct/>
        <w:topLinePunct w:val="0"/>
        <w:bidi w:val="0"/>
        <w:adjustRightInd w:val="0"/>
        <w:snapToGrid w:val="0"/>
        <w:spacing w:line="560" w:lineRule="atLeast"/>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pPr>
        <w:pStyle w:val="2"/>
        <w:pageBreakBefore w:val="0"/>
        <w:kinsoku/>
        <w:wordWrap/>
        <w:overflowPunct/>
        <w:topLinePunct w:val="0"/>
        <w:bidi w:val="0"/>
        <w:spacing w:before="93" w:line="560" w:lineRule="atLeast"/>
      </w:pPr>
    </w:p>
    <w:p>
      <w:pPr>
        <w:pStyle w:val="2"/>
        <w:pageBreakBefore w:val="0"/>
        <w:kinsoku/>
        <w:wordWrap/>
        <w:overflowPunct/>
        <w:topLinePunct w:val="0"/>
        <w:bidi w:val="0"/>
        <w:spacing w:before="93" w:line="560" w:lineRule="atLeast"/>
      </w:pPr>
    </w:p>
    <w:p>
      <w:pPr>
        <w:pStyle w:val="2"/>
        <w:pageBreakBefore w:val="0"/>
        <w:kinsoku/>
        <w:wordWrap/>
        <w:overflowPunct/>
        <w:topLinePunct w:val="0"/>
        <w:bidi w:val="0"/>
        <w:spacing w:before="93" w:line="560" w:lineRule="atLeast"/>
      </w:pPr>
    </w:p>
    <w:p>
      <w:pPr>
        <w:pStyle w:val="2"/>
        <w:pageBreakBefore w:val="0"/>
        <w:kinsoku/>
        <w:wordWrap/>
        <w:overflowPunct/>
        <w:topLinePunct w:val="0"/>
        <w:bidi w:val="0"/>
        <w:spacing w:before="93" w:line="560" w:lineRule="atLeast"/>
      </w:pPr>
    </w:p>
    <w:p>
      <w:pPr>
        <w:pStyle w:val="2"/>
        <w:pageBreakBefore w:val="0"/>
        <w:kinsoku/>
        <w:wordWrap/>
        <w:overflowPunct/>
        <w:topLinePunct w:val="0"/>
        <w:bidi w:val="0"/>
        <w:spacing w:before="93" w:line="560" w:lineRule="atLeast"/>
      </w:pPr>
    </w:p>
    <w:p>
      <w:pPr>
        <w:pStyle w:val="2"/>
        <w:pageBreakBefore w:val="0"/>
        <w:kinsoku/>
        <w:wordWrap/>
        <w:overflowPunct/>
        <w:topLinePunct w:val="0"/>
        <w:bidi w:val="0"/>
        <w:spacing w:before="93" w:line="560" w:lineRule="atLeast"/>
      </w:pPr>
    </w:p>
    <w:p>
      <w:pPr>
        <w:pageBreakBefore w:val="0"/>
        <w:widowControl/>
        <w:kinsoku/>
        <w:wordWrap/>
        <w:overflowPunct/>
        <w:topLinePunct w:val="0"/>
        <w:bidi w:val="0"/>
        <w:spacing w:line="560" w:lineRule="atLeast"/>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pageBreakBefore w:val="0"/>
        <w:widowControl/>
        <w:kinsoku/>
        <w:wordWrap/>
        <w:overflowPunct/>
        <w:topLinePunct w:val="0"/>
        <w:bidi w:val="0"/>
        <w:spacing w:line="560" w:lineRule="atLeast"/>
        <w:jc w:val="center"/>
        <w:rPr>
          <w:rFonts w:ascii="黑体" w:eastAsia="黑体" w:cs="Arial"/>
          <w:sz w:val="28"/>
          <w:szCs w:val="28"/>
        </w:rPr>
      </w:pPr>
    </w:p>
    <w:p>
      <w:pPr>
        <w:pStyle w:val="13"/>
        <w:pageBreakBefore w:val="0"/>
        <w:kinsoku/>
        <w:wordWrap/>
        <w:overflowPunct/>
        <w:topLinePunct w:val="0"/>
        <w:bidi w:val="0"/>
        <w:spacing w:line="560" w:lineRule="atLeast"/>
        <w:rPr>
          <w:rFonts w:hint="eastAsia" w:ascii="仿宋_GB2312" w:hAnsi="仿宋_GB2312" w:eastAsia="仿宋_GB2312" w:cs="仿宋_GB2312"/>
        </w:rPr>
      </w:pPr>
      <w:bookmarkStart w:id="77" w:name="_GoBack"/>
      <w:r>
        <w:rPr>
          <w:rFonts w:hint="eastAsia" w:ascii="仿宋_GB2312" w:hAnsi="仿宋_GB2312" w:eastAsia="仿宋_GB2312" w:cs="仿宋_GB2312"/>
        </w:rPr>
        <w:t>公开时间：2022年9月</w:t>
      </w:r>
      <w:r>
        <w:rPr>
          <w:rFonts w:hint="eastAsia" w:ascii="仿宋_GB2312" w:hAnsi="仿宋_GB2312" w:eastAsia="仿宋_GB2312" w:cs="仿宋_GB2312"/>
          <w:lang w:val="en-US" w:eastAsia="zh-CN"/>
        </w:rPr>
        <w:t>28</w:t>
      </w:r>
      <w:r>
        <w:rPr>
          <w:rFonts w:hint="eastAsia" w:ascii="仿宋_GB2312" w:hAnsi="仿宋_GB2312" w:eastAsia="仿宋_GB2312" w:cs="仿宋_GB2312"/>
        </w:rPr>
        <w:t>日</w:t>
      </w:r>
    </w:p>
    <w:bookmarkEnd w:id="77"/>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第一部分 部门概况</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4</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一、基本职能及主要工作</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4</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二、机构设置</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7</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第二部分 2020年度部门决算情况说明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8</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一、收入支出决算总体情况说明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8</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二、收入决算情况说明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9</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lang w:val="en-US" w:eastAsia="zh-CN"/>
        </w:rPr>
      </w:pPr>
      <w:r>
        <w:rPr>
          <w:rFonts w:ascii="黑体" w:hAnsi="黑体" w:eastAsia="黑体" w:cs="Times New Roman"/>
          <w:b w:val="0"/>
          <w:bCs/>
          <w:i w:val="0"/>
          <w:iCs w:val="0"/>
          <w:smallCaps/>
          <w:spacing w:val="0"/>
          <w:w w:val="100"/>
          <w:kern w:val="2"/>
          <w:sz w:val="20"/>
          <w:szCs w:val="20"/>
          <w:lang w:val="en-US" w:eastAsia="zh-CN" w:bidi="ar-SA"/>
        </w:rPr>
        <w:t>三、支出决算情况说明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9</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四、财政拨款收入支出决算总体情况说明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10</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五、一般公共预算财政拨款支出决算情况说明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11</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六、一般公共预算财政拨款基本支出决算情况说明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15</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七、“三公”经费财政拨款支出决算情况说明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16</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八、政府性基金预算支出决算情况说明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19</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九、 国有资本经营预算支出决算情况说明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19</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十、其他重要事项的情况说明</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19</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第三部分 名词解释</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21</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ascii="黑体" w:hAnsi="黑体" w:eastAsia="黑体" w:cs="Times New Roman"/>
          <w:b w:val="0"/>
          <w:bCs/>
          <w:i w:val="0"/>
          <w:iCs w:val="0"/>
          <w:smallCaps/>
          <w:spacing w:val="0"/>
          <w:w w:val="100"/>
          <w:kern w:val="2"/>
          <w:sz w:val="20"/>
          <w:szCs w:val="20"/>
          <w:lang w:val="en-US" w:eastAsia="zh-CN" w:bidi="ar-SA"/>
        </w:rPr>
      </w:pPr>
      <w:r>
        <w:rPr>
          <w:rFonts w:hint="eastAsia" w:ascii="黑体" w:hAnsi="黑体" w:eastAsia="黑体" w:cs="Times New Roman"/>
          <w:b w:val="0"/>
          <w:bCs/>
          <w:i w:val="0"/>
          <w:iCs w:val="0"/>
          <w:smallCaps/>
          <w:spacing w:val="0"/>
          <w:w w:val="100"/>
          <w:kern w:val="2"/>
          <w:sz w:val="20"/>
          <w:szCs w:val="20"/>
          <w:lang w:val="en-US" w:eastAsia="zh-CN" w:bidi="ar-SA"/>
        </w:rPr>
        <w:t>第四部分 阿坝州医疗保障局2021年部门整体支出绩效评价报告</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24</w:t>
      </w:r>
      <w:r>
        <w:rPr>
          <w:rFonts w:ascii="黑体" w:hAnsi="黑体" w:eastAsia="黑体" w:cs="Times New Roman"/>
          <w:b w:val="0"/>
          <w:bCs/>
          <w:i w:val="0"/>
          <w:iCs w:val="0"/>
          <w:smallCaps/>
          <w:spacing w:val="0"/>
          <w:w w:val="100"/>
          <w:kern w:val="2"/>
          <w:sz w:val="20"/>
          <w:szCs w:val="20"/>
          <w:lang w:val="en-US" w:eastAsia="zh-CN" w:bidi="ar-SA"/>
        </w:rPr>
        <w:tab/>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eastAsia" w:ascii="黑体" w:hAnsi="黑体" w:eastAsia="黑体" w:cs="Times New Roman"/>
          <w:b w:val="0"/>
          <w:bCs/>
          <w:i w:val="0"/>
          <w:iCs w:val="0"/>
          <w:smallCaps/>
          <w:spacing w:val="0"/>
          <w:w w:val="100"/>
          <w:kern w:val="2"/>
          <w:sz w:val="20"/>
          <w:szCs w:val="20"/>
          <w:lang w:val="en-US" w:eastAsia="zh-CN" w:bidi="ar-SA"/>
        </w:rPr>
      </w:pPr>
      <w:r>
        <w:rPr>
          <w:rFonts w:hint="eastAsia" w:ascii="黑体" w:hAnsi="黑体" w:eastAsia="黑体" w:cs="Times New Roman"/>
          <w:b w:val="0"/>
          <w:bCs/>
          <w:i w:val="0"/>
          <w:iCs w:val="0"/>
          <w:smallCaps/>
          <w:spacing w:val="0"/>
          <w:w w:val="100"/>
          <w:kern w:val="2"/>
          <w:sz w:val="20"/>
          <w:szCs w:val="20"/>
          <w:lang w:val="en-US" w:eastAsia="zh-CN" w:bidi="ar-SA"/>
        </w:rPr>
        <w:t>2022年专项预算项目支出绩效自评报告（2021年医疗保障与服务能力提升专项补助资金）</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color w:val="auto"/>
          <w:spacing w:val="0"/>
          <w:w w:val="100"/>
          <w:kern w:val="2"/>
          <w:sz w:val="20"/>
          <w:szCs w:val="20"/>
          <w:lang w:val="en-US" w:eastAsia="zh-CN" w:bidi="ar-SA"/>
        </w:rPr>
      </w:pP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35</w:t>
      </w:r>
    </w:p>
    <w:p>
      <w:pPr>
        <w:pStyle w:val="11"/>
        <w:pageBreakBefore w:val="0"/>
        <w:kinsoku/>
        <w:wordWrap/>
        <w:overflowPunct/>
        <w:topLinePunct w:val="0"/>
        <w:bidi w:val="0"/>
        <w:snapToGrid/>
        <w:spacing w:before="0" w:beforeAutospacing="0" w:after="0" w:afterAutospacing="0" w:line="560" w:lineRule="atLeast"/>
        <w:ind w:left="420"/>
        <w:jc w:val="left"/>
        <w:textAlignment w:val="baseline"/>
        <w:rPr>
          <w:rFonts w:hint="default"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2022年专项预算项目支出绩效自评报告（2021年社保公共服务能力提升资金绩效自评报告）</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50</w:t>
      </w:r>
    </w:p>
    <w:p>
      <w:pPr>
        <w:pStyle w:val="13"/>
        <w:pageBreakBefore w:val="0"/>
        <w:kinsoku/>
        <w:wordWrap/>
        <w:overflowPunct/>
        <w:topLinePunct w:val="0"/>
        <w:bidi w:val="0"/>
        <w:adjustRightInd w:val="0"/>
        <w:snapToGrid w:val="0"/>
        <w:spacing w:before="0" w:line="560" w:lineRule="atLeast"/>
        <w:ind w:firstLine="800" w:firstLineChars="400"/>
        <w:jc w:val="left"/>
        <w:rPr>
          <w:rFonts w:hint="default" w:ascii="黑体" w:hAnsi="黑体" w:eastAsia="黑体" w:cs="Times New Roman"/>
          <w:b w:val="0"/>
          <w:bCs/>
          <w:i w:val="0"/>
          <w:iCs w:val="0"/>
          <w:smallCaps/>
          <w:spacing w:val="0"/>
          <w:w w:val="100"/>
          <w:kern w:val="2"/>
          <w:sz w:val="20"/>
          <w:szCs w:val="20"/>
          <w:lang w:val="en-US" w:eastAsia="zh-CN" w:bidi="ar-SA"/>
        </w:rPr>
      </w:pPr>
      <w:bookmarkStart w:id="12" w:name="_Toc15396599"/>
      <w:bookmarkStart w:id="13" w:name="_Toc15377196"/>
      <w:r>
        <w:rPr>
          <w:rFonts w:hint="eastAsia" w:ascii="黑体" w:hAnsi="黑体" w:eastAsia="黑体" w:cs="Times New Roman"/>
          <w:b w:val="0"/>
          <w:bCs/>
          <w:i w:val="0"/>
          <w:iCs w:val="0"/>
          <w:smallCaps/>
          <w:spacing w:val="0"/>
          <w:w w:val="100"/>
          <w:kern w:val="2"/>
          <w:sz w:val="20"/>
          <w:szCs w:val="20"/>
          <w:lang w:val="en-US" w:eastAsia="zh-CN" w:bidi="ar-SA"/>
        </w:rPr>
        <w:t>2021年100万元以上（含）特定目标类部门预算项目绩效目标自评</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59</w:t>
      </w:r>
    </w:p>
    <w:p>
      <w:pPr>
        <w:pStyle w:val="13"/>
        <w:pageBreakBefore w:val="0"/>
        <w:kinsoku/>
        <w:wordWrap/>
        <w:overflowPunct/>
        <w:topLinePunct w:val="0"/>
        <w:bidi w:val="0"/>
        <w:adjustRightInd w:val="0"/>
        <w:snapToGrid w:val="0"/>
        <w:spacing w:before="0" w:line="560" w:lineRule="atLeast"/>
        <w:ind w:firstLine="800" w:firstLineChars="400"/>
        <w:jc w:val="left"/>
        <w:rPr>
          <w:rFonts w:hint="default"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第五部分</w:t>
      </w:r>
      <w:r>
        <w:rPr>
          <w:rFonts w:ascii="黑体" w:hAnsi="黑体" w:eastAsia="黑体" w:cs="Times New Roman"/>
          <w:b w:val="0"/>
          <w:bCs/>
          <w:i w:val="0"/>
          <w:iCs w:val="0"/>
          <w:smallCaps/>
          <w:color w:val="auto"/>
          <w:spacing w:val="0"/>
          <w:w w:val="100"/>
          <w:kern w:val="2"/>
          <w:sz w:val="20"/>
          <w:szCs w:val="20"/>
          <w:lang w:val="en-US" w:eastAsia="zh-CN" w:bidi="ar-SA"/>
        </w:rPr>
        <w:t xml:space="preserve"> </w:t>
      </w:r>
      <w:r>
        <w:rPr>
          <w:rFonts w:hint="eastAsia" w:ascii="黑体" w:hAnsi="黑体" w:eastAsia="黑体" w:cs="Times New Roman"/>
          <w:b w:val="0"/>
          <w:bCs/>
          <w:i w:val="0"/>
          <w:iCs w:val="0"/>
          <w:smallCaps/>
          <w:color w:val="auto"/>
          <w:spacing w:val="0"/>
          <w:w w:val="100"/>
          <w:kern w:val="2"/>
          <w:sz w:val="20"/>
          <w:szCs w:val="20"/>
          <w:lang w:val="en-US" w:eastAsia="zh-CN" w:bidi="ar-SA"/>
        </w:rPr>
        <w:t>附表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3"/>
        <w:pageBreakBefore w:val="0"/>
        <w:kinsoku/>
        <w:wordWrap/>
        <w:overflowPunct/>
        <w:topLinePunct w:val="0"/>
        <w:bidi w:val="0"/>
        <w:adjustRightInd w:val="0"/>
        <w:snapToGrid w:val="0"/>
        <w:spacing w:before="0" w:line="560" w:lineRule="atLeast"/>
        <w:ind w:firstLine="800" w:firstLineChars="4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一、收入支出决算总表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3"/>
        <w:pageBreakBefore w:val="0"/>
        <w:kinsoku/>
        <w:wordWrap/>
        <w:overflowPunct/>
        <w:topLinePunct w:val="0"/>
        <w:bidi w:val="0"/>
        <w:adjustRightInd w:val="0"/>
        <w:snapToGrid w:val="0"/>
        <w:spacing w:before="0" w:line="560" w:lineRule="atLeast"/>
        <w:ind w:firstLine="800" w:firstLineChars="4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二、收入决算表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3"/>
        <w:pageBreakBefore w:val="0"/>
        <w:kinsoku/>
        <w:wordWrap/>
        <w:overflowPunct/>
        <w:topLinePunct w:val="0"/>
        <w:bidi w:val="0"/>
        <w:adjustRightInd w:val="0"/>
        <w:snapToGrid w:val="0"/>
        <w:spacing w:before="0" w:line="560" w:lineRule="atLeast"/>
        <w:ind w:firstLine="800" w:firstLineChars="4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三、支出决算表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3"/>
        <w:pageBreakBefore w:val="0"/>
        <w:kinsoku/>
        <w:wordWrap/>
        <w:overflowPunct/>
        <w:topLinePunct w:val="0"/>
        <w:bidi w:val="0"/>
        <w:adjustRightInd w:val="0"/>
        <w:snapToGrid w:val="0"/>
        <w:spacing w:before="0" w:line="560" w:lineRule="atLeast"/>
        <w:ind w:firstLine="800" w:firstLineChars="4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四、财政拨款收入支出决算总表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五、财政拨款支出决算明细表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六、一般公共预算财政拨款支出决算表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七、一般公共预算财政拨款支出决算明细表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八、一般公共预算财政拨款基本支出决算表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九、一般公共预算财政拨款项目支出决算表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十、一般公共预算财政拨款“三公”经费支出决算表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十一、政府性基金预算财政拨款收入支出决算表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十二、政府性基金预算财政拨款“三公”经费支出决算表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十三、国有资本经营预算财政拨款收入支出决算表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14"/>
        <w:pageBreakBefore w:val="0"/>
        <w:kinsoku/>
        <w:wordWrap/>
        <w:overflowPunct/>
        <w:topLinePunct w:val="0"/>
        <w:bidi w:val="0"/>
        <w:adjustRightInd w:val="0"/>
        <w:snapToGrid w:val="0"/>
        <w:spacing w:line="560" w:lineRule="atLeast"/>
        <w:ind w:left="420" w:firstLine="400" w:firstLineChars="200"/>
        <w:jc w:val="left"/>
        <w:rPr>
          <w:rFonts w:ascii="黑体" w:hAnsi="黑体" w:eastAsia="黑体" w:cs="Times New Roman"/>
          <w:b w:val="0"/>
          <w:bCs/>
          <w:i w:val="0"/>
          <w:iCs w:val="0"/>
          <w:smallCaps/>
          <w:color w:val="auto"/>
          <w:spacing w:val="0"/>
          <w:w w:val="100"/>
          <w:kern w:val="2"/>
          <w:sz w:val="20"/>
          <w:szCs w:val="20"/>
          <w:lang w:val="en-US" w:eastAsia="zh-CN" w:bidi="ar-SA"/>
        </w:rPr>
      </w:pPr>
      <w:r>
        <w:rPr>
          <w:rFonts w:hint="eastAsia" w:ascii="黑体" w:hAnsi="黑体" w:eastAsia="黑体" w:cs="Times New Roman"/>
          <w:b w:val="0"/>
          <w:bCs/>
          <w:i w:val="0"/>
          <w:iCs w:val="0"/>
          <w:smallCaps/>
          <w:color w:val="auto"/>
          <w:spacing w:val="0"/>
          <w:w w:val="100"/>
          <w:kern w:val="2"/>
          <w:sz w:val="20"/>
          <w:szCs w:val="20"/>
          <w:lang w:val="en-US" w:eastAsia="zh-CN" w:bidi="ar-SA"/>
        </w:rPr>
        <w:t>十四、国有资本经营预算财政拨款支出决算表</w:t>
      </w:r>
      <w:r>
        <w:rPr>
          <w:rFonts w:ascii="黑体" w:hAnsi="黑体" w:eastAsia="黑体" w:cs="Times New Roman"/>
          <w:b w:val="0"/>
          <w:bCs/>
          <w:i w:val="0"/>
          <w:iCs w:val="0"/>
          <w:smallCaps/>
          <w:spacing w:val="0"/>
          <w:w w:val="100"/>
          <w:kern w:val="2"/>
          <w:sz w:val="20"/>
          <w:szCs w:val="20"/>
          <w:lang w:val="en-US" w:eastAsia="zh-CN" w:bidi="ar-SA"/>
        </w:rPr>
        <w:tab/>
      </w:r>
      <w:r>
        <w:rPr>
          <w:rFonts w:hint="eastAsia" w:ascii="黑体" w:hAnsi="黑体" w:eastAsia="黑体" w:cs="Times New Roman"/>
          <w:b w:val="0"/>
          <w:bCs/>
          <w:i w:val="0"/>
          <w:iCs w:val="0"/>
          <w:smallCaps/>
          <w:spacing w:val="0"/>
          <w:w w:val="100"/>
          <w:kern w:val="2"/>
          <w:sz w:val="20"/>
          <w:szCs w:val="20"/>
          <w:lang w:val="en-US" w:eastAsia="zh-CN" w:bidi="ar-SA"/>
        </w:rPr>
        <w:t>64</w:t>
      </w:r>
    </w:p>
    <w:p>
      <w:pPr>
        <w:pStyle w:val="3"/>
        <w:pageBreakBefore w:val="0"/>
        <w:kinsoku/>
        <w:wordWrap/>
        <w:overflowPunct/>
        <w:topLinePunct w:val="0"/>
        <w:bidi w:val="0"/>
        <w:spacing w:line="560" w:lineRule="atLeast"/>
        <w:jc w:val="both"/>
        <w:rPr>
          <w:rFonts w:hint="eastAsia" w:ascii="黑体" w:eastAsia="黑体"/>
          <w:b w:val="0"/>
        </w:rPr>
      </w:pPr>
    </w:p>
    <w:p>
      <w:pPr>
        <w:pStyle w:val="2"/>
        <w:pageBreakBefore w:val="0"/>
        <w:kinsoku/>
        <w:wordWrap/>
        <w:overflowPunct/>
        <w:topLinePunct w:val="0"/>
        <w:bidi w:val="0"/>
        <w:spacing w:line="560" w:lineRule="atLeast"/>
        <w:rPr>
          <w:rFonts w:hint="eastAsia" w:ascii="黑体" w:eastAsia="黑体"/>
          <w:b w:val="0"/>
        </w:rPr>
      </w:pPr>
    </w:p>
    <w:p>
      <w:pPr>
        <w:pStyle w:val="3"/>
        <w:pageBreakBefore w:val="0"/>
        <w:kinsoku/>
        <w:wordWrap/>
        <w:overflowPunct/>
        <w:topLinePunct w:val="0"/>
        <w:bidi w:val="0"/>
        <w:spacing w:line="560" w:lineRule="atLeast"/>
        <w:ind w:firstLine="2640" w:firstLineChars="600"/>
        <w:jc w:val="both"/>
        <w:rPr>
          <w:rStyle w:val="21"/>
          <w:rFonts w:hint="eastAsia" w:ascii="方正小标宋_GBK" w:hAnsi="方正小标宋_GBK" w:eastAsia="方正小标宋_GBK" w:cs="方正小标宋_GBK"/>
          <w:b/>
          <w:bCs w:val="0"/>
        </w:rPr>
      </w:pPr>
      <w:r>
        <w:rPr>
          <w:rFonts w:hint="eastAsia" w:ascii="方正小标宋_GBK" w:hAnsi="方正小标宋_GBK" w:eastAsia="方正小标宋_GBK" w:cs="方正小标宋_GBK"/>
          <w:b w:val="0"/>
        </w:rPr>
        <w:t xml:space="preserve">第一部分 </w:t>
      </w:r>
      <w:r>
        <w:rPr>
          <w:rStyle w:val="21"/>
          <w:rFonts w:hint="eastAsia" w:ascii="方正小标宋_GBK" w:hAnsi="方正小标宋_GBK" w:eastAsia="方正小标宋_GBK" w:cs="方正小标宋_GBK"/>
          <w:b w:val="0"/>
          <w:bCs w:val="0"/>
        </w:rPr>
        <w:t>部门概况</w:t>
      </w:r>
      <w:bookmarkEnd w:id="12"/>
      <w:bookmarkEnd w:id="13"/>
    </w:p>
    <w:p>
      <w:pPr>
        <w:pStyle w:val="4"/>
        <w:pageBreakBefore w:val="0"/>
        <w:kinsoku/>
        <w:wordWrap/>
        <w:overflowPunct/>
        <w:topLinePunct w:val="0"/>
        <w:autoSpaceDE/>
        <w:autoSpaceDN/>
        <w:bidi w:val="0"/>
        <w:adjustRightInd/>
        <w:snapToGrid/>
        <w:spacing w:before="0" w:after="0" w:line="560" w:lineRule="atLeast"/>
        <w:ind w:left="0" w:right="0" w:firstLine="960" w:firstLineChars="300"/>
        <w:textAlignment w:val="auto"/>
        <w:rPr>
          <w:rStyle w:val="22"/>
          <w:rFonts w:hint="eastAsia" w:ascii="黑体" w:eastAsia="黑体"/>
          <w:b w:val="0"/>
          <w:bCs w:val="0"/>
        </w:rPr>
      </w:pPr>
      <w:bookmarkStart w:id="14" w:name="_Toc15396600"/>
      <w:bookmarkStart w:id="15" w:name="_Toc15377197"/>
      <w:r>
        <w:rPr>
          <w:rFonts w:hint="eastAsia" w:ascii="黑体" w:eastAsia="黑体"/>
          <w:b w:val="0"/>
        </w:rPr>
        <w:t>一、基</w:t>
      </w:r>
      <w:r>
        <w:rPr>
          <w:rStyle w:val="22"/>
          <w:rFonts w:hint="eastAsia" w:ascii="黑体" w:eastAsia="黑体"/>
          <w:b w:val="0"/>
          <w:bCs w:val="0"/>
        </w:rPr>
        <w:t>本职能及主要工作</w:t>
      </w:r>
      <w:bookmarkEnd w:id="14"/>
      <w:bookmarkEnd w:id="15"/>
      <w:bookmarkStart w:id="16" w:name="_Toc15378445"/>
      <w:bookmarkStart w:id="17" w:name="_Toc15377198"/>
    </w:p>
    <w:p>
      <w:pPr>
        <w:pStyle w:val="4"/>
        <w:pageBreakBefore w:val="0"/>
        <w:kinsoku/>
        <w:wordWrap/>
        <w:overflowPunct/>
        <w:topLinePunct w:val="0"/>
        <w:autoSpaceDE/>
        <w:autoSpaceDN/>
        <w:bidi w:val="0"/>
        <w:adjustRightInd/>
        <w:snapToGrid/>
        <w:spacing w:before="0" w:after="0" w:line="560" w:lineRule="atLeast"/>
        <w:ind w:left="0" w:right="0" w:firstLine="963" w:firstLineChars="3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（一）主要职能。</w:t>
      </w:r>
      <w:bookmarkEnd w:id="16"/>
      <w:bookmarkEnd w:id="17"/>
      <w:bookmarkStart w:id="18" w:name="_Toc15378446"/>
      <w:bookmarkStart w:id="19" w:name="_Toc15377199"/>
    </w:p>
    <w:p>
      <w:pPr>
        <w:pStyle w:val="10"/>
        <w:keepNext w:val="0"/>
        <w:keepLines w:val="0"/>
        <w:pageBreakBefore w:val="0"/>
        <w:widowControl/>
        <w:shd w:val="clear" w:fill="FFFFFF"/>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kern w:val="2"/>
          <w:sz w:val="32"/>
          <w:szCs w:val="32"/>
          <w:lang w:val="en-US" w:eastAsia="zh-CN" w:bidi="ar-SA"/>
        </w:rPr>
        <w:t>州医保局贯彻落实党中央关于医疗保障工作的方针政策和省委、州委的决策部署，在履行职责过程中坚持和加强党对医疗保障工作的集中统一领导，主要职责是：</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组织拟定并实施医疗保障基金监督管理制度，建立健全医疗保障基金安全防控机制，监督强化全州医疗保障基金运行管理。</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组织拟订医疗保障筹资和待遇政策，完善动态调整和区域调剂平衡机制，统筹城乡医疗保障待遇标准，建立健全与筹资水平相适应的待遇调整机制。组织实施长期护理保险制度改革。</w:t>
      </w:r>
      <w:r>
        <w:rPr>
          <w:rFonts w:hint="eastAsia" w:ascii="仿宋_GB2312" w:hAnsi="仿宋_GB2312" w:eastAsia="仿宋_GB2312" w:cs="仿宋_GB2312"/>
          <w:b/>
          <w:bCs/>
          <w:kern w:val="2"/>
          <w:sz w:val="32"/>
          <w:szCs w:val="32"/>
          <w:lang w:val="en-US" w:eastAsia="zh-CN" w:bidi="ar-SA"/>
        </w:rPr>
        <w:t>四是</w:t>
      </w:r>
      <w:r>
        <w:rPr>
          <w:rFonts w:hint="eastAsia" w:ascii="仿宋_GB2312" w:hAnsi="仿宋_GB2312" w:eastAsia="仿宋_GB2312" w:cs="仿宋_GB2312"/>
          <w:kern w:val="2"/>
          <w:sz w:val="32"/>
          <w:szCs w:val="32"/>
          <w:lang w:val="en-US" w:eastAsia="zh-CN" w:bidi="ar-SA"/>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kern w:val="2"/>
          <w:sz w:val="32"/>
          <w:szCs w:val="32"/>
          <w:lang w:val="en-US" w:eastAsia="zh-CN" w:bidi="ar-SA"/>
        </w:rPr>
        <w:t>五是</w:t>
      </w:r>
      <w:r>
        <w:rPr>
          <w:rFonts w:hint="eastAsia" w:ascii="仿宋_GB2312" w:hAnsi="仿宋_GB2312" w:eastAsia="仿宋_GB2312" w:cs="仿宋_GB2312"/>
          <w:kern w:val="2"/>
          <w:sz w:val="32"/>
          <w:szCs w:val="32"/>
          <w:lang w:val="en-US" w:eastAsia="zh-CN" w:bidi="ar-SA"/>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kern w:val="2"/>
          <w:sz w:val="32"/>
          <w:szCs w:val="32"/>
          <w:lang w:val="en-US" w:eastAsia="zh-CN" w:bidi="ar-SA"/>
        </w:rPr>
        <w:t>六是</w:t>
      </w:r>
      <w:r>
        <w:rPr>
          <w:rFonts w:hint="eastAsia" w:ascii="仿宋_GB2312" w:hAnsi="仿宋_GB2312" w:eastAsia="仿宋_GB2312" w:cs="仿宋_GB2312"/>
          <w:kern w:val="2"/>
          <w:sz w:val="32"/>
          <w:szCs w:val="32"/>
          <w:lang w:val="en-US" w:eastAsia="zh-CN" w:bidi="ar-SA"/>
        </w:rPr>
        <w:t>贯彻落实药品、医用耗材的招标采购政策并监督实施。</w:t>
      </w:r>
      <w:r>
        <w:rPr>
          <w:rFonts w:hint="eastAsia" w:ascii="仿宋_GB2312" w:hAnsi="仿宋_GB2312" w:eastAsia="仿宋_GB2312" w:cs="仿宋_GB2312"/>
          <w:b/>
          <w:bCs/>
          <w:kern w:val="2"/>
          <w:sz w:val="32"/>
          <w:szCs w:val="32"/>
          <w:lang w:val="en-US" w:eastAsia="zh-CN" w:bidi="ar-SA"/>
        </w:rPr>
        <w:t>七是</w:t>
      </w:r>
      <w:r>
        <w:rPr>
          <w:rFonts w:hint="eastAsia" w:ascii="仿宋_GB2312" w:hAnsi="仿宋_GB2312" w:eastAsia="仿宋_GB2312" w:cs="仿宋_GB2312"/>
          <w:kern w:val="2"/>
          <w:sz w:val="32"/>
          <w:szCs w:val="32"/>
          <w:lang w:val="en-US" w:eastAsia="zh-CN" w:bidi="ar-SA"/>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kern w:val="2"/>
          <w:sz w:val="32"/>
          <w:szCs w:val="32"/>
          <w:lang w:val="en-US" w:eastAsia="zh-CN" w:bidi="ar-SA"/>
        </w:rPr>
        <w:t>八是</w:t>
      </w:r>
      <w:r>
        <w:rPr>
          <w:rFonts w:hint="eastAsia" w:ascii="仿宋_GB2312" w:hAnsi="仿宋_GB2312" w:eastAsia="仿宋_GB2312" w:cs="仿宋_GB2312"/>
          <w:kern w:val="2"/>
          <w:sz w:val="32"/>
          <w:szCs w:val="32"/>
          <w:lang w:val="en-US" w:eastAsia="zh-CN" w:bidi="ar-SA"/>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kern w:val="2"/>
          <w:sz w:val="32"/>
          <w:szCs w:val="32"/>
          <w:lang w:val="en-US" w:eastAsia="zh-CN" w:bidi="ar-SA"/>
        </w:rPr>
        <w:t>九是</w:t>
      </w:r>
      <w:r>
        <w:rPr>
          <w:rFonts w:hint="eastAsia" w:ascii="仿宋_GB2312" w:hAnsi="仿宋_GB2312" w:eastAsia="仿宋_GB2312" w:cs="仿宋_GB2312"/>
          <w:kern w:val="2"/>
          <w:sz w:val="32"/>
          <w:szCs w:val="32"/>
          <w:lang w:val="en-US" w:eastAsia="zh-CN" w:bidi="ar-SA"/>
        </w:rPr>
        <w:t>负责规划实施全州医疗保障信息化建设。组织开展医疗保障大数据管理和应用。</w:t>
      </w:r>
      <w:r>
        <w:rPr>
          <w:rFonts w:hint="eastAsia" w:ascii="仿宋_GB2312" w:hAnsi="仿宋_GB2312" w:eastAsia="仿宋_GB2312" w:cs="仿宋_GB2312"/>
          <w:b/>
          <w:bCs/>
          <w:kern w:val="2"/>
          <w:sz w:val="32"/>
          <w:szCs w:val="32"/>
          <w:lang w:val="en-US" w:eastAsia="zh-CN" w:bidi="ar-SA"/>
        </w:rPr>
        <w:t>十是</w:t>
      </w:r>
      <w:r>
        <w:rPr>
          <w:rFonts w:hint="eastAsia" w:ascii="仿宋_GB2312" w:hAnsi="仿宋_GB2312" w:eastAsia="仿宋_GB2312" w:cs="仿宋_GB2312"/>
          <w:kern w:val="2"/>
          <w:sz w:val="32"/>
          <w:szCs w:val="32"/>
          <w:lang w:val="en-US" w:eastAsia="zh-CN" w:bidi="ar-SA"/>
        </w:rPr>
        <w:t>负责职责范围内的安全生产和职业健康、生态环境保护、公共机构节能减排、审批服务便民化等工作。</w:t>
      </w:r>
      <w:r>
        <w:rPr>
          <w:rFonts w:hint="eastAsia" w:ascii="仿宋_GB2312" w:hAnsi="仿宋_GB2312" w:eastAsia="仿宋_GB2312" w:cs="仿宋_GB2312"/>
          <w:b/>
          <w:bCs/>
          <w:kern w:val="2"/>
          <w:sz w:val="32"/>
          <w:szCs w:val="32"/>
          <w:lang w:val="en-US" w:eastAsia="zh-CN" w:bidi="ar-SA"/>
        </w:rPr>
        <w:t>十一是</w:t>
      </w:r>
      <w:r>
        <w:rPr>
          <w:rFonts w:hint="eastAsia" w:ascii="仿宋_GB2312" w:hAnsi="仿宋_GB2312" w:eastAsia="仿宋_GB2312" w:cs="仿宋_GB2312"/>
          <w:kern w:val="2"/>
          <w:sz w:val="32"/>
          <w:szCs w:val="32"/>
          <w:lang w:val="en-US" w:eastAsia="zh-CN" w:bidi="ar-SA"/>
        </w:rPr>
        <w:t>完成州委、州政府交办的其他任务。</w:t>
      </w:r>
      <w:r>
        <w:rPr>
          <w:rFonts w:hint="eastAsia" w:ascii="仿宋_GB2312" w:hAnsi="仿宋_GB2312" w:eastAsia="仿宋_GB2312" w:cs="仿宋_GB2312"/>
          <w:b/>
          <w:bCs/>
          <w:kern w:val="2"/>
          <w:sz w:val="32"/>
          <w:szCs w:val="32"/>
          <w:lang w:val="en-US" w:eastAsia="zh-CN" w:bidi="ar-SA"/>
        </w:rPr>
        <w:t>十二是</w:t>
      </w:r>
      <w:r>
        <w:rPr>
          <w:rFonts w:hint="eastAsia" w:ascii="仿宋_GB2312" w:hAnsi="仿宋_GB2312" w:eastAsia="仿宋_GB2312" w:cs="仿宋_GB2312"/>
          <w:kern w:val="2"/>
          <w:sz w:val="32"/>
          <w:szCs w:val="32"/>
          <w:lang w:val="en-US" w:eastAsia="zh-CN" w:bidi="ar-SA"/>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kern w:val="2"/>
          <w:sz w:val="32"/>
          <w:szCs w:val="32"/>
          <w:lang w:val="en-US" w:eastAsia="zh-CN" w:bidi="ar-SA"/>
        </w:rPr>
        <w:t>十三是</w:t>
      </w:r>
      <w:r>
        <w:rPr>
          <w:rFonts w:hint="eastAsia" w:ascii="仿宋_GB2312" w:hAnsi="仿宋_GB2312" w:eastAsia="仿宋_GB2312" w:cs="仿宋_GB2312"/>
          <w:kern w:val="2"/>
          <w:sz w:val="32"/>
          <w:szCs w:val="32"/>
          <w:lang w:val="en-US" w:eastAsia="zh-CN" w:bidi="ar-SA"/>
        </w:rPr>
        <w:t>与州卫生健康委员会的有关职责分工。两部门在医疗、医保、医药等方面加强制度、政策衔接，建立沟通协商机制，协同推进改革，提高医疗资源使用效率和医疗保障水平。</w:t>
      </w:r>
    </w:p>
    <w:p>
      <w:pPr>
        <w:pStyle w:val="2"/>
        <w:pageBreakBefore w:val="0"/>
        <w:kinsoku/>
        <w:wordWrap/>
        <w:overflowPunct/>
        <w:topLinePunct w:val="0"/>
        <w:autoSpaceDE/>
        <w:autoSpaceDN/>
        <w:bidi w:val="0"/>
        <w:adjustRightInd w:val="0"/>
        <w:snapToGrid w:val="0"/>
        <w:spacing w:before="0" w:beforeLines="0" w:line="560" w:lineRule="atLeast"/>
        <w:ind w:left="0" w:right="0" w:firstLine="668" w:firstLineChars="208"/>
        <w:textAlignment w:val="auto"/>
        <w:outlineLvl w:val="2"/>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（二）2021年重点工作完成情况。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560" w:lineRule="atLeast"/>
        <w:ind w:left="0" w:right="0" w:firstLine="642"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1.制度体系</w:t>
      </w:r>
      <w:r>
        <w:rPr>
          <w:rFonts w:hint="eastAsia" w:ascii="仿宋_GB2312" w:hAnsi="仿宋_GB2312" w:eastAsia="仿宋_GB2312" w:cs="仿宋_GB2312"/>
          <w:b/>
          <w:bCs/>
          <w:sz w:val="32"/>
          <w:szCs w:val="32"/>
        </w:rPr>
        <w:t>更加完善。</w:t>
      </w:r>
      <w:r>
        <w:rPr>
          <w:rFonts w:hint="eastAsia" w:ascii="仿宋_GB2312" w:hAnsi="仿宋_GB2312" w:eastAsia="仿宋_GB2312" w:cs="仿宋_GB2312"/>
          <w:b w:val="0"/>
          <w:bCs w:val="0"/>
          <w:sz w:val="32"/>
          <w:szCs w:val="32"/>
          <w:lang w:eastAsia="zh-CN"/>
        </w:rPr>
        <w:t>健全完善了“四办法一方案”，规范提升医疗救助待遇，</w:t>
      </w:r>
      <w:r>
        <w:rPr>
          <w:rFonts w:hint="eastAsia" w:ascii="仿宋_GB2312" w:hAnsi="仿宋_GB2312" w:eastAsia="仿宋_GB2312" w:cs="仿宋_GB2312"/>
          <w:b w:val="0"/>
          <w:bCs w:val="0"/>
          <w:sz w:val="32"/>
          <w:szCs w:val="32"/>
        </w:rPr>
        <w:t>实</w:t>
      </w:r>
      <w:r>
        <w:rPr>
          <w:rFonts w:hint="eastAsia" w:ascii="仿宋_GB2312" w:hAnsi="仿宋_GB2312" w:eastAsia="仿宋_GB2312" w:cs="仿宋_GB2312"/>
          <w:b w:val="0"/>
          <w:bCs w:val="0"/>
          <w:sz w:val="32"/>
          <w:szCs w:val="32"/>
          <w:lang w:eastAsia="zh-CN"/>
        </w:rPr>
        <w:t>行</w:t>
      </w:r>
      <w:r>
        <w:rPr>
          <w:rFonts w:hint="eastAsia" w:ascii="仿宋_GB2312" w:hAnsi="仿宋_GB2312" w:eastAsia="仿宋_GB2312" w:cs="仿宋_GB2312"/>
          <w:b w:val="0"/>
          <w:bCs w:val="0"/>
          <w:sz w:val="32"/>
          <w:szCs w:val="32"/>
        </w:rPr>
        <w:t>基本医疗保险</w:t>
      </w:r>
      <w:r>
        <w:rPr>
          <w:rFonts w:hint="eastAsia" w:ascii="仿宋_GB2312" w:hAnsi="仿宋_GB2312" w:eastAsia="仿宋_GB2312" w:cs="仿宋_GB2312"/>
          <w:b w:val="0"/>
          <w:bCs w:val="0"/>
          <w:sz w:val="32"/>
          <w:szCs w:val="32"/>
          <w:lang w:eastAsia="zh-CN"/>
        </w:rPr>
        <w:t>统收统支的</w:t>
      </w:r>
      <w:r>
        <w:rPr>
          <w:rFonts w:hint="eastAsia" w:ascii="仿宋_GB2312" w:hAnsi="仿宋_GB2312" w:eastAsia="仿宋_GB2312" w:cs="仿宋_GB2312"/>
          <w:b w:val="0"/>
          <w:bCs w:val="0"/>
          <w:sz w:val="32"/>
          <w:szCs w:val="32"/>
        </w:rPr>
        <w:t>州级统筹</w:t>
      </w:r>
      <w:r>
        <w:rPr>
          <w:rFonts w:hint="eastAsia" w:ascii="仿宋_GB2312" w:hAnsi="仿宋_GB2312" w:eastAsia="仿宋_GB2312" w:cs="仿宋_GB2312"/>
          <w:b w:val="0"/>
          <w:bCs w:val="0"/>
          <w:sz w:val="32"/>
          <w:szCs w:val="32"/>
          <w:lang w:eastAsia="zh-CN"/>
        </w:rPr>
        <w:t>管理</w:t>
      </w:r>
      <w:r>
        <w:rPr>
          <w:rFonts w:hint="eastAsia" w:ascii="仿宋_GB2312" w:hAnsi="仿宋_GB2312" w:eastAsia="仿宋_GB2312" w:cs="仿宋_GB2312"/>
          <w:b w:val="0"/>
          <w:bCs w:val="0"/>
          <w:sz w:val="32"/>
          <w:szCs w:val="32"/>
        </w:rPr>
        <w:t>，全州参保84.54万人、参保率</w:t>
      </w:r>
      <w:r>
        <w:rPr>
          <w:rFonts w:hint="eastAsia" w:ascii="仿宋_GB2312" w:hAnsi="仿宋_GB2312" w:eastAsia="仿宋_GB2312" w:cs="仿宋_GB2312"/>
          <w:b w:val="0"/>
          <w:bCs w:val="0"/>
          <w:sz w:val="32"/>
          <w:szCs w:val="32"/>
          <w:lang w:eastAsia="zh-CN"/>
        </w:rPr>
        <w:t>持续稳定在</w:t>
      </w:r>
      <w:r>
        <w:rPr>
          <w:rFonts w:hint="eastAsia" w:ascii="仿宋_GB2312" w:hAnsi="仿宋_GB2312" w:eastAsia="仿宋_GB2312" w:cs="仿宋_GB2312"/>
          <w:b w:val="0"/>
          <w:bCs w:val="0"/>
          <w:sz w:val="32"/>
          <w:szCs w:val="32"/>
        </w:rPr>
        <w:t>95%以上</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68.5万城乡居民基本医疗保险财政补助标准从每人每年550元提高到580元。率先在省内实现地市层级的医疗救助政策统一</w:t>
      </w:r>
      <w:r>
        <w:rPr>
          <w:rFonts w:hint="eastAsia" w:ascii="仿宋_GB2312" w:hAnsi="仿宋_GB2312" w:eastAsia="仿宋_GB2312" w:cs="仿宋_GB2312"/>
          <w:b w:val="0"/>
          <w:bCs w:val="0"/>
          <w:sz w:val="32"/>
          <w:szCs w:val="32"/>
          <w:lang w:eastAsia="zh-CN"/>
        </w:rPr>
        <w:t>、经办统一</w:t>
      </w:r>
      <w:r>
        <w:rPr>
          <w:rFonts w:hint="eastAsia" w:ascii="仿宋_GB2312" w:hAnsi="仿宋_GB2312" w:eastAsia="仿宋_GB2312" w:cs="仿宋_GB2312"/>
          <w:b w:val="0"/>
          <w:bCs w:val="0"/>
          <w:sz w:val="32"/>
          <w:szCs w:val="32"/>
        </w:rPr>
        <w:t>，扎实推进生育保险和职工基本医疗保险合并实施。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atLeast"/>
        <w:ind w:left="0" w:right="0" w:firstLine="642"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重大改革取得实效。</w:t>
      </w:r>
      <w:r>
        <w:rPr>
          <w:rFonts w:hint="eastAsia" w:ascii="仿宋_GB2312" w:hAnsi="仿宋_GB2312" w:eastAsia="仿宋_GB2312" w:cs="仿宋_GB2312"/>
          <w:b w:val="0"/>
          <w:bCs w:val="0"/>
          <w:sz w:val="32"/>
          <w:szCs w:val="32"/>
        </w:rPr>
        <w:t>医保支付方式改革</w:t>
      </w:r>
      <w:r>
        <w:rPr>
          <w:rFonts w:hint="eastAsia" w:ascii="仿宋_GB2312" w:hAnsi="仿宋_GB2312" w:eastAsia="仿宋_GB2312" w:cs="仿宋_GB2312"/>
          <w:b w:val="0"/>
          <w:bCs w:val="0"/>
          <w:sz w:val="32"/>
          <w:szCs w:val="32"/>
          <w:lang w:eastAsia="zh-CN"/>
        </w:rPr>
        <w:t>深入</w:t>
      </w:r>
      <w:r>
        <w:rPr>
          <w:rFonts w:hint="eastAsia" w:ascii="仿宋_GB2312" w:hAnsi="仿宋_GB2312" w:eastAsia="仿宋_GB2312" w:cs="仿宋_GB2312"/>
          <w:b w:val="0"/>
          <w:bCs w:val="0"/>
          <w:sz w:val="32"/>
          <w:szCs w:val="32"/>
        </w:rPr>
        <w:t>推进，</w:t>
      </w:r>
      <w:r>
        <w:rPr>
          <w:rFonts w:hint="eastAsia" w:ascii="仿宋_GB2312" w:hAnsi="仿宋_GB2312" w:eastAsia="仿宋_GB2312" w:cs="仿宋_GB2312"/>
          <w:b w:val="0"/>
          <w:bCs w:val="0"/>
          <w:sz w:val="32"/>
          <w:szCs w:val="32"/>
          <w:lang w:eastAsia="zh-CN"/>
        </w:rPr>
        <w:t>全面实行总额预算管理。</w:t>
      </w:r>
      <w:r>
        <w:rPr>
          <w:rFonts w:hint="eastAsia" w:ascii="仿宋_GB2312" w:hAnsi="仿宋_GB2312" w:eastAsia="仿宋_GB2312" w:cs="仿宋_GB2312"/>
          <w:b w:val="0"/>
          <w:bCs w:val="0"/>
          <w:sz w:val="32"/>
          <w:szCs w:val="32"/>
        </w:rPr>
        <w:t>深化医药服务价格改革，新增和调整167个医疗服务项目价格。常态化、制度化开展药械集中带量采购工作, 200多种药品和医用耗材平均降价50%以上，同时，在全国创新建立了非集采药品、耗材“三议三保”采购机制，部分药械最高降幅达89.7%。</w:t>
      </w:r>
    </w:p>
    <w:p>
      <w:pPr>
        <w:keepNext w:val="0"/>
        <w:keepLines w:val="0"/>
        <w:pageBreakBefore w:val="0"/>
        <w:widowControl w:val="0"/>
        <w:kinsoku/>
        <w:wordWrap/>
        <w:overflowPunct/>
        <w:topLinePunct w:val="0"/>
        <w:autoSpaceDE/>
        <w:autoSpaceDN/>
        <w:bidi w:val="0"/>
        <w:adjustRightInd/>
        <w:snapToGrid/>
        <w:spacing w:beforeAutospacing="0" w:afterAutospacing="0" w:line="560" w:lineRule="atLeast"/>
        <w:ind w:left="0" w:right="0" w:firstLine="642"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脱贫攻坚成果显著。</w:t>
      </w:r>
      <w:r>
        <w:rPr>
          <w:rFonts w:hint="eastAsia" w:ascii="仿宋_GB2312" w:hAnsi="仿宋_GB2312" w:eastAsia="仿宋_GB2312" w:cs="仿宋_GB2312"/>
          <w:b w:val="0"/>
          <w:bCs w:val="0"/>
          <w:sz w:val="32"/>
          <w:szCs w:val="32"/>
        </w:rPr>
        <w:t>构建“</w:t>
      </w:r>
      <w:r>
        <w:rPr>
          <w:rFonts w:hint="eastAsia" w:ascii="仿宋_GB2312" w:hAnsi="仿宋_GB2312" w:eastAsia="仿宋_GB2312" w:cs="仿宋_GB2312"/>
          <w:b w:val="0"/>
          <w:bCs w:val="0"/>
          <w:sz w:val="32"/>
          <w:szCs w:val="32"/>
          <w:lang w:val="en-US" w:eastAsia="zh-CN"/>
        </w:rPr>
        <w:t>基本医疗保障、大病保险、医疗救助</w:t>
      </w:r>
      <w:r>
        <w:rPr>
          <w:rFonts w:hint="eastAsia" w:ascii="仿宋_GB2312" w:hAnsi="仿宋_GB2312" w:eastAsia="仿宋_GB2312" w:cs="仿宋_GB2312"/>
          <w:b w:val="0"/>
          <w:bCs w:val="0"/>
          <w:sz w:val="32"/>
          <w:szCs w:val="32"/>
        </w:rPr>
        <w:t>”的医疗</w:t>
      </w:r>
      <w:r>
        <w:rPr>
          <w:rFonts w:hint="eastAsia" w:ascii="仿宋_GB2312" w:hAnsi="仿宋_GB2312" w:eastAsia="仿宋_GB2312" w:cs="仿宋_GB2312"/>
          <w:b w:val="0"/>
          <w:bCs w:val="0"/>
          <w:sz w:val="32"/>
          <w:szCs w:val="32"/>
          <w:lang w:val="en-US" w:eastAsia="zh-CN"/>
        </w:rPr>
        <w:t>三层次</w:t>
      </w:r>
      <w:r>
        <w:rPr>
          <w:rFonts w:hint="eastAsia" w:ascii="仿宋_GB2312" w:hAnsi="仿宋_GB2312" w:eastAsia="仿宋_GB2312" w:cs="仿宋_GB2312"/>
          <w:b w:val="0"/>
          <w:bCs w:val="0"/>
          <w:sz w:val="32"/>
          <w:szCs w:val="32"/>
        </w:rPr>
        <w:t>保障体系，梯次减轻</w:t>
      </w:r>
      <w:r>
        <w:rPr>
          <w:rFonts w:hint="eastAsia" w:ascii="仿宋_GB2312" w:hAnsi="仿宋_GB2312" w:eastAsia="仿宋_GB2312" w:cs="仿宋_GB2312"/>
          <w:b w:val="0"/>
          <w:bCs w:val="0"/>
          <w:sz w:val="32"/>
          <w:szCs w:val="32"/>
          <w:lang w:val="en-US" w:eastAsia="zh-CN"/>
        </w:rPr>
        <w:t>脱</w:t>
      </w:r>
      <w:r>
        <w:rPr>
          <w:rFonts w:hint="eastAsia" w:ascii="仿宋_GB2312" w:hAnsi="仿宋_GB2312" w:eastAsia="仿宋_GB2312" w:cs="仿宋_GB2312"/>
          <w:b w:val="0"/>
          <w:bCs w:val="0"/>
          <w:sz w:val="32"/>
          <w:szCs w:val="32"/>
        </w:rPr>
        <w:t>贫人口就医负担，累计为我州48.96万</w:t>
      </w:r>
      <w:r>
        <w:rPr>
          <w:rFonts w:hint="eastAsia" w:ascii="仿宋_GB2312" w:hAnsi="仿宋_GB2312" w:eastAsia="仿宋_GB2312" w:cs="仿宋_GB2312"/>
          <w:b w:val="0"/>
          <w:bCs w:val="0"/>
          <w:sz w:val="32"/>
          <w:szCs w:val="32"/>
          <w:lang w:val="en-US" w:eastAsia="zh-CN"/>
        </w:rPr>
        <w:t>脱</w:t>
      </w:r>
      <w:r>
        <w:rPr>
          <w:rFonts w:hint="eastAsia" w:ascii="仿宋_GB2312" w:hAnsi="仿宋_GB2312" w:eastAsia="仿宋_GB2312" w:cs="仿宋_GB2312"/>
          <w:b w:val="0"/>
          <w:bCs w:val="0"/>
          <w:sz w:val="32"/>
          <w:szCs w:val="32"/>
        </w:rPr>
        <w:t>困人口代缴参保1.05亿元，累计为10.75万人次贫困住院患者减负5.43亿元。出台《阿坝州巩固拓展医疗保障脱贫攻坚成果有效衔接乡村振兴战略的实施细则》，健全防范化解因病致贫返贫长效机制。</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60" w:lineRule="atLeast"/>
        <w:ind w:left="0" w:right="0" w:firstLine="642"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基金监管持续加强。</w:t>
      </w:r>
      <w:r>
        <w:rPr>
          <w:rFonts w:hint="eastAsia" w:ascii="仿宋_GB2312" w:hAnsi="仿宋_GB2312" w:eastAsia="仿宋_GB2312" w:cs="仿宋_GB2312"/>
          <w:b w:val="0"/>
          <w:bCs w:val="0"/>
          <w:sz w:val="32"/>
          <w:szCs w:val="32"/>
        </w:rPr>
        <w:t>健全基金运行风险评估、预警机制，建成责任追溯的监管体系，基本形成综合监管格局。打击欺诈骗保专项治理成效显著，全年追回医保基金及违规违约金超过1800万元，切实守护好人民群众的“看病钱”、“救命钱”。</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560" w:lineRule="atLeast"/>
        <w:ind w:left="0" w:right="0" w:firstLine="642"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eastAsia="zh-CN"/>
        </w:rPr>
        <w:t>公共服务不断优化。</w:t>
      </w:r>
      <w:r>
        <w:rPr>
          <w:rFonts w:hint="eastAsia" w:ascii="仿宋_GB2312" w:hAnsi="仿宋_GB2312" w:eastAsia="仿宋_GB2312" w:cs="仿宋_GB2312"/>
          <w:b w:val="0"/>
          <w:bCs w:val="0"/>
          <w:sz w:val="32"/>
          <w:szCs w:val="32"/>
        </w:rPr>
        <w:t>异地就医结算服务能力不断增强，实现异地联网即时结算县级全覆盖</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开展了跨省异地就医备案制度改革，统筹州县医保部门在都江堰片区开展驻点服务。深化“放管服”，规范统一医保政务服务事项清单</w:t>
      </w:r>
      <w:r>
        <w:rPr>
          <w:rFonts w:hint="eastAsia" w:ascii="仿宋_GB2312" w:hAnsi="仿宋_GB2312" w:eastAsia="仿宋_GB2312" w:cs="仿宋_GB2312"/>
          <w:b w:val="0"/>
          <w:bCs w:val="0"/>
          <w:sz w:val="32"/>
          <w:szCs w:val="32"/>
          <w:lang w:eastAsia="zh-CN"/>
        </w:rPr>
        <w:t>，实现基本医保、大病保险、医疗救助“一单式”结算、“一站式服务”</w:t>
      </w:r>
      <w:r>
        <w:rPr>
          <w:rFonts w:hint="eastAsia" w:ascii="仿宋_GB2312" w:hAnsi="仿宋_GB2312" w:eastAsia="仿宋_GB2312" w:cs="仿宋_GB2312"/>
          <w:b w:val="0"/>
          <w:bCs w:val="0"/>
          <w:sz w:val="32"/>
          <w:szCs w:val="32"/>
        </w:rPr>
        <w:t>，全年异地联网结算3万人次、医保支付2亿</w:t>
      </w:r>
      <w:r>
        <w:rPr>
          <w:rFonts w:hint="eastAsia" w:ascii="仿宋_GB2312" w:hAnsi="仿宋_GB2312" w:eastAsia="仿宋_GB2312" w:cs="仿宋_GB2312"/>
          <w:b w:val="0"/>
          <w:bCs w:val="0"/>
          <w:sz w:val="32"/>
          <w:szCs w:val="32"/>
          <w:lang w:val="en-US" w:eastAsia="zh-CN"/>
        </w:rPr>
        <w:t>元</w:t>
      </w:r>
      <w:r>
        <w:rPr>
          <w:rFonts w:hint="eastAsia" w:ascii="仿宋_GB2312" w:hAnsi="仿宋_GB2312" w:eastAsia="仿宋_GB2312" w:cs="仿宋_GB2312"/>
          <w:b w:val="0"/>
          <w:bCs w:val="0"/>
          <w:sz w:val="32"/>
          <w:szCs w:val="32"/>
        </w:rPr>
        <w:t>以上，直接结算率达97%以上。以“两个确保”的责任担当全力支持抗疫大局，全年上解新冠病毒疫苗费用和支付接种费用超过7700万元，有力推进了抗疫工作开展。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atLeast"/>
        <w:ind w:left="0" w:right="0" w:firstLine="642"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kern w:val="0"/>
          <w:sz w:val="32"/>
          <w:szCs w:val="32"/>
          <w:lang w:val="en-US" w:eastAsia="zh-CN" w:bidi="ar"/>
        </w:rPr>
        <w:t>6.民族医药获得发展。</w:t>
      </w:r>
      <w:r>
        <w:rPr>
          <w:rFonts w:hint="eastAsia" w:ascii="仿宋_GB2312" w:hAnsi="仿宋_GB2312" w:eastAsia="仿宋_GB2312" w:cs="仿宋_GB2312"/>
          <w:b w:val="0"/>
          <w:bCs w:val="0"/>
          <w:kern w:val="0"/>
          <w:sz w:val="32"/>
          <w:szCs w:val="32"/>
          <w:lang w:val="en-US" w:eastAsia="zh-CN" w:bidi="ar"/>
        </w:rPr>
        <w:t>我</w:t>
      </w:r>
      <w:r>
        <w:rPr>
          <w:rFonts w:hint="eastAsia" w:ascii="仿宋_GB2312" w:hAnsi="仿宋_GB2312" w:eastAsia="仿宋_GB2312" w:cs="仿宋_GB2312"/>
          <w:b w:val="0"/>
          <w:bCs w:val="0"/>
          <w:sz w:val="32"/>
          <w:szCs w:val="32"/>
        </w:rPr>
        <w:t>州符合条件的中医、民族医药医疗机构全部纳入基本医疗保险定点医疗机构范围，将380种藏药院内制剂纳入基本</w:t>
      </w:r>
      <w:r>
        <w:rPr>
          <w:rFonts w:hint="eastAsia" w:ascii="仿宋_GB2312" w:hAnsi="仿宋_GB2312" w:eastAsia="仿宋_GB2312" w:cs="仿宋_GB2312"/>
          <w:sz w:val="32"/>
          <w:szCs w:val="32"/>
        </w:rPr>
        <w:t>医疗保险支付范围，有力促进了民族医药的发展。</w:t>
      </w:r>
    </w:p>
    <w:p>
      <w:pPr>
        <w:pStyle w:val="4"/>
        <w:pageBreakBefore w:val="0"/>
        <w:kinsoku/>
        <w:wordWrap/>
        <w:overflowPunct/>
        <w:topLinePunct w:val="0"/>
        <w:autoSpaceDE/>
        <w:autoSpaceDN/>
        <w:bidi w:val="0"/>
        <w:spacing w:before="0" w:after="0" w:line="560" w:lineRule="atLeast"/>
        <w:ind w:left="0" w:right="0" w:firstLine="640" w:firstLineChars="200"/>
        <w:textAlignment w:val="auto"/>
        <w:rPr>
          <w:rStyle w:val="22"/>
          <w:b w:val="0"/>
          <w:bCs w:val="0"/>
        </w:rPr>
      </w:pPr>
      <w:bookmarkStart w:id="20" w:name="_Toc15396601"/>
      <w:bookmarkStart w:id="21" w:name="_Toc15377200"/>
      <w:r>
        <w:rPr>
          <w:rFonts w:hint="eastAsia" w:ascii="黑体" w:eastAsia="黑体"/>
          <w:b w:val="0"/>
        </w:rPr>
        <w:t>二、机</w:t>
      </w:r>
      <w:r>
        <w:rPr>
          <w:rStyle w:val="22"/>
          <w:rFonts w:hint="eastAsia" w:ascii="黑体" w:eastAsia="黑体"/>
          <w:b w:val="0"/>
          <w:bCs w:val="0"/>
        </w:rPr>
        <w:t>构设置</w:t>
      </w:r>
      <w:bookmarkEnd w:id="20"/>
      <w:bookmarkEnd w:id="21"/>
    </w:p>
    <w:p>
      <w:pPr>
        <w:pageBreakBefore w:val="0"/>
        <w:kinsoku/>
        <w:wordWrap/>
        <w:overflowPunct/>
        <w:topLinePunct w:val="0"/>
        <w:autoSpaceDE/>
        <w:autoSpaceDN/>
        <w:bidi w:val="0"/>
        <w:spacing w:line="560" w:lineRule="atLeast"/>
        <w:ind w:left="0" w:right="0"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阿坝州医疗保障局</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2"/>
        <w:pageBreakBefore w:val="0"/>
        <w:kinsoku/>
        <w:wordWrap/>
        <w:overflowPunct/>
        <w:topLinePunct w:val="0"/>
        <w:autoSpaceDE/>
        <w:autoSpaceDN/>
        <w:bidi w:val="0"/>
        <w:adjustRightInd w:val="0"/>
        <w:snapToGrid w:val="0"/>
        <w:spacing w:before="0" w:beforeLines="0" w:line="560" w:lineRule="atLeast"/>
        <w:ind w:left="0" w:right="0" w:firstLine="665" w:firstLineChars="208"/>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阿坝州医疗保障局</w:t>
      </w:r>
      <w:r>
        <w:rPr>
          <w:rFonts w:hint="eastAsia" w:ascii="仿宋_GB2312" w:hAnsi="仿宋_GB2312" w:eastAsia="仿宋_GB2312" w:cs="仿宋_GB2312"/>
          <w:sz w:val="32"/>
          <w:szCs w:val="32"/>
        </w:rPr>
        <w:t>2021年度部门决算编制范围的二级预算单位包括：</w:t>
      </w:r>
    </w:p>
    <w:p>
      <w:pPr>
        <w:pStyle w:val="2"/>
        <w:pageBreakBefore w:val="0"/>
        <w:numPr>
          <w:ilvl w:val="0"/>
          <w:numId w:val="0"/>
        </w:numPr>
        <w:kinsoku/>
        <w:wordWrap/>
        <w:overflowPunct/>
        <w:topLinePunct w:val="0"/>
        <w:autoSpaceDE/>
        <w:autoSpaceDN/>
        <w:bidi w:val="0"/>
        <w:adjustRightInd w:val="0"/>
        <w:snapToGrid w:val="0"/>
        <w:spacing w:before="0" w:beforeLines="0" w:line="560" w:lineRule="atLeast"/>
        <w:ind w:left="-480" w:leftChars="0" w:right="0" w:rightChars="0" w:firstLine="1280" w:firstLineChars="400"/>
        <w:textAlignment w:val="auto"/>
        <w:outlineLvl w:val="2"/>
        <w:rPr>
          <w:rFonts w:hint="eastAsia" w:ascii="仿宋_GB2312" w:hAnsi="仿宋_GB2312" w:eastAsia="仿宋_GB2312" w:cs="仿宋_GB2312"/>
          <w:sz w:val="32"/>
          <w:szCs w:val="32"/>
        </w:rPr>
      </w:pPr>
      <w:bookmarkStart w:id="22" w:name="_Toc15378449"/>
      <w:bookmarkStart w:id="23" w:name="_Toc15377433"/>
      <w:bookmarkStart w:id="24" w:name="_Toc15306276"/>
      <w:bookmarkStart w:id="25" w:name="_Toc15377202"/>
      <w:r>
        <w:rPr>
          <w:rFonts w:hint="eastAsia" w:hAnsi="仿宋_GB2312" w:cs="仿宋_GB2312"/>
          <w:sz w:val="32"/>
          <w:szCs w:val="32"/>
          <w:lang w:val="en-US" w:eastAsia="zh-CN"/>
        </w:rPr>
        <w:t>1.</w:t>
      </w:r>
      <w:r>
        <w:rPr>
          <w:rFonts w:hint="eastAsia" w:ascii="仿宋_GB2312" w:hAnsi="仿宋_GB2312" w:eastAsia="仿宋_GB2312" w:cs="仿宋_GB2312"/>
          <w:sz w:val="32"/>
          <w:szCs w:val="32"/>
          <w:lang w:val="en-US" w:eastAsia="zh-CN"/>
        </w:rPr>
        <w:t>阿坝州医疗保障事务中心</w:t>
      </w:r>
      <w:bookmarkEnd w:id="22"/>
      <w:bookmarkEnd w:id="23"/>
      <w:bookmarkEnd w:id="24"/>
      <w:bookmarkEnd w:id="25"/>
    </w:p>
    <w:p>
      <w:pPr>
        <w:pageBreakBefore w:val="0"/>
        <w:widowControl/>
        <w:kinsoku/>
        <w:wordWrap/>
        <w:overflowPunct/>
        <w:topLinePunct w:val="0"/>
        <w:autoSpaceDE/>
        <w:autoSpaceDN/>
        <w:bidi w:val="0"/>
        <w:spacing w:line="560" w:lineRule="atLeast"/>
        <w:ind w:left="0" w:right="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br w:type="page"/>
      </w:r>
    </w:p>
    <w:p>
      <w:pPr>
        <w:pStyle w:val="3"/>
        <w:pageBreakBefore w:val="0"/>
        <w:kinsoku/>
        <w:wordWrap/>
        <w:overflowPunct/>
        <w:topLinePunct w:val="0"/>
        <w:autoSpaceDE/>
        <w:autoSpaceDN/>
        <w:bidi w:val="0"/>
        <w:spacing w:before="0" w:after="0" w:line="560" w:lineRule="atLeast"/>
        <w:ind w:left="0" w:right="0"/>
        <w:jc w:val="center"/>
        <w:textAlignment w:val="auto"/>
        <w:rPr>
          <w:rStyle w:val="21"/>
          <w:rFonts w:hint="eastAsia" w:ascii="方正小标宋_GBK" w:hAnsi="方正小标宋_GBK" w:eastAsia="方正小标宋_GBK" w:cs="方正小标宋_GBK"/>
          <w:b w:val="0"/>
          <w:bCs/>
        </w:rPr>
      </w:pPr>
      <w:bookmarkStart w:id="26" w:name="_Toc15377204"/>
      <w:bookmarkStart w:id="27" w:name="_Toc15396602"/>
      <w:r>
        <w:rPr>
          <w:rFonts w:hint="eastAsia" w:ascii="方正小标宋_GBK" w:hAnsi="方正小标宋_GBK" w:eastAsia="方正小标宋_GBK" w:cs="方正小标宋_GBK"/>
          <w:b w:val="0"/>
        </w:rPr>
        <w:t>第二部分 2021年度</w:t>
      </w:r>
      <w:r>
        <w:rPr>
          <w:rStyle w:val="21"/>
          <w:rFonts w:hint="eastAsia" w:ascii="方正小标宋_GBK" w:hAnsi="方正小标宋_GBK" w:eastAsia="方正小标宋_GBK" w:cs="方正小标宋_GBK"/>
          <w:b w:val="0"/>
          <w:bCs/>
        </w:rPr>
        <w:t>部门决算情况说明</w:t>
      </w:r>
      <w:bookmarkEnd w:id="26"/>
      <w:bookmarkEnd w:id="27"/>
    </w:p>
    <w:p>
      <w:pPr>
        <w:pageBreakBefore w:val="0"/>
        <w:kinsoku/>
        <w:wordWrap/>
        <w:overflowPunct/>
        <w:topLinePunct w:val="0"/>
        <w:autoSpaceDE/>
        <w:autoSpaceDN/>
        <w:bidi w:val="0"/>
        <w:spacing w:line="560" w:lineRule="atLeast"/>
        <w:ind w:left="0" w:right="0"/>
        <w:textAlignment w:val="auto"/>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textAlignment w:val="auto"/>
        <w:outlineLvl w:val="1"/>
        <w:rPr>
          <w:rStyle w:val="22"/>
          <w:rFonts w:ascii="黑体" w:eastAsia="黑体"/>
          <w:b w:val="0"/>
        </w:rPr>
      </w:pPr>
      <w:bookmarkStart w:id="28" w:name="_Toc15396603"/>
      <w:bookmarkStart w:id="29" w:name="_Toc15377205"/>
      <w:r>
        <w:rPr>
          <w:rFonts w:hint="eastAsia" w:ascii="黑体" w:eastAsia="黑体"/>
          <w:sz w:val="32"/>
          <w:szCs w:val="32"/>
          <w:lang w:eastAsia="zh-CN"/>
        </w:rPr>
        <w:t>一、</w:t>
      </w:r>
      <w:r>
        <w:rPr>
          <w:rFonts w:hint="eastAsia" w:ascii="黑体" w:eastAsia="黑体"/>
          <w:sz w:val="32"/>
          <w:szCs w:val="32"/>
        </w:rPr>
        <w:t>收</w:t>
      </w:r>
      <w:r>
        <w:rPr>
          <w:rStyle w:val="22"/>
          <w:rFonts w:hint="eastAsia" w:ascii="黑体" w:eastAsia="黑体"/>
          <w:b w:val="0"/>
        </w:rPr>
        <w:t>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2021年度收、支总计</w:t>
      </w:r>
      <w:r>
        <w:rPr>
          <w:rFonts w:hint="eastAsia" w:ascii="仿宋_GB2312" w:hAnsi="仿宋_GB2312" w:eastAsia="仿宋_GB2312" w:cs="仿宋_GB2312"/>
          <w:sz w:val="32"/>
          <w:szCs w:val="32"/>
          <w:lang w:val="en-US" w:eastAsia="zh-CN"/>
        </w:rPr>
        <w:t>1103.68</w:t>
      </w:r>
      <w:r>
        <w:rPr>
          <w:rFonts w:hint="eastAsia" w:ascii="仿宋_GB2312" w:hAnsi="仿宋_GB2312" w:eastAsia="仿宋_GB2312" w:cs="仿宋_GB2312"/>
          <w:sz w:val="32"/>
          <w:szCs w:val="32"/>
        </w:rPr>
        <w:t>万元。与2020年相比，收、支总计各减少</w:t>
      </w:r>
      <w:r>
        <w:rPr>
          <w:rFonts w:hint="eastAsia" w:ascii="仿宋_GB2312" w:hAnsi="仿宋_GB2312" w:eastAsia="仿宋_GB2312" w:cs="仿宋_GB2312"/>
          <w:sz w:val="32"/>
          <w:szCs w:val="32"/>
          <w:lang w:val="en-US" w:eastAsia="zh-CN"/>
        </w:rPr>
        <w:t>505.09</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31.4</w:t>
      </w:r>
      <w:r>
        <w:rPr>
          <w:rFonts w:hint="eastAsia" w:ascii="仿宋_GB2312" w:hAnsi="仿宋_GB2312" w:eastAsia="仿宋_GB2312" w:cs="仿宋_GB2312"/>
          <w:sz w:val="32"/>
          <w:szCs w:val="32"/>
        </w:rPr>
        <w:t>%。主要变动原因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基本支出一是</w:t>
      </w:r>
      <w:r>
        <w:rPr>
          <w:rFonts w:hint="eastAsia" w:ascii="仿宋_GB2312" w:hAnsi="仿宋_GB2312" w:eastAsia="仿宋_GB2312" w:cs="仿宋_GB2312"/>
          <w:sz w:val="32"/>
          <w:szCs w:val="32"/>
        </w:rPr>
        <w:t>2021新增</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名职工，调出1名职工，</w:t>
      </w:r>
      <w:r>
        <w:rPr>
          <w:rFonts w:hint="eastAsia" w:ascii="仿宋_GB2312" w:hAnsi="仿宋_GB2312" w:eastAsia="仿宋_GB2312" w:cs="仿宋_GB2312"/>
          <w:sz w:val="32"/>
          <w:szCs w:val="32"/>
          <w:lang w:val="en-US" w:eastAsia="zh-CN"/>
        </w:rPr>
        <w:t>基本支出增加；</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14:textFill>
            <w14:solidFill>
              <w14:schemeClr w14:val="tx1"/>
            </w14:solidFill>
          </w14:textFill>
        </w:rPr>
        <w:t>2021</w:t>
      </w:r>
      <w:r>
        <w:rPr>
          <w:rFonts w:hint="eastAsia" w:ascii="仿宋_GB2312" w:hAnsi="仿宋_GB2312" w:eastAsia="仿宋_GB2312" w:cs="仿宋_GB2312"/>
          <w:color w:val="000000" w:themeColor="text1"/>
          <w:sz w:val="32"/>
          <w:szCs w:val="32"/>
          <w14:textFill>
            <w14:solidFill>
              <w14:schemeClr w14:val="tx1"/>
            </w14:solidFill>
          </w14:textFill>
        </w:rPr>
        <w:t>年社保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基数</w:t>
      </w:r>
      <w:r>
        <w:rPr>
          <w:rFonts w:hint="eastAsia" w:ascii="仿宋_GB2312" w:hAnsi="仿宋_GB2312" w:eastAsia="仿宋_GB2312" w:cs="仿宋_GB2312"/>
          <w:color w:val="000000" w:themeColor="text1"/>
          <w:sz w:val="32"/>
          <w:szCs w:val="32"/>
          <w14:textFill>
            <w14:solidFill>
              <w14:schemeClr w14:val="tx1"/>
            </w14:solidFill>
          </w14:textFill>
        </w:rPr>
        <w:t>、工资基数、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w:t>
      </w:r>
      <w:r>
        <w:rPr>
          <w:rFonts w:hint="eastAsia" w:ascii="仿宋_GB2312" w:hAnsi="仿宋_GB2312" w:eastAsia="仿宋_GB2312" w:cs="仿宋_GB2312"/>
          <w:color w:val="000000" w:themeColor="text1"/>
          <w:sz w:val="32"/>
          <w:szCs w:val="32"/>
          <w14:textFill>
            <w14:solidFill>
              <w14:schemeClr w14:val="tx1"/>
            </w14:solidFill>
          </w14:textFill>
        </w:rPr>
        <w:t>目标奖增加</w:t>
      </w:r>
      <w:r>
        <w:rPr>
          <w:rFonts w:hint="eastAsia" w:ascii="仿宋_GB2312" w:hAnsi="仿宋_GB2312" w:eastAsia="仿宋_GB2312" w:cs="仿宋_GB2312"/>
          <w:b w:val="0"/>
          <w:i w:val="0"/>
          <w:caps w:val="0"/>
          <w:spacing w:val="0"/>
          <w:w w:val="100"/>
          <w:sz w:val="32"/>
          <w:szCs w:val="32"/>
          <w:lang w:val="en-US" w:eastAsia="zh-CN"/>
        </w:rPr>
        <w:t>。项目支出一是部门预算</w:t>
      </w:r>
      <w:r>
        <w:rPr>
          <w:rStyle w:val="18"/>
          <w:rFonts w:hint="eastAsia" w:ascii="仿宋_GB2312" w:hAnsi="仿宋_GB2312" w:eastAsia="仿宋_GB2312" w:cs="仿宋_GB2312"/>
          <w:b w:val="0"/>
          <w:bCs/>
          <w:sz w:val="32"/>
          <w:szCs w:val="32"/>
          <w:shd w:val="clear" w:fill="FFFFFF"/>
          <w:lang w:val="en-US" w:eastAsia="zh-CN"/>
        </w:rPr>
        <w:t>项目、上年末结转结余支出</w:t>
      </w:r>
      <w:r>
        <w:rPr>
          <w:rStyle w:val="18"/>
          <w:rFonts w:hint="eastAsia" w:ascii="仿宋_GB2312" w:hAnsi="仿宋_GB2312" w:eastAsia="仿宋_GB2312" w:cs="仿宋_GB2312"/>
          <w:b w:val="0"/>
          <w:bCs/>
          <w:sz w:val="32"/>
          <w:szCs w:val="32"/>
          <w:shd w:val="clear" w:fill="FFFFFF"/>
          <w:lang w:eastAsia="zh-CN"/>
        </w:rPr>
        <w:t>较2020年</w:t>
      </w:r>
      <w:r>
        <w:rPr>
          <w:rStyle w:val="18"/>
          <w:rFonts w:hint="eastAsia" w:ascii="仿宋_GB2312" w:hAnsi="仿宋_GB2312" w:eastAsia="仿宋_GB2312" w:cs="仿宋_GB2312"/>
          <w:b w:val="0"/>
          <w:bCs/>
          <w:sz w:val="32"/>
          <w:szCs w:val="32"/>
          <w:shd w:val="clear" w:fill="FFFFFF"/>
          <w:lang w:val="en-US" w:eastAsia="zh-CN"/>
        </w:rPr>
        <w:t>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kern w:val="0"/>
          <w:sz w:val="32"/>
          <w:szCs w:val="32"/>
          <w:lang w:val="en-US" w:eastAsia="zh-CN" w:bidi="ar"/>
        </w:rPr>
        <w:t>2020年支出包含</w:t>
      </w:r>
      <w:r>
        <w:rPr>
          <w:rFonts w:hint="eastAsia" w:ascii="仿宋_GB2312" w:hAnsi="仿宋_GB2312" w:eastAsia="仿宋_GB2312" w:cs="仿宋_GB2312"/>
          <w:sz w:val="32"/>
          <w:szCs w:val="32"/>
        </w:rPr>
        <w:t>2020年建档立卡贫困人口大病补充商业保险州级配套资金618.38万元</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kern w:val="0"/>
          <w:sz w:val="32"/>
          <w:szCs w:val="32"/>
          <w:lang w:val="en-US" w:eastAsia="zh-CN" w:bidi="ar"/>
        </w:rPr>
        <w:t>2020年离退休军人医疗补助74.76万元，2021年无此两项支出。</w:t>
      </w:r>
    </w:p>
    <w:p>
      <w:pPr>
        <w:pStyle w:val="7"/>
        <w:pageBreakBefore w:val="0"/>
        <w:kinsoku/>
        <w:wordWrap/>
        <w:overflowPunct/>
        <w:topLinePunct w:val="0"/>
        <w:bidi w:val="0"/>
        <w:spacing w:line="560" w:lineRule="atLeast"/>
        <w:ind w:left="0" w:leftChars="0" w:firstLine="0" w:firstLineChars="0"/>
        <w:rPr>
          <w:rFonts w:hint="default"/>
          <w:lang w:val="en-US" w:eastAsia="zh-CN"/>
        </w:rPr>
      </w:pPr>
      <w:r>
        <w:rPr>
          <w:rFonts w:hint="default"/>
          <w:lang w:val="en-US" w:eastAsia="zh-CN"/>
        </w:rPr>
        <w:drawing>
          <wp:inline distT="0" distB="0" distL="114300" distR="114300">
            <wp:extent cx="5420995" cy="2725420"/>
            <wp:effectExtent l="4445" t="4445" r="22860"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（图1：收、支决算总计变动情况图）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Style w:val="22"/>
          <w:rFonts w:ascii="黑体" w:eastAsia="黑体"/>
          <w:b w:val="0"/>
        </w:rPr>
      </w:pPr>
      <w:bookmarkStart w:id="30" w:name="_Toc15396604"/>
      <w:bookmarkStart w:id="31" w:name="_Toc15377206"/>
      <w:r>
        <w:rPr>
          <w:rFonts w:hint="eastAsia" w:ascii="黑体" w:eastAsia="黑体"/>
          <w:sz w:val="32"/>
          <w:szCs w:val="32"/>
          <w:lang w:eastAsia="zh-CN"/>
        </w:rPr>
        <w:t>二、</w:t>
      </w:r>
      <w:r>
        <w:rPr>
          <w:rFonts w:hint="eastAsia" w:ascii="黑体" w:eastAsia="黑体"/>
          <w:sz w:val="32"/>
          <w:szCs w:val="32"/>
        </w:rPr>
        <w:t>收</w:t>
      </w:r>
      <w:r>
        <w:rPr>
          <w:rStyle w:val="22"/>
          <w:rFonts w:hint="eastAsia" w:ascii="黑体" w:eastAsia="黑体"/>
          <w:b w:val="0"/>
        </w:rPr>
        <w:t>入决算情况说明</w:t>
      </w:r>
      <w:bookmarkEnd w:id="30"/>
      <w:bookmarkEnd w:id="31"/>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2021年本年收入合计</w:t>
      </w:r>
      <w:r>
        <w:rPr>
          <w:rFonts w:hint="eastAsia" w:ascii="仿宋_GB2312" w:hAnsi="仿宋_GB2312" w:eastAsia="仿宋_GB2312" w:cs="仿宋_GB2312"/>
          <w:sz w:val="32"/>
          <w:szCs w:val="32"/>
          <w:lang w:val="en-US" w:eastAsia="zh-CN"/>
        </w:rPr>
        <w:t>1038.52</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1038.52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7"/>
        <w:pageBreakBefore w:val="0"/>
        <w:kinsoku/>
        <w:wordWrap/>
        <w:overflowPunct/>
        <w:topLinePunct w:val="0"/>
        <w:bidi w:val="0"/>
        <w:spacing w:line="560" w:lineRule="atLeast"/>
        <w:ind w:left="0" w:leftChars="0" w:firstLine="0" w:firstLineChars="0"/>
        <w:rPr>
          <w:rFonts w:hint="eastAsia"/>
        </w:rPr>
      </w:pPr>
      <w:r>
        <w:rPr>
          <w:rFonts w:hint="eastAsia" w:ascii="仿宋" w:eastAsia="仿宋"/>
          <w:sz w:val="32"/>
          <w:szCs w:val="32"/>
          <w:lang w:eastAsia="zh-CN"/>
        </w:rPr>
        <w:drawing>
          <wp:inline distT="0" distB="0" distL="114300" distR="114300">
            <wp:extent cx="5706745" cy="3467100"/>
            <wp:effectExtent l="5080" t="4445" r="2222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keepNext w:val="0"/>
        <w:keepLines w:val="0"/>
        <w:pageBreakBefore w:val="0"/>
        <w:widowControl w:val="0"/>
        <w:kinsoku/>
        <w:wordWrap/>
        <w:overflowPunct/>
        <w:topLinePunct w:val="0"/>
        <w:autoSpaceDE/>
        <w:autoSpaceDN/>
        <w:bidi w:val="0"/>
        <w:adjustRightInd/>
        <w:snapToGrid/>
        <w:spacing w:line="520" w:lineRule="atLeast"/>
        <w:ind w:firstLine="2560" w:firstLineChars="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80" w:lineRule="atLeast"/>
        <w:ind w:firstLine="640" w:firstLineChars="200"/>
        <w:textAlignment w:val="auto"/>
        <w:outlineLvl w:val="1"/>
        <w:rPr>
          <w:rStyle w:val="22"/>
          <w:rFonts w:ascii="黑体" w:eastAsia="黑体"/>
          <w:b w:val="0"/>
        </w:rPr>
      </w:pPr>
      <w:bookmarkStart w:id="32" w:name="_Toc15396605"/>
      <w:bookmarkStart w:id="33" w:name="_Toc15377207"/>
      <w:r>
        <w:rPr>
          <w:rFonts w:hint="eastAsia" w:ascii="黑体" w:eastAsia="黑体"/>
          <w:sz w:val="32"/>
          <w:szCs w:val="32"/>
          <w:lang w:eastAsia="zh-CN"/>
        </w:rPr>
        <w:t>三、</w:t>
      </w:r>
      <w:r>
        <w:rPr>
          <w:rFonts w:hint="eastAsia" w:ascii="黑体" w:eastAsia="黑体"/>
          <w:sz w:val="32"/>
          <w:szCs w:val="32"/>
        </w:rPr>
        <w:t>支</w:t>
      </w:r>
      <w:r>
        <w:rPr>
          <w:rStyle w:val="22"/>
          <w:rFonts w:hint="eastAsia" w:ascii="黑体" w:eastAsia="黑体"/>
          <w:b w:val="0"/>
        </w:rPr>
        <w:t>出决算情况说明</w:t>
      </w:r>
      <w:bookmarkEnd w:id="32"/>
      <w:bookmarkEnd w:id="33"/>
    </w:p>
    <w:p>
      <w:pPr>
        <w:keepNext w:val="0"/>
        <w:keepLines w:val="0"/>
        <w:pageBreakBefore w:val="0"/>
        <w:widowControl w:val="0"/>
        <w:kinsoku/>
        <w:wordWrap/>
        <w:overflowPunct/>
        <w:topLinePunct w:val="0"/>
        <w:autoSpaceDE/>
        <w:autoSpaceDN/>
        <w:bidi w:val="0"/>
        <w:adjustRightInd/>
        <w:snapToGrid/>
        <w:spacing w:line="580" w:lineRule="atLeast"/>
        <w:ind w:firstLine="640" w:firstLineChars="200"/>
        <w:textAlignment w:val="auto"/>
        <w:outlineLvl w:val="1"/>
        <w:rPr>
          <w:rFonts w:hint="eastAsia" w:ascii="仿宋_GB2312" w:hAnsi="仿宋_GB2312" w:eastAsia="仿宋_GB2312" w:cs="仿宋_GB2312"/>
          <w:sz w:val="32"/>
          <w:szCs w:val="32"/>
          <w:shd w:val="pct10" w:color="auto" w:fill="FFFFFF"/>
          <w:lang w:val="en-US" w:eastAsia="zh-CN"/>
        </w:rPr>
      </w:pPr>
      <w:r>
        <w:rPr>
          <w:rFonts w:hint="eastAsia" w:ascii="仿宋_GB2312" w:hAnsi="仿宋_GB2312" w:eastAsia="仿宋_GB2312" w:cs="仿宋_GB2312"/>
          <w:sz w:val="32"/>
          <w:szCs w:val="32"/>
        </w:rPr>
        <w:t>2021年本年支出合计</w:t>
      </w:r>
      <w:r>
        <w:rPr>
          <w:rFonts w:hint="eastAsia" w:ascii="仿宋_GB2312" w:hAnsi="仿宋_GB2312" w:eastAsia="仿宋_GB2312" w:cs="仿宋_GB2312"/>
          <w:sz w:val="32"/>
          <w:szCs w:val="32"/>
          <w:lang w:val="en-US" w:eastAsia="zh-CN"/>
        </w:rPr>
        <w:t>1103.68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767.37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69.53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336.31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30.47</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10"/>
        <w:pageBreakBefore w:val="0"/>
        <w:kinsoku/>
        <w:wordWrap/>
        <w:overflowPunct/>
        <w:topLinePunct w:val="0"/>
        <w:bidi w:val="0"/>
        <w:spacing w:line="560" w:lineRule="atLeast"/>
        <w:ind w:left="1920" w:hanging="1920" w:hangingChars="600"/>
        <w:rPr>
          <w:rFonts w:hint="default" w:ascii="仿宋" w:eastAsia="仿宋"/>
          <w:sz w:val="32"/>
          <w:szCs w:val="32"/>
          <w:shd w:val="pct10" w:color="auto" w:fill="FFFFFF"/>
          <w:lang w:val="en-US" w:eastAsia="zh-CN"/>
        </w:rPr>
      </w:pPr>
      <w:r>
        <w:rPr>
          <w:rFonts w:hint="default" w:ascii="仿宋" w:eastAsia="仿宋"/>
          <w:sz w:val="32"/>
          <w:szCs w:val="32"/>
          <w:shd w:val="pct10" w:color="auto" w:fill="FFFFFF"/>
          <w:lang w:val="en-US" w:eastAsia="zh-CN"/>
        </w:rPr>
        <w:drawing>
          <wp:inline distT="0" distB="0" distL="114300" distR="114300">
            <wp:extent cx="5479415" cy="3228975"/>
            <wp:effectExtent l="4445" t="4445" r="21590"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10"/>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320" w:firstLineChars="1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textAlignment w:val="auto"/>
        <w:outlineLvl w:val="1"/>
        <w:rPr>
          <w:rStyle w:val="22"/>
          <w:rFonts w:ascii="黑体" w:eastAsia="黑体"/>
          <w:b w:val="0"/>
        </w:rPr>
      </w:pPr>
      <w:bookmarkStart w:id="34" w:name="_Toc15377208"/>
      <w:bookmarkStart w:id="35" w:name="_Toc15396606"/>
      <w:r>
        <w:rPr>
          <w:rFonts w:hint="eastAsia" w:ascii="黑体" w:eastAsia="黑体"/>
          <w:sz w:val="32"/>
          <w:szCs w:val="32"/>
        </w:rPr>
        <w:t>四、财</w:t>
      </w:r>
      <w:r>
        <w:rPr>
          <w:rStyle w:val="22"/>
          <w:rFonts w:hint="eastAsia" w:ascii="黑体" w:eastAsia="黑体"/>
          <w:b w:val="0"/>
        </w:rPr>
        <w:t>政拨款收入支出决算总体情况说明</w:t>
      </w:r>
      <w:bookmarkEnd w:id="34"/>
      <w:bookmarkEnd w:id="35"/>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2021年财政拨款收、支总计</w:t>
      </w:r>
      <w:r>
        <w:rPr>
          <w:rFonts w:hint="eastAsia" w:ascii="仿宋_GB2312" w:hAnsi="仿宋_GB2312" w:eastAsia="仿宋_GB2312" w:cs="仿宋_GB2312"/>
          <w:sz w:val="32"/>
          <w:szCs w:val="32"/>
          <w:lang w:val="en-US" w:eastAsia="zh-CN"/>
        </w:rPr>
        <w:t>1103.68</w:t>
      </w:r>
      <w:r>
        <w:rPr>
          <w:rFonts w:hint="eastAsia" w:ascii="仿宋_GB2312" w:hAnsi="仿宋_GB2312" w:eastAsia="仿宋_GB2312" w:cs="仿宋_GB2312"/>
          <w:sz w:val="32"/>
          <w:szCs w:val="32"/>
        </w:rPr>
        <w:t>万元。与2020年相比，财政拨款收、支总计各减少</w:t>
      </w:r>
      <w:r>
        <w:rPr>
          <w:rFonts w:hint="eastAsia" w:ascii="仿宋_GB2312" w:hAnsi="仿宋_GB2312" w:eastAsia="仿宋_GB2312" w:cs="仿宋_GB2312"/>
          <w:sz w:val="32"/>
          <w:szCs w:val="32"/>
          <w:lang w:val="en-US" w:eastAsia="zh-CN"/>
        </w:rPr>
        <w:t>505.09</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31.4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主要变动原因</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基本支出</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2021新增</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名职工，调出1名职工，</w:t>
      </w:r>
      <w:r>
        <w:rPr>
          <w:rFonts w:hint="eastAsia" w:ascii="仿宋_GB2312" w:hAnsi="仿宋_GB2312" w:eastAsia="仿宋_GB2312" w:cs="仿宋_GB2312"/>
          <w:sz w:val="32"/>
          <w:szCs w:val="32"/>
          <w:lang w:val="en-US" w:eastAsia="zh-CN"/>
        </w:rPr>
        <w:t>基本支出增加；</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14:textFill>
            <w14:solidFill>
              <w14:schemeClr w14:val="tx1"/>
            </w14:solidFill>
          </w14:textFill>
        </w:rPr>
        <w:t>2021</w:t>
      </w:r>
      <w:r>
        <w:rPr>
          <w:rFonts w:hint="eastAsia" w:ascii="仿宋_GB2312" w:hAnsi="仿宋_GB2312" w:eastAsia="仿宋_GB2312" w:cs="仿宋_GB2312"/>
          <w:color w:val="000000" w:themeColor="text1"/>
          <w:sz w:val="32"/>
          <w:szCs w:val="32"/>
          <w14:textFill>
            <w14:solidFill>
              <w14:schemeClr w14:val="tx1"/>
            </w14:solidFill>
          </w14:textFill>
        </w:rPr>
        <w:t>年社保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基数</w:t>
      </w:r>
      <w:r>
        <w:rPr>
          <w:rFonts w:hint="eastAsia" w:ascii="仿宋_GB2312" w:hAnsi="仿宋_GB2312" w:eastAsia="仿宋_GB2312" w:cs="仿宋_GB2312"/>
          <w:color w:val="000000" w:themeColor="text1"/>
          <w:sz w:val="32"/>
          <w:szCs w:val="32"/>
          <w14:textFill>
            <w14:solidFill>
              <w14:schemeClr w14:val="tx1"/>
            </w14:solidFill>
          </w14:textFill>
        </w:rPr>
        <w:t>、工资基数、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w:t>
      </w:r>
      <w:r>
        <w:rPr>
          <w:rFonts w:hint="eastAsia" w:ascii="仿宋_GB2312" w:hAnsi="仿宋_GB2312" w:eastAsia="仿宋_GB2312" w:cs="仿宋_GB2312"/>
          <w:color w:val="000000" w:themeColor="text1"/>
          <w:sz w:val="32"/>
          <w:szCs w:val="32"/>
          <w14:textFill>
            <w14:solidFill>
              <w14:schemeClr w14:val="tx1"/>
            </w14:solidFill>
          </w14:textFill>
        </w:rPr>
        <w:t>目标奖增加</w:t>
      </w:r>
      <w:r>
        <w:rPr>
          <w:rFonts w:hint="eastAsia" w:ascii="仿宋_GB2312" w:hAnsi="仿宋_GB2312" w:eastAsia="仿宋_GB2312" w:cs="仿宋_GB2312"/>
          <w:b w:val="0"/>
          <w:i w:val="0"/>
          <w:caps w:val="0"/>
          <w:spacing w:val="0"/>
          <w:w w:val="100"/>
          <w:sz w:val="32"/>
          <w:szCs w:val="32"/>
          <w:lang w:val="en-US" w:eastAsia="zh-CN"/>
        </w:rPr>
        <w:t>。项目支出</w:t>
      </w:r>
      <w:r>
        <w:rPr>
          <w:rFonts w:hint="eastAsia" w:ascii="仿宋_GB2312" w:hAnsi="仿宋_GB2312" w:eastAsia="仿宋_GB2312" w:cs="仿宋_GB2312"/>
          <w:b/>
          <w:bCs/>
          <w:i w:val="0"/>
          <w:caps w:val="0"/>
          <w:spacing w:val="0"/>
          <w:w w:val="100"/>
          <w:sz w:val="32"/>
          <w:szCs w:val="32"/>
          <w:lang w:val="en-US" w:eastAsia="zh-CN"/>
        </w:rPr>
        <w:t>一是</w:t>
      </w:r>
      <w:r>
        <w:rPr>
          <w:rFonts w:hint="eastAsia" w:ascii="仿宋_GB2312" w:hAnsi="仿宋_GB2312" w:eastAsia="仿宋_GB2312" w:cs="仿宋_GB2312"/>
          <w:b w:val="0"/>
          <w:i w:val="0"/>
          <w:caps w:val="0"/>
          <w:spacing w:val="0"/>
          <w:w w:val="100"/>
          <w:sz w:val="32"/>
          <w:szCs w:val="32"/>
          <w:lang w:val="en-US" w:eastAsia="zh-CN"/>
        </w:rPr>
        <w:t>部门预算</w:t>
      </w:r>
      <w:r>
        <w:rPr>
          <w:rStyle w:val="18"/>
          <w:rFonts w:hint="eastAsia" w:ascii="仿宋_GB2312" w:hAnsi="仿宋_GB2312" w:eastAsia="仿宋_GB2312" w:cs="仿宋_GB2312"/>
          <w:b w:val="0"/>
          <w:bCs/>
          <w:sz w:val="32"/>
          <w:szCs w:val="32"/>
          <w:shd w:val="clear" w:fill="FFFFFF"/>
          <w:lang w:val="en-US" w:eastAsia="zh-CN"/>
        </w:rPr>
        <w:t>项目、上年末结转结余支出</w:t>
      </w:r>
      <w:r>
        <w:rPr>
          <w:rStyle w:val="18"/>
          <w:rFonts w:hint="eastAsia" w:ascii="仿宋_GB2312" w:hAnsi="仿宋_GB2312" w:eastAsia="仿宋_GB2312" w:cs="仿宋_GB2312"/>
          <w:b w:val="0"/>
          <w:bCs/>
          <w:sz w:val="32"/>
          <w:szCs w:val="32"/>
          <w:shd w:val="clear" w:fill="FFFFFF"/>
          <w:lang w:eastAsia="zh-CN"/>
        </w:rPr>
        <w:t>较2020年</w:t>
      </w:r>
      <w:r>
        <w:rPr>
          <w:rStyle w:val="18"/>
          <w:rFonts w:hint="eastAsia" w:ascii="仿宋_GB2312" w:hAnsi="仿宋_GB2312" w:eastAsia="仿宋_GB2312" w:cs="仿宋_GB2312"/>
          <w:b w:val="0"/>
          <w:bCs/>
          <w:sz w:val="32"/>
          <w:szCs w:val="32"/>
          <w:shd w:val="clear" w:fill="FFFFFF"/>
          <w:lang w:val="en-US" w:eastAsia="zh-CN"/>
        </w:rPr>
        <w:t>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kern w:val="0"/>
          <w:sz w:val="32"/>
          <w:szCs w:val="32"/>
          <w:lang w:val="en-US" w:eastAsia="zh-CN" w:bidi="ar"/>
        </w:rPr>
        <w:t>2020年支出包含</w:t>
      </w:r>
      <w:r>
        <w:rPr>
          <w:rFonts w:hint="eastAsia" w:ascii="仿宋_GB2312" w:hAnsi="仿宋_GB2312" w:eastAsia="仿宋_GB2312" w:cs="仿宋_GB2312"/>
          <w:sz w:val="32"/>
          <w:szCs w:val="32"/>
        </w:rPr>
        <w:t>2020年建档立卡贫困人口大病补充商业保险州级配套资金618.38万元</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kern w:val="0"/>
          <w:sz w:val="32"/>
          <w:szCs w:val="32"/>
          <w:lang w:val="en-US" w:eastAsia="zh-CN" w:bidi="ar"/>
        </w:rPr>
        <w:t>2020年离退休军人医疗补助74.76万元，2021年无此两项支出。</w:t>
      </w:r>
    </w:p>
    <w:p>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eastAsia="仿宋"/>
          <w:sz w:val="32"/>
          <w:szCs w:val="32"/>
        </w:rPr>
      </w:pPr>
    </w:p>
    <w:p>
      <w:pPr>
        <w:pStyle w:val="8"/>
        <w:pageBreakBefore w:val="0"/>
        <w:kinsoku/>
        <w:wordWrap/>
        <w:overflowPunct/>
        <w:topLinePunct w:val="0"/>
        <w:bidi w:val="0"/>
        <w:spacing w:line="560" w:lineRule="atLeast"/>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365115" cy="2486025"/>
            <wp:effectExtent l="4445" t="4445" r="21590"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ageBreakBefore w:val="0"/>
        <w:kinsoku/>
        <w:wordWrap/>
        <w:overflowPunct/>
        <w:topLinePunct w:val="0"/>
        <w:bidi w:val="0"/>
        <w:spacing w:line="560" w:lineRule="atLeast"/>
        <w:jc w:val="center"/>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（图4：财政拨款收、支决算总计变动情况）</w:t>
      </w:r>
    </w:p>
    <w:p>
      <w:pPr>
        <w:pageBreakBefore w:val="0"/>
        <w:kinsoku/>
        <w:wordWrap/>
        <w:overflowPunct/>
        <w:topLinePunct w:val="0"/>
        <w:bidi w:val="0"/>
        <w:spacing w:line="560" w:lineRule="atLeast"/>
        <w:ind w:firstLine="640" w:firstLineChars="200"/>
        <w:outlineLvl w:val="1"/>
        <w:rPr>
          <w:rStyle w:val="22"/>
          <w:rFonts w:ascii="黑体" w:eastAsia="黑体"/>
          <w:b w:val="0"/>
        </w:rPr>
      </w:pPr>
      <w:bookmarkStart w:id="36" w:name="_Toc15377209"/>
      <w:bookmarkStart w:id="37" w:name="_Toc15396607"/>
      <w:r>
        <w:rPr>
          <w:rFonts w:hint="eastAsia" w:ascii="黑体" w:eastAsia="黑体"/>
          <w:sz w:val="32"/>
          <w:szCs w:val="32"/>
        </w:rPr>
        <w:t>五、</w:t>
      </w:r>
      <w:r>
        <w:rPr>
          <w:rFonts w:hint="eastAsia" w:ascii="黑体" w:eastAsia="黑体"/>
          <w:b/>
          <w:sz w:val="32"/>
          <w:szCs w:val="32"/>
        </w:rPr>
        <w:t>一</w:t>
      </w:r>
      <w:r>
        <w:rPr>
          <w:rStyle w:val="22"/>
          <w:rFonts w:hint="eastAsia" w:ascii="黑体" w:eastAsia="黑体"/>
          <w:b w:val="0"/>
        </w:rPr>
        <w:t>般公共预算财政拨款支出决算情况说明</w:t>
      </w:r>
      <w:bookmarkEnd w:id="36"/>
      <w:bookmarkEnd w:id="37"/>
    </w:p>
    <w:p>
      <w:pPr>
        <w:pageBreakBefore w:val="0"/>
        <w:kinsoku/>
        <w:wordWrap/>
        <w:overflowPunct/>
        <w:topLinePunct w:val="0"/>
        <w:bidi w:val="0"/>
        <w:spacing w:line="560" w:lineRule="atLeast"/>
        <w:ind w:firstLine="642" w:firstLineChars="200"/>
        <w:outlineLvl w:val="2"/>
        <w:rPr>
          <w:rFonts w:hint="eastAsia" w:ascii="楷体_GB2312" w:hAnsi="楷体_GB2312" w:eastAsia="楷体_GB2312" w:cs="楷体_GB2312"/>
          <w:b/>
          <w:bCs w:val="0"/>
          <w:kern w:val="2"/>
          <w:sz w:val="32"/>
          <w:szCs w:val="32"/>
          <w:lang w:val="en-US" w:eastAsia="zh-CN" w:bidi="ar-SA"/>
        </w:rPr>
      </w:pPr>
      <w:bookmarkStart w:id="38" w:name="_Toc15377210"/>
      <w:r>
        <w:rPr>
          <w:rFonts w:hint="eastAsia" w:ascii="楷体_GB2312" w:hAnsi="楷体_GB2312" w:eastAsia="楷体_GB2312" w:cs="楷体_GB2312"/>
          <w:b/>
          <w:bCs w:val="0"/>
          <w:kern w:val="2"/>
          <w:sz w:val="32"/>
          <w:szCs w:val="32"/>
          <w:lang w:val="en-US" w:eastAsia="zh-CN" w:bidi="ar-SA"/>
        </w:rPr>
        <w:t>（一）一般公共预算财政拨款支出决算总体情况</w:t>
      </w:r>
      <w:bookmarkEnd w:id="38"/>
      <w:r>
        <w:rPr>
          <w:rFonts w:hint="eastAsia" w:ascii="楷体_GB2312" w:hAnsi="楷体_GB2312" w:eastAsia="楷体_GB2312" w:cs="楷体_GB2312"/>
          <w:b/>
          <w:bCs w:val="0"/>
          <w:kern w:val="2"/>
          <w:sz w:val="32"/>
          <w:szCs w:val="32"/>
          <w:lang w:val="en-US" w:eastAsia="zh-CN" w:bidi="ar-SA"/>
        </w:rPr>
        <w:t>。</w:t>
      </w:r>
    </w:p>
    <w:p>
      <w:pPr>
        <w:pageBreakBefore w:val="0"/>
        <w:kinsoku/>
        <w:wordWrap/>
        <w:overflowPunct/>
        <w:topLinePunct w:val="0"/>
        <w:bidi w:val="0"/>
        <w:spacing w:line="560" w:lineRule="atLeas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2021年一般公共预算财政拨款支出</w:t>
      </w:r>
      <w:r>
        <w:rPr>
          <w:rFonts w:hint="eastAsia" w:ascii="仿宋_GB2312" w:hAnsi="仿宋_GB2312" w:eastAsia="仿宋_GB2312" w:cs="仿宋_GB2312"/>
          <w:sz w:val="32"/>
          <w:szCs w:val="32"/>
          <w:lang w:val="en-US" w:eastAsia="zh-CN"/>
        </w:rPr>
        <w:t>1103.68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%。与2020年相比，一般公共预算财政拨款支出减少</w:t>
      </w:r>
      <w:r>
        <w:rPr>
          <w:rFonts w:hint="eastAsia" w:ascii="仿宋_GB2312" w:hAnsi="仿宋_GB2312" w:eastAsia="仿宋_GB2312" w:cs="仿宋_GB2312"/>
          <w:sz w:val="32"/>
          <w:szCs w:val="32"/>
          <w:lang w:val="en-US" w:eastAsia="zh-CN"/>
        </w:rPr>
        <w:t>505.09</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31.4</w:t>
      </w:r>
      <w:r>
        <w:rPr>
          <w:rFonts w:hint="eastAsia" w:ascii="仿宋_GB2312" w:hAnsi="仿宋_GB2312" w:eastAsia="仿宋_GB2312" w:cs="仿宋_GB2312"/>
          <w:sz w:val="32"/>
          <w:szCs w:val="32"/>
        </w:rPr>
        <w:t>%。主要变动原因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基本支出一是</w:t>
      </w:r>
      <w:r>
        <w:rPr>
          <w:rFonts w:hint="eastAsia" w:ascii="仿宋_GB2312" w:hAnsi="仿宋_GB2312" w:eastAsia="仿宋_GB2312" w:cs="仿宋_GB2312"/>
          <w:sz w:val="32"/>
          <w:szCs w:val="32"/>
        </w:rPr>
        <w:t>2021新增</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名职工，调出1名职工，</w:t>
      </w:r>
      <w:r>
        <w:rPr>
          <w:rFonts w:hint="eastAsia" w:ascii="仿宋_GB2312" w:hAnsi="仿宋_GB2312" w:eastAsia="仿宋_GB2312" w:cs="仿宋_GB2312"/>
          <w:sz w:val="32"/>
          <w:szCs w:val="32"/>
          <w:lang w:val="en-US" w:eastAsia="zh-CN"/>
        </w:rPr>
        <w:t>基本支出增加；</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14:textFill>
            <w14:solidFill>
              <w14:schemeClr w14:val="tx1"/>
            </w14:solidFill>
          </w14:textFill>
        </w:rPr>
        <w:t>2021</w:t>
      </w:r>
      <w:r>
        <w:rPr>
          <w:rFonts w:hint="eastAsia" w:ascii="仿宋_GB2312" w:hAnsi="仿宋_GB2312" w:eastAsia="仿宋_GB2312" w:cs="仿宋_GB2312"/>
          <w:color w:val="000000" w:themeColor="text1"/>
          <w:sz w:val="32"/>
          <w:szCs w:val="32"/>
          <w14:textFill>
            <w14:solidFill>
              <w14:schemeClr w14:val="tx1"/>
            </w14:solidFill>
          </w14:textFill>
        </w:rPr>
        <w:t>年社保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基数</w:t>
      </w:r>
      <w:r>
        <w:rPr>
          <w:rFonts w:hint="eastAsia" w:ascii="仿宋_GB2312" w:hAnsi="仿宋_GB2312" w:eastAsia="仿宋_GB2312" w:cs="仿宋_GB2312"/>
          <w:color w:val="000000" w:themeColor="text1"/>
          <w:sz w:val="32"/>
          <w:szCs w:val="32"/>
          <w14:textFill>
            <w14:solidFill>
              <w14:schemeClr w14:val="tx1"/>
            </w14:solidFill>
          </w14:textFill>
        </w:rPr>
        <w:t>、工资基数、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w:t>
      </w:r>
      <w:r>
        <w:rPr>
          <w:rFonts w:hint="eastAsia" w:ascii="仿宋_GB2312" w:hAnsi="仿宋_GB2312" w:eastAsia="仿宋_GB2312" w:cs="仿宋_GB2312"/>
          <w:color w:val="000000" w:themeColor="text1"/>
          <w:sz w:val="32"/>
          <w:szCs w:val="32"/>
          <w14:textFill>
            <w14:solidFill>
              <w14:schemeClr w14:val="tx1"/>
            </w14:solidFill>
          </w14:textFill>
        </w:rPr>
        <w:t>目标奖增加</w:t>
      </w:r>
      <w:r>
        <w:rPr>
          <w:rFonts w:hint="eastAsia" w:ascii="仿宋_GB2312" w:hAnsi="仿宋_GB2312" w:eastAsia="仿宋_GB2312" w:cs="仿宋_GB2312"/>
          <w:b w:val="0"/>
          <w:i w:val="0"/>
          <w:caps w:val="0"/>
          <w:spacing w:val="0"/>
          <w:w w:val="100"/>
          <w:sz w:val="32"/>
          <w:szCs w:val="32"/>
          <w:lang w:val="en-US" w:eastAsia="zh-CN"/>
        </w:rPr>
        <w:t>。项目支出一是部门预算</w:t>
      </w:r>
      <w:r>
        <w:rPr>
          <w:rStyle w:val="18"/>
          <w:rFonts w:hint="eastAsia" w:ascii="仿宋_GB2312" w:hAnsi="仿宋_GB2312" w:eastAsia="仿宋_GB2312" w:cs="仿宋_GB2312"/>
          <w:b w:val="0"/>
          <w:bCs/>
          <w:sz w:val="32"/>
          <w:szCs w:val="32"/>
          <w:shd w:val="clear" w:fill="FFFFFF"/>
          <w:lang w:val="en-US" w:eastAsia="zh-CN"/>
        </w:rPr>
        <w:t>项目、上年末结转结余支出</w:t>
      </w:r>
      <w:r>
        <w:rPr>
          <w:rStyle w:val="18"/>
          <w:rFonts w:hint="eastAsia" w:ascii="仿宋_GB2312" w:hAnsi="仿宋_GB2312" w:eastAsia="仿宋_GB2312" w:cs="仿宋_GB2312"/>
          <w:b w:val="0"/>
          <w:bCs/>
          <w:sz w:val="32"/>
          <w:szCs w:val="32"/>
          <w:shd w:val="clear" w:fill="FFFFFF"/>
          <w:lang w:eastAsia="zh-CN"/>
        </w:rPr>
        <w:t>较2020年</w:t>
      </w:r>
      <w:r>
        <w:rPr>
          <w:rStyle w:val="18"/>
          <w:rFonts w:hint="eastAsia" w:ascii="仿宋_GB2312" w:hAnsi="仿宋_GB2312" w:eastAsia="仿宋_GB2312" w:cs="仿宋_GB2312"/>
          <w:b w:val="0"/>
          <w:bCs/>
          <w:sz w:val="32"/>
          <w:szCs w:val="32"/>
          <w:shd w:val="clear" w:fill="FFFFFF"/>
          <w:lang w:val="en-US" w:eastAsia="zh-CN"/>
        </w:rPr>
        <w:t>增加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kern w:val="0"/>
          <w:sz w:val="32"/>
          <w:szCs w:val="32"/>
          <w:lang w:val="en-US" w:eastAsia="zh-CN" w:bidi="ar"/>
        </w:rPr>
        <w:t>2020年支出包含</w:t>
      </w:r>
      <w:r>
        <w:rPr>
          <w:rFonts w:hint="eastAsia" w:ascii="仿宋_GB2312" w:hAnsi="仿宋_GB2312" w:eastAsia="仿宋_GB2312" w:cs="仿宋_GB2312"/>
          <w:sz w:val="32"/>
          <w:szCs w:val="32"/>
        </w:rPr>
        <w:t>2020年建档立卡贫困人口大病补充商业保险州级配套资金618.38万元</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kern w:val="0"/>
          <w:sz w:val="32"/>
          <w:szCs w:val="32"/>
          <w:lang w:val="en-US" w:eastAsia="zh-CN" w:bidi="ar"/>
        </w:rPr>
        <w:t>2020年离退休军人医疗补助74.76万元，2021年无此两项支出。</w:t>
      </w:r>
    </w:p>
    <w:p>
      <w:pPr>
        <w:pStyle w:val="7"/>
        <w:pageBreakBefore w:val="0"/>
        <w:kinsoku/>
        <w:wordWrap/>
        <w:overflowPunct/>
        <w:topLinePunct w:val="0"/>
        <w:bidi w:val="0"/>
        <w:spacing w:line="560" w:lineRule="atLeast"/>
        <w:ind w:left="0" w:leftChars="0" w:firstLine="0" w:firstLineChars="0"/>
        <w:rPr>
          <w:rFonts w:hint="eastAsia"/>
        </w:rPr>
      </w:pPr>
      <w:r>
        <w:rPr>
          <w:rFonts w:hint="eastAsia" w:ascii="仿宋" w:eastAsia="仿宋"/>
          <w:sz w:val="32"/>
          <w:szCs w:val="32"/>
          <w:lang w:eastAsia="zh-CN"/>
        </w:rPr>
        <w:drawing>
          <wp:inline distT="0" distB="0" distL="114300" distR="114300">
            <wp:extent cx="5717540" cy="2590165"/>
            <wp:effectExtent l="4445" t="4445" r="12065" b="1524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ageBreakBefore w:val="0"/>
        <w:kinsoku/>
        <w:wordWrap/>
        <w:overflowPunct/>
        <w:topLinePunct w:val="0"/>
        <w:bidi w:val="0"/>
        <w:spacing w:line="560" w:lineRule="atLeast"/>
        <w:ind w:firstLine="960" w:firstLineChars="300"/>
        <w:rPr>
          <w:rFonts w:ascii="仿宋" w:eastAsia="仿宋"/>
          <w:sz w:val="32"/>
          <w:szCs w:val="32"/>
        </w:rPr>
      </w:pPr>
      <w:r>
        <w:rPr>
          <w:rFonts w:hint="eastAsia" w:ascii="仿宋" w:eastAsia="仿宋"/>
          <w:sz w:val="32"/>
          <w:szCs w:val="32"/>
        </w:rPr>
        <w:t>（图5：一般公共预算财政拨款支出决算变动情况）</w:t>
      </w:r>
    </w:p>
    <w:p>
      <w:pPr>
        <w:pageBreakBefore w:val="0"/>
        <w:kinsoku/>
        <w:wordWrap/>
        <w:overflowPunct/>
        <w:topLinePunct w:val="0"/>
        <w:bidi w:val="0"/>
        <w:spacing w:line="560" w:lineRule="atLeast"/>
        <w:ind w:firstLine="642" w:firstLineChars="200"/>
        <w:outlineLvl w:val="2"/>
        <w:rPr>
          <w:rFonts w:hint="eastAsia" w:ascii="楷体_GB2312" w:hAnsi="楷体_GB2312" w:eastAsia="楷体_GB2312" w:cs="楷体_GB2312"/>
          <w:b/>
          <w:bCs w:val="0"/>
          <w:kern w:val="2"/>
          <w:sz w:val="32"/>
          <w:szCs w:val="32"/>
          <w:lang w:val="en-US" w:eastAsia="zh-CN" w:bidi="ar-SA"/>
        </w:rPr>
      </w:pPr>
      <w:bookmarkStart w:id="39" w:name="_Toc15377211"/>
      <w:r>
        <w:rPr>
          <w:rFonts w:hint="eastAsia" w:ascii="楷体_GB2312" w:hAnsi="楷体_GB2312" w:eastAsia="楷体_GB2312" w:cs="楷体_GB2312"/>
          <w:b/>
          <w:bCs w:val="0"/>
          <w:kern w:val="2"/>
          <w:sz w:val="32"/>
          <w:szCs w:val="32"/>
          <w:lang w:val="en-US" w:eastAsia="zh-CN" w:bidi="ar-SA"/>
        </w:rPr>
        <w:t>（二）一般公共预算财政拨款支出决算结构情况</w:t>
      </w:r>
      <w:bookmarkEnd w:id="39"/>
      <w:r>
        <w:rPr>
          <w:rFonts w:hint="eastAsia" w:ascii="楷体_GB2312" w:hAnsi="楷体_GB2312" w:eastAsia="楷体_GB2312" w:cs="楷体_GB2312"/>
          <w:b/>
          <w:bCs w:val="0"/>
          <w:kern w:val="2"/>
          <w:sz w:val="32"/>
          <w:szCs w:val="32"/>
          <w:lang w:val="en-US" w:eastAsia="zh-CN" w:bidi="ar-SA"/>
        </w:rPr>
        <w:t>。</w:t>
      </w:r>
    </w:p>
    <w:p>
      <w:pPr>
        <w:pageBreakBefore w:val="0"/>
        <w:kinsoku/>
        <w:wordWrap/>
        <w:overflowPunct/>
        <w:topLinePunct w:val="0"/>
        <w:bidi w:val="0"/>
        <w:spacing w:line="560" w:lineRule="atLeast"/>
        <w:ind w:firstLine="640"/>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2021年一般公共预算财政拨款支出</w:t>
      </w:r>
      <w:r>
        <w:rPr>
          <w:rFonts w:hint="eastAsia" w:ascii="仿宋_GB2312" w:hAnsi="仿宋_GB2312" w:eastAsia="仿宋_GB2312" w:cs="仿宋_GB2312"/>
          <w:sz w:val="32"/>
          <w:szCs w:val="32"/>
          <w:lang w:val="en-US" w:eastAsia="zh-CN"/>
        </w:rPr>
        <w:t>1103.68</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社会保障和就业（类</w:t>
      </w:r>
      <w:r>
        <w:rPr>
          <w:rFonts w:hint="eastAsia" w:ascii="仿宋_GB2312" w:hAnsi="仿宋_GB2312" w:eastAsia="仿宋_GB2312" w:cs="仿宋_GB2312"/>
          <w:b/>
          <w:bCs w:val="0"/>
          <w:sz w:val="32"/>
          <w:szCs w:val="32"/>
        </w:rPr>
        <w:t>）支出</w:t>
      </w:r>
      <w:r>
        <w:rPr>
          <w:rFonts w:hint="eastAsia" w:ascii="仿宋_GB2312" w:hAnsi="仿宋_GB2312" w:eastAsia="仿宋_GB2312" w:cs="仿宋_GB2312"/>
          <w:sz w:val="32"/>
          <w:szCs w:val="32"/>
          <w:lang w:val="en-US" w:eastAsia="zh-CN"/>
        </w:rPr>
        <w:t>71.82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6.51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类</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985.01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89.25</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住房保障</w:t>
      </w:r>
      <w:r>
        <w:rPr>
          <w:rFonts w:hint="eastAsia" w:ascii="仿宋_GB2312" w:hAnsi="仿宋_GB2312" w:eastAsia="仿宋_GB2312" w:cs="仿宋_GB2312"/>
          <w:b/>
          <w:bCs/>
          <w:sz w:val="32"/>
          <w:szCs w:val="32"/>
        </w:rPr>
        <w:t>（类）支出</w:t>
      </w:r>
      <w:r>
        <w:rPr>
          <w:rFonts w:hint="eastAsia" w:ascii="仿宋_GB2312" w:hAnsi="仿宋_GB2312" w:eastAsia="仿宋_GB2312" w:cs="仿宋_GB2312"/>
          <w:sz w:val="32"/>
          <w:szCs w:val="32"/>
          <w:lang w:val="en-US" w:eastAsia="zh-CN"/>
        </w:rPr>
        <w:t>46.85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4.24</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rPr>
        <w:t>。</w:t>
      </w:r>
    </w:p>
    <w:p>
      <w:pPr>
        <w:pageBreakBefore w:val="0"/>
        <w:kinsoku/>
        <w:wordWrap/>
        <w:overflowPunct/>
        <w:topLinePunct w:val="0"/>
        <w:bidi w:val="0"/>
        <w:spacing w:line="560" w:lineRule="atLeast"/>
        <w:ind w:firstLine="640"/>
        <w:rPr>
          <w:rFonts w:ascii="仿宋" w:eastAsia="仿宋"/>
          <w:sz w:val="32"/>
          <w:szCs w:val="32"/>
        </w:rPr>
      </w:pPr>
      <w:r>
        <w:rPr>
          <w:rFonts w:hint="eastAsia" w:ascii="仿宋" w:eastAsia="仿宋"/>
          <w:sz w:val="32"/>
          <w:szCs w:val="32"/>
          <w:lang w:eastAsia="zh-CN"/>
        </w:rPr>
        <w:drawing>
          <wp:anchor distT="0" distB="0" distL="114300" distR="114300" simplePos="0" relativeHeight="251658240" behindDoc="0" locked="0" layoutInCell="1" allowOverlap="1">
            <wp:simplePos x="0" y="0"/>
            <wp:positionH relativeFrom="column">
              <wp:posOffset>-24130</wp:posOffset>
            </wp:positionH>
            <wp:positionV relativeFrom="paragraph">
              <wp:posOffset>161290</wp:posOffset>
            </wp:positionV>
            <wp:extent cx="5527040" cy="2448560"/>
            <wp:effectExtent l="4445" t="4445" r="12065" b="234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pStyle w:val="7"/>
        <w:pageBreakBefore w:val="0"/>
        <w:kinsoku/>
        <w:wordWrap/>
        <w:overflowPunct/>
        <w:topLinePunct w:val="0"/>
        <w:bidi w:val="0"/>
        <w:spacing w:line="560" w:lineRule="atLeast"/>
        <w:rPr>
          <w:rFonts w:ascii="仿宋" w:eastAsia="仿宋"/>
          <w:sz w:val="32"/>
          <w:szCs w:val="32"/>
        </w:rPr>
      </w:pPr>
    </w:p>
    <w:p>
      <w:pPr>
        <w:pStyle w:val="8"/>
        <w:pageBreakBefore w:val="0"/>
        <w:kinsoku/>
        <w:wordWrap/>
        <w:overflowPunct/>
        <w:topLinePunct w:val="0"/>
        <w:bidi w:val="0"/>
        <w:spacing w:line="560" w:lineRule="atLeast"/>
        <w:rPr>
          <w:rFonts w:ascii="仿宋" w:eastAsia="仿宋"/>
          <w:sz w:val="32"/>
          <w:szCs w:val="32"/>
        </w:rPr>
      </w:pPr>
    </w:p>
    <w:p>
      <w:pPr>
        <w:pStyle w:val="10"/>
        <w:pageBreakBefore w:val="0"/>
        <w:kinsoku/>
        <w:wordWrap/>
        <w:overflowPunct/>
        <w:topLinePunct w:val="0"/>
        <w:bidi w:val="0"/>
        <w:spacing w:line="560" w:lineRule="atLeast"/>
        <w:rPr>
          <w:rFonts w:ascii="仿宋" w:eastAsia="仿宋"/>
          <w:sz w:val="32"/>
          <w:szCs w:val="32"/>
        </w:rPr>
      </w:pPr>
    </w:p>
    <w:p>
      <w:pPr>
        <w:pageBreakBefore w:val="0"/>
        <w:kinsoku/>
        <w:wordWrap/>
        <w:overflowPunct/>
        <w:topLinePunct w:val="0"/>
        <w:bidi w:val="0"/>
        <w:spacing w:line="560" w:lineRule="atLeast"/>
        <w:rPr>
          <w:rFonts w:ascii="仿宋" w:eastAsia="仿宋"/>
          <w:sz w:val="32"/>
          <w:szCs w:val="32"/>
        </w:rPr>
      </w:pPr>
    </w:p>
    <w:p>
      <w:pPr>
        <w:pStyle w:val="7"/>
        <w:pageBreakBefore w:val="0"/>
        <w:kinsoku/>
        <w:wordWrap/>
        <w:overflowPunct/>
        <w:topLinePunct w:val="0"/>
        <w:bidi w:val="0"/>
        <w:spacing w:line="560" w:lineRule="atLeast"/>
        <w:rPr>
          <w:rFonts w:ascii="仿宋" w:eastAsia="仿宋"/>
          <w:sz w:val="32"/>
          <w:szCs w:val="32"/>
        </w:rPr>
      </w:pPr>
    </w:p>
    <w:p>
      <w:pPr>
        <w:pStyle w:val="10"/>
        <w:pageBreakBefore w:val="0"/>
        <w:kinsoku/>
        <w:wordWrap/>
        <w:overflowPunct/>
        <w:topLinePunct w:val="0"/>
        <w:bidi w:val="0"/>
        <w:spacing w:line="560" w:lineRule="atLeast"/>
        <w:ind w:left="640" w:hanging="640" w:hanging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w:t>
      </w:r>
    </w:p>
    <w:p>
      <w:pPr>
        <w:keepNext w:val="0"/>
        <w:keepLines w:val="0"/>
        <w:pageBreakBefore w:val="0"/>
        <w:kinsoku/>
        <w:wordWrap/>
        <w:overflowPunct/>
        <w:topLinePunct w:val="0"/>
        <w:autoSpaceDE/>
        <w:autoSpaceDN/>
        <w:bidi w:val="0"/>
        <w:adjustRightInd/>
        <w:spacing w:line="560" w:lineRule="exact"/>
        <w:ind w:firstLine="642" w:firstLineChars="200"/>
        <w:textAlignment w:val="auto"/>
        <w:outlineLvl w:val="2"/>
        <w:rPr>
          <w:rFonts w:hint="eastAsia" w:ascii="楷体_GB2312" w:hAnsi="楷体_GB2312" w:eastAsia="楷体_GB2312" w:cs="楷体_GB2312"/>
          <w:b/>
          <w:bCs w:val="0"/>
          <w:kern w:val="2"/>
          <w:sz w:val="32"/>
          <w:szCs w:val="32"/>
          <w:lang w:val="en-US" w:eastAsia="zh-CN" w:bidi="ar-SA"/>
        </w:rPr>
      </w:pPr>
      <w:bookmarkStart w:id="40" w:name="_Toc15377212"/>
      <w:r>
        <w:rPr>
          <w:rFonts w:hint="eastAsia" w:ascii="楷体_GB2312" w:hAnsi="楷体_GB2312" w:eastAsia="楷体_GB2312" w:cs="楷体_GB2312"/>
          <w:b/>
          <w:bCs w:val="0"/>
          <w:kern w:val="2"/>
          <w:sz w:val="32"/>
          <w:szCs w:val="32"/>
          <w:lang w:val="en-US" w:eastAsia="zh-CN" w:bidi="ar-SA"/>
        </w:rPr>
        <w:t>（三）一般公共预算财政拨款支出决算具体情况</w:t>
      </w:r>
      <w:bookmarkEnd w:id="40"/>
      <w:r>
        <w:rPr>
          <w:rFonts w:hint="eastAsia" w:ascii="楷体_GB2312" w:hAnsi="楷体_GB2312" w:eastAsia="楷体_GB2312" w:cs="楷体_GB2312"/>
          <w:b/>
          <w:bCs w:val="0"/>
          <w:kern w:val="2"/>
          <w:sz w:val="32"/>
          <w:szCs w:val="32"/>
          <w:lang w:val="en-US" w:eastAsia="zh-CN" w:bidi="ar-SA"/>
        </w:rPr>
        <w:t>。</w:t>
      </w:r>
    </w:p>
    <w:p>
      <w:pPr>
        <w:keepNext w:val="0"/>
        <w:keepLines w:val="0"/>
        <w:pageBreakBefore w:val="0"/>
        <w:kinsoku/>
        <w:wordWrap/>
        <w:overflowPunct/>
        <w:topLinePunct w:val="0"/>
        <w:autoSpaceDE/>
        <w:autoSpaceDN/>
        <w:bidi w:val="0"/>
        <w:adjustRightInd/>
        <w:spacing w:line="560" w:lineRule="exact"/>
        <w:ind w:firstLine="642" w:firstLineChars="200"/>
        <w:textAlignment w:val="auto"/>
        <w:outlineLvl w:val="2"/>
        <w:rPr>
          <w:rFonts w:hint="eastAsia" w:ascii="仿宋_GB2312" w:hAnsi="仿宋_GB2312" w:eastAsia="仿宋_GB2312" w:cs="仿宋_GB2312"/>
          <w:sz w:val="32"/>
          <w:szCs w:val="32"/>
        </w:rPr>
      </w:pPr>
      <w:bookmarkStart w:id="41" w:name="_Toc15377444"/>
      <w:bookmarkStart w:id="42" w:name="_Toc15378460"/>
      <w:bookmarkStart w:id="43" w:name="_Toc15377213"/>
      <w:r>
        <w:rPr>
          <w:rFonts w:hint="eastAsia" w:ascii="仿宋_GB2312" w:hAnsi="仿宋_GB2312" w:eastAsia="仿宋_GB2312" w:cs="仿宋_GB2312"/>
          <w:b/>
          <w:sz w:val="32"/>
          <w:szCs w:val="32"/>
        </w:rPr>
        <w:t>2021年一般公共预算支出决算数为</w:t>
      </w:r>
      <w:r>
        <w:rPr>
          <w:rFonts w:hint="eastAsia" w:ascii="仿宋_GB2312" w:hAnsi="仿宋_GB2312" w:eastAsia="仿宋_GB2312" w:cs="仿宋_GB2312"/>
          <w:b/>
          <w:sz w:val="32"/>
          <w:szCs w:val="32"/>
          <w:lang w:val="en-US" w:eastAsia="zh-CN"/>
        </w:rPr>
        <w:t>1103.68</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Cs/>
          <w:sz w:val="32"/>
          <w:szCs w:val="32"/>
        </w:rPr>
        <w:t>完成预算</w:t>
      </w:r>
      <w:r>
        <w:rPr>
          <w:rStyle w:val="18"/>
          <w:rFonts w:hint="eastAsia" w:ascii="仿宋_GB2312" w:hAnsi="仿宋_GB2312" w:eastAsia="仿宋_GB2312" w:cs="仿宋_GB2312"/>
          <w:bCs/>
          <w:sz w:val="32"/>
          <w:szCs w:val="32"/>
          <w:lang w:val="en-US" w:eastAsia="zh-CN"/>
        </w:rPr>
        <w:t>100</w:t>
      </w:r>
      <w:r>
        <w:rPr>
          <w:rStyle w:val="18"/>
          <w:rFonts w:hint="eastAsia" w:ascii="仿宋_GB2312" w:hAnsi="仿宋_GB2312" w:eastAsia="仿宋_GB2312" w:cs="仿宋_GB2312"/>
          <w:bCs/>
          <w:sz w:val="32"/>
          <w:szCs w:val="32"/>
        </w:rPr>
        <w:t>%。其中：</w:t>
      </w:r>
      <w:bookmarkEnd w:id="41"/>
      <w:bookmarkEnd w:id="42"/>
      <w:bookmarkEnd w:id="43"/>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社会保障和就业支出（208）行政事业单位</w:t>
      </w:r>
      <w:r>
        <w:rPr>
          <w:rFonts w:hint="eastAsia" w:ascii="仿宋_GB2312" w:hAnsi="仿宋_GB2312" w:eastAsia="仿宋_GB2312" w:cs="仿宋_GB2312"/>
          <w:b/>
          <w:bCs/>
          <w:sz w:val="32"/>
          <w:szCs w:val="32"/>
          <w:lang w:val="en-US" w:eastAsia="zh-CN"/>
        </w:rPr>
        <w:t>养老支出</w:t>
      </w:r>
      <w:r>
        <w:rPr>
          <w:rFonts w:hint="eastAsia" w:ascii="仿宋_GB2312" w:hAnsi="仿宋_GB2312" w:eastAsia="仿宋_GB2312" w:cs="仿宋_GB2312"/>
          <w:b/>
          <w:bCs/>
          <w:sz w:val="32"/>
          <w:szCs w:val="32"/>
        </w:rPr>
        <w:t>（05）机关事业单位基本养老保险缴费支出（05）</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47.88</w:t>
      </w:r>
      <w:r>
        <w:rPr>
          <w:rFonts w:hint="eastAsia" w:ascii="仿宋_GB2312" w:hAnsi="仿宋_GB2312" w:eastAsia="仿宋_GB2312" w:cs="仿宋_GB2312"/>
          <w:sz w:val="32"/>
          <w:szCs w:val="32"/>
        </w:rPr>
        <w:t>万元，完成预算数100%</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社会保障和就业支出（208）行政事业单位</w:t>
      </w:r>
      <w:r>
        <w:rPr>
          <w:rFonts w:hint="eastAsia" w:ascii="仿宋_GB2312" w:hAnsi="仿宋_GB2312" w:eastAsia="仿宋_GB2312" w:cs="仿宋_GB2312"/>
          <w:b/>
          <w:bCs/>
          <w:sz w:val="32"/>
          <w:szCs w:val="32"/>
          <w:lang w:val="en-US" w:eastAsia="zh-CN"/>
        </w:rPr>
        <w:t>养老支出</w:t>
      </w:r>
      <w:r>
        <w:rPr>
          <w:rFonts w:hint="eastAsia" w:ascii="仿宋_GB2312" w:hAnsi="仿宋_GB2312" w:eastAsia="仿宋_GB2312" w:cs="仿宋_GB2312"/>
          <w:b/>
          <w:bCs/>
          <w:sz w:val="32"/>
          <w:szCs w:val="32"/>
        </w:rPr>
        <w:t>（05）机关事业单位职业年金缴费支出（06）</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23.94</w:t>
      </w:r>
      <w:r>
        <w:rPr>
          <w:rFonts w:hint="eastAsia" w:ascii="仿宋_GB2312" w:hAnsi="仿宋_GB2312" w:eastAsia="仿宋_GB2312" w:cs="仿宋_GB2312"/>
          <w:sz w:val="32"/>
          <w:szCs w:val="32"/>
        </w:rPr>
        <w:t>万元，完成预算数100%</w:t>
      </w:r>
      <w:r>
        <w:rPr>
          <w:rFonts w:hint="eastAsia" w:ascii="仿宋_GB2312" w:hAns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卫生健康支出（210）行政事业单位医疗（11）行政单位医疗（01）</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23.94</w:t>
      </w:r>
      <w:r>
        <w:rPr>
          <w:rFonts w:hint="eastAsia" w:ascii="仿宋_GB2312" w:hAnsi="仿宋_GB2312" w:eastAsia="仿宋_GB2312" w:cs="仿宋_GB2312"/>
          <w:sz w:val="32"/>
          <w:szCs w:val="32"/>
        </w:rPr>
        <w:t>万元，完成预算数100%</w:t>
      </w:r>
      <w:r>
        <w:rPr>
          <w:rFonts w:hint="eastAsia" w:ascii="仿宋_GB2312" w:hAns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卫生健康支出（210）行政事业单位医疗（11）公务员医疗补助（03）</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6.08</w:t>
      </w:r>
      <w:r>
        <w:rPr>
          <w:rFonts w:hint="eastAsia" w:ascii="仿宋_GB2312" w:hAnsi="仿宋_GB2312" w:eastAsia="仿宋_GB2312" w:cs="仿宋_GB2312"/>
          <w:sz w:val="32"/>
          <w:szCs w:val="32"/>
        </w:rPr>
        <w:t>万元，完成预算数100%</w:t>
      </w:r>
      <w:r>
        <w:rPr>
          <w:rFonts w:hint="eastAsia" w:ascii="仿宋_GB2312" w:hAnsi="仿宋_GB2312" w:eastAsia="仿宋_GB2312" w:cs="仿宋_GB2312"/>
          <w:sz w:val="32"/>
          <w:szCs w:val="32"/>
          <w:lang w:eastAsia="zh-CN"/>
        </w:rPr>
        <w:t>。</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Style w:val="18"/>
          <w:rFonts w:hint="eastAsia" w:ascii="仿宋_GB2312" w:hAnsi="仿宋_GB2312" w:eastAsia="仿宋_GB2312" w:cs="仿宋_GB2312"/>
          <w:b w:val="0"/>
          <w:bCs/>
          <w:color w:val="0000FF"/>
          <w:sz w:val="32"/>
          <w:szCs w:val="32"/>
          <w:shd w:val="clear" w:fill="FFFFFF"/>
          <w:lang w:eastAsia="zh-CN"/>
        </w:rPr>
      </w:pPr>
      <w:r>
        <w:rPr>
          <w:rFonts w:hint="eastAsia" w:ascii="仿宋_GB2312" w:hAnsi="仿宋_GB2312" w:eastAsia="仿宋_GB2312" w:cs="仿宋_GB2312"/>
          <w:b/>
          <w:bCs/>
          <w:sz w:val="32"/>
          <w:szCs w:val="32"/>
        </w:rPr>
        <w:t>卫生健康支出（210）医疗保障管理事务（15）行政运行（01）</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618.68</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88.02</w:t>
      </w:r>
      <w:r>
        <w:rPr>
          <w:rFonts w:hint="eastAsia" w:ascii="仿宋_GB2312" w:hAnsi="仿宋_GB2312" w:eastAsia="仿宋_GB2312" w:cs="仿宋_GB2312"/>
          <w:sz w:val="32"/>
          <w:szCs w:val="32"/>
        </w:rPr>
        <w:t>%。差异原因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一是</w:t>
      </w:r>
      <w:r>
        <w:rPr>
          <w:rFonts w:hint="eastAsia" w:ascii="仿宋_GB2312" w:hAnsi="仿宋_GB2312" w:eastAsia="仿宋_GB2312" w:cs="仿宋_GB2312"/>
          <w:color w:val="000000" w:themeColor="text1"/>
          <w:sz w:val="32"/>
          <w:szCs w:val="32"/>
          <w14:textFill>
            <w14:solidFill>
              <w14:schemeClr w14:val="tx1"/>
            </w14:solidFill>
          </w14:textFill>
        </w:rPr>
        <w:t>2021新增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名职工，调出1名职工，经费支出增加；</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14:textFill>
            <w14:solidFill>
              <w14:schemeClr w14:val="tx1"/>
            </w14:solidFill>
          </w14:textFill>
        </w:rPr>
        <w:t>2021年社保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基数</w:t>
      </w:r>
      <w:r>
        <w:rPr>
          <w:rFonts w:hint="eastAsia" w:ascii="仿宋_GB2312" w:hAnsi="仿宋_GB2312" w:eastAsia="仿宋_GB2312" w:cs="仿宋_GB2312"/>
          <w:color w:val="000000" w:themeColor="text1"/>
          <w:sz w:val="32"/>
          <w:szCs w:val="32"/>
          <w14:textFill>
            <w14:solidFill>
              <w14:schemeClr w14:val="tx1"/>
            </w14:solidFill>
          </w14:textFill>
        </w:rPr>
        <w:t>、工资基数、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2020年</w:t>
      </w:r>
      <w:r>
        <w:rPr>
          <w:rFonts w:hint="eastAsia" w:ascii="仿宋_GB2312" w:hAnsi="仿宋_GB2312" w:eastAsia="仿宋_GB2312" w:cs="仿宋_GB2312"/>
          <w:color w:val="000000" w:themeColor="text1"/>
          <w:sz w:val="32"/>
          <w:szCs w:val="32"/>
          <w14:textFill>
            <w14:solidFill>
              <w14:schemeClr w14:val="tx1"/>
            </w14:solidFill>
          </w14:textFill>
        </w:rPr>
        <w:t>目标奖增加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Fonts w:hint="eastAsia" w:ascii="仿宋_GB2312" w:hAnsi="仿宋_GB2312" w:eastAsia="仿宋_GB2312" w:cs="仿宋_GB2312"/>
          <w:color w:val="0000FF"/>
          <w:sz w:val="32"/>
          <w:szCs w:val="32"/>
          <w:lang w:val="en-US"/>
        </w:rPr>
      </w:pPr>
      <w:r>
        <w:rPr>
          <w:rFonts w:hint="eastAsia" w:ascii="仿宋_GB2312" w:hAnsi="仿宋_GB2312" w:eastAsia="仿宋_GB2312" w:cs="仿宋_GB2312"/>
          <w:b/>
          <w:bCs/>
          <w:sz w:val="32"/>
          <w:szCs w:val="32"/>
        </w:rPr>
        <w:t>卫生健康支出（210）医疗保障管理事务（15）一般行政管理事务（02）</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99.39</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87.18</w:t>
      </w:r>
      <w:r>
        <w:rPr>
          <w:rFonts w:hint="eastAsia" w:ascii="仿宋_GB2312" w:hAnsi="仿宋_GB2312" w:eastAsia="仿宋_GB2312" w:cs="仿宋_GB2312"/>
          <w:sz w:val="32"/>
          <w:szCs w:val="32"/>
        </w:rPr>
        <w:t>%；差异原因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基金监管和医疗机构监督检查工作经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费预算20万元，支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出17.44万元，完成预算87.20%。</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审计稽核工作经费预算15万元，支出8.99万元，完成预算59.93%；</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聘请法律顾问工作经费预算4万元，支出2万元，完成预算50%；</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医保政策调研工作经费预算10万元，支出7.85万元，完成预算78.5%；</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医疗救助运行分析及医保基金预决算培训费预算10万元，支出8.21万元，完成预算82.1%；</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医保政策宣传经费预算20万元，支出19.96万元，完成预算99.8%；</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聘请第三方编制“十四五”规划预算15万元，支出14.98万元，完成预算99.86%；</w:t>
      </w:r>
      <w:r>
        <w:rPr>
          <w:rFonts w:hint="eastAsia" w:ascii="仿宋_GB2312" w:hAnsi="仿宋_GB2312" w:eastAsia="仿宋_GB2312" w:cs="仿宋_GB2312"/>
          <w:b/>
          <w:bCs/>
          <w:color w:val="000000"/>
          <w:sz w:val="32"/>
          <w:szCs w:val="32"/>
          <w:highlight w:val="none"/>
          <w:lang w:val="en-US" w:eastAsia="zh-CN"/>
        </w:rPr>
        <w:t>八是</w:t>
      </w:r>
      <w:r>
        <w:rPr>
          <w:rFonts w:hint="eastAsia" w:ascii="仿宋_GB2312" w:hAnsi="仿宋_GB2312" w:eastAsia="仿宋_GB2312" w:cs="仿宋_GB2312"/>
          <w:color w:val="000000"/>
          <w:sz w:val="32"/>
          <w:szCs w:val="32"/>
          <w:highlight w:val="none"/>
          <w:lang w:val="en-US" w:eastAsia="zh-CN"/>
        </w:rPr>
        <w:t>医疗保障系统工作人员能力提升培训班预算20万元，支出20万元，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完成预算100%</w:t>
      </w:r>
      <w:r>
        <w:rPr>
          <w:rFonts w:hint="eastAsia" w:ascii="仿宋_GB2312" w:hAnsi="仿宋_GB2312" w:eastAsia="仿宋_GB2312" w:cs="仿宋_GB2312"/>
          <w:color w:val="000000"/>
          <w:sz w:val="32"/>
          <w:szCs w:val="32"/>
          <w:highlight w:val="none"/>
          <w:lang w:val="en-US" w:eastAsia="zh-CN"/>
        </w:rPr>
        <w:t>。</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卫生健康支出（210）医疗保障管理事务（15）信息化建设（04）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本年支出125万元，完成年初预算数46.81%。</w:t>
      </w:r>
      <w:r>
        <w:rPr>
          <w:rFonts w:hint="eastAsia" w:ascii="仿宋_GB2312" w:hAnsi="仿宋_GB2312" w:eastAsia="仿宋_GB2312" w:cs="仿宋_GB2312"/>
          <w:sz w:val="32"/>
          <w:szCs w:val="32"/>
        </w:rPr>
        <w:t>差异原因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金保工程系统适应性改造经费预算170万元，支出105万元，完成年初预算数61.76%；</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医税2.0整改预算27万元，支出20万元，完成年初预算数74.07%；</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生育医保合并系统功能整改费22万元，支出0元；</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医疗保障数据清洗治理费48万元，支出0元。</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卫生健康支出（210）医疗保障管理事务（15）其他医疗保障经办事务支出（99）</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76.65</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79.47</w:t>
      </w:r>
      <w:r>
        <w:rPr>
          <w:rFonts w:hint="eastAsia" w:ascii="仿宋_GB2312" w:hAnsi="仿宋_GB2312" w:eastAsia="仿宋_GB2312" w:cs="仿宋_GB2312"/>
          <w:sz w:val="32"/>
          <w:szCs w:val="32"/>
        </w:rPr>
        <w:t>%。差异原因</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上年末结转2020年中央医疗服务和保障能力提升资金38.64万元，支出29.89万元，完成预算77.35%，剩余8.75万元结转至2022年使用；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本年新增2021年中央医疗服务与保障能力提升资金29万元，支出29万元，完成预算100%。</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本年新增2021年人社公共服务建设资金15万元，支出12.58万元，完成预算83.86%，剩余2.42万元结转至2022使用；</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本年新增非集采专家劳务费13.8万元，支出5.18万元，完成预算37.53%，剩余8.62万元财政收回。</w:t>
      </w:r>
    </w:p>
    <w:p>
      <w:pPr>
        <w:pStyle w:val="7"/>
        <w:keepNext w:val="0"/>
        <w:keepLines w:val="0"/>
        <w:pageBreakBefore w:val="0"/>
        <w:kinsoku/>
        <w:wordWrap/>
        <w:overflowPunct/>
        <w:topLinePunct w:val="0"/>
        <w:autoSpaceDE/>
        <w:autoSpaceDN/>
        <w:bidi w:val="0"/>
        <w:adjustRightInd/>
        <w:spacing w:beforeAutospacing="0" w:afterAutospacing="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卫生健康支出（210）</w:t>
      </w:r>
      <w:r>
        <w:rPr>
          <w:rFonts w:hint="eastAsia" w:ascii="仿宋_GB2312" w:hAnsi="仿宋_GB2312" w:eastAsia="仿宋_GB2312" w:cs="仿宋_GB2312"/>
          <w:b/>
          <w:bCs/>
          <w:sz w:val="32"/>
          <w:szCs w:val="32"/>
          <w:lang w:val="en-US" w:eastAsia="zh-CN"/>
        </w:rPr>
        <w:t>其他医疗卫生与计划生育支出</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99</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其他卫生健康支出</w:t>
      </w:r>
      <w:r>
        <w:rPr>
          <w:rFonts w:hint="eastAsia" w:ascii="仿宋_GB2312" w:hAnsi="仿宋_GB2312" w:eastAsia="仿宋_GB2312" w:cs="仿宋_GB2312"/>
          <w:b/>
          <w:bCs/>
          <w:sz w:val="32"/>
          <w:szCs w:val="32"/>
        </w:rPr>
        <w:t>（99）</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35.27万元</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val="en-US" w:eastAsia="zh-CN"/>
        </w:rPr>
        <w:t>92.81</w:t>
      </w:r>
      <w:r>
        <w:rPr>
          <w:rFonts w:hint="eastAsia" w:ascii="仿宋_GB2312" w:hAnsi="仿宋_GB2312" w:eastAsia="仿宋_GB2312" w:cs="仿宋_GB2312"/>
          <w:sz w:val="32"/>
          <w:szCs w:val="32"/>
        </w:rPr>
        <w:t>%。差异原因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上年末结转医疗保障业务终端杀毒软件38万元，支出35.27万元，完成预算92.81%，剩余2.73万元财政收回。</w:t>
      </w:r>
    </w:p>
    <w:p>
      <w:pPr>
        <w:keepNext w:val="0"/>
        <w:keepLines w:val="0"/>
        <w:pageBreakBefore w:val="0"/>
        <w:kinsoku/>
        <w:wordWrap/>
        <w:overflowPunct/>
        <w:topLinePunct w:val="0"/>
        <w:autoSpaceDE/>
        <w:autoSpaceDN/>
        <w:bidi w:val="0"/>
        <w:adjustRightInd/>
        <w:snapToGrid w:val="0"/>
        <w:spacing w:beforeAutospacing="0" w:afterAutospacing="0" w:line="560" w:lineRule="exact"/>
        <w:ind w:firstLine="642"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住房保障支出（221）住房改革支出（02）住房公积金（01）</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46.85</w:t>
      </w:r>
      <w:r>
        <w:rPr>
          <w:rFonts w:hint="eastAsia" w:ascii="仿宋_GB2312" w:hAnsi="仿宋_GB2312" w:eastAsia="仿宋_GB2312" w:cs="仿宋_GB2312"/>
          <w:sz w:val="32"/>
          <w:szCs w:val="32"/>
        </w:rPr>
        <w:t>万元，完成预算数100%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pPr>
        <w:keepNext w:val="0"/>
        <w:keepLines w:val="0"/>
        <w:pageBreakBefore w:val="0"/>
        <w:tabs>
          <w:tab w:val="right" w:pos="8306"/>
        </w:tabs>
        <w:kinsoku/>
        <w:wordWrap/>
        <w:overflowPunct/>
        <w:topLinePunct w:val="0"/>
        <w:autoSpaceDE/>
        <w:autoSpaceDN/>
        <w:bidi w:val="0"/>
        <w:adjustRightInd/>
        <w:spacing w:line="560" w:lineRule="exact"/>
        <w:ind w:firstLine="640"/>
        <w:textAlignment w:val="auto"/>
        <w:outlineLvl w:val="1"/>
        <w:rPr>
          <w:rStyle w:val="22"/>
        </w:rPr>
      </w:pPr>
      <w:bookmarkStart w:id="44" w:name="_Toc15396608"/>
      <w:bookmarkStart w:id="45" w:name="_Toc15377214"/>
      <w:r>
        <w:rPr>
          <w:rFonts w:hint="eastAsia" w:ascii="黑体" w:eastAsia="黑体"/>
          <w:sz w:val="32"/>
          <w:szCs w:val="32"/>
        </w:rPr>
        <w:t>六</w:t>
      </w:r>
      <w:r>
        <w:rPr>
          <w:rFonts w:hint="eastAsia" w:ascii="黑体" w:eastAsia="黑体"/>
          <w:b/>
          <w:sz w:val="32"/>
          <w:szCs w:val="32"/>
        </w:rPr>
        <w:t>、一</w:t>
      </w:r>
      <w:r>
        <w:rPr>
          <w:rStyle w:val="22"/>
          <w:rFonts w:hint="eastAsia" w:ascii="黑体" w:eastAsia="黑体"/>
          <w:b w:val="0"/>
        </w:rPr>
        <w:t>般公共预算财政拨款基本支出决算情况说明</w:t>
      </w:r>
      <w:bookmarkEnd w:id="44"/>
      <w:bookmarkEnd w:id="45"/>
      <w:r>
        <w:rPr>
          <w:rStyle w:val="22"/>
          <w:rFonts w:ascii="黑体" w:eastAsia="黑体"/>
          <w:b w:val="0"/>
        </w:rPr>
        <w:tab/>
      </w:r>
    </w:p>
    <w:p>
      <w:pPr>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2021年一般公共预算财政拨款基本支出</w:t>
      </w:r>
      <w:r>
        <w:rPr>
          <w:rFonts w:hint="eastAsia" w:ascii="仿宋_GB2312" w:hAnsi="仿宋_GB2312" w:eastAsia="仿宋_GB2312" w:cs="仿宋_GB2312"/>
          <w:sz w:val="32"/>
          <w:szCs w:val="32"/>
          <w:lang w:val="en-US" w:eastAsia="zh-CN"/>
        </w:rPr>
        <w:t>767.37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p>
    <w:p>
      <w:pPr>
        <w:keepNext w:val="0"/>
        <w:keepLines w:val="0"/>
        <w:pageBreakBefore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641.99</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138.61万元</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val="en-US" w:eastAsia="zh-CN"/>
        </w:rPr>
        <w:t>336.26万元</w:t>
      </w:r>
      <w:r>
        <w:rPr>
          <w:rFonts w:hint="eastAsia" w:ascii="仿宋_GB2312" w:hAnsi="仿宋_GB2312" w:eastAsia="仿宋_GB2312" w:cs="仿宋_GB2312"/>
          <w:sz w:val="32"/>
          <w:szCs w:val="32"/>
        </w:rPr>
        <w:t>、奖金</w:t>
      </w:r>
      <w:r>
        <w:rPr>
          <w:rFonts w:hint="eastAsia" w:ascii="仿宋_GB2312" w:hAnsi="仿宋_GB2312" w:eastAsia="仿宋_GB2312" w:cs="仿宋_GB2312"/>
          <w:sz w:val="32"/>
          <w:szCs w:val="32"/>
          <w:lang w:val="en-US" w:eastAsia="zh-CN"/>
        </w:rPr>
        <w:t>1.65万元</w:t>
      </w:r>
      <w:r>
        <w:rPr>
          <w:rFonts w:hint="eastAsia" w:ascii="仿宋_GB2312" w:hAnsi="仿宋_GB2312" w:eastAsia="仿宋_GB2312" w:cs="仿宋_GB2312"/>
          <w:sz w:val="32"/>
          <w:szCs w:val="32"/>
        </w:rPr>
        <w:t>、伙食补助费</w:t>
      </w:r>
      <w:r>
        <w:rPr>
          <w:rFonts w:hint="eastAsia" w:ascii="仿宋_GB2312" w:hAnsi="仿宋_GB2312" w:eastAsia="仿宋_GB2312" w:cs="仿宋_GB2312"/>
          <w:sz w:val="32"/>
          <w:szCs w:val="32"/>
          <w:lang w:val="en-US" w:eastAsia="zh-CN"/>
        </w:rPr>
        <w:t>10.52万元</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val="en-US" w:eastAsia="zh-CN"/>
        </w:rPr>
        <w:t>47.88万元</w:t>
      </w:r>
      <w:r>
        <w:rPr>
          <w:rFonts w:hint="eastAsia" w:ascii="仿宋_GB2312" w:hAnsi="仿宋_GB2312" w:eastAsia="仿宋_GB2312" w:cs="仿宋_GB2312"/>
          <w:sz w:val="32"/>
          <w:szCs w:val="32"/>
        </w:rPr>
        <w:t>、职业年金缴费</w:t>
      </w:r>
      <w:r>
        <w:rPr>
          <w:rFonts w:hint="eastAsia" w:ascii="仿宋_GB2312" w:hAnsi="仿宋_GB2312" w:eastAsia="仿宋_GB2312" w:cs="仿宋_GB2312"/>
          <w:sz w:val="32"/>
          <w:szCs w:val="32"/>
          <w:lang w:val="en-US" w:eastAsia="zh-CN"/>
        </w:rPr>
        <w:t>23.94万元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职工基本医疗保险缴费23.94万元、公务员医疗补助缴费6.08万元、</w:t>
      </w:r>
      <w:r>
        <w:rPr>
          <w:rFonts w:hint="eastAsia" w:ascii="仿宋_GB2312" w:hAnsi="仿宋_GB2312" w:eastAsia="仿宋_GB2312" w:cs="仿宋_GB2312"/>
          <w:sz w:val="32"/>
          <w:szCs w:val="32"/>
        </w:rPr>
        <w:t>其他社会保障缴费</w:t>
      </w:r>
      <w:r>
        <w:rPr>
          <w:rFonts w:hint="eastAsia" w:ascii="仿宋_GB2312" w:hAnsi="仿宋_GB2312" w:eastAsia="仿宋_GB2312" w:cs="仿宋_GB2312"/>
          <w:sz w:val="32"/>
          <w:szCs w:val="32"/>
          <w:lang w:val="en-US" w:eastAsia="zh-CN"/>
        </w:rPr>
        <w:t>4.66万元</w:t>
      </w:r>
      <w:r>
        <w:rPr>
          <w:rFonts w:hint="eastAsia" w:ascii="仿宋_GB2312" w:hAnsi="仿宋_GB2312" w:eastAsia="仿宋_GB2312" w:cs="仿宋_GB2312"/>
          <w:sz w:val="32"/>
          <w:szCs w:val="32"/>
        </w:rPr>
        <w:t>、其他工资福利支出</w:t>
      </w:r>
      <w:r>
        <w:rPr>
          <w:rFonts w:hint="eastAsia" w:ascii="仿宋_GB2312" w:hAnsi="仿宋_GB2312" w:eastAsia="仿宋_GB2312" w:cs="仿宋_GB2312"/>
          <w:sz w:val="32"/>
          <w:szCs w:val="32"/>
          <w:lang w:val="en-US" w:eastAsia="zh-CN"/>
        </w:rPr>
        <w:t>1.4万元</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46.85万元、生活补助0.2万元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560" w:lineRule="exact"/>
        <w:ind w:firstLine="645"/>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125.39</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2.31万元</w:t>
      </w:r>
      <w:r>
        <w:rPr>
          <w:rFonts w:hint="eastAsia" w:ascii="仿宋_GB2312" w:hAnsi="仿宋_GB2312" w:eastAsia="仿宋_GB2312" w:cs="仿宋_GB2312"/>
          <w:sz w:val="32"/>
          <w:szCs w:val="32"/>
        </w:rPr>
        <w:t>、水费</w:t>
      </w:r>
      <w:r>
        <w:rPr>
          <w:rFonts w:hint="eastAsia" w:ascii="仿宋_GB2312" w:hAnsi="仿宋_GB2312" w:eastAsia="仿宋_GB2312" w:cs="仿宋_GB2312"/>
          <w:sz w:val="32"/>
          <w:szCs w:val="32"/>
          <w:lang w:val="en-US" w:eastAsia="zh-CN"/>
        </w:rPr>
        <w:t>0.73万元</w:t>
      </w:r>
      <w:r>
        <w:rPr>
          <w:rFonts w:hint="eastAsia" w:ascii="仿宋_GB2312" w:hAnsi="仿宋_GB2312" w:eastAsia="仿宋_GB2312" w:cs="仿宋_GB2312"/>
          <w:sz w:val="32"/>
          <w:szCs w:val="32"/>
        </w:rPr>
        <w:t>、电费</w:t>
      </w:r>
      <w:r>
        <w:rPr>
          <w:rFonts w:hint="eastAsia" w:ascii="仿宋_GB2312" w:hAnsi="仿宋_GB2312" w:eastAsia="仿宋_GB2312" w:cs="仿宋_GB2312"/>
          <w:sz w:val="32"/>
          <w:szCs w:val="32"/>
          <w:lang w:val="en-US" w:eastAsia="zh-CN"/>
        </w:rPr>
        <w:t>4.38万元</w:t>
      </w:r>
      <w:r>
        <w:rPr>
          <w:rFonts w:hint="eastAsia" w:ascii="仿宋_GB2312" w:hAnsi="仿宋_GB2312" w:eastAsia="仿宋_GB2312" w:cs="仿宋_GB2312"/>
          <w:sz w:val="32"/>
          <w:szCs w:val="32"/>
        </w:rPr>
        <w:t>、邮电费</w:t>
      </w:r>
      <w:r>
        <w:rPr>
          <w:rFonts w:hint="eastAsia" w:ascii="仿宋_GB2312" w:hAnsi="仿宋_GB2312" w:eastAsia="仿宋_GB2312" w:cs="仿宋_GB2312"/>
          <w:sz w:val="32"/>
          <w:szCs w:val="32"/>
          <w:lang w:val="en-US" w:eastAsia="zh-CN"/>
        </w:rPr>
        <w:t>10.17万元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11.26万元</w:t>
      </w:r>
      <w:r>
        <w:rPr>
          <w:rFonts w:hint="eastAsia" w:ascii="仿宋_GB2312" w:hAnsi="仿宋_GB2312" w:eastAsia="仿宋_GB2312" w:cs="仿宋_GB2312"/>
          <w:sz w:val="32"/>
          <w:szCs w:val="32"/>
        </w:rPr>
        <w:t>、维修（护）费</w:t>
      </w:r>
      <w:r>
        <w:rPr>
          <w:rFonts w:hint="eastAsia" w:ascii="仿宋_GB2312" w:hAnsi="仿宋_GB2312" w:eastAsia="仿宋_GB2312" w:cs="仿宋_GB2312"/>
          <w:sz w:val="32"/>
          <w:szCs w:val="32"/>
          <w:lang w:val="en-US" w:eastAsia="zh-CN"/>
        </w:rPr>
        <w:t>0.18万元</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0.99万元</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0.49万元</w:t>
      </w:r>
      <w:r>
        <w:rPr>
          <w:rFonts w:hint="eastAsia" w:ascii="仿宋_GB2312" w:hAnsi="仿宋_GB2312" w:eastAsia="仿宋_GB2312" w:cs="仿宋_GB2312"/>
          <w:sz w:val="32"/>
          <w:szCs w:val="32"/>
        </w:rPr>
        <w:t>、劳务费</w:t>
      </w:r>
      <w:r>
        <w:rPr>
          <w:rFonts w:hint="eastAsia" w:ascii="仿宋_GB2312" w:hAnsi="仿宋_GB2312" w:eastAsia="仿宋_GB2312" w:cs="仿宋_GB2312"/>
          <w:sz w:val="32"/>
          <w:szCs w:val="32"/>
          <w:lang w:val="en-US" w:eastAsia="zh-CN"/>
        </w:rPr>
        <w:t>70.95万元</w:t>
      </w:r>
      <w:r>
        <w:rPr>
          <w:rFonts w:hint="eastAsia" w:ascii="仿宋_GB2312" w:hAnsi="仿宋_GB2312" w:eastAsia="仿宋_GB2312" w:cs="仿宋_GB2312"/>
          <w:sz w:val="32"/>
          <w:szCs w:val="32"/>
        </w:rPr>
        <w:t>、委托业务费</w:t>
      </w:r>
      <w:r>
        <w:rPr>
          <w:rFonts w:hint="eastAsia" w:ascii="仿宋_GB2312" w:hAnsi="仿宋_GB2312" w:eastAsia="仿宋_GB2312" w:cs="仿宋_GB2312"/>
          <w:sz w:val="32"/>
          <w:szCs w:val="32"/>
          <w:lang w:val="en-US" w:eastAsia="zh-CN"/>
        </w:rPr>
        <w:t>0.26万元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1万元</w:t>
      </w:r>
      <w:r>
        <w:rPr>
          <w:rFonts w:hint="eastAsia" w:ascii="仿宋_GB2312" w:hAnsi="仿宋_GB2312" w:eastAsia="仿宋_GB2312" w:cs="仿宋_GB2312"/>
          <w:sz w:val="32"/>
          <w:szCs w:val="32"/>
        </w:rPr>
        <w:t>、福利费</w:t>
      </w:r>
      <w:r>
        <w:rPr>
          <w:rFonts w:hint="eastAsia" w:ascii="仿宋_GB2312" w:hAnsi="仿宋_GB2312" w:eastAsia="仿宋_GB2312" w:cs="仿宋_GB2312"/>
          <w:sz w:val="32"/>
          <w:szCs w:val="32"/>
          <w:lang w:val="en-US" w:eastAsia="zh-CN"/>
        </w:rPr>
        <w:t>3.54万元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13.18万元</w:t>
      </w:r>
      <w:r>
        <w:rPr>
          <w:rFonts w:hint="eastAsia" w:ascii="仿宋_GB2312" w:hAnsi="仿宋_GB2312" w:eastAsia="仿宋_GB2312" w:cs="仿宋_GB2312"/>
          <w:sz w:val="32"/>
          <w:szCs w:val="32"/>
        </w:rPr>
        <w:t>、其他交通费</w:t>
      </w:r>
      <w:r>
        <w:rPr>
          <w:rFonts w:hint="eastAsia" w:ascii="仿宋_GB2312" w:hAnsi="仿宋_GB2312" w:eastAsia="仿宋_GB2312" w:cs="仿宋_GB2312"/>
          <w:sz w:val="32"/>
          <w:szCs w:val="32"/>
          <w:lang w:val="en-US" w:eastAsia="zh-CN"/>
        </w:rPr>
        <w:t>0.85万元</w:t>
      </w:r>
      <w:r>
        <w:rPr>
          <w:rFonts w:hint="eastAsia" w:ascii="仿宋_GB2312" w:hAnsi="仿宋_GB2312" w:eastAsia="仿宋_GB2312" w:cs="仿宋_GB2312"/>
          <w:sz w:val="32"/>
          <w:szCs w:val="32"/>
        </w:rPr>
        <w:t>、其他商品和服务支出</w:t>
      </w:r>
      <w:r>
        <w:rPr>
          <w:rFonts w:hint="eastAsia" w:ascii="仿宋_GB2312" w:hAnsi="仿宋_GB2312" w:eastAsia="仿宋_GB2312" w:cs="仿宋_GB2312"/>
          <w:sz w:val="32"/>
          <w:szCs w:val="32"/>
          <w:lang w:val="en-US" w:eastAsia="zh-CN"/>
        </w:rPr>
        <w:t>5.12万元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560" w:lineRule="exact"/>
        <w:ind w:firstLine="640"/>
        <w:textAlignment w:val="auto"/>
        <w:outlineLvl w:val="1"/>
        <w:rPr>
          <w:rStyle w:val="22"/>
          <w:rFonts w:ascii="黑体" w:eastAsia="黑体"/>
          <w:b w:val="0"/>
        </w:rPr>
      </w:pPr>
      <w:bookmarkStart w:id="46" w:name="_Toc15377215"/>
      <w:bookmarkStart w:id="47" w:name="_Toc15396609"/>
      <w:r>
        <w:rPr>
          <w:rFonts w:hint="eastAsia" w:ascii="黑体" w:eastAsia="黑体"/>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6"/>
      <w:bookmarkEnd w:id="47"/>
    </w:p>
    <w:p>
      <w:pPr>
        <w:keepNext w:val="0"/>
        <w:keepLines w:val="0"/>
        <w:pageBreakBefore w:val="0"/>
        <w:kinsoku/>
        <w:wordWrap/>
        <w:overflowPunct/>
        <w:topLinePunct w:val="0"/>
        <w:autoSpaceDE/>
        <w:autoSpaceDN/>
        <w:bidi w:val="0"/>
        <w:adjustRightInd/>
        <w:spacing w:line="560" w:lineRule="exact"/>
        <w:ind w:firstLine="640"/>
        <w:textAlignment w:val="auto"/>
        <w:outlineLvl w:val="2"/>
        <w:rPr>
          <w:rFonts w:hint="eastAsia" w:ascii="楷体_GB2312" w:hAnsi="楷体_GB2312" w:eastAsia="楷体_GB2312" w:cs="楷体_GB2312"/>
          <w:b/>
          <w:bCs w:val="0"/>
          <w:kern w:val="2"/>
          <w:sz w:val="32"/>
          <w:szCs w:val="32"/>
          <w:lang w:val="en-US" w:eastAsia="zh-CN" w:bidi="ar-SA"/>
        </w:rPr>
      </w:pPr>
      <w:bookmarkStart w:id="48" w:name="_Toc15377216"/>
      <w:r>
        <w:rPr>
          <w:rFonts w:hint="eastAsia" w:ascii="楷体_GB2312" w:hAnsi="楷体_GB2312" w:eastAsia="楷体_GB2312" w:cs="楷体_GB2312"/>
          <w:b/>
          <w:bCs w:val="0"/>
          <w:kern w:val="2"/>
          <w:sz w:val="32"/>
          <w:szCs w:val="32"/>
          <w:lang w:val="en-US" w:eastAsia="zh-CN" w:bidi="ar-SA"/>
        </w:rPr>
        <w:t>（一）“三公”经费财政拨款支出决算总体情况说明</w:t>
      </w:r>
      <w:bookmarkEnd w:id="48"/>
      <w:r>
        <w:rPr>
          <w:rFonts w:hint="eastAsia" w:ascii="楷体_GB2312" w:hAnsi="楷体_GB2312" w:eastAsia="楷体_GB2312" w:cs="楷体_GB2312"/>
          <w:b/>
          <w:bCs w:val="0"/>
          <w:kern w:val="2"/>
          <w:sz w:val="32"/>
          <w:szCs w:val="32"/>
          <w:lang w:val="en-US" w:eastAsia="zh-CN" w:bidi="ar-SA"/>
        </w:rPr>
        <w:t>。</w:t>
      </w:r>
    </w:p>
    <w:p>
      <w:pPr>
        <w:pStyle w:val="10"/>
        <w:keepNext w:val="0"/>
        <w:keepLines w:val="0"/>
        <w:pageBreakBefore w:val="0"/>
        <w:shd w:val="clear" w:fill="FFFFFF"/>
        <w:kinsoku/>
        <w:wordWrap/>
        <w:overflowPunct/>
        <w:topLinePunct w:val="0"/>
        <w:autoSpaceDE/>
        <w:autoSpaceDN/>
        <w:bidi w:val="0"/>
        <w:adjustRightIn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2021年“三公”经费财政拨款支出决算为</w:t>
      </w:r>
      <w:r>
        <w:rPr>
          <w:rFonts w:hint="eastAsia" w:ascii="仿宋_GB2312" w:hAnsi="仿宋_GB2312" w:eastAsia="仿宋_GB2312" w:cs="仿宋_GB2312"/>
          <w:sz w:val="32"/>
          <w:szCs w:val="32"/>
          <w:lang w:val="en-US" w:eastAsia="zh-CN"/>
        </w:rPr>
        <w:t>23.06</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95.8</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厉行节约，严格把关“</w:t>
      </w:r>
      <w:r>
        <w:rPr>
          <w:rFonts w:hint="eastAsia" w:ascii="仿宋_GB2312" w:hAnsi="仿宋_GB2312" w:eastAsia="仿宋_GB2312" w:cs="仿宋_GB2312"/>
          <w:sz w:val="32"/>
          <w:szCs w:val="32"/>
          <w:lang w:val="en-US" w:eastAsia="zh-CN"/>
        </w:rPr>
        <w:t>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经费</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2021年公务接待6次，接待39人次，</w:t>
      </w:r>
      <w:r>
        <w:rPr>
          <w:rFonts w:hint="eastAsia" w:ascii="仿宋_GB2312" w:hAnsi="仿宋_GB2312" w:eastAsia="仿宋_GB2312" w:cs="仿宋_GB2312"/>
          <w:sz w:val="32"/>
          <w:szCs w:val="32"/>
          <w:lang w:val="en-US" w:eastAsia="zh-CN"/>
        </w:rPr>
        <w:t>公务接待费降低</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textAlignment w:val="auto"/>
        <w:outlineLvl w:val="2"/>
        <w:rPr>
          <w:rFonts w:hint="eastAsia" w:ascii="楷体_GB2312" w:hAnsi="楷体_GB2312" w:eastAsia="楷体_GB2312" w:cs="楷体_GB2312"/>
          <w:b/>
          <w:bCs w:val="0"/>
          <w:kern w:val="2"/>
          <w:sz w:val="32"/>
          <w:szCs w:val="32"/>
          <w:lang w:val="en-US" w:eastAsia="zh-CN" w:bidi="ar-SA"/>
        </w:rPr>
      </w:pPr>
      <w:bookmarkStart w:id="49" w:name="_Toc15377217"/>
      <w:r>
        <w:rPr>
          <w:rFonts w:hint="eastAsia" w:ascii="楷体_GB2312" w:hAnsi="楷体_GB2312" w:eastAsia="楷体_GB2312" w:cs="楷体_GB2312"/>
          <w:b/>
          <w:bCs w:val="0"/>
          <w:kern w:val="2"/>
          <w:sz w:val="32"/>
          <w:szCs w:val="32"/>
          <w:lang w:val="en-US" w:eastAsia="zh-CN" w:bidi="ar-SA"/>
        </w:rPr>
        <w:t>（二）“三公”经费财政拨款支出决算具体情况说明</w:t>
      </w:r>
      <w:bookmarkEnd w:id="49"/>
      <w:r>
        <w:rPr>
          <w:rFonts w:hint="eastAsia" w:ascii="楷体_GB2312" w:hAnsi="楷体_GB2312" w:eastAsia="楷体_GB2312" w:cs="楷体_GB2312"/>
          <w:b/>
          <w:bCs w:val="0"/>
          <w:kern w:val="2"/>
          <w:sz w:val="32"/>
          <w:szCs w:val="32"/>
          <w:lang w:val="en-US" w:eastAsia="zh-CN" w:bidi="ar-SA"/>
        </w:rPr>
        <w:t>。</w:t>
      </w:r>
    </w:p>
    <w:p>
      <w:pPr>
        <w:keepNext w:val="0"/>
        <w:keepLines w:val="0"/>
        <w:pageBreakBefore w:val="0"/>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22.56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97.87</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0.49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%。具体情况如下：</w:t>
      </w:r>
    </w:p>
    <w:p>
      <w:pPr>
        <w:pStyle w:val="7"/>
        <w:pageBreakBefore w:val="0"/>
        <w:kinsoku/>
        <w:wordWrap/>
        <w:overflowPunct/>
        <w:topLinePunct w:val="0"/>
        <w:bidi w:val="0"/>
        <w:spacing w:line="560" w:lineRule="atLeast"/>
        <w:ind w:left="0" w:leftChars="0" w:firstLine="0" w:firstLineChars="0"/>
      </w:pPr>
      <w:r>
        <w:rPr>
          <w:rFonts w:hint="eastAsia" w:ascii="仿宋" w:eastAsia="仿宋"/>
          <w:sz w:val="32"/>
          <w:szCs w:val="32"/>
          <w:lang w:eastAsia="zh-CN"/>
        </w:rPr>
        <w:drawing>
          <wp:inline distT="0" distB="0" distL="114300" distR="114300">
            <wp:extent cx="5316855" cy="2628900"/>
            <wp:effectExtent l="4445" t="4445" r="12700"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pageBreakBefore w:val="0"/>
        <w:kinsoku/>
        <w:wordWrap/>
        <w:overflowPunct/>
        <w:topLinePunct w:val="0"/>
        <w:bidi w:val="0"/>
        <w:spacing w:line="560" w:lineRule="atLeas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w:t>
      </w:r>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p>
    <w:p>
      <w:pPr>
        <w:pStyle w:val="10"/>
        <w:keepNext w:val="0"/>
        <w:keepLines w:val="0"/>
        <w:pageBreakBefore w:val="0"/>
        <w:shd w:val="clear" w:fill="FFFFFF"/>
        <w:kinsoku/>
        <w:wordWrap/>
        <w:overflowPunct/>
        <w:topLinePunct w:val="0"/>
        <w:autoSpaceDE/>
        <w:autoSpaceDN/>
        <w:bidi w:val="0"/>
        <w:spacing w:beforeAutospacing="0" w:afterAutospacing="0" w:line="560" w:lineRule="exact"/>
        <w:ind w:firstLine="642"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sz w:val="32"/>
          <w:szCs w:val="32"/>
          <w:lang w:val="en-US" w:eastAsia="zh-CN"/>
        </w:rPr>
        <w:t>22.56</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公务用车购置及运行维护费支出决算比2020年减少</w:t>
      </w:r>
      <w:r>
        <w:rPr>
          <w:rFonts w:hint="eastAsia" w:ascii="仿宋_GB2312" w:hAnsi="仿宋_GB2312" w:eastAsia="仿宋_GB2312" w:cs="仿宋_GB2312"/>
          <w:sz w:val="32"/>
          <w:szCs w:val="32"/>
          <w:lang w:val="en-US" w:eastAsia="zh-CN"/>
        </w:rPr>
        <w:t>2.36</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9.47</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2021年无公车购置；</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val="en-US" w:eastAsia="zh-CN"/>
        </w:rPr>
        <w:t>厉行节约，严格执行公车管理，严格把关公车运行维护费支出关口。</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万元。截至2021年12月底，单位共有公务用车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lang w:val="en-US" w:eastAsia="zh-CN"/>
        </w:rPr>
        <w:t>22.56</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b w:val="0"/>
          <w:i w:val="0"/>
          <w:caps w:val="0"/>
          <w:spacing w:val="0"/>
          <w:w w:val="100"/>
          <w:sz w:val="32"/>
          <w:szCs w:val="32"/>
          <w:lang w:val="en-US" w:eastAsia="zh-CN"/>
        </w:rPr>
        <w:t>主要用于医疗监管、审计稽核、医疗服务价格、药械集中带量采购、政策宣传、信息化建设等工作所需的</w:t>
      </w:r>
      <w:r>
        <w:rPr>
          <w:rFonts w:hint="eastAsia" w:ascii="仿宋_GB2312" w:hAnsi="仿宋_GB2312" w:eastAsia="仿宋_GB2312" w:cs="仿宋_GB2312"/>
          <w:sz w:val="32"/>
          <w:szCs w:val="32"/>
        </w:rPr>
        <w:t>公务用车燃料费、维修费、过路过桥费、保险费等支出。</w:t>
      </w:r>
    </w:p>
    <w:p>
      <w:pPr>
        <w:pStyle w:val="10"/>
        <w:keepNext w:val="0"/>
        <w:keepLines w:val="0"/>
        <w:pageBreakBefore w:val="0"/>
        <w:shd w:val="clear" w:fill="FFFFFF"/>
        <w:kinsoku/>
        <w:wordWrap/>
        <w:overflowPunct/>
        <w:topLinePunct w:val="0"/>
        <w:autoSpaceDE/>
        <w:autoSpaceDN/>
        <w:bidi w:val="0"/>
        <w:spacing w:beforeAutospacing="0" w:afterAutospacing="0" w:line="560"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sz w:val="32"/>
          <w:szCs w:val="32"/>
          <w:lang w:val="en-US" w:eastAsia="zh-CN"/>
        </w:rPr>
        <w:t>0.49</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32.45</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公务接待费支出决算比2020年减少</w:t>
      </w:r>
      <w:r>
        <w:rPr>
          <w:rFonts w:hint="eastAsia" w:ascii="仿宋_GB2312" w:hAnsi="仿宋_GB2312" w:eastAsia="仿宋_GB2312" w:cs="仿宋_GB2312"/>
          <w:sz w:val="32"/>
          <w:szCs w:val="32"/>
          <w:lang w:val="en-US" w:eastAsia="zh-CN"/>
        </w:rPr>
        <w:t>0.68</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57.63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主要原因：</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eastAsia="zh-CN"/>
        </w:rPr>
        <w:t>厉行节约，严格把关公务接待费支出；</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2021年公务接待6次，接待39人次，</w:t>
      </w:r>
      <w:r>
        <w:rPr>
          <w:rFonts w:hint="eastAsia" w:ascii="仿宋_GB2312" w:hAnsi="仿宋_GB2312" w:eastAsia="仿宋_GB2312" w:cs="仿宋_GB2312"/>
          <w:sz w:val="32"/>
          <w:szCs w:val="32"/>
          <w:lang w:val="en-US" w:eastAsia="zh-CN"/>
        </w:rPr>
        <w:t>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年减少6次，</w:t>
      </w:r>
      <w:r>
        <w:rPr>
          <w:rFonts w:hint="eastAsia" w:ascii="仿宋_GB2312" w:hAnsi="仿宋_GB2312" w:eastAsia="仿宋_GB2312" w:cs="仿宋_GB2312"/>
          <w:sz w:val="32"/>
          <w:szCs w:val="32"/>
          <w:lang w:val="en-US" w:eastAsia="zh-CN"/>
        </w:rPr>
        <w:t>接待次数减少，公务接待费降低</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sz w:val="32"/>
          <w:szCs w:val="32"/>
          <w:lang w:val="en-US" w:eastAsia="zh-CN"/>
        </w:rPr>
        <w:t>0.49</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b w:val="0"/>
          <w:i w:val="0"/>
          <w:caps w:val="0"/>
          <w:spacing w:val="0"/>
          <w:w w:val="100"/>
          <w:sz w:val="32"/>
          <w:szCs w:val="32"/>
          <w:lang w:val="en-US" w:eastAsia="zh-CN"/>
        </w:rPr>
        <w:t>开展医疗保障工作执行公务、开展业务活动开支的用餐费。</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0.49</w:t>
      </w:r>
      <w:r>
        <w:rPr>
          <w:rFonts w:hint="eastAsia" w:ascii="仿宋_GB2312" w:hAnsi="仿宋_GB2312" w:eastAsia="仿宋_GB2312" w:cs="仿宋_GB2312"/>
          <w:sz w:val="32"/>
          <w:szCs w:val="32"/>
        </w:rPr>
        <w:t>万元，具体内容包括：</w:t>
      </w:r>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（1）6月支付西南财大编制“十四五”规划调研用餐费447元；</w:t>
      </w:r>
    </w:p>
    <w:p>
      <w:pPr>
        <w:pStyle w:val="7"/>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（2）6月支付接待雅安市医保局签署协同战略发展协议用餐费1600元；</w:t>
      </w:r>
    </w:p>
    <w:p>
      <w:pPr>
        <w:pStyle w:val="8"/>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 xml:space="preserve">    （3）7月支付茂县医保局汇报工作用餐费600元；</w:t>
      </w:r>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9月支付成都中医药大学开展医疗服务项目价格调研用餐费582元；</w:t>
      </w:r>
    </w:p>
    <w:p>
      <w:pPr>
        <w:pStyle w:val="7"/>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（5）9月支付省医保局调研督导用餐费700元；</w:t>
      </w:r>
    </w:p>
    <w:p>
      <w:pPr>
        <w:pStyle w:val="8"/>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（6）11月支付省医保局开展异地就医调研用餐费1000元；</w:t>
      </w:r>
    </w:p>
    <w:p>
      <w:pPr>
        <w:keepNext w:val="0"/>
        <w:keepLines w:val="0"/>
        <w:pageBreakBefore w:val="0"/>
        <w:kinsoku/>
        <w:wordWrap/>
        <w:overflowPunct/>
        <w:topLinePunct w:val="0"/>
        <w:bidi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bidi w:val="0"/>
        <w:spacing w:line="560" w:lineRule="exact"/>
        <w:ind w:firstLine="640"/>
        <w:textAlignment w:val="auto"/>
        <w:outlineLvl w:val="1"/>
        <w:rPr>
          <w:rStyle w:val="22"/>
          <w:rFonts w:ascii="黑体" w:eastAsia="黑体"/>
        </w:rPr>
      </w:pPr>
      <w:bookmarkStart w:id="50" w:name="_Toc15396610"/>
      <w:bookmarkStart w:id="51" w:name="_Toc15377218"/>
      <w:r>
        <w:rPr>
          <w:rFonts w:hint="eastAsia" w:ascii="黑体" w:eastAsia="黑体"/>
          <w:sz w:val="32"/>
          <w:szCs w:val="32"/>
        </w:rPr>
        <w:t>八、</w:t>
      </w:r>
      <w:r>
        <w:rPr>
          <w:rStyle w:val="22"/>
          <w:rFonts w:hint="eastAsia" w:ascii="黑体" w:eastAsia="黑体"/>
          <w:b w:val="0"/>
        </w:rPr>
        <w:t>政府性基金预算支出决算情况说明</w:t>
      </w:r>
      <w:bookmarkEnd w:id="50"/>
      <w:bookmarkEnd w:id="51"/>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2021年政府性基金预算财政拨款支出0万元。</w:t>
      </w:r>
    </w:p>
    <w:p>
      <w:pPr>
        <w:keepNext w:val="0"/>
        <w:keepLines w:val="0"/>
        <w:pageBreakBefore w:val="0"/>
        <w:numPr>
          <w:ilvl w:val="0"/>
          <w:numId w:val="1"/>
        </w:numPr>
        <w:kinsoku/>
        <w:wordWrap/>
        <w:overflowPunct/>
        <w:topLinePunct w:val="0"/>
        <w:bidi w:val="0"/>
        <w:spacing w:line="560" w:lineRule="exact"/>
        <w:ind w:firstLine="640"/>
        <w:textAlignment w:val="auto"/>
        <w:outlineLvl w:val="1"/>
        <w:rPr>
          <w:rStyle w:val="22"/>
          <w:rFonts w:ascii="黑体" w:eastAsia="黑体"/>
          <w:b w:val="0"/>
        </w:rPr>
      </w:pPr>
      <w:bookmarkStart w:id="52" w:name="_Toc15377219"/>
      <w:bookmarkStart w:id="53" w:name="_Toc15396611"/>
      <w:r>
        <w:rPr>
          <w:rStyle w:val="22"/>
          <w:rFonts w:hint="eastAsia" w:ascii="黑体" w:eastAsia="黑体"/>
          <w:b w:val="0"/>
        </w:rPr>
        <w:t>国有资本经营预算支出决算情况说明</w:t>
      </w:r>
      <w:bookmarkEnd w:id="52"/>
      <w:bookmarkEnd w:id="53"/>
    </w:p>
    <w:p>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2021年国有资本经营预算财政拨款支出0万元。</w:t>
      </w:r>
    </w:p>
    <w:p>
      <w:pPr>
        <w:keepNext w:val="0"/>
        <w:keepLines w:val="0"/>
        <w:pageBreakBefore w:val="0"/>
        <w:numPr>
          <w:ilvl w:val="0"/>
          <w:numId w:val="1"/>
        </w:numPr>
        <w:kinsoku/>
        <w:wordWrap/>
        <w:overflowPunct/>
        <w:topLinePunct w:val="0"/>
        <w:bidi w:val="0"/>
        <w:spacing w:line="560" w:lineRule="exact"/>
        <w:ind w:firstLine="640"/>
        <w:textAlignment w:val="auto"/>
        <w:outlineLvl w:val="1"/>
        <w:rPr>
          <w:rStyle w:val="22"/>
          <w:rFonts w:ascii="黑体" w:eastAsia="黑体"/>
          <w:b w:val="0"/>
        </w:rPr>
      </w:pPr>
      <w:bookmarkStart w:id="54" w:name="_Toc15396612"/>
      <w:bookmarkStart w:id="55" w:name="_Toc15377221"/>
      <w:r>
        <w:rPr>
          <w:rStyle w:val="22"/>
          <w:rFonts w:hint="eastAsia" w:ascii="黑体" w:eastAsia="黑体"/>
          <w:b w:val="0"/>
        </w:rPr>
        <w:t>其他重要事项的情况说明</w:t>
      </w:r>
      <w:bookmarkEnd w:id="54"/>
      <w:bookmarkEnd w:id="55"/>
    </w:p>
    <w:p>
      <w:pPr>
        <w:keepNext w:val="0"/>
        <w:keepLines w:val="0"/>
        <w:pageBreakBefore w:val="0"/>
        <w:kinsoku/>
        <w:wordWrap/>
        <w:overflowPunct/>
        <w:topLinePunct w:val="0"/>
        <w:bidi w:val="0"/>
        <w:spacing w:line="560" w:lineRule="exact"/>
        <w:ind w:firstLine="642" w:firstLineChars="200"/>
        <w:textAlignment w:val="auto"/>
        <w:outlineLvl w:val="2"/>
        <w:rPr>
          <w:rFonts w:hint="eastAsia" w:ascii="楷体_GB2312" w:hAnsi="楷体_GB2312" w:eastAsia="楷体_GB2312" w:cs="楷体_GB2312"/>
          <w:b/>
          <w:bCs w:val="0"/>
          <w:kern w:val="2"/>
          <w:sz w:val="32"/>
          <w:szCs w:val="32"/>
          <w:lang w:val="en-US" w:eastAsia="zh-CN" w:bidi="ar-SA"/>
        </w:rPr>
      </w:pPr>
      <w:bookmarkStart w:id="56" w:name="_Toc15377222"/>
      <w:r>
        <w:rPr>
          <w:rFonts w:hint="eastAsia" w:ascii="楷体_GB2312" w:hAnsi="楷体_GB2312" w:eastAsia="楷体_GB2312" w:cs="楷体_GB2312"/>
          <w:b/>
          <w:bCs w:val="0"/>
          <w:kern w:val="2"/>
          <w:sz w:val="32"/>
          <w:szCs w:val="32"/>
          <w:lang w:val="en-US" w:eastAsia="zh-CN" w:bidi="ar-SA"/>
        </w:rPr>
        <w:t>（一）机关运行经费支出情况</w:t>
      </w:r>
      <w:bookmarkEnd w:id="56"/>
      <w:r>
        <w:rPr>
          <w:rFonts w:hint="eastAsia" w:ascii="楷体_GB2312" w:hAnsi="楷体_GB2312" w:eastAsia="楷体_GB2312" w:cs="楷体_GB2312"/>
          <w:b/>
          <w:bCs w:val="0"/>
          <w:kern w:val="2"/>
          <w:sz w:val="32"/>
          <w:szCs w:val="32"/>
          <w:lang w:val="en-US" w:eastAsia="zh-CN" w:bidi="ar-SA"/>
        </w:rPr>
        <w:t>。</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2021年，州医疗保障局机关运行经费支出125.39万元，比2020年减少7.95万元，下降5.96%。主要原因是本年厉行节约，严格把控经费支出关口。</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en-US" w:eastAsia="zh-CN" w:bidi="ar-SA"/>
        </w:rPr>
      </w:pPr>
      <w:bookmarkStart w:id="57" w:name="_Toc15377223"/>
      <w:r>
        <w:rPr>
          <w:rFonts w:hint="eastAsia" w:ascii="楷体_GB2312" w:hAnsi="楷体_GB2312" w:eastAsia="楷体_GB2312" w:cs="楷体_GB2312"/>
          <w:b/>
          <w:bCs w:val="0"/>
          <w:kern w:val="2"/>
          <w:sz w:val="32"/>
          <w:szCs w:val="32"/>
          <w:lang w:val="en-US" w:eastAsia="zh-CN" w:bidi="ar-SA"/>
        </w:rPr>
        <w:t>（二）政府采购支出情况</w:t>
      </w:r>
      <w:bookmarkEnd w:id="57"/>
      <w:r>
        <w:rPr>
          <w:rFonts w:hint="eastAsia" w:ascii="楷体_GB2312" w:hAnsi="楷体_GB2312" w:eastAsia="楷体_GB2312" w:cs="楷体_GB2312"/>
          <w:b/>
          <w:bCs w:val="0"/>
          <w:kern w:val="2"/>
          <w:sz w:val="32"/>
          <w:szCs w:val="32"/>
          <w:lang w:val="en-US" w:eastAsia="zh-CN" w:bidi="ar-SA"/>
        </w:rPr>
        <w:t>。</w:t>
      </w:r>
    </w:p>
    <w:p>
      <w:pPr>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hAnsi="仿宋_GB2312" w:eastAsia="仿宋_GB2312" w:cs="仿宋_GB2312"/>
          <w:b w:val="0"/>
          <w:i w:val="0"/>
          <w:caps w:val="0"/>
          <w:spacing w:val="0"/>
          <w:w w:val="100"/>
          <w:sz w:val="32"/>
          <w:szCs w:val="32"/>
          <w:lang w:val="en-US" w:eastAsia="zh-CN"/>
        </w:rPr>
        <w:t>州医疗保障局</w:t>
      </w:r>
      <w:r>
        <w:rPr>
          <w:rFonts w:hint="eastAsia" w:ascii="仿宋_GB2312" w:eastAsia="仿宋_GB2312"/>
          <w:sz w:val="32"/>
          <w:szCs w:val="32"/>
        </w:rPr>
        <w:t>政府采购支出总额</w:t>
      </w:r>
      <w:r>
        <w:rPr>
          <w:rFonts w:hint="eastAsia" w:ascii="仿宋_GB2312" w:eastAsia="仿宋_GB2312"/>
          <w:sz w:val="32"/>
          <w:szCs w:val="32"/>
          <w:lang w:val="en-US" w:eastAsia="zh-CN"/>
        </w:rPr>
        <w:t>166.75</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6.47</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160.27</w:t>
      </w:r>
      <w:r>
        <w:rPr>
          <w:rFonts w:hint="eastAsia" w:ascii="仿宋_GB2312" w:eastAsia="仿宋_GB2312"/>
          <w:sz w:val="32"/>
          <w:szCs w:val="32"/>
        </w:rPr>
        <w:t>万元。主要用于</w:t>
      </w:r>
      <w:r>
        <w:rPr>
          <w:rFonts w:hint="eastAsia" w:ascii="仿宋_GB2312" w:hAnsi="仿宋" w:eastAsia="仿宋_GB2312"/>
          <w:sz w:val="32"/>
          <w:szCs w:val="32"/>
          <w:lang w:val="en-US" w:eastAsia="zh-CN"/>
        </w:rPr>
        <w:t>金保工程系统适应性改造105万元、医税2.0整改20万元、医疗保障业务终端杀毒软件35.27万元</w:t>
      </w:r>
      <w:r>
        <w:rPr>
          <w:rFonts w:hint="eastAsia" w:ascii="仿宋_GB2312" w:eastAsia="仿宋_GB2312"/>
          <w:sz w:val="32"/>
          <w:szCs w:val="32"/>
        </w:rPr>
        <w:t>。授予中小企业合同金额</w:t>
      </w:r>
      <w:r>
        <w:rPr>
          <w:rFonts w:hint="eastAsia" w:ascii="仿宋_GB2312" w:eastAsia="仿宋_GB2312"/>
          <w:sz w:val="32"/>
          <w:szCs w:val="32"/>
          <w:lang w:val="en-US" w:eastAsia="zh-CN"/>
        </w:rPr>
        <w:t>6.47</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3.88</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6.47</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3.88</w:t>
      </w:r>
      <w:r>
        <w:rPr>
          <w:rFonts w:ascii="仿宋_GB2312" w:eastAsia="仿宋_GB2312"/>
          <w:sz w:val="32"/>
          <w:szCs w:val="32"/>
        </w:rPr>
        <w:t>%</w:t>
      </w:r>
      <w:r>
        <w:rPr>
          <w:rFonts w:hint="eastAsia" w:ascii="仿宋_GB2312" w:eastAsia="仿宋_GB2312"/>
          <w:sz w:val="32"/>
          <w:szCs w:val="32"/>
        </w:rPr>
        <w:t>。</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en-US" w:eastAsia="zh-CN" w:bidi="ar-SA"/>
        </w:rPr>
      </w:pPr>
      <w:bookmarkStart w:id="58" w:name="_Toc15377224"/>
      <w:r>
        <w:rPr>
          <w:rFonts w:hint="eastAsia" w:ascii="楷体_GB2312" w:hAnsi="楷体_GB2312" w:eastAsia="楷体_GB2312" w:cs="楷体_GB2312"/>
          <w:b/>
          <w:bCs w:val="0"/>
          <w:kern w:val="2"/>
          <w:sz w:val="32"/>
          <w:szCs w:val="32"/>
          <w:lang w:val="en-US" w:eastAsia="zh-CN" w:bidi="ar-SA"/>
        </w:rPr>
        <w:t>（三）国有资产占有使用情况</w:t>
      </w:r>
      <w:bookmarkEnd w:id="58"/>
      <w:r>
        <w:rPr>
          <w:rFonts w:hint="eastAsia" w:ascii="楷体_GB2312" w:hAnsi="楷体_GB2312" w:eastAsia="楷体_GB2312" w:cs="楷体_GB2312"/>
          <w:b/>
          <w:bCs w:val="0"/>
          <w:kern w:val="2"/>
          <w:sz w:val="32"/>
          <w:szCs w:val="32"/>
          <w:lang w:val="en-US" w:eastAsia="zh-CN" w:bidi="ar-SA"/>
        </w:rPr>
        <w:t>。</w:t>
      </w:r>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hAnsi="仿宋_GB2312" w:eastAsia="仿宋_GB2312" w:cs="仿宋_GB2312"/>
          <w:b w:val="0"/>
          <w:i w:val="0"/>
          <w:caps w:val="0"/>
          <w:spacing w:val="0"/>
          <w:w w:val="100"/>
          <w:sz w:val="32"/>
          <w:szCs w:val="32"/>
          <w:lang w:val="en-US" w:eastAsia="zh-CN"/>
        </w:rPr>
        <w:t>州医疗保障局</w:t>
      </w:r>
      <w:r>
        <w:rPr>
          <w:rFonts w:hint="eastAsia" w:ascii="仿宋_GB2312" w:eastAsia="仿宋_GB2312"/>
          <w:sz w:val="32"/>
          <w:szCs w:val="32"/>
        </w:rPr>
        <w:t>共有车辆</w:t>
      </w:r>
      <w:r>
        <w:rPr>
          <w:rFonts w:hint="eastAsia" w:ascii="仿宋_GB2312" w:eastAsia="仿宋_GB2312"/>
          <w:sz w:val="32"/>
          <w:szCs w:val="32"/>
          <w:lang w:val="en-US" w:eastAsia="zh-CN"/>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（四）预算绩效管理情况。</w:t>
      </w:r>
    </w:p>
    <w:p>
      <w:pPr>
        <w:keepNext w:val="0"/>
        <w:keepLines w:val="0"/>
        <w:pageBreakBefore w:val="0"/>
        <w:kinsoku/>
        <w:wordWrap/>
        <w:overflowPunct/>
        <w:topLinePunct w:val="0"/>
        <w:bidi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w:t>
      </w:r>
      <w:r>
        <w:rPr>
          <w:rFonts w:hint="eastAsia" w:ascii="仿宋_GB2312" w:hAnsi="仿宋" w:eastAsia="仿宋_GB2312"/>
          <w:sz w:val="32"/>
          <w:szCs w:val="32"/>
          <w:lang w:val="en-US" w:eastAsia="zh-CN"/>
        </w:rPr>
        <w:t>基金监管和医疗机构监督检查工作经</w:t>
      </w:r>
      <w:r>
        <w:rPr>
          <w:rFonts w:hint="eastAsia" w:ascii="仿宋_GB2312" w:hAnsi="仿宋" w:eastAsia="仿宋_GB2312"/>
          <w:color w:val="000000" w:themeColor="text1"/>
          <w:sz w:val="32"/>
          <w:szCs w:val="32"/>
          <w:lang w:val="en-US" w:eastAsia="zh-CN"/>
          <w14:textFill>
            <w14:solidFill>
              <w14:schemeClr w14:val="tx1"/>
            </w14:solidFill>
          </w14:textFill>
        </w:rPr>
        <w:t>费</w:t>
      </w:r>
      <w:r>
        <w:rPr>
          <w:rFonts w:hint="eastAsia" w:ascii="仿宋_GB2312" w:eastAsia="仿宋_GB2312" w:cs="仿宋_GB2312"/>
          <w:sz w:val="32"/>
          <w:szCs w:val="32"/>
          <w:lang w:eastAsia="zh-CN"/>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审计稽核工作经费、聘请法律顾问工作经费、医保政策调研工作经费、医疗救助运行分析及医保基金预决算培训费</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个项目开展了绩效自评。同时，本部门对2021年部门整体开展绩效自评，《2021年</w:t>
      </w:r>
      <w:r>
        <w:rPr>
          <w:rFonts w:hint="eastAsia" w:ascii="仿宋_GB2312" w:hAnsi="仿宋_GB2312" w:eastAsia="仿宋_GB2312" w:cs="仿宋_GB2312"/>
          <w:b w:val="0"/>
          <w:i w:val="0"/>
          <w:caps w:val="0"/>
          <w:spacing w:val="0"/>
          <w:w w:val="100"/>
          <w:sz w:val="32"/>
          <w:szCs w:val="32"/>
          <w:lang w:val="en-US" w:eastAsia="zh-CN"/>
        </w:rPr>
        <w:t>州医疗保障局</w:t>
      </w:r>
      <w:r>
        <w:rPr>
          <w:rFonts w:hint="eastAsia" w:ascii="仿宋_GB2312" w:eastAsia="仿宋_GB2312" w:cs="仿宋_GB2312"/>
          <w:sz w:val="32"/>
          <w:szCs w:val="32"/>
        </w:rPr>
        <w:t>部门整体绩效评价报告》见附件（第四部分）。</w:t>
      </w:r>
    </w:p>
    <w:p>
      <w:pPr>
        <w:pageBreakBefore w:val="0"/>
        <w:widowControl/>
        <w:kinsoku/>
        <w:wordWrap/>
        <w:overflowPunct/>
        <w:topLinePunct w:val="0"/>
        <w:bidi w:val="0"/>
        <w:spacing w:line="560" w:lineRule="atLeast"/>
        <w:jc w:val="left"/>
        <w:rPr>
          <w:rFonts w:ascii="仿宋_GB2312" w:eastAsia="仿宋_GB2312"/>
          <w:b/>
          <w:sz w:val="32"/>
          <w:szCs w:val="32"/>
        </w:rPr>
      </w:pPr>
      <w:r>
        <w:rPr>
          <w:rFonts w:ascii="仿宋_GB2312" w:eastAsia="仿宋_GB2312"/>
          <w:b/>
          <w:sz w:val="32"/>
          <w:szCs w:val="32"/>
        </w:rPr>
        <w:br w:type="page"/>
      </w:r>
    </w:p>
    <w:p>
      <w:pPr>
        <w:pageBreakBefore w:val="0"/>
        <w:numPr>
          <w:ilvl w:val="0"/>
          <w:numId w:val="2"/>
        </w:numPr>
        <w:kinsoku/>
        <w:wordWrap/>
        <w:overflowPunct/>
        <w:topLinePunct w:val="0"/>
        <w:bidi w:val="0"/>
        <w:spacing w:line="560" w:lineRule="atLeast"/>
        <w:ind w:firstLine="660" w:firstLineChars="150"/>
        <w:jc w:val="center"/>
        <w:outlineLvl w:val="0"/>
        <w:rPr>
          <w:rStyle w:val="21"/>
          <w:rFonts w:hint="eastAsia" w:ascii="方正小标宋_GBK" w:hAnsi="方正小标宋_GBK" w:eastAsia="方正小标宋_GBK" w:cs="方正小标宋_GBK"/>
          <w:b w:val="0"/>
        </w:rPr>
      </w:pPr>
      <w:bookmarkStart w:id="59" w:name="_Toc15396613"/>
      <w:bookmarkStart w:id="60" w:name="_Toc15377225"/>
      <w:r>
        <w:rPr>
          <w:rFonts w:hint="eastAsia" w:ascii="方正小标宋_GBK" w:hAnsi="方正小标宋_GBK" w:eastAsia="方正小标宋_GBK" w:cs="方正小标宋_GBK"/>
          <w:sz w:val="44"/>
          <w:szCs w:val="44"/>
        </w:rPr>
        <w:t>名</w:t>
      </w:r>
      <w:r>
        <w:rPr>
          <w:rStyle w:val="21"/>
          <w:rFonts w:hint="eastAsia" w:ascii="方正小标宋_GBK" w:hAnsi="方正小标宋_GBK" w:eastAsia="方正小标宋_GBK" w:cs="方正小标宋_GBK"/>
          <w:b w:val="0"/>
        </w:rPr>
        <w:t>词解释</w:t>
      </w:r>
      <w:bookmarkEnd w:id="59"/>
      <w:bookmarkEnd w:id="60"/>
    </w:p>
    <w:p>
      <w:pPr>
        <w:pageBreakBefore w:val="0"/>
        <w:kinsoku/>
        <w:wordWrap/>
        <w:overflowPunct/>
        <w:topLinePunct w:val="0"/>
        <w:bidi w:val="0"/>
        <w:spacing w:line="560" w:lineRule="atLeast"/>
        <w:ind w:firstLine="640" w:firstLineChars="200"/>
        <w:rPr>
          <w:rFonts w:hint="eastAsia" w:ascii="仿宋_GB2312" w:hAnsi="仿宋"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 xml:space="preserve">2.年初结转和结余：指以前年度尚未完成、结转到本年按有关规定继续使用的资金。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3.年末结转和结余：指单位按有关规定结转到下年或以后年度继续使用的资金。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4.社会保障和就业支出（208）行政事业单位养老支出（05）机关事业单位基本养老保险缴费支出（05）：反映机关事业单位实施养老保险制度由单位缴纳的基本养老保险费支出。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社会保障和就业支出（208）行政事业单位养老支出（05）机关事业单位职业年金缴费支出（06）：反映机关事业单位实施养老保险制度有单位实际缴纳的职业年金支出。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5.卫生健康支出（210）行政事业单位医疗（11）行政单位医疗（01）：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卫生健康支出（210）行政事业单位医疗（11）公务员医疗补助（03）：反映财政部门安排的公务员医疗补助经费。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卫生健康支出（210）医疗保障管理事务（15）行政运行（01）：反映行政单位（包括实行公务员管理的事业单位）的基本支出。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卫生健康支出（210）医疗保障管理事务（15）一般行政管理事务（02）：反映行政单位（包括实行公务员管理的事业单位）未单独设置项级科目的其他项目支出。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卫生健康支出（210）医疗保障管理事务（15）信息化建设（04）：反映医疗保障部门用于信息化建设、开发、运行维护和数据分析等方面支出。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卫生健康支出（210）医疗保障管理事务（15）其他医疗保障管理事务支出(99):反映除上述项目以外的其他用于医疗保障管理事务方面的支出。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卫生健康支出（210）其他卫生健康支出（99）其他卫生健康支出（99）：反映除上述项目以外的其他用于卫生健康方面的支出。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6.住房保障支出（221）住房改革支出（02）住房公积金（01）：反映行政事业单位按人力资源和社会保障部、财政部规定的基本工资和津补贴以及规定比例为职工缴纳的住房公积金。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7.基本支出：指为保障机构正常运转、完成日常工作任务而发生的人员支出和公用支出。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 xml:space="preserve">8.项目支出：指在基本支出之外为完成特定行政任务和事业发展目标所发生的支出。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rPr>
      </w:pPr>
      <w:bookmarkStart w:id="61" w:name="_Toc15377226"/>
      <w:r>
        <w:rPr>
          <w:rFonts w:ascii="宋体"/>
          <w:b/>
          <w:sz w:val="32"/>
          <w:szCs w:val="32"/>
        </w:rPr>
        <w:br w:type="page"/>
      </w:r>
      <w:bookmarkStart w:id="62" w:name="_Toc15396614"/>
      <w:r>
        <w:rPr>
          <w:rFonts w:hint="eastAsia" w:ascii="方正小标宋_GBK" w:hAnsi="方正小标宋_GBK" w:eastAsia="方正小标宋_GBK" w:cs="方正小标宋_GBK"/>
          <w:b/>
          <w:sz w:val="44"/>
          <w:szCs w:val="44"/>
          <w:lang w:val="en-US" w:eastAsia="zh-CN"/>
        </w:rPr>
        <w:t xml:space="preserve"> </w:t>
      </w:r>
      <w:r>
        <w:rPr>
          <w:rFonts w:hint="eastAsia" w:ascii="方正小标宋_GBK" w:hAnsi="方正小标宋_GBK" w:eastAsia="方正小标宋_GBK" w:cs="方正小标宋_GBK"/>
          <w:sz w:val="44"/>
          <w:szCs w:val="44"/>
        </w:rPr>
        <w:t>第</w:t>
      </w:r>
      <w:r>
        <w:rPr>
          <w:rStyle w:val="21"/>
          <w:rFonts w:hint="eastAsia" w:ascii="方正小标宋_GBK" w:hAnsi="方正小标宋_GBK" w:eastAsia="方正小标宋_GBK" w:cs="方正小标宋_GBK"/>
          <w:b w:val="0"/>
        </w:rPr>
        <w:t xml:space="preserve">四部分 </w:t>
      </w:r>
      <w:bookmarkEnd w:id="62"/>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val="en-US" w:eastAsia="zh-CN"/>
        </w:rPr>
        <w:t>阿坝州医疗保障局</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20</w:t>
      </w:r>
      <w:r>
        <w:rPr>
          <w:rFonts w:hint="eastAsia" w:ascii="方正小标宋_GBK" w:hAnsi="方正小标宋_GBK" w:eastAsia="方正小标宋_GBK" w:cs="方正小标宋_GBK"/>
          <w:b w:val="0"/>
          <w:bCs/>
          <w:sz w:val="44"/>
          <w:szCs w:val="44"/>
          <w:shd w:val="clear" w:color="auto" w:fill="FFFFFF"/>
          <w:lang w:val="en-US" w:eastAsia="zh-CN"/>
        </w:rPr>
        <w:t>21</w:t>
      </w:r>
      <w:r>
        <w:rPr>
          <w:rFonts w:hint="eastAsia" w:ascii="方正小标宋_GBK" w:hAnsi="方正小标宋_GBK" w:eastAsia="方正小标宋_GBK" w:cs="方正小标宋_GBK"/>
          <w:b w:val="0"/>
          <w:bCs/>
          <w:sz w:val="44"/>
          <w:szCs w:val="44"/>
          <w:shd w:val="clear" w:color="auto" w:fill="FFFFFF"/>
        </w:rPr>
        <w:t>年部门整体支出绩效评价报告</w:t>
      </w:r>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ascii="黑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left="0"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州编委核定阿坝州医疗保障局内设2科1室，即：办公室、服务保障科、监督指导科。</w:t>
      </w:r>
      <w:r>
        <w:rPr>
          <w:rFonts w:hint="eastAsia" w:ascii="仿宋_GB2312" w:hAnsi="仿宋_GB2312" w:eastAsia="仿宋_GB2312" w:cs="仿宋_GB2312"/>
          <w:sz w:val="32"/>
          <w:szCs w:val="32"/>
          <w:lang w:val="en-US" w:eastAsia="zh-CN"/>
        </w:rPr>
        <w:t>阿坝州医疗保障事务中心属阿坝州医疗保障局下设参公事业单位，内设办公室、统筹科、审核结算科、异地就医结算科、城乡居民与生育保险科、基金管理科、医药服务科、审计稽核科、统计分析科。</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（二）机构职能。</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6" w:type="first"/>
          <w:headerReference r:id="rId3" w:type="default"/>
          <w:footerReference r:id="rId4" w:type="default"/>
          <w:footerReference r:id="rId5" w:type="even"/>
          <w:pgSz w:w="11906" w:h="16838"/>
          <w:pgMar w:top="2098" w:right="1474" w:bottom="1984" w:left="1587" w:header="851" w:footer="992" w:gutter="0"/>
          <w:pgNumType w:fmt="decimal" w:start="1"/>
          <w:cols w:space="720" w:num="1"/>
          <w:titlePg/>
          <w:docGrid w:type="lines" w:linePitch="435" w:charSpace="0"/>
        </w:sectPr>
      </w:pPr>
      <w:r>
        <w:rPr>
          <w:rFonts w:hint="eastAsia" w:ascii="仿宋_GB2312" w:hAnsi="仿宋_GB2312" w:eastAsia="仿宋_GB2312" w:cs="仿宋_GB2312"/>
          <w:sz w:val="32"/>
          <w:szCs w:val="32"/>
          <w:lang w:val="en-US" w:eastAsia="zh-CN"/>
        </w:rPr>
        <w:t>州医保局贯彻落实党中央关于医疗保障工作的方针政策和省委、州委的决策部署，在履行职责过程中坚持和加强党对医疗保障工作的集中统一领导，主要职责是：</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组织拟定并</w:t>
      </w:r>
    </w:p>
    <w:p>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kern w:val="0"/>
          <w:sz w:val="32"/>
          <w:szCs w:val="32"/>
        </w:rPr>
        <w:sectPr>
          <w:footerReference r:id="rId9" w:type="first"/>
          <w:headerReference r:id="rId7" w:type="default"/>
          <w:footerReference r:id="rId8" w:type="default"/>
          <w:pgSz w:w="11906" w:h="16838"/>
          <w:pgMar w:top="2098" w:right="1474" w:bottom="1984" w:left="1587" w:header="851" w:footer="992" w:gutter="0"/>
          <w:pgNumType w:fmt="decimal" w:start="24"/>
          <w:cols w:space="720" w:num="1"/>
          <w:titlePg/>
          <w:docGrid w:type="lines" w:linePitch="312" w:charSpace="0"/>
        </w:sectPr>
      </w:pPr>
      <w:r>
        <w:rPr>
          <w:rFonts w:hint="eastAsia" w:ascii="仿宋_GB2312" w:hAnsi="仿宋_GB2312" w:eastAsia="仿宋_GB2312" w:cs="仿宋_GB2312"/>
          <w:sz w:val="32"/>
          <w:szCs w:val="32"/>
          <w:lang w:val="en-US" w:eastAsia="zh-CN"/>
        </w:rPr>
        <w:t>实施医疗保障基金监督管理制度，建立健全医疗保障基金安全防控机制，监督强化全州医疗保障基金运行管理。</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组织拟订医疗保障筹资和待遇政策，完善动态调整和区域调剂平衡机制，统筹城乡医疗保障待遇标准，建立健全与筹资水平相适应的待遇调</w:t>
      </w:r>
      <w:r>
        <w:rPr>
          <w:rFonts w:hint="eastAsia" w:ascii="仿宋_GB2312" w:hAnsi="仿宋_GB2312" w:eastAsia="仿宋_GB2312" w:cs="仿宋_GB2312"/>
          <w:kern w:val="0"/>
          <w:sz w:val="32"/>
          <w:szCs w:val="32"/>
        </w:rPr>
        <w:t>整机制。组织实施长期护理保险制度改革。</w:t>
      </w:r>
      <w:r>
        <w:rPr>
          <w:rFonts w:hint="eastAsia" w:ascii="仿宋_GB2312" w:hAnsi="仿宋_GB2312" w:eastAsia="仿宋_GB2312" w:cs="仿宋_GB2312"/>
          <w:b/>
          <w:bCs/>
          <w:kern w:val="0"/>
          <w:sz w:val="32"/>
          <w:szCs w:val="32"/>
          <w:lang w:eastAsia="zh-CN"/>
        </w:rPr>
        <w:t>四是</w:t>
      </w:r>
      <w:r>
        <w:rPr>
          <w:rFonts w:hint="eastAsia" w:ascii="仿宋_GB2312" w:hAnsi="仿宋_GB2312" w:eastAsia="仿宋_GB2312" w:cs="仿宋_GB2312"/>
          <w:kern w:val="0"/>
          <w:sz w:val="32"/>
          <w:szCs w:val="32"/>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kern w:val="0"/>
          <w:sz w:val="32"/>
          <w:szCs w:val="32"/>
          <w:lang w:eastAsia="zh-CN"/>
        </w:rPr>
        <w:t>五是</w:t>
      </w:r>
      <w:r>
        <w:rPr>
          <w:rFonts w:hint="eastAsia" w:ascii="仿宋_GB2312" w:hAnsi="仿宋_GB2312" w:eastAsia="仿宋_GB2312" w:cs="仿宋_GB2312"/>
          <w:kern w:val="0"/>
          <w:sz w:val="32"/>
          <w:szCs w:val="32"/>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kern w:val="0"/>
          <w:sz w:val="32"/>
          <w:szCs w:val="32"/>
          <w:lang w:eastAsia="zh-CN"/>
        </w:rPr>
        <w:t>六是</w:t>
      </w:r>
      <w:r>
        <w:rPr>
          <w:rFonts w:hint="eastAsia" w:ascii="仿宋_GB2312" w:hAnsi="仿宋_GB2312" w:eastAsia="仿宋_GB2312" w:cs="仿宋_GB2312"/>
          <w:kern w:val="0"/>
          <w:sz w:val="32"/>
          <w:szCs w:val="32"/>
        </w:rPr>
        <w:t>贯彻落实药品、医用耗材的招标采购政策并监督实施。</w:t>
      </w:r>
      <w:r>
        <w:rPr>
          <w:rFonts w:hint="eastAsia" w:ascii="仿宋_GB2312" w:hAnsi="仿宋_GB2312" w:eastAsia="仿宋_GB2312" w:cs="仿宋_GB2312"/>
          <w:b/>
          <w:bCs/>
          <w:kern w:val="0"/>
          <w:sz w:val="32"/>
          <w:szCs w:val="32"/>
          <w:lang w:eastAsia="zh-CN"/>
        </w:rPr>
        <w:t>七是</w:t>
      </w:r>
      <w:r>
        <w:rPr>
          <w:rFonts w:hint="eastAsia" w:ascii="仿宋_GB2312" w:hAnsi="仿宋_GB2312" w:eastAsia="仿宋_GB2312" w:cs="仿宋_GB2312"/>
          <w:kern w:val="0"/>
          <w:sz w:val="32"/>
          <w:szCs w:val="32"/>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kern w:val="0"/>
          <w:sz w:val="32"/>
          <w:szCs w:val="32"/>
          <w:lang w:eastAsia="zh-CN"/>
        </w:rPr>
        <w:t>八是</w:t>
      </w:r>
      <w:r>
        <w:rPr>
          <w:rFonts w:hint="eastAsia" w:ascii="仿宋_GB2312" w:hAnsi="仿宋_GB2312" w:eastAsia="仿宋_GB2312" w:cs="仿宋_GB2312"/>
          <w:kern w:val="0"/>
          <w:sz w:val="32"/>
          <w:szCs w:val="32"/>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kern w:val="0"/>
          <w:sz w:val="32"/>
          <w:szCs w:val="32"/>
          <w:lang w:eastAsia="zh-CN"/>
        </w:rPr>
        <w:t>九是</w:t>
      </w:r>
      <w:r>
        <w:rPr>
          <w:rFonts w:hint="eastAsia" w:ascii="仿宋_GB2312" w:hAnsi="仿宋_GB2312" w:eastAsia="仿宋_GB2312" w:cs="仿宋_GB2312"/>
          <w:kern w:val="0"/>
          <w:sz w:val="32"/>
          <w:szCs w:val="32"/>
        </w:rPr>
        <w:t>负责规划实施全州医疗保障信息化建设。组织开展医疗保障大数据管理和应用。</w:t>
      </w:r>
      <w:r>
        <w:rPr>
          <w:rFonts w:hint="eastAsia" w:ascii="仿宋_GB2312" w:hAnsi="仿宋_GB2312" w:eastAsia="仿宋_GB2312" w:cs="仿宋_GB2312"/>
          <w:b/>
          <w:bCs/>
          <w:kern w:val="0"/>
          <w:sz w:val="32"/>
          <w:szCs w:val="32"/>
          <w:lang w:eastAsia="zh-CN"/>
        </w:rPr>
        <w:t>十是</w:t>
      </w:r>
      <w:r>
        <w:rPr>
          <w:rFonts w:hint="eastAsia" w:ascii="仿宋_GB2312" w:hAnsi="仿宋_GB2312" w:eastAsia="仿宋_GB2312" w:cs="仿宋_GB2312"/>
          <w:kern w:val="0"/>
          <w:sz w:val="32"/>
          <w:szCs w:val="32"/>
        </w:rPr>
        <w:t>负责职责范围内</w:t>
      </w:r>
    </w:p>
    <w:p>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kern w:val="0"/>
          <w:sz w:val="32"/>
          <w:szCs w:val="32"/>
        </w:rPr>
        <w:t>的安全生产和职业健康、生态环境保护、公共机构节能减排、审批服务便民化等工作</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十一是</w:t>
      </w:r>
      <w:r>
        <w:rPr>
          <w:rFonts w:hint="eastAsia" w:ascii="仿宋_GB2312" w:hAnsi="仿宋_GB2312" w:eastAsia="仿宋_GB2312" w:cs="仿宋_GB2312"/>
          <w:kern w:val="0"/>
          <w:sz w:val="32"/>
          <w:szCs w:val="32"/>
        </w:rPr>
        <w:t>完成州委、州政府交办的其他任务。</w:t>
      </w:r>
      <w:r>
        <w:rPr>
          <w:rFonts w:hint="eastAsia" w:ascii="仿宋_GB2312" w:hAnsi="仿宋_GB2312" w:eastAsia="仿宋_GB2312" w:cs="仿宋_GB2312"/>
          <w:b/>
          <w:bCs/>
          <w:kern w:val="0"/>
          <w:sz w:val="32"/>
          <w:szCs w:val="32"/>
          <w:lang w:eastAsia="zh-CN"/>
        </w:rPr>
        <w:t>十二是</w:t>
      </w:r>
      <w:r>
        <w:rPr>
          <w:rFonts w:hint="eastAsia" w:ascii="仿宋_GB2312" w:hAnsi="仿宋_GB2312" w:eastAsia="仿宋_GB2312" w:cs="仿宋_GB2312"/>
          <w:kern w:val="0"/>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kern w:val="0"/>
          <w:sz w:val="32"/>
          <w:szCs w:val="32"/>
          <w:lang w:eastAsia="zh-CN"/>
        </w:rPr>
        <w:t>十三是</w:t>
      </w:r>
      <w:r>
        <w:rPr>
          <w:rFonts w:hint="eastAsia" w:ascii="仿宋_GB2312" w:hAnsi="仿宋_GB2312" w:eastAsia="仿宋_GB2312" w:cs="仿宋_GB2312"/>
          <w:kern w:val="0"/>
          <w:sz w:val="32"/>
          <w:szCs w:val="32"/>
        </w:rPr>
        <w:t>与州卫生健康委员会的有关职责分工。两部门在医疗、医保、医药等方面加强制度、政策衔接，建立沟通协商机制，协同推进改革，提高医疗资源使用效率和医疗保障水平</w:t>
      </w:r>
    </w:p>
    <w:p>
      <w:pPr>
        <w:keepNext w:val="0"/>
        <w:keepLines w:val="0"/>
        <w:pageBreakBefore w:val="0"/>
        <w:widowControl/>
        <w:kinsoku/>
        <w:wordWrap/>
        <w:overflowPunct/>
        <w:topLinePunct w:val="0"/>
        <w:autoSpaceDE/>
        <w:autoSpaceDN/>
        <w:bidi w:val="0"/>
        <w:adjustRightInd w:val="0"/>
        <w:snapToGrid w:val="0"/>
        <w:spacing w:line="560" w:lineRule="exact"/>
        <w:ind w:left="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中共阿坝州委办公室阿坝州人民政府办公室关于印发〈阿坝州医疗保障局职能配置、内设机构和人员编制规定〉的通知》（阿委办发〔2019〕32号），我局行政编制7名，机关工勤人员事业编制2名。阿坝州医疗保障事务中心参公编制25名。</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color w:val="000000"/>
          <w:kern w:val="0"/>
          <w:sz w:val="32"/>
          <w:szCs w:val="32"/>
          <w:shd w:val="clear" w:color="auto" w:fill="FFFFFF"/>
        </w:rPr>
        <w:t>二、部门财政资金收支情况</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州医疗保障局20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val="zh-CN" w:eastAsia="zh-CN"/>
        </w:rPr>
        <w:t>年</w:t>
      </w:r>
      <w:r>
        <w:rPr>
          <w:rFonts w:hint="eastAsia" w:ascii="仿宋_GB2312" w:hAnsi="仿宋_GB2312" w:eastAsia="仿宋_GB2312" w:cs="仿宋_GB2312"/>
          <w:sz w:val="32"/>
          <w:szCs w:val="32"/>
          <w:lang w:val="en-US" w:eastAsia="zh-CN"/>
        </w:rPr>
        <w:t>收入年初预算数1093.46万元，调整后预算数1103.68万元，收入决算数1103.68万元。</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w:t>
      </w:r>
      <w:r>
        <w:rPr>
          <w:rFonts w:hint="eastAsia" w:ascii="楷体_GB2312" w:hAnsi="楷体_GB2312" w:eastAsia="楷体_GB2312" w:cs="楷体_GB2312"/>
          <w:b/>
          <w:bCs w:val="0"/>
          <w:kern w:val="2"/>
          <w:sz w:val="32"/>
          <w:szCs w:val="32"/>
          <w:lang w:val="en-US" w:eastAsia="zh-CN" w:bidi="ar-SA"/>
        </w:rPr>
        <w:t>二</w:t>
      </w:r>
      <w:r>
        <w:rPr>
          <w:rFonts w:hint="eastAsia" w:ascii="楷体_GB2312" w:hAnsi="楷体_GB2312" w:eastAsia="楷体_GB2312" w:cs="楷体_GB2312"/>
          <w:b/>
          <w:bCs w:val="0"/>
          <w:kern w:val="2"/>
          <w:sz w:val="32"/>
          <w:szCs w:val="32"/>
          <w:lang w:val="zh-CN" w:eastAsia="zh-CN" w:bidi="ar-SA"/>
        </w:rPr>
        <w:t>）部门财政资金支出情况。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州医疗保障局20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val="zh-CN" w:eastAsia="zh-CN"/>
        </w:rPr>
        <w:t>年</w:t>
      </w:r>
      <w:r>
        <w:rPr>
          <w:rFonts w:hint="eastAsia" w:ascii="仿宋_GB2312" w:hAnsi="仿宋_GB2312" w:eastAsia="仿宋_GB2312" w:cs="仿宋_GB2312"/>
          <w:sz w:val="32"/>
          <w:szCs w:val="32"/>
          <w:lang w:val="en-US" w:eastAsia="zh-CN"/>
        </w:rPr>
        <w:t>支出年初预算数1093.46万元，调整后预算数1103.68万元，本年支出决算数,1103.68万元，其中：基本支出767.37万元；项目支出336.31万元。</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firstLine="642" w:firstLineChars="200"/>
        <w:contextualSpacing/>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color w:val="000000"/>
          <w:kern w:val="0"/>
          <w:sz w:val="32"/>
          <w:szCs w:val="32"/>
          <w:shd w:val="clear" w:color="auto" w:fill="FFFFFF"/>
        </w:rPr>
        <w:t>部门整体预算绩效管理情况</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（一）部门预算管理。</w:t>
      </w:r>
    </w:p>
    <w:p>
      <w:pPr>
        <w:pStyle w:val="7"/>
        <w:keepNext w:val="0"/>
        <w:keepLines w:val="0"/>
        <w:pageBreakBefore w:val="0"/>
        <w:widowControl w:val="0"/>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eastAsia="zh-CN" w:bidi="ar-SA"/>
        </w:rPr>
      </w:pPr>
      <w:r>
        <w:rPr>
          <w:rFonts w:hint="eastAsia" w:ascii="仿宋_GB2312" w:hAnsi="仿宋_GB2312" w:eastAsia="仿宋_GB2312" w:cs="仿宋_GB2312"/>
          <w:b/>
          <w:bCs/>
          <w:color w:val="000000"/>
          <w:kern w:val="0"/>
          <w:sz w:val="32"/>
          <w:szCs w:val="32"/>
          <w:shd w:val="clear" w:color="auto" w:fill="FFFFFF"/>
          <w:lang w:val="en-US" w:eastAsia="zh-CN" w:bidi="ar-SA"/>
        </w:rPr>
        <w:t>1.</w:t>
      </w:r>
      <w:r>
        <w:rPr>
          <w:rFonts w:hint="eastAsia" w:ascii="仿宋_GB2312" w:hAnsi="仿宋_GB2312" w:eastAsia="仿宋_GB2312" w:cs="仿宋_GB2312"/>
          <w:b/>
          <w:bCs/>
          <w:color w:val="000000"/>
          <w:kern w:val="0"/>
          <w:sz w:val="32"/>
          <w:szCs w:val="32"/>
          <w:shd w:val="clear" w:color="auto" w:fill="FFFFFF"/>
          <w:lang w:val="zh-CN" w:eastAsia="zh-CN" w:bidi="ar-SA"/>
        </w:rPr>
        <w:t>预算编制</w:t>
      </w:r>
    </w:p>
    <w:p>
      <w:pPr>
        <w:pStyle w:val="7"/>
        <w:keepNext w:val="0"/>
        <w:keepLines w:val="0"/>
        <w:pageBreakBefore w:val="0"/>
        <w:widowControl w:val="0"/>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1</w:t>
      </w:r>
      <w:r>
        <w:rPr>
          <w:rFonts w:hint="eastAsia" w:ascii="仿宋_GB2312" w:hAnsi="仿宋_GB2312" w:eastAsia="仿宋_GB2312" w:cs="仿宋_GB2312"/>
          <w:b/>
          <w:bCs/>
          <w:color w:val="000000"/>
          <w:kern w:val="0"/>
          <w:sz w:val="32"/>
          <w:szCs w:val="32"/>
          <w:shd w:val="clear" w:color="auto" w:fill="FFFFFF"/>
          <w:lang w:val="zh-CN" w:eastAsia="zh-CN" w:bidi="ar-SA"/>
        </w:rPr>
        <w:t>）目标制定</w:t>
      </w:r>
      <w:r>
        <w:rPr>
          <w:rFonts w:hint="eastAsia" w:ascii="仿宋_GB2312" w:hAnsi="仿宋_GB2312" w:eastAsia="仿宋_GB2312" w:cs="仿宋_GB2312"/>
          <w:b/>
          <w:bCs/>
          <w:color w:val="000000"/>
          <w:kern w:val="0"/>
          <w:sz w:val="32"/>
          <w:szCs w:val="32"/>
          <w:shd w:val="clear" w:color="auto" w:fill="FFFFFF"/>
          <w:lang w:val="en-US" w:eastAsia="zh-CN" w:bidi="ar-SA"/>
        </w:rPr>
        <w:t>。</w:t>
      </w:r>
      <w:r>
        <w:rPr>
          <w:rFonts w:hint="eastAsia" w:ascii="仿宋_GB2312" w:hAnsi="仿宋_GB2312" w:eastAsia="仿宋_GB2312" w:cs="仿宋_GB2312"/>
          <w:color w:val="000000"/>
          <w:kern w:val="0"/>
          <w:sz w:val="32"/>
          <w:szCs w:val="32"/>
          <w:shd w:val="clear" w:color="auto" w:fill="FFFFFF"/>
          <w:lang w:val="zh-CN" w:eastAsia="zh-CN" w:bidi="ar-SA"/>
        </w:rPr>
        <w:t>我单位严格按照州级部门预算编制通知和有关要求，按时完成基础库、项目库报送工作，按时完成20</w:t>
      </w:r>
      <w:r>
        <w:rPr>
          <w:rFonts w:hint="eastAsia" w:ascii="仿宋_GB2312" w:hAnsi="仿宋_GB2312" w:eastAsia="仿宋_GB2312" w:cs="仿宋_GB2312"/>
          <w:color w:val="000000"/>
          <w:kern w:val="0"/>
          <w:sz w:val="32"/>
          <w:szCs w:val="32"/>
          <w:shd w:val="clear" w:color="auto" w:fill="FFFFFF"/>
          <w:lang w:val="en-US" w:eastAsia="zh-CN" w:bidi="ar-SA"/>
        </w:rPr>
        <w:t>21</w:t>
      </w:r>
      <w:r>
        <w:rPr>
          <w:rFonts w:hint="eastAsia" w:ascii="仿宋_GB2312" w:hAnsi="仿宋_GB2312" w:eastAsia="仿宋_GB2312" w:cs="仿宋_GB2312"/>
          <w:color w:val="000000"/>
          <w:kern w:val="0"/>
          <w:sz w:val="32"/>
          <w:szCs w:val="32"/>
          <w:shd w:val="clear" w:color="auto" w:fill="FFFFFF"/>
          <w:lang w:val="zh-CN" w:eastAsia="zh-CN" w:bidi="ar-SA"/>
        </w:rPr>
        <w:t>年预算编制工作，并按时提交部门预算草案。按规定编制政府采购预算，预算编制全面、科学。20</w:t>
      </w:r>
      <w:r>
        <w:rPr>
          <w:rFonts w:hint="eastAsia" w:ascii="仿宋_GB2312" w:hAnsi="仿宋_GB2312" w:eastAsia="仿宋_GB2312" w:cs="仿宋_GB2312"/>
          <w:color w:val="000000"/>
          <w:kern w:val="0"/>
          <w:sz w:val="32"/>
          <w:szCs w:val="32"/>
          <w:shd w:val="clear" w:color="auto" w:fill="FFFFFF"/>
          <w:lang w:val="en-US" w:eastAsia="zh-CN" w:bidi="ar-SA"/>
        </w:rPr>
        <w:t>21</w:t>
      </w:r>
      <w:r>
        <w:rPr>
          <w:rFonts w:hint="eastAsia" w:ascii="仿宋_GB2312" w:hAnsi="仿宋_GB2312" w:eastAsia="仿宋_GB2312" w:cs="仿宋_GB2312"/>
          <w:color w:val="000000"/>
          <w:kern w:val="0"/>
          <w:sz w:val="32"/>
          <w:szCs w:val="32"/>
          <w:shd w:val="clear" w:color="auto" w:fill="FFFFFF"/>
          <w:lang w:val="zh-CN" w:eastAsia="zh-CN" w:bidi="ar-SA"/>
        </w:rPr>
        <w:t>年部门决算、绩效目标填报，年末结余结转严格按照州财政局的要求认真完成。</w:t>
      </w:r>
    </w:p>
    <w:p>
      <w:pPr>
        <w:pStyle w:val="7"/>
        <w:keepNext w:val="0"/>
        <w:keepLines w:val="0"/>
        <w:pageBreakBefore w:val="0"/>
        <w:widowControl w:val="0"/>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en-US" w:eastAsia="zh-CN" w:bidi="ar-SA"/>
        </w:rPr>
        <w:t>（2）</w:t>
      </w:r>
      <w:r>
        <w:rPr>
          <w:rFonts w:hint="eastAsia" w:ascii="仿宋_GB2312" w:hAnsi="仿宋_GB2312" w:eastAsia="仿宋_GB2312" w:cs="仿宋_GB2312"/>
          <w:b/>
          <w:bCs/>
          <w:color w:val="000000"/>
          <w:kern w:val="0"/>
          <w:sz w:val="32"/>
          <w:szCs w:val="32"/>
          <w:shd w:val="clear" w:color="auto" w:fill="FFFFFF"/>
          <w:lang w:val="zh-CN" w:eastAsia="zh-CN" w:bidi="ar-SA"/>
        </w:rPr>
        <w:t>目标实现。</w:t>
      </w:r>
      <w:r>
        <w:rPr>
          <w:rFonts w:hint="eastAsia" w:ascii="仿宋_GB2312" w:hAnsi="仿宋_GB2312" w:eastAsia="仿宋_GB2312" w:cs="仿宋_GB2312"/>
          <w:color w:val="000000"/>
          <w:kern w:val="0"/>
          <w:sz w:val="32"/>
          <w:szCs w:val="32"/>
          <w:shd w:val="clear" w:color="auto" w:fill="FFFFFF"/>
          <w:lang w:val="en-US" w:eastAsia="zh-CN" w:bidi="ar-SA"/>
        </w:rPr>
        <w:t>2021年项目支出预算合计516.14万元，支出336.31万元，完成年初预算65.16%。</w:t>
      </w:r>
    </w:p>
    <w:p>
      <w:pPr>
        <w:keepNext w:val="0"/>
        <w:keepLines w:val="0"/>
        <w:pageBreakBefore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en-US" w:eastAsia="zh-CN" w:bidi="ar-SA"/>
        </w:rPr>
        <w:t>重点工作经费（监管、审计稽核、调研等）：</w:t>
      </w:r>
      <w:r>
        <w:rPr>
          <w:rFonts w:hint="eastAsia" w:ascii="仿宋_GB2312" w:hAnsi="仿宋_GB2312" w:eastAsia="仿宋_GB2312" w:cs="仿宋_GB2312"/>
          <w:sz w:val="32"/>
          <w:szCs w:val="32"/>
        </w:rPr>
        <w:t>本年支出</w:t>
      </w:r>
      <w:r>
        <w:rPr>
          <w:rFonts w:hint="eastAsia" w:ascii="仿宋_GB2312" w:hAnsi="仿宋_GB2312" w:eastAsia="仿宋_GB2312" w:cs="仿宋_GB2312"/>
          <w:sz w:val="32"/>
          <w:szCs w:val="32"/>
          <w:lang w:val="en-US" w:eastAsia="zh-CN"/>
        </w:rPr>
        <w:t>99.39</w:t>
      </w:r>
      <w:r>
        <w:rPr>
          <w:rFonts w:hint="eastAsia" w:ascii="仿宋_GB2312" w:hAnsi="仿宋_GB2312" w:eastAsia="仿宋_GB2312" w:cs="仿宋_GB2312"/>
          <w:sz w:val="32"/>
          <w:szCs w:val="32"/>
        </w:rPr>
        <w:t>万元，完成</w:t>
      </w:r>
      <w:r>
        <w:rPr>
          <w:rFonts w:hint="eastAsia" w:ascii="仿宋_GB2312" w:hAnsi="仿宋_GB2312" w:eastAsia="仿宋_GB2312" w:cs="仿宋_GB2312"/>
          <w:sz w:val="32"/>
          <w:szCs w:val="32"/>
          <w:lang w:val="en-US" w:eastAsia="zh-CN"/>
        </w:rPr>
        <w:t>年初</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87.18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基金监管和医疗机构监督检查工作经</w:t>
      </w:r>
      <w:r>
        <w:rPr>
          <w:rFonts w:hint="eastAsia" w:ascii="仿宋_GB2312" w:hAnsi="仿宋_GB2312" w:eastAsia="仿宋_GB2312" w:cs="仿宋_GB2312"/>
          <w:color w:val="000000"/>
          <w:sz w:val="32"/>
          <w:szCs w:val="32"/>
          <w:lang w:val="en-US" w:eastAsia="zh-CN"/>
        </w:rPr>
        <w:t>费预算20万元，支</w:t>
      </w:r>
      <w:r>
        <w:rPr>
          <w:rFonts w:hint="eastAsia" w:ascii="仿宋_GB2312" w:hAnsi="仿宋_GB2312" w:eastAsia="仿宋_GB2312" w:cs="仿宋_GB2312"/>
          <w:color w:val="000000"/>
          <w:sz w:val="32"/>
          <w:szCs w:val="32"/>
          <w:highlight w:val="none"/>
          <w:lang w:val="en-US" w:eastAsia="zh-CN"/>
        </w:rPr>
        <w:t>出17.44万元，完成预算87.20%，该项目实施：</w:t>
      </w:r>
      <w:r>
        <w:rPr>
          <w:rFonts w:hint="eastAsia" w:ascii="仿宋_GB2312" w:hAnsi="仿宋_GB2312" w:eastAsia="仿宋_GB2312" w:cs="仿宋_GB2312"/>
          <w:b w:val="0"/>
          <w:bCs/>
          <w:sz w:val="32"/>
          <w:szCs w:val="32"/>
          <w:lang w:val="en-US" w:eastAsia="zh-CN"/>
        </w:rPr>
        <w:t>一、完成</w:t>
      </w:r>
      <w:r>
        <w:rPr>
          <w:rFonts w:hint="eastAsia" w:ascii="仿宋_GB2312" w:hAnsi="仿宋_GB2312" w:eastAsia="仿宋_GB2312" w:cs="仿宋_GB2312"/>
          <w:b w:val="0"/>
          <w:bCs/>
          <w:kern w:val="2"/>
          <w:sz w:val="32"/>
          <w:szCs w:val="32"/>
          <w:lang w:val="en-US" w:eastAsia="zh-CN" w:bidi="ar-SA"/>
        </w:rPr>
        <w:t>对</w:t>
      </w:r>
      <w:r>
        <w:rPr>
          <w:rFonts w:hint="eastAsia" w:ascii="仿宋_GB2312" w:hAnsi="仿宋_GB2312" w:eastAsia="仿宋_GB2312" w:cs="仿宋_GB2312"/>
          <w:b w:val="0"/>
          <w:bCs w:val="0"/>
          <w:kern w:val="2"/>
          <w:sz w:val="32"/>
          <w:szCs w:val="32"/>
          <w:lang w:val="en-US" w:eastAsia="zh-CN" w:bidi="ar-SA"/>
        </w:rPr>
        <w:t>辖区内的经办机构、定点医院和药店的现场监督检查工作。</w:t>
      </w:r>
      <w:r>
        <w:rPr>
          <w:rFonts w:hint="eastAsia" w:ascii="仿宋_GB2312" w:hAnsi="仿宋_GB2312" w:eastAsia="仿宋_GB2312" w:cs="仿宋_GB2312"/>
          <w:b w:val="0"/>
          <w:bCs w:val="0"/>
          <w:kern w:val="2"/>
          <w:sz w:val="32"/>
          <w:szCs w:val="32"/>
          <w:highlight w:val="none"/>
          <w:lang w:val="en-US" w:eastAsia="zh-CN" w:bidi="ar-SA"/>
        </w:rPr>
        <w:t>二、对都江堰市等异地定点医院的医疗服务的核查和服务协议签订工作，控制不合理费用增长，严厉打击挂床、诱导住院、虚记、过度医疗等欺诈骗保行为，提高医保基金使用效益。三、对辖区内申请定点的医疗机构、零售药店的现场评估工作。</w:t>
      </w:r>
      <w:r>
        <w:rPr>
          <w:rFonts w:hint="eastAsia" w:ascii="仿宋_GB2312" w:hAnsi="仿宋_GB2312" w:eastAsia="仿宋_GB2312" w:cs="仿宋_GB2312"/>
          <w:b w:val="0"/>
          <w:bCs w:val="0"/>
          <w:kern w:val="2"/>
          <w:sz w:val="32"/>
          <w:szCs w:val="32"/>
          <w:lang w:val="en-US" w:eastAsia="zh-CN" w:bidi="ar-SA"/>
        </w:rPr>
        <w:t>四、对监管业务的培训提升队伍监管能力。</w:t>
      </w:r>
      <w:r>
        <w:rPr>
          <w:rFonts w:hint="eastAsia" w:ascii="仿宋_GB2312" w:hAnsi="仿宋_GB2312" w:eastAsia="仿宋_GB2312" w:cs="仿宋_GB2312"/>
          <w:b/>
          <w:bCs/>
          <w:color w:val="000000"/>
          <w:sz w:val="32"/>
          <w:szCs w:val="32"/>
          <w:highlight w:val="none"/>
          <w:lang w:val="en-US" w:eastAsia="zh-CN"/>
        </w:rPr>
        <w:t>二是</w:t>
      </w:r>
      <w:r>
        <w:rPr>
          <w:rFonts w:hint="eastAsia" w:ascii="仿宋_GB2312" w:hAnsi="仿宋_GB2312" w:eastAsia="仿宋_GB2312" w:cs="仿宋_GB2312"/>
          <w:color w:val="000000"/>
          <w:sz w:val="32"/>
          <w:szCs w:val="32"/>
          <w:highlight w:val="none"/>
          <w:lang w:val="en-US" w:eastAsia="zh-CN"/>
        </w:rPr>
        <w:t>审计稽核工作经费预算15万元，支出8.99万元，完成预算59.93%。通过</w:t>
      </w:r>
      <w:r>
        <w:rPr>
          <w:rFonts w:hint="eastAsia" w:ascii="仿宋_GB2312" w:hAnsi="仿宋_GB2312" w:eastAsia="仿宋_GB2312" w:cs="仿宋_GB2312"/>
          <w:sz w:val="32"/>
          <w:szCs w:val="32"/>
          <w:lang w:val="zh-CN"/>
        </w:rPr>
        <w:t>聘请第三方会计师事务所对州本级</w:t>
      </w:r>
      <w:r>
        <w:rPr>
          <w:rFonts w:hint="eastAsia" w:ascii="仿宋_GB2312" w:hAnsi="仿宋_GB2312" w:eastAsia="仿宋_GB2312" w:cs="仿宋_GB2312"/>
          <w:sz w:val="32"/>
          <w:szCs w:val="32"/>
          <w:lang w:val="en-US" w:eastAsia="zh-CN"/>
        </w:rPr>
        <w:t>20家参保单位实施实地稽核工作，结合历年来审计和稽核工作开展情况，</w:t>
      </w:r>
      <w:r>
        <w:rPr>
          <w:rFonts w:hint="eastAsia" w:ascii="仿宋_GB2312" w:hAnsi="仿宋_GB2312" w:eastAsia="仿宋_GB2312" w:cs="仿宋_GB2312"/>
          <w:color w:val="auto"/>
          <w:sz w:val="32"/>
          <w:szCs w:val="32"/>
        </w:rPr>
        <w:t>取得了良好的监督效果，堵塞漏洞，防患未然，确保了医疗保险基金的安全。</w:t>
      </w:r>
      <w:r>
        <w:rPr>
          <w:rFonts w:hint="eastAsia" w:ascii="仿宋_GB2312" w:hAnsi="仿宋_GB2312" w:eastAsia="仿宋_GB2312" w:cs="仿宋_GB2312"/>
          <w:b/>
          <w:bCs/>
          <w:color w:val="000000"/>
          <w:sz w:val="32"/>
          <w:szCs w:val="32"/>
          <w:highlight w:val="none"/>
          <w:lang w:val="en-US" w:eastAsia="zh-CN"/>
        </w:rPr>
        <w:t>三是</w:t>
      </w:r>
      <w:r>
        <w:rPr>
          <w:rFonts w:hint="eastAsia" w:ascii="仿宋_GB2312" w:hAnsi="仿宋_GB2312" w:eastAsia="仿宋_GB2312" w:cs="仿宋_GB2312"/>
          <w:color w:val="000000"/>
          <w:sz w:val="32"/>
          <w:szCs w:val="32"/>
          <w:highlight w:val="none"/>
          <w:lang w:val="en-US" w:eastAsia="zh-CN"/>
        </w:rPr>
        <w:t>聘请法律顾问工作经费预算4万元，支出2万元，完成预算50%，主要原因：</w:t>
      </w:r>
      <w:r>
        <w:rPr>
          <w:rFonts w:hint="eastAsia" w:ascii="仿宋_GB2312" w:hAnsi="仿宋_GB2312" w:eastAsia="仿宋_GB2312" w:cs="仿宋_GB2312"/>
          <w:b w:val="0"/>
          <w:bCs w:val="0"/>
          <w:kern w:val="2"/>
          <w:sz w:val="32"/>
          <w:szCs w:val="32"/>
          <w:lang w:val="en-US" w:eastAsia="zh-CN" w:bidi="ar-SA"/>
        </w:rPr>
        <w:t>经与律师事务所商谈节约资金2万元，并且根据实际使用情况调整该项目2022年预算，2022年</w:t>
      </w:r>
      <w:r>
        <w:rPr>
          <w:rFonts w:hint="eastAsia" w:ascii="仿宋_GB2312" w:hAnsi="仿宋_GB2312" w:eastAsia="仿宋_GB2312" w:cs="仿宋_GB2312"/>
          <w:color w:val="000000"/>
          <w:sz w:val="32"/>
          <w:szCs w:val="32"/>
          <w:highlight w:val="none"/>
          <w:lang w:val="en-US" w:eastAsia="zh-CN"/>
        </w:rPr>
        <w:t>法律顾问工作经费</w:t>
      </w:r>
      <w:r>
        <w:rPr>
          <w:rFonts w:hint="eastAsia" w:ascii="仿宋_GB2312" w:hAnsi="仿宋_GB2312" w:eastAsia="仿宋_GB2312" w:cs="仿宋_GB2312"/>
          <w:b w:val="0"/>
          <w:bCs w:val="0"/>
          <w:kern w:val="2"/>
          <w:sz w:val="32"/>
          <w:szCs w:val="32"/>
          <w:lang w:val="en-US" w:eastAsia="zh-CN" w:bidi="ar-SA"/>
        </w:rPr>
        <w:t>2万元。该项目实施提高了我局依法行政能力，促进了规范公正文明执法，维护了公民、法人和其他组织的合法权益</w:t>
      </w:r>
      <w:r>
        <w:rPr>
          <w:rFonts w:hint="eastAsia" w:ascii="仿宋_GB2312" w:hAnsi="仿宋_GB2312" w:eastAsia="仿宋_GB2312" w:cs="仿宋_GB2312"/>
          <w:color w:val="000000"/>
          <w:kern w:val="2"/>
          <w:sz w:val="32"/>
          <w:szCs w:val="32"/>
          <w:highlight w:val="none"/>
          <w:lang w:val="en-US" w:eastAsia="zh-CN" w:bidi="ar-SA"/>
        </w:rPr>
        <w:t>。</w:t>
      </w:r>
      <w:r>
        <w:rPr>
          <w:rFonts w:hint="eastAsia" w:ascii="仿宋_GB2312" w:hAnsi="仿宋_GB2312" w:eastAsia="仿宋_GB2312" w:cs="仿宋_GB2312"/>
          <w:b/>
          <w:bCs/>
          <w:color w:val="000000"/>
          <w:sz w:val="32"/>
          <w:szCs w:val="32"/>
          <w:highlight w:val="none"/>
          <w:lang w:val="en-US" w:eastAsia="zh-CN"/>
        </w:rPr>
        <w:t>四是</w:t>
      </w:r>
      <w:r>
        <w:rPr>
          <w:rFonts w:hint="eastAsia" w:ascii="仿宋_GB2312" w:hAnsi="仿宋_GB2312" w:eastAsia="仿宋_GB2312" w:cs="仿宋_GB2312"/>
          <w:color w:val="000000"/>
          <w:sz w:val="32"/>
          <w:szCs w:val="32"/>
          <w:highlight w:val="none"/>
          <w:lang w:val="en-US" w:eastAsia="zh-CN"/>
        </w:rPr>
        <w:t>医保政策调研工作经费预算10万元，支出7.85万元，完成预算78.5%；通过实施该项目不断完善我州医疗保障政策体系，提升参保全州幸福感、获得感。</w:t>
      </w:r>
      <w:r>
        <w:rPr>
          <w:rFonts w:hint="eastAsia" w:ascii="仿宋_GB2312" w:hAnsi="仿宋_GB2312" w:eastAsia="仿宋_GB2312" w:cs="仿宋_GB2312"/>
          <w:b/>
          <w:bCs/>
          <w:color w:val="000000"/>
          <w:sz w:val="32"/>
          <w:szCs w:val="32"/>
          <w:highlight w:val="none"/>
          <w:lang w:val="en-US" w:eastAsia="zh-CN"/>
        </w:rPr>
        <w:t>五是</w:t>
      </w:r>
      <w:r>
        <w:rPr>
          <w:rFonts w:hint="eastAsia" w:ascii="仿宋_GB2312" w:hAnsi="仿宋_GB2312" w:eastAsia="仿宋_GB2312" w:cs="仿宋_GB2312"/>
          <w:color w:val="000000"/>
          <w:sz w:val="32"/>
          <w:szCs w:val="32"/>
          <w:highlight w:val="none"/>
          <w:lang w:val="en-US" w:eastAsia="zh-CN"/>
        </w:rPr>
        <w:t>医疗救助运行分析及医保基金预决算培训费预算10万元，支出8.21万元，完成预算82.1%。医疗救助运行分析经费：2021年成立</w:t>
      </w:r>
      <w:r>
        <w:rPr>
          <w:rFonts w:hint="eastAsia" w:ascii="仿宋_GB2312" w:hAnsi="仿宋_GB2312" w:eastAsia="仿宋_GB2312" w:cs="仿宋_GB2312"/>
          <w:sz w:val="32"/>
          <w:szCs w:val="32"/>
          <w:highlight w:val="none"/>
          <w:lang w:val="en-US" w:eastAsia="zh-CN"/>
        </w:rPr>
        <w:t>工作专班，通过</w:t>
      </w:r>
      <w:r>
        <w:rPr>
          <w:rFonts w:hint="eastAsia" w:ascii="仿宋_GB2312" w:hAnsi="仿宋_GB2312" w:eastAsia="仿宋_GB2312" w:cs="仿宋_GB2312"/>
          <w:b w:val="0"/>
          <w:bCs/>
          <w:sz w:val="32"/>
          <w:szCs w:val="32"/>
          <w:highlight w:val="none"/>
          <w:lang w:eastAsia="zh-CN" w:bidi="ar-SA"/>
        </w:rPr>
        <w:t>利用大量政策理论知识和</w:t>
      </w:r>
      <w:r>
        <w:rPr>
          <w:rFonts w:hint="eastAsia" w:ascii="仿宋_GB2312" w:hAnsi="仿宋_GB2312" w:eastAsia="仿宋_GB2312" w:cs="仿宋_GB2312"/>
          <w:sz w:val="32"/>
          <w:szCs w:val="32"/>
          <w:highlight w:val="none"/>
          <w:lang w:eastAsia="zh-CN" w:bidi="ar-SA"/>
        </w:rPr>
        <w:t>大数据处理技术，</w:t>
      </w:r>
      <w:r>
        <w:rPr>
          <w:rFonts w:hint="eastAsia" w:ascii="仿宋_GB2312" w:hAnsi="仿宋_GB2312" w:eastAsia="仿宋_GB2312" w:cs="仿宋_GB2312"/>
          <w:b w:val="0"/>
          <w:bCs/>
          <w:sz w:val="32"/>
          <w:szCs w:val="32"/>
          <w:highlight w:val="none"/>
          <w:lang w:val="en-US" w:eastAsia="zh-CN"/>
        </w:rPr>
        <w:t>对我州医疗救助政策和资金运行现状进行完整分析，</w:t>
      </w:r>
      <w:r>
        <w:rPr>
          <w:rFonts w:hint="eastAsia" w:ascii="仿宋_GB2312" w:hAnsi="仿宋_GB2312" w:eastAsia="仿宋_GB2312" w:cs="仿宋_GB2312"/>
          <w:sz w:val="32"/>
          <w:szCs w:val="32"/>
          <w:highlight w:val="none"/>
          <w:lang w:eastAsia="zh-CN" w:bidi="ar-SA"/>
        </w:rPr>
        <w:t>完成医疗救助政策调整。</w:t>
      </w:r>
      <w:r>
        <w:rPr>
          <w:rFonts w:hint="eastAsia" w:ascii="仿宋_GB2312" w:hAnsi="仿宋_GB2312" w:eastAsia="仿宋_GB2312" w:cs="仿宋_GB2312"/>
          <w:color w:val="000000"/>
          <w:sz w:val="32"/>
          <w:szCs w:val="32"/>
          <w:highlight w:val="none"/>
          <w:lang w:val="en-US" w:eastAsia="zh-CN"/>
        </w:rPr>
        <w:t>基金预决算培训费</w:t>
      </w:r>
      <w:r>
        <w:rPr>
          <w:rFonts w:hint="eastAsia" w:ascii="仿宋_GB2312" w:hAnsi="仿宋_GB2312" w:eastAsia="仿宋_GB2312" w:cs="仿宋_GB2312"/>
          <w:sz w:val="32"/>
          <w:szCs w:val="32"/>
          <w:highlight w:val="none"/>
        </w:rPr>
        <w:t>项目的实施可进一步提高基金预决算报表质量，保证基金报表的数据准确性，为基金的安全可持续运行提供数据支撑</w:t>
      </w:r>
      <w:r>
        <w:rPr>
          <w:rFonts w:hint="eastAsia" w:ascii="仿宋_GB2312" w:hAnsi="仿宋_GB2312" w:eastAsia="仿宋_GB2312" w:cs="仿宋_GB2312"/>
          <w:sz w:val="32"/>
          <w:szCs w:val="32"/>
        </w:rPr>
        <w:t>。</w:t>
      </w:r>
      <w:r>
        <w:rPr>
          <w:rFonts w:hint="eastAsia" w:ascii="仿宋_GB2312" w:hAnsi="仿宋_GB2312" w:eastAsia="仿宋_GB2312" w:cs="仿宋_GB2312"/>
          <w:b/>
          <w:bCs/>
          <w:color w:val="000000"/>
          <w:sz w:val="32"/>
          <w:szCs w:val="32"/>
          <w:highlight w:val="none"/>
          <w:lang w:val="en-US" w:eastAsia="zh-CN"/>
        </w:rPr>
        <w:t>六是</w:t>
      </w:r>
      <w:r>
        <w:rPr>
          <w:rFonts w:hint="eastAsia" w:ascii="仿宋_GB2312" w:hAnsi="仿宋_GB2312" w:eastAsia="仿宋_GB2312" w:cs="仿宋_GB2312"/>
          <w:color w:val="000000"/>
          <w:sz w:val="32"/>
          <w:szCs w:val="32"/>
          <w:highlight w:val="none"/>
          <w:lang w:val="en-US" w:eastAsia="zh-CN"/>
        </w:rPr>
        <w:t>医保政策宣传经费预算20万元，支出19.96万元，完成预算99.8%；通过实施该项目不断提升参保群众对医疗保障政策知晓率。</w:t>
      </w:r>
      <w:r>
        <w:rPr>
          <w:rFonts w:hint="eastAsia" w:ascii="仿宋_GB2312" w:hAnsi="仿宋_GB2312" w:eastAsia="仿宋_GB2312" w:cs="仿宋_GB2312"/>
          <w:b/>
          <w:bCs/>
          <w:color w:val="000000"/>
          <w:sz w:val="32"/>
          <w:szCs w:val="32"/>
          <w:highlight w:val="none"/>
          <w:lang w:val="en-US" w:eastAsia="zh-CN"/>
        </w:rPr>
        <w:t>七是</w:t>
      </w:r>
      <w:r>
        <w:rPr>
          <w:rFonts w:hint="eastAsia" w:ascii="仿宋_GB2312" w:hAnsi="仿宋_GB2312" w:eastAsia="仿宋_GB2312" w:cs="仿宋_GB2312"/>
          <w:color w:val="000000"/>
          <w:sz w:val="32"/>
          <w:szCs w:val="32"/>
          <w:highlight w:val="none"/>
          <w:lang w:val="en-US" w:eastAsia="zh-CN"/>
        </w:rPr>
        <w:t>聘请第三方编制“十四五”规划预算15万元，支出14.98万元，完成预算99.86%；该项目科学研判，科学规划，部署健全医保制度体系，更好满足群众就医用药需求，深入推进医保制度改革，尽力而为、量力而行，坚持把保基本贯穿始终，逐步提高水平，做到基金可持续发展。</w:t>
      </w:r>
      <w:r>
        <w:rPr>
          <w:rFonts w:hint="eastAsia" w:ascii="仿宋_GB2312" w:hAnsi="仿宋_GB2312" w:eastAsia="仿宋_GB2312" w:cs="仿宋_GB2312"/>
          <w:b/>
          <w:bCs/>
          <w:color w:val="000000"/>
          <w:sz w:val="32"/>
          <w:szCs w:val="32"/>
          <w:highlight w:val="none"/>
          <w:lang w:val="en-US" w:eastAsia="zh-CN"/>
        </w:rPr>
        <w:t>八是</w:t>
      </w:r>
      <w:r>
        <w:rPr>
          <w:rFonts w:hint="eastAsia" w:ascii="仿宋_GB2312" w:hAnsi="仿宋_GB2312" w:eastAsia="仿宋_GB2312" w:cs="仿宋_GB2312"/>
          <w:color w:val="000000"/>
          <w:sz w:val="32"/>
          <w:szCs w:val="32"/>
          <w:highlight w:val="none"/>
          <w:lang w:val="en-US" w:eastAsia="zh-CN"/>
        </w:rPr>
        <w:t>医疗保障系统工作人员能力提升培训班预算20万元，支出20万元，完成年初预算100%。</w:t>
      </w:r>
      <w:r>
        <w:rPr>
          <w:rFonts w:hint="eastAsia" w:ascii="仿宋_GB2312" w:hAnsi="仿宋_GB2312" w:eastAsia="仿宋_GB2312" w:cs="仿宋_GB2312"/>
          <w:color w:val="000000"/>
          <w:sz w:val="32"/>
          <w:szCs w:val="32"/>
          <w:highlight w:val="none"/>
          <w:lang w:val="zh-CN" w:eastAsia="zh-CN"/>
        </w:rPr>
        <w:t>全州医保系统综合能力提升，更好保障医疗保障制度改革，不断提升医疗保障服务质量，切实提升社会满意度。</w:t>
      </w:r>
    </w:p>
    <w:p>
      <w:pPr>
        <w:pStyle w:val="2"/>
        <w:keepNext w:val="0"/>
        <w:keepLines w:val="0"/>
        <w:pageBreakBefore w:val="0"/>
        <w:widowControl w:val="0"/>
        <w:kinsoku/>
        <w:wordWrap/>
        <w:overflowPunct/>
        <w:topLinePunct w:val="0"/>
        <w:autoSpaceDE/>
        <w:autoSpaceDN/>
        <w:bidi w:val="0"/>
        <w:spacing w:before="0" w:beforeLines="0" w:line="560" w:lineRule="exact"/>
        <w:ind w:left="0" w:right="0"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bidi="ar-SA"/>
        </w:rPr>
        <w:t>信息网络建设：</w:t>
      </w:r>
      <w:r>
        <w:rPr>
          <w:rFonts w:hint="eastAsia" w:ascii="仿宋_GB2312" w:hAnsi="仿宋_GB2312" w:eastAsia="仿宋_GB2312" w:cs="仿宋_GB2312"/>
          <w:sz w:val="32"/>
          <w:szCs w:val="32"/>
          <w:lang w:val="en-US" w:eastAsia="zh-CN"/>
        </w:rPr>
        <w:t>本年支出125万元，完成年初预算数46.81%。</w:t>
      </w:r>
      <w:r>
        <w:rPr>
          <w:rFonts w:hint="eastAsia" w:ascii="仿宋_GB2312" w:hAnsi="仿宋_GB2312" w:eastAsia="仿宋_GB2312" w:cs="仿宋_GB2312"/>
          <w:sz w:val="32"/>
          <w:szCs w:val="32"/>
          <w:highlight w:val="none"/>
          <w:lang w:val="en-US" w:eastAsia="zh-CN"/>
        </w:rPr>
        <w:t>差异原因：</w:t>
      </w:r>
      <w:r>
        <w:rPr>
          <w:rFonts w:hint="eastAsia" w:ascii="仿宋_GB2312" w:hAnsi="仿宋_GB2312" w:eastAsia="仿宋_GB2312" w:cs="仿宋_GB2312"/>
          <w:color w:val="000000"/>
          <w:sz w:val="32"/>
          <w:szCs w:val="32"/>
          <w:lang w:val="en-US" w:eastAsia="zh-CN"/>
        </w:rPr>
        <w:t>我局采购领导小组多次与软件服务商协商，</w:t>
      </w:r>
      <w:r>
        <w:rPr>
          <w:rFonts w:hint="eastAsia" w:ascii="仿宋_GB2312" w:hAnsi="仿宋_GB2312" w:eastAsia="仿宋_GB2312" w:cs="仿宋_GB2312"/>
          <w:b w:val="0"/>
          <w:bCs w:val="0"/>
          <w:kern w:val="2"/>
          <w:sz w:val="32"/>
          <w:szCs w:val="32"/>
          <w:highlight w:val="none"/>
          <w:lang w:val="en-US" w:eastAsia="zh-CN" w:bidi="ar-SA"/>
        </w:rPr>
        <w:t>确定最终支付价格，</w:t>
      </w:r>
      <w:r>
        <w:rPr>
          <w:rFonts w:hint="eastAsia" w:ascii="仿宋_GB2312" w:hAnsi="仿宋_GB2312" w:eastAsia="仿宋_GB2312" w:cs="仿宋_GB2312"/>
          <w:color w:val="000000"/>
          <w:sz w:val="32"/>
          <w:szCs w:val="32"/>
          <w:lang w:val="en-US" w:eastAsia="zh-CN"/>
        </w:rPr>
        <w:t>部分项目由软件服务商免费服务，无需支付项目资金，如</w:t>
      </w:r>
      <w:r>
        <w:rPr>
          <w:rFonts w:hint="eastAsia" w:ascii="仿宋_GB2312" w:hAnsi="仿宋_GB2312" w:eastAsia="仿宋_GB2312" w:cs="仿宋_GB2312"/>
          <w:b w:val="0"/>
          <w:bCs w:val="0"/>
          <w:kern w:val="2"/>
          <w:sz w:val="32"/>
          <w:szCs w:val="32"/>
          <w:highlight w:val="none"/>
          <w:lang w:val="en-US" w:eastAsia="zh-CN" w:bidi="ar-SA"/>
        </w:rPr>
        <w:t>应对新冠肺炎业务系统改造项目、跨省门诊费用直接结算</w:t>
      </w:r>
      <w:r>
        <w:rPr>
          <w:rFonts w:hint="eastAsia" w:ascii="仿宋_GB2312" w:hAnsi="仿宋_GB2312" w:eastAsia="仿宋_GB2312" w:cs="仿宋_GB2312"/>
          <w:color w:val="000000"/>
          <w:sz w:val="32"/>
          <w:szCs w:val="32"/>
          <w:lang w:val="en-US" w:eastAsia="zh-CN"/>
        </w:rPr>
        <w:t>项目</w:t>
      </w:r>
      <w:r>
        <w:rPr>
          <w:rFonts w:hint="eastAsia" w:ascii="仿宋_GB2312" w:hAnsi="仿宋_GB2312" w:eastAsia="仿宋_GB2312" w:cs="仿宋_GB2312"/>
          <w:b w:val="0"/>
          <w:bCs w:val="0"/>
          <w:spacing w:val="6"/>
          <w:sz w:val="32"/>
          <w:szCs w:val="32"/>
          <w:highlight w:val="none"/>
          <w:lang w:val="en-US" w:eastAsia="zh-CN" w:bidi="ar-SA"/>
        </w:rPr>
        <w:t>、</w:t>
      </w:r>
      <w:r>
        <w:rPr>
          <w:rFonts w:hint="eastAsia" w:ascii="仿宋_GB2312" w:hAnsi="仿宋_GB2312" w:eastAsia="仿宋_GB2312" w:cs="仿宋_GB2312"/>
          <w:color w:val="000000"/>
          <w:sz w:val="32"/>
          <w:szCs w:val="32"/>
          <w:lang w:val="en-US" w:eastAsia="zh-CN"/>
        </w:rPr>
        <w:t>生育医保合并系统功能整改费、医疗保障数据清洗治理费。</w:t>
      </w: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金保工程系统适应性改造经费预算170万元，支出105万元，完成年初预算数61.76%；</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医税2.0整改预算27万元，支出20万元，完成年初预算数74.07%</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三是</w:t>
      </w:r>
      <w:r>
        <w:rPr>
          <w:rFonts w:hint="eastAsia" w:ascii="仿宋_GB2312" w:hAnsi="仿宋_GB2312" w:eastAsia="仿宋_GB2312" w:cs="仿宋_GB2312"/>
          <w:color w:val="000000"/>
          <w:sz w:val="32"/>
          <w:szCs w:val="32"/>
          <w:lang w:val="en-US" w:eastAsia="zh-CN"/>
        </w:rPr>
        <w:t>生育医保合并系统功能整改费22万元，支出0元；</w:t>
      </w:r>
      <w:r>
        <w:rPr>
          <w:rFonts w:hint="eastAsia" w:ascii="仿宋_GB2312" w:hAnsi="仿宋_GB2312" w:eastAsia="仿宋_GB2312" w:cs="仿宋_GB2312"/>
          <w:b/>
          <w:bCs/>
          <w:color w:val="000000"/>
          <w:sz w:val="32"/>
          <w:szCs w:val="32"/>
          <w:lang w:val="en-US" w:eastAsia="zh-CN"/>
        </w:rPr>
        <w:t>四是</w:t>
      </w:r>
      <w:r>
        <w:rPr>
          <w:rFonts w:hint="eastAsia" w:ascii="仿宋_GB2312" w:hAnsi="仿宋_GB2312" w:eastAsia="仿宋_GB2312" w:cs="仿宋_GB2312"/>
          <w:color w:val="000000"/>
          <w:sz w:val="32"/>
          <w:szCs w:val="32"/>
          <w:lang w:val="en-US" w:eastAsia="zh-CN"/>
        </w:rPr>
        <w:t>医疗保障数据清洗治理费48万元，支出0元；</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医疗保障终端杀毒软件，属于财政用返还额度，预算38万元，支出35.27万元，完成年初预算92.82%。</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en-US" w:eastAsia="zh-CN" w:bidi="ar-SA"/>
        </w:rPr>
        <w:t>医保基金财务软件维护费：</w:t>
      </w:r>
      <w:r>
        <w:rPr>
          <w:rFonts w:hint="eastAsia" w:ascii="仿宋_GB2312" w:hAnsi="仿宋_GB2312" w:eastAsia="仿宋_GB2312" w:cs="仿宋_GB2312"/>
          <w:color w:val="000000"/>
          <w:kern w:val="0"/>
          <w:sz w:val="32"/>
          <w:szCs w:val="32"/>
          <w:shd w:val="clear" w:color="auto" w:fill="FFFFFF"/>
          <w:lang w:val="en-US" w:eastAsia="zh-CN" w:bidi="ar-SA"/>
        </w:rPr>
        <w:t>本年预算1.5万元，支出0万元。主要原因：</w:t>
      </w:r>
      <w:r>
        <w:rPr>
          <w:rFonts w:hint="eastAsia" w:ascii="仿宋_GB2312" w:hAnsi="仿宋_GB2312" w:eastAsia="仿宋_GB2312" w:cs="仿宋_GB2312"/>
          <w:sz w:val="32"/>
          <w:szCs w:val="32"/>
          <w:lang w:val="en-US" w:eastAsia="zh-CN"/>
        </w:rPr>
        <w:t>2021年根据省局统一部署安排，我州于2021年11月省医疗保障信息平台财务业务一体化子系统上线，并于2022年1月起正式启用账务核算相关功能，不再使用原用友财务U8系统，故无需支付2022年原基金财务软件维护费。</w:t>
      </w:r>
    </w:p>
    <w:p>
      <w:pPr>
        <w:pStyle w:val="7"/>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rPr>
        <w:t>其他医疗保障经办事务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上年末结转2020年中央医疗服务和保障能力提升资金38.64万元，支出29.89万元，完成预算77.35%，剩余8.75万元结转至2022年使用，截至2022年7月，该项结转资金已使用完毕；</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本年新增2021年中央医疗服务与保障能力提升资金29万元，支出29万元，完成预算100%；</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本年新增2021年人社公共服务建设资金15万元，支出12.58万元，完成预算83.86%，剩余2.42万元因工作需要结转至2022年使用；</w:t>
      </w:r>
      <w:r>
        <w:rPr>
          <w:rFonts w:hint="eastAsia" w:ascii="仿宋_GB2312" w:hAnsi="仿宋_GB2312" w:eastAsia="仿宋_GB2312" w:cs="仿宋_GB2312"/>
          <w:b/>
          <w:bCs/>
          <w:sz w:val="32"/>
          <w:szCs w:val="32"/>
          <w:highlight w:val="none"/>
          <w:lang w:val="en-US" w:eastAsia="zh-CN"/>
        </w:rPr>
        <w:t>四是</w:t>
      </w:r>
      <w:r>
        <w:rPr>
          <w:rFonts w:hint="eastAsia" w:ascii="仿宋_GB2312" w:hAnsi="仿宋_GB2312" w:eastAsia="仿宋_GB2312" w:cs="仿宋_GB2312"/>
          <w:sz w:val="32"/>
          <w:szCs w:val="32"/>
          <w:highlight w:val="none"/>
          <w:lang w:val="en-US" w:eastAsia="zh-CN"/>
        </w:rPr>
        <w:t>本年新增非集采专家劳务费13.8万元，支出5.18万元，完成预算37.53%，该项目为2021年新增项目，经州人民政府批准后，资金于9月下达。</w:t>
      </w:r>
      <w:r>
        <w:rPr>
          <w:rFonts w:hint="eastAsia" w:ascii="仿宋_GB2312" w:hAnsi="仿宋_GB2312" w:eastAsia="仿宋_GB2312" w:cs="仿宋_GB2312"/>
          <w:color w:val="000000"/>
          <w:kern w:val="0"/>
          <w:sz w:val="32"/>
          <w:szCs w:val="32"/>
          <w:highlight w:val="none"/>
          <w:lang w:val="en-US" w:eastAsia="zh-CN"/>
        </w:rPr>
        <w:t>我州探索性开展“三议三保”非集采药械议价工作，首批议定成功</w:t>
      </w:r>
      <w:r>
        <w:rPr>
          <w:rFonts w:hint="eastAsia" w:ascii="仿宋_GB2312" w:hAnsi="仿宋_GB2312" w:eastAsia="仿宋_GB2312" w:cs="仿宋_GB2312"/>
          <w:color w:val="000000"/>
          <w:kern w:val="0"/>
          <w:sz w:val="32"/>
          <w:szCs w:val="32"/>
          <w:highlight w:val="none"/>
          <w:lang w:eastAsia="zh-CN"/>
        </w:rPr>
        <w:t>82个药品，</w:t>
      </w:r>
      <w:r>
        <w:rPr>
          <w:rFonts w:hint="eastAsia" w:ascii="仿宋_GB2312" w:hAnsi="仿宋_GB2312" w:eastAsia="仿宋_GB2312" w:cs="仿宋_GB2312"/>
          <w:color w:val="000000"/>
          <w:kern w:val="0"/>
          <w:sz w:val="32"/>
          <w:szCs w:val="32"/>
          <w:highlight w:val="none"/>
        </w:rPr>
        <w:t>平均降幅20%,最高降幅达到89.7%</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年采购资金从290</w:t>
      </w:r>
      <w:r>
        <w:rPr>
          <w:rFonts w:hint="eastAsia" w:ascii="仿宋_GB2312" w:hAnsi="仿宋_GB2312" w:eastAsia="仿宋_GB2312" w:cs="仿宋_GB2312"/>
          <w:color w:val="000000"/>
          <w:kern w:val="0"/>
          <w:sz w:val="32"/>
          <w:szCs w:val="32"/>
          <w:highlight w:val="none"/>
          <w:lang w:val="en-US" w:eastAsia="zh-CN"/>
        </w:rPr>
        <w:t>5</w:t>
      </w:r>
      <w:r>
        <w:rPr>
          <w:rFonts w:hint="eastAsia" w:ascii="仿宋_GB2312" w:hAnsi="仿宋_GB2312" w:eastAsia="仿宋_GB2312" w:cs="仿宋_GB2312"/>
          <w:color w:val="000000"/>
          <w:kern w:val="0"/>
          <w:sz w:val="32"/>
          <w:szCs w:val="32"/>
          <w:highlight w:val="none"/>
        </w:rPr>
        <w:t>万元降至2337万元，为全州患者减负568万元</w:t>
      </w:r>
      <w:r>
        <w:rPr>
          <w:rFonts w:hint="eastAsia" w:ascii="仿宋_GB2312" w:hAnsi="仿宋_GB2312" w:eastAsia="仿宋_GB2312" w:cs="仿宋_GB2312"/>
          <w:color w:val="000000"/>
          <w:kern w:val="0"/>
          <w:sz w:val="32"/>
          <w:szCs w:val="32"/>
          <w:highlight w:val="none"/>
          <w:lang w:eastAsia="zh-CN"/>
        </w:rPr>
        <w:t>，进一步减轻</w:t>
      </w:r>
      <w:r>
        <w:rPr>
          <w:rFonts w:hint="eastAsia" w:ascii="仿宋_GB2312" w:hAnsi="仿宋_GB2312" w:eastAsia="仿宋_GB2312" w:cs="仿宋_GB2312"/>
          <w:color w:val="000000"/>
          <w:kern w:val="0"/>
          <w:sz w:val="32"/>
          <w:szCs w:val="32"/>
          <w:highlight w:val="none"/>
        </w:rPr>
        <w:t>我州患病群众“看病贵”、</w:t>
      </w:r>
      <w:r>
        <w:rPr>
          <w:rFonts w:hint="eastAsia" w:ascii="仿宋_GB2312" w:hAnsi="仿宋_GB2312" w:eastAsia="仿宋_GB2312" w:cs="仿宋_GB2312"/>
          <w:color w:val="000000"/>
          <w:kern w:val="0"/>
          <w:sz w:val="32"/>
          <w:szCs w:val="32"/>
          <w:highlight w:val="none"/>
          <w:lang w:eastAsia="zh-CN"/>
        </w:rPr>
        <w:t>缓解</w:t>
      </w:r>
      <w:r>
        <w:rPr>
          <w:rFonts w:hint="eastAsia" w:ascii="仿宋_GB2312" w:hAnsi="仿宋_GB2312" w:eastAsia="仿宋_GB2312" w:cs="仿宋_GB2312"/>
          <w:color w:val="000000"/>
          <w:kern w:val="0"/>
          <w:sz w:val="32"/>
          <w:szCs w:val="32"/>
          <w:highlight w:val="none"/>
        </w:rPr>
        <w:t>药械采购“配送难”等问题</w:t>
      </w:r>
      <w:r>
        <w:rPr>
          <w:rFonts w:hint="eastAsia" w:ascii="仿宋_GB2312" w:hAnsi="仿宋_GB2312" w:eastAsia="仿宋_GB2312" w:cs="仿宋_GB2312"/>
          <w:color w:val="000000"/>
          <w:kern w:val="0"/>
          <w:sz w:val="32"/>
          <w:szCs w:val="32"/>
          <w:highlight w:val="none"/>
          <w:lang w:val="en-US" w:eastAsia="zh-CN"/>
        </w:rPr>
        <w:t>。</w:t>
      </w:r>
    </w:p>
    <w:p>
      <w:pPr>
        <w:pStyle w:val="7"/>
        <w:keepNext w:val="0"/>
        <w:keepLines w:val="0"/>
        <w:pageBreakBefore w:val="0"/>
        <w:widowControl w:val="0"/>
        <w:numPr>
          <w:ilvl w:val="0"/>
          <w:numId w:val="4"/>
        </w:numPr>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b/>
          <w:bCs/>
          <w:color w:val="000000"/>
          <w:kern w:val="0"/>
          <w:sz w:val="32"/>
          <w:szCs w:val="32"/>
          <w:shd w:val="clear" w:color="auto" w:fill="FFFFFF"/>
          <w:lang w:val="zh-CN" w:eastAsia="zh-CN" w:bidi="ar-SA"/>
        </w:rPr>
        <w:t>预算编制准确。</w:t>
      </w:r>
      <w:r>
        <w:rPr>
          <w:rFonts w:hint="eastAsia" w:ascii="仿宋_GB2312" w:hAnsi="仿宋_GB2312" w:eastAsia="仿宋_GB2312" w:cs="仿宋_GB2312"/>
          <w:color w:val="000000"/>
          <w:kern w:val="0"/>
          <w:sz w:val="32"/>
          <w:szCs w:val="32"/>
          <w:shd w:val="clear" w:color="auto" w:fill="FFFFFF"/>
          <w:lang w:val="en-US" w:eastAsia="zh-CN" w:bidi="ar-SA"/>
        </w:rPr>
        <w:t>2021年</w:t>
      </w:r>
      <w:r>
        <w:rPr>
          <w:rFonts w:hint="eastAsia" w:ascii="仿宋_GB2312" w:hAnsi="仿宋_GB2312" w:eastAsia="仿宋_GB2312" w:cs="仿宋_GB2312"/>
          <w:color w:val="000000"/>
          <w:kern w:val="0"/>
          <w:sz w:val="32"/>
          <w:szCs w:val="32"/>
          <w:shd w:val="clear" w:color="auto" w:fill="FFFFFF"/>
          <w:lang w:val="zh-CN" w:eastAsia="zh-CN" w:bidi="ar-SA"/>
        </w:rPr>
        <w:t>部门年初预算编制科学、准确，</w:t>
      </w:r>
      <w:r>
        <w:rPr>
          <w:rFonts w:hint="eastAsia" w:ascii="仿宋_GB2312" w:hAnsi="仿宋_GB2312" w:eastAsia="仿宋_GB2312" w:cs="仿宋_GB2312"/>
          <w:color w:val="000000"/>
          <w:kern w:val="0"/>
          <w:sz w:val="32"/>
          <w:szCs w:val="32"/>
          <w:shd w:val="clear" w:color="auto" w:fill="FFFFFF"/>
          <w:lang w:val="en-US" w:eastAsia="zh-CN" w:bidi="ar-SA"/>
        </w:rPr>
        <w:t>项目支出预算编制与本部门2021年主要工作任务相适应</w:t>
      </w:r>
      <w:r>
        <w:rPr>
          <w:rFonts w:hint="eastAsia" w:ascii="仿宋_GB2312" w:hAnsi="仿宋_GB2312" w:eastAsia="仿宋_GB2312" w:cs="仿宋_GB2312"/>
          <w:color w:val="000000"/>
          <w:kern w:val="0"/>
          <w:sz w:val="32"/>
          <w:szCs w:val="32"/>
          <w:shd w:val="clear" w:color="auto" w:fill="FFFFFF"/>
          <w:lang w:val="zh-CN" w:eastAsia="zh-CN" w:bidi="ar-SA"/>
        </w:rPr>
        <w:t>。</w:t>
      </w:r>
    </w:p>
    <w:p>
      <w:pPr>
        <w:pStyle w:val="7"/>
        <w:keepNext w:val="0"/>
        <w:keepLines w:val="0"/>
        <w:pageBreakBefore w:val="0"/>
        <w:widowControl w:val="0"/>
        <w:kinsoku/>
        <w:wordWrap/>
        <w:overflowPunct/>
        <w:topLinePunct w:val="0"/>
        <w:autoSpaceDE/>
        <w:autoSpaceDN/>
        <w:bidi w:val="0"/>
        <w:spacing w:line="560" w:lineRule="exact"/>
        <w:ind w:left="0" w:leftChars="0" w:firstLine="642"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b/>
          <w:bCs/>
          <w:color w:val="000000"/>
          <w:kern w:val="0"/>
          <w:sz w:val="32"/>
          <w:szCs w:val="32"/>
          <w:shd w:val="clear" w:color="auto" w:fill="FFFFFF"/>
          <w:lang w:val="en-US" w:eastAsia="zh-CN" w:bidi="ar-SA"/>
        </w:rPr>
        <w:t>2.预算执行</w:t>
      </w:r>
      <w:r>
        <w:rPr>
          <w:rFonts w:hint="eastAsia" w:ascii="仿宋_GB2312" w:hAnsi="仿宋_GB2312" w:eastAsia="仿宋_GB2312" w:cs="仿宋_GB2312"/>
          <w:color w:val="000000"/>
          <w:kern w:val="0"/>
          <w:sz w:val="32"/>
          <w:szCs w:val="32"/>
          <w:shd w:val="clear" w:color="auto" w:fill="FFFFFF"/>
          <w:lang w:val="zh-CN" w:eastAsia="zh-CN" w:bidi="ar-SA"/>
        </w:rPr>
        <w:t xml:space="preserve">  </w:t>
      </w:r>
    </w:p>
    <w:p>
      <w:pPr>
        <w:pStyle w:val="7"/>
        <w:keepNext w:val="0"/>
        <w:keepLines w:val="0"/>
        <w:pageBreakBefore w:val="0"/>
        <w:widowControl w:val="0"/>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1</w:t>
      </w: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支出控制。</w:t>
      </w:r>
      <w:r>
        <w:rPr>
          <w:rFonts w:hint="eastAsia" w:ascii="仿宋_GB2312" w:hAnsi="仿宋_GB2312" w:eastAsia="仿宋_GB2312" w:cs="仿宋_GB2312"/>
          <w:sz w:val="32"/>
          <w:szCs w:val="32"/>
        </w:rPr>
        <w:t>预算支出严格按照预算科目执行，不同预算科目、预算级次或者项目间的预算资金调剂均按规定办理。</w:t>
      </w:r>
      <w:r>
        <w:rPr>
          <w:rFonts w:hint="eastAsia" w:ascii="仿宋_GB2312" w:hAnsi="仿宋_GB2312" w:eastAsia="仿宋_GB2312" w:cs="仿宋_GB2312"/>
          <w:color w:val="000000"/>
          <w:kern w:val="0"/>
          <w:sz w:val="32"/>
          <w:szCs w:val="32"/>
          <w:shd w:val="clear" w:color="auto" w:fill="FFFFFF"/>
          <w:lang w:val="en-US" w:eastAsia="zh-CN" w:bidi="ar-SA"/>
        </w:rPr>
        <w:t>2021年公用支出调整预算数125.39万元，决算数125.39万元。</w:t>
      </w:r>
    </w:p>
    <w:p>
      <w:pPr>
        <w:keepNext w:val="0"/>
        <w:keepLines w:val="0"/>
        <w:pageBreakBefore w:val="0"/>
        <w:widowControl/>
        <w:kinsoku/>
        <w:wordWrap/>
        <w:overflowPunct/>
        <w:topLinePunct w:val="0"/>
        <w:autoSpaceDE/>
        <w:autoSpaceDN/>
        <w:bidi w:val="0"/>
        <w:adjustRightInd w:val="0"/>
        <w:snapToGrid w:val="0"/>
        <w:spacing w:line="560" w:lineRule="exact"/>
        <w:ind w:left="0" w:firstLine="720"/>
        <w:jc w:val="both"/>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en-US" w:eastAsia="zh-CN" w:bidi="ar-SA"/>
        </w:rPr>
        <w:t>（2）动态调整。</w:t>
      </w:r>
      <w:r>
        <w:rPr>
          <w:rFonts w:hint="eastAsia" w:ascii="仿宋_GB2312" w:hAnsi="仿宋_GB2312" w:eastAsia="仿宋_GB2312" w:cs="仿宋_GB2312"/>
          <w:color w:val="000000"/>
          <w:kern w:val="0"/>
          <w:sz w:val="32"/>
          <w:szCs w:val="32"/>
          <w:shd w:val="clear" w:color="auto" w:fill="FFFFFF"/>
          <w:lang w:val="en-US" w:eastAsia="zh-CN"/>
        </w:rPr>
        <w:t>我单位</w:t>
      </w:r>
      <w:r>
        <w:rPr>
          <w:rFonts w:hint="eastAsia" w:ascii="仿宋_GB2312" w:hAnsi="仿宋_GB2312" w:eastAsia="仿宋_GB2312" w:cs="仿宋_GB2312"/>
          <w:color w:val="000000"/>
          <w:kern w:val="0"/>
          <w:sz w:val="32"/>
          <w:szCs w:val="32"/>
          <w:shd w:val="clear" w:color="auto" w:fill="FFFFFF"/>
          <w:lang w:val="zh-CN"/>
        </w:rPr>
        <w:t>资金拨付严格按照审批程序和手续，预决算信息及时进行公开，对预算实行动态管理，整体预算管理符合相关标准和要求。制度建设比较健全，各类专项资金均明确相应管理办法，确保资金使用符合规定。</w:t>
      </w:r>
    </w:p>
    <w:p>
      <w:pPr>
        <w:pStyle w:val="7"/>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3</w:t>
      </w: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执行进度。</w:t>
      </w:r>
      <w:r>
        <w:rPr>
          <w:rFonts w:hint="eastAsia" w:ascii="仿宋_GB2312" w:hAnsi="仿宋_GB2312" w:eastAsia="仿宋_GB2312" w:cs="仿宋_GB2312"/>
          <w:color w:val="000000"/>
          <w:kern w:val="0"/>
          <w:sz w:val="32"/>
          <w:szCs w:val="32"/>
          <w:shd w:val="clear" w:color="auto" w:fill="FFFFFF"/>
          <w:lang w:val="en-US" w:eastAsia="zh-CN" w:bidi="ar-SA"/>
        </w:rPr>
        <w:t>2021年6月实际支付进度36.5%；9月实际支付进度56%；11月实际支付进度72%。</w:t>
      </w:r>
      <w:r>
        <w:rPr>
          <w:rFonts w:hint="eastAsia" w:ascii="仿宋_GB2312" w:hAnsi="仿宋_GB2312" w:eastAsia="仿宋_GB2312" w:cs="仿宋_GB2312"/>
          <w:color w:val="000000"/>
          <w:kern w:val="0"/>
          <w:sz w:val="32"/>
          <w:szCs w:val="32"/>
          <w:shd w:val="clear" w:color="auto" w:fill="FFFFFF"/>
          <w:lang w:val="zh-CN" w:eastAsia="zh-CN" w:bidi="ar-SA"/>
        </w:rPr>
        <w:t xml:space="preserve">   </w:t>
      </w:r>
    </w:p>
    <w:p>
      <w:pPr>
        <w:pStyle w:val="7"/>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en-US" w:eastAsia="zh-CN" w:bidi="ar-SA"/>
        </w:rPr>
        <w:t>3.</w:t>
      </w:r>
      <w:r>
        <w:rPr>
          <w:rFonts w:hint="eastAsia" w:ascii="仿宋_GB2312" w:hAnsi="仿宋_GB2312" w:eastAsia="仿宋_GB2312" w:cs="仿宋_GB2312"/>
          <w:b/>
          <w:bCs/>
          <w:color w:val="000000"/>
          <w:kern w:val="0"/>
          <w:sz w:val="32"/>
          <w:szCs w:val="32"/>
          <w:shd w:val="clear" w:color="auto" w:fill="FFFFFF"/>
          <w:lang w:val="zh-CN" w:eastAsia="zh-CN" w:bidi="ar-SA"/>
        </w:rPr>
        <w:t>完成结果</w:t>
      </w:r>
      <w:r>
        <w:rPr>
          <w:rFonts w:hint="eastAsia" w:ascii="仿宋_GB2312" w:hAnsi="仿宋_GB2312" w:eastAsia="仿宋_GB2312" w:cs="仿宋_GB2312"/>
          <w:color w:val="000000"/>
          <w:kern w:val="0"/>
          <w:sz w:val="32"/>
          <w:szCs w:val="32"/>
          <w:shd w:val="clear" w:color="auto" w:fill="FFFFFF"/>
          <w:lang w:val="zh-CN" w:eastAsia="zh-CN" w:bidi="ar-SA"/>
        </w:rPr>
        <w:t xml:space="preserve">                             </w:t>
      </w:r>
      <w:r>
        <w:rPr>
          <w:rFonts w:hint="eastAsia" w:ascii="仿宋_GB2312" w:hAnsi="仿宋_GB2312" w:eastAsia="仿宋_GB2312" w:cs="仿宋_GB2312"/>
          <w:color w:val="000000"/>
          <w:kern w:val="0"/>
          <w:sz w:val="32"/>
          <w:szCs w:val="32"/>
          <w:shd w:val="clear" w:color="auto" w:fill="FFFFFF"/>
          <w:lang w:val="en-US" w:eastAsia="zh-CN" w:bidi="ar-SA"/>
        </w:rPr>
        <w:t xml:space="preserve">         </w:t>
      </w:r>
    </w:p>
    <w:p>
      <w:pPr>
        <w:pStyle w:val="7"/>
        <w:keepNext w:val="0"/>
        <w:keepLines w:val="0"/>
        <w:pageBreakBefore w:val="0"/>
        <w:widowControl w:val="0"/>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1</w:t>
      </w: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预算完成。</w:t>
      </w:r>
      <w:r>
        <w:rPr>
          <w:rFonts w:hint="eastAsia" w:ascii="仿宋_GB2312" w:hAnsi="仿宋_GB2312" w:eastAsia="仿宋_GB2312" w:cs="仿宋_GB2312"/>
          <w:color w:val="000000"/>
          <w:kern w:val="0"/>
          <w:sz w:val="32"/>
          <w:szCs w:val="32"/>
          <w:shd w:val="clear" w:color="auto" w:fill="FFFFFF"/>
          <w:lang w:val="en-US" w:eastAsia="zh-CN" w:bidi="ar-SA"/>
        </w:rPr>
        <w:t>2021年部门预算调整后支出数1103.68万元，决算数1103.68万元，完成调整后预算数100%。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w:t>
      </w:r>
      <w:r>
        <w:rPr>
          <w:rFonts w:hint="eastAsia" w:ascii="仿宋_GB2312" w:hAnsi="仿宋_GB2312" w:eastAsia="仿宋_GB2312" w:cs="仿宋_GB2312"/>
          <w:b/>
          <w:bCs/>
          <w:color w:val="000000"/>
          <w:kern w:val="0"/>
          <w:sz w:val="32"/>
          <w:szCs w:val="32"/>
          <w:shd w:val="clear" w:color="auto" w:fill="FFFFFF"/>
          <w:lang w:val="en-US" w:eastAsia="zh-CN" w:bidi="ar-SA"/>
        </w:rPr>
        <w:t>2）违规记录。</w:t>
      </w:r>
      <w:r>
        <w:rPr>
          <w:rFonts w:hint="eastAsia" w:ascii="仿宋_GB2312" w:hAnsi="仿宋_GB2312" w:eastAsia="仿宋_GB2312" w:cs="仿宋_GB2312"/>
          <w:b w:val="0"/>
          <w:bCs w:val="0"/>
          <w:sz w:val="32"/>
          <w:szCs w:val="32"/>
          <w:lang w:val="en-US" w:eastAsia="zh-CN"/>
        </w:rPr>
        <w:t>按照《阿坝州财政局关于对 2021年州级部门整体支出绩效评价发现问题的整改通知》（阿州财监绩〔2022〕2号 ）文件要求，经第三方会计师事务所审计，我局</w:t>
      </w:r>
      <w:r>
        <w:rPr>
          <w:rFonts w:hint="eastAsia" w:ascii="仿宋_GB2312" w:hAnsi="仿宋_GB2312" w:eastAsia="仿宋_GB2312" w:cs="仿宋_GB2312"/>
          <w:color w:val="000000"/>
          <w:kern w:val="0"/>
          <w:sz w:val="32"/>
          <w:szCs w:val="32"/>
          <w:shd w:val="clear" w:color="auto" w:fill="FFFFFF"/>
          <w:lang w:val="en-US" w:eastAsia="zh-CN" w:bidi="ar-SA"/>
        </w:rPr>
        <w:t>2021年部门整体绩效评价问题清单涉及三项问题，一、2020年12月第27号凭证，票据日期不符合逻辑；二、2020年8月第10号凭证，不合规发票；三、2020年12月第58号凭证，附件不齐。</w:t>
      </w:r>
      <w:r>
        <w:rPr>
          <w:rFonts w:hint="eastAsia" w:ascii="仿宋_GB2312" w:hAnsi="仿宋_GB2312" w:eastAsia="仿宋_GB2312" w:cs="仿宋_GB2312"/>
          <w:b w:val="0"/>
          <w:bCs w:val="0"/>
          <w:sz w:val="32"/>
          <w:szCs w:val="32"/>
          <w:lang w:val="en-US" w:eastAsia="zh-CN"/>
        </w:rPr>
        <w:t>我局及时并认真开展了2021年州级部门整体支出绩效评价发现问题的整改工作，并取得实效。</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lang w:val="en-US" w:eastAsia="zh-CN"/>
        </w:rPr>
        <w:t>1.</w:t>
      </w:r>
      <w:r>
        <w:rPr>
          <w:rFonts w:hint="eastAsia" w:ascii="仿宋_GB2312" w:hAnsi="仿宋_GB2312" w:eastAsia="仿宋_GB2312" w:cs="仿宋_GB2312"/>
          <w:b/>
          <w:bCs/>
          <w:color w:val="000000"/>
          <w:kern w:val="0"/>
          <w:sz w:val="32"/>
          <w:szCs w:val="32"/>
          <w:shd w:val="clear" w:color="auto" w:fill="FFFFFF"/>
          <w:lang w:val="zh-CN"/>
        </w:rPr>
        <w:t>绩效自评公开。</w:t>
      </w:r>
      <w:r>
        <w:rPr>
          <w:rFonts w:hint="eastAsia" w:ascii="仿宋_GB2312" w:hAnsi="仿宋_GB2312" w:eastAsia="仿宋_GB2312" w:cs="仿宋_GB2312"/>
          <w:color w:val="000000"/>
          <w:kern w:val="0"/>
          <w:sz w:val="32"/>
          <w:szCs w:val="32"/>
          <w:shd w:val="clear" w:color="auto" w:fill="FFFFFF"/>
          <w:lang w:val="en-US" w:eastAsia="zh-CN"/>
        </w:rPr>
        <w:t>按照相关要求，及时向社会公开本部门2021年预算以及2022年预算情况。</w:t>
      </w:r>
    </w:p>
    <w:p>
      <w:pPr>
        <w:pStyle w:val="7"/>
        <w:keepNext w:val="0"/>
        <w:keepLines w:val="0"/>
        <w:pageBreakBefore w:val="0"/>
        <w:widowControl w:val="0"/>
        <w:kinsoku/>
        <w:wordWrap/>
        <w:overflowPunct/>
        <w:topLinePunct w:val="0"/>
        <w:autoSpaceDE/>
        <w:autoSpaceDN/>
        <w:bidi w:val="0"/>
        <w:spacing w:line="560" w:lineRule="exact"/>
        <w:ind w:left="0" w:firstLine="642"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bidi="ar-SA"/>
        </w:rPr>
        <w:t>2.</w:t>
      </w:r>
      <w:r>
        <w:rPr>
          <w:rFonts w:hint="eastAsia" w:ascii="仿宋_GB2312" w:hAnsi="仿宋_GB2312" w:eastAsia="仿宋_GB2312" w:cs="仿宋_GB2312"/>
          <w:b/>
          <w:bCs/>
          <w:color w:val="000000"/>
          <w:kern w:val="0"/>
          <w:sz w:val="32"/>
          <w:szCs w:val="32"/>
          <w:shd w:val="clear" w:color="auto" w:fill="FFFFFF"/>
          <w:lang w:val="zh-CN" w:eastAsia="zh-CN" w:bidi="ar-SA"/>
        </w:rPr>
        <w:t>评价结果整改、</w:t>
      </w:r>
      <w:r>
        <w:rPr>
          <w:rFonts w:hint="eastAsia" w:ascii="仿宋_GB2312" w:hAnsi="仿宋_GB2312" w:eastAsia="仿宋_GB2312" w:cs="仿宋_GB2312"/>
          <w:b/>
          <w:bCs/>
          <w:color w:val="000000"/>
          <w:kern w:val="0"/>
          <w:sz w:val="32"/>
          <w:szCs w:val="32"/>
          <w:shd w:val="clear" w:color="auto" w:fill="FFFFFF"/>
          <w:lang w:val="en-US" w:eastAsia="zh-CN" w:bidi="ar-SA"/>
        </w:rPr>
        <w:t>应用反馈</w:t>
      </w:r>
      <w:r>
        <w:rPr>
          <w:rFonts w:hint="eastAsia" w:ascii="仿宋_GB2312" w:hAnsi="仿宋_GB2312" w:eastAsia="仿宋_GB2312" w:cs="仿宋_GB2312"/>
          <w:b/>
          <w:bCs/>
          <w:color w:val="000000"/>
          <w:kern w:val="0"/>
          <w:sz w:val="32"/>
          <w:szCs w:val="32"/>
          <w:shd w:val="clear" w:color="auto" w:fill="FFFFFF"/>
          <w:lang w:val="zh-CN" w:eastAsia="zh-CN" w:bidi="ar-SA"/>
        </w:rPr>
        <w:t>。</w:t>
      </w:r>
      <w:r>
        <w:rPr>
          <w:rFonts w:hint="eastAsia" w:ascii="仿宋_GB2312" w:hAnsi="仿宋_GB2312" w:eastAsia="仿宋_GB2312" w:cs="仿宋_GB2312"/>
          <w:color w:val="000000"/>
          <w:kern w:val="0"/>
          <w:sz w:val="32"/>
          <w:szCs w:val="32"/>
          <w:shd w:val="clear" w:color="auto" w:fill="FFFFFF"/>
          <w:lang w:val="zh-CN" w:eastAsia="zh-CN" w:bidi="ar-SA"/>
        </w:rPr>
        <w:t>绩效管理结果与预算安排进行挂钩，</w:t>
      </w:r>
      <w:r>
        <w:rPr>
          <w:rFonts w:hint="eastAsia" w:ascii="仿宋_GB2312" w:hAnsi="仿宋_GB2312" w:eastAsia="仿宋_GB2312" w:cs="仿宋_GB2312"/>
          <w:color w:val="000000"/>
          <w:kern w:val="0"/>
          <w:sz w:val="32"/>
          <w:szCs w:val="32"/>
          <w:shd w:val="clear" w:color="auto" w:fill="FFFFFF"/>
          <w:lang w:val="en-US" w:eastAsia="zh-CN" w:bidi="ar-SA"/>
        </w:rPr>
        <w:t>并在</w:t>
      </w:r>
      <w:r>
        <w:rPr>
          <w:rFonts w:hint="eastAsia" w:ascii="仿宋_GB2312" w:hAnsi="仿宋_GB2312" w:eastAsia="仿宋_GB2312" w:cs="仿宋_GB2312"/>
          <w:color w:val="000000"/>
          <w:kern w:val="0"/>
          <w:sz w:val="32"/>
          <w:szCs w:val="32"/>
          <w:shd w:val="clear" w:color="auto" w:fill="FFFFFF"/>
          <w:lang w:val="zh-CN" w:eastAsia="zh-CN" w:bidi="ar-SA"/>
        </w:rPr>
        <w:t>部门在规定时间内向财政部门反馈应用绩效结果报告。</w:t>
      </w:r>
    </w:p>
    <w:p>
      <w:pPr>
        <w:keepNext w:val="0"/>
        <w:keepLines w:val="0"/>
        <w:pageBreakBefore w:val="0"/>
        <w:widowControl/>
        <w:kinsoku/>
        <w:wordWrap/>
        <w:overflowPunct/>
        <w:topLinePunct w:val="0"/>
        <w:autoSpaceDE/>
        <w:autoSpaceDN/>
        <w:bidi w:val="0"/>
        <w:adjustRightInd w:val="0"/>
        <w:snapToGrid w:val="0"/>
        <w:spacing w:line="560" w:lineRule="exact"/>
        <w:ind w:firstLine="963" w:firstLineChars="3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2021年部门整体支出绩效评价得分81.55分，其中：部门预算管理方面52.63分；专项预算管理方面18.92分；绩效结果应用方面10分；自评质量方面（部门在自评时，此项指标无需打分，部门自评满分为90分）。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lang w:val="en-US" w:eastAsia="zh-CN" w:bidi="ar-SA"/>
        </w:rPr>
        <w:t>2021年严格</w:t>
      </w:r>
      <w:r>
        <w:rPr>
          <w:rFonts w:hint="eastAsia" w:ascii="仿宋_GB2312" w:hAnsi="仿宋_GB2312" w:eastAsia="仿宋_GB2312" w:cs="仿宋_GB2312"/>
          <w:color w:val="000000"/>
          <w:kern w:val="0"/>
          <w:sz w:val="32"/>
          <w:szCs w:val="32"/>
          <w:shd w:val="clear" w:color="auto" w:fill="FFFFFF"/>
          <w:lang w:val="zh-CN" w:eastAsia="zh-CN" w:bidi="ar-SA"/>
        </w:rPr>
        <w:t>执行《预算法》，强化预算约束</w:t>
      </w:r>
      <w:r>
        <w:rPr>
          <w:rFonts w:hint="eastAsia" w:ascii="仿宋_GB2312" w:hAnsi="仿宋_GB2312" w:eastAsia="仿宋_GB2312" w:cs="仿宋_GB2312"/>
          <w:color w:val="000000"/>
          <w:kern w:val="0"/>
          <w:sz w:val="32"/>
          <w:szCs w:val="32"/>
          <w:shd w:val="clear" w:color="auto" w:fill="FFFFFF"/>
          <w:lang w:val="en-US" w:eastAsia="zh-CN" w:bidi="ar-SA"/>
        </w:rPr>
        <w:t>。财政支出目标明确、具体，决策程序科学、有效，项目管理较为完善，项目目标和效果基本达成，项目的实施切实为阿坝州医保经办机构医疗服务与保障能力提升提供了有力的资金保障。</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w:t>
      </w:r>
      <w:r>
        <w:rPr>
          <w:rFonts w:hint="eastAsia" w:ascii="楷体_GB2312" w:hAnsi="楷体_GB2312" w:eastAsia="楷体_GB2312" w:cs="楷体_GB2312"/>
          <w:b/>
          <w:bCs w:val="0"/>
          <w:kern w:val="2"/>
          <w:sz w:val="32"/>
          <w:szCs w:val="32"/>
          <w:lang w:val="en-US" w:eastAsia="zh-CN" w:bidi="ar-SA"/>
        </w:rPr>
        <w:t>二</w:t>
      </w:r>
      <w:r>
        <w:rPr>
          <w:rFonts w:hint="eastAsia" w:ascii="楷体_GB2312" w:hAnsi="楷体_GB2312" w:eastAsia="楷体_GB2312" w:cs="楷体_GB2312"/>
          <w:b/>
          <w:bCs w:val="0"/>
          <w:kern w:val="2"/>
          <w:sz w:val="32"/>
          <w:szCs w:val="32"/>
          <w:lang w:val="zh-CN" w:eastAsia="zh-CN" w:bidi="ar-SA"/>
        </w:rPr>
        <w:t>）存在问题。</w:t>
      </w:r>
    </w:p>
    <w:p>
      <w:pPr>
        <w:pStyle w:val="7"/>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预算支出不均衡。影响相关经费支出进度的主要原因：</w:t>
      </w:r>
      <w:r>
        <w:rPr>
          <w:rFonts w:hint="eastAsia" w:ascii="仿宋_GB2312" w:hAnsi="仿宋_GB2312" w:eastAsia="仿宋_GB2312" w:cs="仿宋_GB2312"/>
          <w:b/>
          <w:bCs/>
          <w:sz w:val="32"/>
          <w:szCs w:val="32"/>
          <w:lang w:val="zh-CN"/>
        </w:rPr>
        <w:t>一是</w:t>
      </w:r>
      <w:r>
        <w:rPr>
          <w:rFonts w:hint="eastAsia" w:ascii="仿宋_GB2312" w:hAnsi="仿宋_GB2312" w:eastAsia="仿宋_GB2312" w:cs="仿宋_GB2312"/>
          <w:sz w:val="32"/>
          <w:szCs w:val="32"/>
          <w:lang w:val="en-US" w:eastAsia="zh-CN"/>
        </w:rPr>
        <w:t>信息化建设类项目周期长，</w:t>
      </w:r>
      <w:r>
        <w:rPr>
          <w:rFonts w:hint="eastAsia" w:ascii="仿宋_GB2312" w:hAnsi="仿宋_GB2312" w:eastAsia="仿宋_GB2312" w:cs="仿宋_GB2312"/>
          <w:b w:val="0"/>
          <w:bCs w:val="0"/>
          <w:color w:val="000000"/>
          <w:sz w:val="32"/>
          <w:szCs w:val="32"/>
          <w:lang w:val="en-US" w:eastAsia="zh-CN" w:bidi="ar-SA"/>
        </w:rPr>
        <w:t>确保支付的准确性，在测试验收、系统运行平稳且支付符合政策要求后，予以支付</w:t>
      </w:r>
      <w:r>
        <w:rPr>
          <w:rFonts w:hint="eastAsia" w:ascii="仿宋_GB2312" w:hAnsi="仿宋_GB2312" w:eastAsia="仿宋_GB2312" w:cs="仿宋_GB2312"/>
          <w:sz w:val="32"/>
          <w:szCs w:val="32"/>
        </w:rPr>
        <w:t>；</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部分预算项目相关工作已经开展工作，但因合同约定等原因，费用待工作完成后予以支付。四是</w:t>
      </w:r>
      <w:r>
        <w:rPr>
          <w:rFonts w:hint="eastAsia" w:ascii="仿宋_GB2312" w:hAnsi="仿宋_GB2312" w:eastAsia="仿宋_GB2312" w:cs="仿宋_GB2312"/>
          <w:sz w:val="32"/>
          <w:szCs w:val="32"/>
          <w:lang w:val="en-US" w:eastAsia="zh-CN"/>
        </w:rPr>
        <w:t>由于疫情原因，影响各项工作开展；</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rPr>
        <w:t>是</w:t>
      </w:r>
      <w:r>
        <w:rPr>
          <w:rFonts w:hint="eastAsia" w:ascii="仿宋_GB2312" w:hAnsi="仿宋_GB2312" w:eastAsia="仿宋_GB2312" w:cs="仿宋_GB2312"/>
          <w:sz w:val="32"/>
          <w:szCs w:val="32"/>
          <w:lang w:val="zh-CN"/>
        </w:rPr>
        <w:t>水电</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zh-CN"/>
        </w:rPr>
        <w:t>相关费用在下半年才</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val="zh-CN"/>
        </w:rPr>
        <w:t>分摊</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职工的体检工作</w:t>
      </w:r>
      <w:r>
        <w:rPr>
          <w:rFonts w:hint="eastAsia" w:ascii="仿宋_GB2312" w:hAnsi="仿宋_GB2312" w:eastAsia="仿宋_GB2312" w:cs="仿宋_GB2312"/>
          <w:sz w:val="32"/>
          <w:szCs w:val="32"/>
        </w:rPr>
        <w:t>在下半年</w:t>
      </w:r>
      <w:r>
        <w:rPr>
          <w:rFonts w:hint="eastAsia" w:ascii="仿宋_GB2312" w:hAnsi="仿宋_GB2312" w:eastAsia="仿宋_GB2312" w:cs="仿宋_GB2312"/>
          <w:sz w:val="32"/>
          <w:szCs w:val="32"/>
          <w:lang w:val="zh-CN"/>
        </w:rPr>
        <w:t>完成</w:t>
      </w:r>
      <w:r>
        <w:rPr>
          <w:rFonts w:hint="eastAsia" w:ascii="仿宋_GB2312" w:hAnsi="仿宋_GB2312" w:eastAsia="仿宋_GB2312" w:cs="仿宋_GB2312"/>
          <w:sz w:val="32"/>
          <w:szCs w:val="32"/>
          <w:lang w:val="en-US" w:eastAsia="zh-CN"/>
        </w:rPr>
        <w:t>支付</w:t>
      </w:r>
      <w:r>
        <w:rPr>
          <w:rFonts w:hint="eastAsia" w:ascii="仿宋_GB2312" w:hAnsi="仿宋_GB2312" w:eastAsia="仿宋_GB2312" w:cs="仿宋_GB2312"/>
          <w:sz w:val="32"/>
          <w:szCs w:val="32"/>
          <w:lang w:val="zh-CN"/>
        </w:rPr>
        <w:t>。</w:t>
      </w:r>
    </w:p>
    <w:p>
      <w:pPr>
        <w:keepNext w:val="0"/>
        <w:keepLines w:val="0"/>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w:t>
      </w:r>
      <w:r>
        <w:rPr>
          <w:rFonts w:hint="eastAsia" w:ascii="楷体_GB2312" w:hAnsi="楷体_GB2312" w:eastAsia="楷体_GB2312" w:cs="楷体_GB2312"/>
          <w:b/>
          <w:bCs w:val="0"/>
          <w:kern w:val="2"/>
          <w:sz w:val="32"/>
          <w:szCs w:val="32"/>
          <w:lang w:val="en-US" w:eastAsia="zh-CN" w:bidi="ar-SA"/>
        </w:rPr>
        <w:t>三</w:t>
      </w:r>
      <w:r>
        <w:rPr>
          <w:rFonts w:hint="eastAsia" w:ascii="楷体_GB2312" w:hAnsi="楷体_GB2312" w:eastAsia="楷体_GB2312" w:cs="楷体_GB2312"/>
          <w:b/>
          <w:bCs w:val="0"/>
          <w:kern w:val="2"/>
          <w:sz w:val="32"/>
          <w:szCs w:val="32"/>
          <w:lang w:val="zh-CN" w:eastAsia="zh-CN" w:bidi="ar-SA"/>
        </w:rPr>
        <w:t>）改进建议。</w:t>
      </w:r>
    </w:p>
    <w:p>
      <w:pPr>
        <w:pStyle w:val="7"/>
        <w:keepNext w:val="0"/>
        <w:keepLines w:val="0"/>
        <w:pageBreakBefore w:val="0"/>
        <w:widowControl w:val="0"/>
        <w:kinsoku/>
        <w:wordWrap/>
        <w:overflowPunct/>
        <w:topLinePunct w:val="0"/>
        <w:autoSpaceDE/>
        <w:autoSpaceDN/>
        <w:bidi w:val="0"/>
        <w:spacing w:line="560" w:lineRule="exact"/>
        <w:ind w:firstLine="610" w:firstLineChars="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针对存在的问题，我</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zh-CN"/>
        </w:rPr>
        <w:t>按照部门预算进度做好以下工作：</w:t>
      </w:r>
      <w:r>
        <w:rPr>
          <w:rFonts w:hint="eastAsia" w:ascii="仿宋_GB2312" w:hAnsi="仿宋_GB2312" w:eastAsia="仿宋_GB2312" w:cs="仿宋_GB2312"/>
          <w:b/>
          <w:bCs/>
          <w:sz w:val="32"/>
          <w:szCs w:val="32"/>
          <w:lang w:val="zh-CN"/>
        </w:rPr>
        <w:t>一是</w:t>
      </w:r>
      <w:r>
        <w:rPr>
          <w:rFonts w:hint="eastAsia" w:ascii="仿宋_GB2312" w:hAnsi="仿宋_GB2312" w:eastAsia="仿宋_GB2312" w:cs="仿宋_GB2312"/>
          <w:sz w:val="32"/>
          <w:szCs w:val="32"/>
          <w:lang w:val="zh-CN"/>
        </w:rPr>
        <w:t>严格按照厉行节约原则，严把经费支出关；</w:t>
      </w:r>
      <w:r>
        <w:rPr>
          <w:rFonts w:hint="eastAsia" w:ascii="仿宋_GB2312" w:hAnsi="仿宋_GB2312" w:eastAsia="仿宋_GB2312" w:cs="仿宋_GB2312"/>
          <w:b/>
          <w:bCs/>
          <w:sz w:val="32"/>
          <w:szCs w:val="32"/>
          <w:lang w:val="zh-CN"/>
        </w:rPr>
        <w:t>二是</w:t>
      </w:r>
      <w:r>
        <w:rPr>
          <w:rFonts w:hint="eastAsia" w:ascii="仿宋_GB2312" w:hAnsi="仿宋_GB2312" w:eastAsia="仿宋_GB2312" w:cs="仿宋_GB2312"/>
          <w:sz w:val="32"/>
          <w:szCs w:val="32"/>
          <w:lang w:val="zh-CN"/>
        </w:rPr>
        <w:t>根据年初工作安排，按进度推进专项工作的顺利开展，确保经费的使用进度规范、合理。</w:t>
      </w:r>
    </w:p>
    <w:p>
      <w:pPr>
        <w:pStyle w:val="30"/>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Times New Roman" w:eastAsia="方正小标宋_GBK" w:cs="方正小标宋_GBK"/>
          <w:b w:val="0"/>
          <w:bCs/>
          <w:color w:val="auto"/>
          <w:kern w:val="2"/>
          <w:sz w:val="44"/>
          <w:szCs w:val="44"/>
          <w:shd w:val="clear" w:color="auto" w:fill="FFFFFF"/>
          <w:lang w:val="en-US" w:eastAsia="zh-CN" w:bidi="ar-SA"/>
        </w:rPr>
      </w:pPr>
    </w:p>
    <w:p>
      <w:pPr>
        <w:pStyle w:val="30"/>
        <w:keepNext w:val="0"/>
        <w:keepLines w:val="0"/>
        <w:pageBreakBefore w:val="0"/>
        <w:widowControl w:val="0"/>
        <w:kinsoku/>
        <w:wordWrap/>
        <w:overflowPunct/>
        <w:topLinePunct w:val="0"/>
        <w:autoSpaceDE/>
        <w:autoSpaceDN/>
        <w:bidi w:val="0"/>
        <w:spacing w:line="560" w:lineRule="atLeast"/>
        <w:jc w:val="center"/>
        <w:textAlignment w:val="auto"/>
        <w:rPr>
          <w:rFonts w:hint="eastAsia" w:ascii="方正小标宋_GBK" w:hAnsi="Times New Roman" w:eastAsia="方正小标宋_GBK" w:cs="方正小标宋_GBK"/>
          <w:b w:val="0"/>
          <w:bCs/>
          <w:color w:val="auto"/>
          <w:kern w:val="2"/>
          <w:sz w:val="44"/>
          <w:szCs w:val="44"/>
          <w:shd w:val="clear" w:color="auto" w:fill="FFFFFF"/>
          <w:lang w:val="en-US" w:eastAsia="zh-CN" w:bidi="ar-SA"/>
        </w:rPr>
      </w:pPr>
      <w:r>
        <w:rPr>
          <w:rFonts w:hint="eastAsia" w:ascii="方正小标宋_GBK" w:hAnsi="Times New Roman" w:eastAsia="方正小标宋_GBK" w:cs="方正小标宋_GBK"/>
          <w:b w:val="0"/>
          <w:bCs/>
          <w:color w:val="auto"/>
          <w:kern w:val="2"/>
          <w:sz w:val="44"/>
          <w:szCs w:val="44"/>
          <w:shd w:val="clear" w:color="auto" w:fill="FFFFFF"/>
          <w:lang w:val="en-US" w:eastAsia="zh-CN" w:bidi="ar-SA"/>
        </w:rPr>
        <w:t>2022年专项预算项目支出绩效自评报告</w:t>
      </w:r>
    </w:p>
    <w:p>
      <w:pPr>
        <w:pStyle w:val="30"/>
        <w:keepNext w:val="0"/>
        <w:keepLines w:val="0"/>
        <w:pageBreakBefore w:val="0"/>
        <w:widowControl w:val="0"/>
        <w:kinsoku/>
        <w:wordWrap/>
        <w:overflowPunct/>
        <w:topLinePunct w:val="0"/>
        <w:autoSpaceDE/>
        <w:autoSpaceDN/>
        <w:bidi w:val="0"/>
        <w:spacing w:line="560" w:lineRule="atLeast"/>
        <w:ind w:firstLine="642" w:firstLineChars="200"/>
        <w:jc w:val="both"/>
        <w:textAlignment w:val="auto"/>
        <w:rPr>
          <w:rFonts w:hint="eastAsia" w:ascii="楷体_GB2312" w:hAnsi="楷体_GB2312" w:eastAsia="楷体_GB2312" w:cs="楷体_GB2312"/>
          <w:b/>
          <w:bCs w:val="0"/>
          <w:color w:val="auto"/>
          <w:kern w:val="2"/>
          <w:sz w:val="32"/>
          <w:szCs w:val="32"/>
          <w:shd w:val="clear" w:color="auto" w:fill="FFFFFF"/>
          <w:lang w:val="en-US" w:eastAsia="zh-CN" w:bidi="ar-SA"/>
        </w:rPr>
      </w:pPr>
      <w:r>
        <w:rPr>
          <w:rFonts w:hint="eastAsia" w:ascii="楷体_GB2312" w:hAnsi="楷体_GB2312" w:eastAsia="楷体_GB2312" w:cs="楷体_GB2312"/>
          <w:b/>
          <w:bCs w:val="0"/>
          <w:color w:val="auto"/>
          <w:kern w:val="2"/>
          <w:sz w:val="32"/>
          <w:szCs w:val="32"/>
          <w:shd w:val="clear" w:color="auto" w:fill="FFFFFF"/>
          <w:lang w:val="en-US" w:eastAsia="zh-CN" w:bidi="ar-SA"/>
        </w:rPr>
        <w:t>（2021年医疗保障与服务能力提升专项补助资金）</w:t>
      </w:r>
    </w:p>
    <w:p>
      <w:pPr>
        <w:keepNext w:val="0"/>
        <w:keepLines w:val="0"/>
        <w:pageBreakBefore w:val="0"/>
        <w:widowControl w:val="0"/>
        <w:kinsoku/>
        <w:wordWrap/>
        <w:overflowPunct/>
        <w:topLinePunct w:val="0"/>
        <w:autoSpaceDE/>
        <w:autoSpaceDN/>
        <w:bidi w:val="0"/>
        <w:adjustRightInd w:val="0"/>
        <w:snapToGrid w:val="0"/>
        <w:spacing w:line="560" w:lineRule="atLeast"/>
        <w:ind w:firstLine="72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1．说明项目主管部门（单位）在该项目管理中的职能。</w:t>
      </w:r>
    </w:p>
    <w:p>
      <w:pPr>
        <w:keepNext w:val="0"/>
        <w:keepLines w:val="0"/>
        <w:pageBreakBefore w:val="0"/>
        <w:widowControl w:val="0"/>
        <w:kinsoku/>
        <w:wordWrap/>
        <w:overflowPunct/>
        <w:topLinePunct w:val="0"/>
        <w:autoSpaceDE/>
        <w:autoSpaceDN/>
        <w:bidi w:val="0"/>
        <w:spacing w:line="560" w:lineRule="exact"/>
        <w:ind w:left="0" w:firstLine="642"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kern w:val="0"/>
          <w:sz w:val="32"/>
          <w:szCs w:val="32"/>
          <w:lang w:eastAsia="zh-CN"/>
        </w:rPr>
        <w:t>一是</w:t>
      </w:r>
      <w:r>
        <w:rPr>
          <w:rFonts w:hint="eastAsia" w:ascii="仿宋_GB2312" w:hAnsi="仿宋_GB2312" w:eastAsia="仿宋_GB2312" w:cs="仿宋_GB2312"/>
          <w:kern w:val="0"/>
          <w:sz w:val="32"/>
          <w:szCs w:val="32"/>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0"/>
          <w:sz w:val="32"/>
          <w:szCs w:val="32"/>
          <w:lang w:eastAsia="zh-CN"/>
        </w:rPr>
        <w:t>二是</w:t>
      </w:r>
      <w:r>
        <w:rPr>
          <w:rFonts w:hint="eastAsia" w:ascii="仿宋_GB2312" w:hAnsi="仿宋_GB2312" w:eastAsia="仿宋_GB2312" w:cs="仿宋_GB2312"/>
          <w:kern w:val="0"/>
          <w:sz w:val="32"/>
          <w:szCs w:val="32"/>
        </w:rPr>
        <w:t>组织拟定并实施医疗保障基金监督管理制度，建立健全医疗保障基金安全防控机制，监督强化全州医疗保障基金运行管理。</w:t>
      </w:r>
      <w:r>
        <w:rPr>
          <w:rFonts w:hint="eastAsia" w:ascii="仿宋_GB2312" w:hAnsi="仿宋_GB2312" w:eastAsia="仿宋_GB2312" w:cs="仿宋_GB2312"/>
          <w:b/>
          <w:bCs/>
          <w:kern w:val="0"/>
          <w:sz w:val="32"/>
          <w:szCs w:val="32"/>
          <w:lang w:eastAsia="zh-CN"/>
        </w:rPr>
        <w:t>三是</w:t>
      </w:r>
      <w:r>
        <w:rPr>
          <w:rFonts w:hint="eastAsia" w:ascii="仿宋_GB2312" w:hAnsi="仿宋_GB2312" w:eastAsia="仿宋_GB2312" w:cs="仿宋_GB2312"/>
          <w:kern w:val="0"/>
          <w:sz w:val="32"/>
          <w:szCs w:val="32"/>
        </w:rPr>
        <w:t>组织拟订医疗保障筹资和待遇政策，完善动态调整和区域调剂平衡机制，统筹城乡医疗保障待遇标准，建立健全与筹资水平相适应的待遇调整机制。组织实施长期护理保险制度改革。</w:t>
      </w:r>
      <w:r>
        <w:rPr>
          <w:rFonts w:hint="eastAsia" w:ascii="仿宋_GB2312" w:hAnsi="仿宋_GB2312" w:eastAsia="仿宋_GB2312" w:cs="仿宋_GB2312"/>
          <w:b/>
          <w:bCs/>
          <w:kern w:val="0"/>
          <w:sz w:val="32"/>
          <w:szCs w:val="32"/>
          <w:lang w:eastAsia="zh-CN"/>
        </w:rPr>
        <w:t>四是</w:t>
      </w:r>
      <w:r>
        <w:rPr>
          <w:rFonts w:hint="eastAsia" w:ascii="仿宋_GB2312" w:hAnsi="仿宋_GB2312" w:eastAsia="仿宋_GB2312" w:cs="仿宋_GB2312"/>
          <w:kern w:val="0"/>
          <w:sz w:val="32"/>
          <w:szCs w:val="32"/>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kern w:val="0"/>
          <w:sz w:val="32"/>
          <w:szCs w:val="32"/>
          <w:lang w:eastAsia="zh-CN"/>
        </w:rPr>
        <w:t>五是</w:t>
      </w:r>
      <w:r>
        <w:rPr>
          <w:rFonts w:hint="eastAsia" w:ascii="仿宋_GB2312" w:hAnsi="仿宋_GB2312" w:eastAsia="仿宋_GB2312" w:cs="仿宋_GB2312"/>
          <w:kern w:val="0"/>
          <w:sz w:val="32"/>
          <w:szCs w:val="32"/>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kern w:val="0"/>
          <w:sz w:val="32"/>
          <w:szCs w:val="32"/>
          <w:lang w:eastAsia="zh-CN"/>
        </w:rPr>
        <w:t>六是</w:t>
      </w:r>
      <w:r>
        <w:rPr>
          <w:rFonts w:hint="eastAsia" w:ascii="仿宋_GB2312" w:hAnsi="仿宋_GB2312" w:eastAsia="仿宋_GB2312" w:cs="仿宋_GB2312"/>
          <w:kern w:val="0"/>
          <w:sz w:val="32"/>
          <w:szCs w:val="32"/>
        </w:rPr>
        <w:t>贯彻落实药品、医用耗材的招标采购政策并监督实施。</w:t>
      </w:r>
      <w:r>
        <w:rPr>
          <w:rFonts w:hint="eastAsia" w:ascii="仿宋_GB2312" w:hAnsi="仿宋_GB2312" w:eastAsia="仿宋_GB2312" w:cs="仿宋_GB2312"/>
          <w:b/>
          <w:bCs/>
          <w:kern w:val="0"/>
          <w:sz w:val="32"/>
          <w:szCs w:val="32"/>
          <w:lang w:eastAsia="zh-CN"/>
        </w:rPr>
        <w:t>七是</w:t>
      </w:r>
      <w:r>
        <w:rPr>
          <w:rFonts w:hint="eastAsia" w:ascii="仿宋_GB2312" w:hAnsi="仿宋_GB2312" w:eastAsia="仿宋_GB2312" w:cs="仿宋_GB2312"/>
          <w:kern w:val="0"/>
          <w:sz w:val="32"/>
          <w:szCs w:val="32"/>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kern w:val="0"/>
          <w:sz w:val="32"/>
          <w:szCs w:val="32"/>
          <w:lang w:eastAsia="zh-CN"/>
        </w:rPr>
        <w:t>八是</w:t>
      </w:r>
      <w:r>
        <w:rPr>
          <w:rFonts w:hint="eastAsia" w:ascii="仿宋_GB2312" w:hAnsi="仿宋_GB2312" w:eastAsia="仿宋_GB2312" w:cs="仿宋_GB2312"/>
          <w:kern w:val="0"/>
          <w:sz w:val="32"/>
          <w:szCs w:val="32"/>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kern w:val="0"/>
          <w:sz w:val="32"/>
          <w:szCs w:val="32"/>
          <w:lang w:eastAsia="zh-CN"/>
        </w:rPr>
        <w:t>九是</w:t>
      </w:r>
      <w:r>
        <w:rPr>
          <w:rFonts w:hint="eastAsia" w:ascii="仿宋_GB2312" w:hAnsi="仿宋_GB2312" w:eastAsia="仿宋_GB2312" w:cs="仿宋_GB2312"/>
          <w:kern w:val="0"/>
          <w:sz w:val="32"/>
          <w:szCs w:val="32"/>
        </w:rPr>
        <w:t>负责规划实施全州医疗保障信息化建设。组织开展医疗保障大数据管理和应用。</w:t>
      </w:r>
      <w:r>
        <w:rPr>
          <w:rFonts w:hint="eastAsia" w:ascii="仿宋_GB2312" w:hAnsi="仿宋_GB2312" w:eastAsia="仿宋_GB2312" w:cs="仿宋_GB2312"/>
          <w:b/>
          <w:bCs/>
          <w:kern w:val="0"/>
          <w:sz w:val="32"/>
          <w:szCs w:val="32"/>
          <w:lang w:eastAsia="zh-CN"/>
        </w:rPr>
        <w:t>十是</w:t>
      </w:r>
      <w:r>
        <w:rPr>
          <w:rFonts w:hint="eastAsia" w:ascii="仿宋_GB2312" w:hAnsi="仿宋_GB2312" w:eastAsia="仿宋_GB2312" w:cs="仿宋_GB2312"/>
          <w:kern w:val="0"/>
          <w:sz w:val="32"/>
          <w:szCs w:val="32"/>
        </w:rPr>
        <w:t>负责职责范围内的安全生产和职业健康、生态环境保护、公共机构节能减排、审批服务便民化等工作</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十一是</w:t>
      </w:r>
      <w:r>
        <w:rPr>
          <w:rFonts w:hint="eastAsia" w:ascii="仿宋_GB2312" w:hAnsi="仿宋_GB2312" w:eastAsia="仿宋_GB2312" w:cs="仿宋_GB2312"/>
          <w:kern w:val="0"/>
          <w:sz w:val="32"/>
          <w:szCs w:val="32"/>
        </w:rPr>
        <w:t>完成州委、州政府交办的其他任务。</w:t>
      </w:r>
      <w:r>
        <w:rPr>
          <w:rFonts w:hint="eastAsia" w:ascii="仿宋_GB2312" w:hAnsi="仿宋_GB2312" w:eastAsia="仿宋_GB2312" w:cs="仿宋_GB2312"/>
          <w:b/>
          <w:bCs/>
          <w:kern w:val="0"/>
          <w:sz w:val="32"/>
          <w:szCs w:val="32"/>
          <w:lang w:eastAsia="zh-CN"/>
        </w:rPr>
        <w:t>十二是</w:t>
      </w:r>
      <w:r>
        <w:rPr>
          <w:rFonts w:hint="eastAsia" w:ascii="仿宋_GB2312" w:hAnsi="仿宋_GB2312" w:eastAsia="仿宋_GB2312" w:cs="仿宋_GB2312"/>
          <w:kern w:val="0"/>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kern w:val="0"/>
          <w:sz w:val="32"/>
          <w:szCs w:val="32"/>
          <w:lang w:eastAsia="zh-CN"/>
        </w:rPr>
        <w:t>十三是</w:t>
      </w:r>
      <w:r>
        <w:rPr>
          <w:rFonts w:hint="eastAsia" w:ascii="仿宋_GB2312" w:hAnsi="仿宋_GB2312" w:eastAsia="仿宋_GB2312" w:cs="仿宋_GB2312"/>
          <w:kern w:val="0"/>
          <w:sz w:val="32"/>
          <w:szCs w:val="32"/>
        </w:rPr>
        <w:t>与州卫生健康委员会的有关职责分工。两部门在医疗、医保、医药等方面加强制度、政策衔接，建立沟通协商机制，协同推进改革，提高医疗资源使用效率和医疗保障水平</w:t>
      </w:r>
      <w:r>
        <w:rPr>
          <w:rFonts w:hint="eastAsia" w:ascii="仿宋_GB2312" w:hAnsi="仿宋_GB2312" w:eastAsia="仿宋_GB2312" w:cs="仿宋_GB2312"/>
          <w:kern w:val="0"/>
          <w:sz w:val="32"/>
          <w:szCs w:val="32"/>
          <w:lang w:eastAsia="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项目立项、资金申报的依据。</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pacing w:val="6"/>
          <w:sz w:val="32"/>
          <w:szCs w:val="32"/>
          <w:lang w:val="en-US" w:eastAsia="zh-CN" w:bidi="ar-SA"/>
        </w:rPr>
        <w:t>2021年医疗服务与保障能力提升中央财政补助资金以《四川省财政厅 四川省医疗保障局关于提前关于下达 2021年医疗服务与保障能力提升中央财政补助资金预算的通知》（川财社〔2020〕172号）、《四川省财政厅 四川省医疗保障局关于下达 2021年医疗服务与保障能力提升中央财政补助资金（医疗保障服务能力提升部分）预算的通知》（川财社〔2021〕45 号）、《阿坝州财政局 阿坝州医疗保障局关于下达2021年医疗服务与保障能力提升中央财政补助资金的通知》（阿州财社〔2021〕25 号）、《阿坝州财政局 关于下达2021年医疗服务与保障能力提升中央财政补助资金（医疗保障服务能力提升部分）的通知》（阿州财社〔2021〕64号）、《阿坝州医疗保障局关于请求分配2021年医疗服务与保障能力中央财政补助资金的函》阿州医保函〔2021〕1号、《阿坝州医疗保障局关于请求分配2021年医疗服务与保障能力中央财政补助资金的函》、《四川省医疗服务与保障能力提升资金管理办法》等相关文件为决策依据，严格按照2021年中央财政医疗服务与保障能力提升补助资金的批复用途，认真进行项目实施。</w:t>
      </w:r>
    </w:p>
    <w:p>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以《四川省医疗服务与保障能力提升补助资金管理办法》为依据，规范和加强资金管理，提高资金使用效益。严格按照2021年中央财政医疗服务与保障能力提升补助资金的批复用途，2021年认真进行项目实施，该项目的实施切实为阿坝州医保经办机构医疗服务与保障能力提升提供了有力的资金保障。</w:t>
      </w:r>
    </w:p>
    <w:p>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资金分配的原则及考虑因素。</w:t>
      </w:r>
    </w:p>
    <w:p>
      <w:pPr>
        <w:pStyle w:val="7"/>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pacing w:val="6"/>
          <w:sz w:val="32"/>
          <w:szCs w:val="32"/>
          <w:lang w:val="en-US" w:eastAsia="zh-CN"/>
        </w:rPr>
        <w:t>充分考虑我州医疗保障工作实际，将</w:t>
      </w:r>
      <w:r>
        <w:rPr>
          <w:rFonts w:hint="eastAsia" w:ascii="仿宋_GB2312" w:hAnsi="仿宋_GB2312" w:eastAsia="仿宋_GB2312" w:cs="仿宋_GB2312"/>
          <w:kern w:val="2"/>
          <w:sz w:val="32"/>
          <w:szCs w:val="32"/>
          <w:lang w:val="en-US" w:eastAsia="zh-CN" w:bidi="ar-SA"/>
        </w:rPr>
        <w:t>2021年中央财政医疗服务与保障能力提升补助资金分配至全州辖区13 个县（市）级医疗保障局及卧龙特别行政</w:t>
      </w:r>
      <w:r>
        <w:rPr>
          <w:rFonts w:hint="eastAsia" w:ascii="仿宋_GB2312" w:hAnsi="仿宋_GB2312" w:eastAsia="仿宋_GB2312" w:cs="仿宋_GB2312"/>
          <w:spacing w:val="6"/>
          <w:sz w:val="32"/>
          <w:szCs w:val="32"/>
          <w:lang w:val="en-US" w:eastAsia="zh-CN"/>
        </w:rPr>
        <w:t>区人事与劳动保障局132万元，州本级留存29万元。</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pPr>
        <w:pStyle w:val="7"/>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pacing w:val="6"/>
          <w:sz w:val="32"/>
          <w:szCs w:val="32"/>
          <w:lang w:val="en-US" w:eastAsia="zh-CN"/>
        </w:rPr>
        <w:t>2021年中央下达我局医疗服务与保障能力提升补助资金预算合计161万元。其中：142万元于2021年1月下达指标；19万元于2021年7月下达指标。</w:t>
      </w:r>
    </w:p>
    <w:p>
      <w:pPr>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项目应实现的具体绩效目标，包括目标的量化、细化情况以及项目实施进度计划等。</w:t>
      </w:r>
    </w:p>
    <w:p>
      <w:pPr>
        <w:pStyle w:val="7"/>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color w:val="FFC000"/>
          <w:sz w:val="32"/>
          <w:szCs w:val="32"/>
          <w:lang w:val="zh-CN"/>
        </w:rPr>
      </w:pPr>
      <w:r>
        <w:rPr>
          <w:rFonts w:hint="eastAsia" w:ascii="仿宋_GB2312" w:hAnsi="仿宋_GB2312" w:eastAsia="仿宋_GB2312" w:cs="仿宋_GB2312"/>
          <w:b/>
          <w:bCs/>
          <w:spacing w:val="6"/>
          <w:sz w:val="32"/>
          <w:szCs w:val="32"/>
          <w:lang w:val="en-US" w:eastAsia="zh-CN" w:bidi="ar-SA"/>
        </w:rPr>
        <w:t>一是</w:t>
      </w:r>
      <w:r>
        <w:rPr>
          <w:rFonts w:hint="eastAsia" w:ascii="仿宋_GB2312" w:hAnsi="仿宋_GB2312" w:eastAsia="仿宋_GB2312" w:cs="仿宋_GB2312"/>
          <w:b w:val="0"/>
          <w:bCs w:val="0"/>
          <w:spacing w:val="6"/>
          <w:sz w:val="32"/>
          <w:szCs w:val="32"/>
          <w:lang w:val="en-US" w:eastAsia="zh-CN" w:bidi="ar-SA"/>
        </w:rPr>
        <w:t>提升医保信息化水平，加强网络、信息安全、基础设施等方面建设；进一步夯实技术基础，切实保障医保信息系统高效、安全运行，提高数据采集质量和速度；</w:t>
      </w:r>
      <w:r>
        <w:rPr>
          <w:rFonts w:hint="eastAsia" w:ascii="仿宋_GB2312" w:hAnsi="仿宋_GB2312" w:eastAsia="仿宋_GB2312" w:cs="仿宋_GB2312"/>
          <w:b/>
          <w:bCs/>
          <w:spacing w:val="6"/>
          <w:sz w:val="32"/>
          <w:szCs w:val="32"/>
          <w:lang w:val="en-US" w:eastAsia="zh-CN" w:bidi="ar-SA"/>
        </w:rPr>
        <w:t>二是</w:t>
      </w:r>
      <w:r>
        <w:rPr>
          <w:rFonts w:hint="eastAsia" w:ascii="仿宋_GB2312" w:hAnsi="仿宋_GB2312" w:eastAsia="仿宋_GB2312" w:cs="仿宋_GB2312"/>
          <w:b w:val="0"/>
          <w:bCs w:val="0"/>
          <w:spacing w:val="6"/>
          <w:sz w:val="32"/>
          <w:szCs w:val="32"/>
          <w:lang w:val="en-US" w:eastAsia="zh-CN" w:bidi="ar-SA"/>
        </w:rPr>
        <w:t>加强打击欺诈骗保工作力度，切实保障医保基金合理有效使用；</w:t>
      </w:r>
      <w:r>
        <w:rPr>
          <w:rFonts w:hint="eastAsia" w:ascii="仿宋_GB2312" w:hAnsi="仿宋_GB2312" w:eastAsia="仿宋_GB2312" w:cs="仿宋_GB2312"/>
          <w:b/>
          <w:bCs/>
          <w:spacing w:val="6"/>
          <w:sz w:val="32"/>
          <w:szCs w:val="32"/>
          <w:lang w:val="en-US" w:eastAsia="zh-CN" w:bidi="ar-SA"/>
        </w:rPr>
        <w:t>三是</w:t>
      </w:r>
      <w:r>
        <w:rPr>
          <w:rFonts w:hint="eastAsia" w:ascii="仿宋_GB2312" w:hAnsi="仿宋_GB2312" w:eastAsia="仿宋_GB2312" w:cs="仿宋_GB2312"/>
          <w:b w:val="0"/>
          <w:bCs w:val="0"/>
          <w:spacing w:val="6"/>
          <w:sz w:val="32"/>
          <w:szCs w:val="32"/>
          <w:lang w:val="en-US" w:eastAsia="zh-CN" w:bidi="ar-SA"/>
        </w:rPr>
        <w:t>加快推进医保支付方式改革和 DRG 试点工作；</w:t>
      </w:r>
      <w:r>
        <w:rPr>
          <w:rFonts w:hint="eastAsia" w:ascii="仿宋_GB2312" w:hAnsi="仿宋_GB2312" w:eastAsia="仿宋_GB2312" w:cs="仿宋_GB2312"/>
          <w:b/>
          <w:bCs/>
          <w:color w:val="000000" w:themeColor="text1"/>
          <w:spacing w:val="6"/>
          <w:sz w:val="32"/>
          <w:szCs w:val="32"/>
          <w:lang w:val="en-US" w:eastAsia="zh-CN" w:bidi="ar-SA"/>
          <w14:textFill>
            <w14:solidFill>
              <w14:schemeClr w14:val="tx1"/>
            </w14:solidFill>
          </w14:textFill>
        </w:rPr>
        <w:t>四是</w:t>
      </w:r>
      <w:r>
        <w:rPr>
          <w:rFonts w:hint="eastAsia" w:ascii="仿宋_GB2312" w:hAnsi="仿宋_GB2312" w:eastAsia="仿宋_GB2312" w:cs="仿宋_GB2312"/>
          <w:b w:val="0"/>
          <w:bCs w:val="0"/>
          <w:color w:val="000000" w:themeColor="text1"/>
          <w:spacing w:val="6"/>
          <w:sz w:val="32"/>
          <w:szCs w:val="32"/>
          <w:lang w:val="en-US" w:eastAsia="zh-CN" w:bidi="ar-SA"/>
          <w14:textFill>
            <w14:solidFill>
              <w14:schemeClr w14:val="tx1"/>
            </w14:solidFill>
          </w14:textFill>
        </w:rPr>
        <w:t>有效提升综合监督、宣传引导、医药服务价格、药械集采、经办服务、人力队伍建设等医疗保障服务能力。</w:t>
      </w:r>
    </w:p>
    <w:p>
      <w:pPr>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分析评价申报内容是否与实际相符，申报目标是否合理可行。</w:t>
      </w:r>
    </w:p>
    <w:p>
      <w:pPr>
        <w:pStyle w:val="7"/>
        <w:keepNext w:val="0"/>
        <w:keepLines w:val="0"/>
        <w:pageBreakBefore w:val="0"/>
        <w:widowControl w:val="0"/>
        <w:kinsoku/>
        <w:wordWrap/>
        <w:overflowPunct/>
        <w:topLinePunct w:val="0"/>
        <w:autoSpaceDE/>
        <w:autoSpaceDN/>
        <w:bidi w:val="0"/>
        <w:spacing w:line="560" w:lineRule="exact"/>
        <w:ind w:left="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kern w:val="2"/>
          <w:sz w:val="32"/>
          <w:szCs w:val="32"/>
          <w:lang w:val="en-US" w:eastAsia="zh-CN" w:bidi="ar-SA"/>
        </w:rPr>
        <w:t>资金使用严格按照预算绩效目标管理使用，重点用于医保信息化、基金监督、支付方式改革、</w:t>
      </w:r>
      <w:r>
        <w:rPr>
          <w:rFonts w:hint="eastAsia" w:ascii="仿宋_GB2312" w:hAnsi="仿宋_GB2312" w:eastAsia="仿宋_GB2312" w:cs="仿宋_GB2312"/>
          <w:b w:val="0"/>
          <w:bCs w:val="0"/>
          <w:color w:val="000000" w:themeColor="text1"/>
          <w:spacing w:val="6"/>
          <w:sz w:val="32"/>
          <w:szCs w:val="32"/>
          <w:lang w:val="en-US" w:eastAsia="zh-CN" w:bidi="ar-SA"/>
          <w14:textFill>
            <w14:solidFill>
              <w14:schemeClr w14:val="tx1"/>
            </w14:solidFill>
          </w14:textFill>
        </w:rPr>
        <w:t>医药服务价格、药械集采</w:t>
      </w:r>
      <w:r>
        <w:rPr>
          <w:rFonts w:hint="eastAsia" w:ascii="仿宋_GB2312" w:hAnsi="仿宋_GB2312" w:eastAsia="仿宋_GB2312" w:cs="仿宋_GB2312"/>
          <w:b w:val="0"/>
          <w:bCs w:val="0"/>
          <w:kern w:val="2"/>
          <w:sz w:val="32"/>
          <w:szCs w:val="32"/>
          <w:lang w:val="en-US" w:eastAsia="zh-CN" w:bidi="ar-SA"/>
        </w:rPr>
        <w:t>等方面的工作，提升了医疗保障经办和服务能力，提高了资金使用效益。</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（三）项目自评步骤及方法。</w:t>
      </w:r>
    </w:p>
    <w:p>
      <w:pPr>
        <w:pStyle w:val="2"/>
        <w:keepNext w:val="0"/>
        <w:keepLines w:val="0"/>
        <w:pageBreakBefore w:val="0"/>
        <w:widowControl w:val="0"/>
        <w:kinsoku/>
        <w:wordWrap/>
        <w:overflowPunct/>
        <w:topLinePunct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 xml:space="preserve">评价人员于2022年7月18日了解项目基本情况并收集项目文件资料、设计调查问卷，2022年7月20日结束评价工作。         </w:t>
      </w:r>
    </w:p>
    <w:p>
      <w:pPr>
        <w:pStyle w:val="2"/>
        <w:keepNext w:val="0"/>
        <w:keepLines w:val="0"/>
        <w:pageBreakBefore w:val="0"/>
        <w:widowControl w:val="0"/>
        <w:kinsoku/>
        <w:wordWrap/>
        <w:overflowPunct/>
        <w:topLinePunct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主要评价过程如下：</w:t>
      </w:r>
    </w:p>
    <w:p>
      <w:pPr>
        <w:pStyle w:val="2"/>
        <w:keepNext w:val="0"/>
        <w:keepLines w:val="0"/>
        <w:pageBreakBefore w:val="0"/>
        <w:widowControl w:val="0"/>
        <w:kinsoku/>
        <w:wordWrap/>
        <w:overflowPunct/>
        <w:topLinePunct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1.了解专项资金的基本情况，听取项目实施情况介绍；</w:t>
      </w:r>
    </w:p>
    <w:p>
      <w:pPr>
        <w:pStyle w:val="2"/>
        <w:keepNext w:val="0"/>
        <w:keepLines w:val="0"/>
        <w:pageBreakBefore w:val="0"/>
        <w:widowControl w:val="0"/>
        <w:kinsoku/>
        <w:wordWrap/>
        <w:overflowPunct/>
        <w:topLinePunct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2.现场调查取证，查看项目实施情况，核查项目资金收支账目等相关资料，为整个评价指标体系评分收集基础数据；</w:t>
      </w:r>
    </w:p>
    <w:p>
      <w:pPr>
        <w:pStyle w:val="2"/>
        <w:keepNext w:val="0"/>
        <w:keepLines w:val="0"/>
        <w:pageBreakBefore w:val="0"/>
        <w:widowControl w:val="0"/>
        <w:kinsoku/>
        <w:wordWrap/>
        <w:overflowPunct/>
        <w:topLinePunct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3.对资金使用效益评分，分析、检验项目资金的使用是否实现绩效目标；</w:t>
      </w:r>
    </w:p>
    <w:p>
      <w:pPr>
        <w:pStyle w:val="7"/>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pacing w:val="6"/>
          <w:sz w:val="32"/>
          <w:szCs w:val="32"/>
          <w:lang w:val="en-US" w:eastAsia="zh-CN" w:bidi="ar-SA"/>
        </w:rPr>
        <w:t>4.经过定量和定性分析形成评价结论，经过复核后，形成项目绩效评价报告。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二、项目资金申报及使用情况</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为进一步加强医疗保障能力建设，按照</w:t>
      </w:r>
      <w:r>
        <w:rPr>
          <w:rFonts w:hint="eastAsia" w:ascii="仿宋_GB2312" w:hAnsi="仿宋_GB2312" w:eastAsia="仿宋_GB2312" w:cs="仿宋_GB2312"/>
          <w:b w:val="0"/>
          <w:bCs w:val="0"/>
          <w:spacing w:val="6"/>
          <w:sz w:val="32"/>
          <w:szCs w:val="32"/>
          <w:lang w:val="en-US" w:eastAsia="zh-CN" w:bidi="ar-SA"/>
        </w:rPr>
        <w:t>《四川省财政厅 四川省医疗保障局关于提前关于下达 2021年医疗服务与保障能力提升中央财政补助资金预算的通知》（川财社〔2020〕172号）、《四川省财政厅 四川省医疗保障局关于下达 2021年医疗服务与保障能力提升中央财政补助资金（医疗保障服务能力提升部分）预算的通知》（川财社〔2021〕45 号）文件精神，</w:t>
      </w:r>
      <w:r>
        <w:rPr>
          <w:rFonts w:hint="eastAsia" w:ascii="仿宋_GB2312" w:hAnsi="仿宋_GB2312" w:eastAsia="仿宋_GB2312" w:cs="仿宋_GB2312"/>
          <w:spacing w:val="6"/>
          <w:sz w:val="32"/>
          <w:szCs w:val="32"/>
          <w:lang w:val="en-US" w:eastAsia="zh-CN"/>
        </w:rPr>
        <w:t>下达我州医疗服务与保障能力提升补助资金预算合计161万元。</w:t>
      </w:r>
    </w:p>
    <w:p>
      <w:pPr>
        <w:pageBreakBefore w:val="0"/>
        <w:kinsoku/>
        <w:wordWrap/>
        <w:overflowPunct/>
        <w:topLinePunct w:val="0"/>
        <w:autoSpaceDE w:val="0"/>
        <w:autoSpaceDN w:val="0"/>
        <w:bidi w:val="0"/>
        <w:adjustRightInd w:val="0"/>
        <w:spacing w:line="560" w:lineRule="atLeast"/>
        <w:ind w:firstLine="642" w:firstLineChars="200"/>
        <w:jc w:val="left"/>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（二）资金计划、到位及使用情况。</w:t>
      </w:r>
    </w:p>
    <w:tbl>
      <w:tblPr>
        <w:tblStyle w:val="15"/>
        <w:tblpPr w:leftFromText="180" w:rightFromText="180" w:vertAnchor="text" w:horzAnchor="page" w:tblpX="1950" w:tblpY="275"/>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125"/>
        <w:gridCol w:w="1230"/>
        <w:gridCol w:w="1170"/>
        <w:gridCol w:w="1005"/>
        <w:gridCol w:w="103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0" w:hRule="atLeast"/>
        </w:trPr>
        <w:tc>
          <w:tcPr>
            <w:tcW w:w="121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center"/>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项目</w:t>
            </w:r>
          </w:p>
        </w:tc>
        <w:tc>
          <w:tcPr>
            <w:tcW w:w="112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center"/>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资金计划</w:t>
            </w:r>
          </w:p>
        </w:tc>
        <w:tc>
          <w:tcPr>
            <w:tcW w:w="123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center"/>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到位时间</w:t>
            </w:r>
          </w:p>
        </w:tc>
        <w:tc>
          <w:tcPr>
            <w:tcW w:w="117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center"/>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使用情况</w:t>
            </w:r>
          </w:p>
        </w:tc>
        <w:tc>
          <w:tcPr>
            <w:tcW w:w="100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center"/>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使用率</w:t>
            </w:r>
          </w:p>
        </w:tc>
        <w:tc>
          <w:tcPr>
            <w:tcW w:w="103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center"/>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结转情况</w:t>
            </w:r>
          </w:p>
        </w:tc>
        <w:tc>
          <w:tcPr>
            <w:tcW w:w="196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560" w:lineRule="atLeast"/>
              <w:ind w:left="0" w:right="0"/>
              <w:jc w:val="both"/>
              <w:textAlignment w:val="auto"/>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kern w:val="2"/>
                <w:sz w:val="18"/>
                <w:szCs w:val="18"/>
                <w:lang w:val="en-US" w:eastAsia="zh-CN" w:bidi="ar-SA"/>
              </w:rPr>
              <w:t>被同级财政收回情况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trPr>
        <w:tc>
          <w:tcPr>
            <w:tcW w:w="121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eastAsia" w:ascii="仿宋_GB2312" w:hAnsi="仿宋_GB2312" w:eastAsia="仿宋_GB2312" w:cs="仿宋_GB2312"/>
                <w:b w:val="0"/>
                <w:bCs w:val="0"/>
                <w:sz w:val="18"/>
                <w:szCs w:val="18"/>
                <w:lang w:val="zh-CN" w:eastAsia="zh-CN"/>
              </w:rPr>
            </w:pPr>
            <w:r>
              <w:rPr>
                <w:rFonts w:hint="eastAsia" w:ascii="仿宋_GB2312" w:hAnsi="仿宋_GB2312" w:eastAsia="仿宋_GB2312" w:cs="仿宋_GB2312"/>
                <w:b w:val="0"/>
                <w:bCs w:val="0"/>
                <w:sz w:val="18"/>
                <w:szCs w:val="18"/>
                <w:lang w:val="en-US" w:eastAsia="zh-CN"/>
              </w:rPr>
              <w:t>2021年中央医疗服务与保障能力提升补助资金</w:t>
            </w:r>
          </w:p>
        </w:tc>
        <w:tc>
          <w:tcPr>
            <w:tcW w:w="112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161万元（全州）</w:t>
            </w:r>
          </w:p>
          <w:p>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其中：州本级29万元；全州县市分配132万元</w:t>
            </w:r>
          </w:p>
        </w:tc>
        <w:tc>
          <w:tcPr>
            <w:tcW w:w="123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left"/>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1、142万于2021年1月到位       2、19万元于2021年7月到位</w:t>
            </w:r>
          </w:p>
        </w:tc>
        <w:tc>
          <w:tcPr>
            <w:tcW w:w="1170"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left"/>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158.81（州本级29万元；各县市129.81万元）</w:t>
            </w:r>
          </w:p>
          <w:p>
            <w:pPr>
              <w:pStyle w:val="7"/>
              <w:keepNext w:val="0"/>
              <w:keepLines w:val="0"/>
              <w:pageBreakBefore w:val="0"/>
              <w:widowControl w:val="0"/>
              <w:kinsoku/>
              <w:wordWrap/>
              <w:overflowPunct/>
              <w:topLinePunct w:val="0"/>
              <w:autoSpaceDE/>
              <w:autoSpaceDN/>
              <w:bidi w:val="0"/>
              <w:spacing w:line="400" w:lineRule="exact"/>
              <w:ind w:left="0" w:firstLine="0" w:firstLineChars="0"/>
              <w:textAlignment w:val="auto"/>
              <w:rPr>
                <w:rFonts w:hint="eastAsia" w:ascii="仿宋_GB2312" w:hAnsi="仿宋_GB2312" w:eastAsia="仿宋_GB2312" w:cs="仿宋_GB2312"/>
                <w:b w:val="0"/>
                <w:bCs w:val="0"/>
                <w:kern w:val="2"/>
                <w:sz w:val="18"/>
                <w:szCs w:val="18"/>
                <w:lang w:val="en-US" w:eastAsia="zh-CN" w:bidi="ar-SA"/>
              </w:rPr>
            </w:pPr>
          </w:p>
          <w:p>
            <w:pPr>
              <w:pStyle w:val="7"/>
              <w:keepNext w:val="0"/>
              <w:keepLines w:val="0"/>
              <w:pageBreakBefore w:val="0"/>
              <w:widowControl w:val="0"/>
              <w:kinsoku/>
              <w:wordWrap/>
              <w:overflowPunct/>
              <w:topLinePunct w:val="0"/>
              <w:autoSpaceDE/>
              <w:autoSpaceDN/>
              <w:bidi w:val="0"/>
              <w:spacing w:line="400" w:lineRule="exact"/>
              <w:textAlignment w:val="auto"/>
              <w:rPr>
                <w:rFonts w:hint="eastAsia" w:ascii="仿宋_GB2312" w:hAnsi="仿宋_GB2312" w:eastAsia="仿宋_GB2312" w:cs="仿宋_GB2312"/>
                <w:sz w:val="18"/>
                <w:szCs w:val="18"/>
                <w:lang w:val="en-US" w:eastAsia="zh-CN"/>
              </w:rPr>
            </w:pPr>
          </w:p>
        </w:tc>
        <w:tc>
          <w:tcPr>
            <w:tcW w:w="100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eastAsia" w:ascii="仿宋_GB2312" w:hAnsi="仿宋_GB2312" w:eastAsia="仿宋_GB2312" w:cs="仿宋_GB2312"/>
                <w:b w:val="0"/>
                <w:bCs w:val="0"/>
                <w:sz w:val="18"/>
                <w:szCs w:val="18"/>
                <w:lang w:val="zh-CN" w:eastAsia="zh-CN"/>
              </w:rPr>
            </w:pPr>
            <w:r>
              <w:rPr>
                <w:rFonts w:hint="eastAsia" w:ascii="仿宋_GB2312" w:hAnsi="仿宋_GB2312" w:eastAsia="仿宋_GB2312" w:cs="仿宋_GB2312"/>
                <w:b w:val="0"/>
                <w:bCs w:val="0"/>
                <w:sz w:val="18"/>
                <w:szCs w:val="18"/>
                <w:lang w:val="en-US" w:eastAsia="zh-CN"/>
              </w:rPr>
              <w:t>98.64%</w:t>
            </w:r>
          </w:p>
        </w:tc>
        <w:tc>
          <w:tcPr>
            <w:tcW w:w="103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1.78万元（汶川县0.03万元、卧龙1.75万元）</w:t>
            </w:r>
          </w:p>
        </w:tc>
        <w:tc>
          <w:tcPr>
            <w:tcW w:w="1965"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adjustRightInd w:val="0"/>
              <w:snapToGrid w:val="0"/>
              <w:spacing w:line="4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kern w:val="2"/>
                <w:sz w:val="18"/>
                <w:szCs w:val="18"/>
                <w:lang w:val="en-US" w:eastAsia="zh-CN" w:bidi="ar-SA"/>
              </w:rPr>
              <w:t>0.41万元被同级财政收回（金川0.02万元；松潘0.03万元；小金0.36万元）</w:t>
            </w:r>
          </w:p>
        </w:tc>
      </w:tr>
    </w:tbl>
    <w:p>
      <w:pPr>
        <w:keepNext w:val="0"/>
        <w:keepLines w:val="0"/>
        <w:pageBreakBefore w:val="0"/>
        <w:widowControl w:val="0"/>
        <w:tabs>
          <w:tab w:val="left" w:pos="3134"/>
        </w:tabs>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sz w:val="32"/>
          <w:szCs w:val="32"/>
          <w:lang w:val="zh-CN"/>
        </w:rPr>
      </w:pP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（三）项目财务管理情况。</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 xml:space="preserve">项目资金的使用符合国家财经法规和财务管理制度及有关专项资金管理办法规定；资金拨付有完整的审批程序和手续；符合项目预算批复或合同规定用途；不存在截留、挤占、挪用、虚列支出等情况。根据《政府会计制度》的规定，设立了“行政支出-项目支出-财政拨款支出-2021年中央财政医疗服务与保障能力提升补助资金”项目明细科目专账进行核算；严格财经纪律，项目经费支出及时，财务处理及时合规；财务管理制度健全完善。 </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三、项目实施及管理情况</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（一）项目组织架构及实施流程。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z w:val="32"/>
          <w:szCs w:val="32"/>
          <w:lang w:val="en-US" w:eastAsia="zh-CN"/>
        </w:rPr>
        <w:t>根据我州具体情况，</w:t>
      </w:r>
      <w:r>
        <w:rPr>
          <w:rFonts w:hint="eastAsia" w:ascii="仿宋_GB2312" w:hAnsi="仿宋_GB2312" w:eastAsia="仿宋_GB2312" w:cs="仿宋_GB2312"/>
          <w:spacing w:val="6"/>
          <w:sz w:val="32"/>
          <w:szCs w:val="32"/>
          <w:lang w:val="en-US" w:eastAsia="zh-CN"/>
        </w:rPr>
        <w:t>2021年中央下达我局医疗服务与保障能力提升补助资金预算合计161万元。其中：142万元于2021年1月下达指标，经我局党组2021年第2次党组会议研究，充分考虑我州医疗保障工作实际，分配至全州辖区13 个县（市）级医疗保障局及卧龙特别行政区卧龙特别行政区人事与劳动保障局132万元，留存州本级 10 万元。各县(市)医疗保障局预算为汶川县、茂县、九寨沟县分别为11万元；马尔康市、松潘县、小金县、金川县、阿坝县、若尔盖县、红原县、壤塘县分别为10万元；理县、黑水县分别为8万元；卧龙特别行政区3万元。19万元于2021年7月下达指标，经我局党组2021年第15次党组会议研究，充分考虑我州医疗保障工作实际，将下达2021年医疗服务与保障能力中央财政补助资金19万全部留存州本级使用。</w:t>
      </w:r>
    </w:p>
    <w:p>
      <w:pPr>
        <w:pStyle w:val="2"/>
        <w:keepNext w:val="0"/>
        <w:keepLines w:val="0"/>
        <w:pageBreakBefore w:val="0"/>
        <w:widowControl w:val="0"/>
        <w:numPr>
          <w:ilvl w:val="0"/>
          <w:numId w:val="7"/>
        </w:numPr>
        <w:kinsoku/>
        <w:wordWrap/>
        <w:overflowPunct/>
        <w:topLinePunct w:val="0"/>
        <w:autoSpaceDE/>
        <w:autoSpaceDN/>
        <w:bidi w:val="0"/>
        <w:spacing w:before="0" w:beforeLines="0" w:line="560" w:lineRule="exact"/>
        <w:ind w:left="0" w:firstLine="720"/>
        <w:jc w:val="both"/>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项目管理情况。</w:t>
      </w:r>
    </w:p>
    <w:p>
      <w:pPr>
        <w:pStyle w:val="2"/>
        <w:keepNext w:val="0"/>
        <w:keepLines w:val="0"/>
        <w:pageBreakBefore w:val="0"/>
        <w:widowControl w:val="0"/>
        <w:kinsoku/>
        <w:wordWrap/>
        <w:overflowPunct/>
        <w:topLinePunct w:val="0"/>
        <w:autoSpaceDE/>
        <w:autoSpaceDN/>
        <w:bidi w:val="0"/>
        <w:spacing w:before="0" w:beforeLines="0" w:line="560" w:lineRule="exact"/>
        <w:ind w:left="0" w:firstLine="664" w:firstLineChars="200"/>
        <w:jc w:val="both"/>
        <w:textAlignment w:val="auto"/>
        <w:rPr>
          <w:rFonts w:hint="eastAsia" w:ascii="仿宋_GB2312" w:hAnsi="仿宋_GB2312" w:eastAsia="仿宋_GB2312" w:cs="仿宋_GB2312"/>
          <w:b w:val="0"/>
          <w:bCs w:val="0"/>
          <w:kern w:val="2"/>
          <w:sz w:val="32"/>
          <w:szCs w:val="32"/>
          <w:lang w:val="zh-CN" w:eastAsia="zh-CN" w:bidi="ar-SA"/>
        </w:rPr>
      </w:pPr>
      <w:r>
        <w:rPr>
          <w:rFonts w:hint="eastAsia" w:ascii="仿宋_GB2312" w:hAnsi="仿宋_GB2312" w:eastAsia="仿宋_GB2312" w:cs="仿宋_GB2312"/>
          <w:spacing w:val="6"/>
          <w:kern w:val="2"/>
          <w:sz w:val="32"/>
          <w:szCs w:val="32"/>
          <w:lang w:val="en-US" w:eastAsia="zh-CN" w:bidi="ar-SA"/>
        </w:rPr>
        <w:t>按照《四川省财政厅 四川省医疗保障局关于提前关于下达 2021</w:t>
      </w:r>
      <w:r>
        <w:rPr>
          <w:rFonts w:hint="eastAsia" w:ascii="仿宋_GB2312" w:hAnsi="仿宋_GB2312" w:eastAsia="仿宋_GB2312" w:cs="仿宋_GB2312"/>
          <w:b w:val="0"/>
          <w:bCs w:val="0"/>
          <w:spacing w:val="6"/>
          <w:sz w:val="32"/>
          <w:szCs w:val="32"/>
          <w:lang w:val="en-US" w:eastAsia="zh-CN" w:bidi="ar-SA"/>
        </w:rPr>
        <w:t>年医疗服务与保障能力提升中央财政补助资金预算的通知》（川财社〔2020〕172号）、《四川省财政厅 四川省医疗保障局关于下达 2021年医疗服务与保障能力提升中央财政补助资金（医疗保障服务能力提升部分）预算的通知》（川财社〔2021〕45 号）</w:t>
      </w:r>
      <w:r>
        <w:rPr>
          <w:rFonts w:hint="eastAsia" w:ascii="仿宋_GB2312" w:hAnsi="仿宋_GB2312" w:eastAsia="仿宋_GB2312" w:cs="仿宋_GB2312"/>
          <w:b w:val="0"/>
          <w:bCs w:val="0"/>
          <w:kern w:val="2"/>
          <w:sz w:val="32"/>
          <w:szCs w:val="32"/>
          <w:lang w:val="en-US" w:eastAsia="zh-CN" w:bidi="ar-SA"/>
        </w:rPr>
        <w:t>文件的相关规定；项目实施的人员条件、场地设备、信息支撑等落实到位。项目管理制度比较健全完善，执行有效。</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firstLine="642"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（三）项目监管情况。</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zh-CN" w:eastAsia="zh-CN" w:bidi="ar-SA"/>
        </w:rPr>
      </w:pPr>
      <w:r>
        <w:rPr>
          <w:rFonts w:hint="eastAsia" w:ascii="仿宋_GB2312" w:hAnsi="仿宋_GB2312" w:eastAsia="仿宋_GB2312" w:cs="仿宋_GB2312"/>
          <w:b w:val="0"/>
          <w:bCs w:val="0"/>
          <w:spacing w:val="6"/>
          <w:sz w:val="32"/>
          <w:szCs w:val="32"/>
          <w:lang w:val="zh-CN" w:eastAsia="zh-CN" w:bidi="ar-SA"/>
        </w:rPr>
        <w:t>根据《</w:t>
      </w:r>
      <w:r>
        <w:rPr>
          <w:rFonts w:hint="eastAsia" w:ascii="仿宋_GB2312" w:hAnsi="仿宋_GB2312" w:eastAsia="仿宋_GB2312" w:cs="仿宋_GB2312"/>
          <w:b w:val="0"/>
          <w:bCs w:val="0"/>
          <w:spacing w:val="6"/>
          <w:sz w:val="32"/>
          <w:szCs w:val="32"/>
          <w:lang w:val="en-US" w:eastAsia="zh-CN" w:bidi="ar-SA"/>
        </w:rPr>
        <w:t>阿坝州财政局关于开展2021年部门、政策和项目支出绩效评价工作的通知</w:t>
      </w:r>
      <w:r>
        <w:rPr>
          <w:rFonts w:hint="eastAsia" w:ascii="仿宋_GB2312" w:hAnsi="仿宋_GB2312" w:eastAsia="仿宋_GB2312" w:cs="仿宋_GB2312"/>
          <w:b w:val="0"/>
          <w:bCs w:val="0"/>
          <w:spacing w:val="6"/>
          <w:sz w:val="32"/>
          <w:szCs w:val="32"/>
          <w:lang w:val="zh-CN" w:eastAsia="zh-CN" w:bidi="ar-SA"/>
        </w:rPr>
        <w:t>》阿州财</w:t>
      </w:r>
      <w:r>
        <w:rPr>
          <w:rFonts w:hint="eastAsia" w:ascii="仿宋_GB2312" w:hAnsi="仿宋_GB2312" w:eastAsia="仿宋_GB2312" w:cs="仿宋_GB2312"/>
          <w:b w:val="0"/>
          <w:bCs w:val="0"/>
          <w:spacing w:val="6"/>
          <w:sz w:val="32"/>
          <w:szCs w:val="32"/>
          <w:lang w:val="en-US" w:eastAsia="zh-CN" w:bidi="ar-SA"/>
        </w:rPr>
        <w:t>监绩</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2021</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11</w:t>
      </w:r>
      <w:r>
        <w:rPr>
          <w:rFonts w:hint="eastAsia" w:ascii="仿宋_GB2312" w:hAnsi="仿宋_GB2312" w:eastAsia="仿宋_GB2312" w:cs="仿宋_GB2312"/>
          <w:b w:val="0"/>
          <w:bCs w:val="0"/>
          <w:spacing w:val="6"/>
          <w:sz w:val="32"/>
          <w:szCs w:val="32"/>
          <w:lang w:val="zh-CN" w:eastAsia="zh-CN" w:bidi="ar-SA"/>
        </w:rPr>
        <w:t>号文件要求，</w:t>
      </w:r>
      <w:r>
        <w:rPr>
          <w:rFonts w:hint="eastAsia" w:ascii="仿宋_GB2312" w:hAnsi="仿宋_GB2312" w:eastAsia="仿宋_GB2312" w:cs="仿宋_GB2312"/>
          <w:b w:val="0"/>
          <w:bCs w:val="0"/>
          <w:spacing w:val="6"/>
          <w:sz w:val="32"/>
          <w:szCs w:val="32"/>
          <w:lang w:val="en-US" w:eastAsia="zh-CN" w:bidi="ar-SA"/>
        </w:rPr>
        <w:t>开展2021年部门、政策和项目支出绩效评价，并根据</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项目支出</w:t>
      </w:r>
      <w:r>
        <w:rPr>
          <w:rFonts w:hint="eastAsia" w:ascii="仿宋_GB2312" w:hAnsi="仿宋_GB2312" w:eastAsia="仿宋_GB2312" w:cs="仿宋_GB2312"/>
          <w:b w:val="0"/>
          <w:bCs w:val="0"/>
          <w:spacing w:val="6"/>
          <w:sz w:val="32"/>
          <w:szCs w:val="32"/>
          <w:lang w:val="zh-CN" w:eastAsia="zh-CN" w:bidi="ar-SA"/>
        </w:rPr>
        <w:t>绩效管理</w:t>
      </w:r>
      <w:r>
        <w:rPr>
          <w:rFonts w:hint="eastAsia" w:ascii="仿宋_GB2312" w:hAnsi="仿宋_GB2312" w:eastAsia="仿宋_GB2312" w:cs="仿宋_GB2312"/>
          <w:b w:val="0"/>
          <w:bCs w:val="0"/>
          <w:spacing w:val="6"/>
          <w:sz w:val="32"/>
          <w:szCs w:val="32"/>
          <w:lang w:val="en-US" w:eastAsia="zh-CN" w:bidi="ar-SA"/>
        </w:rPr>
        <w:t>办法</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撰写部门整体绩效评价、各项目支出绩效评价。</w:t>
      </w:r>
      <w:r>
        <w:rPr>
          <w:rFonts w:hint="eastAsia" w:ascii="仿宋_GB2312" w:hAnsi="仿宋_GB2312" w:eastAsia="仿宋_GB2312" w:cs="仿宋_GB2312"/>
          <w:b w:val="0"/>
          <w:bCs w:val="0"/>
          <w:spacing w:val="6"/>
          <w:sz w:val="32"/>
          <w:szCs w:val="32"/>
          <w:lang w:val="zh-CN" w:eastAsia="zh-CN" w:bidi="ar-SA"/>
        </w:rPr>
        <w:t>根据阿州财</w:t>
      </w:r>
      <w:r>
        <w:rPr>
          <w:rFonts w:hint="eastAsia" w:ascii="仿宋_GB2312" w:hAnsi="仿宋_GB2312" w:eastAsia="仿宋_GB2312" w:cs="仿宋_GB2312"/>
          <w:b w:val="0"/>
          <w:bCs w:val="0"/>
          <w:spacing w:val="6"/>
          <w:sz w:val="32"/>
          <w:szCs w:val="32"/>
          <w:lang w:val="en-US" w:eastAsia="zh-CN" w:bidi="ar-SA"/>
        </w:rPr>
        <w:t>监绩</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2021</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15</w:t>
      </w:r>
      <w:r>
        <w:rPr>
          <w:rFonts w:hint="eastAsia" w:ascii="仿宋_GB2312" w:hAnsi="仿宋_GB2312" w:eastAsia="仿宋_GB2312" w:cs="仿宋_GB2312"/>
          <w:b w:val="0"/>
          <w:bCs w:val="0"/>
          <w:spacing w:val="6"/>
          <w:sz w:val="32"/>
          <w:szCs w:val="32"/>
          <w:lang w:val="zh-CN" w:eastAsia="zh-CN" w:bidi="ar-SA"/>
        </w:rPr>
        <w:t>号文件要求，我</w:t>
      </w:r>
      <w:r>
        <w:rPr>
          <w:rFonts w:hint="eastAsia" w:ascii="仿宋_GB2312" w:hAnsi="仿宋_GB2312" w:eastAsia="仿宋_GB2312" w:cs="仿宋_GB2312"/>
          <w:b w:val="0"/>
          <w:bCs w:val="0"/>
          <w:spacing w:val="6"/>
          <w:sz w:val="32"/>
          <w:szCs w:val="32"/>
          <w:lang w:val="en-US" w:eastAsia="zh-CN" w:bidi="ar-SA"/>
        </w:rPr>
        <w:t>局</w:t>
      </w:r>
      <w:r>
        <w:rPr>
          <w:rFonts w:hint="eastAsia" w:ascii="仿宋_GB2312" w:hAnsi="仿宋_GB2312" w:eastAsia="仿宋_GB2312" w:cs="仿宋_GB2312"/>
          <w:b w:val="0"/>
          <w:bCs w:val="0"/>
          <w:spacing w:val="6"/>
          <w:sz w:val="32"/>
          <w:szCs w:val="32"/>
          <w:lang w:val="zh-CN" w:eastAsia="zh-CN" w:bidi="ar-SA"/>
        </w:rPr>
        <w:t>对</w:t>
      </w:r>
      <w:r>
        <w:rPr>
          <w:rFonts w:hint="eastAsia" w:ascii="仿宋_GB2312" w:hAnsi="仿宋_GB2312" w:eastAsia="仿宋_GB2312" w:cs="仿宋_GB2312"/>
          <w:b w:val="0"/>
          <w:bCs w:val="0"/>
          <w:spacing w:val="6"/>
          <w:sz w:val="32"/>
          <w:szCs w:val="32"/>
          <w:lang w:val="en-US" w:eastAsia="zh-CN" w:bidi="ar-SA"/>
        </w:rPr>
        <w:t>2021年1-8月</w:t>
      </w:r>
      <w:r>
        <w:rPr>
          <w:rFonts w:hint="eastAsia" w:ascii="仿宋_GB2312" w:hAnsi="仿宋_GB2312" w:eastAsia="仿宋_GB2312" w:cs="仿宋_GB2312"/>
          <w:b w:val="0"/>
          <w:bCs w:val="0"/>
          <w:spacing w:val="6"/>
          <w:sz w:val="32"/>
          <w:szCs w:val="32"/>
          <w:lang w:val="zh-CN" w:eastAsia="zh-CN" w:bidi="ar-SA"/>
        </w:rPr>
        <w:t>财政资金使用管理情况，按照《阿坝州</w:t>
      </w:r>
      <w:r>
        <w:rPr>
          <w:rFonts w:hint="eastAsia" w:ascii="仿宋_GB2312" w:hAnsi="仿宋_GB2312" w:eastAsia="仿宋_GB2312" w:cs="仿宋_GB2312"/>
          <w:b w:val="0"/>
          <w:bCs w:val="0"/>
          <w:spacing w:val="6"/>
          <w:sz w:val="32"/>
          <w:szCs w:val="32"/>
          <w:lang w:val="en-US" w:eastAsia="zh-CN" w:bidi="ar-SA"/>
        </w:rPr>
        <w:t>州级2021年</w:t>
      </w:r>
      <w:r>
        <w:rPr>
          <w:rFonts w:hint="eastAsia" w:ascii="仿宋_GB2312" w:hAnsi="仿宋_GB2312" w:eastAsia="仿宋_GB2312" w:cs="仿宋_GB2312"/>
          <w:b w:val="0"/>
          <w:bCs w:val="0"/>
          <w:spacing w:val="6"/>
          <w:sz w:val="32"/>
          <w:szCs w:val="32"/>
          <w:lang w:val="zh-CN" w:eastAsia="zh-CN" w:bidi="ar-SA"/>
        </w:rPr>
        <w:t>预算绩效管理</w:t>
      </w:r>
      <w:r>
        <w:rPr>
          <w:rFonts w:hint="eastAsia" w:ascii="仿宋_GB2312" w:hAnsi="仿宋_GB2312" w:eastAsia="仿宋_GB2312" w:cs="仿宋_GB2312"/>
          <w:b w:val="0"/>
          <w:bCs w:val="0"/>
          <w:spacing w:val="6"/>
          <w:sz w:val="32"/>
          <w:szCs w:val="32"/>
          <w:lang w:val="en-US" w:eastAsia="zh-CN" w:bidi="ar-SA"/>
        </w:rPr>
        <w:t>工作要点</w:t>
      </w:r>
      <w:r>
        <w:rPr>
          <w:rFonts w:hint="eastAsia" w:ascii="仿宋_GB2312" w:hAnsi="仿宋_GB2312" w:eastAsia="仿宋_GB2312" w:cs="仿宋_GB2312"/>
          <w:b w:val="0"/>
          <w:bCs w:val="0"/>
          <w:spacing w:val="6"/>
          <w:sz w:val="32"/>
          <w:szCs w:val="32"/>
          <w:lang w:val="zh-CN" w:eastAsia="zh-CN" w:bidi="ar-SA"/>
        </w:rPr>
        <w:t>》认真开展自评工作，撰写部门自评报告。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（一）项目完成情况。</w:t>
      </w:r>
    </w:p>
    <w:p>
      <w:pPr>
        <w:keepNext w:val="0"/>
        <w:keepLines w:val="0"/>
        <w:pageBreakBefore w:val="0"/>
        <w:widowControl w:val="0"/>
        <w:kinsoku/>
        <w:wordWrap/>
        <w:overflowPunct/>
        <w:topLinePunct w:val="0"/>
        <w:autoSpaceDE/>
        <w:autoSpaceDN/>
        <w:bidi w:val="0"/>
        <w:adjustRightInd/>
        <w:snapToGrid/>
        <w:spacing w:line="560" w:lineRule="exact"/>
        <w:ind w:firstLine="666"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1.项目决策。</w:t>
      </w:r>
      <w:r>
        <w:rPr>
          <w:rFonts w:hint="eastAsia" w:ascii="仿宋_GB2312" w:hAnsi="仿宋_GB2312" w:eastAsia="仿宋_GB2312" w:cs="仿宋_GB2312"/>
          <w:b w:val="0"/>
          <w:bCs w:val="0"/>
          <w:spacing w:val="6"/>
          <w:kern w:val="2"/>
          <w:sz w:val="32"/>
          <w:szCs w:val="32"/>
          <w:lang w:val="en-US" w:eastAsia="zh-CN" w:bidi="ar-SA"/>
        </w:rPr>
        <w:t>严格按照2021年中央财政医疗服务与保障能力提升补助资金的批复用途，认真进行项目实施。决策过程通过对项目决策程序规范性评价，表明项目绩效目标清晰、具体，决策程序科学、有效，项目预算准确、合理，项目预算金额的取得建立了测算方法和标准。</w:t>
      </w:r>
    </w:p>
    <w:p>
      <w:pPr>
        <w:pStyle w:val="7"/>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2.项目实施。</w:t>
      </w:r>
      <w:r>
        <w:rPr>
          <w:rFonts w:hint="eastAsia" w:ascii="仿宋_GB2312" w:hAnsi="仿宋_GB2312" w:eastAsia="仿宋_GB2312" w:cs="仿宋_GB2312"/>
          <w:b w:val="0"/>
          <w:bCs w:val="0"/>
          <w:spacing w:val="6"/>
          <w:sz w:val="32"/>
          <w:szCs w:val="32"/>
          <w:lang w:val="en-US" w:eastAsia="zh-CN" w:bidi="ar-SA"/>
        </w:rPr>
        <w:t>资金分配及时，资金分配管理科学合理、规范有序且资金分配方向与规划计划支持方向相符合。加强组织协调，严格遵循专款专用、严禁挤占挪用的原则，确</w:t>
      </w:r>
      <w:r>
        <w:rPr>
          <w:rFonts w:hint="eastAsia" w:ascii="仿宋_GB2312" w:hAnsi="仿宋_GB2312" w:eastAsia="仿宋_GB2312" w:cs="仿宋_GB2312"/>
          <w:b w:val="0"/>
          <w:bCs w:val="0"/>
          <w:spacing w:val="6"/>
          <w:kern w:val="2"/>
          <w:sz w:val="32"/>
          <w:szCs w:val="32"/>
          <w:lang w:val="en-US" w:eastAsia="zh-CN" w:bidi="ar-SA"/>
        </w:rPr>
        <w:t>保项目顺利实施。</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firstLine="666"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3.完成结果。</w:t>
      </w:r>
      <w:r>
        <w:rPr>
          <w:rFonts w:hint="eastAsia" w:ascii="仿宋_GB2312" w:hAnsi="仿宋_GB2312" w:eastAsia="仿宋_GB2312" w:cs="仿宋_GB2312"/>
          <w:b w:val="0"/>
          <w:bCs w:val="0"/>
          <w:spacing w:val="6"/>
          <w:kern w:val="2"/>
          <w:sz w:val="32"/>
          <w:szCs w:val="32"/>
          <w:lang w:val="en-US" w:eastAsia="zh-CN" w:bidi="ar-SA"/>
        </w:rPr>
        <w:t>预算161万元，执行158.81万元，结余2.19万元，完成率98.64%。</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firstLine="618"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highlight w:val="none"/>
          <w:lang w:val="en-US" w:eastAsia="zh-CN" w:bidi="ar-SA"/>
        </w:rPr>
        <w:t>医保新闻宣传、政府信息工作和政策研究能力等方面培训有所提高。</w:t>
      </w:r>
      <w:r>
        <w:rPr>
          <w:rFonts w:hint="eastAsia" w:ascii="仿宋_GB2312" w:hAnsi="仿宋_GB2312" w:eastAsia="仿宋_GB2312" w:cs="仿宋_GB2312"/>
          <w:b w:val="0"/>
          <w:bCs w:val="0"/>
          <w:spacing w:val="6"/>
          <w:sz w:val="32"/>
          <w:szCs w:val="32"/>
          <w:lang w:val="en-US" w:eastAsia="zh-CN" w:bidi="ar-SA"/>
        </w:rPr>
        <w:t>在官网和微信公众号发布政策文件和解读情况，落实专人负责网站及微信公众号的运行、</w:t>
      </w:r>
      <w:r>
        <w:rPr>
          <w:rFonts w:hint="eastAsia" w:ascii="仿宋_GB2312" w:hAnsi="仿宋_GB2312" w:eastAsia="仿宋_GB2312" w:cs="仿宋_GB2312"/>
          <w:b w:val="0"/>
          <w:bCs w:val="0"/>
          <w:spacing w:val="6"/>
          <w:sz w:val="32"/>
          <w:szCs w:val="32"/>
          <w:highlight w:val="none"/>
          <w:lang w:val="en-US" w:eastAsia="zh-CN" w:bidi="ar-SA"/>
        </w:rPr>
        <w:t>维护。</w:t>
      </w:r>
    </w:p>
    <w:p>
      <w:pPr>
        <w:keepNext w:val="0"/>
        <w:keepLines w:val="0"/>
        <w:pageBreakBefore w:val="0"/>
        <w:widowControl w:val="0"/>
        <w:kinsoku/>
        <w:wordWrap/>
        <w:overflowPunct/>
        <w:topLinePunct w:val="0"/>
        <w:bidi w:val="0"/>
        <w:spacing w:line="560" w:lineRule="exact"/>
        <w:ind w:firstLine="618"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val="0"/>
          <w:color w:val="000000"/>
          <w:spacing w:val="-6"/>
          <w:sz w:val="32"/>
          <w:szCs w:val="32"/>
        </w:rPr>
        <w:t>大力实施医保支付方式改革。</w:t>
      </w:r>
      <w:r>
        <w:rPr>
          <w:rFonts w:hint="eastAsia" w:ascii="仿宋_GB2312" w:hAnsi="仿宋_GB2312" w:eastAsia="仿宋_GB2312" w:cs="仿宋_GB2312"/>
          <w:spacing w:val="-6"/>
          <w:sz w:val="32"/>
          <w:szCs w:val="32"/>
          <w:lang w:bidi="ar-SA"/>
        </w:rPr>
        <w:t>实施按病种收付费改革，将按病种收付费扩大到全州符合条件的二级以上协议管理医疗机构；积极探索按疾病诊断相关分组（DRG）付费方式改革</w:t>
      </w:r>
      <w:r>
        <w:rPr>
          <w:rFonts w:hint="eastAsia" w:ascii="仿宋_GB2312" w:hAnsi="仿宋_GB2312" w:eastAsia="仿宋_GB2312" w:cs="仿宋_GB2312"/>
          <w:b w:val="0"/>
          <w:bCs w:val="0"/>
          <w:spacing w:val="6"/>
          <w:sz w:val="32"/>
          <w:szCs w:val="32"/>
          <w:lang w:val="en-US" w:eastAsia="zh-CN" w:bidi="ar-SA"/>
        </w:rPr>
        <w:t>。</w:t>
      </w:r>
    </w:p>
    <w:p>
      <w:pPr>
        <w:keepNext w:val="0"/>
        <w:keepLines w:val="0"/>
        <w:pageBreakBefore w:val="0"/>
        <w:widowControl w:val="0"/>
        <w:kinsoku/>
        <w:wordWrap/>
        <w:overflowPunct/>
        <w:topLinePunct w:val="0"/>
        <w:bidi w:val="0"/>
        <w:spacing w:line="560" w:lineRule="exact"/>
        <w:ind w:firstLine="664" w:firstLineChars="200"/>
        <w:textAlignment w:val="auto"/>
        <w:rPr>
          <w:rFonts w:hint="eastAsia" w:ascii="仿宋_GB2312" w:hAnsi="仿宋_GB2312" w:eastAsia="仿宋_GB2312" w:cs="仿宋_GB2312"/>
          <w:b w:val="0"/>
          <w:bCs w:val="0"/>
          <w:spacing w:val="6"/>
          <w:sz w:val="32"/>
          <w:szCs w:val="32"/>
          <w:highlight w:val="none"/>
          <w:lang w:val="en-US" w:eastAsia="zh-CN" w:bidi="ar-SA"/>
        </w:rPr>
      </w:pPr>
      <w:r>
        <w:rPr>
          <w:rFonts w:hint="eastAsia" w:ascii="仿宋_GB2312" w:hAnsi="仿宋_GB2312" w:eastAsia="仿宋_GB2312" w:cs="仿宋_GB2312"/>
          <w:b w:val="0"/>
          <w:bCs w:val="0"/>
          <w:spacing w:val="6"/>
          <w:sz w:val="32"/>
          <w:szCs w:val="32"/>
          <w:highlight w:val="none"/>
          <w:lang w:val="en-US" w:eastAsia="zh-CN" w:bidi="ar-SA"/>
        </w:rPr>
        <w:t>定点医药机构监督检查覆盖率 100</w:t>
      </w:r>
      <w:r>
        <w:rPr>
          <w:rFonts w:hint="eastAsia" w:ascii="仿宋_GB2312" w:hAnsi="仿宋_GB2312" w:eastAsia="仿宋_GB2312" w:cs="仿宋_GB2312"/>
          <w:b w:val="0"/>
          <w:bCs w:val="0"/>
          <w:spacing w:val="6"/>
          <w:sz w:val="32"/>
          <w:szCs w:val="32"/>
          <w:highlight w:val="none"/>
          <w:lang w:val="en-US" w:eastAsia="zh-CN" w:bidi="ar-SA"/>
        </w:rPr>
        <w:drawing>
          <wp:inline distT="0" distB="0" distL="0" distR="0">
            <wp:extent cx="84455" cy="154940"/>
            <wp:effectExtent l="0" t="0" r="33" b="29"/>
            <wp:docPr id="4" name="image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true"/>
                    </pic:cNvPicPr>
                  </pic:nvPicPr>
                  <pic:blipFill>
                    <a:blip r:embed="rId20"/>
                    <a:stretch>
                      <a:fillRect/>
                    </a:stretch>
                  </pic:blipFill>
                  <pic:spPr>
                    <a:xfrm>
                      <a:off x="0" y="0"/>
                      <a:ext cx="85089" cy="154940"/>
                    </a:xfrm>
                    <a:prstGeom prst="rect">
                      <a:avLst/>
                    </a:prstGeom>
                    <a:noFill/>
                    <a:ln w="9525" cap="flat" cmpd="sng">
                      <a:noFill/>
                      <a:prstDash val="solid"/>
                      <a:miter/>
                    </a:ln>
                  </pic:spPr>
                </pic:pic>
              </a:graphicData>
            </a:graphic>
          </wp:inline>
        </w:drawing>
      </w:r>
      <w:r>
        <w:rPr>
          <w:rFonts w:hint="eastAsia" w:ascii="仿宋_GB2312" w:hAnsi="仿宋_GB2312" w:eastAsia="仿宋_GB2312" w:cs="仿宋_GB2312"/>
          <w:b w:val="0"/>
          <w:bCs w:val="0"/>
          <w:spacing w:val="6"/>
          <w:sz w:val="32"/>
          <w:szCs w:val="32"/>
          <w:highlight w:val="none"/>
          <w:lang w:val="en-US" w:eastAsia="zh-CN" w:bidi="ar-SA"/>
        </w:rPr>
        <w:t>。</w:t>
      </w:r>
    </w:p>
    <w:p>
      <w:pPr>
        <w:keepNext w:val="0"/>
        <w:keepLines w:val="0"/>
        <w:pageBreakBefore w:val="0"/>
        <w:widowControl w:val="0"/>
        <w:kinsoku/>
        <w:wordWrap/>
        <w:overflowPunct/>
        <w:topLinePunct w:val="0"/>
        <w:bidi w:val="0"/>
        <w:spacing w:line="560" w:lineRule="exact"/>
        <w:ind w:firstLine="618"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sz w:val="32"/>
          <w:szCs w:val="32"/>
          <w:highlight w:val="none"/>
          <w:lang w:bidi="ar-SA"/>
        </w:rPr>
        <w:t>推进医保信息化建设</w:t>
      </w:r>
      <w:r>
        <w:rPr>
          <w:rFonts w:hint="eastAsia" w:ascii="仿宋_GB2312" w:hAnsi="仿宋_GB2312" w:eastAsia="仿宋_GB2312" w:cs="仿宋_GB2312"/>
          <w:b/>
          <w:bCs/>
          <w:spacing w:val="-6"/>
          <w:sz w:val="32"/>
          <w:szCs w:val="32"/>
          <w:highlight w:val="none"/>
          <w:lang w:eastAsia="zh-CN" w:bidi="ar-SA"/>
        </w:rPr>
        <w:t>。</w:t>
      </w:r>
      <w:r>
        <w:rPr>
          <w:rFonts w:hint="eastAsia" w:ascii="仿宋_GB2312" w:hAnsi="仿宋_GB2312" w:eastAsia="仿宋_GB2312" w:cs="仿宋_GB2312"/>
          <w:b w:val="0"/>
          <w:bCs w:val="0"/>
          <w:spacing w:val="-6"/>
          <w:sz w:val="32"/>
          <w:szCs w:val="32"/>
          <w:highlight w:val="none"/>
          <w:lang w:bidi="ar-SA"/>
        </w:rPr>
        <w:t>坚决落实国家、省局部署，印发了《阿坝州医疗保障局医疗保障一体</w:t>
      </w:r>
      <w:r>
        <w:rPr>
          <w:rFonts w:hint="eastAsia" w:ascii="仿宋_GB2312" w:hAnsi="仿宋_GB2312" w:eastAsia="仿宋_GB2312" w:cs="仿宋_GB2312"/>
          <w:spacing w:val="-6"/>
          <w:sz w:val="32"/>
          <w:szCs w:val="32"/>
          <w:lang w:bidi="ar-SA"/>
        </w:rPr>
        <w:t>化大数据平台上线工作方案》，制定了《阿坝州各县市贯标工作进度安排表》《阿坝州医保定点医疗机构贯标工作进度安排表》，明确目标、挂图作战，2021年9月</w:t>
      </w:r>
      <w:r>
        <w:rPr>
          <w:rFonts w:hint="eastAsia" w:ascii="仿宋_GB2312" w:hAnsi="仿宋_GB2312" w:eastAsia="仿宋_GB2312" w:cs="仿宋_GB2312"/>
          <w:spacing w:val="-6"/>
          <w:sz w:val="32"/>
          <w:szCs w:val="32"/>
          <w:lang w:eastAsia="zh-CN" w:bidi="ar-SA"/>
        </w:rPr>
        <w:t>，</w:t>
      </w:r>
      <w:r>
        <w:rPr>
          <w:rFonts w:hint="eastAsia" w:ascii="仿宋_GB2312" w:hAnsi="仿宋_GB2312" w:eastAsia="仿宋_GB2312" w:cs="仿宋_GB2312"/>
          <w:spacing w:val="-6"/>
          <w:sz w:val="32"/>
          <w:szCs w:val="32"/>
          <w:lang w:val="en-US" w:eastAsia="zh-CN" w:bidi="ar-SA"/>
        </w:rPr>
        <w:t>阿坝州在全省第四、全省民族地区率先</w:t>
      </w:r>
      <w:r>
        <w:rPr>
          <w:rFonts w:hint="eastAsia" w:ascii="仿宋_GB2312" w:hAnsi="仿宋_GB2312" w:eastAsia="仿宋_GB2312" w:cs="仿宋_GB2312"/>
          <w:color w:val="000000"/>
          <w:spacing w:val="-6"/>
          <w:sz w:val="32"/>
          <w:szCs w:val="32"/>
          <w:lang w:bidi="ar-SA"/>
        </w:rPr>
        <w:t>上线运行</w:t>
      </w:r>
      <w:r>
        <w:rPr>
          <w:rFonts w:hint="eastAsia" w:ascii="仿宋_GB2312" w:hAnsi="仿宋_GB2312" w:eastAsia="仿宋_GB2312" w:cs="仿宋_GB2312"/>
          <w:spacing w:val="-6"/>
          <w:sz w:val="32"/>
          <w:szCs w:val="32"/>
          <w:lang w:bidi="ar-SA"/>
        </w:rPr>
        <w:t>国家医疗保障信息平台</w:t>
      </w:r>
      <w:r>
        <w:rPr>
          <w:rFonts w:hint="eastAsia" w:ascii="仿宋_GB2312" w:hAnsi="仿宋_GB2312" w:eastAsia="仿宋_GB2312" w:cs="仿宋_GB2312"/>
          <w:color w:val="000000"/>
          <w:spacing w:val="-6"/>
          <w:sz w:val="32"/>
          <w:szCs w:val="32"/>
          <w:lang w:bidi="ar-SA"/>
        </w:rPr>
        <w:t>；大力推广电子医保凭证，截</w:t>
      </w:r>
      <w:r>
        <w:rPr>
          <w:rFonts w:hint="eastAsia" w:ascii="仿宋_GB2312" w:hAnsi="仿宋_GB2312" w:eastAsia="仿宋_GB2312" w:cs="仿宋_GB2312"/>
          <w:color w:val="000000"/>
          <w:spacing w:val="-6"/>
          <w:sz w:val="32"/>
          <w:szCs w:val="32"/>
          <w:lang w:eastAsia="zh-CN" w:bidi="ar-SA"/>
        </w:rPr>
        <w:t>至</w:t>
      </w:r>
      <w:r>
        <w:rPr>
          <w:rFonts w:hint="eastAsia" w:ascii="仿宋_GB2312" w:hAnsi="仿宋_GB2312" w:eastAsia="仿宋_GB2312" w:cs="仿宋_GB2312"/>
          <w:color w:val="000000"/>
          <w:spacing w:val="-6"/>
          <w:sz w:val="32"/>
          <w:szCs w:val="32"/>
          <w:lang w:bidi="ar-SA"/>
        </w:rPr>
        <w:t>目前，全州已开通电子医保凭证10余万人</w:t>
      </w:r>
      <w:r>
        <w:rPr>
          <w:rFonts w:hint="eastAsia" w:ascii="仿宋_GB2312" w:hAnsi="仿宋_GB2312" w:eastAsia="仿宋_GB2312" w:cs="仿宋_GB2312"/>
          <w:spacing w:val="-6"/>
          <w:sz w:val="32"/>
          <w:szCs w:val="32"/>
          <w:lang w:bidi="ar-SA"/>
        </w:rPr>
        <w:t>。</w:t>
      </w:r>
      <w:r>
        <w:rPr>
          <w:rFonts w:hint="eastAsia" w:ascii="仿宋_GB2312" w:hAnsi="仿宋_GB2312" w:eastAsia="仿宋_GB2312" w:cs="仿宋_GB2312"/>
          <w:b w:val="0"/>
          <w:bCs w:val="0"/>
          <w:spacing w:val="6"/>
          <w:sz w:val="32"/>
          <w:szCs w:val="32"/>
          <w:lang w:val="en-US" w:eastAsia="zh-CN" w:bidi="ar-SA"/>
        </w:rPr>
        <w:t>医保信息系统验收合格率、医保信息系统正常运行率大于等于 90</w:t>
      </w:r>
      <w:r>
        <w:rPr>
          <w:rFonts w:hint="eastAsia" w:ascii="仿宋_GB2312" w:hAnsi="仿宋_GB2312" w:eastAsia="仿宋_GB2312" w:cs="仿宋_GB2312"/>
          <w:b w:val="0"/>
          <w:bCs w:val="0"/>
          <w:spacing w:val="6"/>
          <w:sz w:val="32"/>
          <w:szCs w:val="32"/>
          <w:lang w:val="en-US" w:eastAsia="zh-CN" w:bidi="ar-SA"/>
        </w:rPr>
        <w:drawing>
          <wp:inline distT="0" distB="0" distL="0" distR="0">
            <wp:extent cx="84455" cy="154940"/>
            <wp:effectExtent l="0" t="0" r="33" b="29"/>
            <wp:docPr id="18" name="image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image2.png"/>
                    <pic:cNvPicPr>
                      <a:picLocks noChangeAspect="true"/>
                    </pic:cNvPicPr>
                  </pic:nvPicPr>
                  <pic:blipFill>
                    <a:blip r:embed="rId20"/>
                    <a:stretch>
                      <a:fillRect/>
                    </a:stretch>
                  </pic:blipFill>
                  <pic:spPr>
                    <a:xfrm>
                      <a:off x="0" y="0"/>
                      <a:ext cx="85089" cy="154940"/>
                    </a:xfrm>
                    <a:prstGeom prst="rect">
                      <a:avLst/>
                    </a:prstGeom>
                    <a:noFill/>
                    <a:ln w="9525" cap="flat" cmpd="sng">
                      <a:noFill/>
                      <a:prstDash val="solid"/>
                      <a:miter/>
                    </a:ln>
                  </pic:spPr>
                </pic:pic>
              </a:graphicData>
            </a:graphic>
          </wp:inline>
        </w:drawing>
      </w:r>
      <w:r>
        <w:rPr>
          <w:rFonts w:hint="eastAsia" w:ascii="仿宋_GB2312" w:hAnsi="仿宋_GB2312" w:eastAsia="仿宋_GB2312" w:cs="仿宋_GB2312"/>
          <w:b w:val="0"/>
          <w:bCs w:val="0"/>
          <w:spacing w:val="6"/>
          <w:sz w:val="32"/>
          <w:szCs w:val="32"/>
          <w:lang w:val="en-US" w:eastAsia="zh-CN" w:bidi="ar-SA"/>
        </w:rPr>
        <w:t>；医保信息系统重大安全事件响应时间小于等于 60分钟、医保信息系统运行维护响应时间小于等于 30 分钟。</w:t>
      </w:r>
    </w:p>
    <w:p>
      <w:pPr>
        <w:pStyle w:val="2"/>
        <w:keepNext w:val="0"/>
        <w:keepLines w:val="0"/>
        <w:pageBreakBefore w:val="0"/>
        <w:widowControl w:val="0"/>
        <w:numPr>
          <w:ilvl w:val="0"/>
          <w:numId w:val="6"/>
        </w:numPr>
        <w:kinsoku/>
        <w:wordWrap/>
        <w:overflowPunct/>
        <w:topLinePunct w:val="0"/>
        <w:autoSpaceDE w:val="0"/>
        <w:autoSpaceDN w:val="0"/>
        <w:bidi w:val="0"/>
        <w:adjustRightInd/>
        <w:snapToGrid/>
        <w:spacing w:before="0" w:beforeLines="0" w:line="560" w:lineRule="exact"/>
        <w:ind w:left="0" w:firstLine="720"/>
        <w:textAlignment w:val="auto"/>
        <w:rPr>
          <w:rFonts w:hint="eastAsia" w:ascii="仿宋_GB2312" w:hAnsi="仿宋_GB2312" w:eastAsia="仿宋_GB2312" w:cs="仿宋_GB2312"/>
          <w:b/>
          <w:bCs/>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项目效果。</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firstLine="618" w:firstLineChars="200"/>
        <w:textAlignment w:val="auto"/>
        <w:rPr>
          <w:rFonts w:hint="eastAsia" w:ascii="仿宋_GB2312" w:hAnsi="仿宋_GB2312" w:eastAsia="仿宋_GB2312" w:cs="仿宋_GB2312"/>
          <w:b w:val="0"/>
          <w:bCs w:val="0"/>
          <w:color w:val="000000"/>
          <w:spacing w:val="-6"/>
          <w:sz w:val="32"/>
          <w:szCs w:val="32"/>
          <w:lang w:bidi="ar-SA"/>
        </w:rPr>
      </w:pPr>
      <w:r>
        <w:rPr>
          <w:rFonts w:hint="eastAsia" w:ascii="仿宋_GB2312" w:hAnsi="仿宋_GB2312" w:eastAsia="仿宋_GB2312" w:cs="仿宋_GB2312"/>
          <w:b/>
          <w:bCs/>
          <w:color w:val="000000"/>
          <w:spacing w:val="-6"/>
          <w:sz w:val="32"/>
          <w:szCs w:val="32"/>
          <w:lang w:val="en-US" w:eastAsia="zh-CN" w:bidi="ar-SA"/>
        </w:rPr>
        <w:t>医保法治化建设能力有所提高</w:t>
      </w:r>
      <w:r>
        <w:rPr>
          <w:rFonts w:hint="eastAsia" w:ascii="仿宋_GB2312" w:hAnsi="仿宋_GB2312" w:eastAsia="仿宋_GB2312" w:cs="仿宋_GB2312"/>
          <w:b/>
          <w:bCs/>
          <w:color w:val="000000"/>
          <w:spacing w:val="-6"/>
          <w:sz w:val="32"/>
          <w:szCs w:val="32"/>
          <w:lang w:bidi="ar-SA"/>
        </w:rPr>
        <w:t>。</w:t>
      </w:r>
      <w:r>
        <w:rPr>
          <w:rFonts w:hint="eastAsia" w:ascii="仿宋_GB2312" w:hAnsi="仿宋_GB2312" w:eastAsia="仿宋_GB2312" w:cs="仿宋_GB2312"/>
          <w:b w:val="0"/>
          <w:bCs w:val="0"/>
          <w:color w:val="000000"/>
          <w:spacing w:val="-6"/>
          <w:sz w:val="32"/>
          <w:szCs w:val="32"/>
          <w:lang w:bidi="ar-SA"/>
        </w:rPr>
        <w:t>推进法治化建设，落实“放管服”要求</w:t>
      </w:r>
      <w:r>
        <w:rPr>
          <w:rFonts w:hint="eastAsia" w:ascii="仿宋_GB2312" w:hAnsi="仿宋_GB2312" w:eastAsia="仿宋_GB2312" w:cs="仿宋_GB2312"/>
          <w:b w:val="0"/>
          <w:bCs w:val="0"/>
          <w:color w:val="000000"/>
          <w:spacing w:val="-6"/>
          <w:sz w:val="32"/>
          <w:szCs w:val="32"/>
          <w:lang w:eastAsia="zh-CN" w:bidi="ar-SA"/>
        </w:rPr>
        <w:t>，</w:t>
      </w:r>
      <w:r>
        <w:rPr>
          <w:rFonts w:hint="eastAsia" w:ascii="仿宋_GB2312" w:hAnsi="仿宋_GB2312" w:eastAsia="仿宋_GB2312" w:cs="仿宋_GB2312"/>
          <w:b w:val="0"/>
          <w:bCs w:val="0"/>
          <w:spacing w:val="-6"/>
          <w:sz w:val="32"/>
          <w:szCs w:val="32"/>
          <w:lang w:bidi="ar-SA"/>
        </w:rPr>
        <w:t>动态调整行政权力事项清单，调整后</w:t>
      </w:r>
      <w:r>
        <w:rPr>
          <w:rFonts w:hint="eastAsia" w:ascii="仿宋_GB2312" w:hAnsi="仿宋_GB2312" w:eastAsia="仿宋_GB2312" w:cs="仿宋_GB2312"/>
          <w:b w:val="0"/>
          <w:bCs w:val="0"/>
          <w:color w:val="000000"/>
          <w:spacing w:val="-6"/>
          <w:sz w:val="32"/>
          <w:szCs w:val="32"/>
          <w:lang w:bidi="ar-SA"/>
        </w:rPr>
        <w:t>为17项行政权力事项；印发《阿坝州医疗保障局关于做好“一网通办”等公共服务工作的通知》，一次办服务事项率达85%；梳理调整全州医疗保障政务服务事项11类36项，其中即办件达41.7%。</w:t>
      </w:r>
    </w:p>
    <w:p>
      <w:pPr>
        <w:pStyle w:val="8"/>
        <w:keepNext w:val="0"/>
        <w:keepLines w:val="0"/>
        <w:pageBreakBefore w:val="0"/>
        <w:widowControl w:val="0"/>
        <w:kinsoku/>
        <w:wordWrap/>
        <w:overflowPunct/>
        <w:topLinePunct w:val="0"/>
        <w:autoSpaceDE/>
        <w:autoSpaceDN/>
        <w:bidi w:val="0"/>
        <w:spacing w:line="560" w:lineRule="exact"/>
        <w:ind w:firstLine="618" w:firstLineChars="200"/>
        <w:textAlignment w:val="auto"/>
        <w:rPr>
          <w:rFonts w:hint="eastAsia" w:ascii="仿宋_GB2312" w:hAnsi="仿宋_GB2312" w:eastAsia="仿宋_GB2312" w:cs="仿宋_GB2312"/>
          <w:b w:val="0"/>
          <w:bCs w:val="0"/>
          <w:snapToGrid w:val="0"/>
          <w:spacing w:val="-6"/>
          <w:kern w:val="0"/>
          <w:sz w:val="32"/>
          <w:szCs w:val="32"/>
          <w:lang w:val="en-US" w:eastAsia="zh-CN" w:bidi="ar-SA"/>
        </w:rPr>
      </w:pPr>
      <w:r>
        <w:rPr>
          <w:rFonts w:hint="eastAsia" w:ascii="仿宋_GB2312" w:hAnsi="仿宋_GB2312" w:eastAsia="仿宋_GB2312" w:cs="仿宋_GB2312"/>
          <w:b/>
          <w:bCs/>
          <w:snapToGrid w:val="0"/>
          <w:spacing w:val="-6"/>
          <w:kern w:val="0"/>
          <w:sz w:val="32"/>
          <w:szCs w:val="32"/>
          <w:lang w:val="en-US" w:eastAsia="zh-CN" w:bidi="ar-SA"/>
        </w:rPr>
        <w:t>基金预警和风险防控防范和化解系统风险能力有所提高。</w:t>
      </w:r>
      <w:r>
        <w:rPr>
          <w:rFonts w:hint="eastAsia" w:ascii="仿宋_GB2312" w:hAnsi="仿宋_GB2312" w:eastAsia="仿宋_GB2312" w:cs="仿宋_GB2312"/>
          <w:b w:val="0"/>
          <w:bCs w:val="0"/>
          <w:snapToGrid w:val="0"/>
          <w:spacing w:val="-6"/>
          <w:kern w:val="0"/>
          <w:sz w:val="32"/>
          <w:szCs w:val="32"/>
          <w:lang w:val="en-US" w:eastAsia="zh-CN" w:bidi="ar-SA"/>
        </w:rPr>
        <w:t>维护基金运行安全，健全风险评估预警机制，密切监管基金运行重点指标，开展实时监测和风险评估，加强中长期精算平衡。强化经办机构内控管理，健全组织机构、业务运行、基金财务、信息系统和内部控制的监督与检查等方面的内控工作机制，打造公开透明、运作规范、管理科学、监控有效、考评严格的内控体系。确保信息数据和网络安全，开展医疗保障网络信息安全攻防演练，不断完善网络信息安全管理体系，确保全州医保平台安全、稳定、高效运行。</w:t>
      </w:r>
    </w:p>
    <w:p>
      <w:pPr>
        <w:pStyle w:val="8"/>
        <w:keepNext w:val="0"/>
        <w:keepLines w:val="0"/>
        <w:pageBreakBefore w:val="0"/>
        <w:widowControl w:val="0"/>
        <w:kinsoku/>
        <w:wordWrap/>
        <w:overflowPunct/>
        <w:topLinePunct w:val="0"/>
        <w:autoSpaceDE/>
        <w:autoSpaceDN/>
        <w:bidi w:val="0"/>
        <w:spacing w:line="560" w:lineRule="exact"/>
        <w:ind w:left="0" w:firstLine="618" w:firstLineChars="200"/>
        <w:textAlignment w:val="auto"/>
        <w:rPr>
          <w:rFonts w:hint="eastAsia" w:ascii="仿宋_GB2312" w:hAnsi="仿宋_GB2312" w:eastAsia="仿宋_GB2312" w:cs="仿宋_GB2312"/>
          <w:b w:val="0"/>
          <w:bCs w:val="0"/>
          <w:snapToGrid w:val="0"/>
          <w:spacing w:val="-6"/>
          <w:kern w:val="0"/>
          <w:sz w:val="32"/>
          <w:szCs w:val="32"/>
        </w:rPr>
      </w:pPr>
      <w:r>
        <w:rPr>
          <w:rFonts w:hint="eastAsia" w:ascii="仿宋_GB2312" w:hAnsi="仿宋_GB2312" w:eastAsia="仿宋_GB2312" w:cs="仿宋_GB2312"/>
          <w:b/>
          <w:bCs/>
          <w:snapToGrid w:val="0"/>
          <w:color w:val="000000"/>
          <w:spacing w:val="-6"/>
          <w:kern w:val="2"/>
          <w:sz w:val="32"/>
          <w:szCs w:val="32"/>
          <w:lang w:val="en-US" w:eastAsia="zh-CN" w:bidi="ar-SA"/>
        </w:rPr>
        <w:t>医保标准化水平显著提升。</w:t>
      </w:r>
      <w:r>
        <w:rPr>
          <w:rFonts w:hint="eastAsia" w:ascii="仿宋_GB2312" w:hAnsi="仿宋_GB2312" w:eastAsia="仿宋_GB2312" w:cs="仿宋_GB2312"/>
          <w:b w:val="0"/>
          <w:bCs w:val="0"/>
          <w:snapToGrid w:val="0"/>
          <w:spacing w:val="-6"/>
          <w:kern w:val="0"/>
          <w:sz w:val="32"/>
          <w:szCs w:val="32"/>
          <w:lang w:val="en-US" w:eastAsia="zh-CN" w:bidi="ar-SA"/>
        </w:rPr>
        <w:t>加强医保经办服务体系建设，将医保经办服务网络向基层延伸，探索实施基层医保网格化服务管理。健全完善医保协议管理，简化优化定点申请程序，推进“互联网+医疗”等新服务模式。推动医保公共服务便捷化，实现统筹区内医保一站式服务、一窗口办理、一单制结算和统一服务热线。深入推进异地就医结算，推动异地就医服务标准化、规范化、精细化建设，强化医疗保障异地便民服务工作，</w:t>
      </w:r>
      <w:r>
        <w:rPr>
          <w:rFonts w:hint="eastAsia" w:ascii="仿宋_GB2312" w:hAnsi="仿宋_GB2312" w:eastAsia="仿宋_GB2312" w:cs="仿宋_GB2312"/>
          <w:b w:val="0"/>
          <w:bCs w:val="0"/>
          <w:snapToGrid w:val="0"/>
          <w:spacing w:val="-6"/>
          <w:kern w:val="0"/>
          <w:sz w:val="32"/>
          <w:szCs w:val="32"/>
        </w:rPr>
        <w:t>设立异地便民服务站。</w:t>
      </w:r>
    </w:p>
    <w:p>
      <w:pPr>
        <w:pStyle w:val="8"/>
        <w:keepNext w:val="0"/>
        <w:keepLines w:val="0"/>
        <w:pageBreakBefore w:val="0"/>
        <w:widowControl w:val="0"/>
        <w:kinsoku/>
        <w:wordWrap/>
        <w:overflowPunct/>
        <w:topLinePunct w:val="0"/>
        <w:autoSpaceDE/>
        <w:autoSpaceDN/>
        <w:bidi w:val="0"/>
        <w:spacing w:line="560" w:lineRule="exact"/>
        <w:ind w:left="0" w:firstLine="618" w:firstLineChars="200"/>
        <w:textAlignment w:val="auto"/>
        <w:rPr>
          <w:rFonts w:hint="eastAsia" w:ascii="仿宋_GB2312" w:hAnsi="仿宋_GB2312" w:eastAsia="仿宋_GB2312" w:cs="仿宋_GB2312"/>
          <w:b w:val="0"/>
          <w:bCs w:val="0"/>
          <w:color w:val="000000"/>
          <w:spacing w:val="-6"/>
          <w:kern w:val="0"/>
          <w:sz w:val="32"/>
          <w:szCs w:val="32"/>
        </w:rPr>
      </w:pPr>
      <w:r>
        <w:rPr>
          <w:rFonts w:hint="eastAsia" w:ascii="仿宋_GB2312" w:hAnsi="仿宋_GB2312" w:eastAsia="仿宋_GB2312" w:cs="仿宋_GB2312"/>
          <w:b/>
          <w:bCs/>
          <w:snapToGrid w:val="0"/>
          <w:color w:val="000000"/>
          <w:spacing w:val="-6"/>
          <w:kern w:val="2"/>
          <w:sz w:val="32"/>
          <w:szCs w:val="32"/>
          <w:lang w:val="en-US" w:eastAsia="zh-CN" w:bidi="ar-SA"/>
        </w:rPr>
        <w:t>经办服务能力有所提高。</w:t>
      </w:r>
      <w:r>
        <w:rPr>
          <w:rFonts w:hint="eastAsia" w:ascii="仿宋_GB2312" w:hAnsi="仿宋_GB2312" w:eastAsia="仿宋_GB2312" w:cs="仿宋_GB2312"/>
          <w:b w:val="0"/>
          <w:bCs w:val="0"/>
          <w:color w:val="000000"/>
          <w:spacing w:val="-6"/>
          <w:kern w:val="0"/>
          <w:sz w:val="32"/>
          <w:szCs w:val="32"/>
        </w:rPr>
        <w:t>印发《</w:t>
      </w:r>
      <w:r>
        <w:rPr>
          <w:rFonts w:hint="eastAsia" w:ascii="仿宋_GB2312" w:hAnsi="仿宋_GB2312" w:eastAsia="仿宋_GB2312" w:cs="仿宋_GB2312"/>
          <w:b w:val="0"/>
          <w:bCs w:val="0"/>
          <w:color w:val="000000"/>
          <w:spacing w:val="-6"/>
          <w:sz w:val="32"/>
          <w:szCs w:val="32"/>
          <w:lang w:bidi="ar-SA"/>
        </w:rPr>
        <w:t>阿坝州2021年医疗</w:t>
      </w:r>
      <w:r>
        <w:rPr>
          <w:rFonts w:hint="eastAsia" w:ascii="仿宋_GB2312" w:hAnsi="仿宋_GB2312" w:eastAsia="仿宋_GB2312" w:cs="仿宋_GB2312"/>
          <w:b w:val="0"/>
          <w:bCs w:val="0"/>
          <w:color w:val="000000"/>
          <w:spacing w:val="-6"/>
          <w:kern w:val="0"/>
          <w:sz w:val="32"/>
          <w:szCs w:val="32"/>
        </w:rPr>
        <w:t>保障经办管理服务工作要点》，</w:t>
      </w:r>
      <w:r>
        <w:rPr>
          <w:rFonts w:hint="eastAsia" w:ascii="仿宋_GB2312" w:hAnsi="仿宋_GB2312" w:eastAsia="仿宋_GB2312" w:cs="仿宋_GB2312"/>
          <w:b w:val="0"/>
          <w:bCs w:val="0"/>
          <w:spacing w:val="-6"/>
          <w:sz w:val="32"/>
          <w:szCs w:val="32"/>
          <w:lang w:bidi="ar-SA"/>
        </w:rPr>
        <w:t>加强医疗保障经办机构内部控制与监督，</w:t>
      </w:r>
      <w:r>
        <w:rPr>
          <w:rFonts w:hint="eastAsia" w:ascii="仿宋_GB2312" w:hAnsi="仿宋_GB2312" w:eastAsia="仿宋_GB2312" w:cs="仿宋_GB2312"/>
          <w:b w:val="0"/>
          <w:bCs w:val="0"/>
          <w:color w:val="000000"/>
          <w:spacing w:val="-6"/>
          <w:kern w:val="0"/>
          <w:sz w:val="32"/>
          <w:szCs w:val="32"/>
        </w:rPr>
        <w:t>提升经办管理服务质量和效率。</w:t>
      </w:r>
    </w:p>
    <w:p>
      <w:pPr>
        <w:keepNext w:val="0"/>
        <w:keepLines w:val="0"/>
        <w:pageBreakBefore w:val="0"/>
        <w:widowControl w:val="0"/>
        <w:kinsoku/>
        <w:wordWrap/>
        <w:overflowPunct/>
        <w:topLinePunct w:val="0"/>
        <w:bidi w:val="0"/>
        <w:spacing w:line="560" w:lineRule="exact"/>
        <w:ind w:left="0" w:firstLine="618" w:firstLineChars="200"/>
        <w:textAlignment w:val="auto"/>
        <w:rPr>
          <w:rFonts w:hint="eastAsia" w:ascii="仿宋_GB2312" w:hAnsi="仿宋_GB2312" w:eastAsia="仿宋_GB2312" w:cs="仿宋_GB2312"/>
          <w:b w:val="0"/>
          <w:bCs w:val="0"/>
          <w:color w:val="000000"/>
          <w:spacing w:val="-6"/>
          <w:sz w:val="32"/>
          <w:szCs w:val="32"/>
          <w:lang w:bidi="ar-SA"/>
        </w:rPr>
      </w:pPr>
      <w:r>
        <w:rPr>
          <w:rFonts w:hint="eastAsia" w:ascii="仿宋_GB2312" w:hAnsi="仿宋_GB2312" w:eastAsia="仿宋_GB2312" w:cs="仿宋_GB2312"/>
          <w:b/>
          <w:bCs/>
          <w:snapToGrid w:val="0"/>
          <w:color w:val="000000"/>
          <w:spacing w:val="-6"/>
          <w:sz w:val="32"/>
          <w:szCs w:val="32"/>
          <w:lang w:val="en-US" w:eastAsia="zh-CN" w:bidi="ar-SA"/>
        </w:rPr>
        <w:t>医保综合监管能力显著提升</w:t>
      </w:r>
      <w:r>
        <w:rPr>
          <w:rFonts w:hint="eastAsia" w:ascii="仿宋_GB2312" w:hAnsi="仿宋_GB2312" w:eastAsia="仿宋_GB2312" w:cs="仿宋_GB2312"/>
          <w:b/>
          <w:bCs/>
          <w:snapToGrid w:val="0"/>
          <w:color w:val="000000"/>
          <w:spacing w:val="-6"/>
          <w:sz w:val="32"/>
          <w:szCs w:val="32"/>
          <w:lang w:bidi="ar-SA"/>
        </w:rPr>
        <w:t>。</w:t>
      </w:r>
      <w:r>
        <w:rPr>
          <w:rFonts w:hint="eastAsia" w:ascii="仿宋_GB2312" w:hAnsi="仿宋_GB2312" w:eastAsia="仿宋_GB2312" w:cs="仿宋_GB2312"/>
          <w:b w:val="0"/>
          <w:bCs w:val="0"/>
          <w:color w:val="000000"/>
          <w:spacing w:val="-6"/>
          <w:sz w:val="32"/>
          <w:szCs w:val="32"/>
          <w:lang w:bidi="ar-SA"/>
        </w:rPr>
        <w:t>一是强化总额预算管理。下达各县（市）、卧龙2021年度基本医疗保险总额预算指标，持续化解基金运行风险。二是开展存量问题“清零行动”。完成医疗保障基金监管存量问题清零</w:t>
      </w:r>
      <w:r>
        <w:rPr>
          <w:rFonts w:hint="eastAsia" w:ascii="仿宋_GB2312" w:hAnsi="仿宋_GB2312" w:eastAsia="仿宋_GB2312" w:cs="仿宋_GB2312"/>
          <w:b w:val="0"/>
          <w:bCs w:val="0"/>
          <w:color w:val="000000"/>
          <w:spacing w:val="-6"/>
          <w:sz w:val="32"/>
          <w:szCs w:val="32"/>
          <w:highlight w:val="none"/>
          <w:lang w:bidi="ar-SA"/>
        </w:rPr>
        <w:t>，共计追回经办机构违规报销基金本金0.5万元，追回定点医疗机构违规本金及违约金共计1264.18万元，追回5例参保人员违规报销金额0.65万元。</w:t>
      </w:r>
      <w:r>
        <w:rPr>
          <w:rFonts w:hint="eastAsia" w:ascii="仿宋_GB2312" w:hAnsi="仿宋_GB2312" w:eastAsia="仿宋_GB2312" w:cs="仿宋_GB2312"/>
          <w:b w:val="0"/>
          <w:bCs w:val="0"/>
          <w:color w:val="000000"/>
          <w:spacing w:val="-6"/>
          <w:sz w:val="32"/>
          <w:szCs w:val="32"/>
          <w:lang w:bidi="ar-SA"/>
        </w:rPr>
        <w:t>三是持续打击欺诈骗保。以医保基金监管存量问题清零为基础，以打击“假病人”“假病情”“假票据”欺诈骗保为抓手，一体化推进系统治理和专项治理工作。全州共检查医疗机构243家、定点药店100家，收缴违规本金及违约金99.05万元，移送卫健部门25家，移送纪委监委1家；检查参保人员发现冒名顶替住院7例，涉及医疗总费用7.24万元</w:t>
      </w:r>
      <w:r>
        <w:rPr>
          <w:rFonts w:hint="eastAsia" w:ascii="仿宋_GB2312" w:hAnsi="仿宋_GB2312" w:eastAsia="仿宋_GB2312" w:cs="仿宋_GB2312"/>
          <w:b w:val="0"/>
          <w:bCs w:val="0"/>
          <w:color w:val="000000"/>
          <w:spacing w:val="-6"/>
          <w:sz w:val="32"/>
          <w:szCs w:val="32"/>
          <w:lang w:eastAsia="zh-CN" w:bidi="ar-SA"/>
        </w:rPr>
        <w:t>；</w:t>
      </w:r>
      <w:r>
        <w:rPr>
          <w:rFonts w:hint="eastAsia" w:ascii="仿宋_GB2312" w:hAnsi="仿宋_GB2312" w:eastAsia="仿宋_GB2312" w:cs="仿宋_GB2312"/>
          <w:b w:val="0"/>
          <w:bCs w:val="0"/>
          <w:color w:val="000000"/>
          <w:spacing w:val="-6"/>
          <w:sz w:val="32"/>
          <w:szCs w:val="32"/>
          <w:lang w:bidi="ar-SA"/>
        </w:rPr>
        <w:t>查出“假发票”“假病情”案2例，涉及医保报销77.1万元，移送公安机关，目前已追回15.01万元，剩余金额按司法程序正在追回。</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firstLine="618" w:firstLineChars="200"/>
        <w:textAlignment w:val="auto"/>
        <w:rPr>
          <w:rFonts w:hint="eastAsia" w:ascii="仿宋_GB2312" w:hAnsi="仿宋_GB2312" w:eastAsia="仿宋_GB2312" w:cs="仿宋_GB2312"/>
          <w:b w:val="0"/>
          <w:bCs w:val="0"/>
          <w:spacing w:val="-6"/>
          <w:sz w:val="32"/>
          <w:szCs w:val="32"/>
          <w:lang w:bidi="ar-SA"/>
        </w:rPr>
      </w:pPr>
      <w:r>
        <w:rPr>
          <w:rFonts w:hint="eastAsia" w:ascii="仿宋_GB2312" w:hAnsi="仿宋_GB2312" w:eastAsia="仿宋_GB2312" w:cs="仿宋_GB2312"/>
          <w:b/>
          <w:bCs/>
          <w:spacing w:val="-6"/>
          <w:sz w:val="32"/>
          <w:szCs w:val="32"/>
          <w:lang w:bidi="ar-SA"/>
        </w:rPr>
        <w:t>异地就医</w:t>
      </w:r>
      <w:r>
        <w:rPr>
          <w:rFonts w:hint="eastAsia" w:ascii="仿宋_GB2312" w:hAnsi="仿宋_GB2312" w:eastAsia="仿宋_GB2312" w:cs="仿宋_GB2312"/>
          <w:b/>
          <w:bCs/>
          <w:spacing w:val="-6"/>
          <w:sz w:val="32"/>
          <w:szCs w:val="32"/>
          <w:lang w:val="en-US" w:eastAsia="zh-CN" w:bidi="ar-SA"/>
        </w:rPr>
        <w:t>直接结算率有所提高</w:t>
      </w:r>
      <w:r>
        <w:rPr>
          <w:rFonts w:hint="eastAsia" w:ascii="仿宋_GB2312" w:hAnsi="仿宋_GB2312" w:eastAsia="仿宋_GB2312" w:cs="仿宋_GB2312"/>
          <w:b/>
          <w:bCs/>
          <w:spacing w:val="-6"/>
          <w:sz w:val="32"/>
          <w:szCs w:val="32"/>
          <w:lang w:bidi="ar-SA"/>
        </w:rPr>
        <w:t>。</w:t>
      </w:r>
      <w:r>
        <w:rPr>
          <w:rFonts w:hint="eastAsia" w:ascii="仿宋_GB2312" w:hAnsi="仿宋_GB2312" w:eastAsia="仿宋_GB2312" w:cs="仿宋_GB2312"/>
          <w:b w:val="0"/>
          <w:bCs w:val="0"/>
          <w:spacing w:val="-6"/>
          <w:sz w:val="32"/>
          <w:szCs w:val="32"/>
          <w:lang w:bidi="ar-SA"/>
        </w:rPr>
        <w:t>优化异地就医备案管理，开展跨省异地就医备案制度改革，完成</w:t>
      </w:r>
      <w:r>
        <w:rPr>
          <w:rFonts w:hint="eastAsia" w:ascii="仿宋_GB2312" w:hAnsi="仿宋_GB2312" w:eastAsia="仿宋_GB2312" w:cs="仿宋_GB2312"/>
          <w:b w:val="0"/>
          <w:bCs w:val="0"/>
          <w:color w:val="000000"/>
          <w:spacing w:val="-6"/>
          <w:sz w:val="32"/>
          <w:szCs w:val="32"/>
          <w:lang w:bidi="ar-SA"/>
        </w:rPr>
        <w:t>自助备案试点，我州参保人员异地就医住院费用联网直接结算3.74万人次，医保支付28828.53万元，直接结算率达97%以上；继续在州林业中心医院开展异地驻点服务工作，驻点服务22次，服务人群1200余人次</w:t>
      </w:r>
      <w:r>
        <w:rPr>
          <w:rFonts w:hint="eastAsia" w:ascii="仿宋_GB2312" w:hAnsi="仿宋_GB2312" w:eastAsia="仿宋_GB2312" w:cs="仿宋_GB2312"/>
          <w:b w:val="0"/>
          <w:bCs w:val="0"/>
          <w:spacing w:val="-6"/>
          <w:sz w:val="32"/>
          <w:szCs w:val="32"/>
          <w:lang w:bidi="ar-SA"/>
        </w:rPr>
        <w:t>。</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firstLine="618" w:firstLineChars="200"/>
        <w:textAlignment w:val="auto"/>
        <w:rPr>
          <w:rFonts w:hint="eastAsia" w:ascii="仿宋_GB2312" w:hAnsi="仿宋_GB2312" w:eastAsia="仿宋_GB2312" w:cs="仿宋_GB2312"/>
          <w:b w:val="0"/>
          <w:bCs w:val="0"/>
          <w:color w:val="000000"/>
          <w:spacing w:val="-6"/>
          <w:sz w:val="32"/>
          <w:szCs w:val="32"/>
          <w:lang w:bidi="ar-SA"/>
        </w:rPr>
      </w:pPr>
      <w:r>
        <w:rPr>
          <w:rFonts w:hint="eastAsia" w:ascii="仿宋_GB2312" w:hAnsi="仿宋_GB2312" w:eastAsia="仿宋_GB2312" w:cs="仿宋_GB2312"/>
          <w:b/>
          <w:bCs/>
          <w:color w:val="000000"/>
          <w:spacing w:val="-6"/>
          <w:sz w:val="32"/>
          <w:szCs w:val="32"/>
          <w:lang w:val="en-US" w:eastAsia="zh-CN" w:bidi="ar-SA"/>
        </w:rPr>
        <w:t>按时按要求落实医疗服务、药品价格政策。</w:t>
      </w:r>
      <w:r>
        <w:rPr>
          <w:rFonts w:hint="eastAsia" w:ascii="仿宋_GB2312" w:hAnsi="仿宋_GB2312" w:eastAsia="仿宋_GB2312" w:cs="仿宋_GB2312"/>
          <w:b w:val="0"/>
          <w:bCs w:val="0"/>
          <w:color w:val="000000"/>
          <w:spacing w:val="-6"/>
          <w:sz w:val="32"/>
          <w:szCs w:val="32"/>
          <w:lang w:bidi="ar-SA"/>
        </w:rPr>
        <w:t>印发</w:t>
      </w:r>
      <w:r>
        <w:rPr>
          <w:rFonts w:hint="eastAsia" w:ascii="仿宋_GB2312" w:hAnsi="仿宋_GB2312" w:eastAsia="仿宋_GB2312" w:cs="仿宋_GB2312"/>
          <w:b w:val="0"/>
          <w:bCs w:val="0"/>
          <w:spacing w:val="-6"/>
          <w:sz w:val="32"/>
          <w:szCs w:val="32"/>
        </w:rPr>
        <w:t>《关于规范医疗服务项目价格申报管理的通知》《阿坝州医疗服务项目价格调整工作方案》，</w:t>
      </w:r>
      <w:r>
        <w:rPr>
          <w:rFonts w:hint="eastAsia" w:ascii="仿宋_GB2312" w:hAnsi="仿宋_GB2312" w:eastAsia="仿宋_GB2312" w:cs="仿宋_GB2312"/>
          <w:b w:val="0"/>
          <w:bCs w:val="0"/>
          <w:color w:val="000000"/>
          <w:spacing w:val="-6"/>
          <w:kern w:val="0"/>
          <w:sz w:val="32"/>
          <w:szCs w:val="32"/>
        </w:rPr>
        <w:t>新增</w:t>
      </w:r>
      <w:r>
        <w:rPr>
          <w:rFonts w:hint="eastAsia" w:ascii="仿宋_GB2312" w:hAnsi="仿宋_GB2312" w:eastAsia="仿宋_GB2312" w:cs="仿宋_GB2312"/>
          <w:b w:val="0"/>
          <w:bCs w:val="0"/>
          <w:color w:val="000000"/>
          <w:spacing w:val="-6"/>
          <w:kern w:val="0"/>
          <w:sz w:val="32"/>
          <w:szCs w:val="32"/>
          <w:lang w:eastAsia="zh-CN"/>
        </w:rPr>
        <w:t>（含修订）</w:t>
      </w:r>
      <w:r>
        <w:rPr>
          <w:rFonts w:hint="eastAsia" w:ascii="仿宋_GB2312" w:hAnsi="仿宋_GB2312" w:eastAsia="仿宋_GB2312" w:cs="仿宋_GB2312"/>
          <w:b w:val="0"/>
          <w:bCs w:val="0"/>
          <w:color w:val="000000"/>
          <w:spacing w:val="-6"/>
          <w:kern w:val="0"/>
          <w:sz w:val="32"/>
          <w:szCs w:val="32"/>
        </w:rPr>
        <w:t>和调整“新型冠状病毒核酸检测”</w:t>
      </w:r>
      <w:r>
        <w:rPr>
          <w:rFonts w:hint="eastAsia" w:ascii="仿宋_GB2312" w:hAnsi="仿宋_GB2312" w:eastAsia="仿宋_GB2312" w:cs="仿宋_GB2312"/>
          <w:b w:val="0"/>
          <w:bCs w:val="0"/>
          <w:color w:val="000000"/>
          <w:spacing w:val="-6"/>
          <w:sz w:val="32"/>
          <w:szCs w:val="32"/>
          <w:lang w:bidi="ar-SA"/>
        </w:rPr>
        <w:t>等</w:t>
      </w:r>
      <w:r>
        <w:rPr>
          <w:rFonts w:hint="eastAsia" w:ascii="仿宋_GB2312" w:hAnsi="仿宋_GB2312" w:eastAsia="仿宋_GB2312" w:cs="仿宋_GB2312"/>
          <w:b w:val="0"/>
          <w:bCs w:val="0"/>
          <w:color w:val="000000"/>
          <w:spacing w:val="-6"/>
          <w:sz w:val="32"/>
          <w:szCs w:val="32"/>
          <w:lang w:val="en-US" w:eastAsia="zh-CN" w:bidi="ar-SA"/>
        </w:rPr>
        <w:t>7</w:t>
      </w:r>
      <w:r>
        <w:rPr>
          <w:rFonts w:hint="eastAsia" w:ascii="仿宋_GB2312" w:hAnsi="仿宋_GB2312" w:eastAsia="仿宋_GB2312" w:cs="仿宋_GB2312"/>
          <w:b w:val="0"/>
          <w:bCs w:val="0"/>
          <w:color w:val="000000"/>
          <w:spacing w:val="-6"/>
          <w:sz w:val="32"/>
          <w:szCs w:val="32"/>
          <w:lang w:bidi="ar-SA"/>
        </w:rPr>
        <w:t>6个医疗服务项目价格；发布《阿坝州医疗服务价格汇编》（电子版）共3590项。引入了第三方专业机构--成都中医药大学，按照“规范+人才培养”模式对我州现行医疗服务价格项目进行清理，逐步理顺医疗服务比价关系，合理制定和调整医疗服务价格，确保公立医疗机构发展可持续、医保基金可承受、群众负担总体不增加。</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firstLine="618" w:firstLineChars="200"/>
        <w:textAlignment w:val="auto"/>
        <w:rPr>
          <w:rFonts w:hint="eastAsia" w:ascii="仿宋_GB2312" w:hAnsi="仿宋_GB2312" w:eastAsia="仿宋_GB2312" w:cs="仿宋_GB2312"/>
          <w:spacing w:val="-6"/>
          <w:sz w:val="32"/>
          <w:szCs w:val="32"/>
          <w:lang w:bidi="ar-SA"/>
        </w:rPr>
      </w:pPr>
      <w:r>
        <w:rPr>
          <w:rFonts w:hint="eastAsia" w:ascii="仿宋_GB2312" w:hAnsi="仿宋_GB2312" w:eastAsia="仿宋_GB2312" w:cs="仿宋_GB2312"/>
          <w:b/>
          <w:bCs/>
          <w:color w:val="000000"/>
          <w:spacing w:val="-6"/>
          <w:sz w:val="32"/>
          <w:szCs w:val="32"/>
          <w:lang w:val="en-US" w:eastAsia="zh-CN" w:bidi="ar-SA"/>
        </w:rPr>
        <w:t>药品、医用耗材招标采购政策落实和执行情况。</w:t>
      </w:r>
      <w:r>
        <w:rPr>
          <w:rFonts w:hint="eastAsia" w:ascii="仿宋_GB2312" w:hAnsi="仿宋_GB2312" w:eastAsia="仿宋_GB2312" w:cs="仿宋_GB2312"/>
          <w:b/>
          <w:bCs/>
          <w:color w:val="000000"/>
          <w:spacing w:val="-6"/>
          <w:sz w:val="32"/>
          <w:szCs w:val="32"/>
          <w:lang w:bidi="ar-SA"/>
        </w:rPr>
        <w:t>一是</w:t>
      </w:r>
      <w:r>
        <w:rPr>
          <w:rFonts w:hint="eastAsia" w:ascii="仿宋_GB2312" w:hAnsi="仿宋_GB2312" w:eastAsia="仿宋_GB2312" w:cs="仿宋_GB2312"/>
          <w:b w:val="0"/>
          <w:bCs w:val="0"/>
          <w:color w:val="000000"/>
          <w:spacing w:val="-6"/>
          <w:sz w:val="32"/>
          <w:szCs w:val="32"/>
          <w:lang w:bidi="ar-SA"/>
        </w:rPr>
        <w:t>扎实推进药械集中招采改革。会同卫健部门，以“应采必采”为目标，引导医疗机构规范开展“4+7”国家组织药品集中采购和使用试点扩围工作，集采药品种类扩大至174种；联合卫健部门组织对全州公立医疗机构执行药械招采政策情况进行全面检查，各县（市）实现辖区内公立医疗机构全覆盖检查，州级督查组现场检查公立医疗机构53家。我州已完成国家组织第一批至第四批药品集中带量采购合同量108.76</w:t>
      </w:r>
      <w:r>
        <w:rPr>
          <w:rFonts w:hint="eastAsia" w:ascii="仿宋_GB2312" w:hAnsi="仿宋_GB2312" w:eastAsia="仿宋_GB2312" w:cs="仿宋_GB2312"/>
          <w:b w:val="0"/>
          <w:bCs w:val="0"/>
          <w:color w:val="000000"/>
          <w:spacing w:val="-6"/>
          <w:sz w:val="32"/>
          <w:szCs w:val="32"/>
          <w:lang w:val="en-US" w:eastAsia="zh-CN" w:bidi="ar-SA"/>
        </w:rPr>
        <w:t>%</w:t>
      </w:r>
      <w:r>
        <w:rPr>
          <w:rFonts w:hint="eastAsia" w:ascii="仿宋_GB2312" w:hAnsi="仿宋_GB2312" w:eastAsia="仿宋_GB2312" w:cs="仿宋_GB2312"/>
          <w:b w:val="0"/>
          <w:bCs w:val="0"/>
          <w:color w:val="000000"/>
          <w:spacing w:val="-6"/>
          <w:sz w:val="32"/>
          <w:szCs w:val="32"/>
          <w:lang w:bidi="ar-SA"/>
        </w:rPr>
        <w:t>。其中，第一批完成223.18%、第二批100.53%、第三批117.73%、第四批49.25%。已完成“六省两区”集中带量采购合同量86.78%。组织州人民医院和汶川县人民完成国家组织高值医疗耗材冠脉支架和冠脉球囊的合同签订工作，其中采购冠脉支架53个，采购均价605.64元，已使用29个，采购冠脉球囊44个，采购均价360.25元，已使用17个。</w:t>
      </w:r>
      <w:r>
        <w:rPr>
          <w:rFonts w:hint="eastAsia" w:ascii="仿宋_GB2312" w:hAnsi="仿宋_GB2312" w:eastAsia="仿宋_GB2312" w:cs="仿宋_GB2312"/>
          <w:b/>
          <w:bCs/>
          <w:color w:val="000000"/>
          <w:spacing w:val="-6"/>
          <w:sz w:val="32"/>
          <w:szCs w:val="32"/>
          <w:lang w:bidi="ar-SA"/>
        </w:rPr>
        <w:t>二是</w:t>
      </w:r>
      <w:r>
        <w:rPr>
          <w:rFonts w:hint="eastAsia" w:ascii="仿宋_GB2312" w:hAnsi="仿宋_GB2312" w:eastAsia="仿宋_GB2312" w:cs="仿宋_GB2312"/>
          <w:b w:val="0"/>
          <w:bCs w:val="0"/>
          <w:color w:val="000000"/>
          <w:spacing w:val="-6"/>
          <w:sz w:val="32"/>
          <w:szCs w:val="32"/>
          <w:lang w:bidi="ar-SA"/>
        </w:rPr>
        <w:t>探索性开展非集采药械议价采购工作。</w:t>
      </w:r>
      <w:r>
        <w:rPr>
          <w:rFonts w:hint="eastAsia" w:ascii="仿宋_GB2312" w:hAnsi="仿宋_GB2312" w:eastAsia="仿宋_GB2312" w:cs="仿宋_GB2312"/>
          <w:b w:val="0"/>
          <w:bCs w:val="0"/>
          <w:color w:val="000000"/>
          <w:spacing w:val="-6"/>
          <w:kern w:val="0"/>
          <w:sz w:val="32"/>
          <w:szCs w:val="32"/>
        </w:rPr>
        <w:t>为贯彻落实中央、省、州深化医疗保障制度改革重大决策部署、州委第148次常委会、州委社会保障工作专题会议及州纪委监委深化医疗卫生行业突出问题系统治理推进会议要求，切实解决我州患病群众“看病贵”、药械采购“配送难”等问题，</w:t>
      </w:r>
      <w:r>
        <w:rPr>
          <w:rFonts w:hint="eastAsia" w:ascii="仿宋_GB2312" w:hAnsi="仿宋_GB2312" w:eastAsia="仿宋_GB2312" w:cs="仿宋_GB2312"/>
          <w:b w:val="0"/>
          <w:bCs w:val="0"/>
          <w:spacing w:val="-6"/>
          <w:sz w:val="32"/>
          <w:szCs w:val="32"/>
          <w:lang w:bidi="ar-SA"/>
        </w:rPr>
        <w:t>会同相关部门制定《阿坝州医药服务供给侧改革方案》，成立非集采药械议价工作专班，建立公立医疗机构药械遴选及议价专家库，赴药品生产企业和药械配送企业开展充分调研，探索性开展“5+N”非集采药械议价采购工作模式（5：集中报量、统一议价、分级签约、线上采购、分类配送；N：资金预付、实施考核激励）整体推进，</w:t>
      </w:r>
      <w:r>
        <w:rPr>
          <w:rFonts w:hint="eastAsia" w:ascii="仿宋_GB2312" w:hAnsi="仿宋_GB2312" w:eastAsia="仿宋_GB2312" w:cs="仿宋_GB2312"/>
          <w:b w:val="0"/>
          <w:bCs w:val="0"/>
          <w:color w:val="000000"/>
          <w:spacing w:val="-6"/>
          <w:sz w:val="32"/>
          <w:szCs w:val="32"/>
          <w:lang w:bidi="ar-SA"/>
        </w:rPr>
        <w:t>截</w:t>
      </w:r>
      <w:r>
        <w:rPr>
          <w:rFonts w:hint="eastAsia" w:ascii="仿宋_GB2312" w:hAnsi="仿宋_GB2312" w:eastAsia="仿宋_GB2312" w:cs="仿宋_GB2312"/>
          <w:b w:val="0"/>
          <w:bCs w:val="0"/>
          <w:color w:val="000000"/>
          <w:spacing w:val="-6"/>
          <w:sz w:val="32"/>
          <w:szCs w:val="32"/>
          <w:lang w:eastAsia="zh-CN" w:bidi="ar-SA"/>
        </w:rPr>
        <w:t>至</w:t>
      </w:r>
      <w:r>
        <w:rPr>
          <w:rFonts w:hint="eastAsia" w:ascii="仿宋_GB2312" w:hAnsi="仿宋_GB2312" w:eastAsia="仿宋_GB2312" w:cs="仿宋_GB2312"/>
          <w:b w:val="0"/>
          <w:bCs w:val="0"/>
          <w:color w:val="000000"/>
          <w:spacing w:val="-6"/>
          <w:sz w:val="32"/>
          <w:szCs w:val="32"/>
          <w:lang w:bidi="ar-SA"/>
        </w:rPr>
        <w:t>目前</w:t>
      </w:r>
      <w:r>
        <w:rPr>
          <w:rFonts w:hint="eastAsia" w:ascii="仿宋_GB2312" w:hAnsi="仿宋_GB2312" w:eastAsia="仿宋_GB2312" w:cs="仿宋_GB2312"/>
          <w:b w:val="0"/>
          <w:bCs w:val="0"/>
          <w:spacing w:val="-6"/>
          <w:sz w:val="32"/>
          <w:szCs w:val="32"/>
          <w:lang w:bidi="ar-SA"/>
        </w:rPr>
        <w:t>，已完成第一批次议价工作，确定纳入采购的82个药品平均降幅2</w:t>
      </w:r>
      <w:r>
        <w:rPr>
          <w:rFonts w:hint="eastAsia" w:hAnsi="仿宋_GB2312" w:cs="仿宋_GB2312"/>
          <w:b w:val="0"/>
          <w:bCs w:val="0"/>
          <w:spacing w:val="-6"/>
          <w:sz w:val="32"/>
          <w:szCs w:val="32"/>
          <w:lang w:val="en-US" w:eastAsia="zh-CN" w:bidi="ar-SA"/>
        </w:rPr>
        <w:t>0</w:t>
      </w:r>
      <w:r>
        <w:rPr>
          <w:rFonts w:hint="eastAsia" w:ascii="仿宋_GB2312" w:hAnsi="仿宋_GB2312" w:eastAsia="仿宋_GB2312" w:cs="仿宋_GB2312"/>
          <w:b w:val="0"/>
          <w:bCs w:val="0"/>
          <w:spacing w:val="-6"/>
          <w:sz w:val="32"/>
          <w:szCs w:val="32"/>
          <w:lang w:bidi="ar-SA"/>
        </w:rPr>
        <w:t>%，最高降幅达89.</w:t>
      </w:r>
      <w:r>
        <w:rPr>
          <w:rFonts w:hint="eastAsia" w:hAnsi="仿宋_GB2312" w:cs="仿宋_GB2312"/>
          <w:b w:val="0"/>
          <w:bCs w:val="0"/>
          <w:spacing w:val="-6"/>
          <w:sz w:val="32"/>
          <w:szCs w:val="32"/>
          <w:lang w:val="en-US" w:eastAsia="zh-CN" w:bidi="ar-SA"/>
        </w:rPr>
        <w:t>7</w:t>
      </w:r>
      <w:r>
        <w:rPr>
          <w:rFonts w:hint="eastAsia" w:ascii="仿宋_GB2312" w:hAnsi="仿宋_GB2312" w:eastAsia="仿宋_GB2312" w:cs="仿宋_GB2312"/>
          <w:b w:val="0"/>
          <w:bCs w:val="0"/>
          <w:spacing w:val="-6"/>
          <w:sz w:val="32"/>
          <w:szCs w:val="32"/>
          <w:lang w:bidi="ar-SA"/>
        </w:rPr>
        <w:t>%</w:t>
      </w:r>
      <w:r>
        <w:rPr>
          <w:rFonts w:hint="eastAsia" w:ascii="仿宋_GB2312" w:hAnsi="仿宋_GB2312" w:eastAsia="仿宋_GB2312" w:cs="仿宋_GB2312"/>
          <w:b w:val="0"/>
          <w:bCs w:val="0"/>
          <w:spacing w:val="-6"/>
          <w:sz w:val="32"/>
          <w:szCs w:val="32"/>
          <w:lang w:eastAsia="zh-CN" w:bidi="ar-SA"/>
        </w:rPr>
        <w:t>，</w:t>
      </w:r>
      <w:r>
        <w:rPr>
          <w:rFonts w:hint="eastAsia" w:ascii="仿宋_GB2312" w:hAnsi="仿宋_GB2312" w:eastAsia="仿宋_GB2312" w:cs="仿宋_GB2312"/>
          <w:b w:val="0"/>
          <w:bCs w:val="0"/>
          <w:spacing w:val="-6"/>
          <w:sz w:val="32"/>
          <w:szCs w:val="32"/>
          <w:lang w:val="en-US" w:eastAsia="zh-CN" w:bidi="ar-SA"/>
        </w:rPr>
        <w:t>据</w:t>
      </w:r>
      <w:r>
        <w:rPr>
          <w:rFonts w:hint="eastAsia" w:ascii="仿宋_GB2312" w:hAnsi="仿宋_GB2312" w:eastAsia="仿宋_GB2312" w:cs="仿宋_GB2312"/>
          <w:b w:val="0"/>
          <w:bCs w:val="0"/>
          <w:spacing w:val="-6"/>
          <w:sz w:val="32"/>
          <w:szCs w:val="32"/>
          <w:lang w:bidi="ar-SA"/>
        </w:rPr>
        <w:t>测算年节约资金约56</w:t>
      </w:r>
      <w:r>
        <w:rPr>
          <w:rFonts w:hint="eastAsia" w:hAnsi="仿宋_GB2312" w:cs="仿宋_GB2312"/>
          <w:b w:val="0"/>
          <w:bCs w:val="0"/>
          <w:spacing w:val="-6"/>
          <w:sz w:val="32"/>
          <w:szCs w:val="32"/>
          <w:lang w:val="en-US" w:eastAsia="zh-CN" w:bidi="ar-SA"/>
        </w:rPr>
        <w:t>8</w:t>
      </w:r>
      <w:r>
        <w:rPr>
          <w:rFonts w:hint="eastAsia" w:ascii="仿宋_GB2312" w:hAnsi="仿宋_GB2312" w:eastAsia="仿宋_GB2312" w:cs="仿宋_GB2312"/>
          <w:b w:val="0"/>
          <w:bCs w:val="0"/>
          <w:spacing w:val="-6"/>
          <w:sz w:val="32"/>
          <w:szCs w:val="32"/>
          <w:lang w:bidi="ar-SA"/>
        </w:rPr>
        <w:t>万元，用量大、</w:t>
      </w:r>
      <w:r>
        <w:rPr>
          <w:rFonts w:hint="eastAsia" w:ascii="仿宋_GB2312" w:hAnsi="仿宋_GB2312" w:eastAsia="仿宋_GB2312" w:cs="仿宋_GB2312"/>
          <w:spacing w:val="-6"/>
          <w:sz w:val="32"/>
          <w:szCs w:val="32"/>
          <w:lang w:bidi="ar-SA"/>
        </w:rPr>
        <w:t>单价高的人血白蛋白年节约资金约81万元，将有效减轻我州患病群众的用药负担。</w:t>
      </w:r>
    </w:p>
    <w:p>
      <w:pPr>
        <w:pStyle w:val="2"/>
        <w:keepNext w:val="0"/>
        <w:keepLines w:val="0"/>
        <w:pageBreakBefore w:val="0"/>
        <w:widowControl w:val="0"/>
        <w:kinsoku/>
        <w:wordWrap/>
        <w:overflowPunct/>
        <w:topLinePunct w:val="0"/>
        <w:bidi w:val="0"/>
        <w:adjustRightInd/>
        <w:snapToGrid/>
        <w:spacing w:before="0" w:beforeLines="0" w:line="560" w:lineRule="exact"/>
        <w:ind w:firstLine="666"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5.基础管理。</w:t>
      </w:r>
      <w:r>
        <w:rPr>
          <w:rFonts w:hint="eastAsia" w:ascii="仿宋_GB2312" w:hAnsi="仿宋_GB2312" w:eastAsia="仿宋_GB2312" w:cs="仿宋_GB2312"/>
          <w:b w:val="0"/>
          <w:bCs w:val="0"/>
          <w:spacing w:val="6"/>
          <w:sz w:val="32"/>
          <w:szCs w:val="32"/>
          <w:lang w:val="en-US" w:eastAsia="zh-CN" w:bidi="ar-SA"/>
        </w:rPr>
        <w:t>项目申报真实、准确，严格资金使用审核把关，实施切实为阿坝州医保系统服务与保障能力提升提供了有力的资金保障。</w:t>
      </w:r>
    </w:p>
    <w:p>
      <w:pPr>
        <w:pStyle w:val="27"/>
        <w:keepNext w:val="0"/>
        <w:keepLines w:val="0"/>
        <w:pageBreakBefore w:val="0"/>
        <w:widowControl w:val="0"/>
        <w:tabs>
          <w:tab w:val="left" w:pos="3028"/>
        </w:tabs>
        <w:kinsoku/>
        <w:wordWrap/>
        <w:overflowPunct/>
        <w:topLinePunct w:val="0"/>
        <w:autoSpaceDE w:val="0"/>
        <w:autoSpaceDN w:val="0"/>
        <w:bidi w:val="0"/>
        <w:adjustRightInd/>
        <w:snapToGrid/>
        <w:spacing w:after="0" w:line="560" w:lineRule="exact"/>
        <w:ind w:left="0" w:firstLine="688"/>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6.社会效益。</w:t>
      </w:r>
      <w:r>
        <w:rPr>
          <w:rFonts w:hint="eastAsia" w:ascii="仿宋_GB2312" w:hAnsi="仿宋_GB2312" w:eastAsia="仿宋_GB2312" w:cs="仿宋_GB2312"/>
          <w:b w:val="0"/>
          <w:bCs w:val="0"/>
          <w:spacing w:val="6"/>
          <w:sz w:val="32"/>
          <w:szCs w:val="32"/>
          <w:lang w:val="en-US" w:eastAsia="zh-CN" w:bidi="ar-SA"/>
        </w:rPr>
        <w:t>资金使用率98.64%，不存在因制度机制、操作流程、管理疏漏、数据缺失等导致资金结余，闲置浪费的情况。</w:t>
      </w:r>
    </w:p>
    <w:p>
      <w:pPr>
        <w:pStyle w:val="27"/>
        <w:keepNext w:val="0"/>
        <w:keepLines w:val="0"/>
        <w:pageBreakBefore w:val="0"/>
        <w:widowControl w:val="0"/>
        <w:tabs>
          <w:tab w:val="left" w:pos="2708"/>
        </w:tabs>
        <w:kinsoku/>
        <w:wordWrap/>
        <w:overflowPunct/>
        <w:topLinePunct w:val="0"/>
        <w:autoSpaceDE/>
        <w:autoSpaceDN/>
        <w:bidi w:val="0"/>
        <w:adjustRightInd/>
        <w:snapToGrid/>
        <w:spacing w:after="0" w:line="560" w:lineRule="exact"/>
        <w:ind w:left="0" w:firstLine="642" w:firstLineChars="200"/>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kern w:val="2"/>
          <w:sz w:val="32"/>
          <w:szCs w:val="32"/>
          <w:lang w:val="en-US" w:eastAsia="zh-CN" w:bidi="ar-SA"/>
        </w:rPr>
        <w:t>7.可持续性。</w:t>
      </w:r>
      <w:r>
        <w:rPr>
          <w:rFonts w:hint="eastAsia" w:ascii="仿宋_GB2312" w:hAnsi="仿宋_GB2312" w:eastAsia="仿宋_GB2312" w:cs="仿宋_GB2312"/>
          <w:b w:val="0"/>
          <w:bCs w:val="0"/>
          <w:kern w:val="2"/>
          <w:sz w:val="32"/>
          <w:szCs w:val="32"/>
          <w:lang w:val="en-US" w:eastAsia="zh-CN" w:bidi="ar-SA"/>
        </w:rPr>
        <w:t>具有较强的可持续性。</w:t>
      </w:r>
    </w:p>
    <w:p>
      <w:pPr>
        <w:pStyle w:val="2"/>
        <w:keepNext w:val="0"/>
        <w:keepLines w:val="0"/>
        <w:pageBreakBefore w:val="0"/>
        <w:widowControl w:val="0"/>
        <w:kinsoku/>
        <w:wordWrap/>
        <w:overflowPunct/>
        <w:topLinePunct w:val="0"/>
        <w:bidi w:val="0"/>
        <w:spacing w:before="0" w:beforeLines="0" w:line="560" w:lineRule="exact"/>
        <w:ind w:firstLine="642" w:firstLineChars="200"/>
        <w:textAlignment w:val="auto"/>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zh-CN" w:eastAsia="zh-CN" w:bidi="ar-SA"/>
        </w:rPr>
        <w:t>（</w:t>
      </w:r>
      <w:r>
        <w:rPr>
          <w:rFonts w:hint="eastAsia" w:ascii="楷体_GB2312" w:hAnsi="楷体_GB2312" w:eastAsia="楷体_GB2312" w:cs="楷体_GB2312"/>
          <w:b/>
          <w:bCs w:val="0"/>
          <w:kern w:val="2"/>
          <w:sz w:val="32"/>
          <w:szCs w:val="32"/>
          <w:lang w:val="en-US" w:eastAsia="zh-CN" w:bidi="ar-SA"/>
        </w:rPr>
        <w:t>二</w:t>
      </w:r>
      <w:r>
        <w:rPr>
          <w:rFonts w:hint="eastAsia" w:ascii="楷体_GB2312" w:hAnsi="楷体_GB2312" w:eastAsia="楷体_GB2312" w:cs="楷体_GB2312"/>
          <w:b/>
          <w:bCs w:val="0"/>
          <w:kern w:val="2"/>
          <w:sz w:val="32"/>
          <w:szCs w:val="32"/>
          <w:lang w:val="zh-CN" w:eastAsia="zh-CN" w:bidi="ar-SA"/>
        </w:rPr>
        <w:t>）</w:t>
      </w:r>
      <w:r>
        <w:rPr>
          <w:rFonts w:hint="eastAsia" w:ascii="楷体_GB2312" w:hAnsi="楷体_GB2312" w:eastAsia="楷体_GB2312" w:cs="楷体_GB2312"/>
          <w:b/>
          <w:bCs w:val="0"/>
          <w:kern w:val="2"/>
          <w:sz w:val="32"/>
          <w:szCs w:val="32"/>
          <w:lang w:val="en-US" w:eastAsia="zh-CN" w:bidi="ar-SA"/>
        </w:rPr>
        <w:t>项目效益情况。</w:t>
      </w:r>
    </w:p>
    <w:p>
      <w:pPr>
        <w:pStyle w:val="2"/>
        <w:keepNext w:val="0"/>
        <w:keepLines w:val="0"/>
        <w:pageBreakBefore w:val="0"/>
        <w:widowControl w:val="0"/>
        <w:kinsoku/>
        <w:wordWrap/>
        <w:overflowPunct/>
        <w:topLinePunct w:val="0"/>
        <w:bidi w:val="0"/>
        <w:spacing w:before="0" w:beforeLines="0" w:line="560" w:lineRule="exact"/>
        <w:ind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kern w:val="2"/>
          <w:sz w:val="32"/>
          <w:szCs w:val="32"/>
          <w:lang w:val="en-US" w:eastAsia="zh-CN" w:bidi="ar-SA"/>
        </w:rPr>
        <w:t>2021年中央财政医疗服务与保障能力提升补助资金资金下达到单位后，及时对资金计划、实施，参保群众政策知晓率达到</w:t>
      </w:r>
      <w:r>
        <w:rPr>
          <w:rFonts w:hint="eastAsia" w:ascii="仿宋_GB2312" w:hAnsi="仿宋_GB2312" w:eastAsia="仿宋_GB2312" w:cs="仿宋_GB2312"/>
          <w:b w:val="0"/>
          <w:bCs w:val="0"/>
          <w:color w:val="000000"/>
          <w:spacing w:val="-6"/>
          <w:kern w:val="0"/>
          <w:sz w:val="32"/>
          <w:szCs w:val="32"/>
          <w:lang w:val="en-US" w:eastAsia="zh-CN" w:bidi="ar-SA"/>
        </w:rPr>
        <w:t>普遍知晓，医保经办服务信息化支撑能力得到明显增强。跨省异地就医直接结算率较往年有所提高，参保人员对医保服务满意度大于等于 85</w:t>
      </w:r>
      <w:r>
        <w:rPr>
          <w:rFonts w:hint="eastAsia" w:ascii="仿宋_GB2312" w:hAnsi="仿宋_GB2312" w:eastAsia="仿宋_GB2312" w:cs="仿宋_GB2312"/>
          <w:b w:val="0"/>
          <w:bCs w:val="0"/>
          <w:color w:val="000000"/>
          <w:spacing w:val="-6"/>
          <w:kern w:val="0"/>
          <w:sz w:val="32"/>
          <w:szCs w:val="32"/>
          <w:lang w:val="en-US" w:eastAsia="zh-CN" w:bidi="ar-SA"/>
        </w:rPr>
        <w:drawing>
          <wp:inline distT="0" distB="0" distL="0" distR="0">
            <wp:extent cx="84455" cy="154940"/>
            <wp:effectExtent l="0" t="0" r="33" b="29"/>
            <wp:docPr id="19" name="image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image2.png"/>
                    <pic:cNvPicPr>
                      <a:picLocks noChangeAspect="true"/>
                    </pic:cNvPicPr>
                  </pic:nvPicPr>
                  <pic:blipFill>
                    <a:blip r:embed="rId20"/>
                    <a:stretch>
                      <a:fillRect/>
                    </a:stretch>
                  </pic:blipFill>
                  <pic:spPr>
                    <a:xfrm>
                      <a:off x="0" y="0"/>
                      <a:ext cx="85089" cy="154940"/>
                    </a:xfrm>
                    <a:prstGeom prst="rect">
                      <a:avLst/>
                    </a:prstGeom>
                    <a:noFill/>
                    <a:ln w="9525" cap="flat" cmpd="sng">
                      <a:noFill/>
                      <a:prstDash val="solid"/>
                      <a:miter/>
                    </a:ln>
                  </pic:spPr>
                </pic:pic>
              </a:graphicData>
            </a:graphic>
          </wp:inline>
        </w:drawing>
      </w:r>
      <w:r>
        <w:rPr>
          <w:rFonts w:hint="eastAsia" w:ascii="仿宋_GB2312" w:hAnsi="仿宋_GB2312" w:eastAsia="仿宋_GB2312" w:cs="仿宋_GB2312"/>
          <w:b w:val="0"/>
          <w:bCs w:val="0"/>
          <w:color w:val="000000"/>
          <w:spacing w:val="-6"/>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五、评价结论及建议</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（一）评价结论。</w:t>
      </w:r>
    </w:p>
    <w:p>
      <w:pPr>
        <w:pStyle w:val="2"/>
        <w:keepNext w:val="0"/>
        <w:keepLines w:val="0"/>
        <w:pageBreakBefore w:val="0"/>
        <w:widowControl w:val="0"/>
        <w:kinsoku/>
        <w:wordWrap/>
        <w:overflowPunct/>
        <w:topLinePunct w:val="0"/>
        <w:bidi w:val="0"/>
        <w:adjustRightInd/>
        <w:snapToGrid/>
        <w:spacing w:before="0" w:beforeLines="0" w:line="560" w:lineRule="exact"/>
        <w:ind w:firstLine="664"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pacing w:val="6"/>
          <w:sz w:val="32"/>
          <w:szCs w:val="32"/>
          <w:lang w:val="en-US" w:eastAsia="zh-CN" w:bidi="ar-SA"/>
        </w:rPr>
        <w:t>绩效评价总体得分为95.2分，其中：项目决策方面</w:t>
      </w:r>
      <w:r>
        <w:rPr>
          <w:rFonts w:hint="eastAsia" w:ascii="仿宋_GB2312" w:hAnsi="仿宋_GB2312" w:eastAsia="仿宋_GB2312" w:cs="仿宋_GB2312"/>
          <w:b w:val="0"/>
          <w:bCs w:val="0"/>
          <w:spacing w:val="6"/>
          <w:sz w:val="32"/>
          <w:szCs w:val="32"/>
          <w:highlight w:val="none"/>
          <w:lang w:val="en-US" w:eastAsia="zh-CN" w:bidi="ar-SA"/>
        </w:rPr>
        <w:t>总分8 分，评价得分6 分；项目实施方面总分9分，评价得分9 分；完成结果方面总分 23分，评价得分 22.4分；项目效果方面总分20分，评价得分20 分；基础管理、社会效益方面总分30分，评价得分29.8 分；可持续性方面总分10分，评价得分8分。</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kern w:val="2"/>
          <w:sz w:val="32"/>
          <w:szCs w:val="32"/>
          <w:lang w:val="en-US" w:eastAsia="zh-CN" w:bidi="ar-SA"/>
        </w:rPr>
        <w:t>严格按照 2021年中央财政医疗服务与保障能力提升补助资金的批复用途，2021年认真进行项目实施，该项目的实施切实为阿坝州医保系统服务与保障能力提升提供了有力的资金保障。</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（二）存在的问题。</w:t>
      </w:r>
    </w:p>
    <w:p>
      <w:pPr>
        <w:pStyle w:val="2"/>
        <w:keepNext w:val="0"/>
        <w:keepLines w:val="0"/>
        <w:pageBreakBefore w:val="0"/>
        <w:widowControl w:val="0"/>
        <w:kinsoku/>
        <w:wordWrap/>
        <w:overflowPunct/>
        <w:topLinePunct w:val="0"/>
        <w:autoSpaceDE/>
        <w:autoSpaceDN/>
        <w:bidi w:val="0"/>
        <w:spacing w:before="0" w:beforeLines="0" w:line="560" w:lineRule="exact"/>
        <w:ind w:left="0" w:firstLine="640" w:firstLineChars="200"/>
        <w:textAlignment w:val="auto"/>
        <w:rPr>
          <w:rFonts w:hint="eastAsia" w:ascii="仿宋_GB2312" w:hAnsi="仿宋_GB2312" w:eastAsia="仿宋_GB2312" w:cs="仿宋_GB2312"/>
          <w:b w:val="0"/>
          <w:bCs w:val="0"/>
          <w:spacing w:val="6"/>
          <w:sz w:val="32"/>
          <w:szCs w:val="32"/>
          <w:highlight w:val="none"/>
          <w:lang w:val="zh-CN" w:eastAsia="zh-CN" w:bidi="ar-SA"/>
        </w:rPr>
      </w:pPr>
      <w:r>
        <w:rPr>
          <w:rFonts w:hint="eastAsia" w:ascii="仿宋_GB2312" w:hAnsi="仿宋_GB2312" w:eastAsia="仿宋_GB2312" w:cs="仿宋_GB2312"/>
          <w:b w:val="0"/>
          <w:bCs w:val="0"/>
          <w:kern w:val="2"/>
          <w:sz w:val="32"/>
          <w:szCs w:val="32"/>
          <w:lang w:val="en-US" w:eastAsia="zh-CN" w:bidi="ar-SA"/>
        </w:rPr>
        <w:t>1.预算执行率98.64</w:t>
      </w:r>
      <w:r>
        <w:rPr>
          <w:rFonts w:hint="eastAsia" w:ascii="仿宋_GB2312" w:hAnsi="仿宋_GB2312" w:eastAsia="仿宋_GB2312" w:cs="仿宋_GB2312"/>
          <w:b w:val="0"/>
          <w:bCs w:val="0"/>
          <w:kern w:val="2"/>
          <w:sz w:val="32"/>
          <w:szCs w:val="32"/>
          <w:lang w:val="en-US" w:eastAsia="zh-CN" w:bidi="ar-SA"/>
        </w:rPr>
        <w:drawing>
          <wp:inline distT="0" distB="0" distL="0" distR="0">
            <wp:extent cx="84455" cy="154940"/>
            <wp:effectExtent l="0" t="0" r="33" b="29"/>
            <wp:docPr id="20" name="image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image2.png"/>
                    <pic:cNvPicPr>
                      <a:picLocks noChangeAspect="true"/>
                    </pic:cNvPicPr>
                  </pic:nvPicPr>
                  <pic:blipFill>
                    <a:blip r:embed="rId20"/>
                    <a:stretch>
                      <a:fillRect/>
                    </a:stretch>
                  </pic:blipFill>
                  <pic:spPr>
                    <a:xfrm>
                      <a:off x="0" y="0"/>
                      <a:ext cx="85089" cy="154940"/>
                    </a:xfrm>
                    <a:prstGeom prst="rect">
                      <a:avLst/>
                    </a:prstGeom>
                    <a:noFill/>
                    <a:ln w="9525" cap="flat" cmpd="sng">
                      <a:noFill/>
                      <a:prstDash val="solid"/>
                      <a:miter/>
                    </a:ln>
                  </pic:spPr>
                </pic:pic>
              </a:graphicData>
            </a:graphic>
          </wp:inline>
        </w:drawing>
      </w:r>
      <w:r>
        <w:rPr>
          <w:rFonts w:hint="eastAsia" w:ascii="仿宋_GB2312" w:hAnsi="仿宋_GB2312" w:eastAsia="仿宋_GB2312" w:cs="仿宋_GB2312"/>
          <w:b w:val="0"/>
          <w:bCs w:val="0"/>
          <w:kern w:val="2"/>
          <w:sz w:val="32"/>
          <w:szCs w:val="32"/>
          <w:lang w:val="en-US" w:eastAsia="zh-CN" w:bidi="ar-SA"/>
        </w:rPr>
        <w:t>，主</w:t>
      </w:r>
      <w:r>
        <w:rPr>
          <w:rFonts w:hint="eastAsia" w:ascii="仿宋_GB2312" w:hAnsi="仿宋_GB2312" w:eastAsia="仿宋_GB2312" w:cs="仿宋_GB2312"/>
          <w:b w:val="0"/>
          <w:bCs w:val="0"/>
          <w:spacing w:val="6"/>
          <w:sz w:val="32"/>
          <w:szCs w:val="32"/>
          <w:highlight w:val="none"/>
          <w:lang w:val="en-US" w:eastAsia="zh-CN" w:bidi="ar-SA"/>
        </w:rPr>
        <w:t>要原因是：因工作情况需要，结余1.78万元（汶川县0.03万元、卧龙1.75万元）作为结转资金，在 2022年使用。</w:t>
      </w:r>
      <w:r>
        <w:rPr>
          <w:rFonts w:hint="eastAsia" w:ascii="仿宋_GB2312" w:hAnsi="仿宋_GB2312" w:eastAsia="仿宋_GB2312" w:cs="仿宋_GB2312"/>
          <w:b w:val="0"/>
          <w:bCs w:val="0"/>
          <w:spacing w:val="6"/>
          <w:sz w:val="32"/>
          <w:szCs w:val="32"/>
          <w:highlight w:val="none"/>
          <w:lang w:val="zh-CN" w:eastAsia="zh-CN" w:bidi="ar-SA"/>
        </w:rPr>
        <w:tab/>
      </w:r>
    </w:p>
    <w:p>
      <w:pPr>
        <w:pStyle w:val="2"/>
        <w:keepNext w:val="0"/>
        <w:keepLines w:val="0"/>
        <w:pageBreakBefore w:val="0"/>
        <w:widowControl w:val="0"/>
        <w:kinsoku/>
        <w:wordWrap/>
        <w:overflowPunct/>
        <w:topLinePunct w:val="0"/>
        <w:autoSpaceDE w:val="0"/>
        <w:autoSpaceDN w:val="0"/>
        <w:bidi w:val="0"/>
        <w:adjustRightInd/>
        <w:snapToGrid/>
        <w:spacing w:before="0" w:beforeLines="0" w:after="0" w:line="560" w:lineRule="exact"/>
        <w:ind w:left="0" w:firstLine="664" w:firstLineChars="200"/>
        <w:jc w:val="left"/>
        <w:textAlignment w:val="auto"/>
        <w:rPr>
          <w:rFonts w:hint="eastAsia" w:ascii="仿宋_GB2312" w:hAnsi="仿宋_GB2312" w:eastAsia="仿宋_GB2312" w:cs="仿宋_GB2312"/>
          <w:b w:val="0"/>
          <w:bCs w:val="0"/>
          <w:spacing w:val="6"/>
          <w:sz w:val="32"/>
          <w:szCs w:val="32"/>
          <w:highlight w:val="none"/>
          <w:lang w:val="en-US" w:eastAsia="zh-CN" w:bidi="ar-SA"/>
        </w:rPr>
      </w:pPr>
      <w:r>
        <w:rPr>
          <w:rFonts w:hint="eastAsia" w:ascii="仿宋_GB2312" w:hAnsi="仿宋_GB2312" w:eastAsia="仿宋_GB2312" w:cs="仿宋_GB2312"/>
          <w:b w:val="0"/>
          <w:bCs w:val="0"/>
          <w:spacing w:val="6"/>
          <w:sz w:val="32"/>
          <w:szCs w:val="32"/>
          <w:highlight w:val="none"/>
          <w:lang w:val="en-US" w:eastAsia="zh-CN" w:bidi="ar-SA"/>
        </w:rPr>
        <w:t>2、</w:t>
      </w:r>
      <w:r>
        <w:rPr>
          <w:rFonts w:hint="eastAsia" w:ascii="仿宋_GB2312" w:hAnsi="仿宋_GB2312" w:eastAsia="仿宋_GB2312" w:cs="仿宋_GB2312"/>
          <w:b w:val="0"/>
          <w:bCs w:val="0"/>
          <w:color w:val="000000"/>
          <w:spacing w:val="-6"/>
          <w:kern w:val="0"/>
          <w:sz w:val="32"/>
          <w:szCs w:val="32"/>
          <w:lang w:val="en-US" w:eastAsia="zh-CN" w:bidi="ar-SA"/>
        </w:rPr>
        <w:t>对各县（市）医疗保障与服务能力提升专项补助资金绩效考核情况有待加强。</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（三）相关建议。</w:t>
      </w:r>
    </w:p>
    <w:p>
      <w:pPr>
        <w:keepNext w:val="0"/>
        <w:keepLines w:val="0"/>
        <w:pageBreakBefore w:val="0"/>
        <w:widowControl w:val="0"/>
        <w:kinsoku/>
        <w:wordWrap/>
        <w:overflowPunct/>
        <w:topLinePunct w:val="0"/>
        <w:autoSpaceDE/>
        <w:autoSpaceDN/>
        <w:bidi w:val="0"/>
        <w:spacing w:line="560" w:lineRule="exact"/>
        <w:ind w:left="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val="0"/>
          <w:bCs w:val="0"/>
          <w:kern w:val="2"/>
          <w:sz w:val="32"/>
          <w:szCs w:val="32"/>
          <w:lang w:val="en-US" w:eastAsia="zh-CN" w:bidi="ar-SA"/>
        </w:rPr>
        <w:t>严格按照资金的批复用途，认真进行项目实施，确保资金执行率，并加强</w:t>
      </w:r>
      <w:r>
        <w:rPr>
          <w:rFonts w:hint="eastAsia" w:ascii="仿宋_GB2312" w:hAnsi="仿宋_GB2312" w:eastAsia="仿宋_GB2312" w:cs="仿宋_GB2312"/>
          <w:b w:val="0"/>
          <w:bCs w:val="0"/>
          <w:color w:val="000000"/>
          <w:spacing w:val="-6"/>
          <w:kern w:val="0"/>
          <w:sz w:val="32"/>
          <w:szCs w:val="32"/>
          <w:lang w:val="en-US" w:eastAsia="zh-CN" w:bidi="ar-SA"/>
        </w:rPr>
        <w:t>各县（市）医疗保障与服务能力提升专项补助资金绩效考核。</w:t>
      </w:r>
    </w:p>
    <w:p>
      <w:pPr>
        <w:pStyle w:val="2"/>
        <w:keepNext w:val="0"/>
        <w:keepLines w:val="0"/>
        <w:pageBreakBefore w:val="0"/>
        <w:widowControl w:val="0"/>
        <w:kinsoku/>
        <w:wordWrap/>
        <w:overflowPunct/>
        <w:topLinePunct w:val="0"/>
        <w:autoSpaceDE w:val="0"/>
        <w:autoSpaceDN w:val="0"/>
        <w:bidi w:val="0"/>
        <w:adjustRightInd/>
        <w:snapToGrid/>
        <w:spacing w:before="74" w:after="0" w:line="560" w:lineRule="atLeast"/>
        <w:ind w:left="0" w:right="114" w:firstLine="618" w:firstLineChars="200"/>
        <w:jc w:val="left"/>
        <w:textAlignment w:val="auto"/>
        <w:rPr>
          <w:rFonts w:hint="eastAsia" w:ascii="仿宋_GB2312" w:hAnsi="仿宋_GB2312" w:eastAsia="仿宋_GB2312" w:cs="仿宋_GB2312"/>
          <w:b/>
          <w:bCs/>
          <w:color w:val="000000"/>
          <w:spacing w:val="-6"/>
          <w:kern w:val="0"/>
          <w:sz w:val="32"/>
          <w:szCs w:val="32"/>
          <w:lang w:val="en-US" w:eastAsia="zh-CN" w:bidi="ar-SA"/>
        </w:rPr>
      </w:pPr>
    </w:p>
    <w:p>
      <w:pPr>
        <w:pStyle w:val="7"/>
        <w:pageBreakBefore w:val="0"/>
        <w:kinsoku/>
        <w:wordWrap/>
        <w:overflowPunct/>
        <w:topLinePunct w:val="0"/>
        <w:bidi w:val="0"/>
        <w:spacing w:line="560" w:lineRule="atLeas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pageBreakBefore w:val="0"/>
        <w:kinsoku/>
        <w:wordWrap/>
        <w:overflowPunct/>
        <w:topLinePunct w:val="0"/>
        <w:bidi w:val="0"/>
        <w:spacing w:before="93" w:line="560" w:lineRule="atLeast"/>
        <w:rPr>
          <w:rFonts w:hint="eastAsia" w:ascii="仿宋_GB2312" w:hAnsi="仿宋_GB2312" w:eastAsia="仿宋_GB2312" w:cs="仿宋_GB2312"/>
          <w:sz w:val="32"/>
          <w:szCs w:val="32"/>
          <w:lang w:val="zh-CN"/>
        </w:rPr>
      </w:pPr>
    </w:p>
    <w:p>
      <w:pPr>
        <w:pStyle w:val="30"/>
        <w:keepNext w:val="0"/>
        <w:keepLines w:val="0"/>
        <w:pageBreakBefore w:val="0"/>
        <w:widowControl w:val="0"/>
        <w:kinsoku/>
        <w:wordWrap/>
        <w:overflowPunct/>
        <w:topLinePunct w:val="0"/>
        <w:autoSpaceDE/>
        <w:autoSpaceDN/>
        <w:bidi w:val="0"/>
        <w:spacing w:line="560" w:lineRule="atLeast"/>
        <w:jc w:val="both"/>
        <w:textAlignment w:val="auto"/>
        <w:rPr>
          <w:rFonts w:hint="eastAsia" w:ascii="方正小标宋_GBK" w:eastAsia="方正小标宋_GBK" w:cs="方正小标宋简体"/>
          <w:color w:val="auto"/>
          <w:kern w:val="2"/>
          <w:sz w:val="40"/>
          <w:szCs w:val="40"/>
          <w:lang w:val="en-US" w:eastAsia="zh-CN"/>
        </w:rPr>
      </w:pPr>
    </w:p>
    <w:p>
      <w:pPr>
        <w:pStyle w:val="30"/>
        <w:keepNext w:val="0"/>
        <w:keepLines w:val="0"/>
        <w:pageBreakBefore w:val="0"/>
        <w:widowControl w:val="0"/>
        <w:kinsoku/>
        <w:wordWrap/>
        <w:overflowPunct/>
        <w:topLinePunct w:val="0"/>
        <w:autoSpaceDE/>
        <w:autoSpaceDN/>
        <w:bidi w:val="0"/>
        <w:spacing w:line="560" w:lineRule="atLeast"/>
        <w:jc w:val="both"/>
        <w:textAlignment w:val="auto"/>
        <w:rPr>
          <w:rFonts w:hint="eastAsia" w:ascii="方正小标宋_GBK" w:eastAsia="方正小标宋_GBK" w:cs="方正小标宋简体"/>
          <w:color w:val="auto"/>
          <w:kern w:val="2"/>
          <w:sz w:val="40"/>
          <w:szCs w:val="40"/>
          <w:lang w:val="en-US" w:eastAsia="zh-CN"/>
        </w:rPr>
      </w:pPr>
    </w:p>
    <w:p>
      <w:pPr>
        <w:pStyle w:val="30"/>
        <w:keepNext w:val="0"/>
        <w:keepLines w:val="0"/>
        <w:pageBreakBefore w:val="0"/>
        <w:widowControl w:val="0"/>
        <w:kinsoku/>
        <w:wordWrap/>
        <w:overflowPunct/>
        <w:topLinePunct w:val="0"/>
        <w:autoSpaceDE/>
        <w:autoSpaceDN/>
        <w:bidi w:val="0"/>
        <w:spacing w:line="560" w:lineRule="atLeast"/>
        <w:jc w:val="center"/>
        <w:textAlignment w:val="auto"/>
        <w:rPr>
          <w:rFonts w:hint="eastAsia" w:ascii="方正小标宋_GBK" w:eastAsia="方正小标宋_GBK" w:cs="方正小标宋简体"/>
          <w:color w:val="auto"/>
          <w:kern w:val="2"/>
          <w:sz w:val="40"/>
          <w:szCs w:val="40"/>
        </w:rPr>
      </w:pPr>
      <w:r>
        <w:rPr>
          <w:rFonts w:hint="eastAsia" w:ascii="方正小标宋_GBK" w:eastAsia="方正小标宋_GBK" w:cs="方正小标宋简体"/>
          <w:color w:val="auto"/>
          <w:kern w:val="2"/>
          <w:sz w:val="40"/>
          <w:szCs w:val="40"/>
          <w:lang w:val="en-US" w:eastAsia="zh-CN"/>
        </w:rPr>
        <w:t>2022年</w:t>
      </w:r>
      <w:r>
        <w:rPr>
          <w:rFonts w:hint="eastAsia" w:ascii="方正小标宋_GBK" w:eastAsia="方正小标宋_GBK" w:cs="方正小标宋简体"/>
          <w:color w:val="auto"/>
          <w:kern w:val="2"/>
          <w:sz w:val="40"/>
          <w:szCs w:val="40"/>
          <w:lang w:eastAsia="zh-CN"/>
        </w:rPr>
        <w:t>专项预算项目支出</w:t>
      </w:r>
      <w:r>
        <w:rPr>
          <w:rFonts w:hint="eastAsia" w:ascii="方正小标宋_GBK" w:eastAsia="方正小标宋_GBK" w:cs="方正小标宋简体"/>
          <w:color w:val="auto"/>
          <w:kern w:val="2"/>
          <w:sz w:val="40"/>
          <w:szCs w:val="40"/>
        </w:rPr>
        <w:t>绩效自评报告</w:t>
      </w:r>
    </w:p>
    <w:p>
      <w:pPr>
        <w:keepNext w:val="0"/>
        <w:keepLines w:val="0"/>
        <w:pageBreakBefore w:val="0"/>
        <w:widowControl w:val="0"/>
        <w:tabs>
          <w:tab w:val="left" w:pos="3885"/>
        </w:tabs>
        <w:kinsoku/>
        <w:wordWrap/>
        <w:overflowPunct/>
        <w:topLinePunct w:val="0"/>
        <w:bidi w:val="0"/>
        <w:snapToGrid w:val="0"/>
        <w:spacing w:line="560" w:lineRule="atLeast"/>
        <w:ind w:left="0" w:right="0"/>
        <w:jc w:val="center"/>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202</w:t>
      </w: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年</w:t>
      </w:r>
      <w:r>
        <w:rPr>
          <w:rFonts w:hint="eastAsia" w:ascii="楷体_GB2312" w:hAnsi="楷体_GB2312" w:eastAsia="楷体_GB2312" w:cs="楷体_GB2312"/>
          <w:b/>
          <w:bCs/>
          <w:sz w:val="32"/>
          <w:szCs w:val="32"/>
          <w:lang w:val="en-US" w:eastAsia="zh-CN"/>
        </w:rPr>
        <w:t>社保公共服务能力提升资金</w:t>
      </w:r>
      <w:r>
        <w:rPr>
          <w:rFonts w:hint="eastAsia" w:ascii="楷体_GB2312" w:hAnsi="楷体_GB2312" w:eastAsia="楷体_GB2312" w:cs="楷体_GB2312"/>
          <w:b/>
          <w:bCs/>
          <w:sz w:val="32"/>
          <w:szCs w:val="32"/>
        </w:rPr>
        <w:t>绩效自评报告</w:t>
      </w:r>
      <w:r>
        <w:rPr>
          <w:rFonts w:hint="eastAsia" w:ascii="楷体_GB2312" w:hAnsi="楷体_GB2312" w:eastAsia="楷体_GB2312" w:cs="楷体_GB2312"/>
          <w:b/>
          <w:bCs/>
          <w:sz w:val="32"/>
          <w:szCs w:val="32"/>
          <w:lang w:eastAsia="zh-CN"/>
        </w:rPr>
        <w:t>）</w:t>
      </w:r>
    </w:p>
    <w:p>
      <w:pPr>
        <w:pStyle w:val="30"/>
        <w:keepNext w:val="0"/>
        <w:keepLines w:val="0"/>
        <w:pageBreakBefore w:val="0"/>
        <w:widowControl w:val="0"/>
        <w:kinsoku/>
        <w:wordWrap/>
        <w:overflowPunct/>
        <w:topLinePunct w:val="0"/>
        <w:autoSpaceDE/>
        <w:autoSpaceDN/>
        <w:bidi w:val="0"/>
        <w:spacing w:line="560" w:lineRule="atLeast"/>
        <w:ind w:left="0" w:right="0" w:firstLine="640"/>
        <w:jc w:val="center"/>
        <w:textAlignment w:val="auto"/>
        <w:rPr>
          <w:rFonts w:hint="eastAsia" w:ascii="仿宋_GB2312" w:hAnsi="仿宋_GB2312" w:eastAsia="仿宋_GB2312" w:cs="仿宋_GB2312"/>
          <w:color w:val="auto"/>
          <w:kern w:val="2"/>
          <w:sz w:val="32"/>
          <w:szCs w:val="32"/>
        </w:rPr>
      </w:pPr>
    </w:p>
    <w:p>
      <w:pPr>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right="0" w:firstLine="720"/>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项目概况</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1．说明项目主管部门（单位）在该项目管理中的职能。</w:t>
      </w:r>
    </w:p>
    <w:p>
      <w:pPr>
        <w:keepNext w:val="0"/>
        <w:keepLines w:val="0"/>
        <w:pageBreakBefore w:val="0"/>
        <w:widowControl w:val="0"/>
        <w:kinsoku/>
        <w:wordWrap/>
        <w:overflowPunct/>
        <w:topLinePunct w:val="0"/>
        <w:autoSpaceDE/>
        <w:autoSpaceDN/>
        <w:bidi w:val="0"/>
        <w:spacing w:line="560" w:lineRule="exact"/>
        <w:ind w:left="0" w:right="0" w:rightChars="0" w:firstLine="642"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kern w:val="0"/>
          <w:sz w:val="32"/>
          <w:szCs w:val="32"/>
          <w:lang w:eastAsia="zh-CN"/>
        </w:rPr>
        <w:t>一是</w:t>
      </w:r>
      <w:r>
        <w:rPr>
          <w:rFonts w:hint="eastAsia" w:ascii="仿宋_GB2312" w:hAnsi="仿宋_GB2312" w:eastAsia="仿宋_GB2312" w:cs="仿宋_GB2312"/>
          <w:kern w:val="0"/>
          <w:sz w:val="32"/>
          <w:szCs w:val="32"/>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0"/>
          <w:sz w:val="32"/>
          <w:szCs w:val="32"/>
          <w:lang w:eastAsia="zh-CN"/>
        </w:rPr>
        <w:t>二是</w:t>
      </w:r>
      <w:r>
        <w:rPr>
          <w:rFonts w:hint="eastAsia" w:ascii="仿宋_GB2312" w:hAnsi="仿宋_GB2312" w:eastAsia="仿宋_GB2312" w:cs="仿宋_GB2312"/>
          <w:kern w:val="0"/>
          <w:sz w:val="32"/>
          <w:szCs w:val="32"/>
        </w:rPr>
        <w:t>组织拟定并实施医疗保障基金监督管理制度，建立健全医疗保障基金安全防控机制，监督强化全州医疗保障基金运行管理。</w:t>
      </w:r>
      <w:r>
        <w:rPr>
          <w:rFonts w:hint="eastAsia" w:ascii="仿宋_GB2312" w:hAnsi="仿宋_GB2312" w:eastAsia="仿宋_GB2312" w:cs="仿宋_GB2312"/>
          <w:b/>
          <w:bCs/>
          <w:kern w:val="0"/>
          <w:sz w:val="32"/>
          <w:szCs w:val="32"/>
          <w:lang w:eastAsia="zh-CN"/>
        </w:rPr>
        <w:t>三是</w:t>
      </w:r>
      <w:r>
        <w:rPr>
          <w:rFonts w:hint="eastAsia" w:ascii="仿宋_GB2312" w:hAnsi="仿宋_GB2312" w:eastAsia="仿宋_GB2312" w:cs="仿宋_GB2312"/>
          <w:kern w:val="0"/>
          <w:sz w:val="32"/>
          <w:szCs w:val="32"/>
        </w:rPr>
        <w:t>组织拟订医疗保障筹资和待遇政策，完善动态调整和区域调剂平衡机制，统筹城乡医疗保障待遇标准，建立健全与筹资水平相适应的待遇调整机制。组织实施长期护理保险制度改革。</w:t>
      </w:r>
      <w:r>
        <w:rPr>
          <w:rFonts w:hint="eastAsia" w:ascii="仿宋_GB2312" w:hAnsi="仿宋_GB2312" w:eastAsia="仿宋_GB2312" w:cs="仿宋_GB2312"/>
          <w:b/>
          <w:bCs/>
          <w:kern w:val="0"/>
          <w:sz w:val="32"/>
          <w:szCs w:val="32"/>
          <w:lang w:eastAsia="zh-CN"/>
        </w:rPr>
        <w:t>四是</w:t>
      </w:r>
      <w:r>
        <w:rPr>
          <w:rFonts w:hint="eastAsia" w:ascii="仿宋_GB2312" w:hAnsi="仿宋_GB2312" w:eastAsia="仿宋_GB2312" w:cs="仿宋_GB2312"/>
          <w:kern w:val="0"/>
          <w:sz w:val="32"/>
          <w:szCs w:val="32"/>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kern w:val="0"/>
          <w:sz w:val="32"/>
          <w:szCs w:val="32"/>
          <w:lang w:eastAsia="zh-CN"/>
        </w:rPr>
        <w:t>五是</w:t>
      </w:r>
      <w:r>
        <w:rPr>
          <w:rFonts w:hint="eastAsia" w:ascii="仿宋_GB2312" w:hAnsi="仿宋_GB2312" w:eastAsia="仿宋_GB2312" w:cs="仿宋_GB2312"/>
          <w:kern w:val="0"/>
          <w:sz w:val="32"/>
          <w:szCs w:val="32"/>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kern w:val="0"/>
          <w:sz w:val="32"/>
          <w:szCs w:val="32"/>
          <w:lang w:eastAsia="zh-CN"/>
        </w:rPr>
        <w:t>六是</w:t>
      </w:r>
      <w:r>
        <w:rPr>
          <w:rFonts w:hint="eastAsia" w:ascii="仿宋_GB2312" w:hAnsi="仿宋_GB2312" w:eastAsia="仿宋_GB2312" w:cs="仿宋_GB2312"/>
          <w:kern w:val="0"/>
          <w:sz w:val="32"/>
          <w:szCs w:val="32"/>
        </w:rPr>
        <w:t>贯彻落实药品、医用耗材的招标采购政策并监督实施。</w:t>
      </w:r>
      <w:r>
        <w:rPr>
          <w:rFonts w:hint="eastAsia" w:ascii="仿宋_GB2312" w:hAnsi="仿宋_GB2312" w:eastAsia="仿宋_GB2312" w:cs="仿宋_GB2312"/>
          <w:b/>
          <w:bCs/>
          <w:kern w:val="0"/>
          <w:sz w:val="32"/>
          <w:szCs w:val="32"/>
          <w:lang w:eastAsia="zh-CN"/>
        </w:rPr>
        <w:t>七是</w:t>
      </w:r>
      <w:r>
        <w:rPr>
          <w:rFonts w:hint="eastAsia" w:ascii="仿宋_GB2312" w:hAnsi="仿宋_GB2312" w:eastAsia="仿宋_GB2312" w:cs="仿宋_GB2312"/>
          <w:kern w:val="0"/>
          <w:sz w:val="32"/>
          <w:szCs w:val="32"/>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kern w:val="0"/>
          <w:sz w:val="32"/>
          <w:szCs w:val="32"/>
          <w:lang w:eastAsia="zh-CN"/>
        </w:rPr>
        <w:t>八是</w:t>
      </w:r>
      <w:r>
        <w:rPr>
          <w:rFonts w:hint="eastAsia" w:ascii="仿宋_GB2312" w:hAnsi="仿宋_GB2312" w:eastAsia="仿宋_GB2312" w:cs="仿宋_GB2312"/>
          <w:kern w:val="0"/>
          <w:sz w:val="32"/>
          <w:szCs w:val="32"/>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kern w:val="0"/>
          <w:sz w:val="32"/>
          <w:szCs w:val="32"/>
          <w:lang w:eastAsia="zh-CN"/>
        </w:rPr>
        <w:t>九是</w:t>
      </w:r>
      <w:r>
        <w:rPr>
          <w:rFonts w:hint="eastAsia" w:ascii="仿宋_GB2312" w:hAnsi="仿宋_GB2312" w:eastAsia="仿宋_GB2312" w:cs="仿宋_GB2312"/>
          <w:kern w:val="0"/>
          <w:sz w:val="32"/>
          <w:szCs w:val="32"/>
        </w:rPr>
        <w:t>负责规划实施全州医疗保障信息化建设。组织开展医疗保障大数据管理和应用。</w:t>
      </w:r>
      <w:r>
        <w:rPr>
          <w:rFonts w:hint="eastAsia" w:ascii="仿宋_GB2312" w:hAnsi="仿宋_GB2312" w:eastAsia="仿宋_GB2312" w:cs="仿宋_GB2312"/>
          <w:b/>
          <w:bCs/>
          <w:kern w:val="0"/>
          <w:sz w:val="32"/>
          <w:szCs w:val="32"/>
          <w:lang w:eastAsia="zh-CN"/>
        </w:rPr>
        <w:t>十是</w:t>
      </w:r>
      <w:r>
        <w:rPr>
          <w:rFonts w:hint="eastAsia" w:ascii="仿宋_GB2312" w:hAnsi="仿宋_GB2312" w:eastAsia="仿宋_GB2312" w:cs="仿宋_GB2312"/>
          <w:kern w:val="0"/>
          <w:sz w:val="32"/>
          <w:szCs w:val="32"/>
        </w:rPr>
        <w:t>负责职责范围内的安全生产和职业健康、生态环境保护、公共机构节能减排、审批服务便民化等工作</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十一是</w:t>
      </w:r>
      <w:r>
        <w:rPr>
          <w:rFonts w:hint="eastAsia" w:ascii="仿宋_GB2312" w:hAnsi="仿宋_GB2312" w:eastAsia="仿宋_GB2312" w:cs="仿宋_GB2312"/>
          <w:kern w:val="0"/>
          <w:sz w:val="32"/>
          <w:szCs w:val="32"/>
        </w:rPr>
        <w:t>完成州委、州政府交办的其他任务。</w:t>
      </w:r>
      <w:r>
        <w:rPr>
          <w:rFonts w:hint="eastAsia" w:ascii="仿宋_GB2312" w:hAnsi="仿宋_GB2312" w:eastAsia="仿宋_GB2312" w:cs="仿宋_GB2312"/>
          <w:b/>
          <w:bCs/>
          <w:kern w:val="0"/>
          <w:sz w:val="32"/>
          <w:szCs w:val="32"/>
          <w:lang w:eastAsia="zh-CN"/>
        </w:rPr>
        <w:t>十二是</w:t>
      </w:r>
      <w:r>
        <w:rPr>
          <w:rFonts w:hint="eastAsia" w:ascii="仿宋_GB2312" w:hAnsi="仿宋_GB2312" w:eastAsia="仿宋_GB2312" w:cs="仿宋_GB2312"/>
          <w:kern w:val="0"/>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kern w:val="0"/>
          <w:sz w:val="32"/>
          <w:szCs w:val="32"/>
          <w:lang w:eastAsia="zh-CN"/>
        </w:rPr>
        <w:t>十三是</w:t>
      </w:r>
      <w:r>
        <w:rPr>
          <w:rFonts w:hint="eastAsia" w:ascii="仿宋_GB2312" w:hAnsi="仿宋_GB2312" w:eastAsia="仿宋_GB2312" w:cs="仿宋_GB2312"/>
          <w:kern w:val="0"/>
          <w:sz w:val="32"/>
          <w:szCs w:val="32"/>
        </w:rPr>
        <w:t>与州卫生健康委员会的有关职责分工。两部门在医疗、医保、医药等方面加强制度、政策衔接，建立沟通协商机制，协同推进改革，提高医疗资源使用效率和医疗保障水平</w:t>
      </w:r>
      <w:r>
        <w:rPr>
          <w:rFonts w:hint="eastAsia" w:ascii="仿宋_GB2312" w:hAnsi="仿宋_GB2312" w:eastAsia="仿宋_GB2312" w:cs="仿宋_GB2312"/>
          <w:kern w:val="0"/>
          <w:sz w:val="32"/>
          <w:szCs w:val="32"/>
          <w:lang w:eastAsia="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项目立项、资金申报的依据。</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kern w:val="0"/>
          <w:sz w:val="32"/>
          <w:szCs w:val="32"/>
        </w:rPr>
        <w:t>财政厅 人力资源社会保障厅 省医疗保障局《关于预拨2021年省级财政社保公共服务能力建设资金的通知》(川财社(2021)23号)和财政厅人力资源社会保障厅 省医疗保障局《关于结算2021年省级财政社保公共服务能力建设资金的通知》(川财社(2021)28号)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阿坝州财政局 阿坝州人力资源和社会保障局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阿坝州医疗保障局 《关于下达2021年社保公共服务能力建设资金的通知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阿州</w:t>
      </w:r>
      <w:r>
        <w:rPr>
          <w:rFonts w:hint="eastAsia" w:ascii="仿宋_GB2312" w:hAnsi="仿宋_GB2312" w:eastAsia="仿宋_GB2312" w:cs="仿宋_GB2312"/>
          <w:kern w:val="0"/>
          <w:sz w:val="32"/>
          <w:szCs w:val="32"/>
        </w:rPr>
        <w:t>财社(2021)</w:t>
      </w:r>
      <w:r>
        <w:rPr>
          <w:rFonts w:hint="eastAsia" w:ascii="仿宋_GB2312" w:hAnsi="仿宋_GB2312" w:eastAsia="仿宋_GB2312" w:cs="仿宋_GB2312"/>
          <w:kern w:val="0"/>
          <w:sz w:val="32"/>
          <w:szCs w:val="32"/>
          <w:lang w:val="en-US" w:eastAsia="zh-CN"/>
        </w:rPr>
        <w:t>53</w:t>
      </w:r>
      <w:r>
        <w:rPr>
          <w:rFonts w:hint="eastAsia" w:ascii="仿宋_GB2312" w:hAnsi="仿宋_GB2312" w:eastAsia="仿宋_GB2312" w:cs="仿宋_GB2312"/>
          <w:kern w:val="0"/>
          <w:sz w:val="32"/>
          <w:szCs w:val="32"/>
        </w:rPr>
        <w:t>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spacing w:val="6"/>
          <w:sz w:val="32"/>
          <w:szCs w:val="32"/>
          <w:lang w:val="en-US" w:eastAsia="zh-CN" w:bidi="ar-SA"/>
        </w:rPr>
        <w:t>等相关文件为决策依据，严格按照2021年</w:t>
      </w:r>
      <w:r>
        <w:rPr>
          <w:rFonts w:hint="eastAsia" w:ascii="仿宋_GB2312" w:hAnsi="仿宋_GB2312" w:eastAsia="仿宋_GB2312" w:cs="仿宋_GB2312"/>
          <w:kern w:val="0"/>
          <w:sz w:val="32"/>
          <w:szCs w:val="32"/>
        </w:rPr>
        <w:t>社保公共服务能力建设</w:t>
      </w:r>
      <w:r>
        <w:rPr>
          <w:rFonts w:hint="eastAsia" w:ascii="仿宋_GB2312" w:hAnsi="仿宋_GB2312" w:eastAsia="仿宋_GB2312" w:cs="仿宋_GB2312"/>
          <w:b w:val="0"/>
          <w:bCs w:val="0"/>
          <w:spacing w:val="6"/>
          <w:sz w:val="32"/>
          <w:szCs w:val="32"/>
          <w:lang w:val="en-US" w:eastAsia="zh-CN" w:bidi="ar-SA"/>
        </w:rPr>
        <w:t>资金的批复用途，认真进行项目实施。</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2021年阿坝州</w:t>
      </w:r>
      <w:r>
        <w:rPr>
          <w:rFonts w:hint="eastAsia" w:ascii="仿宋_GB2312" w:hAnsi="仿宋_GB2312" w:eastAsia="仿宋_GB2312" w:cs="仿宋_GB2312"/>
          <w:kern w:val="0"/>
          <w:sz w:val="32"/>
          <w:szCs w:val="32"/>
        </w:rPr>
        <w:t>社保公共服务能力建设资金</w:t>
      </w:r>
      <w:r>
        <w:rPr>
          <w:rFonts w:hint="eastAsia" w:ascii="仿宋_GB2312" w:hAnsi="仿宋_GB2312" w:eastAsia="仿宋_GB2312" w:cs="仿宋_GB2312"/>
          <w:kern w:val="0"/>
          <w:sz w:val="32"/>
          <w:szCs w:val="32"/>
          <w:lang w:val="en-US" w:eastAsia="zh-CN"/>
        </w:rPr>
        <w:t>合计308万元，其中州医保局社保基金预决算管理资金15万元。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firstLine="642"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zh-CN"/>
        </w:rPr>
        <w:t>项目应实现的具体绩效目标，包括目标的量化、细化情况以及项目实施进度计划等。</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强化医疗保险基金预决算管理工作，完善社保基金预决算管理办法，做好基金预决算及预算执行情况动态分析，切实构建社会保险基金预决算监督管理的长效机制。</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按时按质报送2021年决算、2021年预算调整、执行，2022年预算，认真进行基金运行情况分析。</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lang w:val="zh-CN"/>
        </w:rPr>
        <w:t>分析评价申报内容是否与实际相符，申报目标是否合理可行。</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kern w:val="2"/>
          <w:sz w:val="32"/>
          <w:szCs w:val="32"/>
          <w:lang w:val="en-US" w:eastAsia="zh-CN" w:bidi="ar-SA"/>
        </w:rPr>
        <w:t>资金使用严格按照预算绩效目标管理使用，重点用于</w:t>
      </w:r>
      <w:r>
        <w:rPr>
          <w:rFonts w:hint="eastAsia" w:ascii="仿宋_GB2312" w:hAnsi="仿宋_GB2312" w:eastAsia="仿宋_GB2312" w:cs="仿宋_GB2312"/>
          <w:kern w:val="0"/>
          <w:sz w:val="32"/>
          <w:szCs w:val="32"/>
        </w:rPr>
        <w:t>社会保险基金管理有关的设施设备购置、预决算会审、管理、人员培训等支出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kern w:val="2"/>
          <w:sz w:val="32"/>
          <w:szCs w:val="32"/>
          <w:lang w:val="en-US" w:eastAsia="zh-CN" w:bidi="ar-SA"/>
        </w:rPr>
        <w:t>提高了资金使用效益。</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（三）项目自评步骤及方法。</w:t>
      </w:r>
    </w:p>
    <w:p>
      <w:pPr>
        <w:pStyle w:val="2"/>
        <w:keepNext w:val="0"/>
        <w:keepLines w:val="0"/>
        <w:pageBreakBefore w:val="0"/>
        <w:widowControl w:val="0"/>
        <w:kinsoku/>
        <w:wordWrap/>
        <w:overflowPunct/>
        <w:topLinePunct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 xml:space="preserve">评价人员于2022年7月18日了解项目基本情况并收集项目文件资料、设计调查问卷，2022年7月20日结束评价工作。         </w:t>
      </w:r>
    </w:p>
    <w:p>
      <w:pPr>
        <w:pStyle w:val="2"/>
        <w:keepNext w:val="0"/>
        <w:keepLines w:val="0"/>
        <w:pageBreakBefore w:val="0"/>
        <w:widowControl w:val="0"/>
        <w:kinsoku/>
        <w:wordWrap/>
        <w:overflowPunct/>
        <w:topLinePunct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主要评价过程如下：</w:t>
      </w:r>
    </w:p>
    <w:p>
      <w:pPr>
        <w:pStyle w:val="2"/>
        <w:keepNext w:val="0"/>
        <w:keepLines w:val="0"/>
        <w:pageBreakBefore w:val="0"/>
        <w:widowControl w:val="0"/>
        <w:kinsoku/>
        <w:wordWrap/>
        <w:overflowPunct/>
        <w:topLinePunct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1.了解专项资金的基本情况，听取项目实施情况介绍；</w:t>
      </w:r>
    </w:p>
    <w:p>
      <w:pPr>
        <w:pStyle w:val="2"/>
        <w:keepNext w:val="0"/>
        <w:keepLines w:val="0"/>
        <w:pageBreakBefore w:val="0"/>
        <w:widowControl w:val="0"/>
        <w:kinsoku/>
        <w:wordWrap/>
        <w:overflowPunct/>
        <w:topLinePunct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2.现场调查取证，查看项目实施情况，核查项目资金收支账目等相关资料，为整个评价指标体系评分收集基础数据；</w:t>
      </w:r>
    </w:p>
    <w:p>
      <w:pPr>
        <w:pStyle w:val="2"/>
        <w:keepNext w:val="0"/>
        <w:keepLines w:val="0"/>
        <w:pageBreakBefore w:val="0"/>
        <w:widowControl w:val="0"/>
        <w:kinsoku/>
        <w:wordWrap/>
        <w:overflowPunct/>
        <w:topLinePunct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3.对资金使用效益评分，分析、检验项目资金的使用是否实现绩效目标；</w:t>
      </w:r>
    </w:p>
    <w:p>
      <w:pPr>
        <w:pStyle w:val="7"/>
        <w:keepNext w:val="0"/>
        <w:keepLines w:val="0"/>
        <w:pageBreakBefore w:val="0"/>
        <w:widowControl w:val="0"/>
        <w:kinsoku/>
        <w:wordWrap/>
        <w:overflowPunct/>
        <w:topLinePunct w:val="0"/>
        <w:bidi w:val="0"/>
        <w:spacing w:line="560" w:lineRule="exact"/>
        <w:ind w:left="0" w:right="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pacing w:val="6"/>
          <w:sz w:val="32"/>
          <w:szCs w:val="32"/>
          <w:lang w:val="en-US" w:eastAsia="zh-CN" w:bidi="ar-SA"/>
        </w:rPr>
        <w:t>4.经过定量和定性分析形成评价结论，经过复核后，形成项目绩效评价报告。</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二、项目资金申报及使用情况</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（一）项目资金申报及批复情况。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2021年阿坝州</w:t>
      </w:r>
      <w:r>
        <w:rPr>
          <w:rFonts w:hint="eastAsia" w:ascii="仿宋_GB2312" w:hAnsi="仿宋_GB2312" w:eastAsia="仿宋_GB2312" w:cs="仿宋_GB2312"/>
          <w:kern w:val="0"/>
          <w:sz w:val="32"/>
          <w:szCs w:val="32"/>
        </w:rPr>
        <w:t>社保公共服务能力建设资金</w:t>
      </w:r>
      <w:r>
        <w:rPr>
          <w:rFonts w:hint="eastAsia" w:ascii="仿宋_GB2312" w:hAnsi="仿宋_GB2312" w:eastAsia="仿宋_GB2312" w:cs="仿宋_GB2312"/>
          <w:kern w:val="0"/>
          <w:sz w:val="32"/>
          <w:szCs w:val="32"/>
          <w:lang w:val="en-US" w:eastAsia="zh-CN"/>
        </w:rPr>
        <w:t>合计308万元，其中州医保局社保基金预决算管理资金15万元。</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rPr>
        <w:t>1．资金计划。</w:t>
      </w:r>
      <w:r>
        <w:rPr>
          <w:rFonts w:hint="eastAsia" w:ascii="仿宋_GB2312" w:hAnsi="仿宋_GB2312" w:eastAsia="仿宋_GB2312" w:cs="仿宋_GB2312"/>
          <w:b w:val="0"/>
          <w:bCs w:val="0"/>
          <w:kern w:val="2"/>
          <w:sz w:val="32"/>
          <w:szCs w:val="32"/>
          <w:lang w:val="en-US" w:eastAsia="zh-CN" w:bidi="ar-SA"/>
        </w:rPr>
        <w:t>重点用于</w:t>
      </w:r>
      <w:r>
        <w:rPr>
          <w:rFonts w:hint="eastAsia" w:ascii="仿宋_GB2312" w:hAnsi="仿宋_GB2312" w:eastAsia="仿宋_GB2312" w:cs="仿宋_GB2312"/>
          <w:kern w:val="0"/>
          <w:sz w:val="32"/>
          <w:szCs w:val="32"/>
        </w:rPr>
        <w:t>社会保险基金管理有关的设施设备购置、预决算会审、管理、人员培训等支出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lang w:val="en-US" w:eastAsia="zh-CN"/>
        </w:rPr>
        <w:t>以实际发生额计入社保公共服务能力提升资金。</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2．资金到位、</w:t>
      </w:r>
      <w:r>
        <w:rPr>
          <w:rFonts w:hint="eastAsia" w:ascii="仿宋_GB2312" w:hAnsi="仿宋_GB2312" w:eastAsia="仿宋_GB2312" w:cs="仿宋_GB2312"/>
          <w:b/>
          <w:bCs/>
          <w:sz w:val="32"/>
          <w:szCs w:val="32"/>
          <w:lang w:val="en-US" w:eastAsia="zh-CN"/>
        </w:rPr>
        <w:t>资金使用情况</w:t>
      </w:r>
      <w:r>
        <w:rPr>
          <w:rFonts w:hint="eastAsia" w:ascii="仿宋_GB2312" w:hAnsi="仿宋_GB2312" w:eastAsia="仿宋_GB2312" w:cs="仿宋_GB2312"/>
          <w:b/>
          <w:bCs/>
          <w:sz w:val="32"/>
          <w:szCs w:val="32"/>
          <w:lang w:val="zh-CN"/>
        </w:rPr>
        <w:t>。</w:t>
      </w:r>
    </w:p>
    <w:tbl>
      <w:tblPr>
        <w:tblStyle w:val="16"/>
        <w:tblpPr w:leftFromText="180" w:rightFromText="180" w:vertAnchor="text" w:horzAnchor="page" w:tblpX="1515" w:tblpY="604"/>
        <w:tblOverlap w:val="never"/>
        <w:tblW w:w="9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616"/>
        <w:gridCol w:w="1714"/>
        <w:gridCol w:w="1515"/>
        <w:gridCol w:w="1301"/>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5" w:hRule="atLeast"/>
        </w:trPr>
        <w:tc>
          <w:tcPr>
            <w:tcW w:w="122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w:t>
            </w:r>
          </w:p>
        </w:tc>
        <w:tc>
          <w:tcPr>
            <w:tcW w:w="1616"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资金计划</w:t>
            </w:r>
          </w:p>
        </w:tc>
        <w:tc>
          <w:tcPr>
            <w:tcW w:w="171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到位时间</w:t>
            </w:r>
          </w:p>
        </w:tc>
        <w:tc>
          <w:tcPr>
            <w:tcW w:w="151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使用情况</w:t>
            </w:r>
          </w:p>
        </w:tc>
        <w:tc>
          <w:tcPr>
            <w:tcW w:w="1301"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使用率</w:t>
            </w:r>
          </w:p>
        </w:tc>
        <w:tc>
          <w:tcPr>
            <w:tcW w:w="177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结转情况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0" w:hRule="atLeast"/>
        </w:trPr>
        <w:tc>
          <w:tcPr>
            <w:tcW w:w="122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zh-CN" w:eastAsia="zh-CN"/>
              </w:rPr>
            </w:pPr>
            <w:r>
              <w:rPr>
                <w:rFonts w:hint="eastAsia" w:ascii="仿宋_GB2312" w:hAnsi="仿宋_GB2312" w:eastAsia="仿宋_GB2312" w:cs="仿宋_GB2312"/>
                <w:b w:val="0"/>
                <w:bCs w:val="0"/>
                <w:sz w:val="32"/>
                <w:szCs w:val="32"/>
                <w:lang w:val="en-US" w:eastAsia="zh-CN"/>
              </w:rPr>
              <w:t>2021年社保公共服务能力建设资金</w:t>
            </w:r>
          </w:p>
        </w:tc>
        <w:tc>
          <w:tcPr>
            <w:tcW w:w="1616"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15万元</w:t>
            </w:r>
          </w:p>
        </w:tc>
        <w:tc>
          <w:tcPr>
            <w:tcW w:w="171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2021年5月到位</w:t>
            </w:r>
          </w:p>
        </w:tc>
        <w:tc>
          <w:tcPr>
            <w:tcW w:w="1515" w:type="dxa"/>
          </w:tcPr>
          <w:p>
            <w:pPr>
              <w:pStyle w:val="7"/>
              <w:keepNext w:val="0"/>
              <w:keepLines w:val="0"/>
              <w:pageBreakBefore w:val="0"/>
              <w:widowControl w:val="0"/>
              <w:kinsoku/>
              <w:wordWrap/>
              <w:overflowPunct/>
              <w:topLinePunct w:val="0"/>
              <w:autoSpaceDE/>
              <w:autoSpaceDN/>
              <w:bidi w:val="0"/>
              <w:spacing w:line="360" w:lineRule="atLeast"/>
              <w:ind w:left="0" w:leftChars="0" w:right="0" w:firstLine="0" w:firstLineChars="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2021年支出12.58万元</w:t>
            </w:r>
          </w:p>
          <w:p>
            <w:pPr>
              <w:pStyle w:val="7"/>
              <w:keepNext w:val="0"/>
              <w:keepLines w:val="0"/>
              <w:pageBreakBefore w:val="0"/>
              <w:widowControl w:val="0"/>
              <w:kinsoku/>
              <w:wordWrap/>
              <w:overflowPunct/>
              <w:topLinePunct w:val="0"/>
              <w:autoSpaceDE/>
              <w:autoSpaceDN/>
              <w:bidi w:val="0"/>
              <w:spacing w:line="360" w:lineRule="atLeast"/>
              <w:ind w:left="0" w:right="0"/>
              <w:textAlignment w:val="auto"/>
              <w:rPr>
                <w:rFonts w:hint="eastAsia" w:ascii="仿宋_GB2312" w:hAnsi="仿宋_GB2312" w:eastAsia="仿宋_GB2312" w:cs="仿宋_GB2312"/>
                <w:sz w:val="32"/>
                <w:szCs w:val="32"/>
                <w:lang w:val="en-US" w:eastAsia="zh-CN"/>
              </w:rPr>
            </w:pPr>
          </w:p>
        </w:tc>
        <w:tc>
          <w:tcPr>
            <w:tcW w:w="1301"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zh-CN" w:eastAsia="zh-CN"/>
              </w:rPr>
            </w:pPr>
            <w:r>
              <w:rPr>
                <w:rFonts w:hint="eastAsia" w:ascii="仿宋_GB2312" w:hAnsi="仿宋_GB2312" w:eastAsia="仿宋_GB2312" w:cs="仿宋_GB2312"/>
                <w:b w:val="0"/>
                <w:bCs w:val="0"/>
                <w:sz w:val="32"/>
                <w:szCs w:val="32"/>
                <w:lang w:val="en-US" w:eastAsia="zh-CN"/>
              </w:rPr>
              <w:t>83.87%</w:t>
            </w:r>
          </w:p>
        </w:tc>
        <w:tc>
          <w:tcPr>
            <w:tcW w:w="1770"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left="0" w:right="0" w:righ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2.42万元</w:t>
            </w:r>
          </w:p>
        </w:tc>
      </w:tr>
    </w:tbl>
    <w:p>
      <w:pPr>
        <w:pStyle w:val="8"/>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（三）项目财务管理情况。</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项目资金的使用符合国家财经法规和财务管理制度及有关专项资金管理办法规定；资金拨付有完整的审批程序和手续；符合项目预算批复或合同规定用途；不存在截留、挤占、挪用、虚列支出等情况。根据《政府会计制度》的规定，设立了“行政支出-项目支出-财政拨款支出-2021年</w:t>
      </w:r>
      <w:r>
        <w:rPr>
          <w:rFonts w:hint="eastAsia" w:ascii="仿宋_GB2312" w:hAnsi="仿宋_GB2312" w:eastAsia="仿宋_GB2312" w:cs="仿宋_GB2312"/>
          <w:kern w:val="0"/>
          <w:sz w:val="32"/>
          <w:szCs w:val="32"/>
        </w:rPr>
        <w:t>社保公共服务能力建设</w:t>
      </w:r>
      <w:r>
        <w:rPr>
          <w:rFonts w:hint="eastAsia" w:ascii="仿宋_GB2312" w:hAnsi="仿宋_GB2312" w:eastAsia="仿宋_GB2312" w:cs="仿宋_GB2312"/>
          <w:b w:val="0"/>
          <w:bCs w:val="0"/>
          <w:spacing w:val="6"/>
          <w:sz w:val="32"/>
          <w:szCs w:val="32"/>
          <w:lang w:val="en-US" w:eastAsia="zh-CN" w:bidi="ar-SA"/>
        </w:rPr>
        <w:t xml:space="preserve">资金”项目明细科目专账进行核算；严格财经纪律，项目经费支出及时，财务处理及时合规；财务管理制度健全完善。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720" w:leftChars="0" w:right="0" w:rightChars="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项目实施及管理情况</w:t>
      </w:r>
    </w:p>
    <w:p>
      <w:pPr>
        <w:keepNext w:val="0"/>
        <w:keepLines w:val="0"/>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（一）项目组织架构及实施流程。</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val="0"/>
          <w:bCs w:val="0"/>
          <w:spacing w:val="6"/>
          <w:sz w:val="32"/>
          <w:szCs w:val="32"/>
          <w:lang w:val="en-US" w:eastAsia="zh-CN" w:bidi="ar-SA"/>
        </w:rPr>
        <w:t>该项目由州医疗保障局制定计划并组织实施，一是2021年基金预决算及统计报表培训由全州15个医疗保险经办机构相关工作人员、全州财政相关股室工作人员参加，二是</w:t>
      </w:r>
      <w:r>
        <w:rPr>
          <w:rFonts w:hint="eastAsia" w:ascii="仿宋_GB2312" w:hAnsi="仿宋_GB2312" w:eastAsia="仿宋_GB2312" w:cs="仿宋_GB2312"/>
          <w:kern w:val="0"/>
          <w:sz w:val="32"/>
          <w:szCs w:val="32"/>
        </w:rPr>
        <w:t>购置</w:t>
      </w:r>
      <w:r>
        <w:rPr>
          <w:rFonts w:hint="eastAsia" w:ascii="仿宋_GB2312" w:hAnsi="仿宋_GB2312" w:eastAsia="仿宋_GB2312" w:cs="仿宋_GB2312"/>
          <w:b w:val="0"/>
          <w:bCs w:val="0"/>
          <w:kern w:val="2"/>
          <w:sz w:val="32"/>
          <w:szCs w:val="32"/>
          <w:lang w:val="en-US" w:eastAsia="zh-CN" w:bidi="ar-SA"/>
        </w:rPr>
        <w:t>用于</w:t>
      </w:r>
      <w:r>
        <w:rPr>
          <w:rFonts w:hint="eastAsia" w:ascii="仿宋_GB2312" w:hAnsi="仿宋_GB2312" w:eastAsia="仿宋_GB2312" w:cs="仿宋_GB2312"/>
          <w:kern w:val="0"/>
          <w:sz w:val="32"/>
          <w:szCs w:val="32"/>
        </w:rPr>
        <w:t>社会保险基金管理有关的设施设备</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三是预决算有关人员差旅费</w:t>
      </w:r>
      <w:r>
        <w:rPr>
          <w:rFonts w:hint="eastAsia" w:ascii="仿宋_GB2312" w:hAnsi="仿宋_GB2312" w:eastAsia="仿宋_GB2312" w:cs="仿宋_GB2312"/>
          <w:b w:val="0"/>
          <w:bCs w:val="0"/>
          <w:spacing w:val="6"/>
          <w:sz w:val="32"/>
          <w:szCs w:val="32"/>
          <w:lang w:val="en-US" w:eastAsia="zh-CN" w:bidi="ar-SA"/>
        </w:rPr>
        <w:t>。</w:t>
      </w:r>
    </w:p>
    <w:p>
      <w:pPr>
        <w:pStyle w:val="2"/>
        <w:keepNext w:val="0"/>
        <w:keepLines w:val="0"/>
        <w:pageBreakBefore w:val="0"/>
        <w:widowControl w:val="0"/>
        <w:numPr>
          <w:ilvl w:val="0"/>
          <w:numId w:val="0"/>
        </w:numPr>
        <w:tabs>
          <w:tab w:val="left" w:pos="0"/>
        </w:tabs>
        <w:kinsoku/>
        <w:wordWrap/>
        <w:overflowPunct/>
        <w:topLinePunct w:val="0"/>
        <w:autoSpaceDE/>
        <w:autoSpaceDN/>
        <w:bidi w:val="0"/>
        <w:spacing w:line="560" w:lineRule="atLeast"/>
        <w:ind w:left="720" w:leftChars="0" w:right="0" w:rightChars="0"/>
        <w:jc w:val="both"/>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（二）项目管理情况。</w:t>
      </w:r>
    </w:p>
    <w:p>
      <w:pPr>
        <w:pStyle w:val="2"/>
        <w:keepNext w:val="0"/>
        <w:keepLines w:val="0"/>
        <w:pageBreakBefore w:val="0"/>
        <w:widowControl w:val="0"/>
        <w:numPr>
          <w:ilvl w:val="0"/>
          <w:numId w:val="0"/>
        </w:numPr>
        <w:kinsoku/>
        <w:wordWrap/>
        <w:overflowPunct/>
        <w:topLinePunct w:val="0"/>
        <w:autoSpaceDE/>
        <w:autoSpaceDN/>
        <w:bidi w:val="0"/>
        <w:spacing w:before="0" w:beforeLines="0"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rPr>
        <w:t>财政厅 人力资源社会保障厅 省医疗保障局《关于预拨2021年省级财政社保公共服务能力建设资金的通知》(川财社(2021)23号)和财政厅人力资源社会保障厅 省医疗保障局《关于结算2021年省级财政社保公共服务能力建设资金的通知》(川财社(2021)28号)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阿坝州财政局 阿坝州人力资源和社会保障局</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阿坝州医疗保障局 《关于下达2021年社保公共服务能力建设资金的通知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阿州</w:t>
      </w:r>
      <w:r>
        <w:rPr>
          <w:rFonts w:hint="eastAsia" w:ascii="仿宋_GB2312" w:hAnsi="仿宋_GB2312" w:eastAsia="仿宋_GB2312" w:cs="仿宋_GB2312"/>
          <w:kern w:val="0"/>
          <w:sz w:val="32"/>
          <w:szCs w:val="32"/>
        </w:rPr>
        <w:t>财社(2021)</w:t>
      </w:r>
      <w:r>
        <w:rPr>
          <w:rFonts w:hint="eastAsia" w:ascii="仿宋_GB2312" w:hAnsi="仿宋_GB2312" w:eastAsia="仿宋_GB2312" w:cs="仿宋_GB2312"/>
          <w:kern w:val="0"/>
          <w:sz w:val="32"/>
          <w:szCs w:val="32"/>
          <w:lang w:val="en-US" w:eastAsia="zh-CN"/>
        </w:rPr>
        <w:t>53</w:t>
      </w:r>
      <w:r>
        <w:rPr>
          <w:rFonts w:hint="eastAsia" w:ascii="仿宋_GB2312" w:hAnsi="仿宋_GB2312" w:eastAsia="仿宋_GB2312" w:cs="仿宋_GB2312"/>
          <w:kern w:val="0"/>
          <w:sz w:val="32"/>
          <w:szCs w:val="32"/>
        </w:rPr>
        <w:t>号)</w:t>
      </w:r>
      <w:r>
        <w:rPr>
          <w:rFonts w:hint="eastAsia" w:ascii="仿宋_GB2312" w:hAnsi="仿宋_GB2312" w:eastAsia="仿宋_GB2312" w:cs="仿宋_GB2312"/>
          <w:b w:val="0"/>
          <w:bCs w:val="0"/>
          <w:kern w:val="2"/>
          <w:sz w:val="32"/>
          <w:szCs w:val="32"/>
          <w:lang w:val="en-US" w:eastAsia="zh-CN" w:bidi="ar-SA"/>
        </w:rPr>
        <w:t>文件的相关规定；项目实施的人员条件、场地设备、信息支撑等落实到位。项目管理制度比较健全完善，执行有效。</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right="0" w:firstLine="642"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（三）项目监管情况。</w:t>
      </w:r>
    </w:p>
    <w:p>
      <w:pPr>
        <w:pStyle w:val="2"/>
        <w:keepNext w:val="0"/>
        <w:keepLines w:val="0"/>
        <w:pageBreakBefore w:val="0"/>
        <w:widowControl w:val="0"/>
        <w:kinsoku/>
        <w:wordWrap/>
        <w:overflowPunct/>
        <w:topLinePunct w:val="0"/>
        <w:autoSpaceDE w:val="0"/>
        <w:autoSpaceDN w:val="0"/>
        <w:bidi w:val="0"/>
        <w:adjustRightInd/>
        <w:snapToGrid/>
        <w:spacing w:before="0" w:beforeLines="0" w:line="560" w:lineRule="exact"/>
        <w:ind w:left="0" w:right="0" w:firstLine="66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6"/>
          <w:sz w:val="32"/>
          <w:szCs w:val="32"/>
          <w:lang w:val="zh-CN" w:eastAsia="zh-CN" w:bidi="ar-SA"/>
        </w:rPr>
        <w:t>根据《</w:t>
      </w:r>
      <w:r>
        <w:rPr>
          <w:rFonts w:hint="eastAsia" w:ascii="仿宋_GB2312" w:hAnsi="仿宋_GB2312" w:eastAsia="仿宋_GB2312" w:cs="仿宋_GB2312"/>
          <w:b w:val="0"/>
          <w:bCs w:val="0"/>
          <w:spacing w:val="6"/>
          <w:sz w:val="32"/>
          <w:szCs w:val="32"/>
          <w:lang w:val="en-US" w:eastAsia="zh-CN" w:bidi="ar-SA"/>
        </w:rPr>
        <w:t>阿坝州财政局关于开展2021年部门、政策和项目支出绩效评价工作的通知</w:t>
      </w:r>
      <w:r>
        <w:rPr>
          <w:rFonts w:hint="eastAsia" w:ascii="仿宋_GB2312" w:hAnsi="仿宋_GB2312" w:eastAsia="仿宋_GB2312" w:cs="仿宋_GB2312"/>
          <w:b w:val="0"/>
          <w:bCs w:val="0"/>
          <w:spacing w:val="6"/>
          <w:sz w:val="32"/>
          <w:szCs w:val="32"/>
          <w:lang w:val="zh-CN" w:eastAsia="zh-CN" w:bidi="ar-SA"/>
        </w:rPr>
        <w:t>》阿州财</w:t>
      </w:r>
      <w:r>
        <w:rPr>
          <w:rFonts w:hint="eastAsia" w:ascii="仿宋_GB2312" w:hAnsi="仿宋_GB2312" w:eastAsia="仿宋_GB2312" w:cs="仿宋_GB2312"/>
          <w:b w:val="0"/>
          <w:bCs w:val="0"/>
          <w:spacing w:val="6"/>
          <w:sz w:val="32"/>
          <w:szCs w:val="32"/>
          <w:lang w:val="en-US" w:eastAsia="zh-CN" w:bidi="ar-SA"/>
        </w:rPr>
        <w:t>监绩</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2021</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11</w:t>
      </w:r>
      <w:r>
        <w:rPr>
          <w:rFonts w:hint="eastAsia" w:ascii="仿宋_GB2312" w:hAnsi="仿宋_GB2312" w:eastAsia="仿宋_GB2312" w:cs="仿宋_GB2312"/>
          <w:b w:val="0"/>
          <w:bCs w:val="0"/>
          <w:spacing w:val="6"/>
          <w:sz w:val="32"/>
          <w:szCs w:val="32"/>
          <w:lang w:val="zh-CN" w:eastAsia="zh-CN" w:bidi="ar-SA"/>
        </w:rPr>
        <w:t>号文件要求，</w:t>
      </w:r>
      <w:r>
        <w:rPr>
          <w:rFonts w:hint="eastAsia" w:ascii="仿宋_GB2312" w:hAnsi="仿宋_GB2312" w:eastAsia="仿宋_GB2312" w:cs="仿宋_GB2312"/>
          <w:b w:val="0"/>
          <w:bCs w:val="0"/>
          <w:spacing w:val="6"/>
          <w:sz w:val="32"/>
          <w:szCs w:val="32"/>
          <w:lang w:val="en-US" w:eastAsia="zh-CN" w:bidi="ar-SA"/>
        </w:rPr>
        <w:t>开展2021年部门、政策和项目支出绩效评价，并根据</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项目支出</w:t>
      </w:r>
      <w:r>
        <w:rPr>
          <w:rFonts w:hint="eastAsia" w:ascii="仿宋_GB2312" w:hAnsi="仿宋_GB2312" w:eastAsia="仿宋_GB2312" w:cs="仿宋_GB2312"/>
          <w:b w:val="0"/>
          <w:bCs w:val="0"/>
          <w:spacing w:val="6"/>
          <w:sz w:val="32"/>
          <w:szCs w:val="32"/>
          <w:lang w:val="zh-CN" w:eastAsia="zh-CN" w:bidi="ar-SA"/>
        </w:rPr>
        <w:t>绩效管理</w:t>
      </w:r>
      <w:r>
        <w:rPr>
          <w:rFonts w:hint="eastAsia" w:ascii="仿宋_GB2312" w:hAnsi="仿宋_GB2312" w:eastAsia="仿宋_GB2312" w:cs="仿宋_GB2312"/>
          <w:b w:val="0"/>
          <w:bCs w:val="0"/>
          <w:spacing w:val="6"/>
          <w:sz w:val="32"/>
          <w:szCs w:val="32"/>
          <w:lang w:val="en-US" w:eastAsia="zh-CN" w:bidi="ar-SA"/>
        </w:rPr>
        <w:t>办法</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撰写部门整体绩效评价、各项目支出绩效评价。</w:t>
      </w:r>
      <w:r>
        <w:rPr>
          <w:rFonts w:hint="eastAsia" w:ascii="仿宋_GB2312" w:hAnsi="仿宋_GB2312" w:eastAsia="仿宋_GB2312" w:cs="仿宋_GB2312"/>
          <w:b w:val="0"/>
          <w:bCs w:val="0"/>
          <w:spacing w:val="6"/>
          <w:sz w:val="32"/>
          <w:szCs w:val="32"/>
          <w:lang w:val="zh-CN" w:eastAsia="zh-CN" w:bidi="ar-SA"/>
        </w:rPr>
        <w:t>根据阿州财</w:t>
      </w:r>
      <w:r>
        <w:rPr>
          <w:rFonts w:hint="eastAsia" w:ascii="仿宋_GB2312" w:hAnsi="仿宋_GB2312" w:eastAsia="仿宋_GB2312" w:cs="仿宋_GB2312"/>
          <w:b w:val="0"/>
          <w:bCs w:val="0"/>
          <w:spacing w:val="6"/>
          <w:sz w:val="32"/>
          <w:szCs w:val="32"/>
          <w:lang w:val="en-US" w:eastAsia="zh-CN" w:bidi="ar-SA"/>
        </w:rPr>
        <w:t>监绩</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2021</w:t>
      </w:r>
      <w:r>
        <w:rPr>
          <w:rFonts w:hint="eastAsia" w:ascii="仿宋_GB2312" w:hAnsi="仿宋_GB2312" w:eastAsia="仿宋_GB2312" w:cs="仿宋_GB2312"/>
          <w:b w:val="0"/>
          <w:bCs w:val="0"/>
          <w:spacing w:val="6"/>
          <w:sz w:val="32"/>
          <w:szCs w:val="32"/>
          <w:lang w:val="zh-CN" w:eastAsia="zh-CN" w:bidi="ar-SA"/>
        </w:rPr>
        <w:t>〕</w:t>
      </w:r>
      <w:r>
        <w:rPr>
          <w:rFonts w:hint="eastAsia" w:ascii="仿宋_GB2312" w:hAnsi="仿宋_GB2312" w:eastAsia="仿宋_GB2312" w:cs="仿宋_GB2312"/>
          <w:b w:val="0"/>
          <w:bCs w:val="0"/>
          <w:spacing w:val="6"/>
          <w:sz w:val="32"/>
          <w:szCs w:val="32"/>
          <w:lang w:val="en-US" w:eastAsia="zh-CN" w:bidi="ar-SA"/>
        </w:rPr>
        <w:t>15</w:t>
      </w:r>
      <w:r>
        <w:rPr>
          <w:rFonts w:hint="eastAsia" w:ascii="仿宋_GB2312" w:hAnsi="仿宋_GB2312" w:eastAsia="仿宋_GB2312" w:cs="仿宋_GB2312"/>
          <w:b w:val="0"/>
          <w:bCs w:val="0"/>
          <w:spacing w:val="6"/>
          <w:sz w:val="32"/>
          <w:szCs w:val="32"/>
          <w:lang w:val="zh-CN" w:eastAsia="zh-CN" w:bidi="ar-SA"/>
        </w:rPr>
        <w:t>号文件要求，我</w:t>
      </w:r>
      <w:r>
        <w:rPr>
          <w:rFonts w:hint="eastAsia" w:ascii="仿宋_GB2312" w:hAnsi="仿宋_GB2312" w:eastAsia="仿宋_GB2312" w:cs="仿宋_GB2312"/>
          <w:b w:val="0"/>
          <w:bCs w:val="0"/>
          <w:spacing w:val="6"/>
          <w:sz w:val="32"/>
          <w:szCs w:val="32"/>
          <w:lang w:val="en-US" w:eastAsia="zh-CN" w:bidi="ar-SA"/>
        </w:rPr>
        <w:t>局</w:t>
      </w:r>
      <w:r>
        <w:rPr>
          <w:rFonts w:hint="eastAsia" w:ascii="仿宋_GB2312" w:hAnsi="仿宋_GB2312" w:eastAsia="仿宋_GB2312" w:cs="仿宋_GB2312"/>
          <w:b w:val="0"/>
          <w:bCs w:val="0"/>
          <w:spacing w:val="6"/>
          <w:sz w:val="32"/>
          <w:szCs w:val="32"/>
          <w:lang w:val="zh-CN" w:eastAsia="zh-CN" w:bidi="ar-SA"/>
        </w:rPr>
        <w:t>对</w:t>
      </w:r>
      <w:r>
        <w:rPr>
          <w:rFonts w:hint="eastAsia" w:ascii="仿宋_GB2312" w:hAnsi="仿宋_GB2312" w:eastAsia="仿宋_GB2312" w:cs="仿宋_GB2312"/>
          <w:b w:val="0"/>
          <w:bCs w:val="0"/>
          <w:spacing w:val="6"/>
          <w:sz w:val="32"/>
          <w:szCs w:val="32"/>
          <w:lang w:val="en-US" w:eastAsia="zh-CN" w:bidi="ar-SA"/>
        </w:rPr>
        <w:t>2021年1-8月</w:t>
      </w:r>
      <w:r>
        <w:rPr>
          <w:rFonts w:hint="eastAsia" w:ascii="仿宋_GB2312" w:hAnsi="仿宋_GB2312" w:eastAsia="仿宋_GB2312" w:cs="仿宋_GB2312"/>
          <w:b w:val="0"/>
          <w:bCs w:val="0"/>
          <w:spacing w:val="6"/>
          <w:sz w:val="32"/>
          <w:szCs w:val="32"/>
          <w:lang w:val="zh-CN" w:eastAsia="zh-CN" w:bidi="ar-SA"/>
        </w:rPr>
        <w:t>财政资金使用管理情况，按照《阿坝州</w:t>
      </w:r>
      <w:r>
        <w:rPr>
          <w:rFonts w:hint="eastAsia" w:ascii="仿宋_GB2312" w:hAnsi="仿宋_GB2312" w:eastAsia="仿宋_GB2312" w:cs="仿宋_GB2312"/>
          <w:b w:val="0"/>
          <w:bCs w:val="0"/>
          <w:spacing w:val="6"/>
          <w:sz w:val="32"/>
          <w:szCs w:val="32"/>
          <w:lang w:val="en-US" w:eastAsia="zh-CN" w:bidi="ar-SA"/>
        </w:rPr>
        <w:t>州级2021年</w:t>
      </w:r>
      <w:r>
        <w:rPr>
          <w:rFonts w:hint="eastAsia" w:ascii="仿宋_GB2312" w:hAnsi="仿宋_GB2312" w:eastAsia="仿宋_GB2312" w:cs="仿宋_GB2312"/>
          <w:b w:val="0"/>
          <w:bCs w:val="0"/>
          <w:spacing w:val="6"/>
          <w:sz w:val="32"/>
          <w:szCs w:val="32"/>
          <w:lang w:val="zh-CN" w:eastAsia="zh-CN" w:bidi="ar-SA"/>
        </w:rPr>
        <w:t>预算绩效管理</w:t>
      </w:r>
      <w:r>
        <w:rPr>
          <w:rFonts w:hint="eastAsia" w:ascii="仿宋_GB2312" w:hAnsi="仿宋_GB2312" w:eastAsia="仿宋_GB2312" w:cs="仿宋_GB2312"/>
          <w:b w:val="0"/>
          <w:bCs w:val="0"/>
          <w:spacing w:val="6"/>
          <w:sz w:val="32"/>
          <w:szCs w:val="32"/>
          <w:lang w:val="en-US" w:eastAsia="zh-CN" w:bidi="ar-SA"/>
        </w:rPr>
        <w:t>工作要点</w:t>
      </w:r>
      <w:r>
        <w:rPr>
          <w:rFonts w:hint="eastAsia" w:ascii="仿宋_GB2312" w:hAnsi="仿宋_GB2312" w:eastAsia="仿宋_GB2312" w:cs="仿宋_GB2312"/>
          <w:b w:val="0"/>
          <w:bCs w:val="0"/>
          <w:spacing w:val="6"/>
          <w:sz w:val="32"/>
          <w:szCs w:val="32"/>
          <w:lang w:val="zh-CN" w:eastAsia="zh-CN" w:bidi="ar-SA"/>
        </w:rPr>
        <w:t>》认真开展自评工作，撰写部门自评报告。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firstLine="640" w:firstLineChars="20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项目绩效情况</w:t>
      </w:r>
      <w:r>
        <w:rPr>
          <w:rFonts w:hint="eastAsia" w:ascii="黑体" w:hAnsi="黑体" w:eastAsia="黑体" w:cs="黑体"/>
          <w:b w:val="0"/>
          <w:bCs w:val="0"/>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（一）项目完成情况。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66"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1.项目决策。</w:t>
      </w:r>
      <w:r>
        <w:rPr>
          <w:rFonts w:hint="eastAsia" w:ascii="仿宋_GB2312" w:hAnsi="仿宋_GB2312" w:eastAsia="仿宋_GB2312" w:cs="仿宋_GB2312"/>
          <w:b w:val="0"/>
          <w:bCs w:val="0"/>
          <w:spacing w:val="6"/>
          <w:kern w:val="2"/>
          <w:sz w:val="32"/>
          <w:szCs w:val="32"/>
          <w:lang w:val="en-US" w:eastAsia="zh-CN" w:bidi="ar-SA"/>
        </w:rPr>
        <w:t>严格按照2021年</w:t>
      </w:r>
      <w:r>
        <w:rPr>
          <w:rFonts w:hint="eastAsia" w:ascii="仿宋_GB2312" w:hAnsi="仿宋_GB2312" w:eastAsia="仿宋_GB2312" w:cs="仿宋_GB2312"/>
          <w:kern w:val="0"/>
          <w:sz w:val="32"/>
          <w:szCs w:val="32"/>
        </w:rPr>
        <w:t>社保公共服务能力建设资金</w:t>
      </w:r>
      <w:r>
        <w:rPr>
          <w:rFonts w:hint="eastAsia" w:ascii="仿宋_GB2312" w:hAnsi="仿宋_GB2312" w:eastAsia="仿宋_GB2312" w:cs="仿宋_GB2312"/>
          <w:b w:val="0"/>
          <w:bCs w:val="0"/>
          <w:spacing w:val="6"/>
          <w:kern w:val="2"/>
          <w:sz w:val="32"/>
          <w:szCs w:val="32"/>
          <w:lang w:val="en-US" w:eastAsia="zh-CN" w:bidi="ar-SA"/>
        </w:rPr>
        <w:t>的批复用途，认真进行项目实施。决策过程通过对项目决策程序规范性评价，表明项目绩效目标清晰、具体，决策程序科学、有效，项目预算准确、合理，项目预算金额取得建立了测算方法和标准。</w:t>
      </w:r>
    </w:p>
    <w:p>
      <w:pPr>
        <w:pStyle w:val="7"/>
        <w:keepNext w:val="0"/>
        <w:keepLines w:val="0"/>
        <w:pageBreakBefore w:val="0"/>
        <w:widowControl w:val="0"/>
        <w:kinsoku/>
        <w:wordWrap/>
        <w:overflowPunct/>
        <w:topLinePunct w:val="0"/>
        <w:bidi w:val="0"/>
        <w:spacing w:line="560" w:lineRule="exact"/>
        <w:ind w:left="0" w:right="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2.项目实施。</w:t>
      </w:r>
      <w:r>
        <w:rPr>
          <w:rFonts w:hint="eastAsia" w:ascii="仿宋_GB2312" w:hAnsi="仿宋_GB2312" w:eastAsia="仿宋_GB2312" w:cs="仿宋_GB2312"/>
          <w:b w:val="0"/>
          <w:bCs w:val="0"/>
          <w:spacing w:val="6"/>
          <w:sz w:val="32"/>
          <w:szCs w:val="32"/>
          <w:lang w:val="en-US" w:eastAsia="zh-CN" w:bidi="ar-SA"/>
        </w:rPr>
        <w:t>资金分配及时，资金分配管理科学合理、规范有序且资金分配方向与规划计划支持方向相符合。加强组织协调，严格遵循专款专用、严禁挤占挪用的原则，确</w:t>
      </w:r>
      <w:r>
        <w:rPr>
          <w:rFonts w:hint="eastAsia" w:ascii="仿宋_GB2312" w:hAnsi="仿宋_GB2312" w:eastAsia="仿宋_GB2312" w:cs="仿宋_GB2312"/>
          <w:b w:val="0"/>
          <w:bCs w:val="0"/>
          <w:spacing w:val="6"/>
          <w:kern w:val="2"/>
          <w:sz w:val="32"/>
          <w:szCs w:val="32"/>
          <w:lang w:val="en-US" w:eastAsia="zh-CN" w:bidi="ar-SA"/>
        </w:rPr>
        <w:t>保项目顺利实施。</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line="560" w:lineRule="exact"/>
        <w:ind w:left="0" w:right="0" w:rightChars="0" w:firstLine="666"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3.完成结果。</w:t>
      </w:r>
      <w:r>
        <w:rPr>
          <w:rFonts w:hint="eastAsia" w:ascii="仿宋_GB2312" w:hAnsi="仿宋_GB2312" w:eastAsia="仿宋_GB2312" w:cs="仿宋_GB2312"/>
          <w:b w:val="0"/>
          <w:bCs w:val="0"/>
          <w:spacing w:val="6"/>
          <w:kern w:val="2"/>
          <w:sz w:val="32"/>
          <w:szCs w:val="32"/>
          <w:lang w:val="en-US" w:eastAsia="zh-CN" w:bidi="ar-SA"/>
        </w:rPr>
        <w:t>预算15万元，执行12.58万元，结余2.42万元，完成率83.87%。</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开展基金预决算集中培训工作一次，完成15个县（市）医保经办机构，共计约60余人次参训；完成全州15个经办机构年终基金决算编报会审工作。</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line="560" w:lineRule="exact"/>
        <w:ind w:left="0" w:right="0" w:rightChars="0" w:firstLine="664"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b w:val="0"/>
          <w:bCs w:val="0"/>
          <w:spacing w:val="6"/>
          <w:kern w:val="2"/>
          <w:sz w:val="32"/>
          <w:szCs w:val="32"/>
          <w:lang w:val="en-US" w:eastAsia="zh-CN" w:bidi="ar-SA"/>
        </w:rPr>
        <w:t>购置</w:t>
      </w:r>
      <w:r>
        <w:rPr>
          <w:rFonts w:hint="eastAsia" w:ascii="仿宋_GB2312" w:hAnsi="仿宋_GB2312" w:eastAsia="仿宋_GB2312" w:cs="仿宋_GB2312"/>
          <w:kern w:val="0"/>
          <w:sz w:val="32"/>
          <w:szCs w:val="32"/>
        </w:rPr>
        <w:t>社会保险基金管理有关的设施设备</w:t>
      </w:r>
      <w:r>
        <w:rPr>
          <w:rFonts w:hint="eastAsia" w:ascii="仿宋_GB2312" w:hAnsi="仿宋_GB2312" w:eastAsia="仿宋_GB2312" w:cs="仿宋_GB2312"/>
          <w:kern w:val="0"/>
          <w:sz w:val="32"/>
          <w:szCs w:val="32"/>
          <w:lang w:val="en-US" w:eastAsia="zh-CN"/>
        </w:rPr>
        <w:t>5台</w:t>
      </w:r>
      <w:r>
        <w:rPr>
          <w:rFonts w:hint="eastAsia" w:ascii="仿宋_GB2312" w:hAnsi="仿宋_GB2312" w:eastAsia="仿宋_GB2312" w:cs="仿宋_GB2312"/>
          <w:kern w:val="0"/>
          <w:sz w:val="32"/>
          <w:szCs w:val="32"/>
          <w:lang w:eastAsia="zh-CN"/>
        </w:rPr>
        <w:t>。</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line="560" w:lineRule="exact"/>
        <w:ind w:left="0" w:leftChars="0" w:right="0" w:rightChars="0" w:firstLine="666" w:firstLineChars="200"/>
        <w:textAlignment w:val="auto"/>
        <w:rPr>
          <w:rFonts w:hint="eastAsia" w:ascii="仿宋_GB2312" w:hAnsi="仿宋_GB2312" w:eastAsia="仿宋_GB2312" w:cs="仿宋_GB2312"/>
          <w:b/>
          <w:bCs/>
          <w:spacing w:val="6"/>
          <w:kern w:val="2"/>
          <w:sz w:val="32"/>
          <w:szCs w:val="32"/>
          <w:lang w:val="en-US" w:eastAsia="zh-CN" w:bidi="ar-SA"/>
        </w:rPr>
      </w:pPr>
      <w:r>
        <w:rPr>
          <w:rFonts w:hint="eastAsia" w:ascii="仿宋_GB2312" w:hAnsi="仿宋_GB2312" w:eastAsia="仿宋_GB2312" w:cs="仿宋_GB2312"/>
          <w:b/>
          <w:bCs/>
          <w:spacing w:val="6"/>
          <w:kern w:val="2"/>
          <w:sz w:val="32"/>
          <w:szCs w:val="32"/>
          <w:lang w:val="en-US" w:eastAsia="zh-CN" w:bidi="ar-SA"/>
        </w:rPr>
        <w:t>4.项目效果。</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beforeLines="0" w:line="560" w:lineRule="exact"/>
        <w:ind w:left="0" w:right="0" w:rightChars="0" w:firstLine="640" w:firstLineChars="200"/>
        <w:textAlignment w:val="auto"/>
        <w:rPr>
          <w:rFonts w:hint="eastAsia" w:ascii="仿宋_GB2312" w:hAnsi="仿宋_GB2312" w:eastAsia="仿宋_GB2312" w:cs="仿宋_GB2312"/>
          <w:b w:val="0"/>
          <w:bCs w:val="0"/>
          <w:spacing w:val="6"/>
          <w:kern w:val="2"/>
          <w:sz w:val="32"/>
          <w:szCs w:val="32"/>
          <w:lang w:val="en-US" w:eastAsia="zh-CN" w:bidi="ar-SA"/>
        </w:rPr>
      </w:pPr>
      <w:r>
        <w:rPr>
          <w:rFonts w:hint="eastAsia" w:ascii="仿宋_GB2312" w:hAnsi="仿宋_GB2312" w:eastAsia="仿宋_GB2312" w:cs="仿宋_GB2312"/>
          <w:kern w:val="0"/>
          <w:sz w:val="32"/>
          <w:szCs w:val="32"/>
          <w:lang w:val="en-US" w:eastAsia="zh-CN"/>
        </w:rPr>
        <w:t>强化医疗保险基金预决算管理工作，完善社保基金预决算管理办法，做好基金预决算及预算执行情况动态分析，切实构建社会保险基金预决算监督管理的长效机制。</w:t>
      </w:r>
    </w:p>
    <w:p>
      <w:pPr>
        <w:pStyle w:val="2"/>
        <w:keepNext w:val="0"/>
        <w:keepLines w:val="0"/>
        <w:pageBreakBefore w:val="0"/>
        <w:widowControl w:val="0"/>
        <w:kinsoku/>
        <w:wordWrap/>
        <w:overflowPunct/>
        <w:topLinePunct w:val="0"/>
        <w:bidi w:val="0"/>
        <w:adjustRightInd/>
        <w:snapToGrid/>
        <w:spacing w:before="0" w:beforeLines="0" w:line="560" w:lineRule="exact"/>
        <w:ind w:left="0" w:right="0" w:firstLine="666" w:firstLineChars="200"/>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5.基础管理。</w:t>
      </w:r>
      <w:r>
        <w:rPr>
          <w:rFonts w:hint="eastAsia" w:ascii="仿宋_GB2312" w:hAnsi="仿宋_GB2312" w:eastAsia="仿宋_GB2312" w:cs="仿宋_GB2312"/>
          <w:b w:val="0"/>
          <w:bCs w:val="0"/>
          <w:spacing w:val="6"/>
          <w:sz w:val="32"/>
          <w:szCs w:val="32"/>
          <w:lang w:val="en-US" w:eastAsia="zh-CN" w:bidi="ar-SA"/>
        </w:rPr>
        <w:t>项目申报真实、准确，严格资金使用审核把关，实施切实为</w:t>
      </w:r>
      <w:r>
        <w:rPr>
          <w:rFonts w:hint="eastAsia" w:ascii="仿宋_GB2312" w:hAnsi="仿宋_GB2312" w:eastAsia="仿宋_GB2312" w:cs="仿宋_GB2312"/>
          <w:kern w:val="0"/>
          <w:sz w:val="32"/>
          <w:szCs w:val="32"/>
          <w:lang w:val="en-US" w:eastAsia="zh-CN"/>
        </w:rPr>
        <w:t>医疗保险基金预决算管理</w:t>
      </w:r>
      <w:r>
        <w:rPr>
          <w:rFonts w:hint="eastAsia" w:ascii="仿宋_GB2312" w:hAnsi="仿宋_GB2312" w:eastAsia="仿宋_GB2312" w:cs="仿宋_GB2312"/>
          <w:b w:val="0"/>
          <w:bCs w:val="0"/>
          <w:spacing w:val="6"/>
          <w:sz w:val="32"/>
          <w:szCs w:val="32"/>
          <w:lang w:val="en-US" w:eastAsia="zh-CN" w:bidi="ar-SA"/>
        </w:rPr>
        <w:t>提供了有力的资金保障。</w:t>
      </w:r>
    </w:p>
    <w:p>
      <w:pPr>
        <w:pStyle w:val="27"/>
        <w:keepNext w:val="0"/>
        <w:keepLines w:val="0"/>
        <w:pageBreakBefore w:val="0"/>
        <w:widowControl w:val="0"/>
        <w:numPr>
          <w:ilvl w:val="0"/>
          <w:numId w:val="0"/>
        </w:numPr>
        <w:tabs>
          <w:tab w:val="left" w:pos="3028"/>
        </w:tabs>
        <w:kinsoku/>
        <w:wordWrap/>
        <w:overflowPunct/>
        <w:topLinePunct w:val="0"/>
        <w:autoSpaceDE w:val="0"/>
        <w:autoSpaceDN w:val="0"/>
        <w:bidi w:val="0"/>
        <w:adjustRightInd/>
        <w:snapToGrid/>
        <w:spacing w:after="0" w:line="560" w:lineRule="exact"/>
        <w:ind w:left="0" w:right="0" w:rightChars="0" w:firstLine="688"/>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spacing w:val="6"/>
          <w:sz w:val="32"/>
          <w:szCs w:val="32"/>
          <w:lang w:val="en-US" w:eastAsia="zh-CN" w:bidi="ar-SA"/>
        </w:rPr>
        <w:t>6.社会效益。</w:t>
      </w:r>
      <w:r>
        <w:rPr>
          <w:rFonts w:hint="eastAsia" w:ascii="仿宋_GB2312" w:hAnsi="仿宋_GB2312" w:eastAsia="仿宋_GB2312" w:cs="仿宋_GB2312"/>
          <w:b w:val="0"/>
          <w:bCs w:val="0"/>
          <w:spacing w:val="6"/>
          <w:sz w:val="32"/>
          <w:szCs w:val="32"/>
          <w:lang w:val="en-US" w:eastAsia="zh-CN" w:bidi="ar-SA"/>
        </w:rPr>
        <w:t>资金使用率83.87%，不存在因制度机制、操作流程、管理疏漏、数据缺失等导致资金结余，闲置浪费的情况。</w:t>
      </w:r>
    </w:p>
    <w:p>
      <w:pPr>
        <w:pStyle w:val="27"/>
        <w:keepNext w:val="0"/>
        <w:keepLines w:val="0"/>
        <w:pageBreakBefore w:val="0"/>
        <w:widowControl w:val="0"/>
        <w:numPr>
          <w:ilvl w:val="0"/>
          <w:numId w:val="0"/>
        </w:numPr>
        <w:tabs>
          <w:tab w:val="left" w:pos="2708"/>
        </w:tabs>
        <w:kinsoku/>
        <w:wordWrap/>
        <w:overflowPunct/>
        <w:topLinePunct w:val="0"/>
        <w:autoSpaceDE/>
        <w:autoSpaceDN/>
        <w:bidi w:val="0"/>
        <w:adjustRightInd/>
        <w:snapToGrid/>
        <w:spacing w:after="0" w:line="560" w:lineRule="exact"/>
        <w:ind w:left="0" w:right="0" w:rightChars="0" w:firstLine="642" w:firstLineChars="200"/>
        <w:jc w:val="left"/>
        <w:textAlignment w:val="auto"/>
        <w:rPr>
          <w:rFonts w:hint="eastAsia" w:ascii="仿宋_GB2312" w:hAnsi="仿宋_GB2312" w:eastAsia="仿宋_GB2312" w:cs="仿宋_GB2312"/>
          <w:b w:val="0"/>
          <w:bCs w:val="0"/>
          <w:spacing w:val="6"/>
          <w:sz w:val="32"/>
          <w:szCs w:val="32"/>
          <w:lang w:val="en-US" w:eastAsia="zh-CN" w:bidi="ar-SA"/>
        </w:rPr>
      </w:pPr>
      <w:r>
        <w:rPr>
          <w:rFonts w:hint="eastAsia" w:ascii="仿宋_GB2312" w:hAnsi="仿宋_GB2312" w:eastAsia="仿宋_GB2312" w:cs="仿宋_GB2312"/>
          <w:b/>
          <w:bCs/>
          <w:kern w:val="2"/>
          <w:sz w:val="32"/>
          <w:szCs w:val="32"/>
          <w:lang w:val="en-US" w:eastAsia="zh-CN" w:bidi="ar-SA"/>
        </w:rPr>
        <w:t>7.可持续性。</w:t>
      </w:r>
      <w:r>
        <w:rPr>
          <w:rFonts w:hint="eastAsia" w:ascii="仿宋_GB2312" w:hAnsi="仿宋_GB2312" w:eastAsia="仿宋_GB2312" w:cs="仿宋_GB2312"/>
          <w:b w:val="0"/>
          <w:bCs w:val="0"/>
          <w:kern w:val="2"/>
          <w:sz w:val="32"/>
          <w:szCs w:val="32"/>
          <w:lang w:val="en-US" w:eastAsia="zh-CN" w:bidi="ar-SA"/>
        </w:rPr>
        <w:t>具有较强的可持续性。</w:t>
      </w:r>
    </w:p>
    <w:p>
      <w:pPr>
        <w:pStyle w:val="2"/>
        <w:keepNext w:val="0"/>
        <w:keepLines w:val="0"/>
        <w:pageBreakBefore w:val="0"/>
        <w:widowControl w:val="0"/>
        <w:kinsoku/>
        <w:wordWrap/>
        <w:overflowPunct/>
        <w:topLinePunct w:val="0"/>
        <w:autoSpaceDE/>
        <w:autoSpaceDN/>
        <w:bidi w:val="0"/>
        <w:spacing w:before="0" w:beforeLines="0" w:line="520" w:lineRule="exact"/>
        <w:ind w:left="0" w:right="0" w:firstLine="642" w:firstLineChars="200"/>
        <w:textAlignment w:val="auto"/>
        <w:rPr>
          <w:rFonts w:hint="eastAsia" w:ascii="楷体_GB2312" w:hAnsi="楷体_GB2312" w:eastAsia="楷体_GB2312" w:cs="楷体_GB2312"/>
          <w:b/>
          <w:bCs w:val="0"/>
          <w:spacing w:val="6"/>
          <w:sz w:val="32"/>
          <w:szCs w:val="32"/>
          <w:lang w:val="en-US" w:eastAsia="zh-CN" w:bidi="ar-SA"/>
        </w:rPr>
      </w:pPr>
      <w:r>
        <w:rPr>
          <w:rFonts w:hint="eastAsia" w:ascii="楷体_GB2312" w:hAnsi="楷体_GB2312" w:eastAsia="楷体_GB2312" w:cs="楷体_GB2312"/>
          <w:b/>
          <w:bCs w:val="0"/>
          <w:sz w:val="32"/>
          <w:szCs w:val="32"/>
          <w:lang w:val="zh-CN"/>
        </w:rPr>
        <w:t>（</w:t>
      </w:r>
      <w:r>
        <w:rPr>
          <w:rFonts w:hint="eastAsia" w:ascii="楷体_GB2312" w:hAnsi="楷体_GB2312" w:eastAsia="楷体_GB2312" w:cs="楷体_GB2312"/>
          <w:b/>
          <w:bCs w:val="0"/>
          <w:sz w:val="32"/>
          <w:szCs w:val="32"/>
          <w:lang w:val="en-US" w:eastAsia="zh-CN"/>
        </w:rPr>
        <w:t>二</w:t>
      </w:r>
      <w:r>
        <w:rPr>
          <w:rFonts w:hint="eastAsia" w:ascii="楷体_GB2312" w:hAnsi="楷体_GB2312" w:eastAsia="楷体_GB2312" w:cs="楷体_GB2312"/>
          <w:b/>
          <w:bCs w:val="0"/>
          <w:sz w:val="32"/>
          <w:szCs w:val="32"/>
          <w:lang w:val="zh-CN"/>
        </w:rPr>
        <w:t>）</w:t>
      </w:r>
      <w:r>
        <w:rPr>
          <w:rFonts w:hint="eastAsia" w:ascii="楷体_GB2312" w:hAnsi="楷体_GB2312" w:eastAsia="楷体_GB2312" w:cs="楷体_GB2312"/>
          <w:b/>
          <w:bCs w:val="0"/>
          <w:sz w:val="32"/>
          <w:szCs w:val="32"/>
          <w:lang w:val="en-US" w:eastAsia="zh-CN"/>
        </w:rPr>
        <w:t>项目效益情况。</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进一步提高</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基金预决算报表质量，保证基金报表的数据准确性，为基金的安全可持续运行提供数据支撑。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评价结论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评价结论及建议</w:t>
      </w:r>
    </w:p>
    <w:p>
      <w:pPr>
        <w:pStyle w:val="2"/>
        <w:keepNext w:val="0"/>
        <w:keepLines w:val="0"/>
        <w:pageBreakBefore w:val="0"/>
        <w:widowControl w:val="0"/>
        <w:kinsoku/>
        <w:wordWrap/>
        <w:overflowPunct/>
        <w:topLinePunct w:val="0"/>
        <w:autoSpaceDE/>
        <w:autoSpaceDN/>
        <w:bidi w:val="0"/>
        <w:spacing w:before="0" w:beforeLines="0" w:line="520" w:lineRule="exact"/>
        <w:ind w:left="0" w:right="0"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（一）评价结论。</w:t>
      </w:r>
    </w:p>
    <w:p>
      <w:pPr>
        <w:pStyle w:val="2"/>
        <w:keepNext w:val="0"/>
        <w:keepLines w:val="0"/>
        <w:pageBreakBefore w:val="0"/>
        <w:widowControl w:val="0"/>
        <w:kinsoku/>
        <w:wordWrap/>
        <w:overflowPunct/>
        <w:topLinePunct w:val="0"/>
        <w:autoSpaceDE/>
        <w:autoSpaceDN/>
        <w:bidi w:val="0"/>
        <w:adjustRightInd/>
        <w:snapToGrid/>
        <w:spacing w:before="0" w:beforeLines="0" w:line="520" w:lineRule="exact"/>
        <w:ind w:left="0" w:right="0" w:firstLine="664"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val="0"/>
          <w:spacing w:val="6"/>
          <w:sz w:val="32"/>
          <w:szCs w:val="32"/>
          <w:lang w:val="en-US" w:eastAsia="zh-CN" w:bidi="ar-SA"/>
        </w:rPr>
        <w:t>绩效评价总体得分为95.71分，其中：项目决策方面</w:t>
      </w:r>
      <w:r>
        <w:rPr>
          <w:rFonts w:hint="eastAsia" w:ascii="仿宋_GB2312" w:hAnsi="仿宋_GB2312" w:eastAsia="仿宋_GB2312" w:cs="仿宋_GB2312"/>
          <w:b w:val="0"/>
          <w:bCs w:val="0"/>
          <w:spacing w:val="6"/>
          <w:sz w:val="32"/>
          <w:szCs w:val="32"/>
          <w:highlight w:val="none"/>
          <w:lang w:val="en-US" w:eastAsia="zh-CN" w:bidi="ar-SA"/>
        </w:rPr>
        <w:t>总分12分，评价得分12 分；项目实施方面总分11分，评价得分11 分；完成结果方面总分16分，评价得分 16分；项目效果方面总分20分，评价得分20 分；基础管理、社会效益方面总分31分，评价得分28.71 分；可持续性方面总分10分，评价得分8分。</w:t>
      </w:r>
    </w:p>
    <w:p>
      <w:pPr>
        <w:keepNext w:val="0"/>
        <w:keepLines w:val="0"/>
        <w:pageBreakBefore w:val="0"/>
        <w:widowControl w:val="0"/>
        <w:kinsoku/>
        <w:wordWrap/>
        <w:overflowPunct/>
        <w:topLinePunct w:val="0"/>
        <w:autoSpaceDE/>
        <w:autoSpaceDN/>
        <w:bidi w:val="0"/>
        <w:adjustRightInd w:val="0"/>
        <w:snapToGrid w:val="0"/>
        <w:spacing w:line="520" w:lineRule="exact"/>
        <w:ind w:left="0" w:right="0"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该项目完成年初预算目标任务。该</w:t>
      </w:r>
      <w:r>
        <w:rPr>
          <w:rFonts w:hint="eastAsia" w:ascii="仿宋_GB2312" w:hAnsi="仿宋_GB2312" w:eastAsia="仿宋_GB2312" w:cs="仿宋_GB2312"/>
          <w:sz w:val="32"/>
          <w:szCs w:val="32"/>
        </w:rPr>
        <w:t>项目的实施进一步规范</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全州15个医保经办机构的医保基金财务管理工作，提高</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我州医疗保险基金财务预决算报表质量，达到为医保基金政策的调整提供数据支撑，确保医保基金的安全可持续运行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完成年初目标任务</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spacing w:before="0" w:beforeLines="0" w:line="520" w:lineRule="exact"/>
        <w:ind w:left="0" w:right="0"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（二）存在的问题。</w:t>
      </w:r>
    </w:p>
    <w:p>
      <w:pPr>
        <w:pStyle w:val="2"/>
        <w:keepNext w:val="0"/>
        <w:keepLines w:val="0"/>
        <w:pageBreakBefore w:val="0"/>
        <w:widowControl w:val="0"/>
        <w:kinsoku/>
        <w:wordWrap/>
        <w:overflowPunct/>
        <w:topLinePunct w:val="0"/>
        <w:autoSpaceDE/>
        <w:autoSpaceDN/>
        <w:bidi w:val="0"/>
        <w:spacing w:before="0" w:beforeLines="0" w:line="520" w:lineRule="exact"/>
        <w:ind w:left="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2"/>
          <w:sz w:val="32"/>
          <w:szCs w:val="32"/>
          <w:lang w:val="en-US" w:eastAsia="zh-CN" w:bidi="ar-SA"/>
        </w:rPr>
        <w:t>1.预算执行率83.87</w:t>
      </w:r>
      <w:r>
        <w:rPr>
          <w:rFonts w:hint="eastAsia" w:ascii="仿宋_GB2312" w:hAnsi="仿宋_GB2312" w:eastAsia="仿宋_GB2312" w:cs="仿宋_GB2312"/>
          <w:b w:val="0"/>
          <w:bCs w:val="0"/>
          <w:kern w:val="2"/>
          <w:sz w:val="32"/>
          <w:szCs w:val="32"/>
          <w:lang w:val="en-US" w:eastAsia="zh-CN" w:bidi="ar-SA"/>
        </w:rPr>
        <w:drawing>
          <wp:inline distT="0" distB="0" distL="0" distR="0">
            <wp:extent cx="85090" cy="154940"/>
            <wp:effectExtent l="0" t="0" r="10160" b="16510"/>
            <wp:docPr id="23" name="image2.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image2.png"/>
                    <pic:cNvPicPr>
                      <a:picLocks noChangeAspect="true"/>
                    </pic:cNvPicPr>
                  </pic:nvPicPr>
                  <pic:blipFill>
                    <a:blip r:embed="rId21" cstate="print"/>
                    <a:stretch>
                      <a:fillRect/>
                    </a:stretch>
                  </pic:blipFill>
                  <pic:spPr>
                    <a:xfrm>
                      <a:off x="0" y="0"/>
                      <a:ext cx="85724" cy="155574"/>
                    </a:xfrm>
                    <a:prstGeom prst="rect">
                      <a:avLst/>
                    </a:prstGeom>
                  </pic:spPr>
                </pic:pic>
              </a:graphicData>
            </a:graphic>
          </wp:inline>
        </w:drawing>
      </w:r>
      <w:r>
        <w:rPr>
          <w:rFonts w:hint="eastAsia" w:ascii="仿宋_GB2312" w:hAnsi="仿宋_GB2312" w:eastAsia="仿宋_GB2312" w:cs="仿宋_GB2312"/>
          <w:b w:val="0"/>
          <w:bCs w:val="0"/>
          <w:kern w:val="2"/>
          <w:sz w:val="32"/>
          <w:szCs w:val="32"/>
          <w:lang w:val="en-US" w:eastAsia="zh-CN" w:bidi="ar-SA"/>
        </w:rPr>
        <w:t>，主</w:t>
      </w:r>
      <w:r>
        <w:rPr>
          <w:rFonts w:hint="eastAsia" w:ascii="仿宋_GB2312" w:hAnsi="仿宋_GB2312" w:eastAsia="仿宋_GB2312" w:cs="仿宋_GB2312"/>
          <w:b w:val="0"/>
          <w:bCs w:val="0"/>
          <w:spacing w:val="6"/>
          <w:sz w:val="32"/>
          <w:szCs w:val="32"/>
          <w:highlight w:val="none"/>
          <w:lang w:val="en-US" w:eastAsia="zh-CN" w:bidi="ar-SA"/>
        </w:rPr>
        <w:t>要原因是：因工作情况需要，结余2.42万元作为结转资金，在 2022年使用。</w:t>
      </w:r>
      <w:r>
        <w:rPr>
          <w:rFonts w:hint="eastAsia" w:ascii="仿宋_GB2312" w:hAnsi="仿宋_GB2312" w:eastAsia="仿宋_GB2312" w:cs="仿宋_GB2312"/>
          <w:b w:val="0"/>
          <w:bCs w:val="0"/>
          <w:spacing w:val="6"/>
          <w:sz w:val="32"/>
          <w:szCs w:val="32"/>
          <w:highlight w:val="none"/>
          <w:lang w:val="zh-CN" w:eastAsia="zh-CN" w:bidi="ar-SA"/>
        </w:rPr>
        <w:tab/>
      </w:r>
    </w:p>
    <w:p>
      <w:pPr>
        <w:pStyle w:val="2"/>
        <w:keepNext w:val="0"/>
        <w:keepLines w:val="0"/>
        <w:pageBreakBefore w:val="0"/>
        <w:widowControl w:val="0"/>
        <w:kinsoku/>
        <w:wordWrap/>
        <w:overflowPunct/>
        <w:topLinePunct w:val="0"/>
        <w:autoSpaceDE/>
        <w:autoSpaceDN/>
        <w:bidi w:val="0"/>
        <w:spacing w:before="0" w:beforeLines="0" w:line="520" w:lineRule="exact"/>
        <w:ind w:left="0" w:right="0"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（三）相关建议。</w:t>
      </w:r>
    </w:p>
    <w:p>
      <w:pPr>
        <w:keepNext w:val="0"/>
        <w:keepLines w:val="0"/>
        <w:pageBreakBefore w:val="0"/>
        <w:widowControl w:val="0"/>
        <w:kinsoku/>
        <w:wordWrap/>
        <w:overflowPunct/>
        <w:topLinePunct w:val="0"/>
        <w:autoSpaceDE/>
        <w:autoSpaceDN/>
        <w:bidi w:val="0"/>
        <w:spacing w:line="560" w:lineRule="exact"/>
        <w:ind w:left="0" w:right="0" w:rightChars="0" w:firstLine="640" w:firstLineChars="200"/>
        <w:jc w:val="both"/>
        <w:textAlignment w:val="auto"/>
        <w:rPr>
          <w:rFonts w:hint="eastAsia" w:ascii="仿宋_GB2312" w:eastAsia="仿宋_GB2312" w:cs="宋体"/>
          <w:kern w:val="0"/>
          <w:sz w:val="32"/>
          <w:szCs w:val="32"/>
          <w:shd w:val="clear" w:color="auto" w:fill="FFFFFF"/>
          <w:lang w:val="zh-CN"/>
        </w:rPr>
      </w:pPr>
      <w:r>
        <w:rPr>
          <w:rFonts w:hint="eastAsia" w:ascii="仿宋_GB2312" w:hAnsi="仿宋_GB2312" w:eastAsia="仿宋_GB2312" w:cs="仿宋_GB2312"/>
          <w:b w:val="0"/>
          <w:bCs w:val="0"/>
          <w:kern w:val="2"/>
          <w:sz w:val="32"/>
          <w:szCs w:val="32"/>
          <w:lang w:val="en-US" w:eastAsia="zh-CN" w:bidi="ar-SA"/>
        </w:rPr>
        <w:t>严格按照资金的批复用途，认真进行项目实施，确保资金执行率</w:t>
      </w:r>
      <w:r>
        <w:rPr>
          <w:rFonts w:hint="eastAsia" w:ascii="仿宋_GB2312" w:hAnsi="仿宋_GB2312" w:eastAsia="仿宋_GB2312" w:cs="仿宋_GB2312"/>
          <w:b w:val="0"/>
          <w:bCs w:val="0"/>
          <w:color w:val="000000"/>
          <w:spacing w:val="-6"/>
          <w:kern w:val="0"/>
          <w:sz w:val="32"/>
          <w:szCs w:val="32"/>
          <w:lang w:val="en-US" w:eastAsia="zh-CN" w:bidi="ar-SA"/>
        </w:rPr>
        <w:t>。</w:t>
      </w:r>
    </w:p>
    <w:tbl>
      <w:tblPr>
        <w:tblStyle w:val="15"/>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383"/>
        <w:gridCol w:w="555"/>
        <w:gridCol w:w="105"/>
        <w:gridCol w:w="2265"/>
        <w:gridCol w:w="270"/>
        <w:gridCol w:w="1980"/>
        <w:gridCol w:w="236"/>
        <w:gridCol w:w="1805"/>
        <w:gridCol w:w="236"/>
      </w:tblGrid>
      <w:tr>
        <w:tblPrEx>
          <w:tblCellMar>
            <w:top w:w="0" w:type="dxa"/>
            <w:left w:w="108" w:type="dxa"/>
            <w:bottom w:w="0" w:type="dxa"/>
            <w:right w:w="108" w:type="dxa"/>
          </w:tblCellMar>
        </w:tblPrEx>
        <w:trPr>
          <w:trHeight w:val="675" w:hRule="atLeast"/>
        </w:trPr>
        <w:tc>
          <w:tcPr>
            <w:tcW w:w="9575" w:type="dxa"/>
            <w:gridSpan w:val="9"/>
            <w:tcBorders>
              <w:top w:val="nil"/>
              <w:left w:val="nil"/>
              <w:bottom w:val="nil"/>
              <w:right w:val="nil"/>
            </w:tcBorders>
            <w:shd w:val="clear" w:color="auto" w:fill="auto"/>
            <w:noWrap/>
            <w:vAlign w:val="center"/>
          </w:tcPr>
          <w:p>
            <w:pPr>
              <w:pageBreakBefore w:val="0"/>
              <w:widowControl/>
              <w:kinsoku/>
              <w:wordWrap/>
              <w:overflowPunct/>
              <w:topLinePunct w:val="0"/>
              <w:bidi w:val="0"/>
              <w:spacing w:line="560" w:lineRule="atLeast"/>
              <w:textAlignment w:val="center"/>
              <w:rPr>
                <w:rFonts w:hint="eastAsia" w:ascii="宋体" w:cs="宋体"/>
                <w:b/>
                <w:sz w:val="32"/>
                <w:szCs w:val="32"/>
              </w:rPr>
            </w:pPr>
          </w:p>
          <w:p>
            <w:pPr>
              <w:pageBreakBefore w:val="0"/>
              <w:widowControl/>
              <w:kinsoku/>
              <w:wordWrap/>
              <w:overflowPunct/>
              <w:topLinePunct w:val="0"/>
              <w:bidi w:val="0"/>
              <w:spacing w:line="560" w:lineRule="atLeast"/>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6"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60" w:lineRule="atLeast"/>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sz w:val="24"/>
              </w:rPr>
            </w:pPr>
            <w:r>
              <w:rPr>
                <w:rFonts w:hint="eastAsia" w:ascii="宋体" w:cs="宋体"/>
                <w:kern w:val="0"/>
                <w:sz w:val="24"/>
              </w:rPr>
              <w:t>主管部门及代码</w:t>
            </w:r>
          </w:p>
        </w:tc>
        <w:tc>
          <w:tcPr>
            <w:tcW w:w="357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default" w:ascii="宋体" w:eastAsia="宋体" w:cs="宋体"/>
                <w:sz w:val="24"/>
                <w:lang w:val="en-US" w:eastAsia="zh-CN"/>
              </w:rPr>
            </w:pPr>
            <w:r>
              <w:rPr>
                <w:rFonts w:hint="eastAsia" w:ascii="宋体" w:cs="宋体"/>
                <w:sz w:val="24"/>
                <w:lang w:val="en-US" w:eastAsia="zh-CN"/>
              </w:rPr>
              <w:t>405001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sz w:val="24"/>
              </w:rPr>
            </w:pPr>
            <w:r>
              <w:rPr>
                <w:rFonts w:hint="eastAsia" w:ascii="宋体" w:cs="宋体"/>
                <w:kern w:val="0"/>
                <w:sz w:val="24"/>
              </w:rPr>
              <w:t>实施单位</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eastAsia="宋体" w:cs="宋体"/>
                <w:sz w:val="24"/>
                <w:lang w:val="en-US" w:eastAsia="zh-CN"/>
              </w:rPr>
            </w:pPr>
            <w:r>
              <w:rPr>
                <w:rFonts w:hint="eastAsia" w:ascii="宋体" w:cs="宋体"/>
                <w:sz w:val="24"/>
                <w:lang w:val="en-US" w:eastAsia="zh-CN"/>
              </w:rPr>
              <w:t>州医疗保障局</w:t>
            </w:r>
          </w:p>
        </w:tc>
      </w:tr>
      <w:tr>
        <w:tblPrEx>
          <w:tblCellMar>
            <w:top w:w="0" w:type="dxa"/>
            <w:left w:w="108" w:type="dxa"/>
            <w:bottom w:w="0" w:type="dxa"/>
            <w:right w:w="108" w:type="dxa"/>
          </w:tblCellMar>
        </w:tblPrEx>
        <w:trPr>
          <w:gridAfter w:val="1"/>
          <w:wAfter w:w="236" w:type="dxa"/>
          <w:trHeight w:val="341"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sz w:val="24"/>
              </w:rPr>
            </w:pPr>
            <w:r>
              <w:rPr>
                <w:rFonts w:hint="eastAsia" w:ascii="宋体" w:cs="宋体"/>
                <w:kern w:val="0"/>
                <w:sz w:val="24"/>
              </w:rPr>
              <w:t>（万元）</w:t>
            </w:r>
          </w:p>
        </w:tc>
        <w:tc>
          <w:tcPr>
            <w:tcW w:w="1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sz w:val="24"/>
              </w:rPr>
            </w:pPr>
            <w:r>
              <w:rPr>
                <w:rFonts w:hint="eastAsia" w:ascii="宋体" w:cs="宋体"/>
                <w:kern w:val="0"/>
                <w:sz w:val="24"/>
              </w:rPr>
              <w:t xml:space="preserve"> 预算数：</w:t>
            </w: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宋体" w:eastAsia="宋体" w:cs="宋体"/>
                <w:sz w:val="24"/>
                <w:lang w:val="en-US" w:eastAsia="zh-CN"/>
              </w:rPr>
            </w:pPr>
            <w:r>
              <w:rPr>
                <w:rFonts w:hint="eastAsia" w:ascii="宋体" w:cs="宋体"/>
                <w:sz w:val="24"/>
                <w:lang w:val="en-US" w:eastAsia="zh-CN"/>
              </w:rPr>
              <w:t>170万元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sz w:val="24"/>
              </w:rPr>
            </w:pPr>
            <w:r>
              <w:rPr>
                <w:rFonts w:hint="eastAsia" w:ascii="宋体" w:cs="宋体"/>
                <w:kern w:val="0"/>
                <w:sz w:val="24"/>
              </w:rPr>
              <w:t xml:space="preserve"> 执行数：</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宋体" w:eastAsia="宋体" w:cs="宋体"/>
                <w:sz w:val="24"/>
                <w:lang w:val="en-US" w:eastAsia="zh-CN"/>
              </w:rPr>
            </w:pPr>
            <w:r>
              <w:rPr>
                <w:rFonts w:hint="eastAsia" w:ascii="宋体" w:cs="宋体"/>
                <w:sz w:val="24"/>
                <w:lang w:val="en-US" w:eastAsia="zh-CN"/>
              </w:rPr>
              <w:t>105万元</w:t>
            </w:r>
          </w:p>
        </w:tc>
      </w:tr>
      <w:tr>
        <w:tblPrEx>
          <w:tblCellMar>
            <w:top w:w="0" w:type="dxa"/>
            <w:left w:w="108" w:type="dxa"/>
            <w:bottom w:w="0" w:type="dxa"/>
            <w:right w:w="108" w:type="dxa"/>
          </w:tblCellMar>
        </w:tblPrEx>
        <w:trPr>
          <w:gridAfter w:val="1"/>
          <w:wAfter w:w="236" w:type="dxa"/>
          <w:trHeight w:val="555"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1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kern w:val="0"/>
                <w:sz w:val="24"/>
              </w:rPr>
            </w:pPr>
            <w:r>
              <w:rPr>
                <w:rFonts w:hint="eastAsia" w:ascii="宋体" w:cs="宋体"/>
                <w:kern w:val="0"/>
                <w:sz w:val="24"/>
              </w:rPr>
              <w:t>其中：</w:t>
            </w:r>
          </w:p>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sz w:val="24"/>
              </w:rPr>
            </w:pPr>
            <w:r>
              <w:rPr>
                <w:rFonts w:hint="eastAsia" w:ascii="宋体" w:cs="宋体"/>
                <w:kern w:val="0"/>
                <w:sz w:val="24"/>
              </w:rPr>
              <w:t>财政拨款</w:t>
            </w: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宋体" w:eastAsia="宋体" w:cs="宋体"/>
                <w:sz w:val="24"/>
                <w:lang w:val="en-US" w:eastAsia="zh-CN"/>
              </w:rPr>
            </w:pPr>
            <w:r>
              <w:rPr>
                <w:rFonts w:hint="eastAsia" w:ascii="宋体" w:cs="宋体"/>
                <w:sz w:val="24"/>
                <w:lang w:val="en-US" w:eastAsia="zh-CN"/>
              </w:rPr>
              <w:t>170万元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kern w:val="0"/>
                <w:sz w:val="24"/>
              </w:rPr>
            </w:pPr>
            <w:r>
              <w:rPr>
                <w:rFonts w:hint="eastAsia" w:ascii="宋体" w:cs="宋体"/>
                <w:kern w:val="0"/>
                <w:sz w:val="24"/>
              </w:rPr>
              <w:t>其中：</w:t>
            </w:r>
          </w:p>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sz w:val="24"/>
              </w:rPr>
            </w:pPr>
            <w:r>
              <w:rPr>
                <w:rFonts w:hint="eastAsia" w:ascii="宋体" w:cs="宋体"/>
                <w:kern w:val="0"/>
                <w:sz w:val="24"/>
              </w:rPr>
              <w:t>财政拨款</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default" w:ascii="宋体" w:eastAsia="宋体" w:cs="宋体"/>
                <w:sz w:val="24"/>
                <w:lang w:val="en-US" w:eastAsia="zh-CN"/>
              </w:rPr>
            </w:pPr>
            <w:r>
              <w:rPr>
                <w:rFonts w:hint="eastAsia" w:ascii="宋体" w:cs="宋体"/>
                <w:sz w:val="24"/>
                <w:lang w:val="en-US" w:eastAsia="zh-CN"/>
              </w:rPr>
              <w:t>105万元</w:t>
            </w:r>
          </w:p>
        </w:tc>
      </w:tr>
      <w:tr>
        <w:tblPrEx>
          <w:tblCellMar>
            <w:top w:w="0" w:type="dxa"/>
            <w:left w:w="108" w:type="dxa"/>
            <w:bottom w:w="0" w:type="dxa"/>
            <w:right w:w="108" w:type="dxa"/>
          </w:tblCellMar>
        </w:tblPrEx>
        <w:trPr>
          <w:gridAfter w:val="1"/>
          <w:wAfter w:w="236" w:type="dxa"/>
          <w:trHeight w:val="341"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10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sz w:val="24"/>
              </w:rPr>
            </w:pPr>
            <w:r>
              <w:rPr>
                <w:rFonts w:hint="eastAsia" w:ascii="宋体" w:cs="宋体"/>
                <w:kern w:val="0"/>
                <w:sz w:val="24"/>
              </w:rPr>
              <w:t>其他资金</w:t>
            </w:r>
          </w:p>
        </w:tc>
        <w:tc>
          <w:tcPr>
            <w:tcW w:w="25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eastAsia="宋体" w:cs="宋体"/>
                <w:sz w:val="24"/>
                <w:lang w:val="en-US" w:eastAsia="zh-CN"/>
              </w:rPr>
            </w:pPr>
            <w:r>
              <w:rPr>
                <w:rFonts w:hint="eastAsia" w:ascii="宋体" w:cs="宋体"/>
                <w:sz w:val="24"/>
                <w:lang w:val="en-US" w:eastAsia="zh-CN"/>
              </w:rPr>
              <w:t>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宋体"/>
                <w:sz w:val="24"/>
              </w:rPr>
            </w:pPr>
            <w:r>
              <w:rPr>
                <w:rFonts w:hint="eastAsia" w:ascii="宋体" w:cs="宋体"/>
                <w:kern w:val="0"/>
                <w:sz w:val="24"/>
              </w:rPr>
              <w:t>其他资金</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eastAsia="宋体" w:cs="宋体"/>
                <w:sz w:val="24"/>
                <w:lang w:val="en-US" w:eastAsia="zh-CN"/>
              </w:rPr>
            </w:pPr>
            <w:r>
              <w:rPr>
                <w:rFonts w:hint="eastAsia" w:ascii="宋体" w:cs="宋体"/>
                <w:sz w:val="24"/>
                <w:lang w:val="en-US" w:eastAsia="zh-CN"/>
              </w:rPr>
              <w:t>0</w:t>
            </w:r>
          </w:p>
        </w:tc>
      </w:tr>
      <w:tr>
        <w:tblPrEx>
          <w:tblCellMar>
            <w:top w:w="0" w:type="dxa"/>
            <w:left w:w="108" w:type="dxa"/>
            <w:bottom w:w="0" w:type="dxa"/>
            <w:right w:w="108" w:type="dxa"/>
          </w:tblCellMar>
        </w:tblPrEx>
        <w:trPr>
          <w:gridAfter w:val="1"/>
          <w:wAfter w:w="236" w:type="dxa"/>
          <w:trHeight w:val="295"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kern w:val="0"/>
                <w:sz w:val="24"/>
              </w:rPr>
            </w:pPr>
            <w:r>
              <w:rPr>
                <w:rFonts w:hint="eastAsia" w:ascii="宋体" w:cs="宋体"/>
                <w:kern w:val="0"/>
                <w:sz w:val="24"/>
              </w:rPr>
              <w:t>年度总体目标</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sz w:val="24"/>
              </w:rPr>
            </w:pPr>
            <w:r>
              <w:rPr>
                <w:rFonts w:hint="eastAsia" w:ascii="宋体" w:cs="宋体"/>
                <w:kern w:val="0"/>
                <w:sz w:val="24"/>
              </w:rPr>
              <w:t>完成情况</w:t>
            </w:r>
          </w:p>
        </w:tc>
        <w:tc>
          <w:tcPr>
            <w:tcW w:w="357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sz w:val="24"/>
              </w:rPr>
            </w:pPr>
            <w:r>
              <w:rPr>
                <w:rFonts w:hint="eastAsia" w:ascii="宋体" w:cs="宋体"/>
                <w:kern w:val="0"/>
                <w:sz w:val="24"/>
              </w:rPr>
              <w:t>预期目标</w:t>
            </w:r>
          </w:p>
        </w:tc>
        <w:tc>
          <w:tcPr>
            <w:tcW w:w="402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578" w:type="dxa"/>
            <w:gridSpan w:val="5"/>
            <w:tcBorders>
              <w:top w:val="single" w:color="000000" w:sz="4" w:space="0"/>
              <w:left w:val="single" w:color="000000" w:sz="4" w:space="0"/>
              <w:bottom w:val="single" w:color="000000" w:sz="4" w:space="0"/>
              <w:right w:val="single" w:color="000000" w:sz="4" w:space="0"/>
            </w:tcBorders>
            <w:shd w:val="clear" w:color="auto" w:fill="auto"/>
            <w:noWrap/>
          </w:tcPr>
          <w:p>
            <w:pPr>
              <w:pStyle w:val="7"/>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textAlignment w:val="auto"/>
              <w:rPr>
                <w:rFonts w:hint="default" w:ascii="宋体" w:hAnsi="Times New Roman" w:eastAsia="宋体" w:cs="宋体"/>
                <w:kern w:val="0"/>
                <w:sz w:val="24"/>
                <w:szCs w:val="24"/>
                <w:lang w:val="en-US" w:eastAsia="zh-CN" w:bidi="ar-SA"/>
              </w:rPr>
            </w:pPr>
            <w:r>
              <w:rPr>
                <w:rFonts w:hint="eastAsia" w:ascii="宋体" w:hAnsi="Times New Roman" w:eastAsia="宋体" w:cs="宋体"/>
                <w:kern w:val="0"/>
                <w:sz w:val="24"/>
                <w:szCs w:val="24"/>
                <w:lang w:val="en-US" w:eastAsia="zh-CN" w:bidi="ar-SA"/>
              </w:rPr>
              <w:t>针对国家、省、州对医疗保障政策进行调整进行业务系统适应性改造，包括医疗保障信息业务编码贯标、医保电子凭证系统建设，个人跨省门诊费用直接结算、特殊药品异地就医直接结算、医疗救助社会保障卡“一卡通”、个人账户共济和新冠结算适应性改造等7个系统改造项目。</w:t>
            </w:r>
          </w:p>
          <w:p>
            <w:pPr>
              <w:keepNext w:val="0"/>
              <w:keepLines w:val="0"/>
              <w:pageBreakBefore w:val="0"/>
              <w:widowControl/>
              <w:kinsoku/>
              <w:wordWrap/>
              <w:overflowPunct/>
              <w:topLinePunct w:val="0"/>
              <w:autoSpaceDE/>
              <w:autoSpaceDN/>
              <w:bidi w:val="0"/>
              <w:adjustRightInd/>
              <w:snapToGrid/>
              <w:spacing w:line="360" w:lineRule="exact"/>
              <w:jc w:val="left"/>
              <w:textAlignment w:val="top"/>
              <w:rPr>
                <w:rFonts w:ascii="宋体" w:cs="宋体"/>
                <w:sz w:val="24"/>
              </w:rPr>
            </w:pPr>
          </w:p>
        </w:tc>
        <w:tc>
          <w:tcPr>
            <w:tcW w:w="4021"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left"/>
              <w:textAlignment w:val="top"/>
              <w:rPr>
                <w:rFonts w:ascii="宋体" w:cs="宋体"/>
                <w:sz w:val="24"/>
              </w:rPr>
            </w:pPr>
            <w:r>
              <w:rPr>
                <w:rFonts w:hint="eastAsia" w:ascii="宋体" w:hAnsi="Times New Roman" w:eastAsia="宋体" w:cs="宋体"/>
                <w:kern w:val="0"/>
                <w:sz w:val="24"/>
                <w:szCs w:val="24"/>
                <w:lang w:val="en-US" w:eastAsia="zh-CN" w:bidi="ar-SA"/>
              </w:rPr>
              <w:t>根据国家、省、州对医疗保障政策调整的情况，陆续采购了医疗保障信息业务编码贯标50万元、医保电子凭证系统建设15万元，个人跨省门诊费用直接结算8万元、特殊药品异地就医直接结算12万元、医疗救助社会保障卡“一卡通”20万元，共计使用金保工程系统适应性改造经费105万元</w:t>
            </w:r>
          </w:p>
        </w:tc>
      </w:tr>
      <w:tr>
        <w:tblPrEx>
          <w:tblCellMar>
            <w:top w:w="0" w:type="dxa"/>
            <w:left w:w="108" w:type="dxa"/>
            <w:bottom w:w="0" w:type="dxa"/>
            <w:right w:w="108" w:type="dxa"/>
          </w:tblCellMar>
        </w:tblPrEx>
        <w:trPr>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383"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2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default" w:ascii="仿宋_GB2312" w:eastAsia="仿宋_GB2312" w:cs="仿宋_GB2312"/>
                <w:sz w:val="28"/>
                <w:szCs w:val="28"/>
                <w:lang w:val="en-US"/>
              </w:rPr>
            </w:pPr>
            <w:r>
              <w:rPr>
                <w:rFonts w:hint="eastAsia" w:ascii="宋体" w:cs="宋体"/>
                <w:kern w:val="0"/>
                <w:sz w:val="24"/>
                <w:szCs w:val="24"/>
                <w:lang w:val="en-US" w:eastAsia="zh-CN" w:bidi="ar-SA"/>
              </w:rPr>
              <w:t>完成</w:t>
            </w:r>
            <w:r>
              <w:rPr>
                <w:rFonts w:hint="eastAsia" w:ascii="宋体" w:hAnsi="Times New Roman" w:eastAsia="宋体" w:cs="宋体"/>
                <w:kern w:val="0"/>
                <w:sz w:val="24"/>
                <w:szCs w:val="24"/>
                <w:lang w:val="en-US" w:eastAsia="zh-CN" w:bidi="ar-SA"/>
              </w:rPr>
              <w:t>医疗保障信息业务编码贯标、医保电子凭证系统建设，个人跨省门诊费用直接结算、特殊药品异地就医直接结算、医疗救助社会保障卡“一卡通”</w:t>
            </w:r>
            <w:r>
              <w:rPr>
                <w:rFonts w:hint="eastAsia" w:ascii="宋体" w:cs="宋体"/>
                <w:kern w:val="0"/>
                <w:sz w:val="24"/>
                <w:szCs w:val="24"/>
                <w:lang w:val="en-US" w:eastAsia="zh-CN" w:bidi="ar-SA"/>
              </w:rPr>
              <w:t>、个人账户共济和新冠结算适应性改造等7个系统改造项目</w:t>
            </w:r>
          </w:p>
        </w:tc>
        <w:tc>
          <w:tcPr>
            <w:tcW w:w="2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宋体" w:cs="宋体"/>
                <w:kern w:val="0"/>
                <w:sz w:val="24"/>
                <w:szCs w:val="24"/>
                <w:lang w:val="en-US" w:eastAsia="zh-CN" w:bidi="ar-SA"/>
              </w:rPr>
              <w:t>完成</w:t>
            </w:r>
            <w:r>
              <w:rPr>
                <w:rFonts w:hint="eastAsia" w:ascii="宋体" w:hAnsi="Times New Roman" w:eastAsia="宋体" w:cs="宋体"/>
                <w:kern w:val="0"/>
                <w:sz w:val="24"/>
                <w:szCs w:val="24"/>
                <w:lang w:val="en-US" w:eastAsia="zh-CN" w:bidi="ar-SA"/>
              </w:rPr>
              <w:t>医疗保障信息业务编码贯标、医保电子凭证系统建设，个人跨省门诊费用直接结算、特殊药品异地就医直接结算、医疗救助社会保障卡“一卡通”</w:t>
            </w:r>
            <w:r>
              <w:rPr>
                <w:rFonts w:hint="eastAsia" w:ascii="宋体" w:cs="宋体"/>
                <w:kern w:val="0"/>
                <w:sz w:val="24"/>
                <w:szCs w:val="24"/>
                <w:lang w:val="en-US" w:eastAsia="zh-CN" w:bidi="ar-SA"/>
              </w:rPr>
              <w:t>、个人账户共济和新冠结算适应性改造等7个系统改造项目</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宋体" w:cs="宋体"/>
                <w:kern w:val="0"/>
                <w:sz w:val="24"/>
                <w:szCs w:val="24"/>
                <w:lang w:val="en-US" w:eastAsia="zh-CN" w:bidi="ar-SA"/>
              </w:rPr>
              <w:t>完成</w:t>
            </w:r>
            <w:r>
              <w:rPr>
                <w:rFonts w:hint="eastAsia" w:ascii="宋体" w:hAnsi="Times New Roman" w:eastAsia="宋体" w:cs="宋体"/>
                <w:kern w:val="0"/>
                <w:sz w:val="24"/>
                <w:szCs w:val="24"/>
                <w:lang w:val="en-US" w:eastAsia="zh-CN" w:bidi="ar-SA"/>
              </w:rPr>
              <w:t>医疗保障信息业务编码贯标、医保电子凭证系统建设，个人跨省门诊费用直接结算、特殊药品异地就医直接结算、医疗救助社会保障卡“一卡通”</w:t>
            </w:r>
            <w:r>
              <w:rPr>
                <w:rFonts w:hint="eastAsia" w:ascii="宋体" w:cs="宋体"/>
                <w:kern w:val="0"/>
                <w:sz w:val="24"/>
                <w:szCs w:val="24"/>
                <w:lang w:val="en-US" w:eastAsia="zh-CN" w:bidi="ar-SA"/>
              </w:rPr>
              <w:t>、个人账户共济和新冠结算适应性改造等7个系统改造项目</w:t>
            </w:r>
          </w:p>
        </w:tc>
      </w:tr>
      <w:tr>
        <w:tblPrEx>
          <w:tblCellMar>
            <w:top w:w="0" w:type="dxa"/>
            <w:left w:w="108" w:type="dxa"/>
            <w:bottom w:w="0" w:type="dxa"/>
            <w:right w:w="108" w:type="dxa"/>
          </w:tblCellMar>
        </w:tblPrEx>
        <w:trPr>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overflowPunct/>
              <w:topLinePunct w:val="0"/>
              <w:autoSpaceDE/>
              <w:autoSpaceDN/>
              <w:bidi w:val="0"/>
              <w:adjustRightInd/>
              <w:snapToGrid/>
              <w:spacing w:line="360" w:lineRule="exact"/>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left"/>
              <w:textAlignment w:val="bottom"/>
              <w:rPr>
                <w:rFonts w:hint="default" w:ascii="仿宋_GB2312" w:eastAsia="仿宋_GB2312" w:cs="仿宋_GB2312"/>
                <w:sz w:val="28"/>
                <w:szCs w:val="28"/>
                <w:lang w:val="en-US"/>
              </w:rPr>
            </w:pPr>
            <w:r>
              <w:rPr>
                <w:rFonts w:hint="eastAsia" w:ascii="宋体" w:hAnsi="Times New Roman" w:eastAsia="宋体" w:cs="宋体"/>
                <w:kern w:val="0"/>
                <w:sz w:val="24"/>
                <w:szCs w:val="24"/>
                <w:lang w:val="en-US" w:eastAsia="zh-CN" w:bidi="ar-SA"/>
              </w:rPr>
              <w:t>医疗保障信息业务编码贯标</w:t>
            </w:r>
            <w:r>
              <w:rPr>
                <w:rFonts w:hint="eastAsia" w:ascii="宋体" w:cs="宋体"/>
                <w:kern w:val="0"/>
                <w:sz w:val="24"/>
                <w:szCs w:val="24"/>
                <w:lang w:val="en-US" w:eastAsia="zh-CN" w:bidi="ar-SA"/>
              </w:rPr>
              <w:t>能够更好的满足医保信息化、标准化和规范化的建设，高质量推进医保信息化建设；</w:t>
            </w:r>
            <w:r>
              <w:rPr>
                <w:rFonts w:hint="eastAsia" w:ascii="宋体" w:hAnsi="Times New Roman" w:eastAsia="宋体" w:cs="宋体"/>
                <w:kern w:val="0"/>
                <w:sz w:val="24"/>
                <w:szCs w:val="24"/>
                <w:lang w:val="en-US" w:eastAsia="zh-CN" w:bidi="ar-SA"/>
              </w:rPr>
              <w:t>医保电子凭证系统建设</w:t>
            </w:r>
            <w:r>
              <w:rPr>
                <w:rFonts w:hint="eastAsia" w:ascii="宋体" w:cs="宋体"/>
                <w:kern w:val="0"/>
                <w:sz w:val="24"/>
                <w:szCs w:val="24"/>
                <w:lang w:val="en-US" w:eastAsia="zh-CN" w:bidi="ar-SA"/>
              </w:rPr>
              <w:t>实现参保人员通过医保电子凭证结算门诊、住院和药店购药相关费用，极大便利参保人员；</w:t>
            </w:r>
            <w:r>
              <w:rPr>
                <w:rFonts w:hint="eastAsia" w:ascii="宋体" w:hAnsi="Times New Roman" w:eastAsia="宋体" w:cs="宋体"/>
                <w:kern w:val="0"/>
                <w:sz w:val="24"/>
                <w:szCs w:val="24"/>
                <w:lang w:val="en-US" w:eastAsia="zh-CN" w:bidi="ar-SA"/>
              </w:rPr>
              <w:t>个人跨省门诊费用直接结算</w:t>
            </w:r>
            <w:r>
              <w:rPr>
                <w:rFonts w:hint="eastAsia" w:ascii="宋体" w:cs="宋体"/>
                <w:kern w:val="0"/>
                <w:sz w:val="24"/>
                <w:szCs w:val="24"/>
                <w:lang w:val="en-US" w:eastAsia="zh-CN" w:bidi="ar-SA"/>
              </w:rPr>
              <w:t>满足参保人员跨省就医中门诊直接结算</w:t>
            </w:r>
            <w:r>
              <w:rPr>
                <w:rFonts w:hint="eastAsia" w:ascii="宋体" w:hAnsi="Times New Roman" w:eastAsia="宋体" w:cs="宋体"/>
                <w:kern w:val="0"/>
                <w:sz w:val="24"/>
                <w:szCs w:val="24"/>
                <w:lang w:val="en-US" w:eastAsia="zh-CN" w:bidi="ar-SA"/>
              </w:rPr>
              <w:t>、特殊药品异地就医直接结算</w:t>
            </w:r>
            <w:r>
              <w:rPr>
                <w:rFonts w:hint="eastAsia" w:ascii="宋体" w:cs="宋体"/>
                <w:kern w:val="0"/>
                <w:sz w:val="24"/>
                <w:szCs w:val="24"/>
                <w:lang w:val="en-US" w:eastAsia="zh-CN" w:bidi="ar-SA"/>
              </w:rPr>
              <w:t>满足参保人员异地就医进行特药直接结算；</w:t>
            </w:r>
            <w:r>
              <w:rPr>
                <w:rFonts w:hint="eastAsia" w:ascii="宋体" w:hAnsi="Times New Roman" w:eastAsia="宋体" w:cs="宋体"/>
                <w:kern w:val="0"/>
                <w:sz w:val="24"/>
                <w:szCs w:val="24"/>
                <w:lang w:val="en-US" w:eastAsia="zh-CN" w:bidi="ar-SA"/>
              </w:rPr>
              <w:t>医疗救助社会保障卡“一卡通”</w:t>
            </w:r>
            <w:r>
              <w:rPr>
                <w:rFonts w:hint="eastAsia" w:ascii="宋体" w:cs="宋体"/>
                <w:kern w:val="0"/>
                <w:sz w:val="24"/>
                <w:szCs w:val="24"/>
                <w:lang w:val="en-US" w:eastAsia="zh-CN" w:bidi="ar-SA"/>
              </w:rPr>
              <w:t>实现医疗救助资金发放到“一卡通”，便于对惠民资金发放的追踪；个人账户共济实现家庭中职工参保人员将个人账户共计给家庭其他成员用于购药、门诊和住院等需要个人负担的部分和新冠结算适应性改造实现中心端结算因新冠治疗临时纳入医保支付范围的项目</w:t>
            </w:r>
          </w:p>
        </w:tc>
        <w:tc>
          <w:tcPr>
            <w:tcW w:w="2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宋体" w:hAnsi="Times New Roman" w:eastAsia="宋体" w:cs="宋体"/>
                <w:kern w:val="0"/>
                <w:sz w:val="24"/>
                <w:szCs w:val="24"/>
                <w:lang w:val="en-US" w:eastAsia="zh-CN" w:bidi="ar-SA"/>
              </w:rPr>
              <w:t>医疗保障信息业务编码贯标</w:t>
            </w:r>
            <w:r>
              <w:rPr>
                <w:rFonts w:hint="eastAsia" w:ascii="宋体" w:cs="宋体"/>
                <w:kern w:val="0"/>
                <w:sz w:val="24"/>
                <w:szCs w:val="24"/>
                <w:lang w:val="en-US" w:eastAsia="zh-CN" w:bidi="ar-SA"/>
              </w:rPr>
              <w:t>能够更好的满足医保信息化、标准化和规范化的建设，高质量推进医保信息化建设；</w:t>
            </w:r>
            <w:r>
              <w:rPr>
                <w:rFonts w:hint="eastAsia" w:ascii="宋体" w:hAnsi="Times New Roman" w:eastAsia="宋体" w:cs="宋体"/>
                <w:kern w:val="0"/>
                <w:sz w:val="24"/>
                <w:szCs w:val="24"/>
                <w:lang w:val="en-US" w:eastAsia="zh-CN" w:bidi="ar-SA"/>
              </w:rPr>
              <w:t>医保电子凭证系统建设</w:t>
            </w:r>
            <w:r>
              <w:rPr>
                <w:rFonts w:hint="eastAsia" w:ascii="宋体" w:cs="宋体"/>
                <w:kern w:val="0"/>
                <w:sz w:val="24"/>
                <w:szCs w:val="24"/>
                <w:lang w:val="en-US" w:eastAsia="zh-CN" w:bidi="ar-SA"/>
              </w:rPr>
              <w:t>实现参保人员通过医保电子凭证结算门诊、住院和药店购药相关费用，极大便利参保人员；</w:t>
            </w:r>
            <w:r>
              <w:rPr>
                <w:rFonts w:hint="eastAsia" w:ascii="宋体" w:hAnsi="Times New Roman" w:eastAsia="宋体" w:cs="宋体"/>
                <w:kern w:val="0"/>
                <w:sz w:val="24"/>
                <w:szCs w:val="24"/>
                <w:lang w:val="en-US" w:eastAsia="zh-CN" w:bidi="ar-SA"/>
              </w:rPr>
              <w:t>个人跨省门诊费用直接结算</w:t>
            </w:r>
            <w:r>
              <w:rPr>
                <w:rFonts w:hint="eastAsia" w:ascii="宋体" w:cs="宋体"/>
                <w:kern w:val="0"/>
                <w:sz w:val="24"/>
                <w:szCs w:val="24"/>
                <w:lang w:val="en-US" w:eastAsia="zh-CN" w:bidi="ar-SA"/>
              </w:rPr>
              <w:t>满足参保人员跨省就医中门诊直接结算</w:t>
            </w:r>
            <w:r>
              <w:rPr>
                <w:rFonts w:hint="eastAsia" w:ascii="宋体" w:hAnsi="Times New Roman" w:eastAsia="宋体" w:cs="宋体"/>
                <w:kern w:val="0"/>
                <w:sz w:val="24"/>
                <w:szCs w:val="24"/>
                <w:lang w:val="en-US" w:eastAsia="zh-CN" w:bidi="ar-SA"/>
              </w:rPr>
              <w:t>、特殊药品异地就医直接结算</w:t>
            </w:r>
            <w:r>
              <w:rPr>
                <w:rFonts w:hint="eastAsia" w:ascii="宋体" w:cs="宋体"/>
                <w:kern w:val="0"/>
                <w:sz w:val="24"/>
                <w:szCs w:val="24"/>
                <w:lang w:val="en-US" w:eastAsia="zh-CN" w:bidi="ar-SA"/>
              </w:rPr>
              <w:t>满足参保人员异地就医进行特药直接结算；</w:t>
            </w:r>
            <w:r>
              <w:rPr>
                <w:rFonts w:hint="eastAsia" w:ascii="宋体" w:hAnsi="Times New Roman" w:eastAsia="宋体" w:cs="宋体"/>
                <w:kern w:val="0"/>
                <w:sz w:val="24"/>
                <w:szCs w:val="24"/>
                <w:lang w:val="en-US" w:eastAsia="zh-CN" w:bidi="ar-SA"/>
              </w:rPr>
              <w:t>医疗救助社会保障卡“一卡通”</w:t>
            </w:r>
            <w:r>
              <w:rPr>
                <w:rFonts w:hint="eastAsia" w:ascii="宋体" w:cs="宋体"/>
                <w:kern w:val="0"/>
                <w:sz w:val="24"/>
                <w:szCs w:val="24"/>
                <w:lang w:val="en-US" w:eastAsia="zh-CN" w:bidi="ar-SA"/>
              </w:rPr>
              <w:t>实现医疗救助资金发放到“一卡通”，便于对惠民资金发放的追踪；个人账户共济实现家庭中职工参保人员将个人账户共计给家庭其他成员用于购药、门诊和住院等需要个人负担的部分和新冠结算适应性改造实现中心端结算因新冠治疗临时纳入医保支付范围的项目</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default" w:ascii="仿宋_GB2312" w:eastAsia="仿宋_GB2312" w:cs="仿宋_GB2312"/>
                <w:sz w:val="28"/>
                <w:szCs w:val="28"/>
                <w:lang w:val="en-US"/>
              </w:rPr>
            </w:pPr>
            <w:r>
              <w:rPr>
                <w:rFonts w:hint="eastAsia" w:ascii="宋体" w:hAnsi="Times New Roman" w:eastAsia="宋体" w:cs="宋体"/>
                <w:kern w:val="0"/>
                <w:sz w:val="24"/>
                <w:szCs w:val="24"/>
                <w:lang w:val="en-US" w:eastAsia="zh-CN" w:bidi="ar-SA"/>
              </w:rPr>
              <w:t>医疗保障信息业务编码贯标</w:t>
            </w:r>
            <w:r>
              <w:rPr>
                <w:rFonts w:hint="eastAsia" w:ascii="宋体" w:cs="宋体"/>
                <w:kern w:val="0"/>
                <w:sz w:val="24"/>
                <w:szCs w:val="24"/>
                <w:lang w:val="en-US" w:eastAsia="zh-CN" w:bidi="ar-SA"/>
              </w:rPr>
              <w:t>能够更好的满足医保信息化、标准化和规范化的建设，高质量推进医保信息化建设；</w:t>
            </w:r>
            <w:r>
              <w:rPr>
                <w:rFonts w:hint="eastAsia" w:ascii="宋体" w:hAnsi="Times New Roman" w:eastAsia="宋体" w:cs="宋体"/>
                <w:kern w:val="0"/>
                <w:sz w:val="24"/>
                <w:szCs w:val="24"/>
                <w:lang w:val="en-US" w:eastAsia="zh-CN" w:bidi="ar-SA"/>
              </w:rPr>
              <w:t>医保电子凭证系统建设</w:t>
            </w:r>
            <w:r>
              <w:rPr>
                <w:rFonts w:hint="eastAsia" w:ascii="宋体" w:cs="宋体"/>
                <w:kern w:val="0"/>
                <w:sz w:val="24"/>
                <w:szCs w:val="24"/>
                <w:lang w:val="en-US" w:eastAsia="zh-CN" w:bidi="ar-SA"/>
              </w:rPr>
              <w:t>实现参保人员通过医保电子凭证结算门诊、住院和药店购药相关费用，极大便利参保人员；</w:t>
            </w:r>
            <w:r>
              <w:rPr>
                <w:rFonts w:hint="eastAsia" w:ascii="宋体" w:hAnsi="Times New Roman" w:eastAsia="宋体" w:cs="宋体"/>
                <w:kern w:val="0"/>
                <w:sz w:val="24"/>
                <w:szCs w:val="24"/>
                <w:lang w:val="en-US" w:eastAsia="zh-CN" w:bidi="ar-SA"/>
              </w:rPr>
              <w:t>个人跨省门诊费用直接结算</w:t>
            </w:r>
            <w:r>
              <w:rPr>
                <w:rFonts w:hint="eastAsia" w:ascii="宋体" w:cs="宋体"/>
                <w:kern w:val="0"/>
                <w:sz w:val="24"/>
                <w:szCs w:val="24"/>
                <w:lang w:val="en-US" w:eastAsia="zh-CN" w:bidi="ar-SA"/>
              </w:rPr>
              <w:t>满足参保人员跨省就医中门诊直接结算</w:t>
            </w:r>
            <w:r>
              <w:rPr>
                <w:rFonts w:hint="eastAsia" w:ascii="宋体" w:hAnsi="Times New Roman" w:eastAsia="宋体" w:cs="宋体"/>
                <w:kern w:val="0"/>
                <w:sz w:val="24"/>
                <w:szCs w:val="24"/>
                <w:lang w:val="en-US" w:eastAsia="zh-CN" w:bidi="ar-SA"/>
              </w:rPr>
              <w:t>、特殊药品异地就医直接结算</w:t>
            </w:r>
            <w:r>
              <w:rPr>
                <w:rFonts w:hint="eastAsia" w:ascii="宋体" w:cs="宋体"/>
                <w:kern w:val="0"/>
                <w:sz w:val="24"/>
                <w:szCs w:val="24"/>
                <w:lang w:val="en-US" w:eastAsia="zh-CN" w:bidi="ar-SA"/>
              </w:rPr>
              <w:t>满足参保人员异地就医进行特药直接结算；</w:t>
            </w:r>
            <w:r>
              <w:rPr>
                <w:rFonts w:hint="eastAsia" w:ascii="宋体" w:hAnsi="Times New Roman" w:eastAsia="宋体" w:cs="宋体"/>
                <w:kern w:val="0"/>
                <w:sz w:val="24"/>
                <w:szCs w:val="24"/>
                <w:lang w:val="en-US" w:eastAsia="zh-CN" w:bidi="ar-SA"/>
              </w:rPr>
              <w:t>医疗救助社会保障卡“一卡通”</w:t>
            </w:r>
            <w:r>
              <w:rPr>
                <w:rFonts w:hint="eastAsia" w:ascii="宋体" w:cs="宋体"/>
                <w:kern w:val="0"/>
                <w:sz w:val="24"/>
                <w:szCs w:val="24"/>
                <w:lang w:val="en-US" w:eastAsia="zh-CN" w:bidi="ar-SA"/>
              </w:rPr>
              <w:t>实现医疗救助资金发放到“一卡通”，便于对惠民资金发放的追踪；个人账户共济实现家庭中职工参保人员将个人账户共计给家庭其他成员用于购药、门诊和住院等需要个人负担的部分和新冠结算适应性改造实现中心端结算因新冠治疗临时纳入医保支付范围的项目，以上已全部实现。</w:t>
            </w:r>
          </w:p>
        </w:tc>
      </w:tr>
      <w:tr>
        <w:tblPrEx>
          <w:tblCellMar>
            <w:top w:w="0" w:type="dxa"/>
            <w:left w:w="108" w:type="dxa"/>
            <w:bottom w:w="0" w:type="dxa"/>
            <w:right w:w="108" w:type="dxa"/>
          </w:tblCellMar>
        </w:tblPrEx>
        <w:trPr>
          <w:trHeight w:val="130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overflowPunct/>
              <w:topLinePunct w:val="0"/>
              <w:autoSpaceDE/>
              <w:autoSpaceDN/>
              <w:bidi w:val="0"/>
              <w:adjustRightInd/>
              <w:snapToGrid/>
              <w:spacing w:line="360" w:lineRule="exact"/>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2021年底前完成</w:t>
            </w:r>
          </w:p>
        </w:tc>
        <w:tc>
          <w:tcPr>
            <w:tcW w:w="2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eastAsia" w:ascii="宋体" w:cs="宋体"/>
                <w:kern w:val="0"/>
                <w:sz w:val="24"/>
                <w:szCs w:val="24"/>
                <w:lang w:val="en-US" w:eastAsia="zh-CN" w:bidi="ar-SA"/>
              </w:rPr>
            </w:pPr>
            <w:r>
              <w:rPr>
                <w:rFonts w:hint="eastAsia" w:ascii="宋体" w:cs="宋体"/>
                <w:kern w:val="0"/>
                <w:sz w:val="24"/>
                <w:szCs w:val="24"/>
                <w:lang w:val="en-US" w:eastAsia="zh-CN" w:bidi="ar-SA"/>
              </w:rPr>
              <w:t>2021年底前完成</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eastAsia" w:ascii="宋体" w:cs="宋体"/>
                <w:kern w:val="0"/>
                <w:sz w:val="24"/>
                <w:szCs w:val="24"/>
                <w:lang w:val="en-US" w:eastAsia="zh-CN" w:bidi="ar-SA"/>
              </w:rPr>
            </w:pPr>
            <w:r>
              <w:rPr>
                <w:rFonts w:hint="eastAsia" w:ascii="宋体" w:cs="宋体"/>
                <w:kern w:val="0"/>
                <w:sz w:val="24"/>
                <w:szCs w:val="24"/>
                <w:lang w:val="en-US" w:eastAsia="zh-CN" w:bidi="ar-SA"/>
              </w:rPr>
              <w:t>2021年底前已完成</w:t>
            </w:r>
          </w:p>
        </w:tc>
      </w:tr>
      <w:tr>
        <w:tblPrEx>
          <w:tblCellMar>
            <w:top w:w="0" w:type="dxa"/>
            <w:left w:w="108" w:type="dxa"/>
            <w:bottom w:w="0" w:type="dxa"/>
            <w:right w:w="108" w:type="dxa"/>
          </w:tblCellMar>
        </w:tblPrEx>
        <w:trPr>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overflowPunct/>
              <w:topLinePunct w:val="0"/>
              <w:autoSpaceDE/>
              <w:autoSpaceDN/>
              <w:bidi w:val="0"/>
              <w:adjustRightInd/>
              <w:snapToGrid/>
              <w:spacing w:line="360" w:lineRule="exact"/>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7个系统改造项目预算为170万元</w:t>
            </w:r>
          </w:p>
        </w:tc>
        <w:tc>
          <w:tcPr>
            <w:tcW w:w="2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7个系统改造项目预算为170万元</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其中5个项目通过招标完成支付105万元，经协商，跨省门诊费用直接结算和应对新冠肺炎业务系统改造两个项目由银海免费改造，涉及预算费用23万元</w:t>
            </w:r>
          </w:p>
        </w:tc>
      </w:tr>
      <w:tr>
        <w:tblPrEx>
          <w:tblCellMar>
            <w:top w:w="0" w:type="dxa"/>
            <w:left w:w="108" w:type="dxa"/>
            <w:bottom w:w="0" w:type="dxa"/>
            <w:right w:w="108" w:type="dxa"/>
          </w:tblCellMar>
        </w:tblPrEx>
        <w:trPr>
          <w:trHeight w:val="6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555" w:type="dxa"/>
            <w:tcBorders>
              <w:top w:val="single" w:color="000000" w:sz="4" w:space="0"/>
              <w:left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2370" w:type="dxa"/>
            <w:gridSpan w:val="2"/>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170万元</w:t>
            </w:r>
          </w:p>
        </w:tc>
        <w:tc>
          <w:tcPr>
            <w:tcW w:w="2486" w:type="dxa"/>
            <w:gridSpan w:val="3"/>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170万元</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使用105万元，资金使用率61.76%，不存在因制度机制、操作流程、管理疏漏、数据缺失等导致资金结余，闲置浪费的情况。</w:t>
            </w:r>
          </w:p>
        </w:tc>
      </w:tr>
      <w:tr>
        <w:tblPrEx>
          <w:tblCellMar>
            <w:top w:w="0" w:type="dxa"/>
            <w:left w:w="108" w:type="dxa"/>
            <w:bottom w:w="0" w:type="dxa"/>
            <w:right w:w="108" w:type="dxa"/>
          </w:tblCellMar>
        </w:tblPrEx>
        <w:trPr>
          <w:trHeight w:val="10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kinsoku/>
              <w:wordWrap/>
              <w:overflowPunct/>
              <w:topLinePunct w:val="0"/>
              <w:autoSpaceDE/>
              <w:autoSpaceDN/>
              <w:bidi w:val="0"/>
              <w:adjustRightInd/>
              <w:snapToGrid/>
              <w:spacing w:line="360" w:lineRule="exact"/>
            </w:pPr>
          </w:p>
        </w:tc>
        <w:tc>
          <w:tcPr>
            <w:tcW w:w="555" w:type="dxa"/>
            <w:tcBorders>
              <w:top w:val="single" w:color="000000" w:sz="4" w:space="0"/>
              <w:left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2370" w:type="dxa"/>
            <w:gridSpan w:val="2"/>
            <w:tcBorders>
              <w:top w:val="single" w:color="000000" w:sz="4" w:space="0"/>
              <w:left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宋体" w:cs="宋体"/>
                <w:kern w:val="0"/>
                <w:sz w:val="24"/>
                <w:szCs w:val="24"/>
                <w:lang w:val="en-US" w:eastAsia="zh-CN" w:bidi="ar-SA"/>
              </w:rPr>
            </w:pPr>
            <w:r>
              <w:rPr>
                <w:rFonts w:hint="eastAsia" w:ascii="宋体" w:cs="宋体"/>
                <w:kern w:val="0"/>
                <w:sz w:val="24"/>
                <w:szCs w:val="24"/>
                <w:lang w:val="en-US" w:eastAsia="zh-CN" w:bidi="ar-SA"/>
              </w:rPr>
              <w:t>完成系统改造，进一步满足医疗保障事业发展需要，进一步满足参保人员就医需要，持续提升参保人员对医疗保障事业的满意度。</w:t>
            </w:r>
          </w:p>
        </w:tc>
        <w:tc>
          <w:tcPr>
            <w:tcW w:w="2486" w:type="dxa"/>
            <w:gridSpan w:val="3"/>
            <w:tcBorders>
              <w:top w:val="single" w:color="000000" w:sz="4" w:space="0"/>
              <w:left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eastAsia" w:ascii="宋体" w:cs="宋体"/>
                <w:kern w:val="0"/>
                <w:sz w:val="24"/>
                <w:szCs w:val="24"/>
                <w:lang w:val="en-US" w:eastAsia="zh-CN" w:bidi="ar-SA"/>
              </w:rPr>
            </w:pPr>
            <w:r>
              <w:rPr>
                <w:rFonts w:hint="eastAsia" w:ascii="宋体" w:cs="宋体"/>
                <w:kern w:val="0"/>
                <w:sz w:val="24"/>
                <w:szCs w:val="24"/>
                <w:lang w:val="en-US" w:eastAsia="zh-CN" w:bidi="ar-SA"/>
              </w:rPr>
              <w:t>经过系统改造，进一步满足医疗保障事业发展需要，进一步满足参保人员就医需要，持续提升参保人员对医疗保障事业的满意度。</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eastAsia" w:ascii="宋体" w:cs="宋体"/>
                <w:kern w:val="0"/>
                <w:sz w:val="24"/>
                <w:szCs w:val="24"/>
                <w:lang w:val="en-US" w:eastAsia="zh-CN" w:bidi="ar-SA"/>
              </w:rPr>
            </w:pPr>
            <w:r>
              <w:rPr>
                <w:rFonts w:hint="eastAsia" w:ascii="宋体" w:cs="宋体"/>
                <w:kern w:val="0"/>
                <w:sz w:val="24"/>
                <w:szCs w:val="24"/>
                <w:lang w:val="en-US" w:eastAsia="zh-CN" w:bidi="ar-SA"/>
              </w:rPr>
              <w:t>经过系统改造，进一步满足医疗保障事业发展需要，进一步满足参保人员就医需要，持续提升参保人员对医疗保障事业的满意度。</w:t>
            </w:r>
          </w:p>
        </w:tc>
      </w:tr>
      <w:tr>
        <w:tblPrEx>
          <w:tblCellMar>
            <w:top w:w="0" w:type="dxa"/>
            <w:left w:w="108" w:type="dxa"/>
            <w:bottom w:w="0" w:type="dxa"/>
            <w:right w:w="108" w:type="dxa"/>
          </w:tblCellMar>
        </w:tblPrEx>
        <w:trPr>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pPr>
          </w:p>
        </w:tc>
        <w:tc>
          <w:tcPr>
            <w:tcW w:w="3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keepNext w:val="0"/>
              <w:keepLines w:val="0"/>
              <w:pageBreakBefore w:val="0"/>
              <w:widowControl/>
              <w:kinsoku/>
              <w:wordWrap/>
              <w:overflowPunct/>
              <w:topLinePunct w:val="0"/>
              <w:autoSpaceDE/>
              <w:autoSpaceDN/>
              <w:bidi w:val="0"/>
              <w:adjustRightInd/>
              <w:snapToGrid/>
              <w:spacing w:line="36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ascii="仿宋_GB2312" w:eastAsia="仿宋_GB2312" w:cs="仿宋_GB2312"/>
                <w:sz w:val="28"/>
                <w:szCs w:val="28"/>
              </w:rPr>
            </w:pPr>
            <w:r>
              <w:rPr>
                <w:rFonts w:hint="eastAsia" w:ascii="仿宋_GB2312" w:eastAsia="仿宋_GB2312" w:cs="仿宋_GB2312"/>
                <w:sz w:val="28"/>
                <w:szCs w:val="28"/>
                <w:lang w:val="en-US" w:eastAsia="zh-CN"/>
              </w:rPr>
              <w:t>100%</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bottom"/>
              <w:rPr>
                <w:rFonts w:ascii="仿宋_GB2312" w:eastAsia="仿宋_GB2312" w:cs="仿宋_GB2312"/>
                <w:sz w:val="28"/>
                <w:szCs w:val="28"/>
              </w:rPr>
            </w:pPr>
            <w:r>
              <w:rPr>
                <w:rFonts w:hint="eastAsia" w:ascii="仿宋_GB2312" w:eastAsia="仿宋_GB2312" w:cs="仿宋_GB2312"/>
                <w:sz w:val="28"/>
                <w:szCs w:val="28"/>
                <w:lang w:val="en-US" w:eastAsia="zh-CN"/>
              </w:rPr>
              <w:t>100%</w:t>
            </w:r>
          </w:p>
        </w:tc>
      </w:tr>
    </w:tbl>
    <w:p>
      <w:pPr>
        <w:pStyle w:val="7"/>
        <w:pageBreakBefore w:val="0"/>
        <w:kinsoku/>
        <w:wordWrap/>
        <w:overflowPunct/>
        <w:topLinePunct w:val="0"/>
        <w:bidi w:val="0"/>
        <w:spacing w:line="560" w:lineRule="atLeast"/>
        <w:rPr>
          <w:lang w:val="zh-CN"/>
        </w:rPr>
      </w:pPr>
    </w:p>
    <w:p>
      <w:pPr>
        <w:pageBreakBefore w:val="0"/>
        <w:kinsoku/>
        <w:wordWrap/>
        <w:overflowPunct/>
        <w:topLinePunct w:val="0"/>
        <w:bidi w:val="0"/>
        <w:spacing w:line="560" w:lineRule="atLeast"/>
        <w:rPr>
          <w:rStyle w:val="21"/>
          <w:rFonts w:ascii="黑体" w:eastAsia="黑体"/>
          <w:b w:val="0"/>
        </w:rPr>
      </w:pPr>
    </w:p>
    <w:p>
      <w:pPr>
        <w:pageBreakBefore w:val="0"/>
        <w:widowControl/>
        <w:kinsoku/>
        <w:wordWrap/>
        <w:overflowPunct/>
        <w:topLinePunct w:val="0"/>
        <w:bidi w:val="0"/>
        <w:spacing w:line="560" w:lineRule="atLeast"/>
        <w:jc w:val="left"/>
        <w:rPr>
          <w:rStyle w:val="21"/>
          <w:rFonts w:ascii="黑体" w:eastAsia="黑体"/>
          <w:b w:val="0"/>
        </w:rPr>
      </w:pPr>
      <w:r>
        <w:rPr>
          <w:rStyle w:val="21"/>
          <w:rFonts w:ascii="黑体" w:eastAsia="黑体"/>
          <w:b w:val="0"/>
        </w:rPr>
        <w:br w:type="page"/>
      </w:r>
    </w:p>
    <w:p>
      <w:pPr>
        <w:pageBreakBefore w:val="0"/>
        <w:kinsoku/>
        <w:wordWrap/>
        <w:overflowPunct/>
        <w:topLinePunct w:val="0"/>
        <w:bidi w:val="0"/>
        <w:spacing w:line="560" w:lineRule="atLeast"/>
        <w:jc w:val="center"/>
        <w:outlineLvl w:val="0"/>
        <w:rPr>
          <w:rStyle w:val="21"/>
          <w:rFonts w:hint="eastAsia" w:ascii="方正小标宋_GBK" w:hAnsi="方正小标宋_GBK" w:eastAsia="方正小标宋_GBK" w:cs="方正小标宋_GBK"/>
          <w:b w:val="0"/>
        </w:rPr>
      </w:pPr>
      <w:bookmarkStart w:id="63" w:name="_Toc15396618"/>
      <w:r>
        <w:rPr>
          <w:rFonts w:hint="eastAsia" w:ascii="方正小标宋_GBK" w:hAnsi="方正小标宋_GBK" w:eastAsia="方正小标宋_GBK" w:cs="方正小标宋_GBK"/>
          <w:sz w:val="44"/>
          <w:szCs w:val="44"/>
        </w:rPr>
        <w:t>第</w:t>
      </w:r>
      <w:r>
        <w:rPr>
          <w:rStyle w:val="21"/>
          <w:rFonts w:hint="eastAsia" w:ascii="方正小标宋_GBK" w:hAnsi="方正小标宋_GBK" w:eastAsia="方正小标宋_GBK" w:cs="方正小标宋_GBK"/>
          <w:b w:val="0"/>
        </w:rPr>
        <w:t>五部分 附表</w:t>
      </w:r>
      <w:bookmarkEnd w:id="61"/>
      <w:bookmarkEnd w:id="63"/>
      <w:bookmarkStart w:id="64" w:name="_Toc15396619"/>
    </w:p>
    <w:p>
      <w:pPr>
        <w:bidi w:val="0"/>
        <w:rPr>
          <w:rFonts w:hint="eastAsia"/>
        </w:rPr>
      </w:pPr>
    </w:p>
    <w:p>
      <w:pPr>
        <w:pageBreakBefore w:val="0"/>
        <w:widowControl w:val="0"/>
        <w:numPr>
          <w:ilvl w:val="0"/>
          <w:numId w:val="0"/>
        </w:numPr>
        <w:tabs>
          <w:tab w:val="left" w:pos="3305"/>
        </w:tabs>
        <w:kinsoku/>
        <w:wordWrap/>
        <w:overflowPunct/>
        <w:topLinePunct w:val="0"/>
        <w:autoSpaceDE/>
        <w:autoSpaceDN/>
        <w:bidi w:val="0"/>
        <w:adjustRightInd/>
        <w:snapToGrid/>
        <w:spacing w:line="560" w:lineRule="exact"/>
        <w:jc w:val="left"/>
        <w:textAlignment w:val="auto"/>
        <w:rPr>
          <w:rFonts w:hint="eastAsia" w:ascii="仿宋" w:eastAsia="仿宋"/>
          <w:b w:val="0"/>
        </w:rPr>
      </w:pPr>
    </w:p>
    <w:p>
      <w:pPr>
        <w:pageBreakBefore w:val="0"/>
        <w:widowControl w:val="0"/>
        <w:numPr>
          <w:ilvl w:val="0"/>
          <w:numId w:val="0"/>
        </w:numPr>
        <w:tabs>
          <w:tab w:val="left" w:pos="3305"/>
        </w:tabs>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lang w:eastAsia="zh-CN"/>
        </w:rPr>
        <w:t>一、</w:t>
      </w:r>
      <w:r>
        <w:rPr>
          <w:rFonts w:hint="eastAsia" w:ascii="仿宋_GB2312" w:hAnsi="仿宋_GB2312" w:eastAsia="仿宋_GB2312" w:cs="仿宋_GB2312"/>
          <w:b w:val="0"/>
          <w:sz w:val="32"/>
          <w:szCs w:val="32"/>
        </w:rPr>
        <w:t>收</w:t>
      </w:r>
      <w:r>
        <w:rPr>
          <w:rStyle w:val="22"/>
          <w:rFonts w:hint="eastAsia" w:ascii="仿宋_GB2312" w:hAnsi="仿宋_GB2312" w:eastAsia="仿宋_GB2312" w:cs="仿宋_GB2312"/>
          <w:b w:val="0"/>
          <w:bCs w:val="0"/>
          <w:sz w:val="32"/>
          <w:szCs w:val="32"/>
        </w:rPr>
        <w:t>入支出决算总表</w:t>
      </w:r>
      <w:bookmarkEnd w:id="64"/>
    </w:p>
    <w:p>
      <w:pPr>
        <w:pageBreakBefore w:val="0"/>
        <w:widowControl w:val="0"/>
        <w:numPr>
          <w:ilvl w:val="0"/>
          <w:numId w:val="0"/>
        </w:numPr>
        <w:tabs>
          <w:tab w:val="left" w:pos="3305"/>
        </w:tabs>
        <w:kinsoku/>
        <w:wordWrap/>
        <w:overflowPunct/>
        <w:topLinePunct w:val="0"/>
        <w:autoSpaceDE/>
        <w:autoSpaceDN/>
        <w:bidi w:val="0"/>
        <w:adjustRightInd/>
        <w:snapToGrid/>
        <w:spacing w:line="560" w:lineRule="exact"/>
        <w:jc w:val="left"/>
        <w:textAlignment w:val="auto"/>
        <w:rPr>
          <w:rStyle w:val="22"/>
          <w:rFonts w:hint="eastAsia" w:ascii="仿宋_GB2312" w:hAnsi="仿宋_GB2312" w:eastAsia="仿宋_GB2312" w:cs="仿宋_GB2312"/>
          <w:b w:val="0"/>
          <w:bCs w:val="0"/>
          <w:sz w:val="32"/>
          <w:szCs w:val="32"/>
        </w:rPr>
      </w:pPr>
      <w:bookmarkStart w:id="65" w:name="_Toc15396620"/>
      <w:bookmarkStart w:id="66" w:name="_Toc15396621"/>
      <w:r>
        <w:rPr>
          <w:rFonts w:hint="eastAsia" w:ascii="仿宋_GB2312" w:hAnsi="仿宋_GB2312" w:eastAsia="仿宋_GB2312" w:cs="仿宋_GB2312"/>
          <w:b w:val="0"/>
          <w:sz w:val="32"/>
          <w:szCs w:val="32"/>
        </w:rPr>
        <w:t>二、收</w:t>
      </w:r>
      <w:r>
        <w:rPr>
          <w:rStyle w:val="22"/>
          <w:rFonts w:hint="eastAsia" w:ascii="仿宋_GB2312" w:hAnsi="仿宋_GB2312" w:eastAsia="仿宋_GB2312" w:cs="仿宋_GB2312"/>
          <w:b w:val="0"/>
          <w:bCs w:val="0"/>
          <w:sz w:val="32"/>
          <w:szCs w:val="32"/>
        </w:rPr>
        <w:t>入决算表</w:t>
      </w:r>
      <w:bookmarkEnd w:id="65"/>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r>
        <w:rPr>
          <w:rStyle w:val="22"/>
          <w:rFonts w:hint="eastAsia" w:ascii="仿宋_GB2312" w:hAnsi="仿宋_GB2312" w:eastAsia="仿宋_GB2312" w:cs="仿宋_GB2312"/>
          <w:b w:val="0"/>
          <w:bCs w:val="0"/>
          <w:sz w:val="32"/>
          <w:szCs w:val="32"/>
        </w:rPr>
        <w:t>三、</w:t>
      </w:r>
      <w:r>
        <w:rPr>
          <w:rFonts w:hint="eastAsia" w:ascii="仿宋_GB2312" w:hAnsi="仿宋_GB2312" w:eastAsia="仿宋_GB2312" w:cs="仿宋_GB2312"/>
          <w:b w:val="0"/>
          <w:sz w:val="32"/>
          <w:szCs w:val="32"/>
        </w:rPr>
        <w:t>支</w:t>
      </w:r>
      <w:r>
        <w:rPr>
          <w:rStyle w:val="22"/>
          <w:rFonts w:hint="eastAsia" w:ascii="仿宋_GB2312" w:hAnsi="仿宋_GB2312" w:eastAsia="仿宋_GB2312" w:cs="仿宋_GB2312"/>
          <w:b w:val="0"/>
          <w:bCs w:val="0"/>
          <w:sz w:val="32"/>
          <w:szCs w:val="32"/>
        </w:rPr>
        <w:t>出决算表</w:t>
      </w:r>
      <w:bookmarkEnd w:id="66"/>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sz w:val="32"/>
          <w:szCs w:val="32"/>
        </w:rPr>
      </w:pPr>
      <w:bookmarkStart w:id="67" w:name="_Toc15396622"/>
      <w:r>
        <w:rPr>
          <w:rStyle w:val="22"/>
          <w:rFonts w:hint="eastAsia" w:ascii="仿宋_GB2312" w:hAnsi="仿宋_GB2312" w:eastAsia="仿宋_GB2312" w:cs="仿宋_GB2312"/>
          <w:b w:val="0"/>
          <w:bCs w:val="0"/>
          <w:sz w:val="32"/>
          <w:szCs w:val="32"/>
        </w:rPr>
        <w:t>四、</w:t>
      </w:r>
      <w:r>
        <w:rPr>
          <w:rFonts w:hint="eastAsia" w:ascii="仿宋_GB2312" w:hAnsi="仿宋_GB2312" w:eastAsia="仿宋_GB2312" w:cs="仿宋_GB2312"/>
          <w:b w:val="0"/>
          <w:sz w:val="32"/>
          <w:szCs w:val="32"/>
        </w:rPr>
        <w:t>财</w:t>
      </w:r>
      <w:r>
        <w:rPr>
          <w:rStyle w:val="22"/>
          <w:rFonts w:hint="eastAsia" w:ascii="仿宋_GB2312" w:hAnsi="仿宋_GB2312" w:eastAsia="仿宋_GB2312" w:cs="仿宋_GB2312"/>
          <w:b w:val="0"/>
          <w:bCs w:val="0"/>
          <w:sz w:val="32"/>
          <w:szCs w:val="32"/>
        </w:rPr>
        <w:t>政拨款收入支出决算总表</w:t>
      </w:r>
      <w:bookmarkEnd w:id="67"/>
    </w:p>
    <w:p>
      <w:pPr>
        <w:pStyle w:val="4"/>
        <w:pageBreakBefore w:val="0"/>
        <w:widowControl w:val="0"/>
        <w:kinsoku/>
        <w:wordWrap/>
        <w:overflowPunct/>
        <w:topLinePunct w:val="0"/>
        <w:autoSpaceDE/>
        <w:autoSpaceDN/>
        <w:bidi w:val="0"/>
        <w:adjustRightInd/>
        <w:snapToGrid/>
        <w:spacing w:before="0" w:after="0" w:line="560" w:lineRule="exact"/>
        <w:textAlignment w:val="auto"/>
        <w:rPr>
          <w:rStyle w:val="22"/>
          <w:rFonts w:hint="eastAsia" w:ascii="仿宋_GB2312" w:hAnsi="仿宋_GB2312" w:eastAsia="仿宋_GB2312" w:cs="仿宋_GB2312"/>
          <w:b w:val="0"/>
          <w:bCs w:val="0"/>
          <w:sz w:val="32"/>
          <w:szCs w:val="32"/>
        </w:rPr>
      </w:pPr>
      <w:bookmarkStart w:id="68" w:name="_Toc15396623"/>
      <w:r>
        <w:rPr>
          <w:rStyle w:val="22"/>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sz w:val="32"/>
          <w:szCs w:val="32"/>
        </w:rPr>
        <w:t>财</w:t>
      </w:r>
      <w:r>
        <w:rPr>
          <w:rStyle w:val="22"/>
          <w:rFonts w:hint="eastAsia" w:ascii="仿宋_GB2312" w:hAnsi="仿宋_GB2312" w:eastAsia="仿宋_GB2312" w:cs="仿宋_GB2312"/>
          <w:b w:val="0"/>
          <w:bCs w:val="0"/>
          <w:sz w:val="32"/>
          <w:szCs w:val="32"/>
        </w:rPr>
        <w:t>政拨款支出决算明细表</w:t>
      </w:r>
      <w:bookmarkEnd w:id="68"/>
      <w:bookmarkStart w:id="69" w:name="_Toc15396624"/>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r>
        <w:rPr>
          <w:rStyle w:val="22"/>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sz w:val="32"/>
          <w:szCs w:val="32"/>
        </w:rPr>
        <w:t>一</w:t>
      </w:r>
      <w:r>
        <w:rPr>
          <w:rStyle w:val="22"/>
          <w:rFonts w:hint="eastAsia" w:ascii="仿宋_GB2312" w:hAnsi="仿宋_GB2312" w:eastAsia="仿宋_GB2312" w:cs="仿宋_GB2312"/>
          <w:b w:val="0"/>
          <w:bCs w:val="0"/>
          <w:sz w:val="32"/>
          <w:szCs w:val="32"/>
        </w:rPr>
        <w:t>般公共预算财政拨款支出决算表</w:t>
      </w:r>
      <w:bookmarkEnd w:id="69"/>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bookmarkStart w:id="70" w:name="_Toc15396625"/>
      <w:r>
        <w:rPr>
          <w:rStyle w:val="22"/>
          <w:rFonts w:hint="eastAsia" w:ascii="仿宋_GB2312" w:hAnsi="仿宋_GB2312" w:eastAsia="仿宋_GB2312" w:cs="仿宋_GB2312"/>
          <w:b w:val="0"/>
          <w:bCs w:val="0"/>
          <w:sz w:val="32"/>
          <w:szCs w:val="32"/>
        </w:rPr>
        <w:t>七、</w:t>
      </w:r>
      <w:r>
        <w:rPr>
          <w:rFonts w:hint="eastAsia" w:ascii="仿宋_GB2312" w:hAnsi="仿宋_GB2312" w:eastAsia="仿宋_GB2312" w:cs="仿宋_GB2312"/>
          <w:b w:val="0"/>
          <w:sz w:val="32"/>
          <w:szCs w:val="32"/>
        </w:rPr>
        <w:t>一</w:t>
      </w:r>
      <w:r>
        <w:rPr>
          <w:rStyle w:val="22"/>
          <w:rFonts w:hint="eastAsia" w:ascii="仿宋_GB2312" w:hAnsi="仿宋_GB2312" w:eastAsia="仿宋_GB2312" w:cs="仿宋_GB2312"/>
          <w:b w:val="0"/>
          <w:bCs w:val="0"/>
          <w:sz w:val="32"/>
          <w:szCs w:val="32"/>
        </w:rPr>
        <w:t>般公共预算财政拨款支出决算明细表</w:t>
      </w:r>
      <w:bookmarkEnd w:id="70"/>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bookmarkStart w:id="71" w:name="_Toc15396626"/>
      <w:r>
        <w:rPr>
          <w:rStyle w:val="22"/>
          <w:rFonts w:hint="eastAsia" w:ascii="仿宋_GB2312" w:hAnsi="仿宋_GB2312" w:eastAsia="仿宋_GB2312" w:cs="仿宋_GB2312"/>
          <w:b w:val="0"/>
          <w:bCs w:val="0"/>
          <w:sz w:val="32"/>
          <w:szCs w:val="32"/>
        </w:rPr>
        <w:t>八、</w:t>
      </w:r>
      <w:r>
        <w:rPr>
          <w:rFonts w:hint="eastAsia" w:ascii="仿宋_GB2312" w:hAnsi="仿宋_GB2312" w:eastAsia="仿宋_GB2312" w:cs="仿宋_GB2312"/>
          <w:b w:val="0"/>
          <w:sz w:val="32"/>
          <w:szCs w:val="32"/>
        </w:rPr>
        <w:t>一</w:t>
      </w:r>
      <w:r>
        <w:rPr>
          <w:rStyle w:val="22"/>
          <w:rFonts w:hint="eastAsia" w:ascii="仿宋_GB2312" w:hAnsi="仿宋_GB2312" w:eastAsia="仿宋_GB2312" w:cs="仿宋_GB2312"/>
          <w:b w:val="0"/>
          <w:bCs w:val="0"/>
          <w:sz w:val="32"/>
          <w:szCs w:val="32"/>
        </w:rPr>
        <w:t>般公共预算财政拨款基本支出决算表</w:t>
      </w:r>
      <w:bookmarkEnd w:id="71"/>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bookmarkStart w:id="72" w:name="_Toc15396627"/>
      <w:r>
        <w:rPr>
          <w:rStyle w:val="22"/>
          <w:rFonts w:hint="eastAsia" w:ascii="仿宋_GB2312" w:hAnsi="仿宋_GB2312" w:eastAsia="仿宋_GB2312" w:cs="仿宋_GB2312"/>
          <w:b w:val="0"/>
          <w:bCs w:val="0"/>
          <w:sz w:val="32"/>
          <w:szCs w:val="32"/>
        </w:rPr>
        <w:t>九、</w:t>
      </w:r>
      <w:r>
        <w:rPr>
          <w:rFonts w:hint="eastAsia" w:ascii="仿宋_GB2312" w:hAnsi="仿宋_GB2312" w:eastAsia="仿宋_GB2312" w:cs="仿宋_GB2312"/>
          <w:b w:val="0"/>
          <w:sz w:val="32"/>
          <w:szCs w:val="32"/>
        </w:rPr>
        <w:t>一</w:t>
      </w:r>
      <w:r>
        <w:rPr>
          <w:rStyle w:val="22"/>
          <w:rFonts w:hint="eastAsia" w:ascii="仿宋_GB2312" w:hAnsi="仿宋_GB2312" w:eastAsia="仿宋_GB2312" w:cs="仿宋_GB2312"/>
          <w:b w:val="0"/>
          <w:bCs w:val="0"/>
          <w:sz w:val="32"/>
          <w:szCs w:val="32"/>
        </w:rPr>
        <w:t>般公共预算财政拨款项目支出决算表</w:t>
      </w:r>
      <w:bookmarkEnd w:id="72"/>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bookmarkStart w:id="73" w:name="_Toc15396628"/>
      <w:r>
        <w:rPr>
          <w:rStyle w:val="22"/>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sz w:val="32"/>
          <w:szCs w:val="32"/>
        </w:rPr>
        <w:t>一</w:t>
      </w:r>
      <w:r>
        <w:rPr>
          <w:rStyle w:val="22"/>
          <w:rFonts w:hint="eastAsia" w:ascii="仿宋_GB2312" w:hAnsi="仿宋_GB2312" w:eastAsia="仿宋_GB2312" w:cs="仿宋_GB2312"/>
          <w:b w:val="0"/>
          <w:bCs w:val="0"/>
          <w:sz w:val="32"/>
          <w:szCs w:val="32"/>
        </w:rPr>
        <w:t>般公共预算财政拨款“三公”经费支出决算表</w:t>
      </w:r>
      <w:bookmarkEnd w:id="73"/>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bookmarkStart w:id="74" w:name="_Toc15396629"/>
      <w:r>
        <w:rPr>
          <w:rStyle w:val="22"/>
          <w:rFonts w:hint="eastAsia" w:ascii="仿宋_GB2312" w:hAnsi="仿宋_GB2312" w:eastAsia="仿宋_GB2312" w:cs="仿宋_GB2312"/>
          <w:b w:val="0"/>
          <w:bCs w:val="0"/>
          <w:sz w:val="32"/>
          <w:szCs w:val="32"/>
        </w:rPr>
        <w:t>十一、</w:t>
      </w:r>
      <w:r>
        <w:rPr>
          <w:rFonts w:hint="eastAsia" w:ascii="仿宋_GB2312" w:hAnsi="仿宋_GB2312" w:eastAsia="仿宋_GB2312" w:cs="仿宋_GB2312"/>
          <w:b w:val="0"/>
          <w:sz w:val="32"/>
          <w:szCs w:val="32"/>
        </w:rPr>
        <w:t>政</w:t>
      </w:r>
      <w:r>
        <w:rPr>
          <w:rStyle w:val="22"/>
          <w:rFonts w:hint="eastAsia" w:ascii="仿宋_GB2312" w:hAnsi="仿宋_GB2312" w:eastAsia="仿宋_GB2312" w:cs="仿宋_GB2312"/>
          <w:b w:val="0"/>
          <w:bCs w:val="0"/>
          <w:sz w:val="32"/>
          <w:szCs w:val="32"/>
        </w:rPr>
        <w:t>府性基金预算财政拨款收入支出决算表</w:t>
      </w:r>
      <w:bookmarkEnd w:id="74"/>
    </w:p>
    <w:p>
      <w:pPr>
        <w:pStyle w:val="4"/>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sz w:val="32"/>
          <w:szCs w:val="32"/>
        </w:rPr>
      </w:pPr>
      <w:bookmarkStart w:id="75" w:name="_Toc15396630"/>
      <w:r>
        <w:rPr>
          <w:rStyle w:val="22"/>
          <w:rFonts w:hint="eastAsia" w:ascii="仿宋_GB2312" w:hAnsi="仿宋_GB2312" w:eastAsia="仿宋_GB2312" w:cs="仿宋_GB2312"/>
          <w:b w:val="0"/>
          <w:bCs w:val="0"/>
          <w:sz w:val="32"/>
          <w:szCs w:val="32"/>
        </w:rPr>
        <w:t>十二、</w:t>
      </w:r>
      <w:r>
        <w:rPr>
          <w:rFonts w:hint="eastAsia" w:ascii="仿宋_GB2312" w:hAnsi="仿宋_GB2312" w:eastAsia="仿宋_GB2312" w:cs="仿宋_GB2312"/>
          <w:b w:val="0"/>
          <w:sz w:val="32"/>
          <w:szCs w:val="32"/>
        </w:rPr>
        <w:t>政</w:t>
      </w:r>
      <w:r>
        <w:rPr>
          <w:rStyle w:val="22"/>
          <w:rFonts w:hint="eastAsia" w:ascii="仿宋_GB2312" w:hAnsi="仿宋_GB2312" w:eastAsia="仿宋_GB2312" w:cs="仿宋_GB2312"/>
          <w:b w:val="0"/>
          <w:bCs w:val="0"/>
          <w:sz w:val="32"/>
          <w:szCs w:val="32"/>
        </w:rPr>
        <w:t>府性基金预算财政拨款“三公”经费支出决算表</w:t>
      </w:r>
      <w:bookmarkEnd w:id="75"/>
    </w:p>
    <w:p>
      <w:pPr>
        <w:pStyle w:val="4"/>
        <w:pageBreakBefore w:val="0"/>
        <w:widowControl w:val="0"/>
        <w:kinsoku/>
        <w:wordWrap/>
        <w:overflowPunct/>
        <w:topLinePunct w:val="0"/>
        <w:autoSpaceDE/>
        <w:autoSpaceDN/>
        <w:bidi w:val="0"/>
        <w:adjustRightInd/>
        <w:snapToGrid/>
        <w:spacing w:before="0" w:after="0" w:line="560" w:lineRule="exact"/>
        <w:textAlignment w:val="auto"/>
        <w:rPr>
          <w:rStyle w:val="22"/>
          <w:rFonts w:hint="eastAsia" w:ascii="仿宋_GB2312" w:hAnsi="仿宋_GB2312" w:eastAsia="仿宋_GB2312" w:cs="仿宋_GB2312"/>
          <w:b w:val="0"/>
          <w:bCs w:val="0"/>
          <w:sz w:val="32"/>
          <w:szCs w:val="32"/>
        </w:rPr>
      </w:pPr>
      <w:bookmarkStart w:id="76" w:name="_Toc15396631"/>
      <w:r>
        <w:rPr>
          <w:rStyle w:val="22"/>
          <w:rFonts w:hint="eastAsia" w:ascii="仿宋_GB2312" w:hAnsi="仿宋_GB2312" w:eastAsia="仿宋_GB2312" w:cs="仿宋_GB2312"/>
          <w:b w:val="0"/>
          <w:bCs w:val="0"/>
          <w:sz w:val="32"/>
          <w:szCs w:val="32"/>
        </w:rPr>
        <w:t>十三、</w:t>
      </w:r>
      <w:r>
        <w:rPr>
          <w:rFonts w:hint="eastAsia" w:ascii="仿宋_GB2312" w:hAnsi="仿宋_GB2312" w:eastAsia="仿宋_GB2312" w:cs="仿宋_GB2312"/>
          <w:b w:val="0"/>
          <w:sz w:val="32"/>
          <w:szCs w:val="32"/>
        </w:rPr>
        <w:t>国</w:t>
      </w:r>
      <w:r>
        <w:rPr>
          <w:rStyle w:val="22"/>
          <w:rFonts w:hint="eastAsia" w:ascii="仿宋_GB2312" w:hAnsi="仿宋_GB2312" w:eastAsia="仿宋_GB2312" w:cs="仿宋_GB2312"/>
          <w:b w:val="0"/>
          <w:bCs w:val="0"/>
          <w:sz w:val="32"/>
          <w:szCs w:val="32"/>
        </w:rPr>
        <w:t>有资本经营预算财政拨款收入支出决算表</w:t>
      </w:r>
      <w:bookmarkEnd w:id="76"/>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Style w:val="22"/>
          <w:rFonts w:hint="eastAsia" w:ascii="仿宋_GB2312" w:hAnsi="仿宋_GB2312" w:eastAsia="仿宋_GB2312" w:cs="仿宋_GB2312"/>
          <w:b w:val="0"/>
          <w:bCs w:val="0"/>
          <w:sz w:val="32"/>
          <w:szCs w:val="32"/>
        </w:rPr>
        <w:t>十四、国有资本经营预算财政拨款支出决算表</w:t>
      </w:r>
    </w:p>
    <w:p>
      <w:pPr>
        <w:pStyle w:val="2"/>
        <w:numPr>
          <w:ilvl w:val="0"/>
          <w:numId w:val="0"/>
        </w:numPr>
        <w:rPr>
          <w:rFonts w:hint="eastAsia" w:ascii="仿宋_GB2312" w:hAnsi="仿宋_GB2312" w:eastAsia="仿宋_GB2312" w:cs="仿宋_GB2312"/>
          <w:sz w:val="32"/>
          <w:szCs w:val="32"/>
        </w:rPr>
      </w:pPr>
    </w:p>
    <w:sectPr>
      <w:footerReference r:id="rId11" w:type="first"/>
      <w:footerReference r:id="rId10" w:type="default"/>
      <w:pgSz w:w="11906" w:h="16838"/>
      <w:pgMar w:top="2098" w:right="1474" w:bottom="1984" w:left="1587" w:header="851" w:footer="992" w:gutter="0"/>
      <w:pgNumType w:fmt="decimal" w:start="25"/>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等线 Light">
    <w:altName w:val="仿宋"/>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Noto Sans CJK JP Bold">
    <w:panose1 w:val="020B0800000000000000"/>
    <w:charset w:val="86"/>
    <w:family w:val="auto"/>
    <w:pitch w:val="default"/>
    <w:sig w:usb0="30000003" w:usb1="2BDF3C10" w:usb2="00000016" w:usb3="00000000" w:csb0="602E0107" w:csb1="00000000"/>
  </w:font>
  <w:font w:name="方正仿宋_GBK">
    <w:panose1 w:val="03000509000000000000"/>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Q6o/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EOqPx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9"/>
      </w:rPr>
      <w:fldChar w:fldCharType="begin"/>
    </w:r>
    <w:r>
      <w:rPr>
        <w:rStyle w:val="19"/>
      </w:rPr>
      <w:instrText xml:space="preserve">Page</w:instrText>
    </w:r>
    <w:r>
      <w:rPr>
        <w:rStyle w:val="19"/>
      </w:rPr>
      <w:fldChar w:fldCharType="separate"/>
    </w:r>
    <w:r>
      <w:rPr>
        <w:rStyle w:val="19"/>
      </w:rPr>
      <w:t>- 1 -</w:t>
    </w:r>
    <w:r>
      <w:rPr>
        <w:rStyle w:val="19"/>
      </w:rPr>
      <w:fldChar w:fldCharType="end"/>
    </w:r>
  </w:p>
  <w:p>
    <w:pPr>
      <w:pStyle w:val="8"/>
      <w:ind w:right="360" w:firstLine="360"/>
    </w:pPr>
    <w:sdt>
      <w:sdtPr>
        <w:id w:val="1194420651"/>
        <w:docPartList>
          <w:docPartGallery w:val="autotext"/>
        </w:docPartList>
      </w:sdtPr>
      <w:sdtContent>
        <w:r>
          <w:rPr>
            <w:rFonts w:ascii="宋体" w:eastAsia="宋体"/>
            <w:sz w:val="28"/>
            <w:szCs w:val="28"/>
          </w:rPr>
          <w:fldChar w:fldCharType="begin"/>
        </w:r>
        <w:r>
          <w:rPr>
            <w:rFonts w:ascii="宋体" w:eastAsia="宋体"/>
            <w:sz w:val="28"/>
            <w:szCs w:val="28"/>
          </w:rPr>
          <w:instrText xml:space="preserve"> PAGE   \* MERGEFORMAT </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12 -</w:t>
        </w:r>
        <w:r>
          <w:rPr>
            <w:rFonts w:ascii="宋体" w:eastAsia="宋体"/>
            <w:sz w:val="28"/>
            <w:szCs w:val="28"/>
          </w:rPr>
          <w:fldChar w:fldCharType="end"/>
        </w:r>
      </w:sdtContent>
    </w:sdt>
  </w:p>
  <w:p>
    <w:pPr>
      <w:pStyle w:val="8"/>
      <w:tabs>
        <w:tab w:val="right" w:pos="9184"/>
        <w:tab w:val="clear" w:pos="4153"/>
        <w:tab w:val="clear" w:pos="8306"/>
      </w:tabs>
      <w:rPr>
        <w:rFonts w:asci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w:rPr>
        <w:rFonts w:hint="eastAsia"/>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gUyD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qBTIM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q3L+F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gxTGNGp29fT9+fTj++&#10;ELwBoMaFGfw2Dp6xfWPbgka/F4Mp4D213kqv042mCFyA9vGCsGgj4XgcTyfTaQ4Th21QkCK7fnc+&#10;xLfCapKEgnqMsEOWHdYhnl0Hl5TN2FWtVDdGZUhT0JuXr/P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Crcv4U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HVGnGwIAACs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THVGnGwIAACsEAAAOAAAAAAAAAAEAIAAAADUBAABkcnMvZTJvRG9jLnhtbFBLBQYA&#10;AAAABgAGAFkBAADC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EXQu5HQ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RdC7k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6B2178"/>
    <w:multiLevelType w:val="singleLevel"/>
    <w:tmpl w:val="876B2178"/>
    <w:lvl w:ilvl="0" w:tentative="0">
      <w:start w:val="2"/>
      <w:numFmt w:val="chineseCounting"/>
      <w:suff w:val="nothing"/>
      <w:lvlText w:val="（%1）"/>
      <w:lvlJc w:val="left"/>
      <w:pPr>
        <w:tabs>
          <w:tab w:val="left" w:pos="0"/>
        </w:tabs>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0B4B1FA7"/>
    <w:multiLevelType w:val="singleLevel"/>
    <w:tmpl w:val="0B4B1FA7"/>
    <w:lvl w:ilvl="0" w:tentative="0">
      <w:start w:val="2"/>
      <w:numFmt w:val="decimal"/>
      <w:suff w:val="nothing"/>
      <w:lvlText w:val="%1．"/>
      <w:lvlJc w:val="left"/>
      <w:pPr>
        <w:tabs>
          <w:tab w:val="left" w:pos="0"/>
        </w:tabs>
        <w:ind w:left="0" w:firstLine="0"/>
      </w:pPr>
    </w:lvl>
  </w:abstractNum>
  <w:abstractNum w:abstractNumId="4">
    <w:nsid w:val="146B403C"/>
    <w:multiLevelType w:val="singleLevel"/>
    <w:tmpl w:val="146B403C"/>
    <w:lvl w:ilvl="0" w:tentative="0">
      <w:start w:val="1"/>
      <w:numFmt w:val="chineseCounting"/>
      <w:suff w:val="nothing"/>
      <w:lvlText w:val="%1、"/>
      <w:lvlJc w:val="left"/>
      <w:rPr>
        <w:rFonts w:hint="eastAsia"/>
      </w:rPr>
    </w:lvl>
  </w:abstractNum>
  <w:abstractNum w:abstractNumId="5">
    <w:nsid w:val="21C4E95B"/>
    <w:multiLevelType w:val="singleLevel"/>
    <w:tmpl w:val="21C4E95B"/>
    <w:lvl w:ilvl="0" w:tentative="0">
      <w:start w:val="2"/>
      <w:numFmt w:val="decimal"/>
      <w:suff w:val="nothing"/>
      <w:lvlText w:val="%1．"/>
      <w:lvlJc w:val="left"/>
      <w:pPr>
        <w:tabs>
          <w:tab w:val="left" w:pos="0"/>
        </w:tabs>
        <w:ind w:left="0" w:firstLine="0"/>
      </w:pPr>
    </w:lvl>
  </w:abstractNum>
  <w:abstractNum w:abstractNumId="6">
    <w:nsid w:val="3AD319E9"/>
    <w:multiLevelType w:val="singleLevel"/>
    <w:tmpl w:val="3AD319E9"/>
    <w:lvl w:ilvl="0" w:tentative="0">
      <w:start w:val="3"/>
      <w:numFmt w:val="chineseCounting"/>
      <w:suff w:val="nothing"/>
      <w:lvlText w:val="%1、"/>
      <w:lvlJc w:val="left"/>
      <w:pPr>
        <w:tabs>
          <w:tab w:val="left" w:pos="0"/>
        </w:tabs>
        <w:ind w:left="0" w:firstLine="0"/>
      </w:pPr>
      <w:rPr>
        <w:rFonts w:hint="eastAsia"/>
      </w:rPr>
    </w:lvl>
  </w:abstractNum>
  <w:abstractNum w:abstractNumId="7">
    <w:nsid w:val="3F648936"/>
    <w:multiLevelType w:val="singleLevel"/>
    <w:tmpl w:val="3F648936"/>
    <w:lvl w:ilvl="0" w:tentative="0">
      <w:start w:val="3"/>
      <w:numFmt w:val="decimal"/>
      <w:suff w:val="nothing"/>
      <w:lvlText w:val="（%1）"/>
      <w:lvlJc w:val="left"/>
      <w:pPr>
        <w:tabs>
          <w:tab w:val="left" w:pos="0"/>
        </w:tabs>
        <w:ind w:left="0" w:firstLine="0"/>
      </w:pPr>
      <w:rPr>
        <w:rFonts w:hint="default"/>
        <w:b/>
        <w:bCs/>
      </w:rPr>
    </w:lvl>
  </w:abstractNum>
  <w:num w:numId="1">
    <w:abstractNumId w:val="1"/>
  </w:num>
  <w:num w:numId="2">
    <w:abstractNumId w:val="2"/>
  </w:num>
  <w:num w:numId="3">
    <w:abstractNumId w:val="6"/>
  </w:num>
  <w:num w:numId="4">
    <w:abstractNumId w:val="7"/>
  </w:num>
  <w:num w:numId="5">
    <w:abstractNumId w:val="5"/>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jQyYmNlYWRjMTcyMTc3Yjk3Y2ZkY2IyZjUxZTJhMWYifQ=="/>
  </w:docVars>
  <w:rsids>
    <w:rsidRoot w:val="005A6850"/>
    <w:rsid w:val="003369FF"/>
    <w:rsid w:val="005A6850"/>
    <w:rsid w:val="007E0B38"/>
    <w:rsid w:val="00B44167"/>
    <w:rsid w:val="00D12052"/>
    <w:rsid w:val="00D90040"/>
    <w:rsid w:val="00DD0E6F"/>
    <w:rsid w:val="06270684"/>
    <w:rsid w:val="082A74C0"/>
    <w:rsid w:val="08BB224A"/>
    <w:rsid w:val="0AC92C60"/>
    <w:rsid w:val="0FFDD29A"/>
    <w:rsid w:val="11B20C52"/>
    <w:rsid w:val="18CB4047"/>
    <w:rsid w:val="1B27678E"/>
    <w:rsid w:val="1BE10B8D"/>
    <w:rsid w:val="1DF6C934"/>
    <w:rsid w:val="1EE61F3B"/>
    <w:rsid w:val="207D067D"/>
    <w:rsid w:val="27F0048F"/>
    <w:rsid w:val="2ABFAA3E"/>
    <w:rsid w:val="2BFE19DC"/>
    <w:rsid w:val="2DD904F0"/>
    <w:rsid w:val="2FB81E51"/>
    <w:rsid w:val="316571B6"/>
    <w:rsid w:val="325854B7"/>
    <w:rsid w:val="39A2E862"/>
    <w:rsid w:val="3B3A6716"/>
    <w:rsid w:val="3B9543F1"/>
    <w:rsid w:val="3BFF86A0"/>
    <w:rsid w:val="3DF8A01C"/>
    <w:rsid w:val="3E55026F"/>
    <w:rsid w:val="3EFC7B92"/>
    <w:rsid w:val="3FA712FB"/>
    <w:rsid w:val="3FD49177"/>
    <w:rsid w:val="3FFA54FE"/>
    <w:rsid w:val="419D6DD7"/>
    <w:rsid w:val="43BFCDDB"/>
    <w:rsid w:val="4DF04FE8"/>
    <w:rsid w:val="4EFEF1A0"/>
    <w:rsid w:val="4F6EF084"/>
    <w:rsid w:val="4F9F2B17"/>
    <w:rsid w:val="4FF05B66"/>
    <w:rsid w:val="51244113"/>
    <w:rsid w:val="599BF912"/>
    <w:rsid w:val="59F93BD1"/>
    <w:rsid w:val="5F074FDA"/>
    <w:rsid w:val="5F2259B9"/>
    <w:rsid w:val="5FD91D80"/>
    <w:rsid w:val="5FDA5207"/>
    <w:rsid w:val="5FE33352"/>
    <w:rsid w:val="600F2399"/>
    <w:rsid w:val="62514EEA"/>
    <w:rsid w:val="63AC467E"/>
    <w:rsid w:val="658F0953"/>
    <w:rsid w:val="66F4B519"/>
    <w:rsid w:val="67FFE708"/>
    <w:rsid w:val="68284ED0"/>
    <w:rsid w:val="685017A0"/>
    <w:rsid w:val="69E4A51E"/>
    <w:rsid w:val="6AFD460B"/>
    <w:rsid w:val="6B3D3FBB"/>
    <w:rsid w:val="6B7EC7C5"/>
    <w:rsid w:val="6BAF47F2"/>
    <w:rsid w:val="6ECB392F"/>
    <w:rsid w:val="6F77CD4A"/>
    <w:rsid w:val="6FBBA4AA"/>
    <w:rsid w:val="6FDD356B"/>
    <w:rsid w:val="75FF8564"/>
    <w:rsid w:val="76BEAD03"/>
    <w:rsid w:val="76C53359"/>
    <w:rsid w:val="77FFA9B7"/>
    <w:rsid w:val="786C24DA"/>
    <w:rsid w:val="78767001"/>
    <w:rsid w:val="79EFF0D0"/>
    <w:rsid w:val="79FF1231"/>
    <w:rsid w:val="7AEE9282"/>
    <w:rsid w:val="7AFDF017"/>
    <w:rsid w:val="7B77159A"/>
    <w:rsid w:val="7D3F538E"/>
    <w:rsid w:val="7E7F648F"/>
    <w:rsid w:val="7EED7FA9"/>
    <w:rsid w:val="7F651177"/>
    <w:rsid w:val="7FBF6123"/>
    <w:rsid w:val="7FCB87C6"/>
    <w:rsid w:val="7FDF2989"/>
    <w:rsid w:val="8FB3FF62"/>
    <w:rsid w:val="A4FD063E"/>
    <w:rsid w:val="BB73D2AD"/>
    <w:rsid w:val="BDCFFA14"/>
    <w:rsid w:val="BE76AD62"/>
    <w:rsid w:val="C7FF250B"/>
    <w:rsid w:val="C9AFED6B"/>
    <w:rsid w:val="CDFF2866"/>
    <w:rsid w:val="CFC67925"/>
    <w:rsid w:val="CFED96C8"/>
    <w:rsid w:val="D33F8192"/>
    <w:rsid w:val="D6ED19E6"/>
    <w:rsid w:val="DFB942B6"/>
    <w:rsid w:val="DFFFDBA9"/>
    <w:rsid w:val="EB7F03E0"/>
    <w:rsid w:val="EDBD68D6"/>
    <w:rsid w:val="EFB30F21"/>
    <w:rsid w:val="F1F6BE61"/>
    <w:rsid w:val="FBFFF4C9"/>
    <w:rsid w:val="FDFB670E"/>
    <w:rsid w:val="FDFFC856"/>
    <w:rsid w:val="FEFF27A0"/>
    <w:rsid w:val="FFD7E0C3"/>
    <w:rsid w:val="FFDD4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2"/>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Body Text Indent"/>
    <w:basedOn w:val="1"/>
    <w:next w:val="7"/>
    <w:qFormat/>
    <w:uiPriority w:val="0"/>
    <w:pPr>
      <w:ind w:firstLine="600" w:firstLineChars="200"/>
    </w:pPr>
    <w:rPr>
      <w:rFonts w:eastAsia="黑体"/>
      <w:sz w:val="30"/>
    </w:rPr>
  </w:style>
  <w:style w:type="paragraph" w:styleId="7">
    <w:name w:val="Body Text First Indent 2"/>
    <w:basedOn w:val="6"/>
    <w:next w:val="8"/>
    <w:unhideWhenUsed/>
    <w:qFormat/>
    <w:uiPriority w:val="99"/>
    <w:pPr>
      <w:ind w:firstLine="420"/>
    </w:pPr>
  </w:style>
  <w:style w:type="paragraph" w:styleId="8">
    <w:name w:val="footer"/>
    <w:basedOn w:val="1"/>
    <w:next w:val="9"/>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next w:val="10"/>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Normal (Web)"/>
    <w:basedOn w:val="1"/>
    <w:next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Hyperlink"/>
    <w:basedOn w:val="17"/>
    <w:qFormat/>
    <w:uiPriority w:val="0"/>
    <w:rPr>
      <w:color w:val="0000FF"/>
      <w:u w:val="single"/>
    </w:rPr>
  </w:style>
  <w:style w:type="character" w:customStyle="1" w:styleId="21">
    <w:name w:val="标题 1 字符"/>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字符"/>
    <w:basedOn w:val="17"/>
    <w:link w:val="4"/>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5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1608.77</c:v>
                </c:pt>
                <c:pt idx="1">
                  <c:v>1608.77</c:v>
                </c:pt>
              </c:numCache>
            </c:numRef>
          </c:val>
        </c:ser>
        <c:ser>
          <c:idx val="1"/>
          <c:order val="1"/>
          <c:tx>
            <c:strRef>
              <c:f>Sheet1!$C$1</c:f>
              <c:strCache>
                <c:ptCount val="1"/>
                <c:pt idx="0">
                  <c:v>2021年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105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1103.68</c:v>
                </c:pt>
                <c:pt idx="1">
                  <c:v>1103.68</c:v>
                </c:pt>
              </c:numCache>
            </c:numRef>
          </c:val>
        </c:ser>
        <c:dLbls>
          <c:showLegendKey val="false"/>
          <c:showVal val="true"/>
          <c:showCatName val="false"/>
          <c:showSerName val="false"/>
          <c:showPercent val="false"/>
          <c:showBubbleSize val="false"/>
        </c:dLbls>
        <c:gapWidth val="219"/>
        <c:overlap val="-27"/>
        <c:axId val="106044252"/>
        <c:axId val="207145599"/>
      </c:barChart>
      <c:catAx>
        <c:axId val="10604425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crossAx val="207145599"/>
        <c:crosses val="autoZero"/>
        <c:auto val="true"/>
        <c:lblAlgn val="ctr"/>
        <c:lblOffset val="100"/>
        <c:noMultiLvlLbl val="false"/>
      </c:catAx>
      <c:valAx>
        <c:axId val="207145599"/>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crossAx val="106044252"/>
        <c:crosses val="autoZero"/>
        <c:crossBetween val="between"/>
      </c:valAx>
      <c:spPr>
        <a:noFill/>
        <a:ln>
          <a:noFill/>
        </a:ln>
        <a:effectLst/>
      </c:spPr>
    </c:plotArea>
    <c:legend>
      <c:legendPos val="b"/>
      <c:legendEntry>
        <c:idx val="0"/>
        <c:txPr>
          <a:bodyPr rot="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105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sz="1050"/>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本年收入</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strCache>
            </c:strRef>
          </c:cat>
          <c:val>
            <c:numRef>
              <c:f>Sheet1!$B$2:$B$8</c:f>
              <c:numCache>
                <c:formatCode>0%</c:formatCode>
                <c:ptCount val="7"/>
                <c:pt idx="0">
                  <c:v>1</c:v>
                </c:pt>
                <c:pt idx="1" c:formatCode="General">
                  <c:v>0</c:v>
                </c:pt>
                <c:pt idx="2" c:formatCode="General">
                  <c:v>0</c:v>
                </c:pt>
                <c:pt idx="3" c:formatCode="General">
                  <c:v>0</c:v>
                </c:pt>
                <c:pt idx="4" c:formatCode="General">
                  <c:v>0</c:v>
                </c:pt>
                <c:pt idx="5" c:formatCode="General">
                  <c:v>0</c:v>
                </c:pt>
                <c:pt idx="6" c:formatCode="General">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0.6953</c:v>
                </c:pt>
                <c:pt idx="1">
                  <c:v>0.3047</c:v>
                </c:pt>
                <c:pt idx="2" c:formatCode="General">
                  <c:v>0</c:v>
                </c:pt>
                <c:pt idx="3" c:formatCode="General">
                  <c:v>0</c:v>
                </c:pt>
                <c:pt idx="4" c:formatCode="General">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048625"/>
          <c:y val="0.919666666666667"/>
          <c:w val="0.80825"/>
          <c:h val="0.0603333333333333"/>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1608.77</c:v>
                </c:pt>
                <c:pt idx="1">
                  <c:v>1608.77</c:v>
                </c:pt>
              </c:numCache>
            </c:numRef>
          </c:val>
        </c:ser>
        <c:ser>
          <c:idx val="1"/>
          <c:order val="1"/>
          <c:tx>
            <c:strRef>
              <c:f>Sheet1!$C$1</c:f>
              <c:strCache>
                <c:ptCount val="1"/>
                <c:pt idx="0">
                  <c:v>2021年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1103.68</c:v>
                </c:pt>
                <c:pt idx="1">
                  <c:v>1103.68</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76707086"/>
        <c:axId val="520795938"/>
      </c:barChart>
      <c:catAx>
        <c:axId val="7670708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20795938"/>
        <c:crosses val="autoZero"/>
        <c:auto val="true"/>
        <c:lblAlgn val="ctr"/>
        <c:lblOffset val="100"/>
        <c:noMultiLvlLbl val="false"/>
      </c:catAx>
      <c:valAx>
        <c:axId val="52079593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6707086"/>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1608.77</c:v>
                </c:pt>
              </c:numCache>
            </c:numRef>
          </c:val>
        </c:ser>
        <c:ser>
          <c:idx val="1"/>
          <c:order val="1"/>
          <c:tx>
            <c:strRef>
              <c:f>Sheet1!$C$1</c:f>
              <c:strCache>
                <c:ptCount val="1"/>
                <c:pt idx="0">
                  <c:v>2021年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1103.68</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333789460"/>
        <c:axId val="100825653"/>
      </c:barChart>
      <c:catAx>
        <c:axId val="333789460"/>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0825653"/>
        <c:crosses val="autoZero"/>
        <c:auto val="true"/>
        <c:lblAlgn val="ctr"/>
        <c:lblOffset val="100"/>
        <c:noMultiLvlLbl val="false"/>
      </c:catAx>
      <c:valAx>
        <c:axId val="100825653"/>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33789460"/>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列1</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0.00%</c:formatCode>
                <c:ptCount val="3"/>
                <c:pt idx="0">
                  <c:v>0.0651</c:v>
                </c:pt>
                <c:pt idx="1">
                  <c:v>0.8925</c:v>
                </c:pt>
                <c:pt idx="2">
                  <c:v>0.0424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列1</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因公出国（境）经费</c:v>
                </c:pt>
                <c:pt idx="1">
                  <c:v>公务用车购置及运行维护费</c:v>
                </c:pt>
                <c:pt idx="2">
                  <c:v>公务接待费</c:v>
                </c:pt>
              </c:strCache>
            </c:strRef>
          </c:cat>
          <c:val>
            <c:numRef>
              <c:f>Sheet1!$B$2:$B$4</c:f>
              <c:numCache>
                <c:formatCode>General</c:formatCode>
                <c:ptCount val="3"/>
                <c:pt idx="0">
                  <c:v>0</c:v>
                </c:pt>
                <c:pt idx="1" c:formatCode="0.00%">
                  <c:v>0.9787</c:v>
                </c:pt>
                <c:pt idx="2" c:formatCode="0.00%">
                  <c:v>0.0213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63</Pages>
  <Words>25499</Words>
  <Characters>27664</Characters>
  <Lines>57</Lines>
  <Paragraphs>16</Paragraphs>
  <TotalTime>1</TotalTime>
  <ScaleCrop>false</ScaleCrop>
  <LinksUpToDate>false</LinksUpToDate>
  <CharactersWithSpaces>27889</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shiveredlake</cp:lastModifiedBy>
  <cp:lastPrinted>2022-09-28T00:00:00Z</cp:lastPrinted>
  <dcterms:modified xsi:type="dcterms:W3CDTF">2022-09-28T11:12:09Z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D2B73CA86BAB4AF2B1E151BF7338A476</vt:lpwstr>
  </property>
</Properties>
</file>