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textAlignment w:val="auto"/>
      </w:pPr>
    </w:p>
    <w:p>
      <w:pPr>
        <w:keepNext w:val="0"/>
        <w:keepLines w:val="0"/>
        <w:pageBreakBefore w:val="0"/>
        <w:kinsoku/>
        <w:wordWrap/>
        <w:overflowPunct/>
        <w:topLinePunct w:val="0"/>
        <w:autoSpaceDE/>
        <w:autoSpaceDN/>
        <w:bidi w:val="0"/>
        <w:adjustRightInd/>
        <w:spacing w:line="560" w:lineRule="exact"/>
        <w:textAlignment w:val="auto"/>
      </w:pPr>
    </w:p>
    <w:p>
      <w:pPr>
        <w:keepNext w:val="0"/>
        <w:keepLines w:val="0"/>
        <w:pageBreakBefore w:val="0"/>
        <w:kinsoku/>
        <w:wordWrap/>
        <w:overflowPunct/>
        <w:topLinePunct w:val="0"/>
        <w:autoSpaceDE/>
        <w:autoSpaceDN/>
        <w:bidi w:val="0"/>
        <w:adjustRightInd/>
        <w:spacing w:line="560" w:lineRule="exact"/>
        <w:textAlignment w:val="auto"/>
      </w:pPr>
    </w:p>
    <w:p>
      <w:pPr>
        <w:keepNext w:val="0"/>
        <w:keepLines w:val="0"/>
        <w:pageBreakBefore w:val="0"/>
        <w:kinsoku/>
        <w:wordWrap/>
        <w:overflowPunct/>
        <w:topLinePunct w:val="0"/>
        <w:autoSpaceDE/>
        <w:autoSpaceDN/>
        <w:bidi w:val="0"/>
        <w:adjustRightInd/>
        <w:spacing w:line="560" w:lineRule="exact"/>
        <w:ind w:firstLine="1050" w:firstLineChars="500"/>
        <w:textAlignment w:val="auto"/>
      </w:pPr>
    </w:p>
    <w:p>
      <w:pPr>
        <w:keepNext w:val="0"/>
        <w:keepLines w:val="0"/>
        <w:pageBreakBefore w:val="0"/>
        <w:kinsoku/>
        <w:wordWrap/>
        <w:overflowPunct/>
        <w:topLinePunct w:val="0"/>
        <w:autoSpaceDE/>
        <w:autoSpaceDN/>
        <w:bidi w:val="0"/>
        <w:adjustRightInd/>
        <w:spacing w:line="560" w:lineRule="exact"/>
        <w:ind w:firstLine="1050" w:firstLineChars="500"/>
        <w:textAlignment w:val="auto"/>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黑体" w:eastAsia="黑体"/>
          <w:sz w:val="44"/>
          <w:szCs w:val="44"/>
          <w:lang w:val="en-US" w:eastAsia="zh-CN"/>
        </w:rPr>
      </w:pPr>
      <w:r>
        <w:rPr>
          <w:rFonts w:hint="eastAsia" w:ascii="黑体" w:eastAsia="黑体"/>
          <w:sz w:val="44"/>
          <w:szCs w:val="44"/>
          <w:lang w:val="en-US" w:eastAsia="zh-CN"/>
        </w:rPr>
        <w:t>阿坝州医疗保障局</w:t>
      </w:r>
    </w:p>
    <w:p>
      <w:pPr>
        <w:keepNext w:val="0"/>
        <w:keepLines w:val="0"/>
        <w:pageBreakBefore w:val="0"/>
        <w:kinsoku/>
        <w:wordWrap/>
        <w:overflowPunct/>
        <w:topLinePunct w:val="0"/>
        <w:autoSpaceDE/>
        <w:autoSpaceDN/>
        <w:bidi w:val="0"/>
        <w:adjustRightInd/>
        <w:spacing w:line="560" w:lineRule="exact"/>
        <w:jc w:val="center"/>
        <w:textAlignment w:val="auto"/>
        <w:rPr>
          <w:rFonts w:ascii="黑体" w:eastAsia="黑体"/>
          <w:sz w:val="44"/>
          <w:szCs w:val="44"/>
        </w:rPr>
      </w:pPr>
      <w:r>
        <w:rPr>
          <w:rFonts w:ascii="黑体" w:eastAsia="黑体"/>
          <w:sz w:val="44"/>
          <w:szCs w:val="44"/>
        </w:rPr>
        <w:t>2</w:t>
      </w:r>
      <w:r>
        <w:rPr>
          <w:rFonts w:hint="eastAsia" w:ascii="黑体" w:eastAsia="黑体"/>
          <w:sz w:val="44"/>
          <w:szCs w:val="44"/>
        </w:rPr>
        <w:t>022年部门预算</w:t>
      </w: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hint="eastAsia"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ind w:firstLine="1760" w:firstLineChars="400"/>
        <w:textAlignment w:val="auto"/>
        <w:rPr>
          <w:rFonts w:ascii="黑体" w:eastAsia="黑体"/>
          <w:sz w:val="44"/>
          <w:szCs w:val="44"/>
        </w:rPr>
      </w:pP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44"/>
          <w:szCs w:val="44"/>
        </w:rPr>
        <w:sectPr>
          <w:headerReference r:id="rId3" w:type="default"/>
          <w:pgSz w:w="11906" w:h="16838"/>
          <w:pgMar w:top="2098" w:right="1474" w:bottom="1984" w:left="1587" w:header="851" w:footer="992" w:gutter="0"/>
          <w:pgNumType w:fmt="decimal"/>
          <w:cols w:space="720" w:num="1"/>
          <w:docGrid w:type="lines" w:linePitch="312" w:charSpace="0"/>
        </w:sectPr>
      </w:pPr>
    </w:p>
    <w:p>
      <w:pPr>
        <w:pStyle w:val="2"/>
      </w:pPr>
    </w:p>
    <w:p>
      <w:pPr>
        <w:keepNext w:val="0"/>
        <w:keepLines w:val="0"/>
        <w:pageBreakBefore w:val="0"/>
        <w:kinsoku/>
        <w:wordWrap/>
        <w:overflowPunct/>
        <w:topLinePunct w:val="0"/>
        <w:autoSpaceDE/>
        <w:autoSpaceDN/>
        <w:bidi w:val="0"/>
        <w:adjustRightInd/>
        <w:spacing w:line="560" w:lineRule="exact"/>
        <w:jc w:val="center"/>
        <w:textAlignment w:val="auto"/>
        <w:rPr>
          <w:rFonts w:ascii="黑体" w:eastAsia="黑体"/>
          <w:sz w:val="52"/>
          <w:szCs w:val="52"/>
        </w:rPr>
      </w:pPr>
      <w:r>
        <w:rPr>
          <w:rFonts w:hint="eastAsia" w:ascii="黑体" w:eastAsia="黑体"/>
          <w:sz w:val="52"/>
          <w:szCs w:val="52"/>
        </w:rPr>
        <w:t>目录</w:t>
      </w:r>
    </w:p>
    <w:p>
      <w:pPr>
        <w:keepNext w:val="0"/>
        <w:keepLines w:val="0"/>
        <w:pageBreakBefore w:val="0"/>
        <w:kinsoku/>
        <w:wordWrap/>
        <w:overflowPunct/>
        <w:topLinePunct w:val="0"/>
        <w:autoSpaceDE/>
        <w:autoSpaceDN/>
        <w:bidi w:val="0"/>
        <w:adjustRightInd/>
        <w:spacing w:line="560" w:lineRule="exact"/>
        <w:ind w:firstLine="3080" w:firstLineChars="700"/>
        <w:textAlignment w:val="auto"/>
        <w:rPr>
          <w:rFonts w:ascii="黑体" w:eastAsia="黑体"/>
          <w:sz w:val="44"/>
          <w:szCs w:val="44"/>
        </w:rPr>
      </w:pPr>
    </w:p>
    <w:p>
      <w:pPr>
        <w:pStyle w:val="12"/>
        <w:keepNext w:val="0"/>
        <w:keepLines w:val="0"/>
        <w:pageBreakBefore w:val="0"/>
        <w:kinsoku/>
        <w:wordWrap/>
        <w:overflowPunct/>
        <w:topLinePunct w:val="0"/>
        <w:autoSpaceDE/>
        <w:autoSpaceDN/>
        <w:bidi w:val="0"/>
        <w:adjustRightInd/>
        <w:spacing w:line="560" w:lineRule="exact"/>
        <w:ind w:firstLine="0" w:firstLineChars="0"/>
        <w:textAlignment w:val="auto"/>
        <w:rPr>
          <w:rFonts w:ascii="黑体" w:eastAsia="黑体"/>
          <w:sz w:val="32"/>
          <w:szCs w:val="32"/>
        </w:rPr>
      </w:pPr>
      <w:r>
        <w:rPr>
          <w:rFonts w:hint="eastAsia" w:ascii="黑体" w:eastAsia="黑体"/>
          <w:sz w:val="32"/>
          <w:szCs w:val="32"/>
        </w:rPr>
        <w:t>一、基本职能及主要工作</w:t>
      </w:r>
    </w:p>
    <w:p>
      <w:pPr>
        <w:keepNext w:val="0"/>
        <w:keepLines w:val="0"/>
        <w:pageBreakBefore w:val="0"/>
        <w:kinsoku/>
        <w:wordWrap/>
        <w:overflowPunct/>
        <w:topLinePunct w:val="0"/>
        <w:autoSpaceDE/>
        <w:autoSpaceDN/>
        <w:bidi w:val="0"/>
        <w:adjustRightInd/>
        <w:spacing w:line="560" w:lineRule="exact"/>
        <w:textAlignment w:val="auto"/>
        <w:rPr>
          <w:rFonts w:ascii="仿宋_GB2312" w:eastAsia="仿宋_GB2312"/>
          <w:sz w:val="32"/>
          <w:szCs w:val="32"/>
        </w:rPr>
      </w:pPr>
      <w:r>
        <w:rPr>
          <w:rFonts w:hint="eastAsia" w:ascii="仿宋_GB2312" w:eastAsia="仿宋_GB2312"/>
          <w:sz w:val="32"/>
          <w:szCs w:val="32"/>
        </w:rPr>
        <w:t>（一）部门职能简介</w:t>
      </w:r>
    </w:p>
    <w:p>
      <w:pPr>
        <w:keepNext w:val="0"/>
        <w:keepLines w:val="0"/>
        <w:pageBreakBefore w:val="0"/>
        <w:kinsoku/>
        <w:wordWrap/>
        <w:overflowPunct/>
        <w:topLinePunct w:val="0"/>
        <w:autoSpaceDE/>
        <w:autoSpaceDN/>
        <w:bidi w:val="0"/>
        <w:adjustRightInd/>
        <w:spacing w:line="560" w:lineRule="exact"/>
        <w:textAlignment w:val="auto"/>
        <w:rPr>
          <w:rFonts w:ascii="仿宋_GB2312" w:eastAsia="仿宋_GB2312"/>
          <w:sz w:val="32"/>
          <w:szCs w:val="32"/>
        </w:rPr>
      </w:pPr>
      <w:r>
        <w:rPr>
          <w:rFonts w:hint="eastAsia" w:ascii="仿宋_GB2312" w:eastAsia="仿宋_GB2312"/>
          <w:sz w:val="32"/>
          <w:szCs w:val="32"/>
        </w:rPr>
        <w:t>（二）</w:t>
      </w:r>
      <w:r>
        <w:rPr>
          <w:rFonts w:ascii="仿宋_GB2312" w:eastAsia="仿宋_GB2312"/>
          <w:sz w:val="32"/>
          <w:szCs w:val="32"/>
        </w:rPr>
        <w:t>20</w:t>
      </w:r>
      <w:r>
        <w:rPr>
          <w:rFonts w:hint="eastAsia" w:ascii="仿宋_GB2312" w:eastAsia="仿宋_GB2312"/>
          <w:sz w:val="32"/>
          <w:szCs w:val="32"/>
        </w:rPr>
        <w:t>22年重点工作</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二、部门预算单位构成</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三、收支预算情况说明</w:t>
      </w:r>
    </w:p>
    <w:p>
      <w:pPr>
        <w:keepNext w:val="0"/>
        <w:keepLines w:val="0"/>
        <w:pageBreakBefore w:val="0"/>
        <w:kinsoku/>
        <w:wordWrap/>
        <w:overflowPunct/>
        <w:topLinePunct w:val="0"/>
        <w:autoSpaceDE/>
        <w:autoSpaceDN/>
        <w:bidi w:val="0"/>
        <w:adjustRightInd/>
        <w:spacing w:line="560" w:lineRule="exact"/>
        <w:textAlignment w:val="auto"/>
        <w:rPr>
          <w:rFonts w:ascii="仿宋_GB2312" w:eastAsia="仿宋_GB2312"/>
          <w:sz w:val="32"/>
          <w:szCs w:val="32"/>
        </w:rPr>
      </w:pPr>
      <w:r>
        <w:rPr>
          <w:rFonts w:hint="eastAsia" w:ascii="黑体" w:eastAsia="黑体"/>
          <w:sz w:val="32"/>
          <w:szCs w:val="32"/>
        </w:rPr>
        <w:t>（</w:t>
      </w:r>
      <w:r>
        <w:rPr>
          <w:rFonts w:hint="eastAsia" w:ascii="仿宋_GB2312" w:eastAsia="仿宋_GB2312"/>
          <w:sz w:val="32"/>
          <w:szCs w:val="32"/>
        </w:rPr>
        <w:t>一）收入预算情况</w:t>
      </w:r>
    </w:p>
    <w:p>
      <w:pPr>
        <w:keepNext w:val="0"/>
        <w:keepLines w:val="0"/>
        <w:pageBreakBefore w:val="0"/>
        <w:kinsoku/>
        <w:wordWrap/>
        <w:overflowPunct/>
        <w:topLinePunct w:val="0"/>
        <w:autoSpaceDE/>
        <w:autoSpaceDN/>
        <w:bidi w:val="0"/>
        <w:adjustRightInd/>
        <w:spacing w:line="560" w:lineRule="exact"/>
        <w:textAlignment w:val="auto"/>
        <w:rPr>
          <w:rFonts w:ascii="仿宋_GB2312" w:eastAsia="仿宋_GB2312"/>
          <w:sz w:val="32"/>
          <w:szCs w:val="32"/>
        </w:rPr>
      </w:pPr>
      <w:r>
        <w:rPr>
          <w:rFonts w:hint="eastAsia" w:ascii="仿宋_GB2312" w:eastAsia="仿宋_GB2312"/>
          <w:sz w:val="32"/>
          <w:szCs w:val="32"/>
        </w:rPr>
        <w:t>（二）支出预算情况</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四、财政拨款收支预算情况说明</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五、一般公共预算当年拨款情况说明</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eastAsia="仿宋_GB2312"/>
          <w:sz w:val="32"/>
          <w:szCs w:val="32"/>
          <w:lang w:eastAsia="zh-CN"/>
        </w:rPr>
      </w:pPr>
      <w:r>
        <w:rPr>
          <w:rFonts w:hint="eastAsia" w:ascii="仿宋_GB2312" w:eastAsia="仿宋_GB2312"/>
          <w:sz w:val="32"/>
          <w:szCs w:val="32"/>
        </w:rPr>
        <w:t>（一）一般公共预算当年拨款规模变化情况</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eastAsia="仿宋_GB2312"/>
          <w:sz w:val="32"/>
          <w:szCs w:val="32"/>
          <w:lang w:eastAsia="zh-CN"/>
        </w:rPr>
      </w:pPr>
      <w:r>
        <w:rPr>
          <w:rFonts w:hint="eastAsia" w:ascii="仿宋_GB2312" w:eastAsia="仿宋_GB2312"/>
          <w:sz w:val="32"/>
          <w:szCs w:val="32"/>
        </w:rPr>
        <w:t>（二）一般公共预算当年拨款结构情况</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eastAsia="仿宋_GB2312"/>
          <w:sz w:val="32"/>
          <w:szCs w:val="32"/>
          <w:lang w:eastAsia="zh-CN"/>
        </w:rPr>
      </w:pPr>
      <w:r>
        <w:rPr>
          <w:rFonts w:hint="eastAsia" w:ascii="仿宋_GB2312" w:eastAsia="仿宋_GB2312"/>
          <w:sz w:val="32"/>
          <w:szCs w:val="32"/>
        </w:rPr>
        <w:t>（三）一般公共预算当年拨款具体使用情况</w:t>
      </w:r>
    </w:p>
    <w:p>
      <w:pPr>
        <w:keepNext w:val="0"/>
        <w:keepLines w:val="0"/>
        <w:pageBreakBefore w:val="0"/>
        <w:kinsoku/>
        <w:wordWrap/>
        <w:overflowPunct/>
        <w:topLinePunct w:val="0"/>
        <w:autoSpaceDE/>
        <w:autoSpaceDN/>
        <w:bidi w:val="0"/>
        <w:adjustRightInd/>
        <w:spacing w:line="560" w:lineRule="exact"/>
        <w:textAlignment w:val="auto"/>
        <w:rPr>
          <w:rFonts w:hint="eastAsia" w:ascii="黑体" w:eastAsia="黑体"/>
          <w:sz w:val="32"/>
          <w:szCs w:val="32"/>
          <w:lang w:eastAsia="zh-CN"/>
        </w:rPr>
      </w:pPr>
      <w:r>
        <w:rPr>
          <w:rFonts w:hint="eastAsia" w:ascii="黑体" w:eastAsia="黑体"/>
          <w:sz w:val="32"/>
          <w:szCs w:val="32"/>
        </w:rPr>
        <w:t>六、一般公共预算基本支出情况说明</w:t>
      </w:r>
    </w:p>
    <w:p>
      <w:pPr>
        <w:keepNext w:val="0"/>
        <w:keepLines w:val="0"/>
        <w:pageBreakBefore w:val="0"/>
        <w:kinsoku/>
        <w:wordWrap/>
        <w:overflowPunct/>
        <w:topLinePunct w:val="0"/>
        <w:autoSpaceDE/>
        <w:autoSpaceDN/>
        <w:bidi w:val="0"/>
        <w:adjustRightInd/>
        <w:spacing w:line="560" w:lineRule="exact"/>
        <w:textAlignment w:val="auto"/>
        <w:rPr>
          <w:rFonts w:hint="eastAsia" w:ascii="黑体" w:eastAsia="黑体"/>
          <w:sz w:val="32"/>
          <w:szCs w:val="32"/>
          <w:lang w:eastAsia="zh-CN"/>
        </w:rPr>
      </w:pPr>
      <w:r>
        <w:rPr>
          <w:rFonts w:hint="eastAsia" w:ascii="黑体" w:eastAsia="黑体"/>
          <w:sz w:val="32"/>
          <w:szCs w:val="32"/>
        </w:rPr>
        <w:t>七、“三公”经费财政拨款预算安排情况说明</w:t>
      </w:r>
    </w:p>
    <w:p>
      <w:pPr>
        <w:keepNext w:val="0"/>
        <w:keepLines w:val="0"/>
        <w:pageBreakBefore w:val="0"/>
        <w:kinsoku/>
        <w:wordWrap/>
        <w:overflowPunct/>
        <w:topLinePunct w:val="0"/>
        <w:autoSpaceDE/>
        <w:autoSpaceDN/>
        <w:bidi w:val="0"/>
        <w:adjustRightInd/>
        <w:spacing w:line="560" w:lineRule="exact"/>
        <w:textAlignment w:val="auto"/>
        <w:rPr>
          <w:rFonts w:hint="eastAsia" w:ascii="黑体" w:eastAsia="黑体"/>
          <w:sz w:val="32"/>
          <w:szCs w:val="32"/>
          <w:lang w:eastAsia="zh-CN"/>
        </w:rPr>
      </w:pPr>
      <w:r>
        <w:rPr>
          <w:rFonts w:hint="eastAsia" w:ascii="黑体" w:eastAsia="黑体"/>
          <w:sz w:val="32"/>
          <w:szCs w:val="32"/>
        </w:rPr>
        <w:t>八、政府性基金预算支出情况说明</w:t>
      </w:r>
    </w:p>
    <w:p>
      <w:pPr>
        <w:keepNext w:val="0"/>
        <w:keepLines w:val="0"/>
        <w:pageBreakBefore w:val="0"/>
        <w:kinsoku/>
        <w:wordWrap/>
        <w:overflowPunct/>
        <w:topLinePunct w:val="0"/>
        <w:autoSpaceDE/>
        <w:autoSpaceDN/>
        <w:bidi w:val="0"/>
        <w:adjustRightInd/>
        <w:spacing w:line="560" w:lineRule="exact"/>
        <w:textAlignment w:val="auto"/>
        <w:rPr>
          <w:rFonts w:hint="eastAsia" w:ascii="黑体" w:eastAsia="黑体"/>
          <w:sz w:val="32"/>
          <w:szCs w:val="32"/>
          <w:lang w:eastAsia="zh-CN"/>
        </w:rPr>
      </w:pPr>
      <w:r>
        <w:rPr>
          <w:rFonts w:hint="eastAsia" w:ascii="黑体" w:eastAsia="黑体"/>
          <w:sz w:val="32"/>
          <w:szCs w:val="32"/>
        </w:rPr>
        <w:t>九、其他重要事项的情况说明</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十、名称解释</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560" w:lineRule="exact"/>
        <w:ind w:right="300"/>
        <w:jc w:val="left"/>
        <w:textAlignment w:val="auto"/>
        <w:rPr>
          <w:rFonts w:ascii="??" w:hAnsi="??" w:cs="宋体"/>
          <w:kern w:val="0"/>
          <w:sz w:val="12"/>
          <w:szCs w:val="12"/>
        </w:rPr>
      </w:pPr>
    </w:p>
    <w:p>
      <w:pPr>
        <w:pStyle w:val="12"/>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rPr>
        <w:t>一、基本职能及主要工作</w:t>
      </w:r>
    </w:p>
    <w:p>
      <w:pPr>
        <w:keepNext w:val="0"/>
        <w:keepLines w:val="0"/>
        <w:pageBreakBefore w:val="0"/>
        <w:numPr>
          <w:ilvl w:val="0"/>
          <w:numId w:val="0"/>
        </w:numPr>
        <w:kinsoku/>
        <w:wordWrap/>
        <w:overflowPunct/>
        <w:topLinePunct w:val="0"/>
        <w:autoSpaceDE/>
        <w:autoSpaceDN/>
        <w:bidi w:val="0"/>
        <w:adjustRightInd/>
        <w:spacing w:line="560" w:lineRule="exact"/>
        <w:ind w:leftChars="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部门职能简介</w:t>
      </w:r>
      <w:r>
        <w:rPr>
          <w:rFonts w:hint="eastAsia" w:ascii="楷体_GB2312" w:hAnsi="楷体_GB2312" w:eastAsia="楷体_GB2312" w:cs="楷体_GB2312"/>
          <w:b/>
          <w:bCs/>
          <w:sz w:val="32"/>
          <w:szCs w:val="32"/>
          <w:lang w:eastAsia="zh-CN"/>
        </w:rPr>
        <w:t>。</w:t>
      </w:r>
    </w:p>
    <w:p>
      <w:pPr>
        <w:pStyle w:val="6"/>
        <w:keepNext w:val="0"/>
        <w:keepLines w:val="0"/>
        <w:pageBreakBefore w:val="0"/>
        <w:widowControl/>
        <w:shd w:val="clear"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kern w:val="0"/>
          <w:sz w:val="32"/>
          <w:szCs w:val="32"/>
          <w:lang w:val="en-US" w:eastAsia="zh-CN" w:bidi="ar"/>
        </w:rPr>
        <w:t>州医保局贯彻落实党中央关于医疗保障工作的方针政策和省委、州委的决策部署，在履行职责过程中坚持和加强党对医疗保障工作的集中统一领导，主要职责是：</w:t>
      </w:r>
      <w:r>
        <w:rPr>
          <w:rFonts w:hint="eastAsia" w:ascii="仿宋_GB2312" w:hAnsi="仿宋_GB2312" w:eastAsia="仿宋_GB2312" w:cs="仿宋_GB2312"/>
          <w:b/>
          <w:bCs/>
          <w:kern w:val="0"/>
          <w:sz w:val="32"/>
          <w:szCs w:val="32"/>
          <w:lang w:val="en-US" w:eastAsia="zh-CN" w:bidi="ar"/>
        </w:rPr>
        <w:t>一是</w:t>
      </w:r>
      <w:r>
        <w:rPr>
          <w:rFonts w:hint="eastAsia" w:ascii="仿宋_GB2312" w:hAnsi="仿宋_GB2312" w:eastAsia="仿宋_GB2312" w:cs="仿宋_GB2312"/>
          <w:kern w:val="0"/>
          <w:sz w:val="32"/>
          <w:szCs w:val="32"/>
          <w:lang w:val="en-US" w:eastAsia="zh-CN" w:bidi="ar"/>
        </w:rPr>
        <w:t>贯彻落实医疗保险、生育保险、医疗救助等医疗保障法律法规，拟定执行医疗保障自治法规、规范性文件草案的具体办法，拟定全州医疗保障事业发展规划、政策和标准，并组织实施和监督检查。</w:t>
      </w:r>
      <w:r>
        <w:rPr>
          <w:rFonts w:hint="eastAsia" w:ascii="仿宋_GB2312" w:hAnsi="仿宋_GB2312" w:eastAsia="仿宋_GB2312" w:cs="仿宋_GB2312"/>
          <w:b/>
          <w:bCs/>
          <w:kern w:val="0"/>
          <w:sz w:val="32"/>
          <w:szCs w:val="32"/>
          <w:lang w:val="en-US" w:eastAsia="zh-CN" w:bidi="ar"/>
        </w:rPr>
        <w:t>二是</w:t>
      </w:r>
      <w:r>
        <w:rPr>
          <w:rFonts w:hint="eastAsia" w:ascii="仿宋_GB2312" w:hAnsi="仿宋_GB2312" w:eastAsia="仿宋_GB2312" w:cs="仿宋_GB2312"/>
          <w:kern w:val="0"/>
          <w:sz w:val="32"/>
          <w:szCs w:val="32"/>
          <w:lang w:val="en-US" w:eastAsia="zh-CN" w:bidi="ar"/>
        </w:rPr>
        <w:t>组织拟定并</w:t>
      </w:r>
      <w:r>
        <w:rPr>
          <w:rFonts w:hint="eastAsia" w:ascii="仿宋_GB2312" w:hAnsi="仿宋_GB2312" w:eastAsia="仿宋_GB2312" w:cs="仿宋_GB2312"/>
          <w:sz w:val="32"/>
          <w:szCs w:val="32"/>
          <w:lang w:val="en-US" w:eastAsia="zh-CN"/>
        </w:rPr>
        <w:t>实施医疗保障基金监督管理制度，建立健全医疗保障基金安全防控机制，监督强化全州医疗保障基金运行管理。</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组织拟订医疗保障筹资和待遇政策，完善动态调整和区域调剂平衡机制，统筹城乡医疗保障待遇标准，建立健全与筹资水平相适应的待遇调</w:t>
      </w:r>
      <w:r>
        <w:rPr>
          <w:rFonts w:hint="eastAsia" w:ascii="仿宋_GB2312" w:hAnsi="仿宋_GB2312" w:eastAsia="仿宋_GB2312" w:cs="仿宋_GB2312"/>
          <w:sz w:val="32"/>
          <w:szCs w:val="32"/>
          <w:lang w:eastAsia="zh-CN"/>
        </w:rPr>
        <w:t>整机制。组织实施长期护理保险制度改革。</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lang w:eastAsia="zh-CN"/>
        </w:rPr>
        <w:t>贯彻落实全省城乡统一的药品、医用耗材、医疗服务项目、医疗服务设施等医疗保障目录和支付标准并监督管理。拟订全州特殊医用材料、特殊检查和治疗、医院制剂等相关目录和支付标准并监督实施。</w:t>
      </w: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sz w:val="32"/>
          <w:szCs w:val="32"/>
          <w:lang w:eastAsia="zh-CN"/>
        </w:rPr>
        <w:t>贯彻落实药品、医用耗材价格政策并监督管理。组织拟订医疗服务项目、医疗服务设施收费等政策。建立医保支付医药服务价格合理确定和动态调整机制，推动建立市场主导的社会医药服务价格形成机制，建立价格信息监测和信息发布制度。</w:t>
      </w:r>
      <w:r>
        <w:rPr>
          <w:rFonts w:hint="eastAsia" w:ascii="仿宋_GB2312" w:hAnsi="仿宋_GB2312" w:eastAsia="仿宋_GB2312" w:cs="仿宋_GB2312"/>
          <w:b/>
          <w:bCs/>
          <w:sz w:val="32"/>
          <w:szCs w:val="32"/>
          <w:lang w:eastAsia="zh-CN"/>
        </w:rPr>
        <w:t>六是</w:t>
      </w:r>
      <w:r>
        <w:rPr>
          <w:rFonts w:hint="eastAsia" w:ascii="仿宋_GB2312" w:hAnsi="仿宋_GB2312" w:eastAsia="仿宋_GB2312" w:cs="仿宋_GB2312"/>
          <w:sz w:val="32"/>
          <w:szCs w:val="32"/>
          <w:lang w:eastAsia="zh-CN"/>
        </w:rPr>
        <w:t>贯彻落实药品、医用耗材的招标采购政策并监督实施。</w:t>
      </w:r>
      <w:r>
        <w:rPr>
          <w:rFonts w:hint="eastAsia" w:ascii="仿宋_GB2312" w:hAnsi="仿宋_GB2312" w:eastAsia="仿宋_GB2312" w:cs="仿宋_GB2312"/>
          <w:b/>
          <w:bCs/>
          <w:sz w:val="32"/>
          <w:szCs w:val="32"/>
          <w:lang w:eastAsia="zh-CN"/>
        </w:rPr>
        <w:t>七是</w:t>
      </w:r>
      <w:r>
        <w:rPr>
          <w:rFonts w:hint="eastAsia" w:ascii="仿宋_GB2312" w:hAnsi="仿宋_GB2312" w:eastAsia="仿宋_GB2312" w:cs="仿宋_GB2312"/>
          <w:sz w:val="32"/>
          <w:szCs w:val="32"/>
          <w:lang w:eastAsia="zh-CN"/>
        </w:rPr>
        <w:t>推进医疗保障基金支付方式改革，拟订全州定点医药机构服务协议和支付管理办法并组织实施，指导全州医疗保障定点机构管理。建立健全医疗保障信用评价体系和信息披露制度，监督管理纳入医疗保障范围内的医疗服务行为和医疗费用，依法查处医疗保障领域违法违规行为。</w:t>
      </w:r>
      <w:r>
        <w:rPr>
          <w:rFonts w:hint="eastAsia" w:ascii="仿宋_GB2312" w:hAnsi="仿宋_GB2312" w:eastAsia="仿宋_GB2312" w:cs="仿宋_GB2312"/>
          <w:b/>
          <w:bCs/>
          <w:sz w:val="32"/>
          <w:szCs w:val="32"/>
          <w:lang w:eastAsia="zh-CN"/>
        </w:rPr>
        <w:t>八是</w:t>
      </w:r>
      <w:r>
        <w:rPr>
          <w:rFonts w:hint="eastAsia" w:ascii="仿宋_GB2312" w:hAnsi="仿宋_GB2312" w:eastAsia="仿宋_GB2312" w:cs="仿宋_GB2312"/>
          <w:sz w:val="32"/>
          <w:szCs w:val="32"/>
          <w:lang w:eastAsia="zh-CN"/>
        </w:rPr>
        <w:t>负责全州医疗保障经办管理和公共服务体系建设。拟订和完善异地就医管理和费用结算政策。建立健全医疗保障关系转移接续制度。监督管理全州医保经办服务工作。开展医疗保障领域对外合作交流。</w:t>
      </w:r>
      <w:r>
        <w:rPr>
          <w:rFonts w:hint="eastAsia" w:ascii="仿宋_GB2312" w:hAnsi="仿宋_GB2312" w:eastAsia="仿宋_GB2312" w:cs="仿宋_GB2312"/>
          <w:b/>
          <w:bCs/>
          <w:sz w:val="32"/>
          <w:szCs w:val="32"/>
          <w:lang w:eastAsia="zh-CN"/>
        </w:rPr>
        <w:t>九是</w:t>
      </w:r>
      <w:r>
        <w:rPr>
          <w:rFonts w:hint="eastAsia" w:ascii="仿宋_GB2312" w:hAnsi="仿宋_GB2312" w:eastAsia="仿宋_GB2312" w:cs="仿宋_GB2312"/>
          <w:sz w:val="32"/>
          <w:szCs w:val="32"/>
          <w:lang w:eastAsia="zh-CN"/>
        </w:rPr>
        <w:t>负责规划实施全州医疗保障信息化建设。组织开展医疗保障大数据管理和应用。</w:t>
      </w:r>
      <w:r>
        <w:rPr>
          <w:rFonts w:hint="eastAsia" w:ascii="仿宋_GB2312" w:hAnsi="仿宋_GB2312" w:eastAsia="仿宋_GB2312" w:cs="仿宋_GB2312"/>
          <w:b/>
          <w:bCs/>
          <w:sz w:val="32"/>
          <w:szCs w:val="32"/>
          <w:lang w:eastAsia="zh-CN"/>
        </w:rPr>
        <w:t>十是</w:t>
      </w:r>
      <w:r>
        <w:rPr>
          <w:rFonts w:hint="eastAsia" w:ascii="仿宋_GB2312" w:hAnsi="仿宋_GB2312" w:eastAsia="仿宋_GB2312" w:cs="仿宋_GB2312"/>
          <w:sz w:val="32"/>
          <w:szCs w:val="32"/>
          <w:lang w:eastAsia="zh-CN"/>
        </w:rPr>
        <w:t>负责职责范围内的安全生产和职业健康、生态环境保护、公共机构节能减排、审批服务便民化等工作。</w:t>
      </w:r>
      <w:r>
        <w:rPr>
          <w:rFonts w:hint="eastAsia" w:ascii="仿宋_GB2312" w:hAnsi="仿宋_GB2312" w:eastAsia="仿宋_GB2312" w:cs="仿宋_GB2312"/>
          <w:b/>
          <w:bCs/>
          <w:sz w:val="32"/>
          <w:szCs w:val="32"/>
          <w:lang w:eastAsia="zh-CN"/>
        </w:rPr>
        <w:t>十一是</w:t>
      </w:r>
      <w:r>
        <w:rPr>
          <w:rFonts w:hint="eastAsia" w:ascii="仿宋_GB2312" w:hAnsi="仿宋_GB2312" w:eastAsia="仿宋_GB2312" w:cs="仿宋_GB2312"/>
          <w:sz w:val="32"/>
          <w:szCs w:val="32"/>
          <w:lang w:eastAsia="zh-CN"/>
        </w:rPr>
        <w:t>完成州委、州政府交办的其他任务。</w:t>
      </w:r>
      <w:r>
        <w:rPr>
          <w:rFonts w:hint="eastAsia" w:ascii="仿宋_GB2312" w:hAnsi="仿宋_GB2312" w:eastAsia="仿宋_GB2312" w:cs="仿宋_GB2312"/>
          <w:b/>
          <w:bCs/>
          <w:sz w:val="32"/>
          <w:szCs w:val="32"/>
          <w:lang w:eastAsia="zh-CN"/>
        </w:rPr>
        <w:t>十二是</w:t>
      </w:r>
      <w:r>
        <w:rPr>
          <w:rFonts w:hint="eastAsia" w:ascii="仿宋_GB2312" w:hAnsi="仿宋_GB2312" w:eastAsia="仿宋_GB2312" w:cs="仿宋_GB2312"/>
          <w:sz w:val="32"/>
          <w:szCs w:val="32"/>
          <w:lang w:eastAsia="zh-CN"/>
        </w:rPr>
        <w:t>职能转变。完善统一的城乡居民基本医疗保险和大病保险制度，不断提高医疗保障水平，建立健全覆盖全民、城乡统筹的多层次医疗保障体系，确保医疗保障资金合理使用、安全可控，推进医疗、医保、医药“三医联动”改革，更好地保障人民群众就医需求、减轻医药费用负担。</w:t>
      </w:r>
      <w:r>
        <w:rPr>
          <w:rFonts w:hint="eastAsia" w:ascii="仿宋_GB2312" w:hAnsi="仿宋_GB2312" w:eastAsia="仿宋_GB2312" w:cs="仿宋_GB2312"/>
          <w:b/>
          <w:bCs/>
          <w:sz w:val="32"/>
          <w:szCs w:val="32"/>
          <w:lang w:eastAsia="zh-CN"/>
        </w:rPr>
        <w:t>十三是</w:t>
      </w:r>
      <w:r>
        <w:rPr>
          <w:rFonts w:hint="eastAsia" w:ascii="仿宋_GB2312" w:hAnsi="仿宋_GB2312" w:eastAsia="仿宋_GB2312" w:cs="仿宋_GB2312"/>
          <w:sz w:val="32"/>
          <w:szCs w:val="32"/>
          <w:lang w:eastAsia="zh-CN"/>
        </w:rPr>
        <w:t>与州卫生健康委员会的有关职责分工。两部门在医疗、医保、医药等方面加强制度、政策衔接，建立沟通协商机制，协同推进改革，提高医疗资源使用效率和医疗保障水平</w:t>
      </w:r>
    </w:p>
    <w:p>
      <w:pPr>
        <w:keepNext w:val="0"/>
        <w:keepLines w:val="0"/>
        <w:pageBreakBefore w:val="0"/>
        <w:numPr>
          <w:ilvl w:val="0"/>
          <w:numId w:val="0"/>
        </w:numPr>
        <w:kinsoku/>
        <w:wordWrap/>
        <w:overflowPunct/>
        <w:topLinePunct w:val="0"/>
        <w:autoSpaceDE/>
        <w:autoSpaceDN/>
        <w:bidi w:val="0"/>
        <w:adjustRightInd/>
        <w:spacing w:line="560" w:lineRule="exact"/>
        <w:ind w:leftChars="0"/>
        <w:textAlignment w:val="auto"/>
        <w:rPr>
          <w:rFonts w:hint="eastAsia" w:ascii="仿宋_GB2312" w:eastAsia="楷体_GB2312" w:cs="Times New Roman"/>
          <w:sz w:val="32"/>
          <w:szCs w:val="32"/>
          <w:lang w:eastAsia="zh-CN"/>
        </w:rPr>
      </w:pPr>
      <w:r>
        <w:rPr>
          <w:rFonts w:hint="eastAsia" w:ascii="仿宋_GB2312" w:eastAsia="仿宋_GB2312" w:cs="Times New Roman"/>
          <w:sz w:val="32"/>
          <w:szCs w:val="32"/>
          <w:lang w:val="en-US" w:eastAsia="zh-CN"/>
        </w:rPr>
        <w:t xml:space="preserve">   </w:t>
      </w:r>
      <w:r>
        <w:rPr>
          <w:rFonts w:hint="eastAsia" w:ascii="楷体_GB2312" w:hAnsi="楷体_GB2312" w:eastAsia="楷体_GB2312" w:cs="楷体_GB2312"/>
          <w:b/>
          <w:bCs/>
          <w:sz w:val="32"/>
          <w:szCs w:val="32"/>
        </w:rPr>
        <w:t>（二）2022年重点工作</w:t>
      </w:r>
      <w:r>
        <w:rPr>
          <w:rFonts w:hint="eastAsia" w:ascii="楷体_GB2312" w:hAnsi="楷体_GB2312" w:eastAsia="楷体_GB2312" w:cs="楷体_GB2312"/>
          <w:b/>
          <w:bCs/>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精准推进医疗保障脱贫攻坚与实施乡村振兴战略有机衔接。</w:t>
      </w:r>
      <w:r>
        <w:rPr>
          <w:rFonts w:hint="eastAsia" w:ascii="仿宋_GB2312" w:hAnsi="仿宋_GB2312" w:eastAsia="仿宋_GB2312" w:cs="仿宋_GB2312"/>
          <w:sz w:val="32"/>
          <w:szCs w:val="32"/>
        </w:rPr>
        <w:t>按照国家、省部署，进一步筑牢“三道防线”，确保特定困难人群全部纳入基本医保、大病保险、医疗救助三重保障范围，在总结医保扶贫工作的基础上，结合乡村振兴目标构建医保扶贫长效机制,做好医疗保障下半篇文章。</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不断完善基本医保制度。</w:t>
      </w:r>
      <w:r>
        <w:rPr>
          <w:rFonts w:hint="eastAsia" w:ascii="仿宋_GB2312" w:hAnsi="仿宋_GB2312" w:eastAsia="仿宋_GB2312" w:cs="仿宋_GB2312"/>
          <w:sz w:val="32"/>
          <w:szCs w:val="32"/>
        </w:rPr>
        <w:t>全力推动全民参保计划，参保率稳定在93%以上；完善城乡居民、职工医保制度、医疗救助制度，落实国家医疗保障待遇清单管理制度及医疗保障待遇清单。</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加强医保基金管理。</w:t>
      </w:r>
      <w:r>
        <w:rPr>
          <w:rFonts w:hint="eastAsia" w:ascii="仿宋_GB2312" w:hAnsi="仿宋_GB2312" w:eastAsia="仿宋_GB2312" w:cs="仿宋_GB2312"/>
          <w:sz w:val="32"/>
          <w:szCs w:val="32"/>
        </w:rPr>
        <w:t>加强医疗保障基金预算执行监督，全面实施预算绩效管理；深入开展打击医疗机构内外勾结欺诈骗保专项行动，加强定点医疗机构医疗服务的检查、核查、巡查力度，做好医药机构纳入协议管理的评估工作。加强与成都等地的协同监管，强化异地费用的考核与监管。</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推进医药服务供给侧结构性改革</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做好国家组织药品及今后常态化开展的集中采购和使用工作;组织实施高值医用耗材带量采购和非过评药品带量采购;</w:t>
      </w:r>
      <w:r>
        <w:rPr>
          <w:rFonts w:hint="eastAsia" w:ascii="仿宋_GB2312" w:hAnsi="仿宋_GB2312" w:eastAsia="仿宋_GB2312" w:cs="仿宋_GB2312"/>
          <w:sz w:val="32"/>
          <w:szCs w:val="32"/>
          <w:lang w:val="en-US" w:eastAsia="zh-CN"/>
        </w:rPr>
        <w:t>进一步推进</w:t>
      </w:r>
      <w:r>
        <w:rPr>
          <w:rFonts w:hint="eastAsia" w:ascii="仿宋_GB2312" w:hAnsi="仿宋_GB2312" w:eastAsia="仿宋_GB2312" w:cs="仿宋_GB2312"/>
          <w:sz w:val="32"/>
          <w:szCs w:val="32"/>
        </w:rPr>
        <w:t>“5+N”非集采药械议价采购工作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健全医疗服务价格调整机制,重点提高诊疗、手术、护理、中医等体现技术劳务价值的医疗服务价格,推动深化公立医院改革。</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推行医保支付方式改革。</w:t>
      </w:r>
      <w:r>
        <w:rPr>
          <w:rFonts w:hint="eastAsia" w:ascii="仿宋_GB2312" w:hAnsi="仿宋_GB2312" w:eastAsia="仿宋_GB2312" w:cs="仿宋_GB2312"/>
          <w:sz w:val="32"/>
          <w:szCs w:val="32"/>
        </w:rPr>
        <w:t>强化总额预算，探索多元化付费方式改革；积极推进县域内紧密型医共体医保管理改革，推进分级诊疗的落实和结算方式的改变；落实按疾病诊断分组付费方式改革，建立本地结算系统，制定结算制度，强化行业自律和医疗资源合理分配，切实控制医疗费用不合理增长；进一步推进精神类疾病按床日付费，降低精神类疾病患者负担。</w:t>
      </w:r>
    </w:p>
    <w:p>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提升异地就医服务能力。</w:t>
      </w:r>
      <w:r>
        <w:rPr>
          <w:rFonts w:hint="eastAsia" w:ascii="仿宋_GB2312" w:hAnsi="仿宋_GB2312" w:eastAsia="仿宋_GB2312" w:cs="仿宋_GB2312"/>
          <w:sz w:val="32"/>
          <w:szCs w:val="32"/>
        </w:rPr>
        <w:t>推进</w:t>
      </w:r>
      <w:r>
        <w:rPr>
          <w:rFonts w:hint="eastAsia" w:ascii="仿宋_GB2312" w:hAnsi="仿宋_GB2312" w:eastAsia="仿宋_GB2312" w:cs="仿宋_GB2312"/>
          <w:sz w:val="32"/>
          <w:szCs w:val="32"/>
          <w:lang w:val="en-US" w:eastAsia="en-US"/>
        </w:rPr>
        <w:t>全国医疗保障信息平台的应用实践，</w:t>
      </w:r>
      <w:r>
        <w:rPr>
          <w:rFonts w:hint="eastAsia" w:ascii="仿宋_GB2312" w:hAnsi="仿宋_GB2312" w:eastAsia="仿宋_GB2312" w:cs="仿宋_GB2312"/>
          <w:sz w:val="32"/>
          <w:szCs w:val="32"/>
        </w:rPr>
        <w:t>推进服务事项网上办理，推进医保移动支付，完善和优化异地就医备案、结算流程，做实“驻点办公”“不定时上门”等服务方式。</w:t>
      </w:r>
      <w:r>
        <w:rPr>
          <w:rFonts w:hint="eastAsia" w:ascii="仿宋_GB2312" w:hAnsi="仿宋_GB2312" w:eastAsia="仿宋_GB2312" w:cs="仿宋_GB2312"/>
          <w:sz w:val="32"/>
          <w:szCs w:val="32"/>
          <w:lang w:val="en-US" w:eastAsia="zh-CN"/>
        </w:rPr>
        <w:t>不断开展异地就医联网医院扩面，将符合条件的医疗机构接入异地就医直接结算平台，打造“九环线”异地就医服务网络，为州外参保人员提供优质服务。</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lang w:val="en-US" w:eastAsia="zh-CN"/>
        </w:rPr>
        <w:t xml:space="preserve">    </w:t>
      </w:r>
      <w:r>
        <w:rPr>
          <w:rFonts w:hint="eastAsia" w:ascii="黑体" w:eastAsia="黑体"/>
          <w:sz w:val="32"/>
          <w:szCs w:val="32"/>
        </w:rPr>
        <w:t>二、部门预算单位构成</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阿坝州医疗保障局</w:t>
      </w:r>
      <w:r>
        <w:rPr>
          <w:rFonts w:hint="eastAsia" w:ascii="仿宋_GB2312" w:hAnsi="仿宋_GB2312" w:eastAsia="仿宋_GB2312" w:cs="仿宋_GB2312"/>
          <w:sz w:val="32"/>
          <w:szCs w:val="32"/>
        </w:rPr>
        <w:t>属一级预算单位，下属二级预算单位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eastAsia="黑体"/>
          <w:sz w:val="32"/>
          <w:szCs w:val="32"/>
        </w:rPr>
      </w:pPr>
      <w:r>
        <w:rPr>
          <w:rFonts w:hint="eastAsia" w:ascii="黑体" w:eastAsia="黑体"/>
          <w:sz w:val="32"/>
          <w:szCs w:val="32"/>
          <w:lang w:val="en-US" w:eastAsia="zh-CN"/>
        </w:rPr>
        <w:t>三、</w:t>
      </w:r>
      <w:r>
        <w:rPr>
          <w:rFonts w:hint="eastAsia" w:ascii="黑体" w:eastAsia="黑体"/>
          <w:sz w:val="32"/>
          <w:szCs w:val="32"/>
        </w:rPr>
        <w:t>支预算情况说明</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收入预算情况</w:t>
      </w:r>
      <w:r>
        <w:rPr>
          <w:rFonts w:hint="eastAsia" w:ascii="楷体_GB2312" w:hAnsi="楷体_GB2312" w:eastAsia="楷体_GB2312" w:cs="楷体_GB2312"/>
          <w:b/>
          <w:bCs/>
          <w:sz w:val="32"/>
          <w:szCs w:val="32"/>
          <w:lang w:eastAsia="zh-CN"/>
        </w:rPr>
        <w:t>。</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left"/>
        <w:textAlignment w:val="auto"/>
        <w:rPr>
          <w:rFonts w:ascii="仿宋_GB2312" w:eastAsia="仿宋_GB2312"/>
          <w:sz w:val="32"/>
          <w:szCs w:val="32"/>
        </w:rPr>
      </w:pPr>
      <w:r>
        <w:rPr>
          <w:rFonts w:hint="eastAsia" w:ascii="仿宋_GB2312" w:eastAsia="仿宋_GB2312"/>
          <w:sz w:val="32"/>
          <w:szCs w:val="32"/>
          <w:lang w:val="en-US" w:eastAsia="zh-CN"/>
        </w:rPr>
        <w:t>2022年收入预算944.88万元，其中：</w:t>
      </w:r>
      <w:r>
        <w:rPr>
          <w:rFonts w:hint="eastAsia" w:ascii="仿宋_GB2312" w:hAnsi="仿宋_GB2312" w:eastAsia="仿宋_GB2312" w:cs="仿宋_GB2312"/>
          <w:sz w:val="32"/>
          <w:szCs w:val="32"/>
        </w:rPr>
        <w:t>一般公共预算拨款收入</w:t>
      </w:r>
      <w:r>
        <w:rPr>
          <w:rFonts w:hint="eastAsia" w:ascii="仿宋_GB2312" w:hAnsi="仿宋_GB2312" w:eastAsia="仿宋_GB2312" w:cs="仿宋_GB2312"/>
          <w:sz w:val="32"/>
          <w:szCs w:val="32"/>
          <w:lang w:val="en-US" w:eastAsia="zh-CN"/>
        </w:rPr>
        <w:t>944.88万元，占预算总收入100%；</w:t>
      </w:r>
      <w:r>
        <w:rPr>
          <w:rFonts w:hint="eastAsia" w:ascii="仿宋_GB2312" w:eastAsia="仿宋_GB2312"/>
          <w:sz w:val="32"/>
          <w:szCs w:val="32"/>
          <w:lang w:val="en-US" w:eastAsia="zh-CN"/>
        </w:rPr>
        <w:t>政府性基金预算拨款收入0万元，</w:t>
      </w:r>
      <w:r>
        <w:rPr>
          <w:rFonts w:hint="eastAsia" w:ascii="仿宋_GB2312" w:hAnsi="仿宋_GB2312" w:eastAsia="仿宋_GB2312" w:cs="仿宋_GB2312"/>
          <w:sz w:val="32"/>
          <w:szCs w:val="32"/>
          <w:lang w:val="en-US" w:eastAsia="zh-CN"/>
        </w:rPr>
        <w:t>占预算总收入0%</w:t>
      </w:r>
      <w:r>
        <w:rPr>
          <w:rFonts w:hint="eastAsia" w:ascii="仿宋_GB2312" w:eastAsia="仿宋_GB2312"/>
          <w:sz w:val="32"/>
          <w:szCs w:val="32"/>
          <w:lang w:val="en-US" w:eastAsia="zh-CN"/>
        </w:rPr>
        <w:t>；国有资本经营预算拨款收入0万元，</w:t>
      </w:r>
      <w:r>
        <w:rPr>
          <w:rFonts w:hint="eastAsia" w:ascii="仿宋_GB2312" w:hAnsi="仿宋_GB2312" w:eastAsia="仿宋_GB2312" w:cs="仿宋_GB2312"/>
          <w:sz w:val="32"/>
          <w:szCs w:val="32"/>
          <w:lang w:val="en-US" w:eastAsia="zh-CN"/>
        </w:rPr>
        <w:t>占预算总收入0%</w:t>
      </w:r>
      <w:r>
        <w:rPr>
          <w:rFonts w:hint="eastAsia" w:ascii="仿宋_GB2312" w:eastAsia="仿宋_GB2312"/>
          <w:sz w:val="32"/>
          <w:szCs w:val="32"/>
          <w:lang w:val="en-US" w:eastAsia="zh-CN"/>
        </w:rPr>
        <w:t>；事业收入0万元，</w:t>
      </w:r>
      <w:r>
        <w:rPr>
          <w:rFonts w:hint="eastAsia" w:ascii="仿宋_GB2312" w:hAnsi="仿宋_GB2312" w:eastAsia="仿宋_GB2312" w:cs="仿宋_GB2312"/>
          <w:sz w:val="32"/>
          <w:szCs w:val="32"/>
          <w:lang w:val="en-US" w:eastAsia="zh-CN"/>
        </w:rPr>
        <w:t>占预算总收入0%</w:t>
      </w:r>
      <w:r>
        <w:rPr>
          <w:rFonts w:hint="eastAsia" w:ascii="仿宋_GB2312" w:eastAsia="仿宋_GB2312"/>
          <w:sz w:val="32"/>
          <w:szCs w:val="32"/>
          <w:lang w:val="en-US" w:eastAsia="zh-CN"/>
        </w:rPr>
        <w:t>；事业单位经营收入0万元，</w:t>
      </w:r>
      <w:r>
        <w:rPr>
          <w:rFonts w:hint="eastAsia" w:ascii="仿宋_GB2312" w:hAnsi="仿宋_GB2312" w:eastAsia="仿宋_GB2312" w:cs="仿宋_GB2312"/>
          <w:sz w:val="32"/>
          <w:szCs w:val="32"/>
          <w:lang w:val="en-US" w:eastAsia="zh-CN"/>
        </w:rPr>
        <w:t>占预算总收入0%</w:t>
      </w:r>
      <w:r>
        <w:rPr>
          <w:rFonts w:hint="eastAsia" w:ascii="仿宋_GB2312" w:eastAsia="仿宋_GB2312"/>
          <w:sz w:val="32"/>
          <w:szCs w:val="32"/>
          <w:lang w:val="en-US" w:eastAsia="zh-CN"/>
        </w:rPr>
        <w:t>；其他收入0万元，</w:t>
      </w:r>
      <w:r>
        <w:rPr>
          <w:rFonts w:hint="eastAsia" w:ascii="仿宋_GB2312" w:hAnsi="仿宋_GB2312" w:eastAsia="仿宋_GB2312" w:cs="仿宋_GB2312"/>
          <w:sz w:val="32"/>
          <w:szCs w:val="32"/>
          <w:lang w:val="en-US" w:eastAsia="zh-CN"/>
        </w:rPr>
        <w:t>占预算总收入0%</w:t>
      </w:r>
      <w:r>
        <w:rPr>
          <w:rFonts w:hint="eastAsia" w:ascii="仿宋_GB2312" w:eastAsia="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（二）支出预算情况。</w:t>
      </w:r>
    </w:p>
    <w:p>
      <w:pPr>
        <w:pStyle w:val="2"/>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lang w:eastAsia="zh-CN"/>
        </w:rPr>
      </w:pPr>
      <w:r>
        <w:rPr>
          <w:rFonts w:hint="eastAsia" w:ascii="仿宋_GB2312" w:eastAsia="仿宋_GB2312"/>
          <w:sz w:val="32"/>
          <w:szCs w:val="32"/>
          <w:lang w:val="en-US" w:eastAsia="zh-CN"/>
        </w:rPr>
        <w:t>2022年支出预算944.88万元，其中：</w:t>
      </w:r>
      <w:r>
        <w:rPr>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lang w:val="en-US" w:eastAsia="zh-CN"/>
        </w:rPr>
        <w:t>87.06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占预算总支出9.21%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793.76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占预算总支出84.01%；</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64.07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占预算总支出6.78%</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pacing w:line="560" w:lineRule="exact"/>
        <w:textAlignment w:val="auto"/>
        <w:rPr>
          <w:rFonts w:hint="eastAsia" w:ascii="黑体" w:eastAsia="黑体"/>
          <w:sz w:val="32"/>
          <w:szCs w:val="32"/>
          <w:lang w:eastAsia="zh-CN"/>
        </w:rPr>
      </w:pPr>
      <w:r>
        <w:rPr>
          <w:rFonts w:hint="eastAsia" w:ascii="黑体" w:eastAsia="黑体"/>
          <w:sz w:val="32"/>
          <w:szCs w:val="32"/>
          <w:lang w:val="en-US" w:eastAsia="zh-CN"/>
        </w:rPr>
        <w:t xml:space="preserve">    </w:t>
      </w:r>
      <w:r>
        <w:rPr>
          <w:rFonts w:hint="eastAsia" w:ascii="黑体" w:eastAsia="黑体"/>
          <w:sz w:val="32"/>
          <w:szCs w:val="32"/>
        </w:rPr>
        <w:t>四、财政拨款收支预算情况说明</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ascii="ˎ̥" w:hAnsi="ˎ̥" w:cs="宋体"/>
          <w:sz w:val="16"/>
        </w:rPr>
        <w:t>　</w:t>
      </w:r>
      <w:r>
        <w:rPr>
          <w:rFonts w:hint="eastAsia" w:ascii="ˎ̥" w:hAnsi="ˎ̥" w:cs="宋体"/>
          <w:sz w:val="16"/>
          <w:lang w:val="en-US" w:eastAsia="zh-CN"/>
        </w:rPr>
        <w:t xml:space="preserve">      </w:t>
      </w:r>
      <w:r>
        <w:rPr>
          <w:rFonts w:hint="eastAsia" w:ascii="仿宋_GB2312" w:eastAsia="仿宋_GB2312"/>
          <w:sz w:val="32"/>
          <w:szCs w:val="32"/>
        </w:rPr>
        <w:t>2022年财政拨款收支总预算</w:t>
      </w:r>
      <w:r>
        <w:rPr>
          <w:rFonts w:hint="eastAsia" w:ascii="仿宋_GB2312" w:eastAsia="仿宋_GB2312"/>
          <w:sz w:val="32"/>
          <w:szCs w:val="32"/>
          <w:lang w:val="en-US" w:eastAsia="zh-CN"/>
        </w:rPr>
        <w:t>944.88</w:t>
      </w:r>
      <w:r>
        <w:rPr>
          <w:rFonts w:hint="eastAsia" w:ascii="仿宋_GB2312" w:eastAsia="仿宋_GB2312"/>
          <w:sz w:val="32"/>
          <w:szCs w:val="32"/>
        </w:rPr>
        <w:t>万元,比2021年财政拨款收支总预算减少</w:t>
      </w:r>
      <w:r>
        <w:rPr>
          <w:rFonts w:hint="eastAsia" w:ascii="仿宋_GB2312" w:eastAsia="仿宋_GB2312"/>
          <w:sz w:val="32"/>
          <w:szCs w:val="32"/>
          <w:lang w:val="en-US" w:eastAsia="zh-CN"/>
        </w:rPr>
        <w:t>148.58</w:t>
      </w:r>
      <w:r>
        <w:rPr>
          <w:rFonts w:hint="eastAsia" w:ascii="仿宋_GB2312" w:eastAsia="仿宋_GB2312"/>
          <w:sz w:val="32"/>
          <w:szCs w:val="32"/>
        </w:rPr>
        <w:t>万元，主要原因:</w:t>
      </w:r>
      <w:r>
        <w:rPr>
          <w:rFonts w:hint="eastAsia" w:ascii="仿宋_GB2312" w:eastAsia="仿宋_GB2312"/>
          <w:sz w:val="32"/>
          <w:szCs w:val="32"/>
          <w:lang w:val="en-US" w:eastAsia="zh-CN"/>
        </w:rPr>
        <w:t>一是因</w:t>
      </w:r>
      <w:r>
        <w:rPr>
          <w:rFonts w:hint="eastAsia" w:ascii="仿宋_GB2312" w:hAnsi="仿宋_GB2312" w:eastAsia="仿宋_GB2312" w:cs="仿宋_GB2312"/>
          <w:sz w:val="32"/>
          <w:szCs w:val="32"/>
          <w:highlight w:val="none"/>
          <w:lang w:val="en-US" w:eastAsia="zh-CN"/>
        </w:rPr>
        <w:t>2022年职工工资基数、社保基数、公积金基数增加</w:t>
      </w:r>
      <w:r>
        <w:rPr>
          <w:rFonts w:hint="eastAsia" w:ascii="仿宋_GB2312" w:eastAsia="仿宋_GB2312"/>
          <w:sz w:val="32"/>
          <w:szCs w:val="32"/>
          <w:lang w:val="en-US" w:eastAsia="zh-CN"/>
        </w:rPr>
        <w:t>和人员增加使基本支出预算增加31.66万元；二是项目支出预算减少180.24万元。</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left"/>
        <w:textAlignment w:val="auto"/>
        <w:rPr>
          <w:rFonts w:ascii="仿宋_GB2312" w:eastAsia="仿宋_GB2312"/>
          <w:sz w:val="32"/>
          <w:szCs w:val="32"/>
        </w:rPr>
      </w:pPr>
      <w:r>
        <w:rPr>
          <w:rFonts w:hint="eastAsia" w:ascii="仿宋_GB2312" w:eastAsia="仿宋_GB2312" w:cs="仿宋_GB2312"/>
          <w:sz w:val="32"/>
          <w:szCs w:val="32"/>
        </w:rPr>
        <w:t>收入包括：</w:t>
      </w:r>
      <w:r>
        <w:rPr>
          <w:rFonts w:hint="eastAsia" w:ascii="仿宋_GB2312" w:hAnsi="仿宋_GB2312" w:eastAsia="仿宋_GB2312" w:cs="仿宋_GB2312"/>
          <w:sz w:val="32"/>
          <w:szCs w:val="32"/>
        </w:rPr>
        <w:t>一般公共预算拨款收入</w:t>
      </w:r>
      <w:r>
        <w:rPr>
          <w:rFonts w:hint="eastAsia" w:ascii="仿宋_GB2312" w:hAnsi="仿宋_GB2312" w:eastAsia="仿宋_GB2312" w:cs="仿宋_GB2312"/>
          <w:sz w:val="32"/>
          <w:szCs w:val="32"/>
          <w:lang w:val="en-US" w:eastAsia="zh-CN"/>
        </w:rPr>
        <w:t>944.88万元。</w:t>
      </w:r>
    </w:p>
    <w:p>
      <w:pPr>
        <w:pStyle w:val="2"/>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lang w:eastAsia="zh-CN"/>
        </w:rPr>
      </w:pPr>
      <w:r>
        <w:rPr>
          <w:rFonts w:hint="eastAsia" w:ascii="仿宋_GB2312" w:eastAsia="仿宋_GB2312" w:cs="仿宋_GB2312"/>
          <w:sz w:val="32"/>
          <w:szCs w:val="32"/>
        </w:rPr>
        <w:t>支出包括：</w:t>
      </w:r>
      <w:r>
        <w:rPr>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lang w:val="en-US" w:eastAsia="zh-CN"/>
        </w:rPr>
        <w:t>87.06</w:t>
      </w:r>
      <w:r>
        <w:rPr>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2"/>
          <w:lang w:val="en-US" w:eastAsia="zh-CN"/>
        </w:rPr>
        <w:t>793.76</w:t>
      </w:r>
      <w:r>
        <w:rPr>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2"/>
          <w:lang w:val="en-US" w:eastAsia="zh-CN"/>
        </w:rPr>
        <w:t>64.07</w:t>
      </w:r>
      <w:r>
        <w:rPr>
          <w:rFonts w:hint="eastAsia" w:ascii="仿宋_GB2312" w:hAnsi="仿宋_GB2312" w:eastAsia="仿宋_GB2312" w:cs="仿宋_GB2312"/>
          <w:sz w:val="32"/>
          <w:szCs w:val="32"/>
        </w:rPr>
        <w:t>万元。</w:t>
      </w:r>
    </w:p>
    <w:p>
      <w:pPr>
        <w:keepNext w:val="0"/>
        <w:keepLines w:val="0"/>
        <w:pageBreakBefore w:val="0"/>
        <w:kinsoku/>
        <w:wordWrap/>
        <w:overflowPunct/>
        <w:topLinePunct w:val="0"/>
        <w:autoSpaceDE/>
        <w:autoSpaceDN/>
        <w:bidi w:val="0"/>
        <w:adjustRightInd/>
        <w:spacing w:line="560" w:lineRule="exact"/>
        <w:textAlignment w:val="auto"/>
        <w:rPr>
          <w:rFonts w:ascii="黑体" w:eastAsia="黑体"/>
          <w:sz w:val="32"/>
          <w:szCs w:val="32"/>
        </w:rPr>
      </w:pPr>
      <w:r>
        <w:rPr>
          <w:rFonts w:hint="eastAsia" w:ascii="黑体" w:eastAsia="黑体"/>
          <w:sz w:val="32"/>
          <w:szCs w:val="32"/>
          <w:lang w:val="en-US" w:eastAsia="zh-CN"/>
        </w:rPr>
        <w:t xml:space="preserve">    </w:t>
      </w:r>
      <w:r>
        <w:rPr>
          <w:rFonts w:hint="eastAsia" w:ascii="黑体" w:eastAsia="黑体"/>
          <w:sz w:val="32"/>
          <w:szCs w:val="32"/>
        </w:rPr>
        <w:t>五、一般公共预算当年拨款情况说明</w:t>
      </w:r>
    </w:p>
    <w:p>
      <w:pPr>
        <w:pStyle w:val="13"/>
        <w:keepNext w:val="0"/>
        <w:keepLines w:val="0"/>
        <w:pageBreakBefore w:val="0"/>
        <w:kinsoku/>
        <w:wordWrap/>
        <w:overflowPunct/>
        <w:topLinePunct w:val="0"/>
        <w:autoSpaceDE/>
        <w:autoSpaceDN/>
        <w:bidi w:val="0"/>
        <w:adjustRightInd/>
        <w:spacing w:before="0" w:line="560" w:lineRule="exact"/>
        <w:ind w:firstLine="660"/>
        <w:textAlignment w:val="auto"/>
        <w:rPr>
          <w:rFonts w:cs="仿宋_GB2312"/>
          <w:kern w:val="2"/>
          <w:sz w:val="32"/>
          <w:szCs w:val="32"/>
        </w:rPr>
      </w:pPr>
      <w:r>
        <w:rPr>
          <w:rFonts w:hint="eastAsia" w:ascii="楷体_GB2312" w:hAnsi="楷体_GB2312" w:eastAsia="楷体_GB2312" w:cs="楷体_GB2312"/>
          <w:b/>
          <w:bCs/>
          <w:kern w:val="2"/>
          <w:sz w:val="32"/>
          <w:szCs w:val="32"/>
        </w:rPr>
        <w:t>（一）一般公共预算当年拨款规模变化情况</w:t>
      </w:r>
      <w:r>
        <w:rPr>
          <w:rFonts w:hint="eastAsia" w:ascii="楷体_GB2312" w:hAnsi="楷体_GB2312" w:eastAsia="楷体_GB2312" w:cs="楷体_GB2312"/>
          <w:b/>
          <w:bCs/>
          <w:kern w:val="2"/>
          <w:sz w:val="32"/>
          <w:szCs w:val="32"/>
          <w:lang w:eastAsia="zh-CN"/>
        </w:rPr>
        <w:t>。</w:t>
      </w:r>
      <w:r>
        <w:rPr>
          <w:rFonts w:hint="eastAsia" w:ascii="仿宋_GB2312" w:hAnsi="仿宋_GB2312" w:eastAsia="仿宋_GB2312" w:cs="仿宋_GB2312"/>
          <w:sz w:val="32"/>
          <w:szCs w:val="32"/>
        </w:rPr>
        <w:t>2022年一般公共预算当年拨款</w:t>
      </w:r>
      <w:r>
        <w:rPr>
          <w:rFonts w:hint="eastAsia" w:ascii="仿宋_GB2312" w:hAnsi="仿宋_GB2312" w:eastAsia="仿宋_GB2312" w:cs="仿宋_GB2312"/>
          <w:sz w:val="32"/>
          <w:szCs w:val="32"/>
          <w:lang w:val="en-US" w:eastAsia="zh-CN"/>
        </w:rPr>
        <w:t>944.88</w:t>
      </w:r>
      <w:r>
        <w:rPr>
          <w:rFonts w:hint="eastAsia" w:ascii="仿宋_GB2312" w:hAnsi="仿宋_GB2312" w:eastAsia="仿宋_GB2312" w:cs="仿宋_GB2312"/>
          <w:sz w:val="32"/>
          <w:szCs w:val="32"/>
        </w:rPr>
        <w:t>万元，比2021年预算数减少</w:t>
      </w:r>
      <w:r>
        <w:rPr>
          <w:rFonts w:hint="eastAsia" w:ascii="仿宋_GB2312" w:hAnsi="仿宋_GB2312" w:eastAsia="仿宋_GB2312" w:cs="仿宋_GB2312"/>
          <w:sz w:val="32"/>
          <w:szCs w:val="32"/>
          <w:lang w:val="en-US" w:eastAsia="zh-CN"/>
        </w:rPr>
        <w:t>148.58</w:t>
      </w:r>
      <w:r>
        <w:rPr>
          <w:rFonts w:hint="eastAsia" w:ascii="仿宋_GB2312" w:hAnsi="仿宋_GB2312" w:eastAsia="仿宋_GB2312" w:cs="仿宋_GB2312"/>
          <w:sz w:val="32"/>
          <w:szCs w:val="32"/>
        </w:rPr>
        <w:t>万元，主要原因</w:t>
      </w:r>
      <w:r>
        <w:rPr>
          <w:rFonts w:hint="eastAsia" w:ascii="仿宋_GB2312" w:eastAsia="仿宋_GB2312"/>
          <w:sz w:val="32"/>
          <w:szCs w:val="32"/>
        </w:rPr>
        <w:t>:</w:t>
      </w:r>
      <w:r>
        <w:rPr>
          <w:rFonts w:hint="eastAsia" w:ascii="仿宋_GB2312" w:eastAsia="仿宋_GB2312"/>
          <w:sz w:val="32"/>
          <w:szCs w:val="32"/>
          <w:lang w:val="en-US" w:eastAsia="zh-CN"/>
        </w:rPr>
        <w:t>一是因</w:t>
      </w:r>
      <w:r>
        <w:rPr>
          <w:rFonts w:hint="eastAsia" w:ascii="仿宋_GB2312" w:hAnsi="仿宋_GB2312" w:eastAsia="仿宋_GB2312" w:cs="仿宋_GB2312"/>
          <w:sz w:val="32"/>
          <w:szCs w:val="32"/>
          <w:highlight w:val="none"/>
          <w:lang w:val="en-US" w:eastAsia="zh-CN"/>
        </w:rPr>
        <w:t>2022年职工工资基数、社保基数、公积金基数增加</w:t>
      </w:r>
      <w:r>
        <w:rPr>
          <w:rFonts w:hint="eastAsia" w:ascii="仿宋_GB2312" w:eastAsia="仿宋_GB2312"/>
          <w:sz w:val="32"/>
          <w:szCs w:val="32"/>
          <w:lang w:val="en-US" w:eastAsia="zh-CN"/>
        </w:rPr>
        <w:t>和人员增加使基本支出预算增加31.66万元；二是项目支出预算减少180.24万元。</w:t>
      </w:r>
    </w:p>
    <w:p>
      <w:pPr>
        <w:pStyle w:val="13"/>
        <w:keepNext w:val="0"/>
        <w:keepLines w:val="0"/>
        <w:pageBreakBefore w:val="0"/>
        <w:kinsoku/>
        <w:wordWrap/>
        <w:overflowPunct/>
        <w:topLinePunct w:val="0"/>
        <w:autoSpaceDE/>
        <w:autoSpaceDN/>
        <w:bidi w:val="0"/>
        <w:adjustRightInd/>
        <w:spacing w:before="0" w:line="560" w:lineRule="exact"/>
        <w:ind w:firstLine="660"/>
        <w:textAlignment w:val="auto"/>
        <w:rPr>
          <w:rFonts w:hint="eastAsia" w:eastAsia="仿宋_GB2312" w:cs="仿宋_GB2312"/>
          <w:kern w:val="2"/>
          <w:sz w:val="32"/>
          <w:szCs w:val="32"/>
          <w:lang w:eastAsia="zh-CN"/>
        </w:rPr>
      </w:pPr>
      <w:r>
        <w:rPr>
          <w:rFonts w:hint="eastAsia" w:ascii="楷体_GB2312" w:hAnsi="楷体_GB2312" w:eastAsia="楷体_GB2312" w:cs="楷体_GB2312"/>
          <w:b/>
          <w:bCs/>
          <w:kern w:val="2"/>
          <w:sz w:val="32"/>
          <w:szCs w:val="32"/>
        </w:rPr>
        <w:t>（二）一般公共预算当年拨款结构情况</w:t>
      </w:r>
      <w:r>
        <w:rPr>
          <w:rFonts w:hint="eastAsia" w:ascii="楷体_GB2312" w:hAnsi="楷体_GB2312" w:eastAsia="楷体_GB2312" w:cs="楷体_GB2312"/>
          <w:b/>
          <w:bCs/>
          <w:kern w:val="2"/>
          <w:sz w:val="32"/>
          <w:szCs w:val="32"/>
          <w:lang w:eastAsia="zh-CN"/>
        </w:rPr>
        <w:t>。</w:t>
      </w:r>
      <w:r>
        <w:rPr>
          <w:rFonts w:hint="eastAsia" w:cs="宋体"/>
          <w:sz w:val="32"/>
          <w:szCs w:val="32"/>
        </w:rPr>
        <w:t>社会保障和就业支出</w:t>
      </w:r>
      <w:r>
        <w:rPr>
          <w:rFonts w:hint="eastAsia" w:cs="宋体"/>
          <w:sz w:val="32"/>
          <w:szCs w:val="32"/>
          <w:lang w:val="en-US" w:eastAsia="zh-CN"/>
        </w:rPr>
        <w:t>87.06</w:t>
      </w:r>
      <w:r>
        <w:rPr>
          <w:rFonts w:hint="eastAsia" w:cs="宋体"/>
          <w:sz w:val="32"/>
          <w:szCs w:val="32"/>
        </w:rPr>
        <w:t>万元，占</w:t>
      </w:r>
      <w:r>
        <w:rPr>
          <w:rFonts w:hint="eastAsia" w:cs="宋体"/>
          <w:sz w:val="32"/>
          <w:szCs w:val="32"/>
          <w:lang w:val="en-US" w:eastAsia="zh-CN"/>
        </w:rPr>
        <w:t>9.21</w:t>
      </w:r>
      <w:r>
        <w:rPr>
          <w:rFonts w:hint="eastAsia" w:cs="宋体"/>
          <w:sz w:val="32"/>
          <w:szCs w:val="32"/>
        </w:rPr>
        <w:t>%；</w:t>
      </w:r>
      <w:r>
        <w:rPr>
          <w:rFonts w:hint="eastAsia" w:cs="宋体"/>
          <w:sz w:val="32"/>
          <w:szCs w:val="32"/>
          <w:lang w:val="en-US" w:eastAsia="zh-CN"/>
        </w:rPr>
        <w:t>卫生健康支出793.76</w:t>
      </w:r>
      <w:r>
        <w:rPr>
          <w:rFonts w:hint="eastAsia" w:cs="宋体"/>
          <w:sz w:val="32"/>
          <w:szCs w:val="32"/>
        </w:rPr>
        <w:t>万元，占</w:t>
      </w:r>
      <w:r>
        <w:rPr>
          <w:rFonts w:hint="eastAsia" w:cs="宋体"/>
          <w:sz w:val="32"/>
          <w:szCs w:val="32"/>
          <w:lang w:val="en-US" w:eastAsia="zh-CN"/>
        </w:rPr>
        <w:t>84.01</w:t>
      </w:r>
      <w:r>
        <w:rPr>
          <w:rFonts w:hint="eastAsia" w:cs="宋体"/>
          <w:sz w:val="32"/>
          <w:szCs w:val="32"/>
        </w:rPr>
        <w:t>%；住房保障支出</w:t>
      </w:r>
      <w:r>
        <w:rPr>
          <w:rFonts w:hint="eastAsia" w:cs="宋体"/>
          <w:sz w:val="32"/>
          <w:szCs w:val="32"/>
          <w:lang w:val="en-US" w:eastAsia="zh-CN"/>
        </w:rPr>
        <w:t>64.07</w:t>
      </w:r>
      <w:r>
        <w:rPr>
          <w:rFonts w:hint="eastAsia" w:cs="宋体"/>
          <w:sz w:val="32"/>
          <w:szCs w:val="32"/>
        </w:rPr>
        <w:t>万元，占</w:t>
      </w:r>
      <w:r>
        <w:rPr>
          <w:rFonts w:hint="eastAsia" w:cs="宋体"/>
          <w:sz w:val="32"/>
          <w:szCs w:val="32"/>
          <w:lang w:val="en-US" w:eastAsia="zh-CN"/>
        </w:rPr>
        <w:t>6.78</w:t>
      </w:r>
      <w:r>
        <w:rPr>
          <w:rFonts w:hint="eastAsia" w:cs="宋体"/>
          <w:sz w:val="32"/>
          <w:szCs w:val="32"/>
        </w:rPr>
        <w:t>%</w:t>
      </w:r>
      <w:r>
        <w:rPr>
          <w:rFonts w:hint="eastAsia" w:cs="宋体"/>
          <w:sz w:val="32"/>
          <w:szCs w:val="32"/>
          <w:lang w:val="en-US" w:eastAsia="zh-CN"/>
        </w:rPr>
        <w:t>。</w:t>
      </w:r>
    </w:p>
    <w:p>
      <w:pPr>
        <w:pStyle w:val="13"/>
        <w:keepNext w:val="0"/>
        <w:keepLines w:val="0"/>
        <w:pageBreakBefore w:val="0"/>
        <w:kinsoku/>
        <w:wordWrap/>
        <w:overflowPunct/>
        <w:topLinePunct w:val="0"/>
        <w:autoSpaceDE/>
        <w:autoSpaceDN/>
        <w:bidi w:val="0"/>
        <w:adjustRightInd/>
        <w:spacing w:before="0" w:line="560" w:lineRule="exact"/>
        <w:ind w:firstLine="660"/>
        <w:textAlignment w:val="auto"/>
        <w:rPr>
          <w:rFonts w:hint="eastAsia" w:ascii="楷体_GB2312" w:hAnsi="楷体_GB2312" w:eastAsia="楷体_GB2312" w:cs="楷体_GB2312"/>
          <w:b/>
          <w:bCs/>
          <w:kern w:val="2"/>
          <w:sz w:val="32"/>
          <w:szCs w:val="32"/>
          <w:lang w:eastAsia="zh-CN"/>
        </w:rPr>
      </w:pPr>
      <w:r>
        <w:rPr>
          <w:rFonts w:hint="eastAsia" w:ascii="楷体_GB2312" w:hAnsi="楷体_GB2312" w:eastAsia="楷体_GB2312" w:cs="楷体_GB2312"/>
          <w:b/>
          <w:bCs/>
          <w:kern w:val="2"/>
          <w:sz w:val="32"/>
          <w:szCs w:val="32"/>
          <w:lang w:val="en-US" w:eastAsia="zh-CN"/>
        </w:rPr>
        <w:t>（三）一</w:t>
      </w:r>
      <w:r>
        <w:rPr>
          <w:rFonts w:hint="eastAsia" w:ascii="楷体_GB2312" w:hAnsi="楷体_GB2312" w:eastAsia="楷体_GB2312" w:cs="楷体_GB2312"/>
          <w:b/>
          <w:bCs/>
          <w:kern w:val="2"/>
          <w:sz w:val="32"/>
          <w:szCs w:val="32"/>
        </w:rPr>
        <w:t>般公共预算当年拨款具体使用情况</w:t>
      </w:r>
      <w:r>
        <w:rPr>
          <w:rFonts w:hint="eastAsia" w:ascii="楷体_GB2312" w:hAnsi="楷体_GB2312" w:eastAsia="楷体_GB2312" w:cs="楷体_GB2312"/>
          <w:b/>
          <w:bCs/>
          <w:kern w:val="2"/>
          <w:sz w:val="32"/>
          <w:szCs w:val="32"/>
          <w:lang w:eastAsia="zh-CN"/>
        </w:rPr>
        <w:t>。</w:t>
      </w:r>
    </w:p>
    <w:p>
      <w:pPr>
        <w:pStyle w:val="13"/>
        <w:keepNext w:val="0"/>
        <w:keepLines w:val="0"/>
        <w:pageBreakBefore w:val="0"/>
        <w:kinsoku/>
        <w:wordWrap/>
        <w:overflowPunct/>
        <w:topLinePunct w:val="0"/>
        <w:autoSpaceDE/>
        <w:autoSpaceDN/>
        <w:bidi w:val="0"/>
        <w:adjustRightInd/>
        <w:spacing w:before="0" w:line="560" w:lineRule="exact"/>
        <w:ind w:firstLine="66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1．社会保障和就业支出（类）行政事业单位养老支出（款）机</w:t>
      </w:r>
      <w:r>
        <w:rPr>
          <w:rFonts w:hint="eastAsia" w:ascii="仿宋_GB2312" w:hAnsi="仿宋_GB2312" w:eastAsia="仿宋_GB2312" w:cs="仿宋_GB2312"/>
          <w:sz w:val="32"/>
          <w:szCs w:val="32"/>
        </w:rPr>
        <w:t>关事业单位基本养老保险缴费支出（项目）20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62.19</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职工单位部分</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2．社会保障和就业支出（类）行政事业单位养老支出（款）机关事业单位职业年金缴费支出（项目）20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24.87</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职工单位部分</w:t>
      </w:r>
      <w:r>
        <w:rPr>
          <w:rFonts w:hint="eastAsia" w:ascii="仿宋_GB2312" w:hAnsi="仿宋_GB2312" w:eastAsia="仿宋_GB2312" w:cs="仿宋_GB2312"/>
          <w:sz w:val="32"/>
          <w:szCs w:val="32"/>
        </w:rPr>
        <w:t>机关事业单位职业年金缴费</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3．卫生健康支出（类）行政事业单位医疗（款）行政单位医疗（项目）20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23.83</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职工单位部分</w:t>
      </w:r>
      <w:r>
        <w:rPr>
          <w:rFonts w:hint="eastAsia" w:ascii="仿宋_GB2312" w:hAnsi="仿宋_GB2312" w:eastAsia="仿宋_GB2312" w:cs="仿宋_GB2312"/>
          <w:sz w:val="32"/>
          <w:szCs w:val="32"/>
        </w:rPr>
        <w:t>行政单位医疗缴费</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4．卫生健康支出（类）行政事业单位医疗（款）公务员医疗补助（项目）20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6.03</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w:t>
      </w:r>
      <w:r>
        <w:rPr>
          <w:rFonts w:hint="eastAsia" w:ascii="仿宋_GB2312" w:hAnsi="仿宋_GB2312" w:eastAsia="仿宋_GB2312" w:cs="仿宋_GB2312"/>
          <w:sz w:val="32"/>
          <w:szCs w:val="32"/>
        </w:rPr>
        <w:t>公务员医疗补助缴费</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卫生健康支出（类）医疗保障管理事务（款）</w:t>
      </w:r>
      <w:r>
        <w:rPr>
          <w:rFonts w:hint="eastAsia" w:ascii="仿宋_GB2312" w:hAnsi="仿宋_GB2312" w:eastAsia="仿宋_GB2312" w:cs="仿宋_GB2312"/>
          <w:sz w:val="32"/>
          <w:szCs w:val="32"/>
          <w:lang w:val="en-US" w:eastAsia="zh-CN"/>
        </w:rPr>
        <w:t>行政运行</w:t>
      </w:r>
      <w:r>
        <w:rPr>
          <w:rFonts w:hint="eastAsia" w:ascii="仿宋_GB2312" w:hAnsi="仿宋_GB2312" w:eastAsia="仿宋_GB2312" w:cs="仿宋_GB2312"/>
          <w:sz w:val="32"/>
          <w:szCs w:val="32"/>
        </w:rPr>
        <w:t>（项目）20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561.64</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职工工资福利性支出、商品服务支出、对个人和家庭补助支出。</w:t>
      </w:r>
    </w:p>
    <w:p>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住房保障支出（类）住房改革支出（款）住房公积金（项目）20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年预算数为</w:t>
      </w:r>
      <w:r>
        <w:rPr>
          <w:rFonts w:hint="eastAsia" w:ascii="仿宋_GB2312" w:hAnsi="仿宋_GB2312" w:eastAsia="仿宋_GB2312" w:cs="仿宋_GB2312"/>
          <w:sz w:val="32"/>
          <w:szCs w:val="32"/>
          <w:lang w:val="en-US" w:eastAsia="zh-CN"/>
        </w:rPr>
        <w:t>64.07</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职工单位部分</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缴费支出</w:t>
      </w:r>
      <w:r>
        <w:rPr>
          <w:rFonts w:hint="eastAsia" w:ascii="仿宋_GB2312" w:hAnsi="仿宋_GB2312" w:eastAsia="仿宋_GB2312" w:cs="仿宋_GB2312"/>
          <w:sz w:val="32"/>
          <w:szCs w:val="32"/>
          <w:lang w:eastAsia="zh-CN"/>
        </w:rPr>
        <w:t>。</w:t>
      </w:r>
    </w:p>
    <w:p>
      <w:pPr>
        <w:pStyle w:val="13"/>
        <w:keepNext w:val="0"/>
        <w:keepLines w:val="0"/>
        <w:pageBreakBefore w:val="0"/>
        <w:numPr>
          <w:ilvl w:val="0"/>
          <w:numId w:val="0"/>
        </w:numPr>
        <w:kinsoku/>
        <w:wordWrap/>
        <w:overflowPunct/>
        <w:topLinePunct w:val="0"/>
        <w:autoSpaceDE/>
        <w:autoSpaceDN/>
        <w:bidi w:val="0"/>
        <w:adjustRightInd/>
        <w:spacing w:before="0" w:line="560" w:lineRule="exact"/>
        <w:ind w:firstLine="640" w:firstLineChars="200"/>
        <w:textAlignment w:val="auto"/>
        <w:rPr>
          <w:rFonts w:hint="default" w:eastAsia="仿宋_GB2312" w:cs="宋体"/>
          <w:sz w:val="32"/>
          <w:szCs w:val="32"/>
          <w:lang w:val="en-US" w:eastAsia="zh-CN"/>
        </w:rPr>
      </w:pPr>
      <w:r>
        <w:rPr>
          <w:rFonts w:hint="eastAsia" w:cs="宋体"/>
          <w:sz w:val="32"/>
          <w:szCs w:val="32"/>
          <w:lang w:val="en-US" w:eastAsia="zh-CN"/>
        </w:rPr>
        <w:t>7.</w:t>
      </w:r>
      <w:r>
        <w:rPr>
          <w:rFonts w:hint="eastAsia" w:ascii="仿宋_GB2312" w:hAnsi="仿宋_GB2312" w:eastAsia="仿宋_GB2312" w:cs="仿宋_GB2312"/>
          <w:sz w:val="32"/>
          <w:szCs w:val="32"/>
        </w:rPr>
        <w:t>卫生健康支出（类）医疗保障管理事务（款）</w:t>
      </w:r>
      <w:r>
        <w:rPr>
          <w:rFonts w:hint="eastAsia" w:cs="宋体"/>
          <w:sz w:val="32"/>
          <w:szCs w:val="32"/>
          <w:lang w:val="en-US" w:eastAsia="zh-CN"/>
        </w:rPr>
        <w:t>一般行政管理事务</w:t>
      </w:r>
      <w:r>
        <w:rPr>
          <w:rFonts w:hint="eastAsia" w:ascii="仿宋_GB2312" w:hAnsi="仿宋_GB2312" w:eastAsia="仿宋_GB2312" w:cs="仿宋_GB2312"/>
          <w:sz w:val="32"/>
          <w:szCs w:val="32"/>
        </w:rPr>
        <w:t>（项目）</w:t>
      </w:r>
      <w:r>
        <w:rPr>
          <w:rFonts w:hint="eastAsia" w:cs="宋体"/>
          <w:sz w:val="32"/>
          <w:szCs w:val="32"/>
          <w:lang w:val="en-US" w:eastAsia="zh-CN"/>
        </w:rPr>
        <w:t>27.86万元，</w:t>
      </w:r>
      <w:r>
        <w:rPr>
          <w:rFonts w:hint="eastAsia" w:ascii="仿宋_GB2312" w:hAnsi="仿宋_GB2312" w:eastAsia="仿宋_GB2312" w:cs="仿宋_GB2312"/>
          <w:sz w:val="32"/>
          <w:szCs w:val="32"/>
        </w:rPr>
        <w:t>主要用于</w:t>
      </w:r>
      <w:r>
        <w:rPr>
          <w:rFonts w:hint="eastAsia" w:hAnsi="仿宋_GB2312" w:cs="仿宋_GB2312"/>
          <w:sz w:val="32"/>
          <w:szCs w:val="32"/>
          <w:lang w:eastAsia="zh-CN"/>
        </w:rPr>
        <w:t>：</w:t>
      </w:r>
      <w:r>
        <w:rPr>
          <w:rFonts w:hint="eastAsia" w:hAnsi="仿宋_GB2312" w:cs="仿宋_GB2312"/>
          <w:sz w:val="32"/>
          <w:szCs w:val="32"/>
          <w:lang w:val="en-US" w:eastAsia="zh-CN"/>
        </w:rPr>
        <w:t>法律顾问经费、阿坝州支付方式改革培训、医疗保障系统工作人员能力提升培训。</w:t>
      </w:r>
    </w:p>
    <w:p>
      <w:pPr>
        <w:pStyle w:val="13"/>
        <w:keepNext w:val="0"/>
        <w:keepLines w:val="0"/>
        <w:pageBreakBefore w:val="0"/>
        <w:numPr>
          <w:ilvl w:val="0"/>
          <w:numId w:val="0"/>
        </w:numPr>
        <w:kinsoku/>
        <w:wordWrap/>
        <w:overflowPunct/>
        <w:topLinePunct w:val="0"/>
        <w:autoSpaceDE/>
        <w:autoSpaceDN/>
        <w:bidi w:val="0"/>
        <w:adjustRightInd/>
        <w:spacing w:before="0" w:line="560" w:lineRule="exact"/>
        <w:ind w:firstLine="640" w:firstLineChars="200"/>
        <w:textAlignment w:val="auto"/>
        <w:rPr>
          <w:rFonts w:hint="eastAsia" w:cs="宋体"/>
          <w:sz w:val="32"/>
          <w:szCs w:val="32"/>
          <w:lang w:val="en-US" w:eastAsia="zh-CN"/>
        </w:rPr>
      </w:pPr>
      <w:r>
        <w:rPr>
          <w:rFonts w:hint="eastAsia" w:hAnsi="仿宋_GB2312" w:cs="仿宋_GB2312"/>
          <w:sz w:val="32"/>
          <w:szCs w:val="32"/>
          <w:lang w:val="en-US" w:eastAsia="zh-CN"/>
        </w:rPr>
        <w:t>8.</w:t>
      </w:r>
      <w:r>
        <w:rPr>
          <w:rFonts w:hint="eastAsia" w:ascii="仿宋_GB2312" w:hAnsi="仿宋_GB2312" w:eastAsia="仿宋_GB2312" w:cs="仿宋_GB2312"/>
          <w:sz w:val="32"/>
          <w:szCs w:val="32"/>
        </w:rPr>
        <w:t>卫生健康支出（类）医疗保障管理事务（款）</w:t>
      </w:r>
      <w:r>
        <w:rPr>
          <w:rFonts w:hint="eastAsia" w:cs="宋体"/>
          <w:sz w:val="32"/>
          <w:szCs w:val="32"/>
          <w:lang w:val="en-US" w:eastAsia="zh-CN"/>
        </w:rPr>
        <w:t>医疗保障政策管理</w:t>
      </w:r>
      <w:r>
        <w:rPr>
          <w:rFonts w:hint="eastAsia" w:ascii="仿宋_GB2312" w:hAnsi="仿宋_GB2312" w:eastAsia="仿宋_GB2312" w:cs="仿宋_GB2312"/>
          <w:sz w:val="32"/>
          <w:szCs w:val="32"/>
        </w:rPr>
        <w:t>（项目）</w:t>
      </w:r>
      <w:r>
        <w:rPr>
          <w:rFonts w:hint="eastAsia" w:cs="宋体"/>
          <w:sz w:val="32"/>
          <w:szCs w:val="32"/>
          <w:lang w:val="en-US" w:eastAsia="zh-CN"/>
        </w:rPr>
        <w:t>121万元，</w:t>
      </w:r>
      <w:r>
        <w:rPr>
          <w:rFonts w:hint="eastAsia" w:ascii="仿宋_GB2312" w:hAnsi="仿宋_GB2312" w:eastAsia="仿宋_GB2312" w:cs="仿宋_GB2312"/>
          <w:sz w:val="32"/>
          <w:szCs w:val="32"/>
        </w:rPr>
        <w:t>主要用于</w:t>
      </w:r>
      <w:r>
        <w:rPr>
          <w:rFonts w:hint="eastAsia" w:hAnsi="仿宋_GB2312" w:cs="仿宋_GB2312"/>
          <w:sz w:val="32"/>
          <w:szCs w:val="32"/>
          <w:lang w:eastAsia="zh-CN"/>
        </w:rPr>
        <w:t>：</w:t>
      </w:r>
      <w:r>
        <w:rPr>
          <w:rFonts w:hint="eastAsia" w:hAnsi="仿宋_GB2312" w:cs="仿宋_GB2312"/>
          <w:sz w:val="32"/>
          <w:szCs w:val="32"/>
          <w:lang w:val="en-US" w:eastAsia="zh-CN"/>
        </w:rPr>
        <w:t>医保基金监管和医保经办机构、定点医药机构监督检查、审计稽核、医保政策宣传、成都都江堰地区协议管理、集采和非集采药械议价工作、医疗救助运行分析及调研、阿坝州深化医疗服务价格改革专题研究工作经费。</w:t>
      </w:r>
    </w:p>
    <w:p>
      <w:pPr>
        <w:pStyle w:val="13"/>
        <w:keepNext w:val="0"/>
        <w:keepLines w:val="0"/>
        <w:pageBreakBefore w:val="0"/>
        <w:numPr>
          <w:ilvl w:val="0"/>
          <w:numId w:val="0"/>
        </w:numPr>
        <w:kinsoku/>
        <w:wordWrap/>
        <w:overflowPunct/>
        <w:topLinePunct w:val="0"/>
        <w:autoSpaceDE/>
        <w:autoSpaceDN/>
        <w:bidi w:val="0"/>
        <w:adjustRightInd/>
        <w:spacing w:before="0" w:line="560" w:lineRule="exact"/>
        <w:ind w:firstLine="640" w:firstLineChars="200"/>
        <w:textAlignment w:val="auto"/>
        <w:rPr>
          <w:rFonts w:hint="default" w:cs="宋体"/>
          <w:sz w:val="32"/>
          <w:szCs w:val="32"/>
          <w:lang w:val="en-US" w:eastAsia="zh-CN"/>
        </w:rPr>
      </w:pPr>
      <w:r>
        <w:rPr>
          <w:rFonts w:hint="eastAsia" w:hAnsi="仿宋_GB2312" w:cs="仿宋_GB2312"/>
          <w:sz w:val="32"/>
          <w:szCs w:val="32"/>
          <w:lang w:val="en-US" w:eastAsia="zh-CN"/>
        </w:rPr>
        <w:t>9.</w:t>
      </w:r>
      <w:r>
        <w:rPr>
          <w:rFonts w:hint="eastAsia" w:ascii="仿宋_GB2312" w:hAnsi="仿宋_GB2312" w:eastAsia="仿宋_GB2312" w:cs="仿宋_GB2312"/>
          <w:sz w:val="32"/>
          <w:szCs w:val="32"/>
        </w:rPr>
        <w:t>卫生健康支出（类）医疗保障管理事务（款）</w:t>
      </w:r>
      <w:r>
        <w:rPr>
          <w:rFonts w:hint="eastAsia" w:cs="宋体"/>
          <w:sz w:val="32"/>
          <w:szCs w:val="32"/>
          <w:lang w:val="en-US" w:eastAsia="zh-CN"/>
        </w:rPr>
        <w:t>医疗保障经办事务</w:t>
      </w:r>
      <w:r>
        <w:rPr>
          <w:rFonts w:hint="eastAsia" w:ascii="仿宋_GB2312" w:hAnsi="仿宋_GB2312" w:eastAsia="仿宋_GB2312" w:cs="仿宋_GB2312"/>
          <w:sz w:val="32"/>
          <w:szCs w:val="32"/>
        </w:rPr>
        <w:t>（项目）</w:t>
      </w:r>
      <w:r>
        <w:rPr>
          <w:rFonts w:hint="eastAsia" w:cs="宋体"/>
          <w:sz w:val="32"/>
          <w:szCs w:val="32"/>
          <w:lang w:val="en-US" w:eastAsia="zh-CN"/>
        </w:rPr>
        <w:t>53.4万元，</w:t>
      </w:r>
      <w:r>
        <w:rPr>
          <w:rFonts w:hint="eastAsia" w:ascii="仿宋_GB2312" w:hAnsi="仿宋_GB2312" w:eastAsia="仿宋_GB2312" w:cs="仿宋_GB2312"/>
          <w:sz w:val="32"/>
          <w:szCs w:val="32"/>
        </w:rPr>
        <w:t>主要用于</w:t>
      </w:r>
      <w:r>
        <w:rPr>
          <w:rFonts w:hint="eastAsia" w:hAnsi="仿宋_GB2312" w:cs="仿宋_GB2312"/>
          <w:sz w:val="32"/>
          <w:szCs w:val="32"/>
          <w:lang w:eastAsia="zh-CN"/>
        </w:rPr>
        <w:t>：</w:t>
      </w:r>
      <w:r>
        <w:rPr>
          <w:rFonts w:hint="eastAsia" w:cs="宋体"/>
          <w:sz w:val="32"/>
          <w:szCs w:val="32"/>
          <w:lang w:val="en-US" w:eastAsia="zh-CN"/>
        </w:rPr>
        <w:t>全省医疗保障一体化大数据平台阿坝州骨干网络连接租赁费、医保基金预决算培训、异地就医驻点服务工作经费。</w:t>
      </w:r>
    </w:p>
    <w:p>
      <w:pPr>
        <w:pStyle w:val="13"/>
        <w:keepNext w:val="0"/>
        <w:keepLines w:val="0"/>
        <w:pageBreakBefore w:val="0"/>
        <w:kinsoku/>
        <w:wordWrap/>
        <w:overflowPunct/>
        <w:topLinePunct w:val="0"/>
        <w:autoSpaceDE/>
        <w:autoSpaceDN/>
        <w:bidi w:val="0"/>
        <w:adjustRightInd/>
        <w:spacing w:before="0" w:line="560" w:lineRule="exact"/>
        <w:ind w:firstLine="660"/>
        <w:textAlignment w:val="auto"/>
        <w:rPr>
          <w:rFonts w:ascii="黑体" w:eastAsia="黑体"/>
          <w:sz w:val="32"/>
          <w:szCs w:val="32"/>
        </w:rPr>
      </w:pPr>
      <w:r>
        <w:rPr>
          <w:rFonts w:hint="eastAsia" w:ascii="黑体" w:eastAsia="黑体"/>
          <w:sz w:val="32"/>
          <w:szCs w:val="32"/>
        </w:rPr>
        <w:t>六、一般公共预算基本支出情况说明</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cs="仿宋_GB2312"/>
          <w:kern w:val="2"/>
          <w:sz w:val="32"/>
          <w:szCs w:val="32"/>
        </w:rPr>
      </w:pPr>
      <w:r>
        <w:rPr>
          <w:rFonts w:hint="eastAsia" w:cs="仿宋_GB2312"/>
          <w:kern w:val="2"/>
          <w:sz w:val="32"/>
          <w:szCs w:val="32"/>
        </w:rPr>
        <w:t>2022年一般公共预算基本支出</w:t>
      </w:r>
      <w:r>
        <w:rPr>
          <w:rFonts w:hint="eastAsia" w:cs="仿宋_GB2312"/>
          <w:kern w:val="2"/>
          <w:sz w:val="32"/>
          <w:szCs w:val="32"/>
          <w:lang w:val="en-US" w:eastAsia="zh-CN"/>
        </w:rPr>
        <w:t>742.62</w:t>
      </w:r>
      <w:r>
        <w:rPr>
          <w:rFonts w:hint="eastAsia" w:cs="仿宋_GB2312"/>
          <w:kern w:val="2"/>
          <w:sz w:val="32"/>
          <w:szCs w:val="32"/>
        </w:rPr>
        <w:t>万元，其中：人员经费</w:t>
      </w:r>
      <w:r>
        <w:rPr>
          <w:rFonts w:hint="eastAsia" w:cs="仿宋_GB2312"/>
          <w:kern w:val="2"/>
          <w:sz w:val="32"/>
          <w:szCs w:val="32"/>
          <w:lang w:val="en-US" w:eastAsia="zh-CN"/>
        </w:rPr>
        <w:t>648.01</w:t>
      </w:r>
      <w:r>
        <w:rPr>
          <w:rFonts w:hint="eastAsia" w:cs="仿宋_GB2312"/>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hint="eastAsia" w:eastAsia="仿宋_GB2312" w:cs="仿宋_GB2312"/>
          <w:kern w:val="2"/>
          <w:sz w:val="32"/>
          <w:szCs w:val="32"/>
          <w:lang w:eastAsia="zh-CN"/>
        </w:rPr>
      </w:pPr>
      <w:r>
        <w:rPr>
          <w:rFonts w:hint="eastAsia" w:cs="仿宋_GB2312"/>
          <w:kern w:val="2"/>
          <w:sz w:val="32"/>
          <w:szCs w:val="32"/>
        </w:rPr>
        <w:t>公用经费</w:t>
      </w:r>
      <w:r>
        <w:rPr>
          <w:rFonts w:hint="eastAsia" w:cs="仿宋_GB2312"/>
          <w:kern w:val="2"/>
          <w:sz w:val="32"/>
          <w:szCs w:val="32"/>
          <w:lang w:val="en-US" w:eastAsia="zh-CN"/>
        </w:rPr>
        <w:t>94.61</w:t>
      </w:r>
      <w:r>
        <w:rPr>
          <w:rFonts w:hint="eastAsia" w:cs="仿宋_GB2312"/>
          <w:kern w:val="2"/>
          <w:sz w:val="32"/>
          <w:szCs w:val="32"/>
        </w:rPr>
        <w:t>万元，主要包括：办公费、印刷费、手续费、水费、电费、邮电费、差旅费、维修（护）费、租赁费、会议费、培训费、劳务费、工</w:t>
      </w:r>
      <w:bookmarkStart w:id="0" w:name="_GoBack"/>
      <w:bookmarkEnd w:id="0"/>
      <w:r>
        <w:rPr>
          <w:rFonts w:hint="eastAsia" w:cs="仿宋_GB2312"/>
          <w:kern w:val="2"/>
          <w:sz w:val="32"/>
          <w:szCs w:val="32"/>
        </w:rPr>
        <w:t>会经费、福利费、其他交通工具运行维护费、其他商品和服务支出。</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ascii="黑体" w:eastAsia="黑体"/>
          <w:sz w:val="32"/>
          <w:szCs w:val="32"/>
        </w:rPr>
      </w:pPr>
      <w:r>
        <w:rPr>
          <w:rFonts w:hint="eastAsia" w:ascii="黑体" w:eastAsia="黑体"/>
          <w:sz w:val="32"/>
          <w:szCs w:val="32"/>
        </w:rPr>
        <w:t>七、“三公”经费财政拨款预算安排情况说明</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cs="仿宋_GB2312"/>
          <w:kern w:val="2"/>
          <w:sz w:val="32"/>
          <w:szCs w:val="32"/>
        </w:rPr>
      </w:pPr>
      <w:r>
        <w:rPr>
          <w:rFonts w:hint="eastAsia" w:cs="仿宋_GB2312"/>
          <w:kern w:val="2"/>
          <w:sz w:val="32"/>
          <w:szCs w:val="32"/>
        </w:rPr>
        <w:t>2022年“三公”经费财政拨款预算数</w:t>
      </w:r>
      <w:r>
        <w:rPr>
          <w:rFonts w:hint="eastAsia" w:cs="仿宋_GB2312"/>
          <w:kern w:val="2"/>
          <w:sz w:val="32"/>
          <w:szCs w:val="32"/>
          <w:lang w:val="en-US" w:eastAsia="zh-CN"/>
        </w:rPr>
        <w:t>13.11</w:t>
      </w:r>
      <w:r>
        <w:rPr>
          <w:rFonts w:hint="eastAsia" w:cs="仿宋_GB2312"/>
          <w:kern w:val="2"/>
          <w:sz w:val="32"/>
          <w:szCs w:val="32"/>
        </w:rPr>
        <w:t>万元，其中：因公出国（境）经费</w:t>
      </w:r>
      <w:r>
        <w:rPr>
          <w:rFonts w:hint="eastAsia" w:cs="仿宋_GB2312"/>
          <w:kern w:val="2"/>
          <w:sz w:val="32"/>
          <w:szCs w:val="32"/>
          <w:lang w:val="en-US" w:eastAsia="zh-CN"/>
        </w:rPr>
        <w:t>0</w:t>
      </w:r>
      <w:r>
        <w:rPr>
          <w:rFonts w:hint="eastAsia" w:cs="仿宋_GB2312"/>
          <w:kern w:val="2"/>
          <w:sz w:val="32"/>
          <w:szCs w:val="32"/>
        </w:rPr>
        <w:t>万元，公务接待费</w:t>
      </w:r>
      <w:r>
        <w:rPr>
          <w:rFonts w:hint="eastAsia" w:cs="仿宋_GB2312"/>
          <w:kern w:val="2"/>
          <w:sz w:val="32"/>
          <w:szCs w:val="32"/>
          <w:lang w:val="en-US" w:eastAsia="zh-CN"/>
        </w:rPr>
        <w:t>1.59</w:t>
      </w:r>
      <w:r>
        <w:rPr>
          <w:rFonts w:hint="eastAsia" w:cs="仿宋_GB2312"/>
          <w:kern w:val="2"/>
          <w:sz w:val="32"/>
          <w:szCs w:val="32"/>
        </w:rPr>
        <w:t>万元，公务用车购置及运行维护费</w:t>
      </w:r>
      <w:r>
        <w:rPr>
          <w:rFonts w:hint="eastAsia" w:cs="仿宋_GB2312"/>
          <w:kern w:val="2"/>
          <w:sz w:val="32"/>
          <w:szCs w:val="32"/>
          <w:lang w:val="en-US" w:eastAsia="zh-CN"/>
        </w:rPr>
        <w:t>11.52</w:t>
      </w:r>
      <w:r>
        <w:rPr>
          <w:rFonts w:hint="eastAsia" w:cs="仿宋_GB2312"/>
          <w:kern w:val="2"/>
          <w:sz w:val="32"/>
          <w:szCs w:val="32"/>
        </w:rPr>
        <w:t>万元。</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cs="仿宋_GB2312"/>
          <w:kern w:val="2"/>
          <w:sz w:val="32"/>
          <w:szCs w:val="32"/>
        </w:rPr>
      </w:pPr>
      <w:r>
        <w:rPr>
          <w:rFonts w:hint="eastAsia" w:ascii="楷体_GB2312" w:hAnsi="楷体_GB2312" w:eastAsia="楷体_GB2312" w:cs="楷体_GB2312"/>
          <w:b/>
          <w:bCs/>
          <w:kern w:val="2"/>
          <w:sz w:val="32"/>
          <w:szCs w:val="32"/>
        </w:rPr>
        <w:t>（一）2022年因公出国（境）经费</w:t>
      </w:r>
      <w:r>
        <w:rPr>
          <w:rFonts w:hint="eastAsia" w:ascii="楷体_GB2312" w:hAnsi="楷体_GB2312" w:eastAsia="楷体_GB2312" w:cs="楷体_GB2312"/>
          <w:b/>
          <w:bCs/>
          <w:kern w:val="2"/>
          <w:sz w:val="32"/>
          <w:szCs w:val="32"/>
          <w:lang w:val="en-US" w:eastAsia="zh-CN"/>
        </w:rPr>
        <w:t>0</w:t>
      </w:r>
      <w:r>
        <w:rPr>
          <w:rFonts w:hint="eastAsia" w:ascii="楷体_GB2312" w:hAnsi="楷体_GB2312" w:eastAsia="楷体_GB2312" w:cs="楷体_GB2312"/>
          <w:b/>
          <w:bCs/>
          <w:kern w:val="2"/>
          <w:sz w:val="32"/>
          <w:szCs w:val="32"/>
        </w:rPr>
        <w:t>万元。</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hint="eastAsia" w:eastAsia="仿宋_GB2312" w:cs="仿宋_GB2312"/>
          <w:color w:val="000000"/>
          <w:kern w:val="2"/>
          <w:sz w:val="32"/>
          <w:szCs w:val="32"/>
          <w:lang w:eastAsia="zh-CN"/>
        </w:rPr>
      </w:pPr>
      <w:r>
        <w:rPr>
          <w:rFonts w:hint="eastAsia" w:ascii="楷体_GB2312" w:hAnsi="楷体_GB2312" w:eastAsia="楷体_GB2312" w:cs="楷体_GB2312"/>
          <w:b/>
          <w:bCs/>
          <w:kern w:val="2"/>
          <w:sz w:val="32"/>
          <w:szCs w:val="32"/>
        </w:rPr>
        <w:t>（二）2022年公务接待经费</w:t>
      </w:r>
      <w:r>
        <w:rPr>
          <w:rFonts w:hint="eastAsia" w:ascii="楷体_GB2312" w:hAnsi="楷体_GB2312" w:eastAsia="楷体_GB2312" w:cs="楷体_GB2312"/>
          <w:b/>
          <w:bCs/>
          <w:kern w:val="2"/>
          <w:sz w:val="32"/>
          <w:szCs w:val="32"/>
          <w:lang w:val="en-US" w:eastAsia="zh-CN"/>
        </w:rPr>
        <w:t>1.59</w:t>
      </w:r>
      <w:r>
        <w:rPr>
          <w:rFonts w:hint="eastAsia" w:ascii="楷体_GB2312" w:hAnsi="楷体_GB2312" w:eastAsia="楷体_GB2312" w:cs="楷体_GB2312"/>
          <w:b/>
          <w:bCs/>
          <w:kern w:val="2"/>
          <w:sz w:val="32"/>
          <w:szCs w:val="32"/>
        </w:rPr>
        <w:t>万元。</w:t>
      </w:r>
      <w:r>
        <w:rPr>
          <w:rFonts w:hint="eastAsia" w:cs="仿宋_GB2312"/>
          <w:color w:val="000000"/>
          <w:kern w:val="2"/>
          <w:sz w:val="32"/>
          <w:szCs w:val="32"/>
        </w:rPr>
        <w:t>较2021年预算经费</w:t>
      </w:r>
      <w:r>
        <w:rPr>
          <w:rFonts w:hint="eastAsia" w:cs="宋体"/>
          <w:sz w:val="32"/>
          <w:szCs w:val="32"/>
        </w:rPr>
        <w:t>增加</w:t>
      </w:r>
      <w:r>
        <w:rPr>
          <w:rFonts w:hint="eastAsia" w:cs="宋体"/>
          <w:sz w:val="32"/>
          <w:szCs w:val="32"/>
          <w:lang w:val="en-US" w:eastAsia="zh-CN"/>
        </w:rPr>
        <w:t>0.08</w:t>
      </w:r>
      <w:r>
        <w:rPr>
          <w:rFonts w:hint="eastAsia" w:cs="仿宋_GB2312"/>
          <w:color w:val="000000"/>
          <w:kern w:val="2"/>
          <w:sz w:val="32"/>
          <w:szCs w:val="32"/>
        </w:rPr>
        <w:t>万元，</w:t>
      </w:r>
      <w:r>
        <w:rPr>
          <w:rFonts w:hint="eastAsia" w:cs="宋体"/>
          <w:sz w:val="32"/>
          <w:szCs w:val="32"/>
        </w:rPr>
        <w:t>增长</w:t>
      </w:r>
      <w:r>
        <w:rPr>
          <w:rFonts w:hint="eastAsia" w:cs="仿宋_GB2312"/>
          <w:color w:val="000000"/>
          <w:kern w:val="2"/>
          <w:sz w:val="32"/>
          <w:szCs w:val="32"/>
          <w:lang w:val="en-US" w:eastAsia="zh-CN"/>
        </w:rPr>
        <w:t>5.3</w:t>
      </w:r>
      <w:r>
        <w:rPr>
          <w:rFonts w:hint="eastAsia" w:cs="仿宋_GB2312"/>
          <w:color w:val="000000"/>
          <w:kern w:val="2"/>
          <w:sz w:val="32"/>
          <w:szCs w:val="32"/>
        </w:rPr>
        <w:t>%。</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hint="default" w:eastAsia="仿宋_GB2312" w:cs="仿宋_GB2312"/>
          <w:color w:val="000000"/>
          <w:kern w:val="2"/>
          <w:sz w:val="32"/>
          <w:szCs w:val="32"/>
          <w:lang w:val="en-US" w:eastAsia="zh-CN"/>
        </w:rPr>
      </w:pPr>
      <w:r>
        <w:rPr>
          <w:rFonts w:hint="eastAsia" w:ascii="楷体_GB2312" w:hAnsi="楷体_GB2312" w:eastAsia="楷体_GB2312" w:cs="楷体_GB2312"/>
          <w:b/>
          <w:bCs/>
          <w:color w:val="000000"/>
          <w:kern w:val="2"/>
          <w:sz w:val="32"/>
          <w:szCs w:val="32"/>
        </w:rPr>
        <w:t>（三）2022年公务用车购置及运行维护费</w:t>
      </w:r>
      <w:r>
        <w:rPr>
          <w:rFonts w:hint="eastAsia" w:ascii="楷体_GB2312" w:hAnsi="楷体_GB2312" w:eastAsia="楷体_GB2312" w:cs="楷体_GB2312"/>
          <w:b/>
          <w:bCs/>
          <w:color w:val="000000"/>
          <w:kern w:val="2"/>
          <w:sz w:val="32"/>
          <w:szCs w:val="32"/>
          <w:lang w:val="en-US" w:eastAsia="zh-CN"/>
        </w:rPr>
        <w:t>11.52</w:t>
      </w:r>
      <w:r>
        <w:rPr>
          <w:rFonts w:hint="eastAsia" w:ascii="楷体_GB2312" w:hAnsi="楷体_GB2312" w:eastAsia="楷体_GB2312" w:cs="楷体_GB2312"/>
          <w:b/>
          <w:bCs/>
          <w:color w:val="000000"/>
          <w:kern w:val="2"/>
          <w:sz w:val="32"/>
          <w:szCs w:val="32"/>
        </w:rPr>
        <w:t>万元。</w:t>
      </w:r>
      <w:r>
        <w:rPr>
          <w:rFonts w:hint="eastAsia" w:cs="仿宋_GB2312"/>
          <w:color w:val="000000"/>
          <w:kern w:val="2"/>
          <w:sz w:val="32"/>
          <w:szCs w:val="32"/>
        </w:rPr>
        <w:t>较2021年预算经费</w:t>
      </w:r>
      <w:r>
        <w:rPr>
          <w:rFonts w:hint="eastAsia" w:cs="仿宋_GB2312"/>
          <w:color w:val="000000"/>
          <w:kern w:val="2"/>
          <w:sz w:val="32"/>
          <w:szCs w:val="32"/>
          <w:lang w:val="en-US" w:eastAsia="zh-CN"/>
        </w:rPr>
        <w:t>无变化。</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ascii="黑体" w:eastAsia="黑体"/>
          <w:sz w:val="32"/>
          <w:szCs w:val="32"/>
        </w:rPr>
      </w:pPr>
      <w:r>
        <w:rPr>
          <w:rFonts w:hint="eastAsia" w:ascii="黑体" w:eastAsia="黑体"/>
          <w:sz w:val="32"/>
          <w:szCs w:val="32"/>
        </w:rPr>
        <w:t>八、政</w:t>
      </w:r>
      <w:r>
        <w:rPr>
          <w:rFonts w:hint="eastAsia" w:ascii="黑体" w:eastAsia="黑体" w:cs="Times New Roman"/>
          <w:sz w:val="32"/>
          <w:szCs w:val="32"/>
        </w:rPr>
        <w:t>府性基金预算支</w:t>
      </w:r>
      <w:r>
        <w:rPr>
          <w:rFonts w:hint="eastAsia" w:ascii="黑体" w:eastAsia="黑体"/>
          <w:sz w:val="32"/>
          <w:szCs w:val="32"/>
        </w:rPr>
        <w:t>出情况说明</w:t>
      </w:r>
    </w:p>
    <w:p>
      <w:pPr>
        <w:pStyle w:val="13"/>
        <w:keepNext w:val="0"/>
        <w:keepLines w:val="0"/>
        <w:pageBreakBefore w:val="0"/>
        <w:kinsoku/>
        <w:wordWrap/>
        <w:overflowPunct/>
        <w:topLinePunct w:val="0"/>
        <w:autoSpaceDE/>
        <w:autoSpaceDN/>
        <w:bidi w:val="0"/>
        <w:adjustRightInd/>
        <w:spacing w:before="0" w:line="560" w:lineRule="exact"/>
        <w:ind w:firstLine="640" w:firstLineChars="200"/>
        <w:textAlignment w:val="auto"/>
        <w:rPr>
          <w:rFonts w:cs="仿宋_GB2312"/>
          <w:kern w:val="2"/>
          <w:sz w:val="32"/>
          <w:szCs w:val="32"/>
        </w:rPr>
      </w:pPr>
      <w:r>
        <w:rPr>
          <w:rFonts w:hint="eastAsia" w:cs="仿宋_GB2312"/>
          <w:kern w:val="2"/>
          <w:sz w:val="32"/>
          <w:szCs w:val="32"/>
        </w:rPr>
        <w:t>2022年政府性基金预算拨款安排的支出</w:t>
      </w:r>
      <w:r>
        <w:rPr>
          <w:rFonts w:hint="eastAsia" w:cs="仿宋_GB2312"/>
          <w:kern w:val="2"/>
          <w:sz w:val="32"/>
          <w:szCs w:val="32"/>
          <w:lang w:val="en-US" w:eastAsia="zh-CN"/>
        </w:rPr>
        <w:t>0</w:t>
      </w:r>
      <w:r>
        <w:rPr>
          <w:rFonts w:hint="eastAsia" w:cs="仿宋_GB2312"/>
          <w:kern w:val="2"/>
          <w:sz w:val="32"/>
          <w:szCs w:val="32"/>
        </w:rPr>
        <w:t>万元。较2021年预算经费</w:t>
      </w:r>
      <w:r>
        <w:rPr>
          <w:rFonts w:hint="eastAsia" w:cs="宋体"/>
          <w:sz w:val="32"/>
          <w:szCs w:val="32"/>
          <w:lang w:val="en-US" w:eastAsia="zh-CN"/>
        </w:rPr>
        <w:t>无变化</w:t>
      </w:r>
      <w:r>
        <w:rPr>
          <w:rFonts w:hint="eastAsia" w:cs="仿宋_GB2312"/>
          <w:kern w:val="2"/>
          <w:sz w:val="32"/>
          <w:szCs w:val="32"/>
        </w:rPr>
        <w:t>。</w:t>
      </w:r>
    </w:p>
    <w:p>
      <w:pPr>
        <w:pStyle w:val="13"/>
        <w:keepNext w:val="0"/>
        <w:keepLines w:val="0"/>
        <w:pageBreakBefore w:val="0"/>
        <w:kinsoku/>
        <w:wordWrap/>
        <w:overflowPunct/>
        <w:topLinePunct w:val="0"/>
        <w:autoSpaceDE/>
        <w:autoSpaceDN/>
        <w:bidi w:val="0"/>
        <w:adjustRightInd/>
        <w:spacing w:before="0" w:line="560" w:lineRule="exact"/>
        <w:textAlignment w:val="auto"/>
        <w:rPr>
          <w:rFonts w:ascii="黑体" w:eastAsia="黑体"/>
          <w:sz w:val="32"/>
          <w:szCs w:val="32"/>
        </w:rPr>
      </w:pPr>
      <w:r>
        <w:rPr>
          <w:rFonts w:hint="eastAsia" w:ascii="黑体" w:eastAsia="黑体"/>
          <w:sz w:val="32"/>
          <w:szCs w:val="32"/>
          <w:lang w:val="en-US" w:eastAsia="zh-CN"/>
        </w:rPr>
        <w:t xml:space="preserve">    </w:t>
      </w:r>
      <w:r>
        <w:rPr>
          <w:rFonts w:hint="eastAsia" w:ascii="黑体" w:eastAsia="黑体"/>
          <w:sz w:val="32"/>
          <w:szCs w:val="32"/>
        </w:rPr>
        <w:t>九、其他重要事项的情况说明</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cs="仿宋_GB2312"/>
          <w:color w:val="FF0000"/>
          <w:kern w:val="2"/>
          <w:sz w:val="32"/>
          <w:szCs w:val="32"/>
        </w:rPr>
      </w:pPr>
      <w:r>
        <w:rPr>
          <w:rFonts w:hint="eastAsia" w:ascii="楷体_GB2312" w:hAnsi="楷体_GB2312" w:eastAsia="楷体_GB2312" w:cs="楷体_GB2312"/>
          <w:b/>
          <w:bCs/>
          <w:kern w:val="2"/>
          <w:sz w:val="32"/>
          <w:szCs w:val="32"/>
        </w:rPr>
        <w:t>（一）机关运行经费</w:t>
      </w:r>
      <w:r>
        <w:rPr>
          <w:rFonts w:hint="eastAsia" w:ascii="楷体_GB2312" w:hAnsi="楷体_GB2312" w:eastAsia="楷体_GB2312" w:cs="楷体_GB2312"/>
          <w:b/>
          <w:bCs/>
          <w:kern w:val="2"/>
          <w:sz w:val="32"/>
          <w:szCs w:val="32"/>
          <w:lang w:eastAsia="zh-CN"/>
        </w:rPr>
        <w:t>。</w:t>
      </w:r>
      <w:r>
        <w:rPr>
          <w:rFonts w:hint="eastAsia" w:cs="仿宋_GB2312"/>
          <w:kern w:val="2"/>
          <w:sz w:val="32"/>
          <w:szCs w:val="32"/>
        </w:rPr>
        <w:t>2022年机关运行经费财政拨款预算为</w:t>
      </w:r>
      <w:r>
        <w:rPr>
          <w:rFonts w:hint="eastAsia" w:cs="仿宋_GB2312"/>
          <w:kern w:val="2"/>
          <w:sz w:val="32"/>
          <w:szCs w:val="32"/>
          <w:lang w:val="en-US" w:eastAsia="zh-CN"/>
        </w:rPr>
        <w:t>94.61</w:t>
      </w:r>
      <w:r>
        <w:rPr>
          <w:rFonts w:hint="eastAsia" w:cs="仿宋_GB2312"/>
          <w:kern w:val="2"/>
          <w:sz w:val="32"/>
          <w:szCs w:val="32"/>
        </w:rPr>
        <w:t>万元，比2021 年预算</w:t>
      </w:r>
      <w:r>
        <w:rPr>
          <w:rFonts w:hint="eastAsia" w:cs="宋体"/>
          <w:sz w:val="32"/>
          <w:szCs w:val="32"/>
        </w:rPr>
        <w:t>增加</w:t>
      </w:r>
      <w:r>
        <w:rPr>
          <w:rFonts w:hint="eastAsia" w:cs="宋体"/>
          <w:sz w:val="32"/>
          <w:szCs w:val="32"/>
          <w:lang w:val="en-US" w:eastAsia="zh-CN"/>
        </w:rPr>
        <w:t>4.84</w:t>
      </w:r>
      <w:r>
        <w:rPr>
          <w:rFonts w:hint="eastAsia" w:cs="仿宋_GB2312"/>
          <w:color w:val="000000"/>
          <w:kern w:val="2"/>
          <w:sz w:val="32"/>
          <w:szCs w:val="32"/>
        </w:rPr>
        <w:t>万元，</w:t>
      </w:r>
      <w:r>
        <w:rPr>
          <w:rFonts w:hint="eastAsia" w:cs="仿宋_GB2312"/>
          <w:color w:val="000000"/>
          <w:kern w:val="2"/>
          <w:sz w:val="32"/>
          <w:szCs w:val="32"/>
          <w:lang w:val="en-US" w:eastAsia="zh-CN"/>
        </w:rPr>
        <w:t>增长5.39</w:t>
      </w:r>
      <w:r>
        <w:rPr>
          <w:rFonts w:hint="eastAsia" w:cs="仿宋_GB2312"/>
          <w:color w:val="000000"/>
          <w:kern w:val="2"/>
          <w:sz w:val="32"/>
          <w:szCs w:val="32"/>
        </w:rPr>
        <w:t xml:space="preserve">%。 </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hint="default" w:cs="仿宋_GB2312"/>
          <w:kern w:val="2"/>
          <w:sz w:val="32"/>
          <w:szCs w:val="32"/>
          <w:lang w:val="en-US" w:eastAsia="zh-CN"/>
        </w:rPr>
      </w:pPr>
      <w:r>
        <w:rPr>
          <w:rFonts w:hint="eastAsia" w:ascii="楷体_GB2312" w:hAnsi="楷体_GB2312" w:eastAsia="楷体_GB2312" w:cs="楷体_GB2312"/>
          <w:b/>
          <w:bCs/>
          <w:kern w:val="2"/>
          <w:sz w:val="32"/>
          <w:szCs w:val="32"/>
        </w:rPr>
        <w:t>（二）政府采购情况</w:t>
      </w:r>
      <w:r>
        <w:rPr>
          <w:rFonts w:hint="eastAsia" w:ascii="楷体_GB2312" w:hAnsi="楷体_GB2312" w:eastAsia="楷体_GB2312" w:cs="楷体_GB2312"/>
          <w:b/>
          <w:bCs/>
          <w:kern w:val="2"/>
          <w:sz w:val="32"/>
          <w:szCs w:val="32"/>
          <w:lang w:eastAsia="zh-CN"/>
        </w:rPr>
        <w:t>。</w:t>
      </w:r>
      <w:r>
        <w:rPr>
          <w:rFonts w:hint="eastAsia" w:cs="仿宋_GB2312"/>
          <w:color w:val="000000"/>
          <w:kern w:val="2"/>
          <w:sz w:val="32"/>
          <w:szCs w:val="32"/>
        </w:rPr>
        <w:t xml:space="preserve"> 2022年安排政府采购预算</w:t>
      </w:r>
      <w:r>
        <w:rPr>
          <w:rFonts w:hint="eastAsia" w:cs="仿宋_GB2312"/>
          <w:color w:val="000000"/>
          <w:kern w:val="2"/>
          <w:sz w:val="32"/>
          <w:szCs w:val="32"/>
          <w:lang w:val="en-US" w:eastAsia="zh-CN"/>
        </w:rPr>
        <w:t>50.4</w:t>
      </w:r>
      <w:r>
        <w:rPr>
          <w:rFonts w:hint="eastAsia" w:cs="仿宋_GB2312"/>
          <w:color w:val="000000"/>
          <w:kern w:val="2"/>
          <w:sz w:val="32"/>
          <w:szCs w:val="32"/>
        </w:rPr>
        <w:t>万元，主要</w:t>
      </w:r>
      <w:r>
        <w:rPr>
          <w:rFonts w:hint="eastAsia" w:cs="仿宋_GB2312"/>
          <w:kern w:val="2"/>
          <w:sz w:val="32"/>
          <w:szCs w:val="32"/>
        </w:rPr>
        <w:t>用于</w:t>
      </w:r>
      <w:r>
        <w:rPr>
          <w:rFonts w:hint="eastAsia" w:cs="宋体"/>
          <w:sz w:val="32"/>
          <w:szCs w:val="32"/>
          <w:lang w:val="en-US" w:eastAsia="zh-CN"/>
        </w:rPr>
        <w:t>全省医疗保障一体化大数据平台阿坝州骨干网络连接租赁费、</w:t>
      </w:r>
      <w:r>
        <w:rPr>
          <w:rFonts w:hint="eastAsia" w:cs="仿宋_GB2312"/>
          <w:kern w:val="2"/>
          <w:sz w:val="32"/>
          <w:szCs w:val="32"/>
          <w:lang w:val="en-US" w:eastAsia="zh-CN"/>
        </w:rPr>
        <w:t>聘请法律顾问、</w:t>
      </w:r>
      <w:r>
        <w:rPr>
          <w:rFonts w:hint="eastAsia" w:hAnsi="仿宋_GB2312" w:cs="仿宋_GB2312"/>
          <w:sz w:val="32"/>
          <w:szCs w:val="32"/>
          <w:lang w:val="en-US" w:eastAsia="zh-CN"/>
        </w:rPr>
        <w:t>医疗救助运行分析及调研第三方评估。</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cs="仿宋_GB2312"/>
          <w:kern w:val="2"/>
          <w:sz w:val="32"/>
          <w:szCs w:val="32"/>
        </w:rPr>
      </w:pPr>
      <w:r>
        <w:rPr>
          <w:rFonts w:hint="eastAsia" w:ascii="楷体_GB2312" w:hAnsi="楷体_GB2312" w:eastAsia="楷体_GB2312" w:cs="楷体_GB2312"/>
          <w:b/>
          <w:bCs/>
          <w:kern w:val="2"/>
          <w:sz w:val="32"/>
          <w:szCs w:val="32"/>
        </w:rPr>
        <w:t>（三）国有资产占有使用情况</w:t>
      </w:r>
      <w:r>
        <w:rPr>
          <w:rFonts w:hint="eastAsia" w:ascii="楷体_GB2312" w:hAnsi="楷体_GB2312" w:eastAsia="楷体_GB2312" w:cs="楷体_GB2312"/>
          <w:b/>
          <w:bCs/>
          <w:kern w:val="2"/>
          <w:sz w:val="32"/>
          <w:szCs w:val="32"/>
          <w:lang w:eastAsia="zh-CN"/>
        </w:rPr>
        <w:t>。</w:t>
      </w:r>
      <w:r>
        <w:rPr>
          <w:rFonts w:hint="eastAsia" w:cs="仿宋_GB2312"/>
          <w:kern w:val="2"/>
          <w:sz w:val="32"/>
          <w:szCs w:val="32"/>
        </w:rPr>
        <w:t>截至2021年12月31日，我单位固定资产</w:t>
      </w:r>
      <w:r>
        <w:rPr>
          <w:rFonts w:hint="eastAsia" w:cs="仿宋_GB2312"/>
          <w:kern w:val="2"/>
          <w:sz w:val="32"/>
          <w:szCs w:val="32"/>
          <w:lang w:val="en-US" w:eastAsia="zh-CN"/>
        </w:rPr>
        <w:t>247.61</w:t>
      </w:r>
      <w:r>
        <w:rPr>
          <w:rFonts w:hint="eastAsia" w:cs="仿宋_GB2312"/>
          <w:kern w:val="2"/>
          <w:sz w:val="32"/>
          <w:szCs w:val="32"/>
        </w:rPr>
        <w:t>万元。</w:t>
      </w:r>
    </w:p>
    <w:p>
      <w:pPr>
        <w:pStyle w:val="13"/>
        <w:keepNext w:val="0"/>
        <w:keepLines w:val="0"/>
        <w:pageBreakBefore w:val="0"/>
        <w:kinsoku/>
        <w:wordWrap/>
        <w:overflowPunct/>
        <w:topLinePunct w:val="0"/>
        <w:autoSpaceDE/>
        <w:autoSpaceDN/>
        <w:bidi w:val="0"/>
        <w:adjustRightInd/>
        <w:spacing w:before="0" w:line="560" w:lineRule="exact"/>
        <w:ind w:firstLine="643" w:firstLineChars="200"/>
        <w:textAlignment w:val="auto"/>
        <w:rPr>
          <w:rFonts w:ascii="黑体" w:eastAsia="黑体"/>
          <w:sz w:val="32"/>
          <w:szCs w:val="32"/>
        </w:rPr>
      </w:pPr>
      <w:r>
        <w:rPr>
          <w:rFonts w:hint="eastAsia" w:ascii="楷体_GB2312" w:hAnsi="楷体_GB2312" w:eastAsia="楷体_GB2312" w:cs="楷体_GB2312"/>
          <w:b/>
          <w:bCs/>
          <w:kern w:val="2"/>
          <w:sz w:val="32"/>
          <w:szCs w:val="32"/>
          <w:lang w:eastAsia="zh-CN"/>
        </w:rPr>
        <w:t>（</w:t>
      </w:r>
      <w:r>
        <w:rPr>
          <w:rFonts w:hint="eastAsia" w:ascii="楷体_GB2312" w:hAnsi="楷体_GB2312" w:eastAsia="楷体_GB2312" w:cs="楷体_GB2312"/>
          <w:b/>
          <w:bCs/>
          <w:kern w:val="2"/>
          <w:sz w:val="32"/>
          <w:szCs w:val="32"/>
          <w:lang w:val="en-US" w:eastAsia="zh-CN"/>
        </w:rPr>
        <w:t>四</w:t>
      </w:r>
      <w:r>
        <w:rPr>
          <w:rFonts w:hint="eastAsia" w:ascii="楷体_GB2312" w:hAnsi="楷体_GB2312" w:eastAsia="楷体_GB2312" w:cs="楷体_GB2312"/>
          <w:b/>
          <w:bCs/>
          <w:kern w:val="2"/>
          <w:sz w:val="32"/>
          <w:szCs w:val="32"/>
          <w:lang w:eastAsia="zh-CN"/>
        </w:rPr>
        <w:t>）</w:t>
      </w:r>
      <w:r>
        <w:rPr>
          <w:rFonts w:hint="eastAsia" w:ascii="楷体_GB2312" w:hAnsi="楷体_GB2312" w:eastAsia="楷体_GB2312" w:cs="楷体_GB2312"/>
          <w:b/>
          <w:bCs/>
          <w:kern w:val="2"/>
          <w:sz w:val="32"/>
          <w:szCs w:val="32"/>
        </w:rPr>
        <w:t>绩效目标设置情况</w:t>
      </w:r>
      <w:r>
        <w:rPr>
          <w:rFonts w:hint="eastAsia" w:ascii="楷体_GB2312" w:hAnsi="楷体_GB2312" w:eastAsia="楷体_GB2312" w:cs="楷体_GB2312"/>
          <w:b/>
          <w:bCs/>
          <w:kern w:val="2"/>
          <w:sz w:val="32"/>
          <w:szCs w:val="32"/>
          <w:lang w:eastAsia="zh-CN"/>
        </w:rPr>
        <w:t>。</w:t>
      </w:r>
      <w:r>
        <w:rPr>
          <w:rFonts w:hint="eastAsia" w:cs="仿宋_GB2312"/>
          <w:kern w:val="2"/>
          <w:sz w:val="32"/>
          <w:szCs w:val="32"/>
        </w:rPr>
        <w:t>2022年通用项目和专用项目均按要求实行绩效目标管理，涉及一般公共预算当年拨款</w:t>
      </w:r>
      <w:r>
        <w:rPr>
          <w:rFonts w:hint="eastAsia" w:cs="仿宋_GB2312"/>
          <w:kern w:val="2"/>
          <w:sz w:val="32"/>
          <w:szCs w:val="32"/>
          <w:lang w:val="en-US" w:eastAsia="zh-CN"/>
        </w:rPr>
        <w:t>944.88</w:t>
      </w:r>
      <w:r>
        <w:rPr>
          <w:rFonts w:hint="eastAsia" w:cs="仿宋_GB2312"/>
          <w:kern w:val="2"/>
          <w:sz w:val="32"/>
          <w:szCs w:val="32"/>
        </w:rPr>
        <w:t>万元。</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ascii="黑体" w:eastAsia="黑体"/>
          <w:sz w:val="32"/>
          <w:szCs w:val="32"/>
          <w:lang w:eastAsia="zh-CN"/>
        </w:rPr>
      </w:pPr>
      <w:r>
        <w:rPr>
          <w:rFonts w:hint="eastAsia" w:ascii="黑体" w:eastAsia="黑体"/>
          <w:sz w:val="32"/>
          <w:szCs w:val="32"/>
          <w:lang w:val="en-US" w:eastAsia="zh-CN"/>
        </w:rPr>
        <w:t xml:space="preserve">    </w:t>
      </w:r>
      <w:r>
        <w:rPr>
          <w:rFonts w:hint="eastAsia" w:ascii="黑体" w:eastAsia="黑体"/>
          <w:sz w:val="32"/>
          <w:szCs w:val="32"/>
        </w:rPr>
        <w:t xml:space="preserve">十、名称解释 </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eastAsia="仿宋_GB2312" w:cs="仿宋_GB2312"/>
          <w:kern w:val="2"/>
          <w:sz w:val="32"/>
          <w:szCs w:val="32"/>
          <w:lang w:eastAsia="zh-CN"/>
        </w:rPr>
      </w:pPr>
      <w:r>
        <w:rPr>
          <w:rFonts w:hint="eastAsia" w:ascii="??" w:hAnsi="??" w:eastAsia="宋体" w:cs="宋体"/>
          <w:sz w:val="16"/>
        </w:rPr>
        <w:t>　　</w:t>
      </w:r>
      <w:r>
        <w:rPr>
          <w:rFonts w:hint="eastAsia" w:ascii="??" w:hAnsi="??" w:eastAsia="宋体" w:cs="宋体"/>
          <w:sz w:val="16"/>
          <w:lang w:val="en-US" w:eastAsia="zh-CN"/>
        </w:rPr>
        <w:t xml:space="preserve">  </w:t>
      </w:r>
      <w:r>
        <w:rPr>
          <w:rFonts w:hint="eastAsia" w:ascii="楷体_GB2312" w:hAnsi="楷体_GB2312" w:eastAsia="楷体_GB2312" w:cs="楷体_GB2312"/>
          <w:b/>
          <w:bCs/>
          <w:kern w:val="2"/>
          <w:sz w:val="32"/>
          <w:szCs w:val="32"/>
          <w:lang w:eastAsia="zh-CN"/>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eastAsia="仿宋_GB2312" w:cs="仿宋_GB2312"/>
          <w:kern w:val="2"/>
          <w:sz w:val="32"/>
          <w:szCs w:val="32"/>
          <w:lang w:eastAsia="zh-CN"/>
        </w:rPr>
      </w:pPr>
      <w:r>
        <w:rPr>
          <w:rFonts w:hint="eastAsia" w:cs="仿宋_GB2312"/>
          <w:kern w:val="2"/>
          <w:sz w:val="32"/>
          <w:szCs w:val="32"/>
        </w:rPr>
        <w:t>　　</w:t>
      </w:r>
      <w:r>
        <w:rPr>
          <w:rFonts w:hint="eastAsia" w:ascii="楷体_GB2312" w:hAnsi="楷体_GB2312" w:eastAsia="楷体_GB2312" w:cs="楷体_GB2312"/>
          <w:b/>
          <w:bCs/>
          <w:kern w:val="2"/>
          <w:sz w:val="32"/>
          <w:szCs w:val="32"/>
          <w:lang w:val="en-US" w:eastAsia="zh-CN"/>
        </w:rPr>
        <w:t>（二）事业收入：</w:t>
      </w:r>
      <w:r>
        <w:rPr>
          <w:rFonts w:hint="eastAsia" w:cs="仿宋_GB2312"/>
          <w:kern w:val="2"/>
          <w:sz w:val="32"/>
          <w:szCs w:val="32"/>
        </w:rPr>
        <w:t>指所属事业单位开展专业业务活动及辅助活动所取得的收入。</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eastAsia="仿宋_GB2312" w:cs="仿宋_GB2312"/>
          <w:kern w:val="2"/>
          <w:sz w:val="32"/>
          <w:szCs w:val="32"/>
          <w:lang w:eastAsia="zh-CN"/>
        </w:rPr>
      </w:pPr>
      <w:r>
        <w:rPr>
          <w:rFonts w:hint="eastAsia" w:cs="仿宋_GB2312"/>
          <w:kern w:val="2"/>
          <w:sz w:val="32"/>
          <w:szCs w:val="32"/>
        </w:rPr>
        <w:t>　　</w:t>
      </w:r>
      <w:r>
        <w:rPr>
          <w:rFonts w:hint="eastAsia" w:ascii="楷体_GB2312" w:hAnsi="楷体_GB2312" w:eastAsia="楷体_GB2312" w:cs="楷体_GB2312"/>
          <w:b/>
          <w:bCs/>
          <w:kern w:val="2"/>
          <w:sz w:val="32"/>
          <w:szCs w:val="32"/>
          <w:lang w:val="en-US" w:eastAsia="zh-CN"/>
        </w:rPr>
        <w:t>（三）事业单位经营收入：</w:t>
      </w:r>
      <w:r>
        <w:rPr>
          <w:rFonts w:hint="eastAsia" w:cs="仿宋_GB2312"/>
          <w:kern w:val="2"/>
          <w:sz w:val="32"/>
          <w:szCs w:val="32"/>
        </w:rPr>
        <w:t>指所属事业单位在专业业务活动及其辅助活动之外开展非独立核算经营活动取得的收入。</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eastAsia="仿宋_GB2312" w:cs="仿宋_GB2312"/>
          <w:kern w:val="2"/>
          <w:sz w:val="32"/>
          <w:szCs w:val="32"/>
          <w:lang w:eastAsia="zh-CN"/>
        </w:rPr>
      </w:pPr>
      <w:r>
        <w:rPr>
          <w:rFonts w:hint="eastAsia" w:cs="仿宋_GB2312"/>
          <w:kern w:val="2"/>
          <w:sz w:val="32"/>
          <w:szCs w:val="32"/>
        </w:rPr>
        <w:t>　　</w:t>
      </w:r>
      <w:r>
        <w:rPr>
          <w:rFonts w:hint="eastAsia" w:ascii="楷体_GB2312" w:hAnsi="楷体_GB2312" w:eastAsia="楷体_GB2312" w:cs="楷体_GB2312"/>
          <w:b/>
          <w:bCs/>
          <w:kern w:val="2"/>
          <w:sz w:val="32"/>
          <w:szCs w:val="32"/>
          <w:lang w:val="en-US" w:eastAsia="zh-CN"/>
        </w:rPr>
        <w:t>（四）其他收入：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p>
    <w:p>
      <w:pPr>
        <w:pStyle w:val="13"/>
        <w:keepNext w:val="0"/>
        <w:keepLines w:val="0"/>
        <w:pageBreakBefore w:val="0"/>
        <w:kinsoku/>
        <w:wordWrap/>
        <w:overflowPunct/>
        <w:topLinePunct w:val="0"/>
        <w:autoSpaceDE/>
        <w:autoSpaceDN/>
        <w:bidi w:val="0"/>
        <w:adjustRightInd/>
        <w:spacing w:before="0" w:line="560" w:lineRule="exact"/>
        <w:textAlignment w:val="auto"/>
        <w:rPr>
          <w:rFonts w:hint="eastAsia" w:eastAsia="仿宋_GB2312" w:cs="仿宋_GB2312"/>
          <w:kern w:val="2"/>
          <w:sz w:val="32"/>
          <w:szCs w:val="32"/>
          <w:lang w:eastAsia="zh-CN"/>
        </w:rPr>
      </w:pPr>
      <w:r>
        <w:rPr>
          <w:rFonts w:hint="eastAsia" w:cs="仿宋_GB2312"/>
          <w:kern w:val="2"/>
          <w:sz w:val="32"/>
          <w:szCs w:val="32"/>
        </w:rPr>
        <w:t>　　</w:t>
      </w:r>
      <w:r>
        <w:rPr>
          <w:rFonts w:hint="eastAsia" w:ascii="楷体_GB2312" w:hAnsi="楷体_GB2312" w:eastAsia="楷体_GB2312" w:cs="楷体_GB2312"/>
          <w:b/>
          <w:bCs/>
          <w:kern w:val="2"/>
          <w:sz w:val="32"/>
          <w:szCs w:val="32"/>
          <w:lang w:val="en-US" w:eastAsia="zh-CN"/>
        </w:rPr>
        <w:t>（五）用事业基金弥补收支差额：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p>
    <w:p>
      <w:pPr>
        <w:pStyle w:val="13"/>
        <w:keepNext w:val="0"/>
        <w:keepLines w:val="0"/>
        <w:pageBreakBefore w:val="0"/>
        <w:kinsoku/>
        <w:wordWrap/>
        <w:overflowPunct/>
        <w:topLinePunct w:val="0"/>
        <w:autoSpaceDE/>
        <w:autoSpaceDN/>
        <w:bidi w:val="0"/>
        <w:adjustRightInd/>
        <w:spacing w:before="0" w:line="560" w:lineRule="exact"/>
        <w:textAlignment w:val="auto"/>
        <w:rPr>
          <w:rFonts w:cs="仿宋_GB2312"/>
          <w:kern w:val="2"/>
          <w:sz w:val="32"/>
          <w:szCs w:val="32"/>
        </w:rPr>
      </w:pPr>
      <w:r>
        <w:rPr>
          <w:rFonts w:hint="eastAsia" w:cs="仿宋_GB2312"/>
          <w:kern w:val="2"/>
          <w:sz w:val="32"/>
          <w:szCs w:val="32"/>
        </w:rPr>
        <w:t>　　</w:t>
      </w:r>
      <w:r>
        <w:rPr>
          <w:rFonts w:hint="eastAsia" w:ascii="楷体_GB2312" w:hAnsi="楷体_GB2312" w:eastAsia="楷体_GB2312" w:cs="楷体_GB2312"/>
          <w:b/>
          <w:bCs/>
          <w:kern w:val="2"/>
          <w:sz w:val="32"/>
          <w:szCs w:val="32"/>
          <w:lang w:val="en-US" w:eastAsia="zh-CN"/>
        </w:rPr>
        <w:t>（六）上年结转：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pPr>
        <w:keepNext w:val="0"/>
        <w:keepLines w:val="0"/>
        <w:pageBreakBefore w:val="0"/>
        <w:kinsoku/>
        <w:wordWrap/>
        <w:overflowPunct/>
        <w:topLinePunct w:val="0"/>
        <w:autoSpaceDE/>
        <w:autoSpaceDN/>
        <w:bidi w:val="0"/>
        <w:adjustRightInd/>
        <w:spacing w:line="560" w:lineRule="exact"/>
        <w:textAlignment w:val="auto"/>
        <w:rPr>
          <w:rFonts w:ascii="仿宋_GB2312" w:eastAsia="仿宋_GB2312" w:cs="仿宋_GB2312"/>
          <w:sz w:val="32"/>
          <w:szCs w:val="32"/>
        </w:rPr>
      </w:pPr>
    </w:p>
    <w:sectPr>
      <w:footerReference r:id="rId4" w:type="default"/>
      <w:pgSz w:w="11906" w:h="16838"/>
      <w:pgMar w:top="2098" w:right="1474" w:bottom="1984" w:left="1587" w:header="851" w:footer="992"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F49F6"/>
    <w:rsid w:val="0ED23EEC"/>
    <w:rsid w:val="0ED462C8"/>
    <w:rsid w:val="0FA56B48"/>
    <w:rsid w:val="2EA96D4C"/>
    <w:rsid w:val="342042F8"/>
    <w:rsid w:val="3E066CE5"/>
    <w:rsid w:val="437D2C58"/>
    <w:rsid w:val="56767894"/>
    <w:rsid w:val="7289085B"/>
    <w:rsid w:val="75D003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2"/>
      <w:lang w:val="en-US" w:eastAsia="zh-CN" w:bidi="ar-SA"/>
    </w:rPr>
  </w:style>
  <w:style w:type="paragraph" w:styleId="7">
    <w:name w:val="heading 1"/>
    <w:basedOn w:val="1"/>
    <w:next w:val="1"/>
    <w:qFormat/>
    <w:uiPriority w:val="0"/>
    <w:pPr>
      <w:keepNext/>
      <w:keepLines/>
      <w:spacing w:before="340" w:after="330" w:line="578" w:lineRule="auto"/>
      <w:outlineLvl w:val="0"/>
    </w:pPr>
    <w:rPr>
      <w:b/>
      <w:bCs/>
      <w:kern w:val="44"/>
      <w:sz w:val="44"/>
    </w:rPr>
  </w:style>
  <w:style w:type="paragraph" w:styleId="8">
    <w:name w:val="heading 2"/>
    <w:basedOn w:val="1"/>
    <w:next w:val="1"/>
    <w:qFormat/>
    <w:uiPriority w:val="0"/>
    <w:pPr>
      <w:keepNext/>
      <w:keepLines/>
      <w:spacing w:before="260" w:after="260" w:line="415" w:lineRule="auto"/>
      <w:outlineLvl w:val="1"/>
    </w:pPr>
    <w:rPr>
      <w:rFonts w:ascii="Times New Roman" w:hAnsi="Times New Roman" w:eastAsia="黑体"/>
      <w:b/>
      <w:sz w:val="32"/>
    </w:rPr>
  </w:style>
  <w:style w:type="paragraph" w:styleId="9">
    <w:name w:val="heading 3"/>
    <w:basedOn w:val="1"/>
    <w:next w:val="1"/>
    <w:qFormat/>
    <w:uiPriority w:val="0"/>
    <w:pPr>
      <w:keepNext/>
      <w:keepLines/>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pPr>
  </w:style>
  <w:style w:type="paragraph" w:styleId="3">
    <w:name w:val="Body Text Indent"/>
    <w:basedOn w:val="1"/>
    <w:next w:val="2"/>
    <w:qFormat/>
    <w:uiPriority w:val="0"/>
    <w:pPr>
      <w:ind w:firstLine="600" w:firstLineChars="200"/>
    </w:pPr>
    <w:rPr>
      <w:rFonts w:eastAsia="黑体"/>
      <w:sz w:val="30"/>
    </w:rPr>
  </w:style>
  <w:style w:type="paragraph" w:styleId="4">
    <w:name w:val="footer"/>
    <w:basedOn w:val="1"/>
    <w:next w:val="5"/>
    <w:qFormat/>
    <w:uiPriority w:val="0"/>
    <w:pPr>
      <w:tabs>
        <w:tab w:val="center" w:pos="4153"/>
        <w:tab w:val="right" w:pos="8306"/>
      </w:tabs>
      <w:snapToGrid w:val="0"/>
      <w:jc w:val="left"/>
    </w:pPr>
    <w:rPr>
      <w:sz w:val="18"/>
      <w:szCs w:val="18"/>
    </w:rPr>
  </w:style>
  <w:style w:type="paragraph" w:styleId="5">
    <w:name w:val="header"/>
    <w:basedOn w:val="1"/>
    <w:next w:val="6"/>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next w:val="1"/>
    <w:semiHidden/>
    <w:unhideWhenUsed/>
    <w:qFormat/>
    <w:uiPriority w:val="99"/>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List Paragraph"/>
    <w:basedOn w:val="1"/>
    <w:qFormat/>
    <w:uiPriority w:val="0"/>
    <w:pPr>
      <w:ind w:firstLine="200" w:firstLineChars="200"/>
    </w:pPr>
  </w:style>
  <w:style w:type="paragraph" w:customStyle="1" w:styleId="13">
    <w:name w:val="正文文本1"/>
    <w:basedOn w:val="1"/>
    <w:qFormat/>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Pages>
  <Words>3</Words>
  <Characters>3</Characters>
  <Lines>1</Lines>
  <Paragraphs>1</Paragraphs>
  <TotalTime>2</TotalTime>
  <ScaleCrop>false</ScaleCrop>
  <LinksUpToDate>false</LinksUpToDate>
  <CharactersWithSpaces>3</CharactersWithSpaces>
  <Application>WPS Office_11.1.0.11294_F1E327BC-269C-435d-A152-05C5408002CA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2022-01-12T08:31:00Z</dcterms:created>
  <dc:creator>疯丫头。。</dc:creator>
  <cp:lastModifiedBy>ybyd</cp:lastModifiedBy>
  <cp:lastPrinted>2018-01-30T09:39:00Z</cp:lastPrinted>
  <dcterms:modified xsi:type="dcterms:W3CDTF">2022-01-21T03:16:20Z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0C128744C157429481C9F32FAE8459CA</vt:lpwstr>
  </property>
</Properties>
</file>