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315" w:type="dxa"/>
        <w:tblInd w:w="-1009" w:type="dxa"/>
        <w:tblLayout w:type="fixed"/>
        <w:tblCellMar>
          <w:top w:w="0" w:type="dxa"/>
          <w:left w:w="108" w:type="dxa"/>
          <w:bottom w:w="0" w:type="dxa"/>
          <w:right w:w="108" w:type="dxa"/>
        </w:tblCellMar>
      </w:tblPr>
      <w:tblGrid>
        <w:gridCol w:w="735"/>
        <w:gridCol w:w="1110"/>
        <w:gridCol w:w="1365"/>
        <w:gridCol w:w="2625"/>
        <w:gridCol w:w="1215"/>
        <w:gridCol w:w="840"/>
        <w:gridCol w:w="990"/>
        <w:gridCol w:w="1140"/>
        <w:gridCol w:w="1140"/>
        <w:gridCol w:w="1110"/>
        <w:gridCol w:w="1110"/>
        <w:gridCol w:w="1095"/>
        <w:gridCol w:w="840"/>
      </w:tblGrid>
      <w:tr>
        <w:tblPrEx>
          <w:tblCellMar>
            <w:top w:w="0" w:type="dxa"/>
            <w:left w:w="108" w:type="dxa"/>
            <w:bottom w:w="0" w:type="dxa"/>
            <w:right w:w="108" w:type="dxa"/>
          </w:tblCellMar>
        </w:tblPrEx>
        <w:trPr>
          <w:trHeight w:val="405" w:hRule="atLeast"/>
        </w:trPr>
        <w:tc>
          <w:tcPr>
            <w:tcW w:w="1845" w:type="dxa"/>
            <w:gridSpan w:val="2"/>
            <w:tcBorders>
              <w:top w:val="nil"/>
              <w:left w:val="nil"/>
              <w:bottom w:val="nil"/>
              <w:right w:val="nil"/>
            </w:tcBorders>
            <w:noWrap w:val="0"/>
            <w:vAlign w:val="center"/>
          </w:tcPr>
          <w:p>
            <w:pPr>
              <w:keepNext w:val="0"/>
              <w:keepLines w:val="0"/>
              <w:widowControl/>
              <w:suppressLineNumbers w:val="0"/>
              <w:ind w:firstLine="960" w:firstLineChars="300"/>
              <w:jc w:val="left"/>
              <w:textAlignment w:val="center"/>
              <w:rPr>
                <w:rFonts w:ascii="宋体" w:hAnsi="宋体" w:eastAsia="宋体" w:cs="宋体"/>
                <w:i w:val="0"/>
                <w:iCs w:val="0"/>
                <w:color w:val="000000"/>
                <w:sz w:val="24"/>
                <w:szCs w:val="24"/>
                <w:u w:val="none"/>
              </w:rPr>
            </w:pPr>
            <w:r>
              <w:rPr>
                <w:rFonts w:hint="eastAsia" w:ascii="黑体" w:hAnsi="黑体" w:eastAsia="黑体" w:cs="黑体"/>
                <w:i w:val="0"/>
                <w:iCs w:val="0"/>
                <w:color w:val="000000"/>
                <w:kern w:val="0"/>
                <w:sz w:val="32"/>
                <w:szCs w:val="32"/>
                <w:u w:val="none"/>
                <w:lang w:val="en-US" w:eastAsia="zh-CN" w:bidi="ar"/>
              </w:rPr>
              <w:t>附件</w:t>
            </w:r>
          </w:p>
        </w:tc>
        <w:tc>
          <w:tcPr>
            <w:tcW w:w="1365" w:type="dxa"/>
            <w:tcBorders>
              <w:top w:val="nil"/>
              <w:left w:val="nil"/>
              <w:bottom w:val="nil"/>
              <w:right w:val="nil"/>
            </w:tcBorders>
            <w:noWrap w:val="0"/>
            <w:vAlign w:val="center"/>
          </w:tcPr>
          <w:p>
            <w:pPr>
              <w:jc w:val="left"/>
              <w:rPr>
                <w:rFonts w:hint="eastAsia" w:ascii="宋体" w:hAnsi="宋体" w:eastAsia="宋体" w:cs="宋体"/>
                <w:i w:val="0"/>
                <w:iCs w:val="0"/>
                <w:color w:val="000000"/>
                <w:sz w:val="18"/>
                <w:szCs w:val="18"/>
                <w:u w:val="none"/>
              </w:rPr>
            </w:pPr>
          </w:p>
        </w:tc>
        <w:tc>
          <w:tcPr>
            <w:tcW w:w="2625" w:type="dxa"/>
            <w:tcBorders>
              <w:top w:val="nil"/>
              <w:left w:val="nil"/>
              <w:bottom w:val="nil"/>
              <w:right w:val="nil"/>
            </w:tcBorders>
            <w:noWrap w:val="0"/>
            <w:vAlign w:val="center"/>
          </w:tcPr>
          <w:p>
            <w:pPr>
              <w:jc w:val="left"/>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noWrap w:val="0"/>
            <w:vAlign w:val="center"/>
          </w:tcPr>
          <w:p>
            <w:pPr>
              <w:jc w:val="cente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noWrap/>
            <w:vAlign w:val="center"/>
          </w:tcPr>
          <w:p>
            <w:pPr>
              <w:jc w:val="both"/>
              <w:rPr>
                <w:rFonts w:hint="eastAsia" w:ascii="仿宋_GB2312" w:hAnsi="宋体" w:eastAsia="仿宋_GB2312" w:cs="仿宋_GB2312"/>
                <w:i w:val="0"/>
                <w:iCs w:val="0"/>
                <w:color w:val="000000"/>
                <w:sz w:val="32"/>
                <w:szCs w:val="32"/>
                <w:u w:val="none"/>
              </w:rPr>
            </w:pPr>
          </w:p>
        </w:tc>
        <w:tc>
          <w:tcPr>
            <w:tcW w:w="990" w:type="dxa"/>
            <w:tcBorders>
              <w:top w:val="nil"/>
              <w:left w:val="nil"/>
              <w:bottom w:val="nil"/>
              <w:right w:val="nil"/>
            </w:tcBorders>
            <w:noWrap w:val="0"/>
            <w:vAlign w:val="center"/>
          </w:tcPr>
          <w:p>
            <w:pPr>
              <w:jc w:val="left"/>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noWrap/>
            <w:vAlign w:val="center"/>
          </w:tcPr>
          <w:p>
            <w:pPr>
              <w:jc w:val="cente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noWrap/>
            <w:vAlign w:val="center"/>
          </w:tcPr>
          <w:p>
            <w:pPr>
              <w:jc w:val="cente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noWrap/>
            <w:vAlign w:val="center"/>
          </w:tcPr>
          <w:p>
            <w:pPr>
              <w:jc w:val="center"/>
              <w:rPr>
                <w:rFonts w:hint="eastAsia" w:ascii="宋体" w:hAnsi="宋体" w:eastAsia="宋体" w:cs="宋体"/>
                <w:i w:val="0"/>
                <w:iCs w:val="0"/>
                <w:color w:val="000000"/>
                <w:sz w:val="18"/>
                <w:szCs w:val="18"/>
                <w:u w:val="none"/>
              </w:rPr>
            </w:pPr>
          </w:p>
        </w:tc>
        <w:tc>
          <w:tcPr>
            <w:tcW w:w="1110" w:type="dxa"/>
            <w:tcBorders>
              <w:top w:val="nil"/>
              <w:left w:val="nil"/>
              <w:bottom w:val="nil"/>
              <w:right w:val="nil"/>
            </w:tcBorders>
            <w:noWrap/>
            <w:vAlign w:val="center"/>
          </w:tcPr>
          <w:p>
            <w:pPr>
              <w:jc w:val="center"/>
              <w:rPr>
                <w:rFonts w:hint="eastAsia" w:ascii="宋体" w:hAnsi="宋体" w:eastAsia="宋体" w:cs="宋体"/>
                <w:i w:val="0"/>
                <w:iCs w:val="0"/>
                <w:color w:val="000000"/>
                <w:sz w:val="18"/>
                <w:szCs w:val="18"/>
                <w:u w:val="none"/>
              </w:rPr>
            </w:pPr>
          </w:p>
        </w:tc>
        <w:tc>
          <w:tcPr>
            <w:tcW w:w="1095" w:type="dxa"/>
            <w:tcBorders>
              <w:top w:val="nil"/>
              <w:left w:val="nil"/>
              <w:bottom w:val="nil"/>
              <w:right w:val="nil"/>
            </w:tcBorders>
            <w:noWrap/>
            <w:vAlign w:val="center"/>
          </w:tcPr>
          <w:p>
            <w:pPr>
              <w:jc w:val="center"/>
              <w:rPr>
                <w:rFonts w:hint="eastAsia" w:ascii="宋体" w:hAnsi="宋体" w:eastAsia="宋体" w:cs="宋体"/>
                <w:i w:val="0"/>
                <w:iCs w:val="0"/>
                <w:color w:val="000000"/>
                <w:sz w:val="18"/>
                <w:szCs w:val="18"/>
                <w:u w:val="none"/>
              </w:rPr>
            </w:pPr>
          </w:p>
        </w:tc>
        <w:tc>
          <w:tcPr>
            <w:tcW w:w="840" w:type="dxa"/>
            <w:tcBorders>
              <w:top w:val="nil"/>
              <w:left w:val="nil"/>
              <w:bottom w:val="nil"/>
              <w:right w:val="nil"/>
            </w:tcBorders>
            <w:noWrap w:val="0"/>
            <w:vAlign w:val="center"/>
          </w:tcPr>
          <w:p>
            <w:pPr>
              <w:jc w:val="center"/>
              <w:rPr>
                <w:rFonts w:hint="eastAsia" w:ascii="宋体" w:hAnsi="宋体" w:eastAsia="宋体" w:cs="宋体"/>
                <w:i w:val="0"/>
                <w:iCs w:val="0"/>
                <w:color w:val="000000"/>
                <w:sz w:val="18"/>
                <w:szCs w:val="18"/>
                <w:u w:val="none"/>
              </w:rPr>
            </w:pPr>
          </w:p>
        </w:tc>
      </w:tr>
      <w:tr>
        <w:tblPrEx>
          <w:tblCellMar>
            <w:top w:w="0" w:type="dxa"/>
            <w:left w:w="108" w:type="dxa"/>
            <w:bottom w:w="0" w:type="dxa"/>
            <w:right w:w="108" w:type="dxa"/>
          </w:tblCellMar>
        </w:tblPrEx>
        <w:trPr>
          <w:trHeight w:val="405" w:hRule="atLeast"/>
        </w:trPr>
        <w:tc>
          <w:tcPr>
            <w:tcW w:w="15315" w:type="dxa"/>
            <w:gridSpan w:val="13"/>
            <w:tcBorders>
              <w:top w:val="nil"/>
              <w:left w:val="nil"/>
              <w:bottom w:val="nil"/>
              <w:right w:val="nil"/>
            </w:tcBorders>
            <w:noWrap w:val="0"/>
            <w:vAlign w:val="center"/>
          </w:tcPr>
          <w:p>
            <w:pPr>
              <w:keepNext w:val="0"/>
              <w:keepLines w:val="0"/>
              <w:widowControl/>
              <w:suppressLineNumbers w:val="0"/>
              <w:jc w:val="center"/>
              <w:textAlignment w:val="center"/>
              <w:rPr>
                <w:rFonts w:ascii="宋体" w:hAnsi="宋体" w:eastAsia="宋体" w:cs="宋体"/>
                <w:b/>
                <w:bCs/>
                <w:i w:val="0"/>
                <w:iCs w:val="0"/>
                <w:color w:val="000000"/>
                <w:sz w:val="32"/>
                <w:szCs w:val="32"/>
                <w:u w:val="none"/>
              </w:rPr>
            </w:pPr>
            <w:r>
              <w:rPr>
                <w:rFonts w:ascii="宋体" w:hAnsi="宋体" w:eastAsia="宋体" w:cs="宋体"/>
                <w:b/>
                <w:bCs/>
                <w:i w:val="0"/>
                <w:iCs w:val="0"/>
                <w:color w:val="000000"/>
                <w:kern w:val="0"/>
                <w:sz w:val="36"/>
                <w:szCs w:val="36"/>
                <w:u w:val="none"/>
                <w:lang w:val="en-US" w:eastAsia="zh-CN" w:bidi="ar"/>
              </w:rPr>
              <w:t>阿坝州新增医疗服务项目试行价格表</w:t>
            </w:r>
          </w:p>
        </w:tc>
      </w:tr>
      <w:tr>
        <w:tblPrEx>
          <w:tblCellMar>
            <w:top w:w="0" w:type="dxa"/>
            <w:left w:w="108" w:type="dxa"/>
            <w:bottom w:w="0" w:type="dxa"/>
            <w:right w:w="108" w:type="dxa"/>
          </w:tblCellMar>
        </w:tblPrEx>
        <w:trPr>
          <w:trHeight w:val="642"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bookmarkStart w:id="0" w:name="_GoBack"/>
            <w:r>
              <w:rPr>
                <w:rFonts w:ascii="宋体" w:hAnsi="宋体" w:eastAsia="宋体" w:cs="宋体"/>
                <w:i w:val="0"/>
                <w:iCs w:val="0"/>
                <w:color w:val="000000"/>
                <w:kern w:val="0"/>
                <w:sz w:val="24"/>
                <w:szCs w:val="24"/>
                <w:u w:val="none"/>
                <w:lang w:val="en-US" w:eastAsia="zh-CN" w:bidi="ar"/>
              </w:rPr>
              <w:t>序号</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编码</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项目名称</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项目内涵</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除外内容</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计价单位</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说明</w:t>
            </w:r>
          </w:p>
        </w:tc>
        <w:tc>
          <w:tcPr>
            <w:tcW w:w="11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三甲</w:t>
            </w:r>
          </w:p>
        </w:tc>
        <w:tc>
          <w:tcPr>
            <w:tcW w:w="11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三乙</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二甲</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二乙</w:t>
            </w:r>
          </w:p>
        </w:tc>
        <w:tc>
          <w:tcPr>
            <w:tcW w:w="10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一级及以下</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备注</w:t>
            </w:r>
          </w:p>
        </w:tc>
      </w:tr>
      <w:bookmarkEnd w:id="0"/>
      <w:tr>
        <w:tblPrEx>
          <w:tblCellMar>
            <w:top w:w="0" w:type="dxa"/>
            <w:left w:w="108" w:type="dxa"/>
            <w:bottom w:w="0" w:type="dxa"/>
            <w:right w:w="108" w:type="dxa"/>
          </w:tblCellMar>
        </w:tblPrEx>
        <w:trPr>
          <w:trHeight w:val="6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320500011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经皮冠状动脉内溶栓术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含冠脉造影</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3042.00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2798.00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2574.00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2368.00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2179.00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30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HDE48101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胰岛素皮下注射</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核对医嘱及患者信息，检查注射器及药物，用无菌注射器配置药物，取适当体位，选择并确定注射部位，皮肤消毒（直径大于5厘米），再次核对患者信息，将药物注入皮下组织并核对患者信息，协助患者采取舒适体位，处理用物，用药后观察用药反应，做好健康教育及心理护理，必要时记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胰岛素注射针头</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5.40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5.40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5.40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xml:space="preserve">5.00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57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330100006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血液加温治疗</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包括术中加温和体外加温</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输液、输血</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小时</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取消原价格</w:t>
            </w:r>
          </w:p>
        </w:tc>
      </w:tr>
      <w:tr>
        <w:trPr>
          <w:trHeight w:val="70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330100006-1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术中加温</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加温袋、加温毡、温度探头</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小时</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72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330100006-2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体外加温</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加温袋、加温毡、温度探头</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小时</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2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330606004</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腭弓成形术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包括舌腭弓或咽腭弓成形术</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460.00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423.00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389.00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358.00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329.00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54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331005020</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器官联合移植术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供体</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8981.00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8263.00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7601.00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6993.00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6434.00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3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331102016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输尿管整形术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1744.00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1605.00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1476.00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1358.00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1249.00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8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331103008</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膀胱再造术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含膀胱全切术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3660.00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3367.00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3098.00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2850.00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2622.00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3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331103009</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回肠膀胱术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含阑尾切除术；包括结肠</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2504.00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2119.00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1949.00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1793.00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8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331103010</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可控性回肠膀胱术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含阑尾切除术；包括结肠</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2578.00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2372.00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2182.00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2007.00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1846.00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2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331103011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回肠扩大膀胱术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包括结肠</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2831.00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2396.00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2204.00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2028.00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55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331103012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直肠膀胱术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含乙状结肠造瘘</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2504.00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2119.00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1949.00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1793.00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8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331103013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胃代膀胱术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3484.00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3205.00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2949.00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2713.00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2496.00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582"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331103014</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肠道原位膀胱术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2450.00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2254.00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2074.00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1908.00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1755.00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242"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MAGAZ020</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听觉能力评定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评估患者的自然环境声，声母、韵母、声调，单音节词，双音节词，三音节词和短句的识别率，以及在嘈杂环境中对语音的识别率。</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治疗师1名；耗时1.5小时</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119.00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90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MAMZY006</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咨询与培训</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治疗师对患者或其家属进行康复相关常识的培训，增强其对康复的正确认识，以便更好地开展家庭康复。</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治疗师1名；耗时30分钟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56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MBBZX020</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上下肢协调功能训练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治疗师根据患者病情不同，让患者上肢运动带动下肢运动，促进患者下肢力量提升与上下肢协调运动。</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治疗师1名；耗时20分钟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31.00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28.50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9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MBBZX023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肌力训练</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治疗师利用各种力量训练器增强患者不同部位的肌肉力量，如股四头肌训练器等。</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治疗师1名；耗时30分钟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44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MBDZX014</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口肌训练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治疗师利用主动口肌训练、被动口肌训练、感知训练提高口部肌肉的感知、力度、控制活动能力使各种口肌功能正常化。</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治疗师1名；耗时20分钟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9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MBZRG002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肠道功能训练</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治疗师对患者腹部及其周围部位通过手法进行被动的、辅助的放松和相应的刺激，加强患者肠道蠕动和排空。</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治疗师1名；耗时20分钟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41.50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662"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MBBZX012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功率自行车康复训练</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治疗师根据患者具体情况，采用可调速度、可调功率的功率车对患者进行康复训练。训练中对心率进行监测。</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治疗师1；耗时30分钟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542"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MBBZX003</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持续性被动关节活动范围训练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利用持续被动关节活动范围训练专用设备，对患者肩、肘、腕、髋、膝、踝关节，设定持续被动关节活动范围训练的时间、阻力、速度和间歇时间等参数，在监测的状况下，进行被动关节活动范围训练。</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治疗师1；耗时30分钟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14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MBFZX003</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认知障碍康复训练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对注意障碍、记忆障碍、失算症、分类障碍、推理障碍、序列思维障碍、执行中功能障碍等进行一对一康复训练。训练成绩自动记录。</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治疗师1；耗时30分钟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92.00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78.00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72.00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67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330204020</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脑脊液置换术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432.00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310.00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3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MBDZX008</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发声障碍训练</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通过体位与呼吸功能的改善训练、放松训练、持续发声训练，改善异常音调、音量、音质训练以及正确用声方法的指导和发声障碍后的治疗。</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治疗师1；耗时20分钟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8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MBDZX007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构音障碍训练</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指导患者进行呼吸训练、放松训练、构音改善训练、克服鼻音化训练、克服费力音训练、克服气息音训练、韵律训练、语音工作站、交流系统应用训练等对患者进行发声及矫正错误发音的训练。</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治疗师1；耗时20分钟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662"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MBDZZ001</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言语矫正治疗</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言语治疗医师对患者呼吸功能评估、发声功能评估、共鸣功能评估和构音功能进行有针对性的训练和矫正，可通过计算机软件，患者应用耳机和麦克风，通过人机对话方式进行训练。</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治疗师1；耗时30分钟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79.00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73.00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62.00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57.00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822"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MBDZX012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言语语言综合训练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治疗师利用言语语言综合训练系统对各类言语障碍的患者进行治疗与训练。</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治疗师1名；耗时30分钟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79.00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73.00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62.00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57.00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8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18"/>
                <w:szCs w:val="18"/>
                <w:u w:val="none"/>
              </w:rPr>
            </w:pPr>
            <w:r>
              <w:rPr>
                <w:rFonts w:ascii="宋体" w:hAnsi="宋体" w:eastAsia="宋体" w:cs="宋体"/>
                <w:i w:val="0"/>
                <w:iCs w:val="0"/>
                <w:color w:val="auto"/>
                <w:kern w:val="0"/>
                <w:sz w:val="18"/>
                <w:szCs w:val="18"/>
                <w:u w:val="none"/>
                <w:lang w:val="en-US" w:eastAsia="zh-CN" w:bidi="ar"/>
              </w:rPr>
              <w:t>30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MABX7002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关节活动度测定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治疗师利用三维关节活动测量仪的方式，摆放不同体位，让患者被动或主动地进行关节活动，根据动作完成的状况与质量，利用传感器准确地摆放传感器的位置，记录关节的活动度。人工报告。</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治疗师2；耗时20分钟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49.50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45.50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42.00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核定</w:t>
            </w:r>
          </w:p>
        </w:tc>
      </w:tr>
      <w:tr>
        <w:tblPrEx>
          <w:tblCellMar>
            <w:top w:w="0" w:type="dxa"/>
            <w:left w:w="108" w:type="dxa"/>
            <w:bottom w:w="0" w:type="dxa"/>
            <w:right w:w="108" w:type="dxa"/>
          </w:tblCellMar>
        </w:tblPrEx>
        <w:trPr>
          <w:trHeight w:val="9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330100008</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术后镇痛</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包括静脉硬膜外及腰麻硬膜外联合给药,包括分娩</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腰麻硬膜外联合套件、镇痛装置</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天</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需穿刺的加收椎管内置管术费</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取消原价格</w:t>
            </w:r>
          </w:p>
        </w:tc>
      </w:tr>
      <w:tr>
        <w:trPr>
          <w:trHeight w:val="181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330100008-1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自控静脉镇痛治疗</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指患者或产妇通过硬膜外自行控制给药的镇痛治疗。可使用电子泵或一次性镇痛泵。观察镇痛效果，患者生命体征，并发症等。不含特殊检查、特殊监测。</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日</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63.00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44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330100008-2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自控硬膜外镇痛治疗</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指患者或产妇自行控制给药的镇痛治疗。经硬膜外导管放置患者自控镇痛泵进行持续镇痛。观察镇痛效果，患者生命体征，并发症等。不含监测项目、硬膜外穿刺置管。</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日</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72.00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66.00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62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MAGAZ021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认知学习能力评定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是指治疗师运用认知知觉功能障碍评估系统对患者进行包括记忆、语言、视空间、执行、计算和理解判断等方面进行测试，并通过患者的表现，结合临床诊断和测试结果进行总结，判断出患者的认知水平。</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治疗师1名；耗时1.5小时</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639"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MBBZX022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体适能训练</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治疗师利用徒手或简单器材，通过综合性地组织有氧训练、力量训练、耐力训练和整理活动等，增强和改善患者的体适能。</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治疗师1名；耗时20分钟</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39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250503016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抗甲状腺过氧化物酶抗体（A-TPO）测定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样本类型：血液。样本采集、签收、处理，定标和质控，检测样本，审核结果，录入实验室信息系统或人工登记，发送报告；按规定处理废弃物；接受临床相关咨询。</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41.50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575"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250310068</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胃泌素17（G-17）测定</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样本类型：血液。样本采集、签收、处理，定标和质控，检测样本，审核结果，录入实验室信息系统或人工登记，发送报告；按规定处理废弃物；接受临床相关咨询。</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99.00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71.00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622"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250404027</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胃蛋白酶原定量检测</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时间分辨荧光免疫分析技术（TRFIA）检测方法和试剂，本服务价格包含检测过程中等所需的一次性卫生耗材。样本类型：血液.样本采集、签收、处理，定标和质控，检测样本，审核结果，录入实验室信息系统或人工登记，发送报告；按规定处理废弃物；接受临床相关咨询。</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项</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72.00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66.00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78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KJA21905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高浓度氧射流雾化治疗</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高压氧常规治疗中应用高浓度氧射流雾化装置进行雾化吸入治疗。</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22.50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2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310701029</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动脉硬化指数测定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患者仰卧，皮肤清洁，将血管检查仪的四肢测压袖带及脉搏检测装置安置在患者相应位置，输入病人信息开始检测出各项数据，经过两次自动检测的数据，仪器自动分析，打印报告。包含一次性耗材。含踝臂指数（ABI）、脉搏波传导速度（PWV）、四肢血压水平。</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330201032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多处软脑膜下横纤维切断术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3429.00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3155.00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2903.00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2670.00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2456.00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经颅内镜第三脑室底造瘘术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2450.00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2254.00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2074.00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1908.00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1755.00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经颅内镜经鼻蝶垂体肿瘤切除术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2204.00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2028.00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1866.00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1717.00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1580.00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经颅内镜脑内囊肿造口术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1959.00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1802.00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1658.00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1525.00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1403.00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经颅内镜脑内异物摘除术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需在立体定位下</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2286.00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2103.00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1935.00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1780.00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1638.00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330201048</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经颅内镜脑室脉络丛烧灼术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1796.00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1652.00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1520.00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1398.00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1286.00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9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330201049</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终板造瘘术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2552.00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2160.00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1987.00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1828.00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2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330201055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颅缝骨化症整形术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特殊固定材料</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2831.00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2605.00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2397.00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2205.00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2028.00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330201056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骨纤维异常增殖切除整形术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3791.00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3488.00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3209.00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2952.00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2716.00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55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330201057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颅缝再造术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1946.00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1790.00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1647.00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1515.00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1394.00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330202007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颅神经微血管减压术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包括三叉神经、面神经、听神经、舌咽神经、迷走神经</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3362.00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3093.00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2846.00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2618.00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2409.00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330202013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面神经周围神经移植术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3048.00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2580.00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2374.00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2184.00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330203007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颈内动脉内膜剥脱术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不含术中血流监测。含行动脉成形术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2926.00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2692.00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2477.00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2279.00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2097.00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675"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330203010</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颈动脉外膜剥脱术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包括颈总动脉、颈内动脉、颈外动脉外膜剥脱术、迷走神经剥离术</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单侧</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双侧加倍</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2776.00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2554.00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2350.00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2162.00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1989.00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330203012</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颅外内动脉搭桥术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2776.00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2554.00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2350.00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2162.00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1989.00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330203013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颞肌颞浅动脉贴敷术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含血管吻合术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2695.00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2479.00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2281.00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2099.00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1931.00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330803003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经胸腔镜心包部分切除术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3033.00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2790.00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2567.00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2362.00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2173.00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8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330803005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心包开窗引流术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2060.00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1895.00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1743.00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1604.00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1476.00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28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330803007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心脏外伤修补术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包括清创、引流</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2776.00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2554.00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2350.00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2162.00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1989.00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330804036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腔静脉取栓＋血管成形术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3048.00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2580.00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2374.00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2184.00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9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331008025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门体静脉搭桥分流术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含经网膜静脉门静脉测压术；不含脾切除术、肝活检术</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、各种断流术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3048.00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2804.00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2580.00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2374.00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2184.00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67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331008026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门体静脉断流术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含食管、胃底周围血管离断加脾切除术；包括经网膜静脉门静脉测压术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食管横断吻合术加收20%</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2414.00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2221.00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2043.00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1880.00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1730.00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28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331102018</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肠管代输尿管术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2376.00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2186.00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2011.00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1850.00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1702.00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331102019</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膀胱瓣代输尿管术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2477.00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2279.00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2097.00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1929.00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1775.00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331103020</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膀胱颈部Y—V成形术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1497.00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1377.00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1267.00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1166.00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1073.00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8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331103021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膀胱颈重建术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包括紧缩术</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1680.00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1546.00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1422.00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1308.00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1203.00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331104019</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尿道瓣膜切除成形术</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1567.00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1442.00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1327.00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1221.00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1123.00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8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331602002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体表异物取出术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不含X线定位</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40.00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331603015</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自体皮细胞悬液制备</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1%体表面积</w:t>
            </w:r>
          </w:p>
        </w:tc>
        <w:tc>
          <w:tcPr>
            <w:tcW w:w="99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292.00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269.00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209.00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331604032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带蒂轴型皮瓣切取移植术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2831.00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2605.00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2397.00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2205.00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2029.00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5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331604033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带血运骨皮瓣切取移植术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3399.00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3127.00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2877.00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2435.00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23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72</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KND39801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富血小板血浆治疗术（PRP）</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通过离心的方法从自体全血提取富含有高浓度的血小板、白细胞和纤维蛋白的血小板浓缩液并通过局部覆盖的方式应用于病变部位。</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富血小板血浆（PRP）制备套装</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234.00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215.00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198.00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167.00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8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MABX7002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关节活动度测定</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治疗师利用三维关节活动测量仪的方式，摆放不同体位，让患者被动或主动地进行关节活动，根据动作完成的状况与质量，利用传感器准确地摆放传感器的位置，记录关节的活动度。人工报告。</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治疗师2；耗时20分钟</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49.50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45.50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9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490100027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札梅</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将艾叶进行特殊加工后，根据患者的体质及病症做成不同大小状，在相应的部位施灸。</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每个</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穴位</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96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490100028</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札典色克疗法</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按照病症将艾绒做成椭圆形放在金针上加热，置于特定穴位，从而达到治疗的效果。</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44.00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76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490100029</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擦肽术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在酒精灯上，把针烧成银白色后立刻刺入相应的穴位，用于治疗头部和四肢积液。</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739"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77</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490100030</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龙杜</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容器内放置病情需要的藏药材，通过熏药后达到治疗效果。</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216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藏医敷疗</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病情选定治疗部位，根据病性、病情、患者体质等确定临时调配藏药，将临方配制及临时调配藏药混合与青稞酒伴炒，等药温达45度左右，装入大小适宜的布袋里，扎紧袋口，趁热将药袋敷于治疗部位，严格掌握敷疗温度及时间。</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药物、敷料</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53.00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42.00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103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热吉疗法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根据适应症将牛角罐贴置在病痛处，针管抽出空气，针刺，再用牛角罐其将积液吸出。</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40.00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79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490100033</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优杰疗法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以药棒对靶点施术敲、点、打、拍、按、压等复式手法，进行治疗的方法。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32.50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28.00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26.00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24.00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85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490100034</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陶罐疗法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适用于虚寒型患者，将药物敷于患者头部，用加热后的陶罐进行头部治疗。</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57.00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84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490300008</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西比庆宝疗法</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根据藏医诊断为小儿肝下垂，通过藏医独特的方法，使用特定的器械进行治疗。</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675"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490400008</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小儿耳脉诊断</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医生通过“望”小儿的耳脉，以此来达到诊断疾病的目的。</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7.50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6.50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6.00 </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9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章肽术</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按照辩证方法选择胸部、腹部相应穴位，将积液、黄水、脓包、坏血抽出或放出的疗法。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59.00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51.00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559"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490100012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藏医放血疗法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含卫生材料</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　</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取消价格</w:t>
            </w:r>
          </w:p>
        </w:tc>
      </w:tr>
      <w:tr>
        <w:trPr>
          <w:trHeight w:val="90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490100012-1</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藏医放血疗法（小）</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含卫生材料。包括达热放血、鼻尖放血、培根夏仁放血、加砸处放血、白丘放血、觉宫放血、森拉加砸放血。</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药物（三果汤、止血药等）</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93.00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86.00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74.00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68.00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234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490100012-2</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藏医放血疗法（中）</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含卫生材料。包括措桑放血、扎砸放血、达砸放血、赤巴下仁放血、秋色下仁放血、洛宁东砸放血、米砸放血、素砸放血、洛庆东砸放血、庆赤东砸放血、直砸放血、色同放血、欧同放血、井加放血。</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药物（三果汤、止血药等）</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104.00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97.00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83.00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76.00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845"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490100012-3</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藏医放血疗法（大）</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含卫生材料。包括寄砸放血、孜琼放血、内噶放血、如同放血、岗砸放血、龙砸放血、井秀放血、纠砸放血、巴砸放血、达突放血、优公放血、秋色东砸放血、破参掌砸放血、西比觉嘎放血、通砸放血。</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药物（三果汤、止血药等）</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128.00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119.00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110.00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101.00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93.00 </w:t>
            </w:r>
          </w:p>
        </w:tc>
        <w:tc>
          <w:tcPr>
            <w:tcW w:w="8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80" w:hRule="atLeast"/>
        </w:trPr>
        <w:tc>
          <w:tcPr>
            <w:tcW w:w="7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11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490100035</w:t>
            </w:r>
          </w:p>
        </w:tc>
        <w:tc>
          <w:tcPr>
            <w:tcW w:w="13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小儿脑瘫点穴治疗</w:t>
            </w:r>
          </w:p>
        </w:tc>
        <w:tc>
          <w:tcPr>
            <w:tcW w:w="262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使用加热后的药物点穴治疗。</w:t>
            </w:r>
          </w:p>
        </w:tc>
        <w:tc>
          <w:tcPr>
            <w:tcW w:w="12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46.50 </w:t>
            </w:r>
          </w:p>
        </w:tc>
        <w:tc>
          <w:tcPr>
            <w:tcW w:w="11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43.00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40.00 </w:t>
            </w:r>
          </w:p>
        </w:tc>
        <w:tc>
          <w:tcPr>
            <w:tcW w:w="111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37.00 </w:t>
            </w:r>
          </w:p>
        </w:tc>
        <w:tc>
          <w:tcPr>
            <w:tcW w:w="1095"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34.00 </w:t>
            </w:r>
          </w:p>
        </w:tc>
        <w:tc>
          <w:tcPr>
            <w:tcW w:w="840" w:type="dxa"/>
            <w:tcBorders>
              <w:top w:val="single" w:color="auto" w:sz="4" w:space="0"/>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123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490300004</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藏医灌肠疗法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用各种藏药混合后整成条状、或藏药混合后煎至常温后缓慢注入肛门放置于内的一种治疗方法。包括仁布朵哇、怒日哈、角孜朵哇。</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42.00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39.00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36.00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43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91</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490300005</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藏医温泻疗法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用温和性药物催泻的方法。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52.00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49.00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45.00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41.00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38.00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39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490300006</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藏医强泻疗法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用强性药物催泻的方法。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76.00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blPrEx>
          <w:tblCellMar>
            <w:top w:w="0" w:type="dxa"/>
            <w:left w:w="108" w:type="dxa"/>
            <w:bottom w:w="0" w:type="dxa"/>
            <w:right w:w="108" w:type="dxa"/>
          </w:tblCellMar>
        </w:tblPrEx>
        <w:trPr>
          <w:trHeight w:val="810"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490300007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藏医催吐疗法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用强性风火性药物或温和性药物方法催吐的一种治疗方法。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次</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90.00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83.00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76.00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70.00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r>
        <w:trPr>
          <w:trHeight w:val="705" w:hRule="atLeast"/>
        </w:trPr>
        <w:tc>
          <w:tcPr>
            <w:tcW w:w="73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w:t>
            </w:r>
          </w:p>
        </w:tc>
        <w:tc>
          <w:tcPr>
            <w:tcW w:w="111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490400007</w:t>
            </w:r>
          </w:p>
        </w:tc>
        <w:tc>
          <w:tcPr>
            <w:tcW w:w="136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脉泻疗法</w:t>
            </w:r>
          </w:p>
        </w:tc>
        <w:tc>
          <w:tcPr>
            <w:tcW w:w="2625"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口服药物与起居运动疗法联用，排出坏血与病灶的疗法。</w:t>
            </w:r>
          </w:p>
        </w:tc>
        <w:tc>
          <w:tcPr>
            <w:tcW w:w="1215"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药物</w:t>
            </w:r>
          </w:p>
        </w:tc>
        <w:tc>
          <w:tcPr>
            <w:tcW w:w="8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日</w:t>
            </w:r>
          </w:p>
        </w:tc>
        <w:tc>
          <w:tcPr>
            <w:tcW w:w="99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186.00 </w:t>
            </w:r>
          </w:p>
        </w:tc>
        <w:tc>
          <w:tcPr>
            <w:tcW w:w="11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173.00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160.00 </w:t>
            </w:r>
          </w:p>
        </w:tc>
        <w:tc>
          <w:tcPr>
            <w:tcW w:w="111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147.00 </w:t>
            </w:r>
          </w:p>
        </w:tc>
        <w:tc>
          <w:tcPr>
            <w:tcW w:w="1095"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 xml:space="preserve">135.00 </w:t>
            </w:r>
          </w:p>
        </w:tc>
        <w:tc>
          <w:tcPr>
            <w:tcW w:w="840"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核定</w:t>
            </w:r>
          </w:p>
        </w:tc>
      </w:tr>
    </w:tbl>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spacing w:line="560" w:lineRule="exact"/>
        <w:textAlignment w:val="auto"/>
        <w:rPr>
          <w:rFonts w:hint="eastAsia" w:ascii="仿宋_GB2312" w:eastAsia="仿宋_GB2312"/>
          <w:sz w:val="32"/>
          <w:szCs w:val="32"/>
        </w:rPr>
        <w:sectPr>
          <w:pgSz w:w="16838" w:h="11906" w:orient="landscape"/>
          <w:pgMar w:top="1588" w:right="2098" w:bottom="1474" w:left="1985" w:header="851" w:footer="1588" w:gutter="0"/>
          <w:pgNumType w:fmt="numberInDash"/>
          <w:cols w:space="720" w:num="1"/>
          <w:titlePg/>
          <w:docGrid w:type="lines" w:linePitch="289"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5F6AA6"/>
    <w:rsid w:val="EF5F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2021-12-01T10:33:00Z</dcterms:created>
  <dc:creator>user</dc:creator>
  <cp:lastModifiedBy>user</cp:lastModifiedBy>
  <dcterms:modified xsi:type="dcterms:W3CDTF">2021-12-01T10:33:56Z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