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00589A">
      <w:pPr>
        <w:pStyle w:val="8"/>
        <w:rPr>
          <w:rFonts w:hint="eastAsia" w:ascii="Times New Roman" w:hAnsi="Times New Roman" w:eastAsia="微软雅黑" w:cs="Times New Roman"/>
          <w:color w:val="auto"/>
          <w:kern w:val="2"/>
          <w:sz w:val="72"/>
          <w:szCs w:val="72"/>
          <w:highlight w:val="none"/>
          <w:lang w:val="en-US" w:eastAsia="zh-CN" w:bidi="ar-SA"/>
        </w:rPr>
      </w:pPr>
      <w:bookmarkStart w:id="0" w:name="_Toc15377425"/>
      <w:bookmarkStart w:id="1" w:name="_Toc15396475"/>
      <w:bookmarkStart w:id="2" w:name="_Toc15377193"/>
      <w:bookmarkStart w:id="3" w:name="_Toc15306267"/>
      <w:bookmarkStart w:id="4" w:name="_Toc15396597"/>
      <w:bookmarkStart w:id="5" w:name="_Toc15378441"/>
    </w:p>
    <w:p w14:paraId="2B81399B">
      <w:pPr>
        <w:pStyle w:val="8"/>
        <w:rPr>
          <w:rFonts w:hint="eastAsia" w:ascii="Times New Roman" w:hAnsi="Times New Roman" w:eastAsia="微软雅黑" w:cs="Times New Roman"/>
          <w:color w:val="auto"/>
          <w:kern w:val="2"/>
          <w:sz w:val="72"/>
          <w:szCs w:val="72"/>
          <w:highlight w:val="none"/>
          <w:lang w:val="en-US" w:eastAsia="zh-CN" w:bidi="ar-SA"/>
        </w:rPr>
      </w:pPr>
    </w:p>
    <w:p w14:paraId="017D3EFE">
      <w:pPr>
        <w:pStyle w:val="8"/>
        <w:rPr>
          <w:rFonts w:hint="eastAsia" w:ascii="Times New Roman" w:hAnsi="Times New Roman" w:eastAsia="微软雅黑" w:cs="Times New Roman"/>
          <w:color w:val="auto"/>
          <w:kern w:val="2"/>
          <w:sz w:val="72"/>
          <w:szCs w:val="72"/>
          <w:highlight w:val="none"/>
          <w:lang w:val="en-US" w:eastAsia="zh-CN" w:bidi="ar-SA"/>
        </w:rPr>
      </w:pPr>
    </w:p>
    <w:p w14:paraId="21C59E44">
      <w:pPr>
        <w:pStyle w:val="8"/>
        <w:jc w:val="center"/>
        <w:rPr>
          <w:rFonts w:hint="eastAsia" w:ascii="Times New Roman" w:hAnsi="Times New Roman" w:eastAsia="微软雅黑" w:cs="Times New Roman"/>
          <w:color w:val="auto"/>
          <w:kern w:val="2"/>
          <w:sz w:val="44"/>
          <w:szCs w:val="44"/>
          <w:highlight w:val="none"/>
          <w:lang w:val="en-US" w:eastAsia="zh-CN" w:bidi="ar-SA"/>
        </w:rPr>
      </w:pPr>
      <w:r>
        <w:rPr>
          <w:rFonts w:hint="eastAsia" w:ascii="Times New Roman" w:eastAsia="微软雅黑" w:cs="Times New Roman"/>
          <w:color w:val="auto"/>
          <w:kern w:val="2"/>
          <w:sz w:val="44"/>
          <w:szCs w:val="44"/>
          <w:highlight w:val="none"/>
          <w:lang w:val="en-US" w:eastAsia="zh-CN" w:bidi="ar-SA"/>
        </w:rPr>
        <w:t>2025</w:t>
      </w:r>
      <w:r>
        <w:rPr>
          <w:rFonts w:hint="eastAsia" w:ascii="Times New Roman" w:hAnsi="Times New Roman" w:eastAsia="微软雅黑" w:cs="Times New Roman"/>
          <w:color w:val="auto"/>
          <w:kern w:val="2"/>
          <w:sz w:val="44"/>
          <w:szCs w:val="44"/>
          <w:highlight w:val="none"/>
          <w:lang w:val="en-US" w:eastAsia="zh-CN" w:bidi="ar-SA"/>
        </w:rPr>
        <w:t>年度</w:t>
      </w:r>
      <w:r>
        <w:rPr>
          <w:rFonts w:hint="eastAsia" w:ascii="Times New Roman" w:eastAsia="微软雅黑" w:cs="Times New Roman"/>
          <w:color w:val="auto"/>
          <w:kern w:val="2"/>
          <w:sz w:val="44"/>
          <w:szCs w:val="44"/>
          <w:highlight w:val="none"/>
          <w:lang w:val="en-US" w:eastAsia="zh-CN" w:bidi="ar-SA"/>
        </w:rPr>
        <w:t>阿坝藏族羌族自治州商务局</w:t>
      </w:r>
    </w:p>
    <w:p w14:paraId="3E179DAE">
      <w:pPr>
        <w:pStyle w:val="8"/>
        <w:jc w:val="center"/>
        <w:rPr>
          <w:rFonts w:hint="default" w:ascii="Times New Roman" w:hAnsi="Times New Roman" w:eastAsia="微软雅黑" w:cs="Times New Roman"/>
          <w:color w:val="auto"/>
          <w:kern w:val="2"/>
          <w:sz w:val="44"/>
          <w:szCs w:val="44"/>
          <w:highlight w:val="none"/>
          <w:lang w:val="en-US" w:eastAsia="zh-CN" w:bidi="ar-SA"/>
        </w:rPr>
      </w:pPr>
      <w:r>
        <w:rPr>
          <w:rFonts w:hint="eastAsia" w:ascii="Times New Roman" w:hAnsi="Times New Roman" w:eastAsia="微软雅黑" w:cs="Times New Roman"/>
          <w:color w:val="auto"/>
          <w:kern w:val="2"/>
          <w:sz w:val="44"/>
          <w:szCs w:val="44"/>
          <w:highlight w:val="none"/>
          <w:lang w:val="en-US" w:eastAsia="zh-CN" w:bidi="ar-SA"/>
        </w:rPr>
        <w:t>部门决算公开</w:t>
      </w:r>
    </w:p>
    <w:p w14:paraId="4C9B97CC">
      <w:pPr>
        <w:spacing w:line="600" w:lineRule="exact"/>
        <w:jc w:val="center"/>
        <w:outlineLvl w:val="0"/>
        <w:rPr>
          <w:rFonts w:ascii="Times New Roman" w:hAnsi="Times New Roman" w:eastAsia="微软雅黑"/>
          <w:color w:val="auto"/>
          <w:sz w:val="72"/>
          <w:szCs w:val="72"/>
          <w:highlight w:val="none"/>
        </w:rPr>
      </w:pPr>
    </w:p>
    <w:p w14:paraId="2201A393">
      <w:pPr>
        <w:pStyle w:val="2"/>
        <w:rPr>
          <w:rFonts w:ascii="Times New Roman" w:hAnsi="Times New Roman"/>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14:paraId="2E99E7A6">
      <w:pPr>
        <w:widowControl/>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14:paraId="7E8FCCD0">
      <w:pPr>
        <w:pStyle w:val="15"/>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15</w:t>
      </w:r>
      <w:bookmarkStart w:id="92" w:name="_GoBack"/>
      <w:bookmarkEnd w:id="92"/>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highlight w:val="none"/>
          <w:lang w:val="en-US" w:eastAsia="zh-CN" w:bidi="ar-SA"/>
        </w:rPr>
        <w:id w:val="147468918"/>
        <w15:color w:val="DBDBDB"/>
        <w:docPartObj>
          <w:docPartGallery w:val="Table of Contents"/>
          <w:docPartUnique/>
        </w:docPartObj>
      </w:sdtPr>
      <w:sdtEndPr>
        <w:rPr>
          <w:rFonts w:ascii="Times New Roman" w:hAnsi="Times New Roman" w:eastAsia="宋体" w:cs="Times New Roman"/>
          <w:color w:val="auto"/>
          <w:kern w:val="2"/>
          <w:sz w:val="21"/>
          <w:szCs w:val="24"/>
          <w:highlight w:val="none"/>
          <w:lang w:val="en-US" w:eastAsia="zh-CN" w:bidi="ar-SA"/>
        </w:rPr>
      </w:sdtEndPr>
      <w:sdtContent>
        <w:p w14:paraId="30222DBC">
          <w:pPr>
            <w:spacing w:before="0" w:beforeLines="0" w:after="0" w:afterLines="0" w:line="240" w:lineRule="auto"/>
            <w:ind w:left="0" w:leftChars="0" w:right="0" w:rightChars="0" w:firstLine="0" w:firstLineChars="0"/>
            <w:jc w:val="both"/>
            <w:rPr>
              <w:highlight w:val="none"/>
            </w:rPr>
          </w:pPr>
        </w:p>
        <w:p w14:paraId="317749BC">
          <w:pPr>
            <w:pStyle w:val="15"/>
            <w:tabs>
              <w:tab w:val="right" w:leader="dot" w:pos="8306"/>
              <w:tab w:val="clear" w:pos="8296"/>
            </w:tabs>
            <w:jc w:val="both"/>
            <w:rPr>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TOC \o "1-2" \h \u </w:instrText>
          </w:r>
          <w:r>
            <w:rPr>
              <w:rFonts w:ascii="Times New Roman" w:hAnsi="Times New Roman"/>
              <w:color w:val="auto"/>
              <w:highlight w:val="none"/>
            </w:rPr>
            <w:fldChar w:fldCharType="separate"/>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_Toc1108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第一部分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 xml:space="preserve"> 部门概况</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lang w:val="en-US" w:eastAsia="zh-CN"/>
            </w:rPr>
            <w:t>1</w:t>
          </w:r>
          <w:r>
            <w:rPr>
              <w:rFonts w:hint="eastAsia" w:ascii="Times New Roman" w:hAnsi="Times New Roman" w:eastAsia="黑体" w:cs="黑体"/>
              <w:color w:val="auto"/>
              <w:sz w:val="32"/>
              <w:szCs w:val="32"/>
              <w:highlight w:val="none"/>
            </w:rPr>
            <w:fldChar w:fldCharType="end"/>
          </w:r>
        </w:p>
        <w:p w14:paraId="698AC64F">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_Toc13880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p>
        <w:p w14:paraId="012E37C9">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_Toc1296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二、机构设置</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rPr>
            <w:fldChar w:fldCharType="end"/>
          </w:r>
        </w:p>
        <w:p w14:paraId="0DA23601">
          <w:pPr>
            <w:pStyle w:val="15"/>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_Toc19438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 xml:space="preserve"> </w:t>
          </w:r>
          <w:r>
            <w:rPr>
              <w:rFonts w:hint="eastAsia" w:ascii="Times New Roman" w:hAnsi="Times New Roman" w:eastAsia="黑体" w:cs="黑体"/>
              <w:color w:val="auto"/>
              <w:sz w:val="32"/>
              <w:szCs w:val="32"/>
              <w:highlight w:val="none"/>
              <w:lang w:val="en-US" w:eastAsia="zh-CN"/>
            </w:rPr>
            <w:t>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lang w:val="en-US" w:eastAsia="zh-CN"/>
            </w:rPr>
            <w:t>3</w:t>
          </w:r>
          <w:r>
            <w:rPr>
              <w:rFonts w:hint="eastAsia" w:ascii="Times New Roman" w:hAnsi="Times New Roman" w:eastAsia="黑体" w:cs="黑体"/>
              <w:color w:val="auto"/>
              <w:sz w:val="32"/>
              <w:szCs w:val="32"/>
              <w:highlight w:val="none"/>
            </w:rPr>
            <w:fldChar w:fldCharType="end"/>
          </w:r>
        </w:p>
        <w:p w14:paraId="7A10BC39">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_Toc31314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一、</w:t>
          </w:r>
          <w:r>
            <w:rPr>
              <w:rFonts w:hint="eastAsia" w:ascii="Times New Roman" w:hAnsi="Times New Roman" w:eastAsia="仿宋_GB2312" w:cs="仿宋_GB2312"/>
              <w:color w:val="auto"/>
              <w:sz w:val="32"/>
              <w:szCs w:val="32"/>
              <w:highlight w:val="none"/>
            </w:rPr>
            <w:t>收入支出决算总体情况说明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rPr>
            <w:fldChar w:fldCharType="end"/>
          </w:r>
        </w:p>
        <w:p w14:paraId="3CC131CF">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_Toc20121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二、收入决算情况说明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fldChar w:fldCharType="end"/>
          </w:r>
        </w:p>
        <w:p w14:paraId="581A3989">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_Toc14877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三、</w:t>
          </w:r>
          <w:r>
            <w:rPr>
              <w:rFonts w:hint="eastAsia" w:ascii="Times New Roman" w:hAnsi="Times New Roman" w:eastAsia="仿宋_GB2312" w:cs="仿宋_GB2312"/>
              <w:color w:val="auto"/>
              <w:sz w:val="32"/>
              <w:szCs w:val="32"/>
              <w:highlight w:val="none"/>
            </w:rPr>
            <w:t>支出决算情况说明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fldChar w:fldCharType="end"/>
          </w:r>
        </w:p>
        <w:p w14:paraId="27E9AE40">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_Toc27251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四、财政拨款收入支出决算总体情况说明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rPr>
            <w:fldChar w:fldCharType="end"/>
          </w:r>
        </w:p>
        <w:p w14:paraId="04987E09">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_Toc15614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五、一般公共预算财政拨款支出决算情况说明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6</w:t>
          </w:r>
          <w:r>
            <w:rPr>
              <w:rFonts w:hint="eastAsia" w:ascii="Times New Roman" w:hAnsi="Times New Roman" w:eastAsia="仿宋_GB2312" w:cs="仿宋_GB2312"/>
              <w:color w:val="auto"/>
              <w:sz w:val="32"/>
              <w:szCs w:val="32"/>
              <w:highlight w:val="none"/>
            </w:rPr>
            <w:fldChar w:fldCharType="end"/>
          </w:r>
        </w:p>
        <w:p w14:paraId="3180EAC9">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_Toc9770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8</w:t>
          </w:r>
          <w:r>
            <w:rPr>
              <w:rFonts w:hint="eastAsia" w:ascii="Times New Roman" w:hAnsi="Times New Roman" w:eastAsia="仿宋_GB2312" w:cs="仿宋_GB2312"/>
              <w:color w:val="auto"/>
              <w:sz w:val="32"/>
              <w:szCs w:val="32"/>
              <w:highlight w:val="none"/>
            </w:rPr>
            <w:fldChar w:fldCharType="end"/>
          </w:r>
        </w:p>
        <w:p w14:paraId="1298928F">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_Toc26098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七、财政拨款“三公”经费支出决算情况说明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fldChar w:fldCharType="end"/>
          </w:r>
        </w:p>
        <w:p w14:paraId="5BBD2C78">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_Toc7073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八、政府性基金预算支出决算情况说明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1</w:t>
          </w:r>
        </w:p>
        <w:p w14:paraId="2289E0B8">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_Toc9897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九、</w:t>
          </w:r>
          <w:r>
            <w:rPr>
              <w:rFonts w:hint="eastAsia" w:ascii="Times New Roman" w:hAnsi="Times New Roman" w:eastAsia="仿宋_GB2312" w:cs="仿宋_GB2312"/>
              <w:color w:val="auto"/>
              <w:sz w:val="32"/>
              <w:szCs w:val="32"/>
              <w:highlight w:val="none"/>
            </w:rPr>
            <w:t>国有资本经营预算支出决算情况说明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1</w:t>
          </w:r>
        </w:p>
        <w:p w14:paraId="23387671">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_Toc8130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1</w:t>
          </w:r>
        </w:p>
        <w:p w14:paraId="3B1181B5">
          <w:pPr>
            <w:pStyle w:val="15"/>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_Toc19091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w:t>
          </w:r>
          <w:r>
            <w:rPr>
              <w:rFonts w:hint="eastAsia" w:ascii="Times New Roman" w:hAnsi="Times New Roman" w:eastAsia="黑体" w:cs="黑体"/>
              <w:color w:val="auto"/>
              <w:sz w:val="32"/>
              <w:szCs w:val="32"/>
              <w:highlight w:val="none"/>
              <w:lang w:eastAsia="zh-CN"/>
            </w:rPr>
            <w:t>三</w:t>
          </w:r>
          <w:r>
            <w:rPr>
              <w:rFonts w:hint="eastAsia" w:ascii="Times New Roman" w:hAnsi="Times New Roman" w:eastAsia="黑体" w:cs="黑体"/>
              <w:color w:val="auto"/>
              <w:sz w:val="32"/>
              <w:szCs w:val="32"/>
              <w:highlight w:val="none"/>
            </w:rPr>
            <w:t>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名词解释</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lang w:val="en-US" w:eastAsia="zh-CN"/>
            </w:rPr>
            <w:t>13</w:t>
          </w:r>
        </w:p>
        <w:p w14:paraId="0BA4C220">
          <w:pPr>
            <w:pStyle w:val="15"/>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_Toc6590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第四部分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 xml:space="preserve"> 附件</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lang w:val="en-US" w:eastAsia="zh-CN"/>
            </w:rPr>
            <w:t>1</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lang w:val="en-US" w:eastAsia="zh-CN"/>
            </w:rPr>
            <w:t>6</w:t>
          </w:r>
        </w:p>
        <w:p w14:paraId="68290521">
          <w:pPr>
            <w:pStyle w:val="15"/>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_Toc18328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 xml:space="preserve">第五部分 </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附表</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lang w:val="en-US" w:eastAsia="zh-CN"/>
            </w:rPr>
            <w:t>6</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lang w:val="en-US" w:eastAsia="zh-CN"/>
            </w:rPr>
            <w:t>5</w:t>
          </w:r>
        </w:p>
        <w:p w14:paraId="7980F689">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_Toc3436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一、收入支出决算总表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6</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5</w:t>
          </w:r>
        </w:p>
        <w:p w14:paraId="23FA5E7D">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_Toc10614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二、收入决算表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6</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5</w:t>
          </w:r>
        </w:p>
        <w:p w14:paraId="61E0465F">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_Toc14774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三、支出决算表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6</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5</w:t>
          </w:r>
        </w:p>
        <w:p w14:paraId="669ED753">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_Toc5392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四、财政拨款收入支出决算总表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6</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5</w:t>
          </w:r>
        </w:p>
        <w:p w14:paraId="099739B6">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p>
        <w:p w14:paraId="697D48B3">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_Toc29475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五、财政拨款支出决算明细表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6</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5</w:t>
          </w:r>
        </w:p>
        <w:p w14:paraId="1EA6C735">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_Toc2870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六、一般公共预算财政拨款支出决算表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6</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5</w:t>
          </w:r>
        </w:p>
        <w:p w14:paraId="2371C2FC">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_Toc25605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七、一般公共预算财政拨款支出决算明细表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6</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5</w:t>
          </w:r>
        </w:p>
        <w:p w14:paraId="1237E438">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_Toc3760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八、一般公共预算财政拨款基本支出决算表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6</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5</w:t>
          </w:r>
        </w:p>
        <w:p w14:paraId="7EE31675">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_Toc26330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九、一般公共预算财政拨款项目支出决算表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6</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5</w:t>
          </w:r>
        </w:p>
        <w:p w14:paraId="6FAF1CF1">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_Toc12171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十、政府性基金预算财政拨款收入支出决算表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6</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5</w:t>
          </w:r>
        </w:p>
        <w:p w14:paraId="4B5B1C0F">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_Toc5335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十一、国有资本经营预算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6</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5</w:t>
          </w:r>
        </w:p>
        <w:p w14:paraId="799EDF0A">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_Toc19972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eastAsia="zh-CN"/>
            </w:rPr>
            <w:t>国有资本经营预算财政拨款支出决算表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6</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5</w:t>
          </w:r>
        </w:p>
        <w:p w14:paraId="49D3AC4C">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_Toc12736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十三、</w:t>
          </w:r>
          <w:r>
            <w:rPr>
              <w:rFonts w:hint="eastAsia" w:ascii="Times New Roman" w:hAnsi="Times New Roman" w:eastAsia="仿宋_GB2312" w:cs="仿宋_GB2312"/>
              <w:color w:val="auto"/>
              <w:sz w:val="32"/>
              <w:szCs w:val="32"/>
              <w:highlight w:val="none"/>
              <w:lang w:eastAsia="zh-CN"/>
            </w:rPr>
            <w:t>财政拨款“三公”经费支出决算表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6</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5</w:t>
          </w:r>
        </w:p>
        <w:p w14:paraId="1667E591">
          <w:pPr>
            <w:rPr>
              <w:rFonts w:ascii="Times New Roman" w:hAnsi="Times New Roman" w:eastAsia="宋体" w:cs="Times New Roman"/>
              <w:color w:val="auto"/>
              <w:kern w:val="2"/>
              <w:sz w:val="21"/>
              <w:szCs w:val="24"/>
              <w:highlight w:val="none"/>
              <w:lang w:val="en-US" w:eastAsia="zh-CN" w:bidi="ar-SA"/>
            </w:rPr>
          </w:pPr>
          <w:r>
            <w:rPr>
              <w:rFonts w:ascii="Times New Roman" w:hAnsi="Times New Roman"/>
              <w:color w:val="auto"/>
              <w:highlight w:val="none"/>
            </w:rPr>
            <w:fldChar w:fldCharType="end"/>
          </w:r>
        </w:p>
      </w:sdtContent>
    </w:sdt>
    <w:p w14:paraId="316C60DE">
      <w:pPr>
        <w:pStyle w:val="16"/>
        <w:rPr>
          <w:highlight w:val="none"/>
        </w:rPr>
      </w:pPr>
    </w:p>
    <w:p w14:paraId="68580BD5">
      <w:pPr>
        <w:pStyle w:val="3"/>
        <w:jc w:val="center"/>
        <w:outlineLvl w:val="0"/>
        <w:rPr>
          <w:rFonts w:hint="eastAsia" w:ascii="方正小标宋_GBK" w:hAnsi="方正小标宋_GBK" w:eastAsia="方正小标宋_GBK" w:cs="方正小标宋_GBK"/>
          <w:b w:val="0"/>
          <w:color w:val="auto"/>
          <w:sz w:val="44"/>
          <w:szCs w:val="44"/>
          <w:highlight w:val="none"/>
        </w:rPr>
        <w:sectPr>
          <w:footerReference r:id="rId8" w:type="first"/>
          <w:footerReference r:id="rId7" w:type="default"/>
          <w:pgSz w:w="11906" w:h="16838"/>
          <w:pgMar w:top="1440" w:right="1800" w:bottom="1440" w:left="1800" w:header="851" w:footer="992" w:gutter="0"/>
          <w:pgNumType w:fmt="decimal" w:start="1"/>
          <w:cols w:space="425" w:num="1"/>
          <w:docGrid w:type="lines" w:linePitch="312" w:charSpace="0"/>
        </w:sectPr>
      </w:pPr>
      <w:bookmarkStart w:id="6" w:name="_Toc1108"/>
      <w:bookmarkStart w:id="7" w:name="_Toc15377204"/>
      <w:bookmarkStart w:id="8" w:name="_Toc15396602"/>
      <w:bookmarkStart w:id="9" w:name="_Toc19438"/>
    </w:p>
    <w:p w14:paraId="10106C99">
      <w:pPr>
        <w:pStyle w:val="3"/>
        <w:jc w:val="center"/>
        <w:outlineLvl w:val="0"/>
        <w:rPr>
          <w:rFonts w:hint="eastAsia" w:ascii="方正小标宋_GBK" w:hAnsi="方正小标宋_GBK" w:eastAsia="方正小标宋_GBK" w:cs="方正小标宋_GBK"/>
          <w:color w:val="auto"/>
          <w:sz w:val="44"/>
          <w:szCs w:val="44"/>
          <w:highlight w:val="none"/>
        </w:rPr>
      </w:pPr>
      <w:r>
        <w:rPr>
          <w:rFonts w:hint="eastAsia" w:ascii="方正小标宋_GBK" w:hAnsi="方正小标宋_GBK" w:eastAsia="方正小标宋_GBK" w:cs="方正小标宋_GBK"/>
          <w:b w:val="0"/>
          <w:color w:val="auto"/>
          <w:sz w:val="44"/>
          <w:szCs w:val="44"/>
          <w:highlight w:val="none"/>
        </w:rPr>
        <w:t>第一部分</w:t>
      </w:r>
      <w:r>
        <w:rPr>
          <w:rFonts w:hint="eastAsia" w:ascii="方正小标宋_GBK" w:hAnsi="方正小标宋_GBK" w:eastAsia="方正小标宋_GBK" w:cs="方正小标宋_GBK"/>
          <w:b w:val="0"/>
          <w:color w:val="auto"/>
          <w:sz w:val="44"/>
          <w:szCs w:val="44"/>
          <w:highlight w:val="none"/>
          <w:lang w:val="en-US" w:eastAsia="zh-CN"/>
        </w:rPr>
        <w:t xml:space="preserve"> </w:t>
      </w:r>
      <w:r>
        <w:rPr>
          <w:rFonts w:hint="eastAsia" w:ascii="方正小标宋_GBK" w:hAnsi="方正小标宋_GBK" w:eastAsia="方正小标宋_GBK" w:cs="方正小标宋_GBK"/>
          <w:b w:val="0"/>
          <w:color w:val="auto"/>
          <w:sz w:val="44"/>
          <w:szCs w:val="44"/>
          <w:highlight w:val="none"/>
        </w:rPr>
        <w:t xml:space="preserve"> </w:t>
      </w:r>
      <w:r>
        <w:rPr>
          <w:rStyle w:val="31"/>
          <w:rFonts w:hint="eastAsia" w:ascii="方正小标宋_GBK" w:hAnsi="方正小标宋_GBK" w:eastAsia="方正小标宋_GBK" w:cs="方正小标宋_GBK"/>
          <w:b w:val="0"/>
          <w:bCs w:val="0"/>
          <w:color w:val="auto"/>
          <w:sz w:val="44"/>
          <w:szCs w:val="44"/>
          <w:highlight w:val="none"/>
          <w:lang w:val="en-US" w:eastAsia="zh-CN"/>
        </w:rPr>
        <w:t>单位</w:t>
      </w:r>
      <w:r>
        <w:rPr>
          <w:rStyle w:val="31"/>
          <w:rFonts w:hint="eastAsia" w:ascii="方正小标宋_GBK" w:hAnsi="方正小标宋_GBK" w:eastAsia="方正小标宋_GBK" w:cs="方正小标宋_GBK"/>
          <w:b w:val="0"/>
          <w:bCs w:val="0"/>
          <w:color w:val="auto"/>
          <w:sz w:val="44"/>
          <w:szCs w:val="44"/>
          <w:highlight w:val="none"/>
        </w:rPr>
        <w:t>概况</w:t>
      </w:r>
      <w:bookmarkEnd w:id="6"/>
    </w:p>
    <w:p w14:paraId="52F536B3">
      <w:pPr>
        <w:pStyle w:val="4"/>
        <w:pageBreakBefore w:val="0"/>
        <w:kinsoku/>
        <w:wordWrap/>
        <w:overflowPunct/>
        <w:topLinePunct w:val="0"/>
        <w:autoSpaceDE/>
        <w:autoSpaceDN/>
        <w:bidi w:val="0"/>
        <w:spacing w:before="0" w:after="0" w:line="560" w:lineRule="exact"/>
        <w:ind w:firstLine="640" w:firstLineChars="200"/>
        <w:textAlignment w:val="auto"/>
        <w:outlineLvl w:val="1"/>
        <w:rPr>
          <w:rFonts w:hint="eastAsia" w:ascii="黑体" w:hAnsi="黑体" w:eastAsia="黑体" w:cs="黑体"/>
          <w:b w:val="0"/>
          <w:bCs w:val="0"/>
          <w:kern w:val="0"/>
          <w:sz w:val="32"/>
          <w:szCs w:val="32"/>
          <w:highlight w:val="none"/>
          <w:lang w:val="en-US" w:eastAsia="zh-CN" w:bidi="ar-SA"/>
        </w:rPr>
      </w:pPr>
      <w:bookmarkStart w:id="10" w:name="_Toc15377197"/>
      <w:bookmarkStart w:id="11" w:name="_Toc15396600"/>
      <w:bookmarkStart w:id="12" w:name="_Toc13880"/>
      <w:r>
        <w:rPr>
          <w:rFonts w:hint="eastAsia" w:ascii="黑体" w:hAnsi="黑体" w:eastAsia="黑体" w:cs="黑体"/>
          <w:b w:val="0"/>
          <w:bCs w:val="0"/>
          <w:kern w:val="0"/>
          <w:sz w:val="32"/>
          <w:szCs w:val="32"/>
          <w:highlight w:val="none"/>
          <w:lang w:val="en-US" w:eastAsia="zh-CN" w:bidi="ar-SA"/>
        </w:rPr>
        <w:t>一、</w:t>
      </w:r>
      <w:bookmarkEnd w:id="10"/>
      <w:bookmarkEnd w:id="11"/>
      <w:r>
        <w:rPr>
          <w:rFonts w:hint="eastAsia" w:ascii="黑体" w:hAnsi="黑体" w:eastAsia="黑体" w:cs="黑体"/>
          <w:b w:val="0"/>
          <w:bCs w:val="0"/>
          <w:kern w:val="0"/>
          <w:sz w:val="32"/>
          <w:szCs w:val="32"/>
          <w:highlight w:val="none"/>
          <w:lang w:val="en-US" w:eastAsia="zh-CN" w:bidi="ar-SA"/>
        </w:rPr>
        <w:t>单位职责</w:t>
      </w:r>
      <w:bookmarkEnd w:id="12"/>
    </w:p>
    <w:p w14:paraId="0757DD85">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Times New Roman" w:hAnsi="Times New Roman" w:eastAsia="仿宋_GB2312" w:cs="Times New Roman"/>
          <w:b w:val="0"/>
          <w:bCs w:val="0"/>
          <w:kern w:val="0"/>
          <w:sz w:val="32"/>
          <w:szCs w:val="32"/>
          <w:highlight w:val="none"/>
          <w:lang w:val="en-US" w:eastAsia="zh-CN" w:bidi="ar-SA"/>
        </w:rPr>
      </w:pPr>
      <w:bookmarkStart w:id="13" w:name="_Toc15377200"/>
      <w:bookmarkStart w:id="14" w:name="_Toc1296"/>
      <w:bookmarkStart w:id="15" w:name="_Toc15396601"/>
      <w:r>
        <w:rPr>
          <w:rFonts w:hint="eastAsia" w:ascii="Times New Roman" w:hAnsi="Times New Roman" w:eastAsia="仿宋_GB2312" w:cs="Times New Roman"/>
          <w:b w:val="0"/>
          <w:bCs w:val="0"/>
          <w:kern w:val="0"/>
          <w:sz w:val="32"/>
          <w:szCs w:val="32"/>
          <w:highlight w:val="none"/>
          <w:lang w:val="en-US" w:eastAsia="zh-CN" w:bidi="ar-SA"/>
        </w:rPr>
        <w:t>1.贯彻落实国家、省有关国内外贸易和会展经济有关领域的法律法规和方针政策，组织拟订全州商务领域自治法规和政策，制定全州商务发展规划、年度计划并组织实施。</w:t>
      </w:r>
    </w:p>
    <w:p w14:paraId="59E39BE7">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Times New Roman" w:hAnsi="Times New Roman" w:eastAsia="仿宋_GB2312" w:cs="Times New Roman"/>
          <w:b w:val="0"/>
          <w:bCs w:val="0"/>
          <w:kern w:val="0"/>
          <w:sz w:val="32"/>
          <w:szCs w:val="32"/>
          <w:highlight w:val="none"/>
          <w:lang w:val="en-US" w:eastAsia="zh-CN" w:bidi="ar-SA"/>
        </w:rPr>
      </w:pPr>
      <w:r>
        <w:rPr>
          <w:rFonts w:hint="eastAsia" w:ascii="Times New Roman" w:hAnsi="Times New Roman" w:eastAsia="仿宋_GB2312" w:cs="Times New Roman"/>
          <w:b w:val="0"/>
          <w:bCs w:val="0"/>
          <w:kern w:val="0"/>
          <w:sz w:val="32"/>
          <w:szCs w:val="32"/>
          <w:highlight w:val="none"/>
          <w:lang w:val="en-US" w:eastAsia="zh-CN" w:bidi="ar-SA"/>
        </w:rPr>
        <w:t>2.承担全州服务业发展工作中组织实施的协调职责，推进流通产业结构调整和服务业重大项目建设，推动商贸服务业和社区商业发展，提出促进商贸企业发展的政策建议，推动流通标准化和连锁经营、商业特许经营、物流配送、电子商务等现代流通方式的发展。</w:t>
      </w:r>
    </w:p>
    <w:p w14:paraId="1E65028D">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Times New Roman" w:hAnsi="Times New Roman" w:eastAsia="仿宋_GB2312" w:cs="Times New Roman"/>
          <w:b w:val="0"/>
          <w:bCs w:val="0"/>
          <w:kern w:val="0"/>
          <w:sz w:val="32"/>
          <w:szCs w:val="32"/>
          <w:highlight w:val="none"/>
          <w:lang w:val="en-US" w:eastAsia="zh-CN" w:bidi="ar-SA"/>
        </w:rPr>
      </w:pPr>
      <w:r>
        <w:rPr>
          <w:rFonts w:hint="eastAsia" w:ascii="Times New Roman" w:hAnsi="Times New Roman" w:eastAsia="仿宋_GB2312" w:cs="Times New Roman"/>
          <w:b w:val="0"/>
          <w:bCs w:val="0"/>
          <w:kern w:val="0"/>
          <w:sz w:val="32"/>
          <w:szCs w:val="32"/>
          <w:highlight w:val="none"/>
          <w:lang w:val="en-US" w:eastAsia="zh-CN" w:bidi="ar-SA"/>
        </w:rPr>
        <w:t>3.编制大宗产品批发市场规划，指导城市商业网点规划和商业体系建设工作，推进农村市场体系建设，组织实施农村现代流通网络工程，促进城乡市场一体化发展。推动商务领域信用建设，指导商业信用销售，建立市场诚信公共服务平台。</w:t>
      </w:r>
    </w:p>
    <w:p w14:paraId="03DA7EB9">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Times New Roman" w:hAnsi="Times New Roman" w:eastAsia="仿宋_GB2312" w:cs="Times New Roman"/>
          <w:b w:val="0"/>
          <w:bCs w:val="0"/>
          <w:kern w:val="0"/>
          <w:sz w:val="32"/>
          <w:szCs w:val="32"/>
          <w:highlight w:val="none"/>
          <w:lang w:val="en-US" w:eastAsia="zh-CN" w:bidi="ar-SA"/>
        </w:rPr>
      </w:pPr>
      <w:r>
        <w:rPr>
          <w:rFonts w:hint="eastAsia" w:ascii="Times New Roman" w:hAnsi="Times New Roman" w:eastAsia="仿宋_GB2312" w:cs="Times New Roman"/>
          <w:b w:val="0"/>
          <w:bCs w:val="0"/>
          <w:kern w:val="0"/>
          <w:sz w:val="32"/>
          <w:szCs w:val="32"/>
          <w:highlight w:val="none"/>
          <w:lang w:val="en-US" w:eastAsia="zh-CN" w:bidi="ar-SA"/>
        </w:rPr>
        <w:t>4.承担组织实施重要消费品市场调控和重要生产资料流通管理的责任，监测分析市场运行、商品供求状况，调查分析商品价格信息，进行预测预警和信息引导。按职责负责重要消费品的储备管理。</w:t>
      </w:r>
    </w:p>
    <w:p w14:paraId="735948D0">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Times New Roman" w:hAnsi="Times New Roman" w:eastAsia="仿宋_GB2312" w:cs="Times New Roman"/>
          <w:b w:val="0"/>
          <w:bCs w:val="0"/>
          <w:kern w:val="0"/>
          <w:sz w:val="32"/>
          <w:szCs w:val="32"/>
          <w:highlight w:val="none"/>
          <w:lang w:val="en-US" w:eastAsia="zh-CN" w:bidi="ar-SA"/>
        </w:rPr>
      </w:pPr>
      <w:r>
        <w:rPr>
          <w:rFonts w:hint="eastAsia" w:ascii="Times New Roman" w:hAnsi="Times New Roman" w:eastAsia="仿宋_GB2312" w:cs="Times New Roman"/>
          <w:b w:val="0"/>
          <w:bCs w:val="0"/>
          <w:kern w:val="0"/>
          <w:sz w:val="32"/>
          <w:szCs w:val="32"/>
          <w:highlight w:val="none"/>
          <w:lang w:val="en-US" w:eastAsia="zh-CN" w:bidi="ar-SA"/>
        </w:rPr>
        <w:t>5.指导对外贸易行业执行国家进出口商品、加工贸易管理办法和进出口管理商品、技术目录，组织实施重要工业品、原材料和重要农产品进出口计划，会同有关部门协调大宗进出口商品和出口加工区的业务工作，指导贸易促进活动和外贸促进体系建设。按职责指导协调州内各经济技术开发区的有关工作。</w:t>
      </w:r>
    </w:p>
    <w:p w14:paraId="7E72ED11">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Times New Roman" w:hAnsi="Times New Roman" w:eastAsia="仿宋_GB2312" w:cs="Times New Roman"/>
          <w:b w:val="0"/>
          <w:bCs w:val="0"/>
          <w:kern w:val="0"/>
          <w:sz w:val="32"/>
          <w:szCs w:val="32"/>
          <w:highlight w:val="none"/>
          <w:lang w:val="en-US" w:eastAsia="zh-CN" w:bidi="ar-SA"/>
        </w:rPr>
      </w:pPr>
      <w:r>
        <w:rPr>
          <w:rFonts w:hint="eastAsia" w:ascii="Times New Roman" w:hAnsi="Times New Roman" w:eastAsia="仿宋_GB2312" w:cs="Times New Roman"/>
          <w:b w:val="0"/>
          <w:bCs w:val="0"/>
          <w:kern w:val="0"/>
          <w:sz w:val="32"/>
          <w:szCs w:val="32"/>
          <w:highlight w:val="none"/>
          <w:lang w:val="en-US" w:eastAsia="zh-CN" w:bidi="ar-SA"/>
        </w:rPr>
        <w:t>6.依法监督技术引进、设备进口、国家限制出口技术的工作，推进进出口贸易标准化工作，牵头负责发展服务贸易的相关工作，推动服务外包平台建设。</w:t>
      </w:r>
    </w:p>
    <w:p w14:paraId="5B9B4EEF">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Times New Roman" w:hAnsi="Times New Roman" w:eastAsia="仿宋_GB2312" w:cs="Times New Roman"/>
          <w:b w:val="0"/>
          <w:bCs w:val="0"/>
          <w:kern w:val="0"/>
          <w:sz w:val="32"/>
          <w:szCs w:val="32"/>
          <w:highlight w:val="none"/>
          <w:lang w:val="en-US" w:eastAsia="zh-CN" w:bidi="ar-SA"/>
        </w:rPr>
      </w:pPr>
      <w:r>
        <w:rPr>
          <w:rFonts w:hint="eastAsia" w:ascii="Times New Roman" w:hAnsi="Times New Roman" w:eastAsia="仿宋_GB2312" w:cs="Times New Roman"/>
          <w:b w:val="0"/>
          <w:bCs w:val="0"/>
          <w:kern w:val="0"/>
          <w:sz w:val="32"/>
          <w:szCs w:val="32"/>
          <w:highlight w:val="none"/>
          <w:lang w:val="en-US" w:eastAsia="zh-CN" w:bidi="ar-SA"/>
        </w:rPr>
        <w:t>7.承担组织协调反倾销、反补贴、保障措施和技术性贸易壁垒等与进出口公平贸易相关工作的责任，建立进出口公平贸易预警机制，牵头开展对外贸易调查、产业损害调查，指导协调产业安全应对、企业在国外对我州出口商品的反倾销、反补贴、保障措施的应诉工作，负责世界贸易组织涉及我州有关工作。</w:t>
      </w:r>
    </w:p>
    <w:p w14:paraId="512C22E9">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Times New Roman" w:hAnsi="Times New Roman" w:eastAsia="仿宋_GB2312" w:cs="Times New Roman"/>
          <w:b w:val="0"/>
          <w:bCs w:val="0"/>
          <w:kern w:val="0"/>
          <w:sz w:val="32"/>
          <w:szCs w:val="32"/>
          <w:highlight w:val="none"/>
          <w:lang w:val="en-US" w:eastAsia="zh-CN" w:bidi="ar-SA"/>
        </w:rPr>
      </w:pPr>
      <w:r>
        <w:rPr>
          <w:rFonts w:hint="eastAsia" w:ascii="Times New Roman" w:hAnsi="Times New Roman" w:eastAsia="仿宋_GB2312" w:cs="Times New Roman"/>
          <w:b w:val="0"/>
          <w:bCs w:val="0"/>
          <w:kern w:val="0"/>
          <w:sz w:val="32"/>
          <w:szCs w:val="32"/>
          <w:highlight w:val="none"/>
          <w:lang w:val="en-US" w:eastAsia="zh-CN" w:bidi="ar-SA"/>
        </w:rPr>
        <w:t>8.贯彻落实国家、省应对经济全球化、区域经济合作的对策措施。加强与自由贸易区、“一带一路”沿线地区、港澳台地区的商贸合作。推进贸易和投资便利化。</w:t>
      </w:r>
    </w:p>
    <w:p w14:paraId="15FBD125">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Times New Roman" w:hAnsi="Times New Roman" w:eastAsia="仿宋_GB2312" w:cs="Times New Roman"/>
          <w:b w:val="0"/>
          <w:bCs w:val="0"/>
          <w:kern w:val="0"/>
          <w:sz w:val="32"/>
          <w:szCs w:val="32"/>
          <w:highlight w:val="none"/>
          <w:lang w:val="en-US" w:eastAsia="zh-CN" w:bidi="ar-SA"/>
        </w:rPr>
      </w:pPr>
      <w:r>
        <w:rPr>
          <w:rFonts w:hint="eastAsia" w:ascii="Times New Roman" w:hAnsi="Times New Roman" w:eastAsia="仿宋_GB2312" w:cs="Times New Roman"/>
          <w:b w:val="0"/>
          <w:bCs w:val="0"/>
          <w:kern w:val="0"/>
          <w:sz w:val="32"/>
          <w:szCs w:val="32"/>
          <w:highlight w:val="none"/>
          <w:lang w:val="en-US" w:eastAsia="zh-CN" w:bidi="ar-SA"/>
        </w:rPr>
        <w:t>9.依法管理和监督对外承包工程、对外劳务合作和出境就业等，承担境外投资管理的责任。牵头负责外派劳务和赴境外就业人员的权益维护工作。组织管理多双边对我州的无偿援助和赠款（不含财政合作项目下外国政府及国际金融组织对我州赠款）等发展合作业务。</w:t>
      </w:r>
    </w:p>
    <w:p w14:paraId="480869D4">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Times New Roman" w:hAnsi="Times New Roman" w:eastAsia="仿宋_GB2312" w:cs="Times New Roman"/>
          <w:b w:val="0"/>
          <w:bCs w:val="0"/>
          <w:kern w:val="0"/>
          <w:sz w:val="32"/>
          <w:szCs w:val="32"/>
          <w:highlight w:val="none"/>
          <w:lang w:val="en-US" w:eastAsia="zh-CN" w:bidi="ar-SA"/>
        </w:rPr>
      </w:pPr>
      <w:r>
        <w:rPr>
          <w:rFonts w:hint="eastAsia" w:ascii="Times New Roman" w:hAnsi="Times New Roman" w:eastAsia="仿宋_GB2312" w:cs="Times New Roman"/>
          <w:b w:val="0"/>
          <w:bCs w:val="0"/>
          <w:kern w:val="0"/>
          <w:sz w:val="32"/>
          <w:szCs w:val="32"/>
          <w:highlight w:val="none"/>
          <w:lang w:val="en-US" w:eastAsia="zh-CN" w:bidi="ar-SA"/>
        </w:rPr>
        <w:t>10.州赴境外举办的各种商品交易和经贸推介活动，指导监督管理以阿坝州名义在境内举办的各种商贸交易会、展览会、展销会等活动。推动全州会展经济发展促进工作，承担州委、州政府交办的会展活动。</w:t>
      </w:r>
    </w:p>
    <w:p w14:paraId="293B55CB">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Times New Roman" w:hAnsi="Times New Roman" w:eastAsia="仿宋_GB2312" w:cs="Times New Roman"/>
          <w:b w:val="0"/>
          <w:bCs w:val="0"/>
          <w:kern w:val="0"/>
          <w:sz w:val="32"/>
          <w:szCs w:val="32"/>
          <w:highlight w:val="none"/>
          <w:lang w:val="en-US" w:eastAsia="zh-CN" w:bidi="ar-SA"/>
        </w:rPr>
      </w:pPr>
      <w:r>
        <w:rPr>
          <w:rFonts w:hint="eastAsia" w:ascii="Times New Roman" w:hAnsi="Times New Roman" w:eastAsia="仿宋_GB2312" w:cs="Times New Roman"/>
          <w:b w:val="0"/>
          <w:bCs w:val="0"/>
          <w:kern w:val="0"/>
          <w:sz w:val="32"/>
          <w:szCs w:val="32"/>
          <w:highlight w:val="none"/>
          <w:lang w:val="en-US" w:eastAsia="zh-CN" w:bidi="ar-SA"/>
        </w:rPr>
        <w:t>11.职责范围内的安全生产、职业健康、生态环境保护、公共机构节能减排、审批服务便民化工作。</w:t>
      </w:r>
    </w:p>
    <w:p w14:paraId="33E5614A">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Times New Roman" w:hAnsi="Times New Roman" w:eastAsia="仿宋_GB2312" w:cs="Times New Roman"/>
          <w:b w:val="0"/>
          <w:bCs w:val="0"/>
          <w:kern w:val="0"/>
          <w:sz w:val="32"/>
          <w:szCs w:val="32"/>
          <w:highlight w:val="none"/>
          <w:lang w:val="en-US" w:eastAsia="zh-CN" w:bidi="ar-SA"/>
        </w:rPr>
      </w:pPr>
      <w:r>
        <w:rPr>
          <w:rFonts w:hint="eastAsia" w:ascii="Times New Roman" w:hAnsi="Times New Roman" w:eastAsia="仿宋_GB2312" w:cs="Times New Roman"/>
          <w:b w:val="0"/>
          <w:bCs w:val="0"/>
          <w:kern w:val="0"/>
          <w:sz w:val="32"/>
          <w:szCs w:val="32"/>
          <w:highlight w:val="none"/>
          <w:lang w:val="en-US" w:eastAsia="zh-CN" w:bidi="ar-SA"/>
        </w:rPr>
        <w:t>12.州委和州政府交办的其他任务。</w:t>
      </w:r>
    </w:p>
    <w:p w14:paraId="65B5A64A">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420"/>
        <w:textAlignment w:val="auto"/>
        <w:rPr>
          <w:rStyle w:val="32"/>
          <w:rFonts w:ascii="Times New Roman" w:hAnsi="Times New Roman"/>
          <w:b w:val="0"/>
          <w:bCs w:val="0"/>
          <w:color w:val="auto"/>
          <w:sz w:val="32"/>
          <w:szCs w:val="32"/>
          <w:highlight w:val="none"/>
        </w:rPr>
      </w:pPr>
      <w:r>
        <w:rPr>
          <w:rFonts w:hint="eastAsia" w:ascii="Times New Roman" w:hAnsi="Times New Roman" w:eastAsia="黑体"/>
          <w:b w:val="0"/>
          <w:color w:val="auto"/>
          <w:sz w:val="32"/>
          <w:szCs w:val="32"/>
          <w:highlight w:val="none"/>
        </w:rPr>
        <w:t>二、机</w:t>
      </w:r>
      <w:r>
        <w:rPr>
          <w:rStyle w:val="32"/>
          <w:rFonts w:hint="eastAsia" w:ascii="Times New Roman" w:hAnsi="Times New Roman" w:eastAsia="黑体"/>
          <w:b w:val="0"/>
          <w:bCs w:val="0"/>
          <w:color w:val="auto"/>
          <w:sz w:val="32"/>
          <w:szCs w:val="32"/>
          <w:highlight w:val="none"/>
        </w:rPr>
        <w:t>构设置</w:t>
      </w:r>
      <w:bookmarkEnd w:id="13"/>
      <w:bookmarkEnd w:id="14"/>
      <w:bookmarkEnd w:id="15"/>
    </w:p>
    <w:p w14:paraId="1B75AD8D">
      <w:pPr>
        <w:pageBreakBefore w:val="0"/>
        <w:kinsoku/>
        <w:wordWrap/>
        <w:overflowPunct/>
        <w:topLinePunct w:val="0"/>
        <w:autoSpaceDE/>
        <w:autoSpaceDN/>
        <w:bidi w:val="0"/>
        <w:spacing w:line="560" w:lineRule="exact"/>
        <w:ind w:firstLine="640" w:firstLineChars="200"/>
        <w:textAlignment w:val="auto"/>
        <w:outlineLvl w:val="9"/>
        <w:rPr>
          <w:rFonts w:hint="eastAsia" w:ascii="Times New Roman" w:hAnsi="Times New Roman" w:eastAsia="仿宋_GB2312" w:cs="仿宋_GB2312"/>
          <w:color w:val="auto"/>
          <w:sz w:val="32"/>
          <w:szCs w:val="32"/>
          <w:highlight w:val="none"/>
        </w:rPr>
      </w:pPr>
      <w:r>
        <w:rPr>
          <w:rFonts w:hint="eastAsia" w:eastAsia="仿宋_GB2312" w:cs="Times New Roman"/>
          <w:b w:val="0"/>
          <w:bCs w:val="0"/>
          <w:kern w:val="0"/>
          <w:sz w:val="32"/>
          <w:szCs w:val="32"/>
          <w:highlight w:val="none"/>
          <w:lang w:eastAsia="zh-CN"/>
        </w:rPr>
        <w:t>阿坝州商务局</w:t>
      </w:r>
      <w:r>
        <w:rPr>
          <w:rFonts w:hint="eastAsia" w:eastAsia="仿宋_GB2312" w:cs="Times New Roman"/>
          <w:b w:val="0"/>
          <w:bCs w:val="0"/>
          <w:kern w:val="0"/>
          <w:sz w:val="32"/>
          <w:szCs w:val="32"/>
          <w:highlight w:val="none"/>
          <w:lang w:val="en-US" w:eastAsia="zh-CN"/>
        </w:rPr>
        <w:t>本级</w:t>
      </w:r>
      <w:r>
        <w:rPr>
          <w:rFonts w:hint="eastAsia" w:ascii="Times New Roman" w:hAnsi="Times New Roman" w:eastAsia="仿宋_GB2312" w:cs="仿宋_GB2312"/>
          <w:color w:val="auto"/>
          <w:sz w:val="32"/>
          <w:szCs w:val="32"/>
          <w:highlight w:val="none"/>
        </w:rPr>
        <w:t>行政单位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t>个，其中，参照公务员法管理的</w:t>
      </w:r>
      <w:r>
        <w:rPr>
          <w:rFonts w:hint="eastAsia" w:eastAsia="仿宋_GB2312" w:cs="仿宋_GB2312"/>
          <w:color w:val="auto"/>
          <w:sz w:val="32"/>
          <w:szCs w:val="32"/>
          <w:highlight w:val="none"/>
          <w:lang w:val="en-US" w:eastAsia="zh-CN"/>
        </w:rPr>
        <w:t>社会群团</w:t>
      </w:r>
      <w:r>
        <w:rPr>
          <w:rFonts w:hint="eastAsia" w:eastAsia="仿宋_GB2312" w:cs="仿宋_GB2312"/>
          <w:bCs/>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14:paraId="7FF6BB64">
      <w:pPr>
        <w:pStyle w:val="8"/>
        <w:pageBreakBefore w:val="0"/>
        <w:kinsoku/>
        <w:wordWrap/>
        <w:overflowPunct/>
        <w:topLinePunct w:val="0"/>
        <w:autoSpaceDE/>
        <w:autoSpaceDN/>
        <w:bidi w:val="0"/>
        <w:adjustRightInd w:val="0"/>
        <w:snapToGrid w:val="0"/>
        <w:spacing w:beforeLines="0" w:line="560" w:lineRule="exact"/>
        <w:ind w:firstLine="672" w:firstLineChars="210"/>
        <w:textAlignment w:val="auto"/>
        <w:outlineLvl w:val="9"/>
        <w:rPr>
          <w:rFonts w:hint="default" w:ascii="Times New Roman" w:hAnsi="Times New Roman" w:eastAsia="仿宋_GB2312" w:cs="仿宋_GB2312"/>
          <w:color w:val="auto"/>
          <w:sz w:val="32"/>
          <w:szCs w:val="32"/>
          <w:highlight w:val="none"/>
          <w:lang w:val="en-US"/>
        </w:rPr>
      </w:pPr>
      <w:r>
        <w:rPr>
          <w:rFonts w:hint="eastAsia" w:ascii="Times New Roman" w:cs="仿宋_GB2312"/>
          <w:color w:val="auto"/>
          <w:sz w:val="32"/>
          <w:szCs w:val="32"/>
          <w:highlight w:val="none"/>
          <w:lang w:val="en-US" w:eastAsia="zh-CN"/>
        </w:rPr>
        <w:t>需要说明的情况:2025年下属参公群团机构</w:t>
      </w:r>
      <w:r>
        <w:rPr>
          <w:rFonts w:hint="eastAsia" w:ascii="Times New Roman" w:hAnsi="Times New Roman" w:eastAsia="仿宋_GB2312" w:cs="仿宋_GB2312"/>
          <w:color w:val="auto"/>
          <w:sz w:val="32"/>
          <w:szCs w:val="32"/>
          <w:highlight w:val="none"/>
        </w:rPr>
        <w:t>纳入</w:t>
      </w:r>
      <w:r>
        <w:rPr>
          <w:rFonts w:hint="eastAsia" w:ascii="Times New Roman" w:cs="Times New Roman"/>
          <w:b w:val="0"/>
          <w:bCs w:val="0"/>
          <w:kern w:val="0"/>
          <w:sz w:val="32"/>
          <w:szCs w:val="32"/>
          <w:highlight w:val="none"/>
          <w:lang w:eastAsia="zh-CN"/>
        </w:rPr>
        <w:t>阿坝州商务局</w:t>
      </w:r>
      <w:r>
        <w:rPr>
          <w:rFonts w:hint="eastAsia" w:ascii="Times New Roman" w:cs="Times New Roman"/>
          <w:b w:val="0"/>
          <w:bCs w:val="0"/>
          <w:kern w:val="0"/>
          <w:sz w:val="32"/>
          <w:szCs w:val="32"/>
          <w:highlight w:val="none"/>
          <w:lang w:val="en-US" w:eastAsia="zh-CN"/>
        </w:rPr>
        <w:t>本级核算，下属事业单位2025年无人员，无相关预算。</w:t>
      </w:r>
    </w:p>
    <w:p w14:paraId="7545F8D8">
      <w:pPr>
        <w:pStyle w:val="3"/>
        <w:ind w:firstLine="440" w:firstLineChars="100"/>
        <w:jc w:val="both"/>
        <w:outlineLvl w:val="0"/>
        <w:rPr>
          <w:rFonts w:ascii="Times New Roman" w:hAnsi="Times New Roman"/>
          <w:color w:val="auto"/>
          <w:highlight w:val="none"/>
        </w:rPr>
      </w:pPr>
      <w:r>
        <w:rPr>
          <w:rFonts w:hint="eastAsia" w:ascii="方正小标宋_GBK" w:hAnsi="方正小标宋_GBK" w:eastAsia="方正小标宋_GBK" w:cs="方正小标宋_GBK"/>
          <w:b w:val="0"/>
          <w:color w:val="auto"/>
          <w:highlight w:val="none"/>
        </w:rPr>
        <w:t>第二部分</w:t>
      </w:r>
      <w:r>
        <w:rPr>
          <w:rFonts w:hint="eastAsia" w:ascii="方正小标宋_GBK" w:hAnsi="方正小标宋_GBK" w:eastAsia="方正小标宋_GBK" w:cs="方正小标宋_GBK"/>
          <w:b w:val="0"/>
          <w:color w:val="auto"/>
          <w:highlight w:val="none"/>
          <w:lang w:val="en-US" w:eastAsia="zh-CN"/>
        </w:rPr>
        <w:t xml:space="preserve"> </w:t>
      </w:r>
      <w:r>
        <w:rPr>
          <w:rFonts w:hint="eastAsia" w:ascii="方正小标宋_GBK" w:hAnsi="方正小标宋_GBK" w:eastAsia="方正小标宋_GBK" w:cs="方正小标宋_GBK"/>
          <w:b w:val="0"/>
          <w:color w:val="auto"/>
          <w:highlight w:val="none"/>
        </w:rPr>
        <w:t xml:space="preserve"> </w:t>
      </w:r>
      <w:r>
        <w:rPr>
          <w:rFonts w:hint="eastAsia" w:ascii="方正小标宋_GBK" w:hAnsi="方正小标宋_GBK" w:eastAsia="方正小标宋_GBK" w:cs="方正小标宋_GBK"/>
          <w:b w:val="0"/>
          <w:color w:val="auto"/>
          <w:highlight w:val="none"/>
          <w:lang w:val="en-US" w:eastAsia="zh-CN"/>
        </w:rPr>
        <w:t>2025年度</w:t>
      </w:r>
      <w:r>
        <w:rPr>
          <w:rFonts w:hint="eastAsia" w:ascii="方正小标宋_GBK" w:hAnsi="方正小标宋_GBK" w:eastAsia="方正小标宋_GBK" w:cs="方正小标宋_GBK"/>
          <w:b w:val="0"/>
          <w:color w:val="auto"/>
          <w:highlight w:val="none"/>
        </w:rPr>
        <w:t>部门决算情况说明</w:t>
      </w:r>
      <w:bookmarkEnd w:id="7"/>
      <w:bookmarkEnd w:id="8"/>
      <w:bookmarkEnd w:id="9"/>
    </w:p>
    <w:p w14:paraId="08D37E52">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16" w:name="_Toc15396603"/>
      <w:bookmarkStart w:id="17" w:name="_Toc31314"/>
      <w:bookmarkStart w:id="18"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2"/>
          <w:rFonts w:hint="eastAsia" w:ascii="Times New Roman" w:hAnsi="Times New Roman" w:eastAsia="黑体"/>
          <w:b w:val="0"/>
          <w:color w:val="auto"/>
          <w:highlight w:val="none"/>
        </w:rPr>
        <w:t>入支出决算总体情况说明</w:t>
      </w:r>
      <w:bookmarkEnd w:id="16"/>
      <w:bookmarkEnd w:id="17"/>
      <w:bookmarkEnd w:id="18"/>
    </w:p>
    <w:p w14:paraId="00476742">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41275</wp:posOffset>
            </wp:positionH>
            <wp:positionV relativeFrom="paragraph">
              <wp:posOffset>1226820</wp:posOffset>
            </wp:positionV>
            <wp:extent cx="5256530" cy="2598420"/>
            <wp:effectExtent l="4445" t="4445" r="15875" b="6985"/>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eastAsia="仿宋_GB2312" w:cs="仿宋_GB2312"/>
          <w:color w:val="auto"/>
          <w:sz w:val="32"/>
          <w:szCs w:val="32"/>
          <w:highlight w:val="none"/>
          <w:lang w:eastAsia="zh-CN"/>
        </w:rPr>
        <w:t>2025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highlight w:val="none"/>
          <w:lang w:val="en-US" w:eastAsia="zh-CN"/>
        </w:rPr>
        <w:t>4738.25</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2024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ascii="仿宋_GB2312" w:hAnsi="仿宋_GB2312" w:eastAsia="仿宋_GB2312" w:cs="仿宋_GB2312"/>
          <w:sz w:val="32"/>
          <w:szCs w:val="32"/>
          <w:highlight w:val="none"/>
          <w:lang w:val="en-US" w:eastAsia="zh-CN"/>
        </w:rPr>
        <w:t>25.11</w:t>
      </w:r>
      <w:r>
        <w:rPr>
          <w:rFonts w:hint="eastAsia" w:ascii="Times New Roman" w:hAnsi="Times New Roman" w:eastAsia="仿宋_GB2312" w:cs="仿宋_GB2312"/>
          <w:color w:val="auto"/>
          <w:sz w:val="32"/>
          <w:szCs w:val="32"/>
          <w:highlight w:val="none"/>
        </w:rPr>
        <w:t>万元，增长</w:t>
      </w:r>
      <w:r>
        <w:rPr>
          <w:rFonts w:hint="eastAsia" w:ascii="仿宋_GB2312" w:hAnsi="仿宋_GB2312" w:eastAsia="仿宋_GB2312" w:cs="仿宋_GB2312"/>
          <w:sz w:val="32"/>
          <w:szCs w:val="32"/>
          <w:highlight w:val="none"/>
          <w:lang w:val="en-US" w:eastAsia="zh-CN"/>
        </w:rPr>
        <w:t>0.5</w:t>
      </w:r>
      <w:r>
        <w:rPr>
          <w:rFonts w:hint="eastAsia" w:ascii="Times New Roman" w:hAnsi="Times New Roman" w:eastAsia="仿宋_GB2312" w:cs="仿宋_GB2312"/>
          <w:color w:val="auto"/>
          <w:sz w:val="32"/>
          <w:szCs w:val="32"/>
          <w:highlight w:val="none"/>
        </w:rPr>
        <w:t>%。主要变动原因</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一是基本支出减少，2025年因机改改革，人员减少。二是项目总支出较上年增长</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2025年增加“参加第二十届西博会经费”518.27万元。</w:t>
      </w:r>
    </w:p>
    <w:p w14:paraId="4A78A499">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0506EA68">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9" w:name="_Toc15396604"/>
      <w:bookmarkStart w:id="20" w:name="_Toc15377206"/>
      <w:bookmarkStart w:id="21" w:name="_Toc20121"/>
      <w:r>
        <w:rPr>
          <w:rFonts w:hint="eastAsia" w:ascii="Times New Roman" w:hAnsi="Times New Roman" w:eastAsia="黑体"/>
          <w:color w:val="auto"/>
          <w:sz w:val="32"/>
          <w:szCs w:val="32"/>
          <w:highlight w:val="none"/>
          <w:lang w:eastAsia="zh-CN"/>
        </w:rPr>
        <w:t>二、收入决算情况说明</w:t>
      </w:r>
      <w:bookmarkEnd w:id="19"/>
      <w:bookmarkEnd w:id="20"/>
      <w:bookmarkEnd w:id="21"/>
    </w:p>
    <w:p w14:paraId="3911322F">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2025年度本年收入合计</w:t>
      </w:r>
      <w:r>
        <w:rPr>
          <w:rFonts w:hint="eastAsia" w:ascii="仿宋_GB2312" w:hAnsi="仿宋_GB2312" w:eastAsia="仿宋_GB2312" w:cs="仿宋_GB2312"/>
          <w:sz w:val="32"/>
          <w:szCs w:val="32"/>
          <w:highlight w:val="none"/>
          <w:lang w:val="en-US" w:eastAsia="zh-CN"/>
        </w:rPr>
        <w:t>4738.25</w:t>
      </w:r>
      <w:r>
        <w:rPr>
          <w:rFonts w:hint="eastAsia" w:ascii="仿宋_GB2312" w:hAnsi="仿宋_GB2312" w:eastAsia="仿宋_GB2312" w:cs="仿宋_GB2312"/>
          <w:sz w:val="32"/>
          <w:szCs w:val="32"/>
          <w:highlight w:val="none"/>
        </w:rPr>
        <w:t>万元，其中：一般公共预算财政拨款收入</w:t>
      </w:r>
      <w:r>
        <w:rPr>
          <w:rFonts w:hint="eastAsia" w:ascii="仿宋_GB2312" w:hAnsi="仿宋_GB2312" w:eastAsia="仿宋_GB2312" w:cs="仿宋_GB2312"/>
          <w:sz w:val="32"/>
          <w:szCs w:val="32"/>
          <w:highlight w:val="none"/>
          <w:lang w:val="en-US" w:eastAsia="zh-CN"/>
        </w:rPr>
        <w:t>4738.25</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w:t>
      </w:r>
    </w:p>
    <w:p w14:paraId="0BC78930">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仿宋_GB2312" w:hAnsi="仿宋_GB2312" w:eastAsia="仿宋_GB2312" w:cs="仿宋_GB2312"/>
          <w:color w:val="auto"/>
          <w:sz w:val="32"/>
          <w:szCs w:val="32"/>
          <w:highlight w:val="none"/>
          <w:lang w:eastAsia="zh-CN"/>
        </w:rPr>
      </w:pPr>
    </w:p>
    <w:p w14:paraId="620BA407">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仿宋_GB2312" w:cs="仿宋_GB2312"/>
          <w:color w:val="auto"/>
          <w:sz w:val="32"/>
          <w:szCs w:val="32"/>
          <w:highlight w:val="none"/>
          <w:lang w:eastAsia="zh-CN"/>
        </w:rPr>
      </w:pPr>
      <w:r>
        <w:rPr>
          <w:rFonts w:hint="default" w:ascii="仿宋" w:hAnsi="仿宋" w:eastAsia="仿宋"/>
          <w:color w:val="auto"/>
          <w:sz w:val="32"/>
          <w:szCs w:val="32"/>
          <w:highlight w:val="none"/>
          <w:lang w:val="en-US"/>
        </w:rPr>
        <w:drawing>
          <wp:anchor distT="0" distB="0" distL="114300" distR="114300" simplePos="0" relativeHeight="251661312" behindDoc="0" locked="0" layoutInCell="1" allowOverlap="1">
            <wp:simplePos x="0" y="0"/>
            <wp:positionH relativeFrom="column">
              <wp:posOffset>34290</wp:posOffset>
            </wp:positionH>
            <wp:positionV relativeFrom="paragraph">
              <wp:posOffset>33655</wp:posOffset>
            </wp:positionV>
            <wp:extent cx="5256530" cy="2988310"/>
            <wp:effectExtent l="5080" t="4445" r="15240" b="1714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仿宋_GB2312" w:cs="仿宋_GB2312"/>
          <w:color w:val="auto"/>
          <w:sz w:val="32"/>
          <w:szCs w:val="32"/>
          <w:highlight w:val="none"/>
          <w:lang w:eastAsia="zh-CN"/>
        </w:rPr>
        <w:t>（图2：收入决算结构图）（饼状图）</w:t>
      </w:r>
    </w:p>
    <w:p w14:paraId="59AFF399">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22" w:name="_Toc14877"/>
      <w:bookmarkStart w:id="23" w:name="_Toc15377207"/>
      <w:bookmarkStart w:id="24"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2"/>
          <w:rFonts w:hint="eastAsia" w:ascii="Times New Roman" w:hAnsi="Times New Roman" w:eastAsia="黑体"/>
          <w:b w:val="0"/>
          <w:color w:val="auto"/>
          <w:highlight w:val="none"/>
        </w:rPr>
        <w:t>出决算情况说明</w:t>
      </w:r>
      <w:bookmarkEnd w:id="22"/>
      <w:bookmarkEnd w:id="23"/>
      <w:bookmarkEnd w:id="24"/>
    </w:p>
    <w:p w14:paraId="265AC5DE">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2025年度本年支出合计</w:t>
      </w:r>
      <w:r>
        <w:rPr>
          <w:rFonts w:hint="eastAsia" w:ascii="仿宋_GB2312" w:hAnsi="仿宋_GB2312" w:eastAsia="仿宋_GB2312" w:cs="仿宋_GB2312"/>
          <w:sz w:val="32"/>
          <w:szCs w:val="32"/>
          <w:highlight w:val="none"/>
          <w:lang w:val="en-US" w:eastAsia="zh-CN"/>
        </w:rPr>
        <w:t>4738.25</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highlight w:val="none"/>
          <w:lang w:val="en-US" w:eastAsia="zh-CN"/>
        </w:rPr>
        <w:t>953.07</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20</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highlight w:val="none"/>
          <w:lang w:val="en-US" w:eastAsia="zh-CN"/>
        </w:rPr>
        <w:t>3785.19</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80</w:t>
      </w:r>
      <w:r>
        <w:rPr>
          <w:rFonts w:hint="eastAsia" w:ascii="仿宋_GB2312" w:hAnsi="仿宋_GB2312" w:eastAsia="仿宋_GB2312" w:cs="仿宋_GB2312"/>
          <w:color w:val="auto"/>
          <w:sz w:val="32"/>
          <w:szCs w:val="32"/>
          <w:highlight w:val="none"/>
          <w:lang w:eastAsia="zh-CN"/>
        </w:rPr>
        <w:t>%。</w:t>
      </w:r>
    </w:p>
    <w:p w14:paraId="21FFD143">
      <w:pPr>
        <w:jc w:val="center"/>
        <w:outlineLvl w:val="9"/>
        <w:rPr>
          <w:rFonts w:hint="eastAsia" w:ascii="Times New Roman" w:hAnsi="Times New Roman" w:eastAsia="仿宋_GB2312" w:cs="仿宋_GB2312"/>
          <w:color w:val="auto"/>
          <w:sz w:val="32"/>
          <w:szCs w:val="32"/>
          <w:highlight w:val="none"/>
          <w:lang w:eastAsia="zh-CN"/>
        </w:rPr>
      </w:pPr>
      <w:r>
        <w:rPr>
          <w:rFonts w:hint="default" w:ascii="仿宋" w:hAnsi="仿宋" w:eastAsia="仿宋"/>
          <w:color w:val="auto"/>
          <w:sz w:val="32"/>
          <w:szCs w:val="32"/>
          <w:highlight w:val="none"/>
          <w:lang w:val="en-US"/>
        </w:rPr>
        <w:drawing>
          <wp:anchor distT="0" distB="0" distL="114300" distR="114300" simplePos="0" relativeHeight="251662336" behindDoc="0" locked="0" layoutInCell="1" allowOverlap="1">
            <wp:simplePos x="0" y="0"/>
            <wp:positionH relativeFrom="column">
              <wp:posOffset>43180</wp:posOffset>
            </wp:positionH>
            <wp:positionV relativeFrom="paragraph">
              <wp:posOffset>76200</wp:posOffset>
            </wp:positionV>
            <wp:extent cx="5256530" cy="2988310"/>
            <wp:effectExtent l="5080" t="4445" r="15240" b="1714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仿宋_GB2312" w:cs="仿宋_GB2312"/>
          <w:color w:val="auto"/>
          <w:sz w:val="32"/>
          <w:szCs w:val="32"/>
          <w:highlight w:val="none"/>
          <w:lang w:eastAsia="zh-CN"/>
        </w:rPr>
        <w:t>（图3：支出决算结构图）（饼状图）</w:t>
      </w:r>
    </w:p>
    <w:p w14:paraId="5A01262A">
      <w:pPr>
        <w:spacing w:line="600" w:lineRule="exact"/>
        <w:ind w:firstLine="640" w:firstLineChars="200"/>
        <w:outlineLvl w:val="1"/>
        <w:rPr>
          <w:rStyle w:val="32"/>
          <w:rFonts w:ascii="Times New Roman" w:hAnsi="Times New Roman" w:eastAsia="黑体"/>
          <w:b w:val="0"/>
          <w:color w:val="auto"/>
          <w:highlight w:val="none"/>
        </w:rPr>
      </w:pPr>
      <w:bookmarkStart w:id="25" w:name="_Toc15377208"/>
      <w:bookmarkStart w:id="26" w:name="_Toc27251"/>
      <w:bookmarkStart w:id="27" w:name="_Toc15396606"/>
      <w:r>
        <w:rPr>
          <w:rFonts w:hint="eastAsia" w:ascii="Times New Roman" w:hAnsi="Times New Roman" w:eastAsia="黑体"/>
          <w:color w:val="auto"/>
          <w:sz w:val="32"/>
          <w:szCs w:val="32"/>
          <w:highlight w:val="none"/>
        </w:rPr>
        <w:t>四、财</w:t>
      </w:r>
      <w:r>
        <w:rPr>
          <w:rStyle w:val="32"/>
          <w:rFonts w:hint="eastAsia" w:ascii="Times New Roman" w:hAnsi="Times New Roman" w:eastAsia="黑体"/>
          <w:b w:val="0"/>
          <w:color w:val="auto"/>
          <w:highlight w:val="none"/>
        </w:rPr>
        <w:t>政拨款收入支出决算总体情况说明</w:t>
      </w:r>
      <w:bookmarkEnd w:id="25"/>
      <w:bookmarkEnd w:id="26"/>
      <w:bookmarkEnd w:id="27"/>
    </w:p>
    <w:p w14:paraId="06E577E6">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hAnsi="仿宋_GB2312" w:eastAsia="仿宋_GB2312" w:cs="仿宋_GB2312"/>
          <w:sz w:val="32"/>
          <w:szCs w:val="32"/>
          <w:highlight w:val="none"/>
          <w:lang w:val="en-US" w:eastAsia="zh-CN"/>
        </w:rPr>
        <w:t>4738.25</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年度相比，财政拨款收入总计、支出总计各增加</w:t>
      </w:r>
      <w:r>
        <w:rPr>
          <w:rFonts w:hint="eastAsia" w:ascii="仿宋_GB2312" w:hAnsi="仿宋_GB2312" w:eastAsia="仿宋_GB2312" w:cs="仿宋_GB2312"/>
          <w:sz w:val="32"/>
          <w:szCs w:val="32"/>
          <w:highlight w:val="none"/>
          <w:lang w:val="en-US" w:eastAsia="zh-CN"/>
        </w:rPr>
        <w:t>25.11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0.5</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sz w:val="32"/>
          <w:szCs w:val="32"/>
          <w:highlight w:val="none"/>
        </w:rPr>
        <w:t>主要变动原因</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一是基本支出减少，2025年因机改改革，人员减少。二是项目总支出较上年增长</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2025年增加“参加第二十届西博会经费”518.27万元。</w:t>
      </w:r>
    </w:p>
    <w:p w14:paraId="47B10279">
      <w:pPr>
        <w:pStyle w:val="16"/>
        <w:outlineLvl w:val="9"/>
        <w:rPr>
          <w:rFonts w:hint="eastAsia"/>
          <w:highlight w:val="none"/>
          <w:lang w:val="en-US" w:eastAsia="zh-CN"/>
        </w:rPr>
      </w:pPr>
    </w:p>
    <w:p w14:paraId="5774FC8E">
      <w:pPr>
        <w:spacing w:line="600" w:lineRule="exact"/>
        <w:jc w:val="center"/>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3360" behindDoc="0" locked="0" layoutInCell="1" allowOverlap="1">
            <wp:simplePos x="0" y="0"/>
            <wp:positionH relativeFrom="column">
              <wp:posOffset>43815</wp:posOffset>
            </wp:positionH>
            <wp:positionV relativeFrom="paragraph">
              <wp:posOffset>10795</wp:posOffset>
            </wp:positionV>
            <wp:extent cx="5190490" cy="2521585"/>
            <wp:effectExtent l="4445" t="4445" r="5715" b="7620"/>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56DC149D">
      <w:pPr>
        <w:spacing w:line="600" w:lineRule="exact"/>
        <w:ind w:firstLine="640" w:firstLineChars="200"/>
        <w:outlineLvl w:val="1"/>
        <w:rPr>
          <w:rStyle w:val="32"/>
          <w:rFonts w:ascii="Times New Roman" w:hAnsi="Times New Roman" w:eastAsia="黑体"/>
          <w:b w:val="0"/>
          <w:color w:val="auto"/>
          <w:highlight w:val="none"/>
        </w:rPr>
      </w:pPr>
      <w:bookmarkStart w:id="28" w:name="_Toc15377209"/>
      <w:bookmarkStart w:id="29" w:name="_Toc15614"/>
      <w:bookmarkStart w:id="30"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般公共预算财政拨款支出决算情况说明</w:t>
      </w:r>
      <w:bookmarkEnd w:id="28"/>
      <w:bookmarkEnd w:id="29"/>
      <w:bookmarkEnd w:id="30"/>
    </w:p>
    <w:p w14:paraId="48CD862A">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1"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1"/>
    </w:p>
    <w:p w14:paraId="2B475417">
      <w:pPr>
        <w:spacing w:line="600" w:lineRule="exact"/>
        <w:ind w:firstLine="640"/>
        <w:outlineLvl w:val="9"/>
        <w:rPr>
          <w:rFonts w:hint="default"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highlight w:val="none"/>
          <w:lang w:val="en-US" w:eastAsia="zh-CN"/>
        </w:rPr>
        <w:t>4738.25</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%。与2024年度相比，一般公共预算财政拨款支出增加</w:t>
      </w:r>
      <w:r>
        <w:rPr>
          <w:rFonts w:hint="eastAsia" w:ascii="仿宋_GB2312" w:hAnsi="仿宋_GB2312" w:eastAsia="仿宋_GB2312" w:cs="仿宋_GB2312"/>
          <w:sz w:val="32"/>
          <w:szCs w:val="32"/>
          <w:highlight w:val="none"/>
          <w:lang w:val="en-US" w:eastAsia="zh-CN"/>
        </w:rPr>
        <w:t>25.11</w:t>
      </w:r>
      <w:r>
        <w:rPr>
          <w:rFonts w:hint="eastAsia" w:ascii="仿宋_GB2312" w:hAnsi="仿宋_GB2312"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0.5</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sz w:val="32"/>
          <w:szCs w:val="32"/>
          <w:highlight w:val="none"/>
        </w:rPr>
        <w:t>主要变动原因</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一是基本支出减少，2025年因机改改革，人员减少。二是项目总支出较上年增长</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2025年增加“参加第二十届西博会经费”518.27万元。</w:t>
      </w:r>
    </w:p>
    <w:p w14:paraId="5EA93293">
      <w:pPr>
        <w:spacing w:line="600" w:lineRule="exact"/>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4384" behindDoc="0" locked="0" layoutInCell="1" allowOverlap="1">
            <wp:simplePos x="0" y="0"/>
            <wp:positionH relativeFrom="column">
              <wp:posOffset>-33655</wp:posOffset>
            </wp:positionH>
            <wp:positionV relativeFrom="paragraph">
              <wp:posOffset>156845</wp:posOffset>
            </wp:positionV>
            <wp:extent cx="5256530" cy="2988310"/>
            <wp:effectExtent l="5080" t="4445" r="15240" b="17145"/>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628C330E">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2"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2"/>
    </w:p>
    <w:p w14:paraId="1128E98B">
      <w:pPr>
        <w:spacing w:line="600" w:lineRule="exact"/>
        <w:ind w:firstLine="640"/>
        <w:outlineLvl w:val="9"/>
        <w:rPr>
          <w:rFonts w:hint="eastAsia"/>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2025年度一般公共预算财政拨款支出4738.25万元，主要用于以下方面：一般公共服务支出4531.68万元，占95.6%；社会保障和就业支出109.12万元，占2.3%；卫生健康支出41.69万元，占0.</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%；住房保障支出55.77万元，占1.</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w:t>
      </w:r>
    </w:p>
    <w:p w14:paraId="360E76A0">
      <w:pPr>
        <w:pStyle w:val="10"/>
        <w:ind w:left="0" w:leftChars="0" w:firstLine="0" w:firstLineChars="0"/>
        <w:jc w:val="center"/>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仿宋"/>
          <w:color w:val="auto"/>
          <w:sz w:val="32"/>
          <w:szCs w:val="32"/>
          <w:highlight w:val="none"/>
          <w:lang w:val="zh-CN" w:eastAsia="zh-CN"/>
        </w:rPr>
        <w:drawing>
          <wp:inline distT="0" distB="0" distL="114300" distR="114300">
            <wp:extent cx="5256530" cy="2988310"/>
            <wp:effectExtent l="5080" t="4445" r="15240"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57FBB1A0">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3"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3"/>
    </w:p>
    <w:p w14:paraId="32C683C3">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bookmarkStart w:id="34" w:name="_Toc15378460"/>
      <w:bookmarkStart w:id="35" w:name="_Toc15377444"/>
      <w:bookmarkStart w:id="36" w:name="_Toc15377213"/>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highlight w:val="none"/>
          <w:lang w:val="en-US" w:eastAsia="zh-CN"/>
        </w:rPr>
        <w:t>4738.25</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4"/>
      <w:bookmarkEnd w:id="35"/>
      <w:bookmarkEnd w:id="36"/>
    </w:p>
    <w:p w14:paraId="42D5145D">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）商贸事务（</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）行政运行（01）:支出决算为</w:t>
      </w:r>
      <w:r>
        <w:rPr>
          <w:rFonts w:hint="eastAsia" w:eastAsia="仿宋_GB2312" w:cs="仿宋_GB2312"/>
          <w:color w:val="auto"/>
          <w:kern w:val="2"/>
          <w:sz w:val="32"/>
          <w:szCs w:val="32"/>
          <w:highlight w:val="none"/>
          <w:lang w:val="en-US" w:eastAsia="zh-CN" w:bidi="ar-SA"/>
        </w:rPr>
        <w:t>746.49</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74FAFDD0">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）商贸事务（</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）一般行政管理事务（02）:支出决算为</w:t>
      </w:r>
      <w:r>
        <w:rPr>
          <w:rFonts w:hint="eastAsia" w:eastAsia="仿宋_GB2312" w:cs="仿宋_GB2312"/>
          <w:color w:val="auto"/>
          <w:kern w:val="2"/>
          <w:sz w:val="32"/>
          <w:szCs w:val="32"/>
          <w:highlight w:val="none"/>
          <w:lang w:val="en-US" w:eastAsia="zh-CN" w:bidi="ar-SA"/>
        </w:rPr>
        <w:t>258.41</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6EF04AF6">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）商贸事务（</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）国内贸易管理（07）:支出决算为</w:t>
      </w:r>
      <w:r>
        <w:rPr>
          <w:rFonts w:hint="eastAsia" w:eastAsia="仿宋_GB2312" w:cs="仿宋_GB2312"/>
          <w:color w:val="auto"/>
          <w:kern w:val="2"/>
          <w:sz w:val="32"/>
          <w:szCs w:val="32"/>
          <w:highlight w:val="none"/>
          <w:lang w:val="en-US" w:eastAsia="zh-CN" w:bidi="ar-SA"/>
        </w:rPr>
        <w:t>19.96</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355AC1E4">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）商贸事务（</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）招商引资（08）:支出决算为</w:t>
      </w:r>
      <w:r>
        <w:rPr>
          <w:rFonts w:hint="eastAsia" w:eastAsia="仿宋_GB2312" w:cs="仿宋_GB2312"/>
          <w:color w:val="auto"/>
          <w:kern w:val="2"/>
          <w:sz w:val="32"/>
          <w:szCs w:val="32"/>
          <w:highlight w:val="none"/>
          <w:lang w:val="en-US" w:eastAsia="zh-CN" w:bidi="ar-SA"/>
        </w:rPr>
        <w:t>50.67</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144184B9">
      <w:pPr>
        <w:numPr>
          <w:ilvl w:val="0"/>
          <w:numId w:val="0"/>
        </w:numPr>
        <w:spacing w:line="600" w:lineRule="exact"/>
        <w:ind w:firstLine="640" w:firstLineChars="200"/>
        <w:rPr>
          <w:rFonts w:hint="eastAsia"/>
          <w:highlight w:val="none"/>
          <w:lang w:val="en-US" w:eastAsia="zh-CN"/>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）商贸事务（</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）其他商贸事务支出（99）:支出决算为</w:t>
      </w:r>
      <w:r>
        <w:rPr>
          <w:rFonts w:hint="eastAsia" w:eastAsia="仿宋_GB2312" w:cs="仿宋_GB2312"/>
          <w:color w:val="auto"/>
          <w:kern w:val="2"/>
          <w:sz w:val="32"/>
          <w:szCs w:val="32"/>
          <w:highlight w:val="none"/>
          <w:lang w:val="en-US" w:eastAsia="zh-CN" w:bidi="ar-SA"/>
        </w:rPr>
        <w:t>3456.14</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2FC3AF1B">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社会保障和就业支出（208）行政事业单位养老支出（05）机关事业单位基本养老保险缴费支出（05）:支出决算为</w:t>
      </w:r>
      <w:r>
        <w:rPr>
          <w:rFonts w:hint="eastAsia" w:eastAsia="仿宋_GB2312" w:cs="仿宋_GB2312"/>
          <w:color w:val="auto"/>
          <w:kern w:val="2"/>
          <w:sz w:val="32"/>
          <w:szCs w:val="32"/>
          <w:highlight w:val="none"/>
          <w:lang w:val="en-US" w:eastAsia="zh-CN" w:bidi="ar-SA"/>
        </w:rPr>
        <w:t>74.84</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16C22E91">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社会保障和就业支出（208）行政事业单位养老支出（05）机关事业单位职业年金缴费支出（06）:支出决算为</w:t>
      </w:r>
      <w:r>
        <w:rPr>
          <w:rFonts w:hint="eastAsia" w:eastAsia="仿宋_GB2312" w:cs="仿宋_GB2312"/>
          <w:color w:val="auto"/>
          <w:kern w:val="2"/>
          <w:sz w:val="32"/>
          <w:szCs w:val="32"/>
          <w:highlight w:val="none"/>
          <w:lang w:val="en-US" w:eastAsia="zh-CN" w:bidi="ar-SA"/>
        </w:rPr>
        <w:t>34.28</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03478D89">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卫生健康支出（210）行政事业单位医疗（11）行政单位医疗（01）:支出决算为</w:t>
      </w:r>
      <w:r>
        <w:rPr>
          <w:rFonts w:hint="eastAsia" w:eastAsia="仿宋_GB2312" w:cs="仿宋_GB2312"/>
          <w:color w:val="auto"/>
          <w:kern w:val="2"/>
          <w:sz w:val="32"/>
          <w:szCs w:val="32"/>
          <w:highlight w:val="none"/>
          <w:lang w:val="en-US" w:eastAsia="zh-CN" w:bidi="ar-SA"/>
        </w:rPr>
        <w:t>32.90</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4209C673">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卫生健康支出（210）行政事业单位医疗（11）公务员医疗补助（03）:支出决算为</w:t>
      </w:r>
      <w:r>
        <w:rPr>
          <w:rFonts w:hint="eastAsia" w:eastAsia="仿宋_GB2312" w:cs="仿宋_GB2312"/>
          <w:color w:val="auto"/>
          <w:kern w:val="2"/>
          <w:sz w:val="32"/>
          <w:szCs w:val="32"/>
          <w:highlight w:val="none"/>
          <w:lang w:val="en-US" w:eastAsia="zh-CN" w:bidi="ar-SA"/>
        </w:rPr>
        <w:t>8.78</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0FFAFEC1">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住房保障支出（221）住房改革支出（02）住房公积金（01）:支出决算为</w:t>
      </w:r>
      <w:r>
        <w:rPr>
          <w:rFonts w:hint="eastAsia" w:eastAsia="仿宋_GB2312" w:cs="仿宋_GB2312"/>
          <w:color w:val="auto"/>
          <w:kern w:val="2"/>
          <w:sz w:val="32"/>
          <w:szCs w:val="32"/>
          <w:highlight w:val="none"/>
          <w:lang w:val="en-US" w:eastAsia="zh-CN" w:bidi="ar-SA"/>
        </w:rPr>
        <w:t>55.77</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492899EA">
      <w:pPr>
        <w:tabs>
          <w:tab w:val="right" w:pos="8306"/>
        </w:tabs>
        <w:spacing w:line="600" w:lineRule="exact"/>
        <w:ind w:firstLine="640"/>
        <w:outlineLvl w:val="1"/>
        <w:rPr>
          <w:rStyle w:val="32"/>
          <w:rFonts w:ascii="Times New Roman" w:hAnsi="Times New Roman"/>
          <w:color w:val="auto"/>
          <w:highlight w:val="none"/>
        </w:rPr>
      </w:pPr>
      <w:bookmarkStart w:id="37" w:name="_Toc9770"/>
      <w:bookmarkStart w:id="38" w:name="_Toc15377214"/>
      <w:bookmarkStart w:id="3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般公共预算财政拨款基本支出决算情况说明</w:t>
      </w:r>
      <w:bookmarkEnd w:id="37"/>
      <w:bookmarkEnd w:id="38"/>
      <w:bookmarkEnd w:id="39"/>
      <w:r>
        <w:rPr>
          <w:rStyle w:val="32"/>
          <w:rFonts w:ascii="Times New Roman" w:hAnsi="Times New Roman" w:eastAsia="黑体"/>
          <w:b w:val="0"/>
          <w:color w:val="auto"/>
          <w:highlight w:val="none"/>
        </w:rPr>
        <w:tab/>
      </w:r>
    </w:p>
    <w:p w14:paraId="3F8DB63B">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sz w:val="32"/>
          <w:szCs w:val="32"/>
          <w:highlight w:val="none"/>
          <w:lang w:val="en-US" w:eastAsia="zh-CN"/>
        </w:rPr>
        <w:t>953.07</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5B74B7A5">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highlight w:val="none"/>
          <w:lang w:val="en-US" w:eastAsia="zh-CN"/>
        </w:rPr>
        <w:t>843.12</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主要包括：基本工资、津贴补贴、奖金、绩效工资、机关事业单位基本养老保险缴费、职业年金缴费、其他社会保障缴费、其他工资福利支出、离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highlight w:val="none"/>
          <w:lang w:val="en-US" w:eastAsia="zh-CN"/>
        </w:rPr>
        <w:t>109.95</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主要包括：办公费、水费、电费、邮电费、物业管理费、差旅费、维修（护）费、租赁费、会议费、培训费、公务接待费、劳务费、委托业务费、公务用车运行维护费、其他交通费、其他商品和服务支出、办公设备购置、专用设备购置、信息网络及软件购置更新等。</w:t>
      </w:r>
    </w:p>
    <w:p w14:paraId="032232BB">
      <w:pPr>
        <w:spacing w:line="600" w:lineRule="exact"/>
        <w:ind w:firstLine="640"/>
        <w:outlineLvl w:val="1"/>
        <w:rPr>
          <w:rStyle w:val="32"/>
          <w:rFonts w:ascii="Times New Roman" w:hAnsi="Times New Roman" w:eastAsia="黑体"/>
          <w:b w:val="0"/>
          <w:color w:val="auto"/>
          <w:highlight w:val="none"/>
        </w:rPr>
      </w:pPr>
      <w:bookmarkStart w:id="40" w:name="_Toc15396609"/>
      <w:bookmarkStart w:id="41" w:name="_Toc15377215"/>
      <w:bookmarkStart w:id="42" w:name="_Toc26098"/>
      <w:r>
        <w:rPr>
          <w:rFonts w:hint="eastAsia" w:ascii="Times New Roman" w:hAnsi="Times New Roman" w:eastAsia="黑体"/>
          <w:color w:val="auto"/>
          <w:sz w:val="32"/>
          <w:szCs w:val="32"/>
          <w:highlight w:val="none"/>
        </w:rPr>
        <w:t>七、</w:t>
      </w:r>
      <w:r>
        <w:rPr>
          <w:rStyle w:val="32"/>
          <w:rFonts w:hint="eastAsia" w:ascii="Times New Roman" w:hAnsi="Times New Roman" w:eastAsia="黑体"/>
          <w:b w:val="0"/>
          <w:color w:val="auto"/>
          <w:highlight w:val="none"/>
        </w:rPr>
        <w:t>财政拨款</w:t>
      </w:r>
      <w:r>
        <w:rPr>
          <w:rStyle w:val="32"/>
          <w:rFonts w:hint="eastAsia" w:ascii="Times New Roman" w:hAnsi="Times New Roman" w:eastAsia="黑体"/>
          <w:color w:val="auto"/>
          <w:highlight w:val="none"/>
        </w:rPr>
        <w:t>“</w:t>
      </w:r>
      <w:r>
        <w:rPr>
          <w:rStyle w:val="32"/>
          <w:rFonts w:hint="eastAsia" w:ascii="Times New Roman" w:hAnsi="Times New Roman" w:eastAsia="黑体"/>
          <w:b w:val="0"/>
          <w:color w:val="auto"/>
          <w:highlight w:val="none"/>
        </w:rPr>
        <w:t>三公”经费支出决算情况说明</w:t>
      </w:r>
      <w:bookmarkEnd w:id="40"/>
      <w:bookmarkEnd w:id="41"/>
      <w:bookmarkEnd w:id="42"/>
    </w:p>
    <w:p w14:paraId="3CCB4AC1">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43"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43"/>
    </w:p>
    <w:p w14:paraId="2370DED8">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highlight w:val="none"/>
          <w:lang w:val="en-US" w:eastAsia="zh-CN"/>
        </w:rPr>
        <w:t>35.81</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减少</w:t>
      </w:r>
      <w:r>
        <w:rPr>
          <w:rFonts w:hint="eastAsia" w:ascii="仿宋_GB2312" w:hAnsi="仿宋_GB2312" w:eastAsia="仿宋_GB2312" w:cs="仿宋_GB2312"/>
          <w:sz w:val="32"/>
          <w:szCs w:val="32"/>
          <w:highlight w:val="none"/>
          <w:lang w:val="en-US" w:eastAsia="zh-CN"/>
        </w:rPr>
        <w:t>68.46</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w:t>
      </w:r>
      <w:r>
        <w:rPr>
          <w:rFonts w:hint="eastAsia" w:ascii="仿宋_GB2312" w:hAnsi="仿宋_GB2312" w:eastAsia="仿宋_GB2312" w:cs="仿宋_GB2312"/>
          <w:sz w:val="32"/>
          <w:szCs w:val="32"/>
          <w:highlight w:val="none"/>
          <w:lang w:val="en-US" w:eastAsia="zh-CN"/>
        </w:rPr>
        <w:t>65.6</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ascii="仿宋_GB2312" w:hAnsi="仿宋_GB2312" w:eastAsia="仿宋_GB2312" w:cs="仿宋_GB2312"/>
          <w:sz w:val="32"/>
          <w:szCs w:val="32"/>
          <w:highlight w:val="none"/>
          <w:lang w:val="en-US" w:eastAsia="zh-CN"/>
        </w:rPr>
        <w:t>。</w:t>
      </w:r>
    </w:p>
    <w:p w14:paraId="46323A85">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44"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44"/>
    </w:p>
    <w:p w14:paraId="73ED10F1">
      <w:pPr>
        <w:spacing w:line="600" w:lineRule="exact"/>
        <w:ind w:firstLine="640"/>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highlight w:val="none"/>
          <w:lang w:val="en-US" w:eastAsia="zh-CN"/>
        </w:rPr>
        <w:t>35.77</w:t>
      </w:r>
      <w:r>
        <w:rPr>
          <w:rFonts w:hint="eastAsia" w:ascii="仿宋_GB2312" w:hAnsi="仿宋_GB2312" w:eastAsia="仿宋_GB2312" w:cs="仿宋_GB2312"/>
          <w:color w:val="auto"/>
          <w:kern w:val="2"/>
          <w:sz w:val="32"/>
          <w:szCs w:val="32"/>
          <w:highlight w:val="none"/>
          <w:lang w:val="en-US" w:eastAsia="zh-CN" w:bidi="ar-SA"/>
        </w:rPr>
        <w:t>万元，占99.9%；公务接待费支出决算</w:t>
      </w:r>
      <w:r>
        <w:rPr>
          <w:rFonts w:hint="eastAsia" w:ascii="仿宋_GB2312" w:hAnsi="仿宋_GB2312" w:eastAsia="仿宋_GB2312" w:cs="仿宋_GB2312"/>
          <w:sz w:val="32"/>
          <w:szCs w:val="32"/>
          <w:highlight w:val="none"/>
          <w:lang w:val="en-US" w:eastAsia="zh-CN"/>
        </w:rPr>
        <w:t>0.04</w:t>
      </w:r>
      <w:r>
        <w:rPr>
          <w:rFonts w:hint="eastAsia" w:ascii="仿宋_GB2312" w:hAnsi="仿宋_GB2312" w:eastAsia="仿宋_GB2312" w:cs="仿宋_GB2312"/>
          <w:color w:val="auto"/>
          <w:kern w:val="2"/>
          <w:sz w:val="32"/>
          <w:szCs w:val="32"/>
          <w:highlight w:val="none"/>
          <w:lang w:val="en-US" w:eastAsia="zh-CN" w:bidi="ar-SA"/>
        </w:rPr>
        <w:t>万元，占0.1%。具体情况如下：</w:t>
      </w:r>
    </w:p>
    <w:p w14:paraId="67DF90F9">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highlight w:val="none"/>
          <w:lang w:val="en-US" w:eastAsia="zh-CN"/>
        </w:rPr>
        <w:drawing>
          <wp:anchor distT="0" distB="0" distL="114300" distR="114300" simplePos="0" relativeHeight="251659264" behindDoc="0" locked="0" layoutInCell="1" allowOverlap="1">
            <wp:simplePos x="0" y="0"/>
            <wp:positionH relativeFrom="column">
              <wp:posOffset>71755</wp:posOffset>
            </wp:positionH>
            <wp:positionV relativeFrom="paragraph">
              <wp:posOffset>90170</wp:posOffset>
            </wp:positionV>
            <wp:extent cx="5256530" cy="2988310"/>
            <wp:effectExtent l="5080" t="4445" r="15240" b="1714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14:paraId="5F9EB77E">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2EBFD8EE">
      <w:pPr>
        <w:spacing w:line="600" w:lineRule="exact"/>
        <w:ind w:firstLine="640"/>
        <w:outlineLvl w:val="9"/>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sz w:val="32"/>
          <w:szCs w:val="32"/>
          <w:highlight w:val="none"/>
          <w:lang w:val="en-US" w:eastAsia="zh-CN"/>
        </w:rPr>
        <w:t>35.77</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减少</w:t>
      </w:r>
      <w:r>
        <w:rPr>
          <w:rFonts w:hint="eastAsia" w:ascii="仿宋_GB2312" w:hAnsi="仿宋_GB2312" w:eastAsia="仿宋_GB2312" w:cs="仿宋_GB2312"/>
          <w:sz w:val="32"/>
          <w:szCs w:val="32"/>
          <w:highlight w:val="none"/>
          <w:lang w:val="en-US" w:eastAsia="zh-CN"/>
        </w:rPr>
        <w:t>68.5</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w:t>
      </w:r>
      <w:r>
        <w:rPr>
          <w:rFonts w:hint="eastAsia" w:ascii="仿宋_GB2312" w:hAnsi="仿宋_GB2312" w:eastAsia="仿宋_GB2312" w:cs="仿宋_GB2312"/>
          <w:sz w:val="32"/>
          <w:szCs w:val="32"/>
          <w:highlight w:val="none"/>
          <w:lang w:val="en-US" w:eastAsia="zh-CN"/>
        </w:rPr>
        <w:t>65.7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其中：</w:t>
      </w:r>
      <w:r>
        <w:rPr>
          <w:rFonts w:hint="eastAsia" w:ascii="Times New Roman" w:hAnsi="Times New Roman" w:eastAsia="仿宋_GB2312" w:cs="仿宋_GB2312"/>
          <w:color w:val="auto"/>
          <w:kern w:val="2"/>
          <w:sz w:val="32"/>
          <w:szCs w:val="32"/>
          <w:highlight w:val="none"/>
          <w:lang w:val="en-US" w:eastAsia="zh-CN" w:bidi="ar-SA"/>
        </w:rPr>
        <w:t>公务用车购置</w:t>
      </w:r>
      <w:r>
        <w:rPr>
          <w:rFonts w:hint="eastAsia" w:eastAsia="仿宋_GB2312" w:cs="仿宋_GB2312"/>
          <w:color w:val="auto"/>
          <w:kern w:val="2"/>
          <w:sz w:val="32"/>
          <w:szCs w:val="32"/>
          <w:highlight w:val="none"/>
          <w:lang w:val="en-US" w:eastAsia="zh-CN" w:bidi="ar-SA"/>
        </w:rPr>
        <w:t>支出较2024年减少65.09万元，下降100%，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highlight w:val="none"/>
          <w:lang w:val="en-US" w:eastAsia="zh-CN"/>
        </w:rPr>
        <w:t>本年度较上年度无公车购置</w:t>
      </w:r>
      <w:r>
        <w:rPr>
          <w:rFonts w:hint="eastAsia" w:eastAsia="仿宋_GB2312" w:cs="仿宋_GB2312"/>
          <w:color w:val="auto"/>
          <w:kern w:val="2"/>
          <w:sz w:val="32"/>
          <w:szCs w:val="32"/>
          <w:highlight w:val="none"/>
          <w:lang w:val="en-US" w:eastAsia="zh-CN" w:bidi="ar-SA"/>
        </w:rPr>
        <w:t>；公车</w:t>
      </w:r>
      <w:r>
        <w:rPr>
          <w:rFonts w:hint="eastAsia" w:ascii="Times New Roman" w:hAnsi="Times New Roman" w:eastAsia="仿宋_GB2312" w:cs="仿宋_GB2312"/>
          <w:color w:val="auto"/>
          <w:kern w:val="2"/>
          <w:sz w:val="32"/>
          <w:szCs w:val="32"/>
          <w:highlight w:val="none"/>
          <w:lang w:val="en-US" w:eastAsia="zh-CN" w:bidi="ar-SA"/>
        </w:rPr>
        <w:t>运行维护费支出</w:t>
      </w:r>
      <w:r>
        <w:rPr>
          <w:rFonts w:hint="eastAsia" w:eastAsia="仿宋_GB2312" w:cs="仿宋_GB2312"/>
          <w:color w:val="auto"/>
          <w:kern w:val="2"/>
          <w:sz w:val="32"/>
          <w:szCs w:val="32"/>
          <w:highlight w:val="none"/>
          <w:lang w:val="en-US" w:eastAsia="zh-CN" w:bidi="ar-SA"/>
        </w:rPr>
        <w:t>较2024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减少</w:t>
      </w:r>
      <w:r>
        <w:rPr>
          <w:rFonts w:hint="eastAsia" w:ascii="仿宋_GB2312" w:hAnsi="仿宋_GB2312" w:eastAsia="仿宋_GB2312" w:cs="仿宋_GB2312"/>
          <w:sz w:val="32"/>
          <w:szCs w:val="32"/>
          <w:highlight w:val="none"/>
          <w:lang w:val="en-US" w:eastAsia="zh-CN"/>
        </w:rPr>
        <w:t>3.41</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w:t>
      </w:r>
      <w:r>
        <w:rPr>
          <w:rFonts w:hint="eastAsia" w:ascii="仿宋_GB2312" w:hAnsi="仿宋_GB2312" w:eastAsia="仿宋_GB2312" w:cs="仿宋_GB2312"/>
          <w:sz w:val="32"/>
          <w:szCs w:val="32"/>
          <w:highlight w:val="none"/>
          <w:lang w:val="en-US" w:eastAsia="zh-CN"/>
        </w:rPr>
        <w:t>8.7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，主要原因是2025年因机构改革，划转一辆公车。</w:t>
      </w:r>
    </w:p>
    <w:p w14:paraId="432DCFA4">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辆。截至</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ascii="仿宋_GB2312" w:hAnsi="仿宋_GB2312" w:eastAsia="仿宋_GB2312" w:cs="仿宋_GB2312"/>
          <w:sz w:val="32"/>
          <w:szCs w:val="32"/>
          <w:highlight w:val="none"/>
          <w:lang w:val="en-US" w:eastAsia="zh-CN"/>
        </w:rPr>
        <w:t>4</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53190606">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35.77</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日常公务</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5A264BEB">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sz w:val="32"/>
          <w:szCs w:val="32"/>
          <w:highlight w:val="none"/>
          <w:lang w:val="en-US" w:eastAsia="zh-CN"/>
        </w:rPr>
        <w:t>0.04</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0.04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p>
    <w:p w14:paraId="4D9B6310">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0.04</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highlight w:val="none"/>
          <w:lang w:val="en-US" w:eastAsia="zh-CN"/>
        </w:rPr>
        <w:t>4</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ascii="仿宋_GB2312" w:hAnsi="仿宋_GB2312" w:eastAsia="仿宋_GB2312" w:cs="仿宋_GB2312"/>
          <w:sz w:val="32"/>
          <w:szCs w:val="32"/>
          <w:highlight w:val="none"/>
          <w:lang w:val="en-US" w:eastAsia="zh-CN"/>
        </w:rPr>
        <w:t>0.04</w:t>
      </w:r>
      <w:r>
        <w:rPr>
          <w:rFonts w:hint="eastAsia" w:ascii="Times New Roman" w:hAnsi="Times New Roman" w:eastAsia="仿宋_GB2312" w:cs="仿宋_GB2312"/>
          <w:color w:val="auto"/>
          <w:kern w:val="2"/>
          <w:sz w:val="32"/>
          <w:szCs w:val="32"/>
          <w:highlight w:val="none"/>
          <w:lang w:val="en-US" w:eastAsia="zh-CN" w:bidi="ar-SA"/>
        </w:rPr>
        <w:t>万元。</w:t>
      </w:r>
    </w:p>
    <w:p w14:paraId="609F30AC">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bookmarkStart w:id="45" w:name="_Toc15377218"/>
      <w:bookmarkStart w:id="46" w:name="_Toc15396610"/>
    </w:p>
    <w:p w14:paraId="16B733E7">
      <w:pPr>
        <w:spacing w:line="600" w:lineRule="exact"/>
        <w:ind w:firstLine="640"/>
        <w:outlineLvl w:val="1"/>
        <w:rPr>
          <w:rStyle w:val="32"/>
          <w:rFonts w:ascii="Times New Roman" w:hAnsi="Times New Roman" w:eastAsia="黑体"/>
          <w:color w:val="auto"/>
          <w:highlight w:val="none"/>
        </w:rPr>
      </w:pPr>
      <w:bookmarkStart w:id="47" w:name="_Toc7073"/>
      <w:r>
        <w:rPr>
          <w:rFonts w:hint="eastAsia" w:ascii="Times New Roman" w:hAnsi="Times New Roman" w:eastAsia="黑体"/>
          <w:color w:val="auto"/>
          <w:sz w:val="32"/>
          <w:szCs w:val="32"/>
          <w:highlight w:val="none"/>
        </w:rPr>
        <w:t>八、</w:t>
      </w:r>
      <w:r>
        <w:rPr>
          <w:rStyle w:val="32"/>
          <w:rFonts w:hint="eastAsia" w:ascii="Times New Roman" w:hAnsi="Times New Roman" w:eastAsia="黑体"/>
          <w:b w:val="0"/>
          <w:color w:val="auto"/>
          <w:highlight w:val="none"/>
        </w:rPr>
        <w:t>政府性基金预算支出决算情况说明</w:t>
      </w:r>
      <w:bookmarkEnd w:id="45"/>
      <w:bookmarkEnd w:id="46"/>
      <w:bookmarkEnd w:id="47"/>
    </w:p>
    <w:p w14:paraId="05B5037C">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w:t>
      </w:r>
    </w:p>
    <w:p w14:paraId="0116953A">
      <w:pPr>
        <w:numPr>
          <w:ilvl w:val="0"/>
          <w:numId w:val="0"/>
        </w:numPr>
        <w:spacing w:line="600" w:lineRule="exact"/>
        <w:ind w:left="630" w:leftChars="0"/>
        <w:outlineLvl w:val="1"/>
        <w:rPr>
          <w:rStyle w:val="32"/>
          <w:rFonts w:ascii="Times New Roman" w:hAnsi="Times New Roman" w:eastAsia="黑体"/>
          <w:b w:val="0"/>
          <w:color w:val="auto"/>
          <w:highlight w:val="none"/>
        </w:rPr>
      </w:pPr>
      <w:bookmarkStart w:id="48" w:name="_Toc9897"/>
      <w:bookmarkStart w:id="49" w:name="_Toc15396611"/>
      <w:bookmarkStart w:id="50" w:name="_Toc15377219"/>
      <w:r>
        <w:rPr>
          <w:rStyle w:val="32"/>
          <w:rFonts w:hint="eastAsia" w:ascii="Times New Roman" w:hAnsi="Times New Roman" w:eastAsia="黑体"/>
          <w:b w:val="0"/>
          <w:color w:val="auto"/>
          <w:highlight w:val="none"/>
          <w:lang w:eastAsia="zh-CN"/>
        </w:rPr>
        <w:t>九、</w:t>
      </w:r>
      <w:r>
        <w:rPr>
          <w:rStyle w:val="32"/>
          <w:rFonts w:hint="eastAsia" w:ascii="Times New Roman" w:hAnsi="Times New Roman" w:eastAsia="黑体"/>
          <w:b w:val="0"/>
          <w:color w:val="auto"/>
          <w:highlight w:val="none"/>
        </w:rPr>
        <w:t>国有资本经营预算支出决算情况说明</w:t>
      </w:r>
      <w:bookmarkEnd w:id="48"/>
      <w:bookmarkEnd w:id="49"/>
      <w:bookmarkEnd w:id="50"/>
    </w:p>
    <w:p w14:paraId="10E1E4C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4370398F">
      <w:pPr>
        <w:numPr>
          <w:ilvl w:val="0"/>
          <w:numId w:val="0"/>
        </w:numPr>
        <w:spacing w:line="600" w:lineRule="exact"/>
        <w:ind w:left="630" w:leftChars="0"/>
        <w:outlineLvl w:val="1"/>
        <w:rPr>
          <w:rStyle w:val="32"/>
          <w:rFonts w:hint="eastAsia" w:ascii="Times New Roman" w:hAnsi="Times New Roman" w:eastAsia="黑体"/>
          <w:b w:val="0"/>
          <w:color w:val="auto"/>
          <w:highlight w:val="none"/>
        </w:rPr>
      </w:pPr>
      <w:bookmarkStart w:id="51" w:name="_Toc15377221"/>
      <w:bookmarkStart w:id="52" w:name="_Toc8130"/>
      <w:bookmarkStart w:id="53" w:name="_Toc15396612"/>
      <w:r>
        <w:rPr>
          <w:rStyle w:val="32"/>
          <w:rFonts w:hint="eastAsia" w:ascii="Times New Roman" w:hAnsi="Times New Roman" w:eastAsia="黑体"/>
          <w:b w:val="0"/>
          <w:color w:val="auto"/>
          <w:highlight w:val="none"/>
          <w:lang w:eastAsia="zh-CN"/>
        </w:rPr>
        <w:t>十、</w:t>
      </w:r>
      <w:r>
        <w:rPr>
          <w:rStyle w:val="32"/>
          <w:rFonts w:hint="eastAsia" w:ascii="Times New Roman" w:hAnsi="Times New Roman" w:eastAsia="黑体"/>
          <w:b w:val="0"/>
          <w:color w:val="auto"/>
          <w:highlight w:val="none"/>
        </w:rPr>
        <w:t>其他重要事项的情况说明</w:t>
      </w:r>
      <w:bookmarkEnd w:id="51"/>
      <w:bookmarkEnd w:id="52"/>
      <w:bookmarkEnd w:id="53"/>
    </w:p>
    <w:p w14:paraId="0DCF67A4">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54" w:name="_Toc15377222"/>
      <w:r>
        <w:rPr>
          <w:rFonts w:hint="eastAsia" w:ascii="Times New Roman" w:hAnsi="Times New Roman" w:eastAsia="楷体_GB2312" w:cs="楷体_GB2312"/>
          <w:b/>
          <w:color w:val="auto"/>
          <w:sz w:val="32"/>
          <w:szCs w:val="32"/>
          <w:highlight w:val="none"/>
        </w:rPr>
        <w:t>（一）机关运行经费支出情况</w:t>
      </w:r>
      <w:bookmarkEnd w:id="54"/>
    </w:p>
    <w:p w14:paraId="3AA99B37">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lang w:val="en-US" w:eastAsia="zh-CN"/>
        </w:rPr>
        <w:t>阿坝藏族羌族自治州商务局</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highlight w:val="none"/>
          <w:lang w:val="en-US" w:eastAsia="zh-CN"/>
        </w:rPr>
        <w:t>109.95</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减少</w:t>
      </w:r>
      <w:r>
        <w:rPr>
          <w:rFonts w:hint="eastAsia" w:ascii="仿宋_GB2312" w:hAnsi="仿宋_GB2312" w:eastAsia="仿宋_GB2312" w:cs="仿宋_GB2312"/>
          <w:sz w:val="32"/>
          <w:szCs w:val="32"/>
          <w:highlight w:val="none"/>
          <w:lang w:val="en-US" w:eastAsia="zh-CN"/>
        </w:rPr>
        <w:t>62.65</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w:t>
      </w:r>
      <w:r>
        <w:rPr>
          <w:rFonts w:hint="eastAsia" w:ascii="仿宋_GB2312" w:hAnsi="仿宋_GB2312" w:eastAsia="仿宋_GB2312" w:cs="仿宋_GB2312"/>
          <w:sz w:val="32"/>
          <w:szCs w:val="32"/>
          <w:highlight w:val="none"/>
          <w:lang w:val="en-US" w:eastAsia="zh-CN"/>
        </w:rPr>
        <w:t>36.3</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highlight w:val="none"/>
          <w:lang w:val="en-US" w:eastAsia="zh-CN"/>
        </w:rPr>
        <w:t>本年度较上年度无公车购置。</w:t>
      </w:r>
    </w:p>
    <w:p w14:paraId="22965F37">
      <w:pPr>
        <w:spacing w:line="600" w:lineRule="exact"/>
        <w:ind w:firstLine="643" w:firstLineChars="200"/>
        <w:outlineLvl w:val="9"/>
        <w:rPr>
          <w:rFonts w:hint="eastAsia" w:ascii="Times New Roman" w:hAnsi="Times New Roman" w:eastAsia="楷体_GB2312" w:cs="楷体_GB2312"/>
          <w:b/>
          <w:color w:val="FF0000"/>
          <w:sz w:val="32"/>
          <w:szCs w:val="32"/>
          <w:highlight w:val="none"/>
          <w:lang w:eastAsia="zh-CN"/>
        </w:rPr>
      </w:pPr>
      <w:bookmarkStart w:id="55" w:name="_Toc15377223"/>
      <w:r>
        <w:rPr>
          <w:rFonts w:hint="eastAsia" w:ascii="Times New Roman" w:hAnsi="Times New Roman" w:eastAsia="楷体_GB2312" w:cs="楷体_GB2312"/>
          <w:b/>
          <w:color w:val="auto"/>
          <w:sz w:val="32"/>
          <w:szCs w:val="32"/>
          <w:highlight w:val="none"/>
        </w:rPr>
        <w:t>（二）政府采购支出情况</w:t>
      </w:r>
      <w:bookmarkEnd w:id="55"/>
    </w:p>
    <w:p w14:paraId="75840CD0">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highlight w:val="none"/>
          <w:lang w:val="en-US" w:eastAsia="zh-CN"/>
        </w:rPr>
        <w:t>阿坝藏族羌族自治州商务局</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highlight w:val="none"/>
          <w:lang w:val="en-US" w:eastAsia="zh-CN"/>
        </w:rPr>
        <w:t>484.29</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highlight w:val="none"/>
          <w:lang w:val="en-US" w:eastAsia="zh-CN"/>
        </w:rPr>
        <w:t>484.29</w:t>
      </w:r>
      <w:r>
        <w:rPr>
          <w:rFonts w:hint="eastAsia" w:ascii="仿宋_GB2312" w:hAnsi="仿宋_GB2312" w:eastAsia="仿宋_GB2312" w:cs="仿宋_GB2312"/>
          <w:color w:val="auto"/>
          <w:kern w:val="2"/>
          <w:sz w:val="32"/>
          <w:szCs w:val="32"/>
          <w:highlight w:val="none"/>
          <w:lang w:val="en-US" w:eastAsia="zh-CN" w:bidi="ar-SA"/>
        </w:rPr>
        <w:t>万元。主要用于日常工作所需的服务支出。授予中小企业合同金额</w:t>
      </w:r>
      <w:r>
        <w:rPr>
          <w:rFonts w:hint="eastAsia" w:ascii="仿宋_GB2312" w:hAnsi="仿宋_GB2312" w:eastAsia="仿宋_GB2312" w:cs="仿宋_GB2312"/>
          <w:sz w:val="32"/>
          <w:szCs w:val="32"/>
          <w:highlight w:val="none"/>
          <w:lang w:val="en-US" w:eastAsia="zh-CN"/>
        </w:rPr>
        <w:t>460.6</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highlight w:val="none"/>
          <w:lang w:val="en-US" w:eastAsia="zh-CN"/>
        </w:rPr>
        <w:t>95.1</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p>
    <w:p w14:paraId="5C24164F">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56" w:name="_Toc15377224"/>
      <w:r>
        <w:rPr>
          <w:rFonts w:hint="eastAsia" w:ascii="Times New Roman" w:hAnsi="Times New Roman" w:eastAsia="楷体_GB2312" w:cs="楷体_GB2312"/>
          <w:b/>
          <w:color w:val="auto"/>
          <w:sz w:val="32"/>
          <w:szCs w:val="32"/>
          <w:highlight w:val="none"/>
        </w:rPr>
        <w:t>（三）国有资产占有使用情况</w:t>
      </w:r>
      <w:bookmarkEnd w:id="56"/>
    </w:p>
    <w:p w14:paraId="7CD4817E">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highlight w:val="none"/>
          <w:lang w:val="en-US" w:eastAsia="zh-CN"/>
        </w:rPr>
        <w:t>阿坝藏族羌族自治州商务局</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color w:val="auto"/>
          <w:kern w:val="2"/>
          <w:sz w:val="32"/>
          <w:szCs w:val="32"/>
          <w:highlight w:val="none"/>
          <w:lang w:val="en-US" w:eastAsia="zh-CN" w:bidi="ar-SA"/>
        </w:rPr>
        <w:t>辆，其他用车主要是用于日常公务用车。单价100万元（含）以上设备（不含车辆）</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00986637">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26D0C606">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ascii="仿宋_GB2312" w:hAnsi="仿宋_GB2312" w:eastAsia="仿宋_GB2312" w:cs="仿宋_GB2312"/>
          <w:sz w:val="32"/>
          <w:szCs w:val="32"/>
          <w:highlight w:val="none"/>
          <w:lang w:val="en-US" w:eastAsia="zh-CN"/>
        </w:rPr>
        <w:t>阿坝藏族羌族自治州商务局</w:t>
      </w:r>
      <w:r>
        <w:rPr>
          <w:rFonts w:hint="eastAsia" w:ascii="Times New Roman" w:hAnsi="Times New Roman" w:eastAsia="仿宋_GB2312" w:cs="仿宋_GB2312"/>
          <w:color w:val="auto"/>
          <w:kern w:val="2"/>
          <w:sz w:val="32"/>
          <w:szCs w:val="32"/>
          <w:highlight w:val="none"/>
          <w:lang w:val="en-US" w:eastAsia="zh-CN" w:bidi="ar-SA"/>
        </w:rPr>
        <w:t>在</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年度预算编制阶段，组织对</w:t>
      </w:r>
      <w:r>
        <w:rPr>
          <w:rFonts w:hint="eastAsia" w:eastAsia="仿宋_GB2312" w:cs="仿宋_GB2312"/>
          <w:color w:val="auto"/>
          <w:kern w:val="2"/>
          <w:sz w:val="32"/>
          <w:szCs w:val="32"/>
          <w:highlight w:val="none"/>
          <w:lang w:val="en-US" w:eastAsia="zh-CN" w:bidi="ar-SA"/>
        </w:rPr>
        <w:t>“促进消费恢复发展专项资金”</w:t>
      </w:r>
      <w:r>
        <w:rPr>
          <w:rFonts w:hint="eastAsia" w:ascii="Times New Roman" w:hAnsi="Times New Roman" w:eastAsia="仿宋_GB2312" w:cs="仿宋_GB2312"/>
          <w:color w:val="auto"/>
          <w:kern w:val="2"/>
          <w:sz w:val="32"/>
          <w:szCs w:val="32"/>
          <w:highlight w:val="none"/>
          <w:lang w:val="en-US" w:eastAsia="zh-CN" w:bidi="ar-SA"/>
        </w:rPr>
        <w:t>项目开展了预算事前绩效评估，对</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4A10F133">
      <w:pPr>
        <w:spacing w:line="600" w:lineRule="exact"/>
        <w:ind w:firstLine="640"/>
        <w:outlineLvl w:val="9"/>
        <w:rPr>
          <w:rFonts w:hint="eastAsia" w:ascii="Times New Roman" w:hAnsi="Times New Roman" w:eastAsia="黑体"/>
          <w:color w:val="auto"/>
          <w:sz w:val="44"/>
          <w:szCs w:val="44"/>
          <w:highlight w:val="none"/>
        </w:rPr>
      </w:pPr>
      <w:r>
        <w:rPr>
          <w:rFonts w:hint="eastAsia" w:ascii="Times New Roman" w:hAnsi="Times New Roman" w:eastAsia="仿宋_GB2312" w:cs="仿宋_GB2312"/>
          <w:color w:val="auto"/>
          <w:kern w:val="2"/>
          <w:sz w:val="32"/>
          <w:szCs w:val="32"/>
          <w:highlight w:val="none"/>
          <w:lang w:val="en-US" w:eastAsia="zh-CN" w:bidi="ar-SA"/>
        </w:rPr>
        <w:t>组织对</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等全面开展</w:t>
      </w:r>
      <w:r>
        <w:rPr>
          <w:rFonts w:hint="eastAsia" w:eastAsia="仿宋_GB2312" w:cs="仿宋_GB2312"/>
          <w:color w:val="auto"/>
          <w:kern w:val="2"/>
          <w:sz w:val="32"/>
          <w:szCs w:val="32"/>
          <w:highlight w:val="none"/>
          <w:lang w:val="en-US" w:eastAsia="zh-CN" w:bidi="ar-SA"/>
        </w:rPr>
        <w:t>了</w:t>
      </w:r>
      <w:r>
        <w:rPr>
          <w:rFonts w:hint="eastAsia" w:ascii="Times New Roman" w:hAnsi="Times New Roman" w:eastAsia="仿宋_GB2312" w:cs="仿宋_GB2312"/>
          <w:color w:val="auto"/>
          <w:kern w:val="2"/>
          <w:sz w:val="32"/>
          <w:szCs w:val="32"/>
          <w:highlight w:val="none"/>
          <w:lang w:val="en-US" w:eastAsia="zh-CN" w:bidi="ar-SA"/>
        </w:rPr>
        <w:t>绩效自评，形成</w:t>
      </w:r>
      <w:r>
        <w:rPr>
          <w:rFonts w:hint="eastAsia" w:ascii="仿宋_GB2312" w:hAnsi="仿宋_GB2312" w:eastAsia="仿宋_GB2312" w:cs="仿宋_GB2312"/>
          <w:sz w:val="32"/>
          <w:szCs w:val="32"/>
          <w:highlight w:val="none"/>
          <w:lang w:val="en-US" w:eastAsia="zh-CN"/>
        </w:rPr>
        <w:t>阿坝藏族羌族自治州商务局</w:t>
      </w:r>
      <w:r>
        <w:rPr>
          <w:rFonts w:hint="eastAsia" w:ascii="Times New Roman" w:hAnsi="Times New Roman" w:eastAsia="仿宋_GB2312" w:cs="仿宋_GB2312"/>
          <w:color w:val="auto"/>
          <w:kern w:val="2"/>
          <w:sz w:val="32"/>
          <w:szCs w:val="32"/>
          <w:highlight w:val="none"/>
          <w:lang w:val="en-US" w:eastAsia="zh-CN" w:bidi="ar-SA"/>
        </w:rPr>
        <w:t>部门整体自评报告</w:t>
      </w:r>
      <w:r>
        <w:rPr>
          <w:rFonts w:hint="eastAsia" w:eastAsia="仿宋_GB2312" w:cs="仿宋_GB2312"/>
          <w:color w:val="auto"/>
          <w:kern w:val="2"/>
          <w:sz w:val="32"/>
          <w:szCs w:val="32"/>
          <w:highlight w:val="none"/>
          <w:lang w:val="en-US" w:eastAsia="zh-CN" w:bidi="ar-SA"/>
        </w:rPr>
        <w:t>。组织对“促进消费恢复发展专项资金”等3个专项预算项目开展了绩效自评。部门整体</w:t>
      </w:r>
      <w:r>
        <w:rPr>
          <w:rFonts w:hint="eastAsia" w:ascii="Times New Roman" w:hAnsi="Times New Roman" w:eastAsia="仿宋_GB2312" w:cs="仿宋_GB2312"/>
          <w:color w:val="auto"/>
          <w:kern w:val="2"/>
          <w:sz w:val="32"/>
          <w:szCs w:val="32"/>
          <w:highlight w:val="none"/>
          <w:lang w:val="en-US" w:eastAsia="zh-CN" w:bidi="ar-SA"/>
        </w:rPr>
        <w:t>绩效自评报告</w:t>
      </w:r>
      <w:r>
        <w:rPr>
          <w:rFonts w:hint="eastAsia" w:eastAsia="仿宋_GB2312" w:cs="仿宋_GB2312"/>
          <w:color w:val="auto"/>
          <w:kern w:val="2"/>
          <w:sz w:val="32"/>
          <w:szCs w:val="32"/>
          <w:highlight w:val="none"/>
          <w:lang w:val="en-US" w:eastAsia="zh-CN" w:bidi="ar-SA"/>
        </w:rPr>
        <w:t>及部门特定目标类预算项目自评表</w:t>
      </w:r>
      <w:r>
        <w:rPr>
          <w:rFonts w:hint="eastAsia" w:ascii="Times New Roman" w:hAnsi="Times New Roman" w:eastAsia="仿宋_GB2312" w:cs="仿宋_GB2312"/>
          <w:color w:val="auto"/>
          <w:kern w:val="2"/>
          <w:sz w:val="32"/>
          <w:szCs w:val="32"/>
          <w:highlight w:val="none"/>
          <w:lang w:val="en-US" w:eastAsia="zh-CN" w:bidi="ar-SA"/>
        </w:rPr>
        <w:t>详见附件</w:t>
      </w:r>
      <w:r>
        <w:rPr>
          <w:rFonts w:hint="eastAsia" w:eastAsia="仿宋_GB2312" w:cs="仿宋_GB2312"/>
          <w:color w:val="auto"/>
          <w:kern w:val="2"/>
          <w:sz w:val="32"/>
          <w:szCs w:val="32"/>
          <w:highlight w:val="none"/>
          <w:lang w:val="en-US" w:eastAsia="zh-CN" w:bidi="ar-SA"/>
        </w:rPr>
        <w:t>1，专项预算项目自评报告</w:t>
      </w:r>
      <w:r>
        <w:rPr>
          <w:rFonts w:hint="eastAsia" w:ascii="Times New Roman" w:hAnsi="Times New Roman" w:eastAsia="仿宋_GB2312" w:cs="仿宋_GB2312"/>
          <w:color w:val="auto"/>
          <w:kern w:val="2"/>
          <w:sz w:val="32"/>
          <w:szCs w:val="32"/>
          <w:highlight w:val="none"/>
          <w:lang w:val="en-US" w:eastAsia="zh-CN" w:bidi="ar-SA"/>
        </w:rPr>
        <w:t>见附件</w:t>
      </w:r>
      <w:r>
        <w:rPr>
          <w:rFonts w:hint="eastAsia" w:eastAsia="仿宋_GB2312" w:cs="仿宋_GB2312"/>
          <w:color w:val="auto"/>
          <w:kern w:val="2"/>
          <w:sz w:val="32"/>
          <w:szCs w:val="32"/>
          <w:highlight w:val="none"/>
          <w:lang w:val="en-US" w:eastAsia="zh-CN" w:bidi="ar-SA"/>
        </w:rPr>
        <w:t>2。</w:t>
      </w:r>
      <w:bookmarkStart w:id="57" w:name="_Toc15377226"/>
    </w:p>
    <w:p w14:paraId="7EFDDB97">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686564EE">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7BE6F2B6">
      <w:pPr>
        <w:numPr>
          <w:ilvl w:val="0"/>
          <w:numId w:val="0"/>
        </w:numPr>
        <w:spacing w:line="600" w:lineRule="exact"/>
        <w:jc w:val="center"/>
        <w:outlineLvl w:val="0"/>
        <w:rPr>
          <w:rFonts w:ascii="Times New Roman" w:hAnsi="Times New Roman"/>
          <w:b/>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p>
    <w:p w14:paraId="1A15C5AD">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p>
    <w:p w14:paraId="393FBEA5">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财政拨款收入：指单位从同级财政部门取得的财政预算资金。</w:t>
      </w:r>
    </w:p>
    <w:p w14:paraId="6DB56DEA">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事业收入：指事业单位开展专业业务活动及辅助活动取得的收入。</w:t>
      </w:r>
    </w:p>
    <w:p w14:paraId="76D7A065">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经营收入：指事业单位在专业业务活动及其辅助活动之外开展非独立核算经营活动取得的收入。</w:t>
      </w:r>
    </w:p>
    <w:p w14:paraId="788F29FD">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其他收入：指单位取得的除上述收入以外的各项收入。</w:t>
      </w:r>
    </w:p>
    <w:p w14:paraId="4DD13F3E">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 xml:space="preserve">使用非财政拨款结余（含专用结余）：指事业单位使用以前年度积累的非财政拨款结余弥补当年收支差额的金额。 </w:t>
      </w:r>
    </w:p>
    <w:p w14:paraId="12200738">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14:paraId="7906ED0F">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结余分配：指事业单位按照会计制度规定缴纳的所得税、提取的专用结余以及转入非财政拨款结余的金额等。</w:t>
      </w:r>
    </w:p>
    <w:p w14:paraId="19FBBF01">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14:paraId="273AC26F">
      <w:pPr>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val="en-US" w:eastAsia="zh-CN"/>
        </w:rPr>
        <w:t>9.</w:t>
      </w:r>
      <w:r>
        <w:rPr>
          <w:rFonts w:hint="default" w:ascii="Times New Roman" w:hAnsi="Times New Roman" w:eastAsia="仿宋_GB2312" w:cs="Times New Roman"/>
          <w:color w:val="000000"/>
          <w:sz w:val="32"/>
          <w:szCs w:val="32"/>
        </w:rPr>
        <w:t>一般公共服务支出(</w:t>
      </w:r>
      <w:r>
        <w:rPr>
          <w:rFonts w:hint="eastAsia" w:ascii="Times New Roman" w:hAnsi="Times New Roman" w:eastAsia="仿宋_GB2312" w:cs="Times New Roman"/>
          <w:color w:val="000000"/>
          <w:sz w:val="32"/>
          <w:szCs w:val="32"/>
          <w:lang w:val="en-US" w:eastAsia="zh-CN"/>
        </w:rPr>
        <w:t>201</w:t>
      </w:r>
      <w:r>
        <w:rPr>
          <w:rFonts w:hint="default" w:ascii="Times New Roman" w:hAnsi="Times New Roman" w:eastAsia="仿宋_GB2312" w:cs="Times New Roman"/>
          <w:color w:val="000000"/>
          <w:sz w:val="32"/>
          <w:szCs w:val="32"/>
        </w:rPr>
        <w:t>)商贸事务(</w:t>
      </w:r>
      <w:r>
        <w:rPr>
          <w:rFonts w:hint="eastAsia" w:ascii="Times New Roman" w:hAnsi="Times New Roman" w:eastAsia="仿宋_GB2312" w:cs="Times New Roman"/>
          <w:color w:val="000000"/>
          <w:sz w:val="32"/>
          <w:szCs w:val="32"/>
          <w:lang w:val="en-US" w:eastAsia="zh-CN"/>
        </w:rPr>
        <w:t>13</w:t>
      </w:r>
      <w:r>
        <w:rPr>
          <w:rFonts w:hint="default" w:ascii="Times New Roman" w:hAnsi="Times New Roman" w:eastAsia="仿宋_GB2312" w:cs="Times New Roman"/>
          <w:color w:val="000000"/>
          <w:sz w:val="32"/>
          <w:szCs w:val="32"/>
        </w:rPr>
        <w:t>)行政运行(</w:t>
      </w:r>
      <w:r>
        <w:rPr>
          <w:rFonts w:hint="eastAsia" w:ascii="Times New Roman" w:hAnsi="Times New Roman" w:eastAsia="仿宋_GB2312" w:cs="Times New Roman"/>
          <w:color w:val="000000"/>
          <w:sz w:val="32"/>
          <w:szCs w:val="32"/>
          <w:lang w:val="en-US" w:eastAsia="zh-CN"/>
        </w:rPr>
        <w:t>01</w:t>
      </w:r>
      <w:r>
        <w:rPr>
          <w:rFonts w:hint="default" w:ascii="Times New Roman" w:hAnsi="Times New Roman" w:eastAsia="仿宋_GB2312" w:cs="Times New Roman"/>
          <w:color w:val="000000"/>
          <w:sz w:val="32"/>
          <w:szCs w:val="32"/>
        </w:rPr>
        <w:t>)：反映单位的基本支出。</w:t>
      </w:r>
    </w:p>
    <w:p w14:paraId="2BEFFA8A">
      <w:pPr>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10. 一般公共服务支出(</w:t>
      </w:r>
      <w:r>
        <w:rPr>
          <w:rFonts w:hint="eastAsia" w:ascii="Times New Roman" w:hAnsi="Times New Roman" w:eastAsia="仿宋_GB2312" w:cs="Times New Roman"/>
          <w:color w:val="000000"/>
          <w:sz w:val="32"/>
          <w:szCs w:val="32"/>
          <w:lang w:val="en-US" w:eastAsia="zh-CN"/>
        </w:rPr>
        <w:t>201</w:t>
      </w:r>
      <w:r>
        <w:rPr>
          <w:rFonts w:hint="default" w:ascii="Times New Roman" w:hAnsi="Times New Roman" w:eastAsia="仿宋_GB2312" w:cs="Times New Roman"/>
          <w:color w:val="000000"/>
          <w:sz w:val="32"/>
          <w:szCs w:val="32"/>
        </w:rPr>
        <w:t>)商贸事务(</w:t>
      </w:r>
      <w:r>
        <w:rPr>
          <w:rFonts w:hint="eastAsia" w:ascii="Times New Roman" w:hAnsi="Times New Roman" w:eastAsia="仿宋_GB2312" w:cs="Times New Roman"/>
          <w:color w:val="000000"/>
          <w:sz w:val="32"/>
          <w:szCs w:val="32"/>
          <w:lang w:val="en-US" w:eastAsia="zh-CN"/>
        </w:rPr>
        <w:t>13</w:t>
      </w:r>
      <w:r>
        <w:rPr>
          <w:rFonts w:hint="default" w:ascii="Times New Roman" w:hAnsi="Times New Roman" w:eastAsia="仿宋_GB2312" w:cs="Times New Roman"/>
          <w:color w:val="000000"/>
          <w:sz w:val="32"/>
          <w:szCs w:val="32"/>
        </w:rPr>
        <w:t>)一般行政管理事务(</w:t>
      </w:r>
      <w:r>
        <w:rPr>
          <w:rFonts w:hint="eastAsia" w:ascii="Times New Roman" w:hAnsi="Times New Roman" w:eastAsia="仿宋_GB2312" w:cs="Times New Roman"/>
          <w:color w:val="000000"/>
          <w:sz w:val="32"/>
          <w:szCs w:val="32"/>
          <w:lang w:val="en-US" w:eastAsia="zh-CN"/>
        </w:rPr>
        <w:t>02</w:t>
      </w:r>
      <w:r>
        <w:rPr>
          <w:rFonts w:hint="default" w:ascii="Times New Roman" w:hAnsi="Times New Roman" w:eastAsia="仿宋_GB2312" w:cs="Times New Roman"/>
          <w:color w:val="000000"/>
          <w:sz w:val="32"/>
          <w:szCs w:val="32"/>
        </w:rPr>
        <w:t>)：反映未单独设置项级科目的其他项目支出。</w:t>
      </w:r>
    </w:p>
    <w:p w14:paraId="3F8E990C">
      <w:pPr>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w:t>
      </w:r>
      <w:r>
        <w:rPr>
          <w:rFonts w:hint="eastAsia"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rPr>
        <w:t>. 一般公共服务支出(</w:t>
      </w:r>
      <w:r>
        <w:rPr>
          <w:rFonts w:hint="eastAsia" w:ascii="Times New Roman" w:hAnsi="Times New Roman" w:eastAsia="仿宋_GB2312" w:cs="Times New Roman"/>
          <w:color w:val="000000"/>
          <w:sz w:val="32"/>
          <w:szCs w:val="32"/>
          <w:lang w:val="en-US" w:eastAsia="zh-CN"/>
        </w:rPr>
        <w:t>201</w:t>
      </w:r>
      <w:r>
        <w:rPr>
          <w:rFonts w:hint="default" w:ascii="Times New Roman" w:hAnsi="Times New Roman" w:eastAsia="仿宋_GB2312" w:cs="Times New Roman"/>
          <w:color w:val="000000"/>
          <w:sz w:val="32"/>
          <w:szCs w:val="32"/>
        </w:rPr>
        <w:t>)商贸事务(</w:t>
      </w:r>
      <w:r>
        <w:rPr>
          <w:rFonts w:hint="eastAsia" w:ascii="Times New Roman" w:hAnsi="Times New Roman" w:eastAsia="仿宋_GB2312" w:cs="Times New Roman"/>
          <w:color w:val="000000"/>
          <w:sz w:val="32"/>
          <w:szCs w:val="32"/>
          <w:lang w:val="en-US" w:eastAsia="zh-CN"/>
        </w:rPr>
        <w:t>13</w:t>
      </w:r>
      <w:r>
        <w:rPr>
          <w:rFonts w:hint="default" w:ascii="Times New Roman" w:hAnsi="Times New Roman" w:eastAsia="仿宋_GB2312" w:cs="Times New Roman"/>
          <w:color w:val="000000"/>
          <w:sz w:val="32"/>
          <w:szCs w:val="32"/>
        </w:rPr>
        <w:t>)国内贸易管理(</w:t>
      </w:r>
      <w:r>
        <w:rPr>
          <w:rFonts w:hint="eastAsia" w:ascii="Times New Roman" w:hAnsi="Times New Roman" w:eastAsia="仿宋_GB2312" w:cs="Times New Roman"/>
          <w:color w:val="000000"/>
          <w:sz w:val="32"/>
          <w:szCs w:val="32"/>
          <w:lang w:val="en-US" w:eastAsia="zh-CN"/>
        </w:rPr>
        <w:t>07</w:t>
      </w:r>
      <w:r>
        <w:rPr>
          <w:rFonts w:hint="default" w:ascii="Times New Roman" w:hAnsi="Times New Roman" w:eastAsia="仿宋_GB2312" w:cs="Times New Roman"/>
          <w:color w:val="000000"/>
          <w:sz w:val="32"/>
          <w:szCs w:val="32"/>
        </w:rPr>
        <w:t>)：反映开展国内贸易管理方面的支出。</w:t>
      </w:r>
    </w:p>
    <w:p w14:paraId="69C0878E">
      <w:pPr>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w:t>
      </w:r>
      <w:r>
        <w:rPr>
          <w:rFonts w:hint="eastAsia" w:ascii="Times New Roman" w:hAnsi="Times New Roman"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rPr>
        <w:t>. 一般公共服务支出(</w:t>
      </w:r>
      <w:r>
        <w:rPr>
          <w:rFonts w:hint="eastAsia" w:ascii="Times New Roman" w:hAnsi="Times New Roman" w:eastAsia="仿宋_GB2312" w:cs="Times New Roman"/>
          <w:color w:val="000000"/>
          <w:sz w:val="32"/>
          <w:szCs w:val="32"/>
          <w:lang w:val="en-US" w:eastAsia="zh-CN"/>
        </w:rPr>
        <w:t>201</w:t>
      </w:r>
      <w:r>
        <w:rPr>
          <w:rFonts w:hint="default" w:ascii="Times New Roman" w:hAnsi="Times New Roman" w:eastAsia="仿宋_GB2312" w:cs="Times New Roman"/>
          <w:color w:val="000000"/>
          <w:sz w:val="32"/>
          <w:szCs w:val="32"/>
        </w:rPr>
        <w:t>)商贸事务(</w:t>
      </w:r>
      <w:r>
        <w:rPr>
          <w:rFonts w:hint="eastAsia" w:ascii="Times New Roman" w:hAnsi="Times New Roman" w:eastAsia="仿宋_GB2312" w:cs="Times New Roman"/>
          <w:color w:val="000000"/>
          <w:sz w:val="32"/>
          <w:szCs w:val="32"/>
          <w:lang w:val="en-US" w:eastAsia="zh-CN"/>
        </w:rPr>
        <w:t>13</w:t>
      </w:r>
      <w:r>
        <w:rPr>
          <w:rFonts w:hint="default" w:ascii="Times New Roman" w:hAnsi="Times New Roman" w:eastAsia="仿宋_GB2312" w:cs="Times New Roman"/>
          <w:color w:val="000000"/>
          <w:sz w:val="32"/>
          <w:szCs w:val="32"/>
        </w:rPr>
        <w:t>)招商引资(</w:t>
      </w:r>
      <w:r>
        <w:rPr>
          <w:rFonts w:hint="eastAsia" w:ascii="Times New Roman" w:hAnsi="Times New Roman" w:eastAsia="仿宋_GB2312" w:cs="Times New Roman"/>
          <w:color w:val="000000"/>
          <w:sz w:val="32"/>
          <w:szCs w:val="32"/>
          <w:lang w:val="en-US" w:eastAsia="zh-CN"/>
        </w:rPr>
        <w:t>08</w:t>
      </w:r>
      <w:r>
        <w:rPr>
          <w:rFonts w:hint="default" w:ascii="Times New Roman" w:hAnsi="Times New Roman" w:eastAsia="仿宋_GB2312" w:cs="Times New Roman"/>
          <w:color w:val="000000"/>
          <w:sz w:val="32"/>
          <w:szCs w:val="32"/>
        </w:rPr>
        <w:t>)：反映开展招商引资方面的支出。</w:t>
      </w:r>
    </w:p>
    <w:p w14:paraId="338A567C">
      <w:pPr>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w:t>
      </w:r>
      <w:r>
        <w:rPr>
          <w:rFonts w:hint="eastAsia" w:ascii="Times New Roman" w:hAnsi="Times New Roman" w:eastAsia="仿宋_GB2312" w:cs="Times New Roman"/>
          <w:color w:val="000000"/>
          <w:sz w:val="32"/>
          <w:szCs w:val="32"/>
          <w:lang w:val="en-US" w:eastAsia="zh-CN"/>
        </w:rPr>
        <w:t>3.</w:t>
      </w:r>
      <w:r>
        <w:rPr>
          <w:rFonts w:hint="default" w:ascii="Times New Roman" w:hAnsi="Times New Roman" w:eastAsia="仿宋_GB2312" w:cs="Times New Roman"/>
          <w:color w:val="000000"/>
          <w:sz w:val="32"/>
          <w:szCs w:val="32"/>
        </w:rPr>
        <w:t xml:space="preserve"> 一般公共服务支出(</w:t>
      </w:r>
      <w:r>
        <w:rPr>
          <w:rFonts w:hint="eastAsia" w:ascii="Times New Roman" w:hAnsi="Times New Roman" w:eastAsia="仿宋_GB2312" w:cs="Times New Roman"/>
          <w:color w:val="000000"/>
          <w:sz w:val="32"/>
          <w:szCs w:val="32"/>
          <w:lang w:val="en-US" w:eastAsia="zh-CN"/>
        </w:rPr>
        <w:t>201</w:t>
      </w:r>
      <w:r>
        <w:rPr>
          <w:rFonts w:hint="default" w:ascii="Times New Roman" w:hAnsi="Times New Roman" w:eastAsia="仿宋_GB2312" w:cs="Times New Roman"/>
          <w:color w:val="000000"/>
          <w:sz w:val="32"/>
          <w:szCs w:val="32"/>
        </w:rPr>
        <w:t>)商贸事务(</w:t>
      </w:r>
      <w:r>
        <w:rPr>
          <w:rFonts w:hint="eastAsia" w:ascii="Times New Roman" w:hAnsi="Times New Roman" w:eastAsia="仿宋_GB2312" w:cs="Times New Roman"/>
          <w:color w:val="000000"/>
          <w:sz w:val="32"/>
          <w:szCs w:val="32"/>
          <w:lang w:val="en-US" w:eastAsia="zh-CN"/>
        </w:rPr>
        <w:t>13</w:t>
      </w:r>
      <w:r>
        <w:rPr>
          <w:rFonts w:hint="default" w:ascii="Times New Roman" w:hAnsi="Times New Roman" w:eastAsia="仿宋_GB2312" w:cs="Times New Roman"/>
          <w:color w:val="000000"/>
          <w:sz w:val="32"/>
          <w:szCs w:val="32"/>
        </w:rPr>
        <w:t>)其他商贸事务支出(</w:t>
      </w:r>
      <w:r>
        <w:rPr>
          <w:rFonts w:hint="eastAsia" w:ascii="Times New Roman" w:hAnsi="Times New Roman" w:eastAsia="仿宋_GB2312" w:cs="Times New Roman"/>
          <w:color w:val="000000"/>
          <w:sz w:val="32"/>
          <w:szCs w:val="32"/>
          <w:lang w:val="en-US" w:eastAsia="zh-CN"/>
        </w:rPr>
        <w:t>99</w:t>
      </w:r>
      <w:r>
        <w:rPr>
          <w:rFonts w:hint="default" w:ascii="Times New Roman" w:hAnsi="Times New Roman" w:eastAsia="仿宋_GB2312" w:cs="Times New Roman"/>
          <w:color w:val="000000"/>
          <w:sz w:val="32"/>
          <w:szCs w:val="32"/>
        </w:rPr>
        <w:t>)：反映用于其他商贸事务方面的支出。</w:t>
      </w:r>
    </w:p>
    <w:p w14:paraId="78730530">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社会保障和就业支出（208）行政事业单位养老支出（05）机关事业单位基本养老保险缴费支出（05）:反映机关事业单位实施养老保险制度由单位缴纳的基本养老保险费支出。</w:t>
      </w:r>
    </w:p>
    <w:p w14:paraId="3B021842">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社会保障和就业支出（208）行政事业单位养老支出（05）机关事业单位职业年金缴费支出（06）:反映机关事业单位实施养老保险制度由单位实际缴纳的职业年金支出。</w:t>
      </w:r>
    </w:p>
    <w:p w14:paraId="1A8F7DEC">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卫生健康支出（210）行政事业单位医疗（11）行政单位医疗（01）:反映财政部门安排的行政单位(包括实行公务员管理的事业单位，下同)基本医疗保险缴费经费，未参加医疗保险的行政单位的公费医疗经费，按国家规定享受离休人员、红军老战士待遇人员的医疗经费。</w:t>
      </w:r>
    </w:p>
    <w:p w14:paraId="5B128BC6">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卫生健康支出（210）行政事业单位医疗（11）公务员医疗补助（03）:反映财政部门安排的公务员医疗补助经费。</w:t>
      </w:r>
    </w:p>
    <w:p w14:paraId="64E3C68D">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住房保障支出（221）住房改革支出（02）住房公积金（01）:反映行政事业单位按人力资源和社会保障部、财政部规定的基本工资和津贴补贴以及规定比例为职工缴纳的住房公积金</w:t>
      </w:r>
      <w:r>
        <w:rPr>
          <w:rFonts w:hint="eastAsia" w:eastAsia="仿宋_GB2312" w:cs="仿宋_GB2312"/>
          <w:color w:val="auto"/>
          <w:kern w:val="2"/>
          <w:sz w:val="32"/>
          <w:szCs w:val="32"/>
          <w:highlight w:val="none"/>
          <w:lang w:val="en-US" w:eastAsia="zh-CN" w:bidi="ar-SA"/>
        </w:rPr>
        <w:t>。</w:t>
      </w:r>
    </w:p>
    <w:p w14:paraId="2DCDFA5B">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59B1EC6A">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422E11D7">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21.</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6FD6ED28">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22.“</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CD50048">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23.</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525DCDB">
      <w:pPr>
        <w:spacing w:line="600" w:lineRule="exact"/>
        <w:jc w:val="center"/>
        <w:outlineLvl w:val="0"/>
        <w:rPr>
          <w:rFonts w:hint="eastAsia" w:ascii="Times New Roman" w:hAnsi="Times New Roman" w:eastAsia="黑体" w:cs="黑体"/>
          <w:color w:val="FF0000"/>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br w:type="page"/>
      </w:r>
      <w:bookmarkStart w:id="58" w:name="_Toc6590"/>
      <w:bookmarkStart w:id="59"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8"/>
      <w:bookmarkEnd w:id="59"/>
    </w:p>
    <w:p w14:paraId="4FD69E6C">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微软雅黑"/>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18979F7C">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微软雅黑" w:cs="Times New Roman"/>
          <w:b w:val="0"/>
          <w:bCs/>
          <w:sz w:val="44"/>
          <w:szCs w:val="44"/>
          <w:highlight w:val="none"/>
          <w:shd w:val="clear" w:color="auto" w:fill="FFFFFF"/>
        </w:rPr>
      </w:pPr>
    </w:p>
    <w:p w14:paraId="1475262A">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center"/>
        <w:textAlignment w:val="auto"/>
        <w:outlineLvl w:val="9"/>
        <w:rPr>
          <w:rFonts w:hint="eastAsia" w:ascii="微软雅黑" w:hAnsi="微软雅黑" w:eastAsia="微软雅黑" w:cs="微软雅黑"/>
          <w:b w:val="0"/>
          <w:bCs/>
          <w:sz w:val="44"/>
          <w:szCs w:val="44"/>
          <w:highlight w:val="none"/>
          <w:shd w:val="clear" w:color="auto" w:fill="FFFFFF"/>
          <w:lang w:val="en-US" w:eastAsia="zh-CN"/>
        </w:rPr>
      </w:pPr>
      <w:bookmarkStart w:id="60" w:name="_Hlk110546638"/>
      <w:r>
        <w:rPr>
          <w:rFonts w:hint="eastAsia" w:ascii="微软雅黑" w:hAnsi="微软雅黑" w:eastAsia="微软雅黑" w:cs="微软雅黑"/>
          <w:b w:val="0"/>
          <w:bCs/>
          <w:sz w:val="44"/>
          <w:szCs w:val="44"/>
          <w:highlight w:val="none"/>
          <w:shd w:val="clear" w:color="auto" w:fill="FFFFFF"/>
          <w:lang w:val="en-US" w:eastAsia="zh-CN"/>
        </w:rPr>
        <w:t>阿坝州商务局关于报送</w:t>
      </w:r>
    </w:p>
    <w:p w14:paraId="59C46CCF">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center"/>
        <w:textAlignment w:val="auto"/>
        <w:outlineLvl w:val="9"/>
        <w:rPr>
          <w:rFonts w:hint="eastAsia" w:ascii="微软雅黑" w:hAnsi="微软雅黑" w:eastAsia="微软雅黑" w:cs="微软雅黑"/>
          <w:b w:val="0"/>
          <w:bCs/>
          <w:sz w:val="44"/>
          <w:szCs w:val="44"/>
          <w:highlight w:val="none"/>
          <w:shd w:val="clear" w:color="auto" w:fill="FFFFFF"/>
          <w:lang w:val="en-US" w:eastAsia="zh-CN"/>
        </w:rPr>
      </w:pPr>
      <w:r>
        <w:rPr>
          <w:rFonts w:hint="eastAsia" w:ascii="微软雅黑" w:hAnsi="微软雅黑" w:eastAsia="微软雅黑" w:cs="微软雅黑"/>
          <w:b w:val="0"/>
          <w:bCs/>
          <w:sz w:val="44"/>
          <w:szCs w:val="44"/>
          <w:highlight w:val="none"/>
          <w:shd w:val="clear" w:color="auto" w:fill="FFFFFF"/>
          <w:lang w:val="en-US" w:eastAsia="zh-CN"/>
        </w:rPr>
        <w:t>2025年部门整体绩效自评情况的报告</w:t>
      </w:r>
    </w:p>
    <w:p w14:paraId="675150BF">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880" w:firstLineChars="200"/>
        <w:contextualSpacing/>
        <w:jc w:val="both"/>
        <w:textAlignment w:val="auto"/>
        <w:outlineLvl w:val="9"/>
        <w:rPr>
          <w:rFonts w:hint="eastAsia" w:ascii="微软雅黑" w:hAnsi="微软雅黑" w:eastAsia="微软雅黑" w:cs="微软雅黑"/>
          <w:b w:val="0"/>
          <w:bCs/>
          <w:sz w:val="44"/>
          <w:szCs w:val="44"/>
          <w:highlight w:val="none"/>
          <w:shd w:val="clear" w:color="auto" w:fill="FFFFFF"/>
          <w:lang w:val="en-US" w:eastAsia="zh-CN"/>
        </w:rPr>
      </w:pPr>
    </w:p>
    <w:p w14:paraId="7B16D4B6">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部门基本情况</w:t>
      </w:r>
    </w:p>
    <w:p w14:paraId="0B8F7D5A">
      <w:pPr>
        <w:keepNext w:val="0"/>
        <w:keepLines w:val="0"/>
        <w:pageBreakBefore w:val="0"/>
        <w:widowControl w:val="0"/>
        <w:tabs>
          <w:tab w:val="left" w:pos="2160"/>
        </w:tabs>
        <w:kinsoku/>
        <w:wordWrap/>
        <w:overflowPunct/>
        <w:topLinePunct w:val="0"/>
        <w:autoSpaceDE w:val="0"/>
        <w:autoSpaceDN w:val="0"/>
        <w:bidi w:val="0"/>
        <w:adjustRightInd/>
        <w:snapToGrid/>
        <w:spacing w:after="0" w:line="480" w:lineRule="exact"/>
        <w:ind w:firstLine="643" w:firstLineChars="200"/>
        <w:jc w:val="both"/>
        <w:outlineLvl w:val="1"/>
        <w:rPr>
          <w:rFonts w:hint="eastAsia" w:ascii="楷体" w:hAnsi="楷体" w:eastAsia="楷体" w:cs="楷体"/>
          <w:b/>
          <w:bCs/>
          <w:color w:val="auto"/>
          <w:kern w:val="0"/>
          <w:position w:val="0"/>
          <w:sz w:val="32"/>
          <w:szCs w:val="32"/>
          <w:highlight w:val="none"/>
          <w:u w:val="none"/>
          <w:lang w:val="zh-CN" w:eastAsia="zh-CN" w:bidi="zh-CN"/>
        </w:rPr>
      </w:pPr>
      <w:bookmarkStart w:id="61" w:name="_Toc25457"/>
      <w:r>
        <w:rPr>
          <w:rFonts w:hint="eastAsia" w:ascii="楷体" w:hAnsi="楷体" w:eastAsia="楷体" w:cs="楷体"/>
          <w:b/>
          <w:bCs/>
          <w:color w:val="auto"/>
          <w:kern w:val="0"/>
          <w:position w:val="0"/>
          <w:sz w:val="32"/>
          <w:szCs w:val="32"/>
          <w:highlight w:val="none"/>
          <w:u w:val="none"/>
          <w:lang w:val="zh-CN" w:eastAsia="zh-CN" w:bidi="zh-CN"/>
        </w:rPr>
        <w:t>（一）机构组成</w:t>
      </w:r>
      <w:bookmarkEnd w:id="61"/>
      <w:r>
        <w:rPr>
          <w:rFonts w:hint="eastAsia" w:ascii="楷体" w:hAnsi="楷体" w:eastAsia="楷体" w:cs="楷体"/>
          <w:b/>
          <w:bCs/>
          <w:color w:val="auto"/>
          <w:kern w:val="0"/>
          <w:position w:val="0"/>
          <w:sz w:val="32"/>
          <w:szCs w:val="32"/>
          <w:highlight w:val="none"/>
          <w:u w:val="none"/>
          <w:lang w:val="zh-CN" w:eastAsia="zh-CN" w:bidi="zh-CN"/>
        </w:rPr>
        <w:t>。</w:t>
      </w:r>
    </w:p>
    <w:p w14:paraId="74E7DEFF">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阿坝州商务局内设办公室、商贸流通服务科、市场建设运行科、市场秩序法规科、外贸科、行政审批科、财务科。</w:t>
      </w:r>
    </w:p>
    <w:p w14:paraId="7D4C1CFC">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sz w:val="32"/>
          <w:szCs w:val="32"/>
          <w:highlight w:val="none"/>
          <w:lang w:val="en-US"/>
        </w:rPr>
      </w:pPr>
      <w:r>
        <w:rPr>
          <w:rFonts w:hint="eastAsia" w:ascii="Times New Roman" w:hAnsi="Times New Roman" w:eastAsia="仿宋_GB2312" w:cs="Times New Roman"/>
          <w:sz w:val="32"/>
          <w:szCs w:val="32"/>
          <w:highlight w:val="none"/>
          <w:lang w:val="en-US" w:eastAsia="zh-CN"/>
        </w:rPr>
        <w:t>阿坝州商务局属于一级预算单位，为行政单位，下属参公群团1个，为中国国际贸易促进委员会四川省阿坝州委员会，下属事业单位1个，为阿坝州商务发展中心。</w:t>
      </w:r>
    </w:p>
    <w:p w14:paraId="1F5CD56C">
      <w:pPr>
        <w:keepNext w:val="0"/>
        <w:keepLines w:val="0"/>
        <w:pageBreakBefore w:val="0"/>
        <w:widowControl w:val="0"/>
        <w:tabs>
          <w:tab w:val="left" w:pos="2160"/>
        </w:tabs>
        <w:kinsoku/>
        <w:wordWrap/>
        <w:overflowPunct/>
        <w:topLinePunct w:val="0"/>
        <w:autoSpaceDE w:val="0"/>
        <w:autoSpaceDN w:val="0"/>
        <w:bidi w:val="0"/>
        <w:adjustRightInd/>
        <w:snapToGrid/>
        <w:spacing w:after="0" w:line="480" w:lineRule="exact"/>
        <w:ind w:firstLine="643" w:firstLineChars="200"/>
        <w:jc w:val="both"/>
        <w:outlineLvl w:val="1"/>
        <w:rPr>
          <w:rFonts w:hint="eastAsia" w:ascii="楷体" w:hAnsi="楷体" w:eastAsia="楷体" w:cs="楷体"/>
          <w:b/>
          <w:bCs/>
          <w:color w:val="auto"/>
          <w:kern w:val="0"/>
          <w:position w:val="0"/>
          <w:sz w:val="32"/>
          <w:szCs w:val="32"/>
          <w:highlight w:val="none"/>
          <w:u w:val="none"/>
          <w:lang w:val="zh-CN" w:eastAsia="zh-CN" w:bidi="zh-CN"/>
        </w:rPr>
      </w:pPr>
      <w:bookmarkStart w:id="62" w:name="_Toc29885"/>
      <w:r>
        <w:rPr>
          <w:rFonts w:hint="eastAsia" w:ascii="楷体" w:hAnsi="楷体" w:eastAsia="楷体" w:cs="楷体"/>
          <w:b/>
          <w:bCs/>
          <w:color w:val="auto"/>
          <w:kern w:val="0"/>
          <w:position w:val="0"/>
          <w:sz w:val="32"/>
          <w:szCs w:val="32"/>
          <w:highlight w:val="none"/>
          <w:u w:val="none"/>
          <w:lang w:val="zh-CN" w:eastAsia="zh-CN" w:bidi="zh-CN"/>
        </w:rPr>
        <w:t>（二）机构职能</w:t>
      </w:r>
      <w:bookmarkEnd w:id="62"/>
      <w:r>
        <w:rPr>
          <w:rFonts w:hint="eastAsia" w:ascii="楷体" w:hAnsi="楷体" w:eastAsia="楷体" w:cs="楷体"/>
          <w:b/>
          <w:bCs/>
          <w:color w:val="auto"/>
          <w:kern w:val="0"/>
          <w:position w:val="0"/>
          <w:sz w:val="32"/>
          <w:szCs w:val="32"/>
          <w:highlight w:val="none"/>
          <w:u w:val="none"/>
          <w:lang w:val="zh-CN" w:eastAsia="zh-CN" w:bidi="zh-CN"/>
        </w:rPr>
        <w:t>。</w:t>
      </w:r>
    </w:p>
    <w:p w14:paraId="0A229882">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贯彻落实国家、省有关国内外贸易的法律法规和方针政策，制订全州商务发展规划、年度计划并组织实施；承担全州服务业发展工作中组织实施的协调职责；承担组织实施重要消费品市场调控和重要生产资料流通管理的责任；依法监督技术引进、设备进口、国家限制出口技术的工作，推进进出口贸易标准化工作，牵头负责发展服务贸易的相关工作；承担组织协调反倾销、反补贴、保障措施和技术性贸易壁垒等与进出口公平贸易相关工作的责任；管理我州赴境外举办的各种商品交易和经贸推介活动，指导监督管理以阿坝州名义在境内举办的各种商贸交易会、展览会、展销会等活动；规划全州商务系统电子政务、公共商务信息服务体系建设并组织实施，推动电子商务发展；承担州政府公布的有关行政审批工作。</w:t>
      </w:r>
    </w:p>
    <w:p w14:paraId="1D7E9699">
      <w:pPr>
        <w:keepNext w:val="0"/>
        <w:keepLines w:val="0"/>
        <w:pageBreakBefore w:val="0"/>
        <w:widowControl w:val="0"/>
        <w:tabs>
          <w:tab w:val="left" w:pos="2160"/>
        </w:tabs>
        <w:kinsoku/>
        <w:wordWrap/>
        <w:overflowPunct/>
        <w:topLinePunct w:val="0"/>
        <w:autoSpaceDE w:val="0"/>
        <w:autoSpaceDN w:val="0"/>
        <w:bidi w:val="0"/>
        <w:adjustRightInd/>
        <w:snapToGrid/>
        <w:spacing w:after="0" w:line="480" w:lineRule="exact"/>
        <w:ind w:firstLine="643" w:firstLineChars="200"/>
        <w:jc w:val="both"/>
        <w:outlineLvl w:val="1"/>
        <w:rPr>
          <w:rFonts w:hint="eastAsia" w:ascii="楷体" w:hAnsi="楷体" w:eastAsia="楷体" w:cs="楷体"/>
          <w:b/>
          <w:bCs/>
          <w:color w:val="auto"/>
          <w:kern w:val="0"/>
          <w:position w:val="0"/>
          <w:sz w:val="32"/>
          <w:szCs w:val="32"/>
          <w:highlight w:val="none"/>
          <w:u w:val="none"/>
          <w:lang w:val="zh-CN" w:eastAsia="zh-CN" w:bidi="zh-CN"/>
        </w:rPr>
      </w:pPr>
      <w:bookmarkStart w:id="63" w:name="_Toc21084"/>
      <w:r>
        <w:rPr>
          <w:rFonts w:hint="eastAsia" w:ascii="楷体" w:hAnsi="楷体" w:eastAsia="楷体" w:cs="楷体"/>
          <w:b/>
          <w:bCs/>
          <w:color w:val="auto"/>
          <w:kern w:val="0"/>
          <w:position w:val="0"/>
          <w:sz w:val="32"/>
          <w:szCs w:val="32"/>
          <w:highlight w:val="none"/>
          <w:u w:val="none"/>
          <w:lang w:val="zh-CN" w:eastAsia="zh-CN" w:bidi="zh-CN"/>
        </w:rPr>
        <w:t>（三）人员概况</w:t>
      </w:r>
      <w:bookmarkEnd w:id="63"/>
      <w:r>
        <w:rPr>
          <w:rFonts w:hint="eastAsia" w:ascii="楷体" w:hAnsi="楷体" w:eastAsia="楷体" w:cs="楷体"/>
          <w:b/>
          <w:bCs/>
          <w:color w:val="auto"/>
          <w:kern w:val="0"/>
          <w:position w:val="0"/>
          <w:sz w:val="32"/>
          <w:szCs w:val="32"/>
          <w:highlight w:val="none"/>
          <w:u w:val="none"/>
          <w:lang w:val="zh-CN" w:eastAsia="zh-CN" w:bidi="zh-CN"/>
        </w:rPr>
        <w:t>。</w:t>
      </w:r>
    </w:p>
    <w:p w14:paraId="7C79A096">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阿坝州商务局核定行政编制18名。其中：局长1名，副局长3名；正科级领导职数7名，副科级领导职数4名。机关工勤编制4名，事业编制4名。</w:t>
      </w:r>
    </w:p>
    <w:p w14:paraId="61F7FDBF">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sz w:val="32"/>
          <w:szCs w:val="32"/>
          <w:highlight w:val="none"/>
          <w:lang w:val="en-US"/>
        </w:rPr>
      </w:pPr>
      <w:r>
        <w:rPr>
          <w:rFonts w:hint="default" w:ascii="Times New Roman" w:hAnsi="Times New Roman" w:eastAsia="仿宋_GB2312" w:cs="Times New Roman"/>
          <w:sz w:val="32"/>
          <w:szCs w:val="32"/>
          <w:highlight w:val="none"/>
          <w:lang w:val="en-US" w:eastAsia="zh-CN"/>
        </w:rPr>
        <w:t>截至202</w:t>
      </w:r>
      <w:r>
        <w:rPr>
          <w:rFonts w:hint="eastAsia"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lang w:val="en-US" w:eastAsia="zh-CN"/>
        </w:rPr>
        <w:t>年末，</w:t>
      </w:r>
      <w:r>
        <w:rPr>
          <w:rFonts w:hint="eastAsia" w:ascii="Times New Roman" w:hAnsi="Times New Roman" w:eastAsia="仿宋_GB2312" w:cs="Times New Roman"/>
          <w:sz w:val="32"/>
          <w:szCs w:val="32"/>
          <w:highlight w:val="none"/>
          <w:lang w:val="en-US" w:eastAsia="zh-CN"/>
        </w:rPr>
        <w:t>阿坝州商务局在编职工22人。其中：行政16名，参公2名，机关工勤人员4名，事业人员4名。</w:t>
      </w:r>
    </w:p>
    <w:p w14:paraId="74C904BE">
      <w:pPr>
        <w:keepNext w:val="0"/>
        <w:keepLines w:val="0"/>
        <w:pageBreakBefore w:val="0"/>
        <w:widowControl/>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rPr>
        <w:t>二、</w:t>
      </w:r>
      <w:r>
        <w:rPr>
          <w:rFonts w:hint="default" w:ascii="Times New Roman" w:hAnsi="Times New Roman" w:eastAsia="黑体" w:cs="Times New Roman"/>
          <w:color w:val="000000"/>
          <w:kern w:val="0"/>
          <w:sz w:val="32"/>
          <w:szCs w:val="32"/>
          <w:highlight w:val="none"/>
          <w:shd w:val="clear" w:color="auto" w:fill="FFFFFF"/>
          <w:lang w:eastAsia="zh-CN"/>
        </w:rPr>
        <w:t>部门</w:t>
      </w:r>
      <w:r>
        <w:rPr>
          <w:rFonts w:hint="default" w:ascii="Times New Roman" w:hAnsi="Times New Roman" w:eastAsia="黑体" w:cs="Times New Roman"/>
          <w:color w:val="000000"/>
          <w:kern w:val="0"/>
          <w:sz w:val="32"/>
          <w:szCs w:val="32"/>
          <w:highlight w:val="none"/>
          <w:shd w:val="clear" w:color="auto" w:fill="FFFFFF"/>
        </w:rPr>
        <w:t>资金收支情况</w:t>
      </w:r>
    </w:p>
    <w:p w14:paraId="1E1D456F">
      <w:pPr>
        <w:keepNext w:val="0"/>
        <w:keepLines w:val="0"/>
        <w:pageBreakBefore w:val="0"/>
        <w:widowControl/>
        <w:kinsoku/>
        <w:wordWrap/>
        <w:overflowPunct/>
        <w:topLinePunct w:val="0"/>
        <w:autoSpaceDE/>
        <w:autoSpaceDN/>
        <w:bidi w:val="0"/>
        <w:adjustRightInd w:val="0"/>
        <w:snapToGrid w:val="0"/>
        <w:spacing w:line="48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p>
    <w:p w14:paraId="6DFCB287">
      <w:pPr>
        <w:keepNext w:val="0"/>
        <w:keepLines w:val="0"/>
        <w:pageBreakBefore w:val="0"/>
        <w:widowControl/>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en-US"/>
        </w:rPr>
      </w:pPr>
      <w:r>
        <w:rPr>
          <w:rFonts w:hint="eastAsia" w:ascii="Times New Roman" w:hAnsi="Times New Roman" w:eastAsia="仿宋_GB2312" w:cs="Times New Roman"/>
          <w:sz w:val="32"/>
          <w:szCs w:val="32"/>
          <w:highlight w:val="none"/>
          <w:lang w:val="en-US" w:eastAsia="zh-CN"/>
        </w:rPr>
        <w:t>本部门2025年年初预算收入1292.47万元，其中一般公共预算拨款收入1292.47万元，占比100%。决算收入4738.25万元，其中一般公共预算拨款收入4738.25万元，占比100%。</w:t>
      </w:r>
    </w:p>
    <w:p w14:paraId="40C08E5F">
      <w:pPr>
        <w:keepNext w:val="0"/>
        <w:keepLines w:val="0"/>
        <w:pageBreakBefore w:val="0"/>
        <w:widowControl/>
        <w:numPr>
          <w:ilvl w:val="0"/>
          <w:numId w:val="1"/>
        </w:numPr>
        <w:kinsoku/>
        <w:wordWrap/>
        <w:overflowPunct/>
        <w:topLinePunct w:val="0"/>
        <w:autoSpaceDE/>
        <w:autoSpaceDN/>
        <w:bidi w:val="0"/>
        <w:adjustRightInd w:val="0"/>
        <w:snapToGrid w:val="0"/>
        <w:spacing w:line="480"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bCs/>
          <w:color w:val="000000"/>
          <w:kern w:val="0"/>
          <w:sz w:val="32"/>
          <w:szCs w:val="32"/>
          <w:highlight w:val="none"/>
          <w:shd w:val="clear" w:color="auto" w:fill="FFFFFF"/>
          <w:lang w:val="zh-CN"/>
        </w:rPr>
        <w:t>支出情况。</w:t>
      </w:r>
    </w:p>
    <w:p w14:paraId="34BF3A46">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本部门2025年年初预算支出1292.47万元，其中：</w:t>
      </w:r>
      <w:r>
        <w:rPr>
          <w:rFonts w:hint="default" w:ascii="Times New Roman" w:hAnsi="Times New Roman" w:eastAsia="仿宋_GB2312" w:cs="Times New Roman"/>
          <w:sz w:val="32"/>
          <w:szCs w:val="32"/>
          <w:highlight w:val="none"/>
          <w:lang w:val="en-US" w:eastAsia="zh-CN"/>
        </w:rPr>
        <w:t>基本支出</w:t>
      </w:r>
      <w:r>
        <w:rPr>
          <w:rFonts w:hint="eastAsia" w:ascii="Times New Roman" w:hAnsi="Times New Roman" w:eastAsia="仿宋_GB2312" w:cs="Times New Roman"/>
          <w:sz w:val="32"/>
          <w:szCs w:val="32"/>
          <w:highlight w:val="none"/>
          <w:lang w:val="en-US" w:eastAsia="zh-CN"/>
        </w:rPr>
        <w:t>876.97</w:t>
      </w:r>
      <w:r>
        <w:rPr>
          <w:rFonts w:hint="default" w:ascii="Times New Roman" w:hAnsi="Times New Roman" w:eastAsia="仿宋_GB2312" w:cs="Times New Roman"/>
          <w:sz w:val="32"/>
          <w:szCs w:val="32"/>
          <w:highlight w:val="none"/>
          <w:lang w:val="en-US" w:eastAsia="zh-CN"/>
        </w:rPr>
        <w:t>万元，占比</w:t>
      </w:r>
      <w:r>
        <w:rPr>
          <w:rFonts w:hint="eastAsia" w:ascii="Times New Roman" w:hAnsi="Times New Roman" w:eastAsia="仿宋_GB2312" w:cs="Times New Roman"/>
          <w:sz w:val="32"/>
          <w:szCs w:val="32"/>
          <w:highlight w:val="none"/>
          <w:lang w:val="en-US" w:eastAsia="zh-CN"/>
        </w:rPr>
        <w:t>67.85</w:t>
      </w:r>
      <w:r>
        <w:rPr>
          <w:rFonts w:hint="default" w:ascii="Times New Roman" w:hAnsi="Times New Roman" w:eastAsia="仿宋_GB2312" w:cs="Times New Roman"/>
          <w:sz w:val="32"/>
          <w:szCs w:val="32"/>
          <w:highlight w:val="none"/>
          <w:lang w:val="en-US" w:eastAsia="zh-CN"/>
        </w:rPr>
        <w:t>%；项目支出</w:t>
      </w:r>
      <w:r>
        <w:rPr>
          <w:rFonts w:hint="eastAsia" w:ascii="Times New Roman" w:hAnsi="Times New Roman" w:eastAsia="仿宋_GB2312" w:cs="Times New Roman"/>
          <w:sz w:val="32"/>
          <w:szCs w:val="32"/>
          <w:highlight w:val="none"/>
          <w:lang w:val="en-US" w:eastAsia="zh-CN"/>
        </w:rPr>
        <w:t>415.5</w:t>
      </w:r>
      <w:r>
        <w:rPr>
          <w:rFonts w:hint="default" w:ascii="Times New Roman" w:hAnsi="Times New Roman" w:eastAsia="仿宋_GB2312" w:cs="Times New Roman"/>
          <w:sz w:val="32"/>
          <w:szCs w:val="32"/>
          <w:highlight w:val="none"/>
          <w:lang w:val="en-US" w:eastAsia="zh-CN"/>
        </w:rPr>
        <w:t>万元，占比</w:t>
      </w:r>
      <w:r>
        <w:rPr>
          <w:rFonts w:hint="eastAsia" w:ascii="Times New Roman" w:hAnsi="Times New Roman" w:eastAsia="仿宋_GB2312" w:cs="Times New Roman"/>
          <w:sz w:val="32"/>
          <w:szCs w:val="32"/>
          <w:highlight w:val="none"/>
          <w:lang w:val="en-US" w:eastAsia="zh-CN"/>
        </w:rPr>
        <w:t>32.15</w:t>
      </w:r>
      <w:r>
        <w:rPr>
          <w:rFonts w:hint="default"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lang w:val="en-US" w:eastAsia="zh-CN"/>
        </w:rPr>
        <w:t>2025年决算支出数4738.25万元。</w:t>
      </w:r>
      <w:r>
        <w:rPr>
          <w:rFonts w:hint="default" w:ascii="Times New Roman" w:hAnsi="Times New Roman" w:eastAsia="仿宋_GB2312" w:cs="Times New Roman"/>
          <w:sz w:val="32"/>
          <w:szCs w:val="32"/>
          <w:highlight w:val="none"/>
          <w:lang w:val="en-US" w:eastAsia="zh-CN"/>
        </w:rPr>
        <w:t>其中：基本支出</w:t>
      </w:r>
      <w:r>
        <w:rPr>
          <w:rFonts w:hint="eastAsia" w:ascii="Times New Roman" w:hAnsi="Times New Roman" w:eastAsia="仿宋_GB2312" w:cs="Times New Roman"/>
          <w:sz w:val="32"/>
          <w:szCs w:val="32"/>
          <w:highlight w:val="none"/>
          <w:lang w:val="en-US" w:eastAsia="zh-CN"/>
        </w:rPr>
        <w:t>953.07</w:t>
      </w:r>
      <w:r>
        <w:rPr>
          <w:rFonts w:hint="default" w:ascii="Times New Roman" w:hAnsi="Times New Roman" w:eastAsia="仿宋_GB2312" w:cs="Times New Roman"/>
          <w:sz w:val="32"/>
          <w:szCs w:val="32"/>
          <w:highlight w:val="none"/>
          <w:lang w:val="en-US" w:eastAsia="zh-CN"/>
        </w:rPr>
        <w:t>万元，占比</w:t>
      </w:r>
      <w:r>
        <w:rPr>
          <w:rFonts w:hint="eastAsia" w:ascii="Times New Roman" w:hAnsi="Times New Roman" w:eastAsia="仿宋_GB2312" w:cs="Times New Roman"/>
          <w:sz w:val="32"/>
          <w:szCs w:val="32"/>
          <w:highlight w:val="none"/>
          <w:lang w:val="en-US" w:eastAsia="zh-CN"/>
        </w:rPr>
        <w:t>20.11</w:t>
      </w:r>
      <w:r>
        <w:rPr>
          <w:rFonts w:hint="default" w:ascii="Times New Roman" w:hAnsi="Times New Roman" w:eastAsia="仿宋_GB2312" w:cs="Times New Roman"/>
          <w:sz w:val="32"/>
          <w:szCs w:val="32"/>
          <w:highlight w:val="none"/>
          <w:lang w:val="en-US" w:eastAsia="zh-CN"/>
        </w:rPr>
        <w:t>%；项目支出</w:t>
      </w:r>
      <w:r>
        <w:rPr>
          <w:rFonts w:hint="eastAsia" w:ascii="Times New Roman" w:hAnsi="Times New Roman" w:eastAsia="仿宋_GB2312" w:cs="Times New Roman"/>
          <w:sz w:val="32"/>
          <w:szCs w:val="32"/>
          <w:highlight w:val="none"/>
          <w:lang w:val="en-US" w:eastAsia="zh-CN"/>
        </w:rPr>
        <w:t>3785.18</w:t>
      </w:r>
      <w:r>
        <w:rPr>
          <w:rFonts w:hint="default" w:ascii="Times New Roman" w:hAnsi="Times New Roman" w:eastAsia="仿宋_GB2312" w:cs="Times New Roman"/>
          <w:sz w:val="32"/>
          <w:szCs w:val="32"/>
          <w:highlight w:val="none"/>
          <w:lang w:val="en-US" w:eastAsia="zh-CN"/>
        </w:rPr>
        <w:t>万元，占比</w:t>
      </w:r>
      <w:r>
        <w:rPr>
          <w:rFonts w:hint="eastAsia" w:ascii="Times New Roman" w:hAnsi="Times New Roman" w:eastAsia="仿宋_GB2312" w:cs="Times New Roman"/>
          <w:sz w:val="32"/>
          <w:szCs w:val="32"/>
          <w:highlight w:val="none"/>
          <w:lang w:val="en-US" w:eastAsia="zh-CN"/>
        </w:rPr>
        <w:t>79.89</w:t>
      </w:r>
      <w:r>
        <w:rPr>
          <w:rFonts w:hint="default" w:ascii="Times New Roman" w:hAnsi="Times New Roman" w:eastAsia="仿宋_GB2312" w:cs="Times New Roman"/>
          <w:sz w:val="32"/>
          <w:szCs w:val="32"/>
          <w:highlight w:val="none"/>
          <w:lang w:val="en-US" w:eastAsia="zh-CN"/>
        </w:rPr>
        <w:t>%。</w:t>
      </w:r>
    </w:p>
    <w:p w14:paraId="2A269CA1">
      <w:pPr>
        <w:keepNext w:val="0"/>
        <w:keepLines w:val="0"/>
        <w:pageBreakBefore w:val="0"/>
        <w:widowControl/>
        <w:numPr>
          <w:ilvl w:val="0"/>
          <w:numId w:val="1"/>
        </w:numPr>
        <w:kinsoku/>
        <w:wordWrap/>
        <w:overflowPunct/>
        <w:topLinePunct w:val="0"/>
        <w:autoSpaceDE/>
        <w:autoSpaceDN/>
        <w:bidi w:val="0"/>
        <w:adjustRightInd w:val="0"/>
        <w:snapToGrid w:val="0"/>
        <w:spacing w:line="480" w:lineRule="exact"/>
        <w:ind w:left="0" w:leftChars="0" w:firstLine="643" w:firstLineChars="200"/>
        <w:contextualSpacing/>
        <w:jc w:val="both"/>
        <w:textAlignment w:val="auto"/>
        <w:outlineLvl w:val="9"/>
        <w:rPr>
          <w:rFonts w:hint="eastAsia" w:ascii="Times New Roman" w:hAnsi="Times New Roman" w:eastAsia="楷体_GB2312" w:cs="Times New Roman"/>
          <w:b/>
          <w:sz w:val="32"/>
          <w:szCs w:val="32"/>
          <w:highlight w:val="none"/>
          <w:lang w:eastAsia="zh-CN"/>
        </w:rPr>
      </w:pPr>
      <w:r>
        <w:rPr>
          <w:rFonts w:hint="default" w:ascii="Times New Roman" w:hAnsi="Times New Roman" w:eastAsia="楷体_GB2312" w:cs="Times New Roman"/>
          <w:b/>
          <w:sz w:val="32"/>
          <w:szCs w:val="32"/>
          <w:highlight w:val="none"/>
        </w:rPr>
        <w:t>结余分配和结转结余情况</w:t>
      </w:r>
      <w:r>
        <w:rPr>
          <w:rFonts w:hint="eastAsia" w:ascii="Times New Roman" w:hAnsi="Times New Roman" w:eastAsia="楷体_GB2312" w:cs="Times New Roman"/>
          <w:b/>
          <w:sz w:val="32"/>
          <w:szCs w:val="32"/>
          <w:highlight w:val="none"/>
          <w:lang w:eastAsia="zh-CN"/>
        </w:rPr>
        <w:t>。</w:t>
      </w:r>
    </w:p>
    <w:p w14:paraId="7A014831">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b w:val="0"/>
          <w:bCs w:val="0"/>
          <w:color w:val="000000"/>
          <w:kern w:val="0"/>
          <w:sz w:val="32"/>
          <w:szCs w:val="32"/>
          <w:highlight w:val="none"/>
          <w:shd w:val="clear" w:color="auto" w:fill="FFFFFF"/>
          <w:lang w:val="zh-CN" w:eastAsia="zh-CN"/>
        </w:rPr>
      </w:pPr>
      <w:r>
        <w:rPr>
          <w:rFonts w:hint="eastAsia" w:ascii="Times New Roman" w:hAnsi="Times New Roman" w:eastAsia="仿宋_GB2312" w:cs="Times New Roman"/>
          <w:sz w:val="32"/>
          <w:szCs w:val="32"/>
          <w:highlight w:val="none"/>
          <w:lang w:val="en-US" w:eastAsia="zh-CN"/>
        </w:rPr>
        <w:t>本部门2025年决算</w:t>
      </w:r>
      <w:r>
        <w:rPr>
          <w:rFonts w:hint="default" w:ascii="Times New Roman" w:hAnsi="Times New Roman" w:eastAsia="仿宋_GB2312" w:cs="Times New Roman"/>
          <w:sz w:val="32"/>
          <w:szCs w:val="32"/>
          <w:highlight w:val="none"/>
          <w:lang w:val="en-US" w:eastAsia="zh-CN"/>
        </w:rPr>
        <w:t>结转</w:t>
      </w:r>
      <w:r>
        <w:rPr>
          <w:rFonts w:hint="eastAsia" w:ascii="Times New Roman" w:hAnsi="Times New Roman" w:eastAsia="仿宋_GB2312" w:cs="Times New Roman"/>
          <w:sz w:val="32"/>
          <w:szCs w:val="32"/>
          <w:highlight w:val="none"/>
          <w:lang w:val="en-US" w:eastAsia="zh-CN"/>
        </w:rPr>
        <w:t>结余0.00万元。</w:t>
      </w:r>
    </w:p>
    <w:p w14:paraId="3438E7AA">
      <w:pPr>
        <w:keepNext w:val="0"/>
        <w:keepLines w:val="0"/>
        <w:pageBreakBefore w:val="0"/>
        <w:widowControl/>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default" w:ascii="Times New Roman" w:hAnsi="Times New Roman" w:eastAsia="黑体" w:cs="Times New Roman"/>
          <w:color w:val="000000" w:themeColor="text1"/>
          <w:kern w:val="0"/>
          <w:sz w:val="32"/>
          <w:szCs w:val="32"/>
          <w:highlight w:val="none"/>
          <w:shd w:val="clear" w:color="auto" w:fill="FFFFFF"/>
          <w14:textFill>
            <w14:solidFill>
              <w14:schemeClr w14:val="tx1"/>
            </w14:solidFill>
          </w14:textFill>
        </w:rPr>
      </w:pPr>
      <w:r>
        <w:rPr>
          <w:rFonts w:hint="default" w:ascii="Times New Roman" w:hAnsi="Times New Roman" w:eastAsia="黑体" w:cs="Times New Roman"/>
          <w:color w:val="000000"/>
          <w:kern w:val="0"/>
          <w:sz w:val="32"/>
          <w:szCs w:val="32"/>
          <w:highlight w:val="none"/>
          <w:shd w:val="clear" w:color="auto" w:fill="FFFFFF"/>
        </w:rPr>
        <w:t>三、</w:t>
      </w:r>
      <w:r>
        <w:rPr>
          <w:rFonts w:hint="default" w:ascii="Times New Roman" w:hAnsi="Times New Roman" w:eastAsia="黑体" w:cs="Times New Roman"/>
          <w:color w:val="000000"/>
          <w:kern w:val="0"/>
          <w:sz w:val="32"/>
          <w:szCs w:val="32"/>
          <w:highlight w:val="none"/>
          <w:u w:val="none"/>
          <w:shd w:val="clear" w:color="auto" w:fill="FFFFFF"/>
        </w:rPr>
        <w:t>部门</w:t>
      </w:r>
      <w:r>
        <w:rPr>
          <w:rFonts w:hint="default" w:ascii="Times New Roman" w:hAnsi="Times New Roman" w:eastAsia="黑体" w:cs="Times New Roman"/>
          <w:color w:val="000000"/>
          <w:kern w:val="0"/>
          <w:sz w:val="32"/>
          <w:szCs w:val="32"/>
          <w:highlight w:val="none"/>
          <w:u w:val="none"/>
          <w:shd w:val="clear" w:color="auto" w:fill="FFFFFF"/>
          <w:lang w:eastAsia="zh-CN"/>
        </w:rPr>
        <w:t>预算</w:t>
      </w:r>
      <w:r>
        <w:rPr>
          <w:rFonts w:hint="default" w:ascii="Times New Roman" w:hAnsi="Times New Roman" w:eastAsia="黑体" w:cs="Times New Roman"/>
          <w:color w:val="000000"/>
          <w:kern w:val="0"/>
          <w:sz w:val="32"/>
          <w:szCs w:val="32"/>
          <w:highlight w:val="none"/>
          <w:u w:val="none"/>
          <w:shd w:val="clear" w:color="auto" w:fill="FFFFFF"/>
        </w:rPr>
        <w:t>绩效</w:t>
      </w:r>
      <w:r>
        <w:rPr>
          <w:rFonts w:hint="default" w:ascii="Times New Roman" w:hAnsi="Times New Roman" w:eastAsia="黑体" w:cs="Times New Roman"/>
          <w:color w:val="000000"/>
          <w:kern w:val="0"/>
          <w:sz w:val="32"/>
          <w:szCs w:val="32"/>
          <w:highlight w:val="none"/>
          <w:u w:val="none"/>
          <w:shd w:val="clear" w:color="auto" w:fill="FFFFFF"/>
          <w:lang w:eastAsia="zh-CN"/>
        </w:rPr>
        <w:t>分析</w:t>
      </w:r>
    </w:p>
    <w:p w14:paraId="2C3506E8">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3" w:firstLineChars="200"/>
        <w:contextualSpacing/>
        <w:jc w:val="left"/>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eastAsia" w:ascii="Times New Roman" w:hAnsi="Times New Roman" w:eastAsia="楷体_GB2312" w:cs="Times New Roman"/>
          <w:b/>
          <w:bCs/>
          <w:color w:val="000000"/>
          <w:kern w:val="0"/>
          <w:sz w:val="32"/>
          <w:szCs w:val="32"/>
          <w:highlight w:val="none"/>
          <w:shd w:val="clear" w:color="auto" w:fill="FFFFFF"/>
          <w:lang w:val="zh-CN"/>
        </w:rPr>
        <w:t>。</w:t>
      </w:r>
    </w:p>
    <w:p w14:paraId="6DD8E973">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3" w:firstLineChars="200"/>
        <w:contextualSpacing/>
        <w:jc w:val="both"/>
        <w:textAlignment w:val="auto"/>
        <w:outlineLvl w:val="9"/>
        <w:rPr>
          <w:rFonts w:hint="eastAsia" w:ascii="Times New Roman" w:hAnsi="Times New Roman" w:eastAsia="仿宋_GB2312" w:cs="Times New Roman"/>
          <w:sz w:val="32"/>
          <w:szCs w:val="32"/>
          <w:highlight w:val="none"/>
          <w:lang w:val="zh-CN" w:eastAsia="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1.</w:t>
      </w:r>
      <w:r>
        <w:rPr>
          <w:rFonts w:hint="eastAsia" w:ascii="仿宋_GB2312" w:hAnsi="仿宋_GB2312" w:eastAsia="仿宋_GB2312" w:cs="仿宋_GB2312"/>
          <w:b/>
          <w:bCs/>
          <w:color w:val="000000"/>
          <w:kern w:val="0"/>
          <w:sz w:val="32"/>
          <w:szCs w:val="32"/>
          <w:highlight w:val="none"/>
          <w:shd w:val="clear" w:color="auto" w:fill="FFFFFF"/>
          <w:lang w:val="zh-CN"/>
        </w:rPr>
        <w:t>履职效能。</w:t>
      </w:r>
      <w:r>
        <w:rPr>
          <w:rFonts w:hint="eastAsia" w:ascii="Times New Roman" w:hAnsi="Times New Roman" w:eastAsia="仿宋_GB2312" w:cs="Times New Roman"/>
          <w:sz w:val="32"/>
          <w:szCs w:val="32"/>
          <w:highlight w:val="none"/>
          <w:lang w:val="en-US" w:eastAsia="zh-CN"/>
        </w:rPr>
        <w:t>本次绩效评价</w:t>
      </w:r>
      <w:r>
        <w:rPr>
          <w:rFonts w:hint="eastAsia" w:ascii="Times New Roman" w:hAnsi="Times New Roman" w:eastAsia="仿宋_GB2312" w:cs="Times New Roman"/>
          <w:sz w:val="32"/>
          <w:szCs w:val="32"/>
          <w:highlight w:val="none"/>
          <w:lang w:val="zh-CN" w:eastAsia="zh-CN"/>
        </w:rPr>
        <w:t>选定</w:t>
      </w:r>
      <w:r>
        <w:rPr>
          <w:rFonts w:hint="eastAsia" w:ascii="Times New Roman" w:hAnsi="Times New Roman" w:eastAsia="仿宋_GB2312" w:cs="Times New Roman"/>
          <w:sz w:val="32"/>
          <w:szCs w:val="32"/>
          <w:highlight w:val="none"/>
          <w:lang w:val="en-US" w:eastAsia="zh-CN"/>
        </w:rPr>
        <w:t>3</w:t>
      </w:r>
      <w:r>
        <w:rPr>
          <w:rFonts w:hint="eastAsia" w:ascii="Times New Roman" w:hAnsi="Times New Roman" w:eastAsia="仿宋_GB2312" w:cs="Times New Roman"/>
          <w:sz w:val="32"/>
          <w:szCs w:val="32"/>
          <w:highlight w:val="none"/>
          <w:lang w:val="zh-CN" w:eastAsia="zh-CN"/>
        </w:rPr>
        <w:t>个核心职能目标，对职能目标完成效果情况</w:t>
      </w:r>
      <w:r>
        <w:rPr>
          <w:rFonts w:hint="eastAsia" w:ascii="Times New Roman" w:hAnsi="Times New Roman" w:eastAsia="仿宋_GB2312" w:cs="Times New Roman"/>
          <w:sz w:val="32"/>
          <w:szCs w:val="32"/>
          <w:highlight w:val="none"/>
          <w:lang w:val="en-US" w:eastAsia="zh-CN"/>
        </w:rPr>
        <w:t>进行</w:t>
      </w:r>
      <w:r>
        <w:rPr>
          <w:rFonts w:hint="eastAsia" w:ascii="Times New Roman" w:hAnsi="Times New Roman" w:eastAsia="仿宋_GB2312" w:cs="Times New Roman"/>
          <w:sz w:val="32"/>
          <w:szCs w:val="32"/>
          <w:highlight w:val="none"/>
          <w:lang w:val="zh-CN" w:eastAsia="zh-CN"/>
        </w:rPr>
        <w:t>绩效分析。</w:t>
      </w:r>
    </w:p>
    <w:p w14:paraId="1FE7D1FF">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60" w:lineRule="exact"/>
        <w:ind w:left="0" w:right="0" w:firstLine="643" w:firstLineChars="200"/>
        <w:jc w:val="both"/>
        <w:textAlignment w:val="auto"/>
        <w:outlineLvl w:val="9"/>
        <w:rPr>
          <w:rFonts w:hint="eastAsia" w:ascii="仿宋_GB2312" w:hAnsi="仿宋_GB2312" w:eastAsia="仿宋_GB2312" w:cs="仿宋_GB2312"/>
          <w:b w:val="0"/>
          <w:bCs w:val="0"/>
          <w:sz w:val="32"/>
          <w:szCs w:val="32"/>
          <w:highlight w:val="none"/>
          <w:lang w:val="en-US" w:bidi="ar-SA"/>
        </w:rPr>
      </w:pPr>
      <w:r>
        <w:rPr>
          <w:rFonts w:hint="eastAsia" w:ascii="Times New Roman" w:hAnsi="Times New Roman" w:eastAsia="仿宋_GB2312" w:cs="Times New Roman"/>
          <w:b/>
          <w:bCs/>
          <w:kern w:val="2"/>
          <w:sz w:val="32"/>
          <w:szCs w:val="32"/>
          <w:highlight w:val="none"/>
          <w:lang w:val="en-US" w:eastAsia="zh-CN" w:bidi="ar-SA"/>
        </w:rPr>
        <w:t>目标实现情况：一</w:t>
      </w:r>
      <w:r>
        <w:rPr>
          <w:rFonts w:hint="eastAsia" w:ascii="仿宋_GB2312" w:hAnsi="仿宋_GB2312" w:eastAsia="仿宋_GB2312" w:cs="仿宋_GB2312"/>
          <w:b/>
          <w:bCs/>
          <w:sz w:val="32"/>
          <w:szCs w:val="32"/>
          <w:highlight w:val="none"/>
          <w:lang w:eastAsia="zh-CN"/>
        </w:rPr>
        <w:t>是</w:t>
      </w:r>
      <w:r>
        <w:rPr>
          <w:rFonts w:hint="eastAsia" w:ascii="仿宋_GB2312" w:hAnsi="仿宋_GB2312" w:eastAsia="仿宋_GB2312" w:cs="仿宋_GB2312"/>
          <w:b w:val="0"/>
          <w:bCs w:val="0"/>
          <w:caps w:val="0"/>
          <w:color w:val="auto"/>
          <w:kern w:val="2"/>
          <w:sz w:val="32"/>
          <w:szCs w:val="32"/>
          <w:highlight w:val="none"/>
          <w:vertAlign w:val="baseline"/>
          <w:lang w:val="en-US" w:eastAsia="zh-CN" w:bidi="ar"/>
        </w:rPr>
        <w:t>全州社会消费品零售总额实现124.6亿元，同比增长7.4%，高于年度目标（6.5%）0.9个百分点，增速位列全省第1位。二</w:t>
      </w:r>
      <w:r>
        <w:rPr>
          <w:rFonts w:hint="eastAsia" w:ascii="仿宋_GB2312" w:hAnsi="仿宋_GB2312" w:eastAsia="仿宋_GB2312" w:cs="仿宋_GB2312"/>
          <w:b/>
          <w:bCs/>
          <w:sz w:val="32"/>
          <w:szCs w:val="32"/>
          <w:highlight w:val="none"/>
          <w:lang w:eastAsia="zh-CN"/>
        </w:rPr>
        <w:t>是</w:t>
      </w:r>
      <w:r>
        <w:rPr>
          <w:rFonts w:hint="eastAsia" w:ascii="仿宋_GB2312" w:hAnsi="仿宋_GB2312" w:eastAsia="仿宋_GB2312" w:cs="仿宋_GB2312"/>
          <w:b w:val="0"/>
          <w:bCs w:val="0"/>
          <w:sz w:val="32"/>
          <w:szCs w:val="32"/>
          <w:highlight w:val="none"/>
          <w:lang w:eastAsia="zh-CN"/>
        </w:rPr>
        <w:t>实现外贸进出口总额</w:t>
      </w:r>
      <w:r>
        <w:rPr>
          <w:rFonts w:hint="eastAsia" w:ascii="仿宋_GB2312" w:hAnsi="仿宋_GB2312" w:eastAsia="仿宋_GB2312" w:cs="仿宋_GB2312"/>
          <w:b w:val="0"/>
          <w:bCs w:val="0"/>
          <w:sz w:val="32"/>
          <w:szCs w:val="32"/>
          <w:highlight w:val="none"/>
          <w:lang w:val="en-US" w:eastAsia="zh-CN"/>
        </w:rPr>
        <w:t>4.03</w:t>
      </w:r>
      <w:r>
        <w:rPr>
          <w:rFonts w:hint="eastAsia" w:ascii="仿宋_GB2312" w:hAnsi="仿宋_GB2312" w:eastAsia="仿宋_GB2312" w:cs="仿宋_GB2312"/>
          <w:b w:val="0"/>
          <w:bCs w:val="0"/>
          <w:sz w:val="32"/>
          <w:szCs w:val="32"/>
          <w:highlight w:val="none"/>
          <w:lang w:eastAsia="zh-CN"/>
        </w:rPr>
        <w:t>亿元，完成全年目标任务的</w:t>
      </w:r>
      <w:r>
        <w:rPr>
          <w:rFonts w:hint="eastAsia" w:ascii="仿宋_GB2312" w:hAnsi="仿宋_GB2312" w:eastAsia="仿宋_GB2312" w:cs="仿宋_GB2312"/>
          <w:b w:val="0"/>
          <w:bCs w:val="0"/>
          <w:sz w:val="32"/>
          <w:szCs w:val="32"/>
          <w:highlight w:val="none"/>
          <w:lang w:val="en-US" w:eastAsia="zh-CN"/>
        </w:rPr>
        <w:t>112</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caps w:val="0"/>
          <w:color w:val="auto"/>
          <w:kern w:val="2"/>
          <w:sz w:val="32"/>
          <w:szCs w:val="32"/>
          <w:highlight w:val="none"/>
          <w:vertAlign w:val="baseline"/>
          <w:lang w:val="en-US" w:eastAsia="zh-CN" w:bidi="ar"/>
        </w:rPr>
        <w:t>。三</w:t>
      </w:r>
      <w:r>
        <w:rPr>
          <w:rFonts w:hint="eastAsia" w:ascii="仿宋_GB2312" w:hAnsi="仿宋_GB2312" w:eastAsia="仿宋_GB2312" w:cs="仿宋_GB2312"/>
          <w:b/>
          <w:bCs/>
          <w:sz w:val="32"/>
          <w:szCs w:val="32"/>
          <w:highlight w:val="none"/>
          <w:lang w:eastAsia="zh-CN"/>
        </w:rPr>
        <w:t>是</w:t>
      </w:r>
      <w:r>
        <w:rPr>
          <w:rFonts w:hint="eastAsia" w:ascii="仿宋_GB2312" w:hAnsi="仿宋_GB2312" w:eastAsia="仿宋_GB2312" w:cs="仿宋_GB2312"/>
          <w:b w:val="0"/>
          <w:bCs w:val="0"/>
          <w:sz w:val="32"/>
          <w:szCs w:val="32"/>
          <w:highlight w:val="none"/>
          <w:lang w:eastAsia="zh-CN"/>
        </w:rPr>
        <w:t>新增规上企业</w:t>
      </w:r>
      <w:r>
        <w:rPr>
          <w:rFonts w:hint="eastAsia" w:ascii="仿宋_GB2312" w:hAnsi="仿宋_GB2312" w:eastAsia="仿宋_GB2312" w:cs="仿宋_GB2312"/>
          <w:b w:val="0"/>
          <w:bCs w:val="0"/>
          <w:sz w:val="32"/>
          <w:szCs w:val="32"/>
          <w:highlight w:val="none"/>
          <w:lang w:val="en-US" w:eastAsia="zh-CN"/>
        </w:rPr>
        <w:t>18</w:t>
      </w:r>
      <w:r>
        <w:rPr>
          <w:rFonts w:hint="eastAsia" w:ascii="仿宋_GB2312" w:hAnsi="仿宋_GB2312" w:eastAsia="仿宋_GB2312" w:cs="仿宋_GB2312"/>
          <w:b w:val="0"/>
          <w:bCs w:val="0"/>
          <w:sz w:val="32"/>
          <w:szCs w:val="32"/>
          <w:highlight w:val="none"/>
          <w:lang w:eastAsia="zh-CN"/>
        </w:rPr>
        <w:t>户</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highlight w:val="none"/>
          <w:lang w:eastAsia="zh-CN"/>
        </w:rPr>
        <w:t>完成州定目标任务的</w:t>
      </w:r>
      <w:r>
        <w:rPr>
          <w:rFonts w:hint="eastAsia" w:ascii="仿宋_GB2312" w:hAnsi="仿宋_GB2312" w:eastAsia="仿宋_GB2312" w:cs="仿宋_GB2312"/>
          <w:b w:val="0"/>
          <w:bCs w:val="0"/>
          <w:sz w:val="32"/>
          <w:szCs w:val="32"/>
          <w:highlight w:val="none"/>
          <w:lang w:val="en-US" w:eastAsia="zh-CN"/>
        </w:rPr>
        <w:t>180%；</w:t>
      </w:r>
      <w:r>
        <w:rPr>
          <w:rFonts w:hint="eastAsia" w:ascii="仿宋_GB2312" w:hAnsi="仿宋_GB2312" w:eastAsia="仿宋_GB2312" w:cs="仿宋_GB2312"/>
          <w:b w:val="0"/>
          <w:bCs w:val="0"/>
          <w:sz w:val="32"/>
          <w:szCs w:val="32"/>
          <w:highlight w:val="none"/>
          <w:lang w:eastAsia="zh-CN"/>
        </w:rPr>
        <w:t>新增限上商贸主体队伍</w:t>
      </w:r>
      <w:r>
        <w:rPr>
          <w:rFonts w:hint="eastAsia" w:ascii="仿宋_GB2312" w:hAnsi="仿宋_GB2312" w:eastAsia="仿宋_GB2312" w:cs="仿宋_GB2312"/>
          <w:b w:val="0"/>
          <w:bCs w:val="0"/>
          <w:sz w:val="32"/>
          <w:szCs w:val="32"/>
          <w:highlight w:val="none"/>
          <w:lang w:val="en-US" w:eastAsia="zh-CN" w:bidi="ar-SA"/>
        </w:rPr>
        <w:t>67户</w:t>
      </w:r>
      <w:r>
        <w:rPr>
          <w:rFonts w:hint="eastAsia" w:ascii="仿宋_GB2312" w:hAnsi="仿宋_GB2312" w:eastAsia="仿宋_GB2312" w:cs="仿宋_GB2312"/>
          <w:b w:val="0"/>
          <w:bCs w:val="0"/>
          <w:sz w:val="32"/>
          <w:szCs w:val="32"/>
          <w:highlight w:val="none"/>
          <w:lang w:eastAsia="zh-CN"/>
        </w:rPr>
        <w:t>，完成州定目标的</w:t>
      </w:r>
      <w:r>
        <w:rPr>
          <w:rFonts w:hint="eastAsia" w:ascii="仿宋_GB2312" w:hAnsi="仿宋_GB2312" w:eastAsia="仿宋_GB2312" w:cs="仿宋_GB2312"/>
          <w:b w:val="0"/>
          <w:bCs w:val="0"/>
          <w:sz w:val="32"/>
          <w:szCs w:val="32"/>
          <w:highlight w:val="none"/>
          <w:lang w:val="en-US" w:eastAsia="zh-CN"/>
        </w:rPr>
        <w:t>335%；</w:t>
      </w:r>
      <w:r>
        <w:rPr>
          <w:rFonts w:hint="eastAsia" w:ascii="仿宋_GB2312" w:hAnsi="仿宋_GB2312" w:eastAsia="仿宋_GB2312" w:cs="仿宋_GB2312"/>
          <w:b w:val="0"/>
          <w:bCs w:val="0"/>
          <w:sz w:val="32"/>
          <w:szCs w:val="32"/>
          <w:highlight w:val="none"/>
          <w:lang w:eastAsia="zh-CN"/>
        </w:rPr>
        <w:t>新增外贸实绩企业</w:t>
      </w:r>
      <w:r>
        <w:rPr>
          <w:rFonts w:hint="eastAsia" w:ascii="仿宋_GB2312" w:hAnsi="仿宋_GB2312" w:eastAsia="仿宋_GB2312" w:cs="仿宋_GB2312"/>
          <w:b w:val="0"/>
          <w:bCs w:val="0"/>
          <w:sz w:val="32"/>
          <w:szCs w:val="32"/>
          <w:highlight w:val="none"/>
          <w:lang w:val="en-US" w:eastAsia="zh-CN"/>
        </w:rPr>
        <w:t>3家。</w:t>
      </w:r>
    </w:p>
    <w:p w14:paraId="470EEAE5">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lang w:val="zh-CN" w:eastAsia="zh-CN"/>
        </w:rPr>
      </w:pPr>
      <w:r>
        <w:rPr>
          <w:rFonts w:hint="eastAsia" w:ascii="Times New Roman" w:hAnsi="Times New Roman" w:eastAsia="仿宋_GB2312" w:cs="Times New Roman"/>
          <w:sz w:val="32"/>
          <w:szCs w:val="32"/>
          <w:highlight w:val="none"/>
          <w:lang w:val="zh-CN" w:eastAsia="zh-CN"/>
        </w:rPr>
        <w:t>指标得分=年终完成履职效果目标数量÷年初目标设置总数×100%×指标分值</w:t>
      </w:r>
      <w:r>
        <w:rPr>
          <w:rFonts w:hint="eastAsia" w:ascii="Times New Roman" w:hAnsi="Times New Roman" w:eastAsia="仿宋_GB2312" w:cs="Times New Roman"/>
          <w:sz w:val="32"/>
          <w:szCs w:val="32"/>
          <w:highlight w:val="none"/>
          <w:lang w:val="en-US" w:eastAsia="zh-CN"/>
        </w:rPr>
        <w:t>=3÷3×100%×15=15分</w:t>
      </w:r>
      <w:r>
        <w:rPr>
          <w:rFonts w:hint="eastAsia" w:ascii="Times New Roman" w:hAnsi="Times New Roman" w:eastAsia="仿宋_GB2312" w:cs="Times New Roman"/>
          <w:sz w:val="32"/>
          <w:szCs w:val="32"/>
          <w:highlight w:val="none"/>
          <w:lang w:val="zh-CN" w:eastAsia="zh-CN"/>
        </w:rPr>
        <w:t>。</w:t>
      </w:r>
    </w:p>
    <w:p w14:paraId="35818DD5">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3" w:firstLineChars="200"/>
        <w:contextualSpacing/>
        <w:jc w:val="left"/>
        <w:textAlignment w:val="auto"/>
        <w:outlineLvl w:val="9"/>
        <w:rPr>
          <w:rFonts w:hint="eastAsia" w:ascii="仿宋_GB2312" w:hAnsi="仿宋_GB2312" w:eastAsia="仿宋_GB2312" w:cs="仿宋_GB2312"/>
          <w:b/>
          <w:bCs/>
          <w:color w:val="000000"/>
          <w:kern w:val="0"/>
          <w:sz w:val="32"/>
          <w:szCs w:val="32"/>
          <w:highlight w:val="none"/>
          <w:shd w:val="clear" w:color="auto" w:fill="FFFFFF"/>
          <w:lang w:val="zh-CN" w:eastAsia="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2.</w:t>
      </w:r>
      <w:r>
        <w:rPr>
          <w:rFonts w:hint="eastAsia" w:ascii="仿宋_GB2312" w:hAnsi="仿宋_GB2312" w:eastAsia="仿宋_GB2312" w:cs="仿宋_GB2312"/>
          <w:b/>
          <w:bCs/>
          <w:color w:val="000000"/>
          <w:kern w:val="0"/>
          <w:sz w:val="32"/>
          <w:szCs w:val="32"/>
          <w:highlight w:val="none"/>
          <w:shd w:val="clear" w:color="auto" w:fill="FFFFFF"/>
          <w:lang w:val="zh-CN" w:eastAsia="zh-CN"/>
        </w:rPr>
        <w:t>预算管理。</w:t>
      </w:r>
    </w:p>
    <w:p w14:paraId="7C95812C">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rPr>
      </w:pPr>
      <w:r>
        <w:rPr>
          <w:rFonts w:hint="eastAsia" w:ascii="仿宋_GB2312" w:hAnsi="仿宋_GB2312" w:eastAsia="仿宋_GB2312" w:cs="仿宋_GB2312"/>
          <w:color w:val="000000"/>
          <w:kern w:val="0"/>
          <w:sz w:val="32"/>
          <w:szCs w:val="32"/>
          <w:highlight w:val="none"/>
          <w:shd w:val="clear" w:color="auto" w:fill="FFFFFF"/>
          <w:lang w:val="en-US" w:eastAsia="zh-CN"/>
        </w:rPr>
        <w:t>（1）</w:t>
      </w:r>
      <w:r>
        <w:rPr>
          <w:rFonts w:hint="eastAsia" w:ascii="仿宋_GB2312" w:hAnsi="仿宋_GB2312" w:eastAsia="仿宋_GB2312" w:cs="仿宋_GB2312"/>
          <w:color w:val="000000"/>
          <w:kern w:val="0"/>
          <w:sz w:val="32"/>
          <w:szCs w:val="32"/>
          <w:highlight w:val="none"/>
          <w:shd w:val="clear" w:color="auto" w:fill="FFFFFF"/>
          <w:lang w:val="zh-CN"/>
        </w:rPr>
        <w:t>预算编制质量。</w:t>
      </w:r>
    </w:p>
    <w:p w14:paraId="10E0CC81">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本部门2025年</w:t>
      </w:r>
      <w:r>
        <w:rPr>
          <w:rFonts w:hint="eastAsia" w:ascii="仿宋_GB2312" w:hAnsi="仿宋_GB2312" w:eastAsia="仿宋_GB2312" w:cs="仿宋_GB2312"/>
          <w:color w:val="000000" w:themeColor="text1"/>
          <w:sz w:val="32"/>
          <w:szCs w:val="32"/>
          <w:highlight w:val="none"/>
          <w:lang w:val="zh-CN" w:eastAsia="zh-CN"/>
          <w14:textFill>
            <w14:solidFill>
              <w14:schemeClr w14:val="tx1"/>
            </w14:solidFill>
          </w14:textFill>
        </w:rPr>
        <w:t>财政拨款预算执行数</w:t>
      </w:r>
      <w:r>
        <w:rPr>
          <w:rFonts w:hint="eastAsia" w:ascii="仿宋_GB2312" w:hAnsi="仿宋_GB2312" w:eastAsia="仿宋_GB2312" w:cs="仿宋_GB2312"/>
          <w:sz w:val="32"/>
          <w:szCs w:val="32"/>
          <w:highlight w:val="none"/>
          <w:lang w:val="en-US" w:eastAsia="zh-CN"/>
        </w:rPr>
        <w:t>1216.82</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万元，2025年</w:t>
      </w:r>
      <w:r>
        <w:rPr>
          <w:rFonts w:hint="eastAsia" w:ascii="仿宋_GB2312" w:hAnsi="仿宋_GB2312" w:eastAsia="仿宋_GB2312" w:cs="仿宋_GB2312"/>
          <w:color w:val="000000" w:themeColor="text1"/>
          <w:sz w:val="32"/>
          <w:szCs w:val="32"/>
          <w:highlight w:val="none"/>
          <w:lang w:val="zh-CN" w:eastAsia="zh-CN"/>
          <w14:textFill>
            <w14:solidFill>
              <w14:schemeClr w14:val="tx1"/>
            </w14:solidFill>
          </w14:textFill>
        </w:rPr>
        <w:t>财政拨款年初预算数</w:t>
      </w:r>
      <w:r>
        <w:rPr>
          <w:rFonts w:hint="eastAsia" w:ascii="Times New Roman" w:hAnsi="Times New Roman" w:eastAsia="仿宋_GB2312" w:cs="Times New Roman"/>
          <w:sz w:val="32"/>
          <w:szCs w:val="32"/>
          <w:highlight w:val="none"/>
          <w:lang w:val="en-US" w:eastAsia="zh-CN"/>
        </w:rPr>
        <w:t>1292.47</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万元，</w:t>
      </w:r>
      <w:r>
        <w:rPr>
          <w:rFonts w:hint="eastAsia" w:ascii="仿宋_GB2312" w:hAnsi="仿宋_GB2312" w:eastAsia="仿宋_GB2312" w:cs="仿宋_GB2312"/>
          <w:color w:val="000000" w:themeColor="text1"/>
          <w:sz w:val="32"/>
          <w:szCs w:val="32"/>
          <w:highlight w:val="none"/>
          <w:lang w:val="zh-CN" w:eastAsia="zh-CN"/>
          <w14:textFill>
            <w14:solidFill>
              <w14:schemeClr w14:val="tx1"/>
            </w14:solidFill>
          </w14:textFill>
        </w:rPr>
        <w:t>财政拨款预算偏离度</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-5.85%（</w:t>
      </w:r>
      <w:r>
        <w:rPr>
          <w:rFonts w:hint="eastAsia" w:ascii="仿宋_GB2312" w:hAnsi="仿宋_GB2312" w:eastAsia="仿宋_GB2312" w:cs="仿宋_GB2312"/>
          <w:color w:val="000000" w:themeColor="text1"/>
          <w:sz w:val="32"/>
          <w:szCs w:val="32"/>
          <w:highlight w:val="none"/>
          <w:lang w:val="zh-CN" w:eastAsia="zh-CN"/>
          <w14:textFill>
            <w14:solidFill>
              <w14:schemeClr w14:val="tx1"/>
            </w14:solidFill>
          </w14:textFill>
        </w:rPr>
        <w:t>财政拨款</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预算执行数不包含科待资金、结转资金、援建资金，共计3521.43万元）；</w:t>
      </w:r>
    </w:p>
    <w:p w14:paraId="2892DC04">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2025年</w:t>
      </w:r>
      <w:r>
        <w:rPr>
          <w:rFonts w:hint="eastAsia" w:ascii="仿宋_GB2312" w:hAnsi="仿宋_GB2312" w:eastAsia="仿宋_GB2312" w:cs="仿宋_GB2312"/>
          <w:color w:val="000000" w:themeColor="text1"/>
          <w:sz w:val="32"/>
          <w:szCs w:val="32"/>
          <w:highlight w:val="none"/>
          <w:lang w:val="zh-CN" w:eastAsia="zh-CN"/>
          <w14:textFill>
            <w14:solidFill>
              <w14:schemeClr w14:val="tx1"/>
            </w14:solidFill>
          </w14:textFill>
        </w:rPr>
        <w:t>资产配置预算执行数</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15.11万元，</w:t>
      </w:r>
      <w:r>
        <w:rPr>
          <w:rFonts w:hint="eastAsia" w:ascii="仿宋_GB2312" w:hAnsi="仿宋_GB2312" w:eastAsia="仿宋_GB2312" w:cs="仿宋_GB2312"/>
          <w:color w:val="000000" w:themeColor="text1"/>
          <w:sz w:val="32"/>
          <w:szCs w:val="32"/>
          <w:highlight w:val="none"/>
          <w:lang w:val="zh-CN" w:eastAsia="zh-CN"/>
          <w14:textFill>
            <w14:solidFill>
              <w14:schemeClr w14:val="tx1"/>
            </w14:solidFill>
          </w14:textFill>
        </w:rPr>
        <w:t>资产配置年初预算数</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15.11万元</w:t>
      </w:r>
      <w:r>
        <w:rPr>
          <w:rFonts w:hint="eastAsia" w:ascii="仿宋_GB2312" w:hAnsi="仿宋_GB2312" w:eastAsia="仿宋_GB2312" w:cs="仿宋_GB2312"/>
          <w:color w:val="000000" w:themeColor="text1"/>
          <w:sz w:val="32"/>
          <w:szCs w:val="32"/>
          <w:highlight w:val="none"/>
          <w:lang w:val="zh-CN" w:eastAsia="zh-CN"/>
          <w14:textFill>
            <w14:solidFill>
              <w14:schemeClr w14:val="tx1"/>
            </w14:solidFill>
          </w14:textFill>
        </w:rPr>
        <w:t>，资产配置预算偏离度</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0%；</w:t>
      </w:r>
    </w:p>
    <w:p w14:paraId="2166CFE0">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2025年</w:t>
      </w:r>
      <w:r>
        <w:rPr>
          <w:rFonts w:hint="eastAsia" w:ascii="仿宋_GB2312" w:hAnsi="仿宋_GB2312" w:eastAsia="仿宋_GB2312" w:cs="仿宋_GB2312"/>
          <w:color w:val="000000" w:themeColor="text1"/>
          <w:sz w:val="32"/>
          <w:szCs w:val="32"/>
          <w:highlight w:val="none"/>
          <w:lang w:val="zh-CN" w:eastAsia="zh-CN"/>
          <w14:textFill>
            <w14:solidFill>
              <w14:schemeClr w14:val="tx1"/>
            </w14:solidFill>
          </w14:textFill>
        </w:rPr>
        <w:t>政府采购预算执行数</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484.29万元</w:t>
      </w:r>
      <w:r>
        <w:rPr>
          <w:rFonts w:hint="eastAsia" w:ascii="仿宋_GB2312" w:hAnsi="仿宋_GB2312" w:eastAsia="仿宋_GB2312" w:cs="仿宋_GB2312"/>
          <w:color w:val="000000" w:themeColor="text1"/>
          <w:sz w:val="32"/>
          <w:szCs w:val="32"/>
          <w:highlight w:val="none"/>
          <w:lang w:val="zh-CN"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政府采购年初预算数484.29万元，政府采购预算偏离度0%；</w:t>
      </w:r>
    </w:p>
    <w:p w14:paraId="73FFBC74">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zh-CN" w:eastAsia="zh-CN"/>
          <w14:textFill>
            <w14:solidFill>
              <w14:schemeClr w14:val="tx1"/>
            </w14:solidFill>
          </w14:textFill>
        </w:rPr>
        <w:t>该项指标得分=（1-财政拨款预算偏离度）×100%×</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6</w:t>
      </w:r>
      <w:r>
        <w:rPr>
          <w:rFonts w:hint="eastAsia" w:ascii="Times New Roman" w:hAnsi="Times New Roman" w:eastAsia="仿宋_GB2312" w:cs="Times New Roman"/>
          <w:color w:val="000000" w:themeColor="text1"/>
          <w:sz w:val="32"/>
          <w:szCs w:val="32"/>
          <w:highlight w:val="none"/>
          <w:lang w:val="zh-CN" w:eastAsia="zh-CN"/>
          <w14:textFill>
            <w14:solidFill>
              <w14:schemeClr w14:val="tx1"/>
            </w14:solidFill>
          </w14:textFill>
        </w:rPr>
        <w:t>+（1-资产配置预算偏离度）×100%×</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3</w:t>
      </w:r>
      <w:r>
        <w:rPr>
          <w:rFonts w:hint="eastAsia" w:ascii="Times New Roman" w:hAnsi="Times New Roman" w:eastAsia="仿宋_GB2312" w:cs="Times New Roman"/>
          <w:color w:val="000000" w:themeColor="text1"/>
          <w:sz w:val="32"/>
          <w:szCs w:val="32"/>
          <w:highlight w:val="none"/>
          <w:lang w:val="zh-CN" w:eastAsia="zh-CN"/>
          <w14:textFill>
            <w14:solidFill>
              <w14:schemeClr w14:val="tx1"/>
            </w14:solidFill>
          </w14:textFill>
        </w:rPr>
        <w:t>+（1-政府采购预算偏离度）×100%×</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3=12分。</w:t>
      </w:r>
    </w:p>
    <w:p w14:paraId="3EDF8088">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仿宋_GB2312" w:hAnsi="仿宋_GB2312" w:eastAsia="仿宋_GB2312" w:cs="仿宋_GB2312"/>
          <w:sz w:val="32"/>
          <w:szCs w:val="32"/>
          <w:highlight w:val="none"/>
          <w:lang w:val="zh-CN" w:eastAsia="zh-CN"/>
        </w:rPr>
      </w:pPr>
      <w:r>
        <w:rPr>
          <w:rFonts w:hint="eastAsia" w:ascii="仿宋_GB2312" w:hAnsi="仿宋_GB2312" w:eastAsia="仿宋_GB2312" w:cs="仿宋_GB2312"/>
          <w:sz w:val="32"/>
          <w:szCs w:val="32"/>
          <w:highlight w:val="none"/>
          <w:lang w:val="zh-CN" w:eastAsia="zh-CN"/>
        </w:rPr>
        <w:t>（</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val="zh-CN" w:eastAsia="zh-CN"/>
        </w:rPr>
        <w:t>单位收入统筹。</w:t>
      </w:r>
    </w:p>
    <w:p w14:paraId="6AE08C17">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本部门2025年无</w:t>
      </w:r>
      <w:r>
        <w:rPr>
          <w:rFonts w:hint="eastAsia" w:ascii="Times New Roman" w:hAnsi="Times New Roman" w:eastAsia="仿宋_GB2312" w:cs="Times New Roman"/>
          <w:sz w:val="32"/>
          <w:szCs w:val="32"/>
          <w:highlight w:val="none"/>
          <w:lang w:val="zh-CN" w:eastAsia="zh-CN"/>
        </w:rPr>
        <w:t>自有收入，</w:t>
      </w:r>
      <w:r>
        <w:rPr>
          <w:rFonts w:hint="eastAsia" w:ascii="Times New Roman" w:hAnsi="Times New Roman" w:eastAsia="仿宋_GB2312" w:cs="Times New Roman"/>
          <w:sz w:val="32"/>
          <w:szCs w:val="32"/>
          <w:highlight w:val="none"/>
          <w:lang w:val="en-US" w:eastAsia="zh-CN"/>
        </w:rPr>
        <w:t>按以往年度年财政重点评价方法，此项分值4分，全部调至预算编制质量分值中。</w:t>
      </w:r>
    </w:p>
    <w:p w14:paraId="1A84DDC3">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仿宋_GB2312" w:hAnsi="仿宋_GB2312" w:eastAsia="仿宋_GB2312" w:cs="仿宋_GB2312"/>
          <w:sz w:val="32"/>
          <w:szCs w:val="32"/>
          <w:highlight w:val="none"/>
          <w:lang w:val="zh-CN" w:eastAsia="zh-CN"/>
        </w:rPr>
      </w:pPr>
      <w:r>
        <w:rPr>
          <w:rFonts w:hint="eastAsia" w:ascii="仿宋_GB2312" w:hAnsi="仿宋_GB2312" w:eastAsia="仿宋_GB2312" w:cs="仿宋_GB2312"/>
          <w:sz w:val="32"/>
          <w:szCs w:val="32"/>
          <w:highlight w:val="none"/>
          <w:lang w:val="zh-CN" w:eastAsia="zh-CN"/>
        </w:rPr>
        <w:t>（</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val="zh-CN" w:eastAsia="zh-CN"/>
        </w:rPr>
        <w:t>支出执行进度。</w:t>
      </w:r>
    </w:p>
    <w:p w14:paraId="30EFB154">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本部门2025年</w:t>
      </w:r>
      <w:r>
        <w:rPr>
          <w:rFonts w:hint="eastAsia" w:ascii="Times New Roman" w:hAnsi="Times New Roman" w:eastAsia="仿宋_GB2312" w:cs="Times New Roman"/>
          <w:sz w:val="32"/>
          <w:szCs w:val="32"/>
          <w:highlight w:val="none"/>
          <w:lang w:val="zh-CN" w:eastAsia="zh-CN"/>
        </w:rPr>
        <w:t>部门</w:t>
      </w:r>
      <w:r>
        <w:rPr>
          <w:rFonts w:hint="eastAsia" w:ascii="Times New Roman" w:hAnsi="Times New Roman" w:eastAsia="仿宋_GB2312" w:cs="Times New Roman"/>
          <w:sz w:val="32"/>
          <w:szCs w:val="32"/>
          <w:highlight w:val="none"/>
          <w:lang w:val="en-US" w:eastAsia="zh-CN"/>
        </w:rPr>
        <w:t>全年执行</w:t>
      </w:r>
      <w:r>
        <w:rPr>
          <w:rFonts w:hint="eastAsia" w:ascii="Times New Roman" w:hAnsi="Times New Roman" w:eastAsia="仿宋_GB2312" w:cs="Times New Roman"/>
          <w:sz w:val="32"/>
          <w:szCs w:val="32"/>
          <w:highlight w:val="none"/>
          <w:lang w:val="zh-CN" w:eastAsia="zh-CN"/>
        </w:rPr>
        <w:t>数</w:t>
      </w:r>
      <w:r>
        <w:rPr>
          <w:rFonts w:hint="eastAsia" w:ascii="Times New Roman" w:hAnsi="Times New Roman" w:eastAsia="仿宋_GB2312" w:cs="Times New Roman"/>
          <w:sz w:val="32"/>
          <w:szCs w:val="32"/>
          <w:highlight w:val="none"/>
          <w:lang w:val="en-US" w:eastAsia="zh-CN"/>
        </w:rPr>
        <w:t>4738.25万元。</w:t>
      </w:r>
    </w:p>
    <w:p w14:paraId="26A9990C">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b/>
          <w:bCs/>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2025年</w:t>
      </w:r>
      <w:r>
        <w:rPr>
          <w:rFonts w:hint="eastAsia" w:ascii="Times New Roman" w:hAnsi="Times New Roman" w:eastAsia="仿宋_GB2312" w:cs="Times New Roman"/>
          <w:sz w:val="32"/>
          <w:szCs w:val="32"/>
          <w:highlight w:val="none"/>
          <w:lang w:val="zh-CN" w:eastAsia="zh-CN"/>
        </w:rPr>
        <w:t>1至6月预算执行数</w:t>
      </w:r>
      <w:r>
        <w:rPr>
          <w:rFonts w:hint="eastAsia" w:ascii="Times New Roman" w:hAnsi="Times New Roman" w:eastAsia="仿宋_GB2312" w:cs="Times New Roman"/>
          <w:sz w:val="32"/>
          <w:szCs w:val="32"/>
          <w:highlight w:val="none"/>
          <w:lang w:val="en-US" w:eastAsia="zh-CN"/>
        </w:rPr>
        <w:t>2622.51万元，2025年</w:t>
      </w:r>
      <w:r>
        <w:rPr>
          <w:rFonts w:hint="eastAsia" w:ascii="Times New Roman" w:hAnsi="Times New Roman" w:eastAsia="仿宋_GB2312" w:cs="Times New Roman"/>
          <w:sz w:val="32"/>
          <w:szCs w:val="32"/>
          <w:highlight w:val="none"/>
          <w:lang w:val="zh-CN" w:eastAsia="zh-CN"/>
        </w:rPr>
        <w:t>1至</w:t>
      </w:r>
      <w:r>
        <w:rPr>
          <w:rFonts w:hint="eastAsia" w:ascii="Times New Roman" w:hAnsi="Times New Roman" w:eastAsia="仿宋_GB2312" w:cs="Times New Roman"/>
          <w:sz w:val="32"/>
          <w:szCs w:val="32"/>
          <w:highlight w:val="none"/>
          <w:lang w:val="en-US" w:eastAsia="zh-CN"/>
        </w:rPr>
        <w:t>6</w:t>
      </w:r>
      <w:r>
        <w:rPr>
          <w:rFonts w:hint="eastAsia" w:ascii="Times New Roman" w:hAnsi="Times New Roman" w:eastAsia="仿宋_GB2312" w:cs="Times New Roman"/>
          <w:sz w:val="32"/>
          <w:szCs w:val="32"/>
          <w:highlight w:val="none"/>
          <w:lang w:val="zh-CN" w:eastAsia="zh-CN"/>
        </w:rPr>
        <w:t>月支出预警金额</w:t>
      </w:r>
      <w:r>
        <w:rPr>
          <w:rFonts w:hint="eastAsia" w:ascii="Times New Roman" w:hAnsi="Times New Roman" w:eastAsia="仿宋_GB2312" w:cs="Times New Roman"/>
          <w:sz w:val="32"/>
          <w:szCs w:val="32"/>
          <w:highlight w:val="none"/>
          <w:lang w:val="en-US" w:eastAsia="zh-CN"/>
        </w:rPr>
        <w:t>1330.02万元（支出预警金额为消费券资金，系统预警规则为单笔支出大于100万元则预警，预警支出已上传相关附件资料，且已通过支付中心审核），2025年</w:t>
      </w:r>
      <w:r>
        <w:rPr>
          <w:rFonts w:hint="eastAsia" w:ascii="Times New Roman" w:hAnsi="Times New Roman" w:eastAsia="仿宋_GB2312" w:cs="Times New Roman"/>
          <w:sz w:val="32"/>
          <w:szCs w:val="32"/>
          <w:highlight w:val="none"/>
          <w:lang w:val="zh-CN" w:eastAsia="zh-CN"/>
        </w:rPr>
        <w:t>1至</w:t>
      </w:r>
      <w:r>
        <w:rPr>
          <w:rFonts w:hint="eastAsia" w:ascii="Times New Roman" w:hAnsi="Times New Roman" w:eastAsia="仿宋_GB2312" w:cs="Times New Roman"/>
          <w:sz w:val="32"/>
          <w:szCs w:val="32"/>
          <w:highlight w:val="none"/>
          <w:lang w:val="en-US" w:eastAsia="zh-CN"/>
        </w:rPr>
        <w:t>6</w:t>
      </w:r>
      <w:r>
        <w:rPr>
          <w:rFonts w:hint="eastAsia" w:ascii="Times New Roman" w:hAnsi="Times New Roman" w:eastAsia="仿宋_GB2312" w:cs="Times New Roman"/>
          <w:sz w:val="32"/>
          <w:szCs w:val="32"/>
          <w:highlight w:val="none"/>
          <w:lang w:val="zh-CN" w:eastAsia="zh-CN"/>
        </w:rPr>
        <w:t>月支出总金额</w:t>
      </w:r>
      <w:r>
        <w:rPr>
          <w:rFonts w:hint="eastAsia" w:ascii="Times New Roman" w:hAnsi="Times New Roman" w:eastAsia="仿宋_GB2312" w:cs="Times New Roman"/>
          <w:sz w:val="32"/>
          <w:szCs w:val="32"/>
          <w:highlight w:val="none"/>
          <w:lang w:val="en-US" w:eastAsia="zh-CN"/>
        </w:rPr>
        <w:t>2622.51万元，</w:t>
      </w:r>
      <w:r>
        <w:rPr>
          <w:rFonts w:hint="eastAsia" w:ascii="Times New Roman" w:hAnsi="Times New Roman" w:eastAsia="仿宋_GB2312" w:cs="Times New Roman"/>
          <w:b/>
          <w:bCs/>
          <w:sz w:val="32"/>
          <w:szCs w:val="32"/>
          <w:highlight w:val="none"/>
          <w:lang w:val="en-US" w:eastAsia="zh-CN"/>
        </w:rPr>
        <w:t>2025年</w:t>
      </w:r>
      <w:r>
        <w:rPr>
          <w:rFonts w:hint="eastAsia" w:ascii="Times New Roman" w:hAnsi="Times New Roman" w:eastAsia="仿宋_GB2312" w:cs="Times New Roman"/>
          <w:b/>
          <w:bCs/>
          <w:sz w:val="32"/>
          <w:szCs w:val="32"/>
          <w:highlight w:val="none"/>
          <w:lang w:val="zh-CN" w:eastAsia="zh-CN"/>
        </w:rPr>
        <w:t>1至6月支出预警金额占比</w:t>
      </w:r>
      <w:r>
        <w:rPr>
          <w:rFonts w:hint="eastAsia" w:ascii="Times New Roman" w:hAnsi="Times New Roman" w:eastAsia="仿宋_GB2312" w:cs="Times New Roman"/>
          <w:b/>
          <w:bCs/>
          <w:sz w:val="32"/>
          <w:szCs w:val="32"/>
          <w:highlight w:val="none"/>
          <w:lang w:val="en-US" w:eastAsia="zh-CN"/>
        </w:rPr>
        <w:t>50.71%。</w:t>
      </w:r>
      <w:r>
        <w:rPr>
          <w:rFonts w:hint="eastAsia" w:ascii="Times New Roman" w:hAnsi="Times New Roman" w:eastAsia="仿宋_GB2312" w:cs="Times New Roman"/>
          <w:sz w:val="32"/>
          <w:szCs w:val="32"/>
          <w:highlight w:val="none"/>
          <w:lang w:val="en-US" w:eastAsia="zh-CN"/>
        </w:rPr>
        <w:t>2025年</w:t>
      </w:r>
      <w:r>
        <w:rPr>
          <w:rFonts w:hint="eastAsia" w:ascii="Times New Roman" w:hAnsi="Times New Roman" w:eastAsia="仿宋_GB2312" w:cs="Times New Roman"/>
          <w:sz w:val="32"/>
          <w:szCs w:val="32"/>
          <w:highlight w:val="none"/>
          <w:lang w:val="zh-CN" w:eastAsia="zh-CN"/>
        </w:rPr>
        <w:t>1至6月支出违规金额</w:t>
      </w:r>
      <w:r>
        <w:rPr>
          <w:rFonts w:hint="eastAsia" w:ascii="Times New Roman" w:hAnsi="Times New Roman" w:eastAsia="仿宋_GB2312" w:cs="Times New Roman"/>
          <w:sz w:val="32"/>
          <w:szCs w:val="32"/>
          <w:highlight w:val="none"/>
          <w:lang w:val="en-US" w:eastAsia="zh-CN"/>
        </w:rPr>
        <w:t>0万元，</w:t>
      </w:r>
      <w:r>
        <w:rPr>
          <w:rFonts w:hint="eastAsia" w:ascii="Times New Roman" w:hAnsi="Times New Roman" w:eastAsia="仿宋_GB2312" w:cs="Times New Roman"/>
          <w:b/>
          <w:bCs/>
          <w:sz w:val="32"/>
          <w:szCs w:val="32"/>
          <w:highlight w:val="none"/>
          <w:lang w:val="en-US" w:eastAsia="zh-CN"/>
        </w:rPr>
        <w:t>2025年</w:t>
      </w:r>
      <w:r>
        <w:rPr>
          <w:rFonts w:hint="eastAsia" w:ascii="Times New Roman" w:hAnsi="Times New Roman" w:eastAsia="仿宋_GB2312" w:cs="Times New Roman"/>
          <w:b/>
          <w:bCs/>
          <w:sz w:val="32"/>
          <w:szCs w:val="32"/>
          <w:highlight w:val="none"/>
          <w:lang w:val="zh-CN" w:eastAsia="zh-CN"/>
        </w:rPr>
        <w:t>1至6月支出违规金额占比</w:t>
      </w:r>
      <w:r>
        <w:rPr>
          <w:rFonts w:hint="eastAsia" w:ascii="Times New Roman" w:hAnsi="Times New Roman" w:eastAsia="仿宋_GB2312" w:cs="Times New Roman"/>
          <w:b/>
          <w:bCs/>
          <w:sz w:val="32"/>
          <w:szCs w:val="32"/>
          <w:highlight w:val="none"/>
          <w:lang w:val="en-US" w:eastAsia="zh-CN"/>
        </w:rPr>
        <w:t>为0。</w:t>
      </w:r>
    </w:p>
    <w:p w14:paraId="5FD43F86">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b w:val="0"/>
          <w:bCs w:val="0"/>
          <w:sz w:val="32"/>
          <w:szCs w:val="32"/>
          <w:highlight w:val="none"/>
          <w:lang w:val="en-US" w:eastAsia="zh-CN"/>
        </w:rPr>
        <w:t>2025年</w:t>
      </w:r>
      <w:r>
        <w:rPr>
          <w:rFonts w:hint="eastAsia" w:ascii="Times New Roman" w:hAnsi="Times New Roman" w:eastAsia="仿宋_GB2312" w:cs="Times New Roman"/>
          <w:b w:val="0"/>
          <w:bCs w:val="0"/>
          <w:sz w:val="32"/>
          <w:szCs w:val="32"/>
          <w:highlight w:val="none"/>
          <w:lang w:val="zh-CN" w:eastAsia="zh-CN"/>
        </w:rPr>
        <w:t>1至</w:t>
      </w:r>
      <w:r>
        <w:rPr>
          <w:rFonts w:hint="eastAsia" w:ascii="Times New Roman" w:hAnsi="Times New Roman" w:eastAsia="仿宋_GB2312" w:cs="Times New Roman"/>
          <w:b w:val="0"/>
          <w:bCs w:val="0"/>
          <w:sz w:val="32"/>
          <w:szCs w:val="32"/>
          <w:highlight w:val="none"/>
          <w:lang w:val="en-US" w:eastAsia="zh-CN"/>
        </w:rPr>
        <w:t>10</w:t>
      </w:r>
      <w:r>
        <w:rPr>
          <w:rFonts w:hint="eastAsia" w:ascii="Times New Roman" w:hAnsi="Times New Roman" w:eastAsia="仿宋_GB2312" w:cs="Times New Roman"/>
          <w:b w:val="0"/>
          <w:bCs w:val="0"/>
          <w:sz w:val="32"/>
          <w:szCs w:val="32"/>
          <w:highlight w:val="none"/>
          <w:lang w:val="zh-CN" w:eastAsia="zh-CN"/>
        </w:rPr>
        <w:t>月</w:t>
      </w:r>
      <w:r>
        <w:rPr>
          <w:rFonts w:hint="eastAsia" w:ascii="Times New Roman" w:hAnsi="Times New Roman" w:eastAsia="仿宋_GB2312" w:cs="Times New Roman"/>
          <w:sz w:val="32"/>
          <w:szCs w:val="32"/>
          <w:highlight w:val="none"/>
          <w:lang w:val="zh-CN" w:eastAsia="zh-CN"/>
        </w:rPr>
        <w:t>预算执行数</w:t>
      </w:r>
      <w:r>
        <w:rPr>
          <w:rFonts w:hint="eastAsia" w:ascii="Times New Roman" w:hAnsi="Times New Roman" w:eastAsia="仿宋_GB2312" w:cs="Times New Roman"/>
          <w:sz w:val="32"/>
          <w:szCs w:val="32"/>
          <w:highlight w:val="none"/>
          <w:lang w:val="en-US" w:eastAsia="zh-CN"/>
        </w:rPr>
        <w:t>3370.2万元</w:t>
      </w:r>
      <w:r>
        <w:rPr>
          <w:rFonts w:hint="eastAsia" w:ascii="Times New Roman" w:hAnsi="Times New Roman" w:eastAsia="仿宋_GB2312" w:cs="Times New Roman"/>
          <w:sz w:val="32"/>
          <w:szCs w:val="32"/>
          <w:highlight w:val="none"/>
          <w:lang w:val="zh-CN" w:eastAsia="zh-CN"/>
        </w:rPr>
        <w:t>，</w:t>
      </w:r>
      <w:r>
        <w:rPr>
          <w:rFonts w:hint="eastAsia" w:ascii="Times New Roman" w:hAnsi="Times New Roman" w:eastAsia="仿宋_GB2312" w:cs="Times New Roman"/>
          <w:sz w:val="32"/>
          <w:szCs w:val="32"/>
          <w:highlight w:val="none"/>
          <w:lang w:val="en-US" w:eastAsia="zh-CN"/>
        </w:rPr>
        <w:t>2025年</w:t>
      </w:r>
      <w:r>
        <w:rPr>
          <w:rFonts w:hint="eastAsia" w:ascii="Times New Roman" w:hAnsi="Times New Roman" w:eastAsia="仿宋_GB2312" w:cs="Times New Roman"/>
          <w:sz w:val="32"/>
          <w:szCs w:val="32"/>
          <w:highlight w:val="none"/>
          <w:lang w:val="zh-CN" w:eastAsia="zh-CN"/>
        </w:rPr>
        <w:t>1至</w:t>
      </w:r>
      <w:r>
        <w:rPr>
          <w:rFonts w:hint="eastAsia" w:ascii="Times New Roman" w:hAnsi="Times New Roman" w:eastAsia="仿宋_GB2312" w:cs="Times New Roman"/>
          <w:sz w:val="32"/>
          <w:szCs w:val="32"/>
          <w:highlight w:val="none"/>
          <w:lang w:val="en-US" w:eastAsia="zh-CN"/>
        </w:rPr>
        <w:t>10</w:t>
      </w:r>
      <w:r>
        <w:rPr>
          <w:rFonts w:hint="eastAsia" w:ascii="Times New Roman" w:hAnsi="Times New Roman" w:eastAsia="仿宋_GB2312" w:cs="Times New Roman"/>
          <w:sz w:val="32"/>
          <w:szCs w:val="32"/>
          <w:highlight w:val="none"/>
          <w:lang w:val="zh-CN" w:eastAsia="zh-CN"/>
        </w:rPr>
        <w:t>月支出预警金额</w:t>
      </w:r>
      <w:r>
        <w:rPr>
          <w:rFonts w:hint="eastAsia" w:ascii="Times New Roman" w:hAnsi="Times New Roman" w:eastAsia="仿宋_GB2312" w:cs="Times New Roman"/>
          <w:sz w:val="32"/>
          <w:szCs w:val="32"/>
          <w:highlight w:val="none"/>
          <w:lang w:val="en-US" w:eastAsia="zh-CN"/>
        </w:rPr>
        <w:t>1780.02万元（支出预警金额为消费券资金，系统预警规则为单笔支出大于100万元则预警，预警支出已上传相关附件资料，且已通过支付中心审核），2025年</w:t>
      </w:r>
      <w:r>
        <w:rPr>
          <w:rFonts w:hint="eastAsia" w:ascii="Times New Roman" w:hAnsi="Times New Roman" w:eastAsia="仿宋_GB2312" w:cs="Times New Roman"/>
          <w:sz w:val="32"/>
          <w:szCs w:val="32"/>
          <w:highlight w:val="none"/>
          <w:lang w:val="zh-CN" w:eastAsia="zh-CN"/>
        </w:rPr>
        <w:t>1至</w:t>
      </w:r>
      <w:r>
        <w:rPr>
          <w:rFonts w:hint="eastAsia" w:ascii="Times New Roman" w:hAnsi="Times New Roman" w:eastAsia="仿宋_GB2312" w:cs="Times New Roman"/>
          <w:sz w:val="32"/>
          <w:szCs w:val="32"/>
          <w:highlight w:val="none"/>
          <w:lang w:val="en-US" w:eastAsia="zh-CN"/>
        </w:rPr>
        <w:t>10</w:t>
      </w:r>
      <w:r>
        <w:rPr>
          <w:rFonts w:hint="eastAsia" w:ascii="Times New Roman" w:hAnsi="Times New Roman" w:eastAsia="仿宋_GB2312" w:cs="Times New Roman"/>
          <w:sz w:val="32"/>
          <w:szCs w:val="32"/>
          <w:highlight w:val="none"/>
          <w:lang w:val="zh-CN" w:eastAsia="zh-CN"/>
        </w:rPr>
        <w:t>月支出总金额</w:t>
      </w:r>
      <w:r>
        <w:rPr>
          <w:rFonts w:hint="eastAsia" w:ascii="Times New Roman" w:hAnsi="Times New Roman" w:eastAsia="仿宋_GB2312" w:cs="Times New Roman"/>
          <w:sz w:val="32"/>
          <w:szCs w:val="32"/>
          <w:highlight w:val="none"/>
          <w:lang w:val="en-US" w:eastAsia="zh-CN"/>
        </w:rPr>
        <w:t>3370.2万元，</w:t>
      </w:r>
      <w:r>
        <w:rPr>
          <w:rFonts w:hint="eastAsia" w:ascii="Times New Roman" w:hAnsi="Times New Roman" w:eastAsia="仿宋_GB2312" w:cs="Times New Roman"/>
          <w:b/>
          <w:bCs/>
          <w:sz w:val="32"/>
          <w:szCs w:val="32"/>
          <w:highlight w:val="none"/>
          <w:lang w:val="en-US" w:eastAsia="zh-CN"/>
        </w:rPr>
        <w:t>2025年</w:t>
      </w:r>
      <w:r>
        <w:rPr>
          <w:rFonts w:hint="eastAsia" w:ascii="Times New Roman" w:hAnsi="Times New Roman" w:eastAsia="仿宋_GB2312" w:cs="Times New Roman"/>
          <w:b/>
          <w:bCs/>
          <w:sz w:val="32"/>
          <w:szCs w:val="32"/>
          <w:highlight w:val="none"/>
          <w:lang w:val="zh-CN" w:eastAsia="zh-CN"/>
        </w:rPr>
        <w:t>1至</w:t>
      </w:r>
      <w:r>
        <w:rPr>
          <w:rFonts w:hint="eastAsia" w:ascii="Times New Roman" w:hAnsi="Times New Roman" w:eastAsia="仿宋_GB2312" w:cs="Times New Roman"/>
          <w:b/>
          <w:bCs/>
          <w:sz w:val="32"/>
          <w:szCs w:val="32"/>
          <w:highlight w:val="none"/>
          <w:lang w:val="en-US" w:eastAsia="zh-CN"/>
        </w:rPr>
        <w:t>10</w:t>
      </w:r>
      <w:r>
        <w:rPr>
          <w:rFonts w:hint="eastAsia" w:ascii="Times New Roman" w:hAnsi="Times New Roman" w:eastAsia="仿宋_GB2312" w:cs="Times New Roman"/>
          <w:b/>
          <w:bCs/>
          <w:sz w:val="32"/>
          <w:szCs w:val="32"/>
          <w:highlight w:val="none"/>
          <w:lang w:val="zh-CN" w:eastAsia="zh-CN"/>
        </w:rPr>
        <w:t>月支出预警金额占比</w:t>
      </w:r>
      <w:r>
        <w:rPr>
          <w:rFonts w:hint="eastAsia" w:ascii="Times New Roman" w:hAnsi="Times New Roman" w:eastAsia="仿宋_GB2312" w:cs="Times New Roman"/>
          <w:b/>
          <w:bCs/>
          <w:sz w:val="32"/>
          <w:szCs w:val="32"/>
          <w:highlight w:val="none"/>
          <w:lang w:val="en-US" w:eastAsia="zh-CN"/>
        </w:rPr>
        <w:t>52.82%。</w:t>
      </w:r>
      <w:r>
        <w:rPr>
          <w:rFonts w:hint="eastAsia" w:ascii="Times New Roman" w:hAnsi="Times New Roman" w:eastAsia="仿宋_GB2312" w:cs="Times New Roman"/>
          <w:sz w:val="32"/>
          <w:szCs w:val="32"/>
          <w:highlight w:val="none"/>
          <w:lang w:val="en-US" w:eastAsia="zh-CN"/>
        </w:rPr>
        <w:t>2025年</w:t>
      </w:r>
      <w:r>
        <w:rPr>
          <w:rFonts w:hint="eastAsia" w:ascii="Times New Roman" w:hAnsi="Times New Roman" w:eastAsia="仿宋_GB2312" w:cs="Times New Roman"/>
          <w:sz w:val="32"/>
          <w:szCs w:val="32"/>
          <w:highlight w:val="none"/>
          <w:lang w:val="zh-CN" w:eastAsia="zh-CN"/>
        </w:rPr>
        <w:t>1至</w:t>
      </w:r>
      <w:r>
        <w:rPr>
          <w:rFonts w:hint="eastAsia" w:ascii="Times New Roman" w:hAnsi="Times New Roman" w:eastAsia="仿宋_GB2312" w:cs="Times New Roman"/>
          <w:sz w:val="32"/>
          <w:szCs w:val="32"/>
          <w:highlight w:val="none"/>
          <w:lang w:val="en-US" w:eastAsia="zh-CN"/>
        </w:rPr>
        <w:t>10</w:t>
      </w:r>
      <w:r>
        <w:rPr>
          <w:rFonts w:hint="eastAsia" w:ascii="Times New Roman" w:hAnsi="Times New Roman" w:eastAsia="仿宋_GB2312" w:cs="Times New Roman"/>
          <w:sz w:val="32"/>
          <w:szCs w:val="32"/>
          <w:highlight w:val="none"/>
          <w:lang w:val="zh-CN" w:eastAsia="zh-CN"/>
        </w:rPr>
        <w:t>月支出违规金额</w:t>
      </w:r>
      <w:r>
        <w:rPr>
          <w:rFonts w:hint="eastAsia" w:ascii="Times New Roman" w:hAnsi="Times New Roman" w:eastAsia="仿宋_GB2312" w:cs="Times New Roman"/>
          <w:sz w:val="32"/>
          <w:szCs w:val="32"/>
          <w:highlight w:val="none"/>
          <w:lang w:val="en-US" w:eastAsia="zh-CN"/>
        </w:rPr>
        <w:t>0万元，</w:t>
      </w:r>
      <w:r>
        <w:rPr>
          <w:rFonts w:hint="eastAsia" w:ascii="Times New Roman" w:hAnsi="Times New Roman" w:eastAsia="仿宋_GB2312" w:cs="Times New Roman"/>
          <w:b/>
          <w:bCs/>
          <w:sz w:val="32"/>
          <w:szCs w:val="32"/>
          <w:highlight w:val="none"/>
          <w:lang w:val="en-US" w:eastAsia="zh-CN"/>
        </w:rPr>
        <w:t>2025年</w:t>
      </w:r>
      <w:r>
        <w:rPr>
          <w:rFonts w:hint="eastAsia" w:ascii="Times New Roman" w:hAnsi="Times New Roman" w:eastAsia="仿宋_GB2312" w:cs="Times New Roman"/>
          <w:b/>
          <w:bCs/>
          <w:sz w:val="32"/>
          <w:szCs w:val="32"/>
          <w:highlight w:val="none"/>
          <w:lang w:val="zh-CN" w:eastAsia="zh-CN"/>
        </w:rPr>
        <w:t>1至</w:t>
      </w:r>
      <w:r>
        <w:rPr>
          <w:rFonts w:hint="eastAsia" w:ascii="Times New Roman" w:hAnsi="Times New Roman" w:eastAsia="仿宋_GB2312" w:cs="Times New Roman"/>
          <w:b/>
          <w:bCs/>
          <w:sz w:val="32"/>
          <w:szCs w:val="32"/>
          <w:highlight w:val="none"/>
          <w:lang w:val="en-US" w:eastAsia="zh-CN"/>
        </w:rPr>
        <w:t>10</w:t>
      </w:r>
      <w:r>
        <w:rPr>
          <w:rFonts w:hint="eastAsia" w:ascii="Times New Roman" w:hAnsi="Times New Roman" w:eastAsia="仿宋_GB2312" w:cs="Times New Roman"/>
          <w:b/>
          <w:bCs/>
          <w:sz w:val="32"/>
          <w:szCs w:val="32"/>
          <w:highlight w:val="none"/>
          <w:lang w:val="zh-CN" w:eastAsia="zh-CN"/>
        </w:rPr>
        <w:t>月支出违规金额占比</w:t>
      </w:r>
      <w:r>
        <w:rPr>
          <w:rFonts w:hint="eastAsia" w:ascii="Times New Roman" w:hAnsi="Times New Roman" w:eastAsia="仿宋_GB2312" w:cs="Times New Roman"/>
          <w:b/>
          <w:bCs/>
          <w:sz w:val="32"/>
          <w:szCs w:val="32"/>
          <w:highlight w:val="none"/>
          <w:lang w:val="en-US" w:eastAsia="zh-CN"/>
        </w:rPr>
        <w:t>为0。</w:t>
      </w:r>
    </w:p>
    <w:p w14:paraId="431523FB">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zh-CN" w:eastAsia="zh-CN"/>
        </w:rPr>
        <w:t>该项指标得分=（1至6月预算执行数÷（部门预算数×50%）×2）+（1-1至6月支出预警金额占比×0.8-1至6月支出违规金额占比×0.2）+（1至10月预算执行数÷（部门预算数×83.33%）×2）+（1-1至10月支出预警金额占比×0.8-1至10月支出违规金额占比×0.2）</w:t>
      </w:r>
      <w:r>
        <w:rPr>
          <w:rFonts w:hint="eastAsia" w:ascii="Times New Roman" w:hAnsi="Times New Roman" w:eastAsia="仿宋_GB2312" w:cs="Times New Roman"/>
          <w:sz w:val="32"/>
          <w:szCs w:val="32"/>
          <w:highlight w:val="none"/>
          <w:lang w:val="en-US" w:eastAsia="zh-CN"/>
        </w:rPr>
        <w:t>=5.12分。</w:t>
      </w:r>
    </w:p>
    <w:p w14:paraId="2D44E1B0">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zh-CN" w:eastAsia="zh-CN"/>
        </w:rPr>
        <w:t>（</w:t>
      </w:r>
      <w:r>
        <w:rPr>
          <w:rFonts w:hint="eastAsia" w:ascii="Times New Roman" w:hAnsi="Times New Roman" w:eastAsia="仿宋_GB2312" w:cs="Times New Roman"/>
          <w:sz w:val="32"/>
          <w:szCs w:val="32"/>
          <w:highlight w:val="none"/>
          <w:lang w:val="en-US" w:eastAsia="zh-CN"/>
        </w:rPr>
        <w:t>4）</w:t>
      </w:r>
      <w:r>
        <w:rPr>
          <w:rFonts w:hint="eastAsia" w:ascii="Times New Roman" w:hAnsi="Times New Roman" w:eastAsia="仿宋_GB2312" w:cs="Times New Roman"/>
          <w:sz w:val="32"/>
          <w:szCs w:val="32"/>
          <w:highlight w:val="none"/>
          <w:lang w:val="zh-CN" w:eastAsia="zh-CN"/>
        </w:rPr>
        <w:t>预算年终结余。</w:t>
      </w:r>
    </w:p>
    <w:p w14:paraId="26AF14C1">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本部门2025年</w:t>
      </w:r>
      <w:r>
        <w:rPr>
          <w:rFonts w:hint="eastAsia" w:ascii="Times New Roman" w:hAnsi="Times New Roman" w:eastAsia="仿宋_GB2312" w:cs="Times New Roman"/>
          <w:sz w:val="32"/>
          <w:szCs w:val="32"/>
          <w:highlight w:val="none"/>
          <w:lang w:val="zh-CN" w:eastAsia="zh-CN"/>
        </w:rPr>
        <w:t>终部门预算注销金额合计</w:t>
      </w:r>
      <w:r>
        <w:rPr>
          <w:rFonts w:hint="eastAsia" w:ascii="Times New Roman" w:hAnsi="Times New Roman" w:eastAsia="仿宋_GB2312" w:cs="Times New Roman"/>
          <w:sz w:val="32"/>
          <w:szCs w:val="32"/>
          <w:highlight w:val="none"/>
          <w:lang w:val="en-US" w:eastAsia="zh-CN"/>
        </w:rPr>
        <w:t>0.00万元、</w:t>
      </w:r>
      <w:r>
        <w:rPr>
          <w:rFonts w:hint="eastAsia" w:ascii="Times New Roman" w:hAnsi="Times New Roman" w:eastAsia="仿宋_GB2312" w:cs="Times New Roman"/>
          <w:sz w:val="32"/>
          <w:szCs w:val="32"/>
          <w:highlight w:val="none"/>
          <w:lang w:val="zh-CN" w:eastAsia="zh-CN"/>
        </w:rPr>
        <w:t>年终部门预算</w:t>
      </w:r>
      <w:r>
        <w:rPr>
          <w:rFonts w:hint="eastAsia" w:ascii="Times New Roman" w:hAnsi="Times New Roman" w:eastAsia="仿宋_GB2312" w:cs="Times New Roman"/>
          <w:sz w:val="32"/>
          <w:szCs w:val="32"/>
          <w:highlight w:val="none"/>
          <w:lang w:val="en-US" w:eastAsia="zh-CN"/>
        </w:rPr>
        <w:t>结余</w:t>
      </w:r>
      <w:r>
        <w:rPr>
          <w:rFonts w:hint="eastAsia" w:ascii="Times New Roman" w:hAnsi="Times New Roman" w:eastAsia="仿宋_GB2312" w:cs="Times New Roman"/>
          <w:sz w:val="32"/>
          <w:szCs w:val="32"/>
          <w:highlight w:val="none"/>
          <w:lang w:val="zh-CN" w:eastAsia="zh-CN"/>
        </w:rPr>
        <w:t>结转金额合计</w:t>
      </w:r>
      <w:r>
        <w:rPr>
          <w:rFonts w:hint="eastAsia" w:ascii="Times New Roman" w:hAnsi="Times New Roman" w:eastAsia="仿宋_GB2312" w:cs="Times New Roman"/>
          <w:sz w:val="32"/>
          <w:szCs w:val="32"/>
          <w:highlight w:val="none"/>
          <w:lang w:val="en-US" w:eastAsia="zh-CN"/>
        </w:rPr>
        <w:t>0.00万元，</w:t>
      </w:r>
      <w:r>
        <w:rPr>
          <w:rFonts w:hint="eastAsia" w:ascii="Times New Roman" w:hAnsi="Times New Roman" w:eastAsia="仿宋_GB2312" w:cs="Times New Roman"/>
          <w:sz w:val="32"/>
          <w:szCs w:val="32"/>
          <w:highlight w:val="none"/>
          <w:lang w:val="zh-CN" w:eastAsia="zh-CN"/>
        </w:rPr>
        <w:t>调整后的年度部门预算数</w:t>
      </w:r>
      <w:r>
        <w:rPr>
          <w:rFonts w:hint="eastAsia" w:ascii="Times New Roman" w:hAnsi="Times New Roman" w:eastAsia="仿宋_GB2312" w:cs="Times New Roman"/>
          <w:sz w:val="32"/>
          <w:szCs w:val="32"/>
          <w:highlight w:val="none"/>
          <w:lang w:val="en-US" w:eastAsia="zh-CN"/>
        </w:rPr>
        <w:t>4738.25万元，</w:t>
      </w:r>
      <w:r>
        <w:rPr>
          <w:rFonts w:hint="eastAsia" w:ascii="Times New Roman" w:hAnsi="Times New Roman" w:eastAsia="仿宋_GB2312" w:cs="Times New Roman"/>
          <w:sz w:val="32"/>
          <w:szCs w:val="32"/>
          <w:highlight w:val="none"/>
          <w:lang w:val="zh-CN" w:eastAsia="zh-CN"/>
        </w:rPr>
        <w:t>部门整体预算结余率</w:t>
      </w:r>
      <w:r>
        <w:rPr>
          <w:rFonts w:hint="eastAsia" w:ascii="Times New Roman" w:hAnsi="Times New Roman" w:eastAsia="仿宋_GB2312" w:cs="Times New Roman"/>
          <w:sz w:val="32"/>
          <w:szCs w:val="32"/>
          <w:highlight w:val="none"/>
          <w:lang w:val="en-US" w:eastAsia="zh-CN"/>
        </w:rPr>
        <w:t>0%。</w:t>
      </w:r>
    </w:p>
    <w:p w14:paraId="0649FEB2">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lang w:val="zh-CN" w:eastAsia="zh-CN"/>
        </w:rPr>
      </w:pPr>
      <w:r>
        <w:rPr>
          <w:rFonts w:hint="eastAsia" w:ascii="Times New Roman" w:hAnsi="Times New Roman" w:eastAsia="仿宋_GB2312" w:cs="Times New Roman"/>
          <w:sz w:val="32"/>
          <w:szCs w:val="32"/>
          <w:highlight w:val="none"/>
          <w:lang w:val="zh-CN" w:eastAsia="zh-CN"/>
        </w:rPr>
        <w:t>该项指标得分=（1-部门整体预算结余率）×100%×2</w:t>
      </w:r>
      <w:r>
        <w:rPr>
          <w:rFonts w:hint="eastAsia" w:ascii="Times New Roman" w:hAnsi="Times New Roman" w:eastAsia="仿宋_GB2312" w:cs="Times New Roman"/>
          <w:sz w:val="32"/>
          <w:szCs w:val="32"/>
          <w:highlight w:val="none"/>
          <w:lang w:val="en-US" w:eastAsia="zh-CN"/>
        </w:rPr>
        <w:t>=2分</w:t>
      </w:r>
      <w:r>
        <w:rPr>
          <w:rFonts w:hint="eastAsia" w:ascii="Times New Roman" w:hAnsi="Times New Roman" w:eastAsia="仿宋_GB2312" w:cs="Times New Roman"/>
          <w:sz w:val="32"/>
          <w:szCs w:val="32"/>
          <w:highlight w:val="none"/>
          <w:lang w:val="zh-CN" w:eastAsia="zh-CN"/>
        </w:rPr>
        <w:t>。</w:t>
      </w:r>
    </w:p>
    <w:p w14:paraId="027D4BC5">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lang w:val="zh-CN" w:eastAsia="zh-CN"/>
        </w:rPr>
      </w:pPr>
      <w:r>
        <w:rPr>
          <w:rFonts w:hint="eastAsia" w:ascii="Times New Roman" w:hAnsi="Times New Roman" w:eastAsia="仿宋_GB2312" w:cs="Times New Roman"/>
          <w:sz w:val="32"/>
          <w:szCs w:val="32"/>
          <w:highlight w:val="none"/>
          <w:lang w:val="zh-CN" w:eastAsia="zh-CN"/>
        </w:rPr>
        <w:t>（</w:t>
      </w:r>
      <w:r>
        <w:rPr>
          <w:rFonts w:hint="eastAsia" w:ascii="Times New Roman" w:hAnsi="Times New Roman" w:eastAsia="仿宋_GB2312" w:cs="Times New Roman"/>
          <w:sz w:val="32"/>
          <w:szCs w:val="32"/>
          <w:highlight w:val="none"/>
          <w:lang w:val="en-US" w:eastAsia="zh-CN"/>
        </w:rPr>
        <w:t>5）</w:t>
      </w:r>
      <w:r>
        <w:rPr>
          <w:rFonts w:hint="eastAsia" w:ascii="Times New Roman" w:hAnsi="Times New Roman" w:eastAsia="仿宋_GB2312" w:cs="Times New Roman"/>
          <w:sz w:val="32"/>
          <w:szCs w:val="32"/>
          <w:highlight w:val="none"/>
          <w:lang w:val="zh-CN" w:eastAsia="zh-CN"/>
        </w:rPr>
        <w:t>严控一般性支出。</w:t>
      </w:r>
    </w:p>
    <w:p w14:paraId="1EDF3B17">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3" w:firstLineChars="200"/>
        <w:contextualSpacing/>
        <w:jc w:val="both"/>
        <w:textAlignment w:val="auto"/>
        <w:outlineLvl w:val="9"/>
        <w:rPr>
          <w:rFonts w:hint="eastAsia" w:ascii="Times New Roman" w:hAnsi="Times New Roman" w:eastAsia="仿宋_GB2312" w:cs="Times New Roman"/>
          <w:sz w:val="32"/>
          <w:szCs w:val="32"/>
          <w:highlight w:val="none"/>
          <w:lang w:val="zh-CN" w:eastAsia="zh-CN"/>
        </w:rPr>
      </w:pPr>
      <w:r>
        <w:rPr>
          <w:rFonts w:hint="eastAsia" w:ascii="Times New Roman" w:hAnsi="Times New Roman" w:eastAsia="仿宋_GB2312" w:cs="Times New Roman"/>
          <w:b/>
          <w:bCs/>
          <w:sz w:val="32"/>
          <w:szCs w:val="32"/>
          <w:highlight w:val="none"/>
          <w:lang w:val="zh-CN" w:eastAsia="zh-CN"/>
        </w:rPr>
        <w:t>基础分值：</w:t>
      </w:r>
      <w:r>
        <w:rPr>
          <w:rFonts w:hint="eastAsia" w:ascii="Times New Roman" w:hAnsi="Times New Roman" w:eastAsia="仿宋_GB2312" w:cs="Times New Roman"/>
          <w:sz w:val="32"/>
          <w:szCs w:val="32"/>
          <w:highlight w:val="none"/>
          <w:lang w:val="en-US" w:eastAsia="zh-CN"/>
        </w:rPr>
        <w:t>阿坝州商务局2025年</w:t>
      </w:r>
      <w:r>
        <w:rPr>
          <w:rFonts w:hint="eastAsia" w:ascii="Times New Roman" w:hAnsi="Times New Roman" w:eastAsia="仿宋_GB2312" w:cs="Times New Roman"/>
          <w:sz w:val="32"/>
          <w:szCs w:val="32"/>
          <w:highlight w:val="none"/>
          <w:lang w:val="zh-CN" w:eastAsia="zh-CN"/>
        </w:rPr>
        <w:t>一般性支出财政拨款年初预算较</w:t>
      </w:r>
      <w:r>
        <w:rPr>
          <w:rFonts w:hint="eastAsia" w:ascii="Times New Roman" w:hAnsi="Times New Roman" w:eastAsia="仿宋_GB2312" w:cs="Times New Roman"/>
          <w:sz w:val="32"/>
          <w:szCs w:val="32"/>
          <w:highlight w:val="none"/>
          <w:lang w:val="en-US" w:eastAsia="zh-CN"/>
        </w:rPr>
        <w:t>2024年实现压减，得1分</w:t>
      </w:r>
      <w:r>
        <w:rPr>
          <w:rFonts w:hint="eastAsia" w:ascii="Times New Roman" w:hAnsi="Times New Roman" w:eastAsia="仿宋_GB2312" w:cs="Times New Roman"/>
          <w:sz w:val="32"/>
          <w:szCs w:val="32"/>
          <w:highlight w:val="none"/>
          <w:lang w:val="zh-CN" w:eastAsia="zh-CN"/>
        </w:rPr>
        <w:t>；</w:t>
      </w:r>
      <w:r>
        <w:rPr>
          <w:rFonts w:hint="eastAsia" w:ascii="Times New Roman" w:hAnsi="Times New Roman" w:eastAsia="仿宋_GB2312" w:cs="Times New Roman"/>
          <w:sz w:val="32"/>
          <w:szCs w:val="32"/>
          <w:highlight w:val="none"/>
          <w:lang w:val="en-US" w:eastAsia="zh-CN"/>
        </w:rPr>
        <w:t>2025年</w:t>
      </w:r>
      <w:r>
        <w:rPr>
          <w:rFonts w:hint="eastAsia" w:ascii="Times New Roman" w:hAnsi="Times New Roman" w:eastAsia="仿宋_GB2312" w:cs="Times New Roman"/>
          <w:sz w:val="32"/>
          <w:szCs w:val="32"/>
          <w:highlight w:val="none"/>
          <w:lang w:val="zh-CN" w:eastAsia="zh-CN"/>
        </w:rPr>
        <w:t>一般性支出财政拨款预算执行较</w:t>
      </w:r>
      <w:r>
        <w:rPr>
          <w:rFonts w:hint="eastAsia" w:ascii="Times New Roman" w:hAnsi="Times New Roman" w:eastAsia="仿宋_GB2312" w:cs="Times New Roman"/>
          <w:sz w:val="32"/>
          <w:szCs w:val="32"/>
          <w:highlight w:val="none"/>
          <w:lang w:val="en-US" w:eastAsia="zh-CN"/>
        </w:rPr>
        <w:t>2024年实现压减，得1分</w:t>
      </w:r>
      <w:r>
        <w:rPr>
          <w:rFonts w:hint="eastAsia" w:ascii="Times New Roman" w:hAnsi="Times New Roman" w:eastAsia="仿宋_GB2312" w:cs="Times New Roman"/>
          <w:sz w:val="32"/>
          <w:szCs w:val="32"/>
          <w:highlight w:val="none"/>
          <w:lang w:val="zh-CN" w:eastAsia="zh-CN"/>
        </w:rPr>
        <w:t>。</w:t>
      </w:r>
    </w:p>
    <w:p w14:paraId="31150343">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3" w:firstLineChars="200"/>
        <w:contextualSpacing/>
        <w:jc w:val="both"/>
        <w:textAlignment w:val="auto"/>
        <w:outlineLvl w:val="9"/>
        <w:rPr>
          <w:rFonts w:hint="eastAsia" w:ascii="Times New Roman" w:hAnsi="Times New Roman" w:eastAsia="仿宋_GB2312" w:cs="Times New Roman"/>
          <w:sz w:val="32"/>
          <w:szCs w:val="32"/>
          <w:highlight w:val="none"/>
          <w:lang w:val="zh-CN" w:eastAsia="zh-CN"/>
        </w:rPr>
      </w:pPr>
      <w:r>
        <w:rPr>
          <w:rFonts w:hint="eastAsia" w:ascii="Times New Roman" w:hAnsi="Times New Roman" w:eastAsia="仿宋_GB2312" w:cs="Times New Roman"/>
          <w:b/>
          <w:bCs/>
          <w:sz w:val="32"/>
          <w:szCs w:val="32"/>
          <w:highlight w:val="none"/>
          <w:lang w:val="zh-CN" w:eastAsia="zh-CN"/>
        </w:rPr>
        <w:t>加分值：</w:t>
      </w:r>
      <w:r>
        <w:rPr>
          <w:rFonts w:hint="eastAsia" w:ascii="Times New Roman" w:hAnsi="Times New Roman" w:eastAsia="仿宋_GB2312" w:cs="Times New Roman"/>
          <w:sz w:val="32"/>
          <w:szCs w:val="32"/>
          <w:highlight w:val="none"/>
          <w:lang w:val="en-US" w:eastAsia="zh-CN"/>
        </w:rPr>
        <w:t>2025年</w:t>
      </w:r>
      <w:r>
        <w:rPr>
          <w:rFonts w:hint="eastAsia" w:ascii="Times New Roman" w:hAnsi="Times New Roman" w:eastAsia="仿宋_GB2312" w:cs="Times New Roman"/>
          <w:sz w:val="32"/>
          <w:szCs w:val="32"/>
          <w:highlight w:val="none"/>
          <w:lang w:val="zh-CN" w:eastAsia="zh-CN"/>
        </w:rPr>
        <w:t>一般性支出财政拨款年初预算较</w:t>
      </w:r>
      <w:r>
        <w:rPr>
          <w:rFonts w:hint="eastAsia" w:ascii="Times New Roman" w:hAnsi="Times New Roman" w:eastAsia="仿宋_GB2312" w:cs="Times New Roman"/>
          <w:sz w:val="32"/>
          <w:szCs w:val="32"/>
          <w:highlight w:val="none"/>
          <w:lang w:val="en-US" w:eastAsia="zh-CN"/>
        </w:rPr>
        <w:t>2024年实现压减，得1分</w:t>
      </w:r>
      <w:r>
        <w:rPr>
          <w:rFonts w:hint="eastAsia" w:ascii="Times New Roman" w:hAnsi="Times New Roman" w:eastAsia="仿宋_GB2312" w:cs="Times New Roman"/>
          <w:sz w:val="32"/>
          <w:szCs w:val="32"/>
          <w:highlight w:val="none"/>
          <w:lang w:val="zh-CN" w:eastAsia="zh-CN"/>
        </w:rPr>
        <w:t>；</w:t>
      </w:r>
      <w:r>
        <w:rPr>
          <w:rFonts w:hint="eastAsia" w:ascii="Times New Roman" w:hAnsi="Times New Roman" w:eastAsia="仿宋_GB2312" w:cs="Times New Roman"/>
          <w:sz w:val="32"/>
          <w:szCs w:val="32"/>
          <w:highlight w:val="none"/>
          <w:lang w:val="en-US" w:eastAsia="zh-CN"/>
        </w:rPr>
        <w:t>2025年</w:t>
      </w:r>
      <w:r>
        <w:rPr>
          <w:rFonts w:hint="eastAsia" w:ascii="Times New Roman" w:hAnsi="Times New Roman" w:eastAsia="仿宋_GB2312" w:cs="Times New Roman"/>
          <w:sz w:val="32"/>
          <w:szCs w:val="32"/>
          <w:highlight w:val="none"/>
          <w:lang w:val="zh-CN" w:eastAsia="zh-CN"/>
        </w:rPr>
        <w:t>一般性支出财政拨款预算执行较</w:t>
      </w:r>
      <w:r>
        <w:rPr>
          <w:rFonts w:hint="eastAsia" w:ascii="Times New Roman" w:hAnsi="Times New Roman" w:eastAsia="仿宋_GB2312" w:cs="Times New Roman"/>
          <w:sz w:val="32"/>
          <w:szCs w:val="32"/>
          <w:highlight w:val="none"/>
          <w:lang w:val="en-US" w:eastAsia="zh-CN"/>
        </w:rPr>
        <w:t>2024年实现压减，得2分</w:t>
      </w:r>
      <w:r>
        <w:rPr>
          <w:rFonts w:hint="eastAsia" w:ascii="Times New Roman" w:hAnsi="Times New Roman" w:eastAsia="仿宋_GB2312" w:cs="Times New Roman"/>
          <w:sz w:val="32"/>
          <w:szCs w:val="32"/>
          <w:highlight w:val="none"/>
          <w:lang w:val="zh-CN" w:eastAsia="zh-CN"/>
        </w:rPr>
        <w:t>。</w:t>
      </w:r>
    </w:p>
    <w:p w14:paraId="2DF1A859">
      <w:pPr>
        <w:keepNext w:val="0"/>
        <w:keepLines w:val="0"/>
        <w:pageBreakBefore w:val="0"/>
        <w:widowControl w:val="0"/>
        <w:kinsoku/>
        <w:wordWrap/>
        <w:overflowPunct/>
        <w:topLinePunct w:val="0"/>
        <w:bidi w:val="0"/>
        <w:spacing w:line="480" w:lineRule="exact"/>
        <w:ind w:left="0" w:leftChars="0" w:firstLine="0" w:firstLineChars="0"/>
        <w:jc w:val="center"/>
        <w:rPr>
          <w:rFonts w:hint="eastAsia" w:ascii="Times New Roman" w:hAnsi="Times New Roman" w:eastAsia="仿宋_GB2312" w:cs="Times New Roman"/>
          <w:kern w:val="2"/>
          <w:sz w:val="32"/>
          <w:szCs w:val="24"/>
          <w:highlight w:val="none"/>
          <w:lang w:val="en-US" w:eastAsia="zh-CN" w:bidi="ar-SA"/>
        </w:rPr>
      </w:pPr>
      <w:r>
        <w:rPr>
          <w:rFonts w:hint="eastAsia" w:ascii="Times New Roman" w:hAnsi="Times New Roman" w:eastAsia="仿宋_GB2312" w:cs="Times New Roman"/>
          <w:b/>
          <w:bCs/>
          <w:kern w:val="2"/>
          <w:sz w:val="28"/>
          <w:szCs w:val="28"/>
          <w:highlight w:val="none"/>
          <w:u w:val="single"/>
          <w:lang w:val="en-US" w:eastAsia="zh-CN" w:bidi="ar-SA"/>
        </w:rPr>
        <w:t>表1 一般性收支财政拨款年初预算压减率</w:t>
      </w:r>
    </w:p>
    <w:p w14:paraId="19A8B69E">
      <w:pPr>
        <w:keepNext w:val="0"/>
        <w:keepLines w:val="0"/>
        <w:pageBreakBefore w:val="0"/>
        <w:kinsoku/>
        <w:wordWrap/>
        <w:overflowPunct/>
        <w:topLinePunct w:val="0"/>
        <w:bidi w:val="0"/>
        <w:spacing w:line="480" w:lineRule="exact"/>
        <w:jc w:val="right"/>
        <w:rPr>
          <w:rFonts w:hint="eastAsia" w:ascii="Times New Roman" w:hAnsi="Times New Roman" w:eastAsia="仿宋_GB2312" w:cs="Times New Roman"/>
          <w:color w:val="000000"/>
          <w:kern w:val="0"/>
          <w:sz w:val="21"/>
          <w:szCs w:val="21"/>
          <w:highlight w:val="none"/>
          <w:shd w:val="clear" w:color="auto" w:fill="FFFFFF"/>
          <w:lang w:val="en-US" w:eastAsia="zh-CN"/>
        </w:rPr>
      </w:pPr>
      <w:r>
        <w:rPr>
          <w:rFonts w:hint="eastAsia" w:ascii="Times New Roman" w:hAnsi="Times New Roman" w:eastAsia="仿宋_GB2312" w:cs="Times New Roman"/>
          <w:color w:val="000000"/>
          <w:kern w:val="0"/>
          <w:sz w:val="21"/>
          <w:szCs w:val="21"/>
          <w:highlight w:val="none"/>
          <w:shd w:val="clear" w:color="auto" w:fill="FFFFFF"/>
          <w:lang w:val="en-US" w:eastAsia="zh-CN"/>
        </w:rPr>
        <w:t>单位：万元</w:t>
      </w:r>
    </w:p>
    <w:tbl>
      <w:tblPr>
        <w:tblStyle w:val="1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97"/>
        <w:gridCol w:w="1097"/>
        <w:gridCol w:w="1177"/>
        <w:gridCol w:w="1269"/>
        <w:gridCol w:w="1231"/>
        <w:gridCol w:w="1177"/>
        <w:gridCol w:w="1269"/>
      </w:tblGrid>
      <w:tr w14:paraId="4DB6F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761"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495B2E1A">
            <w:pPr>
              <w:keepNext w:val="0"/>
              <w:keepLines w:val="0"/>
              <w:pageBreakBefore w:val="0"/>
              <w:widowControl/>
              <w:suppressLineNumbers w:val="0"/>
              <w:kinsoku/>
              <w:wordWrap/>
              <w:overflowPunct/>
              <w:topLinePunct w:val="0"/>
              <w:bidi w:val="0"/>
              <w:spacing w:line="480" w:lineRule="exact"/>
              <w:jc w:val="center"/>
              <w:textAlignment w:val="center"/>
              <w:rPr>
                <w:rFonts w:ascii="仿宋_GB2312" w:hAnsi="宋体" w:eastAsia="仿宋_GB2312" w:cs="仿宋_GB2312"/>
                <w:b/>
                <w:bCs/>
                <w:i w:val="0"/>
                <w:iCs w:val="0"/>
                <w:color w:val="000000"/>
                <w:sz w:val="21"/>
                <w:szCs w:val="21"/>
                <w:highlight w:val="none"/>
                <w:u w:val="none"/>
              </w:rPr>
            </w:pPr>
            <w:r>
              <w:rPr>
                <w:rFonts w:hint="default" w:ascii="仿宋_GB2312" w:hAnsi="宋体" w:eastAsia="仿宋_GB2312" w:cs="仿宋_GB2312"/>
                <w:b/>
                <w:bCs/>
                <w:i w:val="0"/>
                <w:iCs w:val="0"/>
                <w:color w:val="000000"/>
                <w:kern w:val="0"/>
                <w:sz w:val="21"/>
                <w:szCs w:val="21"/>
                <w:highlight w:val="none"/>
                <w:u w:val="none"/>
                <w:lang w:val="en-US" w:eastAsia="zh-CN" w:bidi="ar"/>
              </w:rPr>
              <w:t>一般性支出</w:t>
            </w:r>
          </w:p>
        </w:tc>
        <w:tc>
          <w:tcPr>
            <w:tcW w:w="644"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6E6E1A24">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b/>
                <w:bCs/>
                <w:i w:val="0"/>
                <w:iCs w:val="0"/>
                <w:color w:val="000000"/>
                <w:sz w:val="21"/>
                <w:szCs w:val="21"/>
                <w:highlight w:val="none"/>
                <w:u w:val="none"/>
              </w:rPr>
            </w:pPr>
            <w:r>
              <w:rPr>
                <w:rFonts w:hint="default" w:ascii="Times New Roman" w:hAnsi="Times New Roman" w:eastAsia="宋体" w:cs="Times New Roman"/>
                <w:b/>
                <w:bCs/>
                <w:i w:val="0"/>
                <w:iCs w:val="0"/>
                <w:color w:val="000000"/>
                <w:kern w:val="0"/>
                <w:sz w:val="21"/>
                <w:szCs w:val="21"/>
                <w:highlight w:val="none"/>
                <w:u w:val="none"/>
                <w:lang w:val="en-US" w:eastAsia="zh-CN" w:bidi="ar"/>
              </w:rPr>
              <w:t>202</w:t>
            </w:r>
            <w:r>
              <w:rPr>
                <w:rFonts w:hint="eastAsia" w:ascii="Times New Roman" w:hAnsi="Times New Roman" w:eastAsia="宋体" w:cs="Times New Roman"/>
                <w:b/>
                <w:bCs/>
                <w:i w:val="0"/>
                <w:iCs w:val="0"/>
                <w:color w:val="000000"/>
                <w:kern w:val="0"/>
                <w:sz w:val="21"/>
                <w:szCs w:val="21"/>
                <w:highlight w:val="none"/>
                <w:u w:val="none"/>
                <w:lang w:val="en-US" w:eastAsia="zh-CN" w:bidi="ar"/>
              </w:rPr>
              <w:t>4</w:t>
            </w:r>
            <w:r>
              <w:rPr>
                <w:rFonts w:hint="default" w:ascii="仿宋_GB2312" w:hAnsi="Times New Roman" w:eastAsia="仿宋_GB2312" w:cs="仿宋_GB2312"/>
                <w:b/>
                <w:bCs/>
                <w:i w:val="0"/>
                <w:iCs w:val="0"/>
                <w:color w:val="000000"/>
                <w:kern w:val="0"/>
                <w:sz w:val="21"/>
                <w:szCs w:val="21"/>
                <w:highlight w:val="none"/>
                <w:u w:val="none"/>
                <w:lang w:val="en-US" w:eastAsia="zh-CN" w:bidi="ar"/>
              </w:rPr>
              <w:t>年度年初预算</w:t>
            </w:r>
          </w:p>
        </w:tc>
        <w:tc>
          <w:tcPr>
            <w:tcW w:w="690"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438D62F4">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b/>
                <w:bCs/>
                <w:i w:val="0"/>
                <w:iCs w:val="0"/>
                <w:color w:val="000000"/>
                <w:sz w:val="21"/>
                <w:szCs w:val="21"/>
                <w:highlight w:val="none"/>
                <w:u w:val="none"/>
              </w:rPr>
            </w:pPr>
            <w:r>
              <w:rPr>
                <w:rFonts w:hint="eastAsia" w:ascii="Times New Roman" w:hAnsi="Times New Roman" w:eastAsia="宋体" w:cs="Times New Roman"/>
                <w:b/>
                <w:bCs/>
                <w:i w:val="0"/>
                <w:iCs w:val="0"/>
                <w:color w:val="000000"/>
                <w:kern w:val="0"/>
                <w:sz w:val="21"/>
                <w:szCs w:val="21"/>
                <w:highlight w:val="none"/>
                <w:u w:val="none"/>
                <w:lang w:val="en-US" w:eastAsia="zh-CN" w:bidi="ar"/>
              </w:rPr>
              <w:t>2025</w:t>
            </w:r>
            <w:r>
              <w:rPr>
                <w:rFonts w:hint="default" w:ascii="仿宋_GB2312" w:hAnsi="Times New Roman" w:eastAsia="仿宋_GB2312" w:cs="仿宋_GB2312"/>
                <w:b/>
                <w:bCs/>
                <w:i w:val="0"/>
                <w:iCs w:val="0"/>
                <w:color w:val="000000"/>
                <w:kern w:val="0"/>
                <w:sz w:val="21"/>
                <w:szCs w:val="21"/>
                <w:highlight w:val="none"/>
                <w:u w:val="none"/>
                <w:lang w:val="en-US" w:eastAsia="zh-CN" w:bidi="ar"/>
              </w:rPr>
              <w:t>年度年初预算</w:t>
            </w:r>
          </w:p>
        </w:tc>
        <w:tc>
          <w:tcPr>
            <w:tcW w:w="744"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420356E1">
            <w:pPr>
              <w:keepNext w:val="0"/>
              <w:keepLines w:val="0"/>
              <w:pageBreakBefore w:val="0"/>
              <w:widowControl/>
              <w:suppressLineNumbers w:val="0"/>
              <w:kinsoku/>
              <w:wordWrap/>
              <w:overflowPunct/>
              <w:topLinePunct w:val="0"/>
              <w:bidi w:val="0"/>
              <w:spacing w:line="480" w:lineRule="exact"/>
              <w:jc w:val="center"/>
              <w:textAlignment w:val="center"/>
              <w:rPr>
                <w:rFonts w:hint="default" w:ascii="仿宋_GB2312" w:hAnsi="宋体" w:eastAsia="仿宋_GB2312" w:cs="仿宋_GB2312"/>
                <w:b/>
                <w:bCs/>
                <w:i w:val="0"/>
                <w:iCs w:val="0"/>
                <w:color w:val="000000"/>
                <w:sz w:val="21"/>
                <w:szCs w:val="21"/>
                <w:highlight w:val="none"/>
                <w:u w:val="none"/>
              </w:rPr>
            </w:pPr>
            <w:r>
              <w:rPr>
                <w:rFonts w:hint="default" w:ascii="仿宋_GB2312" w:hAnsi="宋体" w:eastAsia="仿宋_GB2312" w:cs="仿宋_GB2312"/>
                <w:b/>
                <w:bCs/>
                <w:i w:val="0"/>
                <w:iCs w:val="0"/>
                <w:color w:val="000000"/>
                <w:kern w:val="0"/>
                <w:sz w:val="21"/>
                <w:szCs w:val="21"/>
                <w:highlight w:val="none"/>
                <w:u w:val="none"/>
                <w:lang w:val="en-US" w:eastAsia="zh-CN" w:bidi="ar"/>
              </w:rPr>
              <w:t>较</w:t>
            </w:r>
            <w:r>
              <w:rPr>
                <w:rFonts w:hint="default" w:ascii="Times New Roman" w:hAnsi="Times New Roman" w:eastAsia="仿宋_GB2312" w:cs="Times New Roman"/>
                <w:b/>
                <w:bCs/>
                <w:i w:val="0"/>
                <w:iCs w:val="0"/>
                <w:color w:val="000000"/>
                <w:kern w:val="0"/>
                <w:sz w:val="21"/>
                <w:szCs w:val="21"/>
                <w:highlight w:val="none"/>
                <w:u w:val="none"/>
                <w:lang w:val="en-US" w:eastAsia="zh-CN" w:bidi="ar"/>
              </w:rPr>
              <w:t>202</w:t>
            </w:r>
            <w:r>
              <w:rPr>
                <w:rFonts w:hint="eastAsia" w:ascii="Times New Roman" w:hAnsi="Times New Roman" w:eastAsia="仿宋_GB2312" w:cs="Times New Roman"/>
                <w:b/>
                <w:bCs/>
                <w:i w:val="0"/>
                <w:iCs w:val="0"/>
                <w:color w:val="000000"/>
                <w:kern w:val="0"/>
                <w:sz w:val="21"/>
                <w:szCs w:val="21"/>
                <w:highlight w:val="none"/>
                <w:u w:val="none"/>
                <w:lang w:val="en-US" w:eastAsia="zh-CN" w:bidi="ar"/>
              </w:rPr>
              <w:t>4</w:t>
            </w:r>
            <w:r>
              <w:rPr>
                <w:rFonts w:hint="default" w:ascii="仿宋_GB2312" w:hAnsi="宋体" w:eastAsia="仿宋_GB2312" w:cs="仿宋_GB2312"/>
                <w:b/>
                <w:bCs/>
                <w:i w:val="0"/>
                <w:iCs w:val="0"/>
                <w:color w:val="000000"/>
                <w:kern w:val="0"/>
                <w:sz w:val="21"/>
                <w:szCs w:val="21"/>
                <w:highlight w:val="none"/>
                <w:u w:val="none"/>
                <w:lang w:val="en-US" w:eastAsia="zh-CN" w:bidi="ar"/>
              </w:rPr>
              <w:t>年压减率</w:t>
            </w:r>
          </w:p>
        </w:tc>
        <w:tc>
          <w:tcPr>
            <w:tcW w:w="722"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5A0A185B">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b/>
                <w:bCs/>
                <w:i w:val="0"/>
                <w:iCs w:val="0"/>
                <w:color w:val="000000"/>
                <w:sz w:val="21"/>
                <w:szCs w:val="21"/>
                <w:highlight w:val="none"/>
                <w:u w:val="none"/>
              </w:rPr>
            </w:pPr>
            <w:r>
              <w:rPr>
                <w:rFonts w:hint="default" w:ascii="Times New Roman" w:hAnsi="Times New Roman" w:eastAsia="宋体" w:cs="Times New Roman"/>
                <w:b/>
                <w:bCs/>
                <w:i w:val="0"/>
                <w:iCs w:val="0"/>
                <w:color w:val="000000"/>
                <w:kern w:val="0"/>
                <w:sz w:val="21"/>
                <w:szCs w:val="21"/>
                <w:highlight w:val="none"/>
                <w:u w:val="none"/>
                <w:lang w:val="en-US" w:eastAsia="zh-CN" w:bidi="ar"/>
              </w:rPr>
              <w:t>202</w:t>
            </w:r>
            <w:r>
              <w:rPr>
                <w:rFonts w:hint="eastAsia" w:ascii="Times New Roman" w:hAnsi="Times New Roman" w:eastAsia="宋体" w:cs="Times New Roman"/>
                <w:b/>
                <w:bCs/>
                <w:i w:val="0"/>
                <w:iCs w:val="0"/>
                <w:color w:val="000000"/>
                <w:kern w:val="0"/>
                <w:sz w:val="21"/>
                <w:szCs w:val="21"/>
                <w:highlight w:val="none"/>
                <w:u w:val="none"/>
                <w:lang w:val="en-US" w:eastAsia="zh-CN" w:bidi="ar"/>
              </w:rPr>
              <w:t>4</w:t>
            </w:r>
            <w:r>
              <w:rPr>
                <w:rFonts w:hint="default" w:ascii="仿宋_GB2312" w:hAnsi="Times New Roman" w:eastAsia="仿宋_GB2312" w:cs="仿宋_GB2312"/>
                <w:b/>
                <w:bCs/>
                <w:i w:val="0"/>
                <w:iCs w:val="0"/>
                <w:color w:val="000000"/>
                <w:kern w:val="0"/>
                <w:sz w:val="21"/>
                <w:szCs w:val="21"/>
                <w:highlight w:val="none"/>
                <w:u w:val="none"/>
                <w:lang w:val="en-US" w:eastAsia="zh-CN" w:bidi="ar"/>
              </w:rPr>
              <w:t>年度预算执行</w:t>
            </w:r>
          </w:p>
        </w:tc>
        <w:tc>
          <w:tcPr>
            <w:tcW w:w="690"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513A403B">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b/>
                <w:bCs/>
                <w:i w:val="0"/>
                <w:iCs w:val="0"/>
                <w:color w:val="000000"/>
                <w:sz w:val="21"/>
                <w:szCs w:val="21"/>
                <w:highlight w:val="none"/>
                <w:u w:val="none"/>
              </w:rPr>
            </w:pPr>
            <w:r>
              <w:rPr>
                <w:rFonts w:hint="eastAsia" w:ascii="Times New Roman" w:hAnsi="Times New Roman" w:eastAsia="宋体" w:cs="Times New Roman"/>
                <w:b/>
                <w:bCs/>
                <w:i w:val="0"/>
                <w:iCs w:val="0"/>
                <w:color w:val="000000"/>
                <w:kern w:val="0"/>
                <w:sz w:val="21"/>
                <w:szCs w:val="21"/>
                <w:highlight w:val="none"/>
                <w:u w:val="none"/>
                <w:lang w:val="en-US" w:eastAsia="zh-CN" w:bidi="ar"/>
              </w:rPr>
              <w:t>2025</w:t>
            </w:r>
            <w:r>
              <w:rPr>
                <w:rFonts w:hint="default" w:ascii="仿宋_GB2312" w:hAnsi="Times New Roman" w:eastAsia="仿宋_GB2312" w:cs="仿宋_GB2312"/>
                <w:b/>
                <w:bCs/>
                <w:i w:val="0"/>
                <w:iCs w:val="0"/>
                <w:color w:val="000000"/>
                <w:kern w:val="0"/>
                <w:sz w:val="21"/>
                <w:szCs w:val="21"/>
                <w:highlight w:val="none"/>
                <w:u w:val="none"/>
                <w:lang w:val="en-US" w:eastAsia="zh-CN" w:bidi="ar"/>
              </w:rPr>
              <w:t>年度预算执行</w:t>
            </w:r>
          </w:p>
        </w:tc>
        <w:tc>
          <w:tcPr>
            <w:tcW w:w="744"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48BD1647">
            <w:pPr>
              <w:keepNext w:val="0"/>
              <w:keepLines w:val="0"/>
              <w:pageBreakBefore w:val="0"/>
              <w:widowControl/>
              <w:suppressLineNumbers w:val="0"/>
              <w:kinsoku/>
              <w:wordWrap/>
              <w:overflowPunct/>
              <w:topLinePunct w:val="0"/>
              <w:bidi w:val="0"/>
              <w:spacing w:line="480" w:lineRule="exact"/>
              <w:jc w:val="center"/>
              <w:textAlignment w:val="center"/>
              <w:rPr>
                <w:rFonts w:hint="default" w:ascii="仿宋_GB2312" w:hAnsi="宋体" w:eastAsia="仿宋_GB2312" w:cs="仿宋_GB2312"/>
                <w:b/>
                <w:bCs/>
                <w:i w:val="0"/>
                <w:iCs w:val="0"/>
                <w:color w:val="000000"/>
                <w:sz w:val="21"/>
                <w:szCs w:val="21"/>
                <w:highlight w:val="none"/>
                <w:u w:val="none"/>
              </w:rPr>
            </w:pPr>
            <w:r>
              <w:rPr>
                <w:rFonts w:hint="default" w:ascii="仿宋_GB2312" w:hAnsi="宋体" w:eastAsia="仿宋_GB2312" w:cs="仿宋_GB2312"/>
                <w:b/>
                <w:bCs/>
                <w:i w:val="0"/>
                <w:iCs w:val="0"/>
                <w:color w:val="000000"/>
                <w:kern w:val="0"/>
                <w:sz w:val="21"/>
                <w:szCs w:val="21"/>
                <w:highlight w:val="none"/>
                <w:u w:val="none"/>
                <w:lang w:val="en-US" w:eastAsia="zh-CN" w:bidi="ar"/>
              </w:rPr>
              <w:t>较</w:t>
            </w:r>
            <w:r>
              <w:rPr>
                <w:rFonts w:hint="default" w:ascii="Times New Roman" w:hAnsi="Times New Roman" w:eastAsia="仿宋_GB2312" w:cs="Times New Roman"/>
                <w:b/>
                <w:bCs/>
                <w:i w:val="0"/>
                <w:iCs w:val="0"/>
                <w:color w:val="000000"/>
                <w:kern w:val="0"/>
                <w:sz w:val="21"/>
                <w:szCs w:val="21"/>
                <w:highlight w:val="none"/>
                <w:u w:val="none"/>
                <w:lang w:val="en-US" w:eastAsia="zh-CN" w:bidi="ar"/>
              </w:rPr>
              <w:t>202</w:t>
            </w:r>
            <w:r>
              <w:rPr>
                <w:rFonts w:hint="eastAsia" w:ascii="Times New Roman" w:hAnsi="Times New Roman" w:eastAsia="仿宋_GB2312" w:cs="Times New Roman"/>
                <w:b/>
                <w:bCs/>
                <w:i w:val="0"/>
                <w:iCs w:val="0"/>
                <w:color w:val="000000"/>
                <w:kern w:val="0"/>
                <w:sz w:val="21"/>
                <w:szCs w:val="21"/>
                <w:highlight w:val="none"/>
                <w:u w:val="none"/>
                <w:lang w:val="en-US" w:eastAsia="zh-CN" w:bidi="ar"/>
              </w:rPr>
              <w:t>4</w:t>
            </w:r>
            <w:r>
              <w:rPr>
                <w:rFonts w:hint="default" w:ascii="仿宋_GB2312" w:hAnsi="宋体" w:eastAsia="仿宋_GB2312" w:cs="仿宋_GB2312"/>
                <w:b/>
                <w:bCs/>
                <w:i w:val="0"/>
                <w:iCs w:val="0"/>
                <w:color w:val="000000"/>
                <w:kern w:val="0"/>
                <w:sz w:val="21"/>
                <w:szCs w:val="21"/>
                <w:highlight w:val="none"/>
                <w:u w:val="none"/>
                <w:lang w:val="en-US" w:eastAsia="zh-CN" w:bidi="ar"/>
              </w:rPr>
              <w:t>年压减率</w:t>
            </w:r>
          </w:p>
        </w:tc>
      </w:tr>
      <w:tr w14:paraId="79799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1" w:hRule="atLeast"/>
        </w:trPr>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EECF5">
            <w:pPr>
              <w:keepNext w:val="0"/>
              <w:keepLines w:val="0"/>
              <w:pageBreakBefore w:val="0"/>
              <w:widowControl/>
              <w:suppressLineNumbers w:val="0"/>
              <w:kinsoku/>
              <w:wordWrap/>
              <w:overflowPunct/>
              <w:topLinePunct w:val="0"/>
              <w:bidi w:val="0"/>
              <w:spacing w:line="480" w:lineRule="exact"/>
              <w:jc w:val="center"/>
              <w:textAlignment w:val="center"/>
              <w:rPr>
                <w:rFonts w:hint="default" w:ascii="仿宋_GB2312" w:hAnsi="宋体" w:eastAsia="仿宋_GB2312" w:cs="仿宋_GB2312"/>
                <w:i w:val="0"/>
                <w:iCs w:val="0"/>
                <w:color w:val="000000"/>
                <w:sz w:val="18"/>
                <w:szCs w:val="18"/>
                <w:highlight w:val="none"/>
                <w:u w:val="none"/>
              </w:rPr>
            </w:pPr>
            <w:r>
              <w:rPr>
                <w:rFonts w:hint="default" w:ascii="仿宋_GB2312" w:hAnsi="宋体" w:eastAsia="仿宋_GB2312" w:cs="仿宋_GB2312"/>
                <w:i w:val="0"/>
                <w:iCs w:val="0"/>
                <w:color w:val="000000"/>
                <w:kern w:val="0"/>
                <w:sz w:val="18"/>
                <w:szCs w:val="18"/>
                <w:highlight w:val="none"/>
                <w:u w:val="none"/>
                <w:lang w:val="en-US" w:eastAsia="zh-CN" w:bidi="ar"/>
              </w:rPr>
              <w:t>“三公”</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0AFD0">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rPr>
            </w:pPr>
            <w:r>
              <w:rPr>
                <w:rFonts w:hint="eastAsia" w:ascii="Times New Roman" w:hAnsi="Times New Roman" w:eastAsia="宋体" w:cs="Times New Roman"/>
                <w:i w:val="0"/>
                <w:iCs w:val="0"/>
                <w:color w:val="000000"/>
                <w:kern w:val="0"/>
                <w:sz w:val="21"/>
                <w:szCs w:val="21"/>
                <w:highlight w:val="none"/>
                <w:u w:val="none"/>
                <w:lang w:val="en-US" w:eastAsia="zh-CN" w:bidi="ar"/>
              </w:rPr>
              <w:t>45.96</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3C08D">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37.96</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02C8B">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17.4%</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6F298">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rPr>
            </w:pPr>
            <w:r>
              <w:rPr>
                <w:rFonts w:hint="eastAsia" w:ascii="Times New Roman" w:hAnsi="Times New Roman" w:eastAsia="宋体" w:cs="Times New Roman"/>
                <w:i w:val="0"/>
                <w:iCs w:val="0"/>
                <w:color w:val="000000"/>
                <w:kern w:val="0"/>
                <w:sz w:val="21"/>
                <w:szCs w:val="21"/>
                <w:highlight w:val="none"/>
                <w:u w:val="none"/>
                <w:lang w:val="en-US" w:eastAsia="zh-CN" w:bidi="ar"/>
              </w:rPr>
              <w:t>39.18</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F1CC4">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35.81</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0B63D">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8.6%</w:t>
            </w:r>
          </w:p>
        </w:tc>
      </w:tr>
      <w:tr w14:paraId="66A4C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AC371">
            <w:pPr>
              <w:keepNext w:val="0"/>
              <w:keepLines w:val="0"/>
              <w:pageBreakBefore w:val="0"/>
              <w:widowControl/>
              <w:suppressLineNumbers w:val="0"/>
              <w:kinsoku/>
              <w:wordWrap/>
              <w:overflowPunct/>
              <w:topLinePunct w:val="0"/>
              <w:bidi w:val="0"/>
              <w:spacing w:line="480" w:lineRule="exact"/>
              <w:jc w:val="center"/>
              <w:textAlignment w:val="center"/>
              <w:rPr>
                <w:rFonts w:hint="default" w:ascii="仿宋_GB2312" w:hAnsi="宋体" w:eastAsia="仿宋_GB2312" w:cs="仿宋_GB2312"/>
                <w:i w:val="0"/>
                <w:iCs w:val="0"/>
                <w:color w:val="000000"/>
                <w:sz w:val="18"/>
                <w:szCs w:val="18"/>
                <w:highlight w:val="none"/>
                <w:u w:val="none"/>
              </w:rPr>
            </w:pPr>
            <w:r>
              <w:rPr>
                <w:rFonts w:hint="default" w:ascii="仿宋_GB2312" w:hAnsi="宋体" w:eastAsia="仿宋_GB2312" w:cs="仿宋_GB2312"/>
                <w:i w:val="0"/>
                <w:iCs w:val="0"/>
                <w:color w:val="000000"/>
                <w:kern w:val="0"/>
                <w:sz w:val="18"/>
                <w:szCs w:val="18"/>
                <w:highlight w:val="none"/>
                <w:u w:val="none"/>
                <w:lang w:val="en-US" w:eastAsia="zh-CN" w:bidi="ar"/>
              </w:rPr>
              <w:t>会议</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766F5">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rPr>
            </w:pPr>
            <w:r>
              <w:rPr>
                <w:rFonts w:hint="eastAsia" w:ascii="Times New Roman" w:hAnsi="Times New Roman" w:eastAsia="宋体" w:cs="Times New Roman"/>
                <w:i w:val="0"/>
                <w:iCs w:val="0"/>
                <w:color w:val="000000"/>
                <w:sz w:val="21"/>
                <w:szCs w:val="21"/>
                <w:highlight w:val="none"/>
                <w:u w:val="none"/>
                <w:lang w:val="en-US" w:eastAsia="zh-CN"/>
              </w:rPr>
              <w:t>58</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43464">
            <w:pPr>
              <w:keepNext w:val="0"/>
              <w:keepLines w:val="0"/>
              <w:pageBreakBefore w:val="0"/>
              <w:widowControl/>
              <w:suppressLineNumbers w:val="0"/>
              <w:kinsoku/>
              <w:wordWrap/>
              <w:overflowPunct/>
              <w:topLinePunct w:val="0"/>
              <w:bidi w:val="0"/>
              <w:spacing w:line="480" w:lineRule="exact"/>
              <w:ind w:firstLine="420" w:firstLineChars="200"/>
              <w:jc w:val="both"/>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45</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2C093">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DC699">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rPr>
            </w:pPr>
            <w:r>
              <w:rPr>
                <w:rFonts w:hint="eastAsia" w:ascii="Times New Roman" w:hAnsi="Times New Roman" w:eastAsia="宋体" w:cs="Times New Roman"/>
                <w:i w:val="0"/>
                <w:iCs w:val="0"/>
                <w:color w:val="000000"/>
                <w:sz w:val="21"/>
                <w:szCs w:val="21"/>
                <w:highlight w:val="none"/>
                <w:u w:val="none"/>
                <w:lang w:val="en-US" w:eastAsia="zh-CN"/>
              </w:rPr>
              <w:t>92.18</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6EFB8">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50.59</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1C6FF">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45.12%</w:t>
            </w:r>
          </w:p>
        </w:tc>
      </w:tr>
      <w:tr w14:paraId="2D013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392F4">
            <w:pPr>
              <w:keepNext w:val="0"/>
              <w:keepLines w:val="0"/>
              <w:pageBreakBefore w:val="0"/>
              <w:widowControl/>
              <w:suppressLineNumbers w:val="0"/>
              <w:kinsoku/>
              <w:wordWrap/>
              <w:overflowPunct/>
              <w:topLinePunct w:val="0"/>
              <w:bidi w:val="0"/>
              <w:spacing w:line="480" w:lineRule="exact"/>
              <w:jc w:val="center"/>
              <w:textAlignment w:val="center"/>
              <w:rPr>
                <w:rFonts w:hint="default" w:ascii="仿宋_GB2312" w:hAnsi="宋体" w:eastAsia="仿宋_GB2312" w:cs="仿宋_GB2312"/>
                <w:i w:val="0"/>
                <w:iCs w:val="0"/>
                <w:color w:val="000000"/>
                <w:sz w:val="18"/>
                <w:szCs w:val="18"/>
                <w:highlight w:val="none"/>
                <w:u w:val="none"/>
              </w:rPr>
            </w:pPr>
            <w:r>
              <w:rPr>
                <w:rFonts w:hint="default" w:ascii="仿宋_GB2312" w:hAnsi="宋体" w:eastAsia="仿宋_GB2312" w:cs="仿宋_GB2312"/>
                <w:i w:val="0"/>
                <w:iCs w:val="0"/>
                <w:color w:val="000000"/>
                <w:kern w:val="0"/>
                <w:sz w:val="18"/>
                <w:szCs w:val="18"/>
                <w:highlight w:val="none"/>
                <w:u w:val="none"/>
                <w:lang w:val="en-US" w:eastAsia="zh-CN" w:bidi="ar"/>
              </w:rPr>
              <w:t>培训</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3B982">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5.34</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3D4A3">
            <w:pPr>
              <w:keepNext w:val="0"/>
              <w:keepLines w:val="0"/>
              <w:pageBreakBefore w:val="0"/>
              <w:widowControl/>
              <w:suppressLineNumbers w:val="0"/>
              <w:kinsoku/>
              <w:wordWrap/>
              <w:overflowPunct/>
              <w:topLinePunct w:val="0"/>
              <w:bidi w:val="0"/>
              <w:spacing w:line="480" w:lineRule="exact"/>
              <w:ind w:firstLine="210" w:firstLineChars="100"/>
              <w:jc w:val="both"/>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5.67</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43E25">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771D0">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rPr>
            </w:pPr>
            <w:r>
              <w:rPr>
                <w:rFonts w:hint="eastAsia" w:ascii="Times New Roman" w:hAnsi="Times New Roman" w:eastAsia="宋体" w:cs="Times New Roman"/>
                <w:i w:val="0"/>
                <w:iCs w:val="0"/>
                <w:color w:val="000000"/>
                <w:sz w:val="21"/>
                <w:szCs w:val="21"/>
                <w:highlight w:val="none"/>
                <w:u w:val="none"/>
                <w:lang w:val="en-US" w:eastAsia="zh-CN"/>
              </w:rPr>
              <w:t>6.34</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A9415">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0.57</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C5E4F">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91%</w:t>
            </w:r>
          </w:p>
        </w:tc>
      </w:tr>
      <w:tr w14:paraId="05B2F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34BAB">
            <w:pPr>
              <w:keepNext w:val="0"/>
              <w:keepLines w:val="0"/>
              <w:pageBreakBefore w:val="0"/>
              <w:widowControl/>
              <w:suppressLineNumbers w:val="0"/>
              <w:kinsoku/>
              <w:wordWrap/>
              <w:overflowPunct/>
              <w:topLinePunct w:val="0"/>
              <w:bidi w:val="0"/>
              <w:spacing w:line="480" w:lineRule="exact"/>
              <w:jc w:val="center"/>
              <w:textAlignment w:val="center"/>
              <w:rPr>
                <w:rFonts w:hint="default" w:ascii="仿宋_GB2312" w:hAnsi="宋体" w:eastAsia="仿宋_GB2312" w:cs="仿宋_GB2312"/>
                <w:i w:val="0"/>
                <w:iCs w:val="0"/>
                <w:color w:val="000000"/>
                <w:sz w:val="18"/>
                <w:szCs w:val="18"/>
                <w:highlight w:val="none"/>
                <w:u w:val="none"/>
              </w:rPr>
            </w:pPr>
            <w:r>
              <w:rPr>
                <w:rFonts w:hint="default" w:ascii="仿宋_GB2312" w:hAnsi="宋体" w:eastAsia="仿宋_GB2312" w:cs="仿宋_GB2312"/>
                <w:i w:val="0"/>
                <w:iCs w:val="0"/>
                <w:color w:val="000000"/>
                <w:kern w:val="0"/>
                <w:sz w:val="18"/>
                <w:szCs w:val="18"/>
                <w:highlight w:val="none"/>
                <w:u w:val="none"/>
                <w:lang w:val="en-US" w:eastAsia="zh-CN" w:bidi="ar"/>
              </w:rPr>
              <w:t>差旅</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6C9FA">
            <w:pPr>
              <w:keepNext w:val="0"/>
              <w:keepLines w:val="0"/>
              <w:pageBreakBefore w:val="0"/>
              <w:widowControl/>
              <w:suppressLineNumbers w:val="0"/>
              <w:kinsoku/>
              <w:wordWrap/>
              <w:overflowPunct/>
              <w:topLinePunct w:val="0"/>
              <w:bidi w:val="0"/>
              <w:spacing w:line="480" w:lineRule="exact"/>
              <w:ind w:firstLine="210" w:firstLineChars="100"/>
              <w:jc w:val="both"/>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63.91</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CDBCC">
            <w:pPr>
              <w:keepNext w:val="0"/>
              <w:keepLines w:val="0"/>
              <w:pageBreakBefore w:val="0"/>
              <w:widowControl/>
              <w:suppressLineNumbers w:val="0"/>
              <w:kinsoku/>
              <w:wordWrap/>
              <w:overflowPunct/>
              <w:topLinePunct w:val="0"/>
              <w:bidi w:val="0"/>
              <w:spacing w:line="480" w:lineRule="exact"/>
              <w:ind w:firstLine="210" w:firstLineChars="100"/>
              <w:jc w:val="both"/>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65.87</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2CFFF">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FE4F3">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rPr>
            </w:pPr>
            <w:r>
              <w:rPr>
                <w:rFonts w:hint="eastAsia" w:ascii="Times New Roman" w:hAnsi="Times New Roman" w:eastAsia="宋体" w:cs="Times New Roman"/>
                <w:i w:val="0"/>
                <w:iCs w:val="0"/>
                <w:color w:val="000000"/>
                <w:sz w:val="21"/>
                <w:szCs w:val="21"/>
                <w:highlight w:val="none"/>
                <w:u w:val="none"/>
                <w:lang w:val="en-US" w:eastAsia="zh-CN"/>
              </w:rPr>
              <w:t>69.4</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4B62F">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70.78</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80421">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0%</w:t>
            </w:r>
          </w:p>
        </w:tc>
      </w:tr>
      <w:tr w14:paraId="1FD33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FFA78">
            <w:pPr>
              <w:keepNext w:val="0"/>
              <w:keepLines w:val="0"/>
              <w:pageBreakBefore w:val="0"/>
              <w:widowControl/>
              <w:suppressLineNumbers w:val="0"/>
              <w:kinsoku/>
              <w:wordWrap/>
              <w:overflowPunct/>
              <w:topLinePunct w:val="0"/>
              <w:bidi w:val="0"/>
              <w:spacing w:line="480" w:lineRule="exact"/>
              <w:jc w:val="center"/>
              <w:textAlignment w:val="center"/>
              <w:rPr>
                <w:rFonts w:hint="default" w:ascii="仿宋_GB2312" w:hAnsi="宋体" w:eastAsia="仿宋_GB2312" w:cs="仿宋_GB2312"/>
                <w:i w:val="0"/>
                <w:iCs w:val="0"/>
                <w:color w:val="000000"/>
                <w:sz w:val="18"/>
                <w:szCs w:val="18"/>
                <w:highlight w:val="none"/>
                <w:u w:val="none"/>
              </w:rPr>
            </w:pPr>
            <w:r>
              <w:rPr>
                <w:rFonts w:hint="default" w:ascii="仿宋_GB2312" w:hAnsi="宋体" w:eastAsia="仿宋_GB2312" w:cs="仿宋_GB2312"/>
                <w:i w:val="0"/>
                <w:iCs w:val="0"/>
                <w:color w:val="000000"/>
                <w:kern w:val="0"/>
                <w:sz w:val="18"/>
                <w:szCs w:val="18"/>
                <w:highlight w:val="none"/>
                <w:u w:val="none"/>
                <w:lang w:val="en-US" w:eastAsia="zh-CN" w:bidi="ar"/>
              </w:rPr>
              <w:t>办节办展</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ED2E0">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952BE">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BD9DB">
            <w:pPr>
              <w:keepNext w:val="0"/>
              <w:keepLines w:val="0"/>
              <w:pageBreakBefore w:val="0"/>
              <w:kinsoku/>
              <w:wordWrap/>
              <w:overflowPunct/>
              <w:topLinePunct w:val="0"/>
              <w:bidi w:val="0"/>
              <w:spacing w:line="480" w:lineRule="exact"/>
              <w:jc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77698">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88152">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c>
          <w:tcPr>
            <w:tcW w:w="7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58A30">
            <w:pPr>
              <w:keepNext w:val="0"/>
              <w:keepLines w:val="0"/>
              <w:pageBreakBefore w:val="0"/>
              <w:kinsoku/>
              <w:wordWrap/>
              <w:overflowPunct/>
              <w:topLinePunct w:val="0"/>
              <w:bidi w:val="0"/>
              <w:spacing w:line="480" w:lineRule="exact"/>
              <w:jc w:val="center"/>
              <w:rPr>
                <w:rFonts w:hint="eastAsia" w:ascii="宋体" w:hAnsi="宋体" w:eastAsia="宋体" w:cs="宋体"/>
                <w:i w:val="0"/>
                <w:iCs w:val="0"/>
                <w:color w:val="000000"/>
                <w:sz w:val="22"/>
                <w:szCs w:val="22"/>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r>
      <w:tr w14:paraId="4B2CE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2E436">
            <w:pPr>
              <w:keepNext w:val="0"/>
              <w:keepLines w:val="0"/>
              <w:pageBreakBefore w:val="0"/>
              <w:widowControl/>
              <w:suppressLineNumbers w:val="0"/>
              <w:kinsoku/>
              <w:wordWrap/>
              <w:overflowPunct/>
              <w:topLinePunct w:val="0"/>
              <w:bidi w:val="0"/>
              <w:spacing w:line="480" w:lineRule="exact"/>
              <w:jc w:val="center"/>
              <w:textAlignment w:val="center"/>
              <w:rPr>
                <w:rFonts w:hint="default" w:ascii="仿宋_GB2312" w:hAnsi="宋体" w:eastAsia="仿宋_GB2312" w:cs="仿宋_GB2312"/>
                <w:i w:val="0"/>
                <w:iCs w:val="0"/>
                <w:color w:val="000000"/>
                <w:sz w:val="18"/>
                <w:szCs w:val="18"/>
                <w:highlight w:val="none"/>
                <w:u w:val="none"/>
              </w:rPr>
            </w:pPr>
            <w:r>
              <w:rPr>
                <w:rFonts w:hint="default" w:ascii="仿宋_GB2312" w:hAnsi="宋体" w:eastAsia="仿宋_GB2312" w:cs="仿宋_GB2312"/>
                <w:i w:val="0"/>
                <w:iCs w:val="0"/>
                <w:color w:val="000000"/>
                <w:kern w:val="0"/>
                <w:sz w:val="18"/>
                <w:szCs w:val="18"/>
                <w:highlight w:val="none"/>
                <w:u w:val="none"/>
                <w:lang w:val="en-US" w:eastAsia="zh-CN" w:bidi="ar"/>
              </w:rPr>
              <w:t>办公设备购置</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69928">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A3301">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500AB">
            <w:pPr>
              <w:keepNext w:val="0"/>
              <w:keepLines w:val="0"/>
              <w:pageBreakBefore w:val="0"/>
              <w:kinsoku/>
              <w:wordWrap/>
              <w:overflowPunct/>
              <w:topLinePunct w:val="0"/>
              <w:bidi w:val="0"/>
              <w:spacing w:line="480" w:lineRule="exact"/>
              <w:jc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6CBE6">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rPr>
            </w:pPr>
            <w:r>
              <w:rPr>
                <w:rFonts w:hint="eastAsia" w:ascii="Times New Roman" w:hAnsi="Times New Roman" w:eastAsia="宋体" w:cs="Times New Roman"/>
                <w:i w:val="0"/>
                <w:iCs w:val="0"/>
                <w:color w:val="000000"/>
                <w:kern w:val="0"/>
                <w:sz w:val="21"/>
                <w:szCs w:val="21"/>
                <w:highlight w:val="none"/>
                <w:u w:val="none"/>
                <w:lang w:val="en-US" w:eastAsia="zh-CN" w:bidi="ar"/>
              </w:rPr>
              <w:t>13.29</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FD6C1">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15.11</w:t>
            </w:r>
          </w:p>
        </w:tc>
        <w:tc>
          <w:tcPr>
            <w:tcW w:w="7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F30CF">
            <w:pPr>
              <w:keepNext w:val="0"/>
              <w:keepLines w:val="0"/>
              <w:pageBreakBefore w:val="0"/>
              <w:kinsoku/>
              <w:wordWrap/>
              <w:overflowPunct/>
              <w:topLinePunct w:val="0"/>
              <w:bidi w:val="0"/>
              <w:spacing w:line="480" w:lineRule="exact"/>
              <w:jc w:val="center"/>
              <w:rPr>
                <w:rFonts w:hint="eastAsia" w:ascii="宋体" w:hAnsi="宋体" w:eastAsia="宋体" w:cs="宋体"/>
                <w:i w:val="0"/>
                <w:iCs w:val="0"/>
                <w:color w:val="000000"/>
                <w:sz w:val="22"/>
                <w:szCs w:val="22"/>
                <w:highlight w:val="none"/>
                <w:u w:val="none"/>
              </w:rPr>
            </w:pPr>
            <w:r>
              <w:rPr>
                <w:rFonts w:hint="eastAsia" w:ascii="Times New Roman" w:hAnsi="Times New Roman" w:eastAsia="宋体" w:cs="Times New Roman"/>
                <w:i w:val="0"/>
                <w:iCs w:val="0"/>
                <w:color w:val="000000"/>
                <w:kern w:val="0"/>
                <w:sz w:val="21"/>
                <w:szCs w:val="21"/>
                <w:highlight w:val="none"/>
                <w:u w:val="none"/>
                <w:lang w:val="en-US" w:eastAsia="zh-CN" w:bidi="ar"/>
              </w:rPr>
              <w:t>0%</w:t>
            </w:r>
          </w:p>
        </w:tc>
      </w:tr>
      <w:tr w14:paraId="66F07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35AF6">
            <w:pPr>
              <w:keepNext w:val="0"/>
              <w:keepLines w:val="0"/>
              <w:pageBreakBefore w:val="0"/>
              <w:widowControl/>
              <w:suppressLineNumbers w:val="0"/>
              <w:kinsoku/>
              <w:wordWrap/>
              <w:overflowPunct/>
              <w:topLinePunct w:val="0"/>
              <w:bidi w:val="0"/>
              <w:spacing w:line="480" w:lineRule="exact"/>
              <w:jc w:val="center"/>
              <w:textAlignment w:val="center"/>
              <w:rPr>
                <w:rFonts w:hint="default" w:ascii="仿宋_GB2312" w:hAnsi="宋体" w:eastAsia="仿宋_GB2312" w:cs="仿宋_GB2312"/>
                <w:i w:val="0"/>
                <w:iCs w:val="0"/>
                <w:color w:val="000000"/>
                <w:sz w:val="18"/>
                <w:szCs w:val="18"/>
                <w:highlight w:val="none"/>
                <w:u w:val="none"/>
              </w:rPr>
            </w:pPr>
            <w:r>
              <w:rPr>
                <w:rFonts w:hint="default" w:ascii="仿宋_GB2312" w:hAnsi="宋体" w:eastAsia="仿宋_GB2312" w:cs="仿宋_GB2312"/>
                <w:i w:val="0"/>
                <w:iCs w:val="0"/>
                <w:color w:val="000000"/>
                <w:kern w:val="0"/>
                <w:sz w:val="18"/>
                <w:szCs w:val="18"/>
                <w:highlight w:val="none"/>
                <w:u w:val="none"/>
                <w:lang w:val="en-US" w:eastAsia="zh-CN" w:bidi="ar"/>
              </w:rPr>
              <w:t>信息网络及软件购置更新</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D1E9B">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54D33">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B843C">
            <w:pPr>
              <w:keepNext w:val="0"/>
              <w:keepLines w:val="0"/>
              <w:pageBreakBefore w:val="0"/>
              <w:kinsoku/>
              <w:wordWrap/>
              <w:overflowPunct/>
              <w:topLinePunct w:val="0"/>
              <w:bidi w:val="0"/>
              <w:spacing w:line="480" w:lineRule="exact"/>
              <w:jc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EE0BA">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1.19</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75E6C">
            <w:pPr>
              <w:keepNext w:val="0"/>
              <w:keepLines w:val="0"/>
              <w:pageBreakBefore w:val="0"/>
              <w:widowControl/>
              <w:suppressLineNumbers w:val="0"/>
              <w:kinsoku/>
              <w:wordWrap/>
              <w:overflowPunct/>
              <w:topLinePunct w:val="0"/>
              <w:bidi w:val="0"/>
              <w:spacing w:line="480" w:lineRule="exact"/>
              <w:jc w:val="center"/>
              <w:textAlignment w:val="center"/>
              <w:rPr>
                <w:rFonts w:hint="eastAsia"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0</w:t>
            </w:r>
          </w:p>
        </w:tc>
        <w:tc>
          <w:tcPr>
            <w:tcW w:w="7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D8342">
            <w:pPr>
              <w:keepNext w:val="0"/>
              <w:keepLines w:val="0"/>
              <w:pageBreakBefore w:val="0"/>
              <w:kinsoku/>
              <w:wordWrap/>
              <w:overflowPunct/>
              <w:topLinePunct w:val="0"/>
              <w:bidi w:val="0"/>
              <w:spacing w:line="480" w:lineRule="exact"/>
              <w:jc w:val="center"/>
              <w:rPr>
                <w:rFonts w:hint="default" w:ascii="宋体" w:hAnsi="宋体" w:eastAsia="宋体" w:cs="宋体"/>
                <w:i w:val="0"/>
                <w:iCs w:val="0"/>
                <w:color w:val="000000"/>
                <w:sz w:val="22"/>
                <w:szCs w:val="22"/>
                <w:highlight w:val="none"/>
                <w:u w:val="none"/>
                <w:lang w:val="en-US"/>
              </w:rPr>
            </w:pPr>
            <w:r>
              <w:rPr>
                <w:rFonts w:hint="eastAsia" w:ascii="Times New Roman" w:hAnsi="Times New Roman" w:eastAsia="宋体" w:cs="Times New Roman"/>
                <w:i w:val="0"/>
                <w:iCs w:val="0"/>
                <w:color w:val="000000"/>
                <w:kern w:val="0"/>
                <w:sz w:val="21"/>
                <w:szCs w:val="21"/>
                <w:highlight w:val="none"/>
                <w:u w:val="none"/>
                <w:lang w:val="en-US" w:eastAsia="zh-CN" w:bidi="ar"/>
              </w:rPr>
              <w:t>100%</w:t>
            </w:r>
          </w:p>
        </w:tc>
      </w:tr>
      <w:tr w14:paraId="791DC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9B10B">
            <w:pPr>
              <w:keepNext w:val="0"/>
              <w:keepLines w:val="0"/>
              <w:pageBreakBefore w:val="0"/>
              <w:widowControl/>
              <w:suppressLineNumbers w:val="0"/>
              <w:kinsoku/>
              <w:wordWrap/>
              <w:overflowPunct/>
              <w:topLinePunct w:val="0"/>
              <w:bidi w:val="0"/>
              <w:spacing w:line="480" w:lineRule="exact"/>
              <w:jc w:val="center"/>
              <w:textAlignment w:val="center"/>
              <w:rPr>
                <w:rFonts w:hint="default" w:ascii="仿宋_GB2312" w:hAnsi="宋体" w:eastAsia="仿宋_GB2312" w:cs="仿宋_GB2312"/>
                <w:i w:val="0"/>
                <w:iCs w:val="0"/>
                <w:color w:val="000000"/>
                <w:sz w:val="18"/>
                <w:szCs w:val="18"/>
                <w:highlight w:val="none"/>
                <w:u w:val="none"/>
              </w:rPr>
            </w:pPr>
            <w:r>
              <w:rPr>
                <w:rFonts w:hint="default" w:ascii="仿宋_GB2312" w:hAnsi="宋体" w:eastAsia="仿宋_GB2312" w:cs="仿宋_GB2312"/>
                <w:i w:val="0"/>
                <w:iCs w:val="0"/>
                <w:color w:val="000000"/>
                <w:kern w:val="0"/>
                <w:sz w:val="18"/>
                <w:szCs w:val="18"/>
                <w:highlight w:val="none"/>
                <w:u w:val="none"/>
                <w:lang w:val="en-US" w:eastAsia="zh-CN" w:bidi="ar"/>
              </w:rPr>
              <w:t>课题经费</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B1DE4">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9881F">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5E027">
            <w:pPr>
              <w:keepNext w:val="0"/>
              <w:keepLines w:val="0"/>
              <w:pageBreakBefore w:val="0"/>
              <w:kinsoku/>
              <w:wordWrap/>
              <w:overflowPunct/>
              <w:topLinePunct w:val="0"/>
              <w:bidi w:val="0"/>
              <w:spacing w:line="480" w:lineRule="exact"/>
              <w:jc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43BE1">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DAD87">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c>
          <w:tcPr>
            <w:tcW w:w="7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5C7D2">
            <w:pPr>
              <w:keepNext w:val="0"/>
              <w:keepLines w:val="0"/>
              <w:pageBreakBefore w:val="0"/>
              <w:kinsoku/>
              <w:wordWrap/>
              <w:overflowPunct/>
              <w:topLinePunct w:val="0"/>
              <w:bidi w:val="0"/>
              <w:spacing w:line="480" w:lineRule="exact"/>
              <w:jc w:val="center"/>
              <w:rPr>
                <w:rFonts w:hint="eastAsia" w:ascii="宋体" w:hAnsi="宋体" w:eastAsia="宋体" w:cs="宋体"/>
                <w:i w:val="0"/>
                <w:iCs w:val="0"/>
                <w:color w:val="000000"/>
                <w:sz w:val="22"/>
                <w:szCs w:val="22"/>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w:t>
            </w:r>
          </w:p>
        </w:tc>
      </w:tr>
      <w:tr w14:paraId="34A5A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0CB88">
            <w:pPr>
              <w:keepNext w:val="0"/>
              <w:keepLines w:val="0"/>
              <w:pageBreakBefore w:val="0"/>
              <w:widowControl/>
              <w:suppressLineNumbers w:val="0"/>
              <w:kinsoku/>
              <w:wordWrap/>
              <w:overflowPunct/>
              <w:topLinePunct w:val="0"/>
              <w:bidi w:val="0"/>
              <w:spacing w:line="480" w:lineRule="exact"/>
              <w:jc w:val="center"/>
              <w:textAlignment w:val="center"/>
              <w:rPr>
                <w:rFonts w:hint="default" w:ascii="仿宋_GB2312" w:hAnsi="宋体" w:eastAsia="仿宋_GB2312" w:cs="仿宋_GB2312"/>
                <w:i w:val="0"/>
                <w:iCs w:val="0"/>
                <w:color w:val="000000"/>
                <w:kern w:val="0"/>
                <w:sz w:val="21"/>
                <w:szCs w:val="21"/>
                <w:highlight w:val="none"/>
                <w:u w:val="none"/>
                <w:lang w:val="en-US" w:eastAsia="zh-CN" w:bidi="ar"/>
              </w:rPr>
            </w:pPr>
            <w:r>
              <w:rPr>
                <w:rFonts w:hint="eastAsia" w:ascii="仿宋_GB2312" w:hAnsi="宋体" w:eastAsia="仿宋_GB2312" w:cs="仿宋_GB2312"/>
                <w:i w:val="0"/>
                <w:iCs w:val="0"/>
                <w:color w:val="000000"/>
                <w:kern w:val="0"/>
                <w:sz w:val="21"/>
                <w:szCs w:val="21"/>
                <w:highlight w:val="none"/>
                <w:u w:val="none"/>
                <w:lang w:val="en-US" w:eastAsia="zh-CN"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818FF">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173.21</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6180B">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154.5</w:t>
            </w:r>
          </w:p>
        </w:tc>
        <w:tc>
          <w:tcPr>
            <w:tcW w:w="7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65CC5">
            <w:pPr>
              <w:keepNext w:val="0"/>
              <w:keepLines w:val="0"/>
              <w:pageBreakBefore w:val="0"/>
              <w:kinsoku/>
              <w:wordWrap/>
              <w:overflowPunct/>
              <w:topLinePunct w:val="0"/>
              <w:bidi w:val="0"/>
              <w:spacing w:line="480" w:lineRule="exact"/>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10.8%</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1384B">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221.58</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15A15">
            <w:pPr>
              <w:keepNext w:val="0"/>
              <w:keepLines w:val="0"/>
              <w:pageBreakBefore w:val="0"/>
              <w:widowControl/>
              <w:suppressLineNumbers w:val="0"/>
              <w:kinsoku/>
              <w:wordWrap/>
              <w:overflowPunct/>
              <w:topLinePunct w:val="0"/>
              <w:bidi w:val="0"/>
              <w:spacing w:line="480" w:lineRule="exact"/>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172.86</w:t>
            </w:r>
          </w:p>
        </w:tc>
        <w:tc>
          <w:tcPr>
            <w:tcW w:w="7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ECBCD">
            <w:pPr>
              <w:keepNext w:val="0"/>
              <w:keepLines w:val="0"/>
              <w:pageBreakBefore w:val="0"/>
              <w:kinsoku/>
              <w:wordWrap/>
              <w:overflowPunct/>
              <w:topLinePunct w:val="0"/>
              <w:bidi w:val="0"/>
              <w:spacing w:line="480" w:lineRule="exact"/>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21.99%</w:t>
            </w:r>
          </w:p>
        </w:tc>
      </w:tr>
    </w:tbl>
    <w:p w14:paraId="5CD6C106">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lang w:val="zh-CN" w:eastAsia="zh-CN"/>
        </w:rPr>
      </w:pPr>
      <w:r>
        <w:rPr>
          <w:rFonts w:hint="eastAsia" w:ascii="Times New Roman" w:hAnsi="Times New Roman" w:eastAsia="仿宋_GB2312" w:cs="Times New Roman"/>
          <w:sz w:val="32"/>
          <w:szCs w:val="32"/>
          <w:highlight w:val="none"/>
          <w:lang w:val="zh-CN" w:eastAsia="zh-CN"/>
        </w:rPr>
        <w:t>该项指标得分=</w:t>
      </w:r>
      <w:r>
        <w:rPr>
          <w:rFonts w:hint="eastAsia" w:ascii="Times New Roman" w:hAnsi="Times New Roman" w:eastAsia="仿宋_GB2312" w:cs="Times New Roman"/>
          <w:sz w:val="32"/>
          <w:szCs w:val="32"/>
          <w:highlight w:val="none"/>
          <w:lang w:val="en-US" w:eastAsia="zh-CN"/>
        </w:rPr>
        <w:t>基础分值2分+加分值3分=5分</w:t>
      </w:r>
      <w:r>
        <w:rPr>
          <w:rFonts w:hint="eastAsia" w:ascii="Times New Roman" w:hAnsi="Times New Roman" w:eastAsia="仿宋_GB2312" w:cs="Times New Roman"/>
          <w:sz w:val="32"/>
          <w:szCs w:val="32"/>
          <w:highlight w:val="none"/>
          <w:lang w:val="zh-CN" w:eastAsia="zh-CN"/>
        </w:rPr>
        <w:t>。</w:t>
      </w:r>
    </w:p>
    <w:p w14:paraId="6F4D05C9">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3" w:firstLineChars="200"/>
        <w:contextualSpacing/>
        <w:jc w:val="both"/>
        <w:textAlignment w:val="auto"/>
        <w:outlineLvl w:val="9"/>
        <w:rPr>
          <w:rFonts w:hint="eastAsia" w:ascii="仿宋_GB2312" w:hAnsi="仿宋_GB2312" w:eastAsia="仿宋_GB2312" w:cs="仿宋_GB2312"/>
          <w:b/>
          <w:bCs/>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3.</w:t>
      </w:r>
      <w:r>
        <w:rPr>
          <w:rFonts w:hint="eastAsia" w:ascii="仿宋_GB2312" w:hAnsi="仿宋_GB2312" w:eastAsia="仿宋_GB2312" w:cs="仿宋_GB2312"/>
          <w:b/>
          <w:bCs/>
          <w:color w:val="000000"/>
          <w:kern w:val="0"/>
          <w:sz w:val="32"/>
          <w:szCs w:val="32"/>
          <w:highlight w:val="none"/>
          <w:shd w:val="clear" w:color="auto" w:fill="FFFFFF"/>
          <w:lang w:val="zh-CN"/>
        </w:rPr>
        <w:t>财务管理。</w:t>
      </w:r>
    </w:p>
    <w:p w14:paraId="16BDFEE0">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zh-CN"/>
        </w:rPr>
        <w:t>本部门已制度内部财务管理制度，并在工作中严格执行各项规章制度。本部门合理设置财务工作岗位，明确了职责权限，严格实行不相容岗位分离制度。本部门资金支出严格遵守财经纪律，内部管理制度等各项规章制度，严格审核各项支出，</w:t>
      </w:r>
      <w:r>
        <w:rPr>
          <w:rFonts w:hint="eastAsia" w:ascii="Times New Roman" w:hAnsi="Times New Roman" w:eastAsia="仿宋_GB2312" w:cs="Times New Roman"/>
          <w:sz w:val="32"/>
          <w:szCs w:val="32"/>
          <w:highlight w:val="none"/>
          <w:lang w:val="zh-CN" w:eastAsia="zh-CN"/>
        </w:rPr>
        <w:t>该项指标得分</w:t>
      </w:r>
      <w:r>
        <w:rPr>
          <w:rFonts w:hint="eastAsia" w:ascii="仿宋_GB2312" w:hAnsi="仿宋_GB2312" w:eastAsia="仿宋_GB2312" w:cs="仿宋_GB2312"/>
          <w:color w:val="000000"/>
          <w:kern w:val="0"/>
          <w:sz w:val="32"/>
          <w:szCs w:val="32"/>
          <w:highlight w:val="none"/>
          <w:shd w:val="clear" w:color="auto" w:fill="FFFFFF"/>
          <w:lang w:val="en-US" w:eastAsia="zh-CN"/>
        </w:rPr>
        <w:t>10分。</w:t>
      </w:r>
    </w:p>
    <w:p w14:paraId="6F5DE3BE">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3" w:firstLineChars="200"/>
        <w:contextualSpacing/>
        <w:jc w:val="both"/>
        <w:textAlignment w:val="auto"/>
        <w:outlineLvl w:val="9"/>
        <w:rPr>
          <w:rFonts w:hint="eastAsia" w:ascii="仿宋_GB2312" w:hAnsi="仿宋_GB2312" w:eastAsia="仿宋_GB2312" w:cs="仿宋_GB2312"/>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4.</w:t>
      </w:r>
      <w:r>
        <w:rPr>
          <w:rFonts w:hint="eastAsia" w:ascii="仿宋_GB2312" w:hAnsi="仿宋_GB2312" w:eastAsia="仿宋_GB2312" w:cs="仿宋_GB2312"/>
          <w:b/>
          <w:bCs/>
          <w:color w:val="000000"/>
          <w:kern w:val="0"/>
          <w:sz w:val="32"/>
          <w:szCs w:val="32"/>
          <w:highlight w:val="none"/>
          <w:shd w:val="clear" w:color="auto" w:fill="FFFFFF"/>
          <w:lang w:val="zh-CN"/>
        </w:rPr>
        <w:t>资产管理</w:t>
      </w:r>
      <w:r>
        <w:rPr>
          <w:rFonts w:hint="eastAsia" w:ascii="仿宋_GB2312" w:hAnsi="仿宋_GB2312" w:eastAsia="仿宋_GB2312" w:cs="仿宋_GB2312"/>
          <w:color w:val="000000"/>
          <w:kern w:val="0"/>
          <w:sz w:val="32"/>
          <w:szCs w:val="32"/>
          <w:highlight w:val="none"/>
          <w:shd w:val="clear" w:color="auto" w:fill="FFFFFF"/>
          <w:lang w:val="zh-CN"/>
        </w:rPr>
        <w:t>。</w:t>
      </w:r>
    </w:p>
    <w:p w14:paraId="4D91181F">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lang w:val="zh-CN" w:eastAsia="zh-CN"/>
        </w:rPr>
      </w:pPr>
      <w:r>
        <w:rPr>
          <w:rFonts w:hint="eastAsia" w:ascii="Times New Roman" w:hAnsi="Times New Roman" w:eastAsia="仿宋_GB2312" w:cs="Times New Roman"/>
          <w:sz w:val="32"/>
          <w:szCs w:val="32"/>
          <w:highlight w:val="none"/>
          <w:lang w:val="zh-CN" w:eastAsia="zh-CN"/>
        </w:rPr>
        <w:t>（</w:t>
      </w:r>
      <w:r>
        <w:rPr>
          <w:rFonts w:hint="eastAsia" w:ascii="Times New Roman" w:hAnsi="Times New Roman" w:eastAsia="仿宋_GB2312" w:cs="Times New Roman"/>
          <w:sz w:val="32"/>
          <w:szCs w:val="32"/>
          <w:highlight w:val="none"/>
          <w:lang w:val="en-US" w:eastAsia="zh-CN"/>
        </w:rPr>
        <w:t>1）</w:t>
      </w:r>
      <w:r>
        <w:rPr>
          <w:rFonts w:hint="eastAsia" w:ascii="Times New Roman" w:hAnsi="Times New Roman" w:eastAsia="仿宋_GB2312" w:cs="Times New Roman"/>
          <w:sz w:val="32"/>
          <w:szCs w:val="32"/>
          <w:highlight w:val="none"/>
          <w:lang w:val="zh-CN" w:eastAsia="zh-CN"/>
        </w:rPr>
        <w:t>人均资产变化率。</w:t>
      </w:r>
    </w:p>
    <w:p w14:paraId="6CEEC817">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本部门2024年年末固定资产和无形资产净值160.31万元，</w:t>
      </w:r>
      <w:r>
        <w:rPr>
          <w:rFonts w:hint="eastAsia" w:ascii="Times New Roman" w:hAnsi="Times New Roman" w:eastAsia="仿宋_GB2312" w:cs="Times New Roman"/>
          <w:sz w:val="32"/>
          <w:szCs w:val="32"/>
          <w:highlight w:val="none"/>
          <w:lang w:val="zh-CN" w:eastAsia="zh-CN"/>
        </w:rPr>
        <w:t>年末实有人数</w:t>
      </w:r>
      <w:r>
        <w:rPr>
          <w:rFonts w:hint="eastAsia" w:ascii="Times New Roman" w:hAnsi="Times New Roman" w:eastAsia="仿宋_GB2312" w:cs="Times New Roman"/>
          <w:sz w:val="32"/>
          <w:szCs w:val="32"/>
          <w:highlight w:val="none"/>
          <w:lang w:val="en-US" w:eastAsia="zh-CN"/>
        </w:rPr>
        <w:t>27人，</w:t>
      </w:r>
      <w:r>
        <w:rPr>
          <w:rFonts w:hint="eastAsia" w:ascii="Times New Roman" w:hAnsi="Times New Roman" w:eastAsia="仿宋_GB2312" w:cs="Times New Roman"/>
          <w:sz w:val="32"/>
          <w:szCs w:val="32"/>
          <w:highlight w:val="none"/>
          <w:lang w:val="zh-CN" w:eastAsia="zh-CN"/>
        </w:rPr>
        <w:t>单位人均占有资产</w:t>
      </w:r>
      <w:r>
        <w:rPr>
          <w:rFonts w:hint="eastAsia" w:ascii="Times New Roman" w:hAnsi="Times New Roman" w:eastAsia="仿宋_GB2312" w:cs="Times New Roman"/>
          <w:sz w:val="32"/>
          <w:szCs w:val="32"/>
          <w:highlight w:val="none"/>
          <w:lang w:val="en-US" w:eastAsia="zh-CN"/>
        </w:rPr>
        <w:t>5.94万元；2025年年末固定资产和无形资产净值136.1万元，</w:t>
      </w:r>
      <w:r>
        <w:rPr>
          <w:rFonts w:hint="eastAsia" w:ascii="Times New Roman" w:hAnsi="Times New Roman" w:eastAsia="仿宋_GB2312" w:cs="Times New Roman"/>
          <w:sz w:val="32"/>
          <w:szCs w:val="32"/>
          <w:highlight w:val="none"/>
          <w:lang w:val="zh-CN" w:eastAsia="zh-CN"/>
        </w:rPr>
        <w:t>年末实有人数</w:t>
      </w:r>
      <w:r>
        <w:rPr>
          <w:rFonts w:hint="eastAsia" w:ascii="Times New Roman" w:hAnsi="Times New Roman" w:eastAsia="仿宋_GB2312" w:cs="Times New Roman"/>
          <w:sz w:val="32"/>
          <w:szCs w:val="32"/>
          <w:highlight w:val="none"/>
          <w:lang w:val="en-US" w:eastAsia="zh-CN"/>
        </w:rPr>
        <w:t>25人，</w:t>
      </w:r>
      <w:r>
        <w:rPr>
          <w:rFonts w:hint="eastAsia" w:ascii="Times New Roman" w:hAnsi="Times New Roman" w:eastAsia="仿宋_GB2312" w:cs="Times New Roman"/>
          <w:sz w:val="32"/>
          <w:szCs w:val="32"/>
          <w:highlight w:val="none"/>
          <w:lang w:val="zh-CN" w:eastAsia="zh-CN"/>
        </w:rPr>
        <w:t>单位人均占有资产</w:t>
      </w:r>
      <w:r>
        <w:rPr>
          <w:rFonts w:hint="eastAsia" w:ascii="Times New Roman" w:hAnsi="Times New Roman" w:eastAsia="仿宋_GB2312" w:cs="Times New Roman"/>
          <w:sz w:val="32"/>
          <w:szCs w:val="32"/>
          <w:highlight w:val="none"/>
          <w:lang w:val="en-US" w:eastAsia="zh-CN"/>
        </w:rPr>
        <w:t>5.44万元。</w:t>
      </w:r>
    </w:p>
    <w:p w14:paraId="7274528C">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阿坝州商务局2025年部门</w:t>
      </w:r>
      <w:r>
        <w:rPr>
          <w:rFonts w:hint="eastAsia" w:ascii="Times New Roman" w:hAnsi="Times New Roman" w:eastAsia="仿宋_GB2312" w:cs="Times New Roman"/>
          <w:sz w:val="32"/>
          <w:szCs w:val="32"/>
          <w:highlight w:val="none"/>
          <w:lang w:val="zh-CN" w:eastAsia="zh-CN"/>
        </w:rPr>
        <w:t>人均资产变化率</w:t>
      </w:r>
      <w:r>
        <w:rPr>
          <w:rFonts w:hint="eastAsia" w:ascii="Times New Roman" w:hAnsi="Times New Roman" w:eastAsia="仿宋_GB2312" w:cs="Times New Roman"/>
          <w:sz w:val="32"/>
          <w:szCs w:val="32"/>
          <w:highlight w:val="none"/>
          <w:lang w:val="en-US" w:eastAsia="zh-CN"/>
        </w:rPr>
        <w:t>-8.42%，高于</w:t>
      </w:r>
      <w:r>
        <w:rPr>
          <w:rFonts w:hint="eastAsia" w:ascii="Times New Roman" w:hAnsi="Times New Roman" w:eastAsia="仿宋_GB2312" w:cs="Times New Roman"/>
          <w:sz w:val="32"/>
          <w:szCs w:val="32"/>
          <w:highlight w:val="none"/>
          <w:lang w:val="zh-CN" w:eastAsia="zh-CN"/>
        </w:rPr>
        <w:t>202</w:t>
      </w:r>
      <w:r>
        <w:rPr>
          <w:rFonts w:hint="eastAsia" w:ascii="Times New Roman" w:hAnsi="Times New Roman" w:eastAsia="仿宋_GB2312" w:cs="Times New Roman"/>
          <w:sz w:val="32"/>
          <w:szCs w:val="32"/>
          <w:highlight w:val="none"/>
          <w:lang w:val="en-US" w:eastAsia="zh-CN"/>
        </w:rPr>
        <w:t>5</w:t>
      </w:r>
      <w:r>
        <w:rPr>
          <w:rFonts w:hint="eastAsia" w:ascii="Times New Roman" w:hAnsi="Times New Roman" w:eastAsia="仿宋_GB2312" w:cs="Times New Roman"/>
          <w:sz w:val="32"/>
          <w:szCs w:val="32"/>
          <w:highlight w:val="none"/>
          <w:lang w:val="zh-CN" w:eastAsia="zh-CN"/>
        </w:rPr>
        <w:t>年</w:t>
      </w:r>
      <w:r>
        <w:rPr>
          <w:rFonts w:hint="eastAsia" w:ascii="Times New Roman" w:hAnsi="Times New Roman" w:eastAsia="仿宋_GB2312" w:cs="Times New Roman"/>
          <w:sz w:val="32"/>
          <w:szCs w:val="32"/>
          <w:highlight w:val="none"/>
          <w:lang w:val="en-US" w:eastAsia="zh-CN"/>
        </w:rPr>
        <w:t>州级</w:t>
      </w:r>
      <w:r>
        <w:rPr>
          <w:rFonts w:hint="eastAsia" w:ascii="Times New Roman" w:hAnsi="Times New Roman" w:eastAsia="仿宋_GB2312" w:cs="Times New Roman"/>
          <w:sz w:val="32"/>
          <w:szCs w:val="32"/>
          <w:highlight w:val="none"/>
          <w:lang w:val="zh-CN" w:eastAsia="zh-CN"/>
        </w:rPr>
        <w:t>行政事业单位人均资产变化率</w:t>
      </w:r>
      <w:r>
        <w:rPr>
          <w:rFonts w:hint="eastAsia" w:ascii="Times New Roman" w:hAnsi="Times New Roman" w:eastAsia="仿宋_GB2312" w:cs="Times New Roman"/>
          <w:sz w:val="32"/>
          <w:szCs w:val="32"/>
          <w:highlight w:val="none"/>
          <w:lang w:val="en-US" w:eastAsia="zh-CN"/>
        </w:rPr>
        <w:t>-3.49%</w:t>
      </w:r>
      <w:r>
        <w:rPr>
          <w:rFonts w:hint="eastAsia" w:ascii="Times New Roman" w:hAnsi="Times New Roman" w:eastAsia="仿宋_GB2312" w:cs="Times New Roman"/>
          <w:sz w:val="32"/>
          <w:szCs w:val="32"/>
          <w:highlight w:val="none"/>
          <w:lang w:val="zh-CN" w:eastAsia="zh-CN"/>
        </w:rPr>
        <w:t>，</w:t>
      </w:r>
      <w:r>
        <w:rPr>
          <w:rFonts w:hint="eastAsia" w:ascii="Times New Roman" w:hAnsi="Times New Roman" w:eastAsia="仿宋_GB2312" w:cs="Times New Roman"/>
          <w:sz w:val="32"/>
          <w:szCs w:val="32"/>
          <w:highlight w:val="none"/>
          <w:lang w:val="en-US" w:eastAsia="zh-CN"/>
        </w:rPr>
        <w:t>该小项得1.5分；</w:t>
      </w:r>
      <w:r>
        <w:rPr>
          <w:rFonts w:hint="eastAsia" w:ascii="Times New Roman" w:hAnsi="Times New Roman" w:eastAsia="仿宋_GB2312" w:cs="Times New Roman"/>
          <w:sz w:val="32"/>
          <w:szCs w:val="32"/>
          <w:highlight w:val="none"/>
          <w:lang w:val="zh-CN" w:eastAsia="zh-CN"/>
        </w:rPr>
        <w:t>202</w:t>
      </w:r>
      <w:r>
        <w:rPr>
          <w:rFonts w:hint="eastAsia" w:ascii="Times New Roman" w:hAnsi="Times New Roman" w:eastAsia="仿宋_GB2312" w:cs="Times New Roman"/>
          <w:sz w:val="32"/>
          <w:szCs w:val="32"/>
          <w:highlight w:val="none"/>
          <w:lang w:val="en-US" w:eastAsia="zh-CN"/>
        </w:rPr>
        <w:t>5部门</w:t>
      </w:r>
      <w:r>
        <w:rPr>
          <w:rFonts w:hint="eastAsia" w:ascii="Times New Roman" w:hAnsi="Times New Roman" w:eastAsia="仿宋_GB2312" w:cs="Times New Roman"/>
          <w:sz w:val="32"/>
          <w:szCs w:val="32"/>
          <w:highlight w:val="none"/>
          <w:lang w:val="zh-CN" w:eastAsia="zh-CN"/>
        </w:rPr>
        <w:t>人均资产</w:t>
      </w:r>
      <w:r>
        <w:rPr>
          <w:rFonts w:hint="eastAsia" w:ascii="Times New Roman" w:hAnsi="Times New Roman" w:eastAsia="仿宋_GB2312" w:cs="Times New Roman"/>
          <w:sz w:val="32"/>
          <w:szCs w:val="32"/>
          <w:highlight w:val="none"/>
          <w:lang w:val="en-US" w:eastAsia="zh-CN"/>
        </w:rPr>
        <w:t>增长</w:t>
      </w:r>
      <w:r>
        <w:rPr>
          <w:rFonts w:hint="eastAsia" w:ascii="Times New Roman" w:hAnsi="Times New Roman" w:eastAsia="仿宋_GB2312" w:cs="Times New Roman"/>
          <w:sz w:val="32"/>
          <w:szCs w:val="32"/>
          <w:highlight w:val="none"/>
          <w:lang w:val="zh-CN" w:eastAsia="zh-CN"/>
        </w:rPr>
        <w:t>率</w:t>
      </w:r>
      <w:r>
        <w:rPr>
          <w:rFonts w:hint="eastAsia" w:ascii="Times New Roman" w:hAnsi="Times New Roman" w:eastAsia="仿宋_GB2312" w:cs="Times New Roman"/>
          <w:sz w:val="32"/>
          <w:szCs w:val="32"/>
          <w:highlight w:val="none"/>
          <w:lang w:val="en-US" w:eastAsia="zh-CN"/>
        </w:rPr>
        <w:t>-8.42%，低于同期州</w:t>
      </w:r>
      <w:r>
        <w:rPr>
          <w:rFonts w:hint="eastAsia" w:ascii="Times New Roman" w:hAnsi="Times New Roman" w:eastAsia="仿宋_GB2312" w:cs="Times New Roman"/>
          <w:sz w:val="32"/>
          <w:szCs w:val="32"/>
          <w:highlight w:val="none"/>
          <w:lang w:val="zh-CN" w:eastAsia="zh-CN"/>
        </w:rPr>
        <w:t>级财政收入增长率</w:t>
      </w:r>
      <w:r>
        <w:rPr>
          <w:rFonts w:hint="eastAsia" w:ascii="Times New Roman" w:hAnsi="Times New Roman" w:eastAsia="仿宋_GB2312" w:cs="Times New Roman"/>
          <w:sz w:val="32"/>
          <w:szCs w:val="32"/>
          <w:highlight w:val="none"/>
          <w:lang w:val="en-US" w:eastAsia="zh-CN"/>
        </w:rPr>
        <w:t>17.1%</w:t>
      </w:r>
      <w:r>
        <w:rPr>
          <w:rFonts w:hint="eastAsia" w:ascii="Times New Roman" w:hAnsi="Times New Roman" w:eastAsia="仿宋_GB2312" w:cs="Times New Roman"/>
          <w:sz w:val="32"/>
          <w:szCs w:val="32"/>
          <w:highlight w:val="none"/>
          <w:lang w:val="zh-CN" w:eastAsia="zh-CN"/>
        </w:rPr>
        <w:t>，</w:t>
      </w:r>
      <w:r>
        <w:rPr>
          <w:rFonts w:hint="eastAsia" w:ascii="Times New Roman" w:hAnsi="Times New Roman" w:eastAsia="仿宋_GB2312" w:cs="Times New Roman"/>
          <w:sz w:val="32"/>
          <w:szCs w:val="32"/>
          <w:highlight w:val="none"/>
          <w:lang w:val="en-US" w:eastAsia="zh-CN"/>
        </w:rPr>
        <w:t>该小项得1.5分。</w:t>
      </w:r>
    </w:p>
    <w:p w14:paraId="4D57AAA2">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zh-CN" w:eastAsia="zh-CN"/>
        </w:rPr>
        <w:t>（</w:t>
      </w:r>
      <w:r>
        <w:rPr>
          <w:rFonts w:hint="eastAsia" w:ascii="Times New Roman" w:hAnsi="Times New Roman" w:eastAsia="仿宋_GB2312" w:cs="Times New Roman"/>
          <w:sz w:val="32"/>
          <w:szCs w:val="32"/>
          <w:highlight w:val="none"/>
          <w:lang w:val="en-US" w:eastAsia="zh-CN"/>
        </w:rPr>
        <w:t>2）</w:t>
      </w:r>
      <w:r>
        <w:rPr>
          <w:rFonts w:hint="eastAsia" w:ascii="Times New Roman" w:hAnsi="Times New Roman" w:eastAsia="仿宋_GB2312" w:cs="Times New Roman"/>
          <w:sz w:val="32"/>
          <w:szCs w:val="32"/>
          <w:highlight w:val="none"/>
          <w:lang w:val="zh-CN" w:eastAsia="zh-CN"/>
        </w:rPr>
        <w:t>资产利用率。</w:t>
      </w:r>
    </w:p>
    <w:p w14:paraId="46C2D052">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3" w:firstLineChars="200"/>
        <w:contextualSpacing/>
        <w:jc w:val="both"/>
        <w:textAlignment w:val="auto"/>
        <w:outlineLvl w:val="9"/>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b/>
          <w:bCs/>
          <w:sz w:val="32"/>
          <w:szCs w:val="32"/>
          <w:highlight w:val="none"/>
          <w:lang w:val="en-US" w:eastAsia="zh-CN"/>
        </w:rPr>
        <w:t>办公家具方面，</w:t>
      </w:r>
      <w:r>
        <w:rPr>
          <w:rFonts w:hint="eastAsia" w:ascii="Times New Roman" w:hAnsi="Times New Roman" w:eastAsia="仿宋_GB2312" w:cs="Times New Roman"/>
          <w:sz w:val="32"/>
          <w:szCs w:val="32"/>
          <w:highlight w:val="none"/>
          <w:lang w:val="en-US" w:eastAsia="zh-CN"/>
        </w:rPr>
        <w:t>阿坝州商务局2025年</w:t>
      </w:r>
      <w:r>
        <w:rPr>
          <w:rFonts w:hint="eastAsia" w:ascii="Times New Roman" w:hAnsi="Times New Roman" w:eastAsia="仿宋_GB2312" w:cs="Times New Roman"/>
          <w:sz w:val="32"/>
          <w:szCs w:val="32"/>
          <w:highlight w:val="none"/>
          <w:lang w:val="zh-CN" w:eastAsia="zh-CN"/>
        </w:rPr>
        <w:t>办公家具账面价值</w:t>
      </w:r>
      <w:r>
        <w:rPr>
          <w:rFonts w:hint="eastAsia" w:ascii="Times New Roman" w:hAnsi="Times New Roman" w:eastAsia="仿宋_GB2312" w:cs="Times New Roman"/>
          <w:sz w:val="32"/>
          <w:szCs w:val="32"/>
          <w:highlight w:val="none"/>
          <w:lang w:val="en-US" w:eastAsia="zh-CN"/>
        </w:rPr>
        <w:t>41.93万元</w:t>
      </w:r>
      <w:r>
        <w:rPr>
          <w:rFonts w:hint="eastAsia" w:ascii="Times New Roman" w:hAnsi="Times New Roman" w:eastAsia="仿宋_GB2312" w:cs="Times New Roman"/>
          <w:sz w:val="32"/>
          <w:szCs w:val="32"/>
          <w:highlight w:val="none"/>
          <w:lang w:val="zh-CN" w:eastAsia="zh-CN"/>
        </w:rPr>
        <w:t>、超最低使用年限的办公家具账面价值</w:t>
      </w:r>
      <w:r>
        <w:rPr>
          <w:rFonts w:hint="eastAsia" w:ascii="Times New Roman" w:hAnsi="Times New Roman" w:eastAsia="仿宋_GB2312" w:cs="Times New Roman"/>
          <w:sz w:val="32"/>
          <w:szCs w:val="32"/>
          <w:highlight w:val="none"/>
          <w:lang w:val="en-US" w:eastAsia="zh-CN"/>
        </w:rPr>
        <w:t>4.64万元</w:t>
      </w:r>
      <w:r>
        <w:rPr>
          <w:rFonts w:hint="eastAsia" w:ascii="Times New Roman" w:hAnsi="Times New Roman" w:eastAsia="仿宋_GB2312" w:cs="Times New Roman"/>
          <w:sz w:val="32"/>
          <w:szCs w:val="32"/>
          <w:highlight w:val="none"/>
          <w:lang w:val="zh-CN" w:eastAsia="zh-CN"/>
        </w:rPr>
        <w:t>。部门办公家具超最低使用年限资产利用率</w:t>
      </w:r>
      <w:r>
        <w:rPr>
          <w:rFonts w:hint="eastAsia" w:ascii="Times New Roman" w:hAnsi="Times New Roman" w:eastAsia="仿宋_GB2312" w:cs="Times New Roman"/>
          <w:sz w:val="32"/>
          <w:szCs w:val="32"/>
          <w:highlight w:val="none"/>
          <w:lang w:val="en-US" w:eastAsia="zh-CN"/>
        </w:rPr>
        <w:t>11.07%，低于</w:t>
      </w:r>
      <w:r>
        <w:rPr>
          <w:rFonts w:hint="eastAsia" w:ascii="Times New Roman" w:hAnsi="Times New Roman" w:eastAsia="仿宋_GB2312" w:cs="Times New Roman"/>
          <w:sz w:val="32"/>
          <w:szCs w:val="32"/>
          <w:highlight w:val="none"/>
          <w:lang w:val="zh-CN" w:eastAsia="zh-CN"/>
        </w:rPr>
        <w:t>2025年</w:t>
      </w:r>
      <w:r>
        <w:rPr>
          <w:rFonts w:hint="eastAsia" w:ascii="Times New Roman" w:hAnsi="Times New Roman" w:eastAsia="仿宋_GB2312" w:cs="Times New Roman"/>
          <w:sz w:val="32"/>
          <w:szCs w:val="32"/>
          <w:highlight w:val="none"/>
          <w:lang w:val="en-US" w:eastAsia="zh-CN"/>
        </w:rPr>
        <w:t>州级</w:t>
      </w:r>
      <w:r>
        <w:rPr>
          <w:rFonts w:hint="eastAsia" w:ascii="Times New Roman" w:hAnsi="Times New Roman" w:eastAsia="仿宋_GB2312" w:cs="Times New Roman"/>
          <w:sz w:val="32"/>
          <w:szCs w:val="32"/>
          <w:highlight w:val="none"/>
          <w:lang w:val="zh-CN" w:eastAsia="zh-CN"/>
        </w:rPr>
        <w:t>行政事业单位平均值（办公家具）</w:t>
      </w:r>
      <w:r>
        <w:rPr>
          <w:rFonts w:hint="eastAsia" w:ascii="Times New Roman" w:hAnsi="Times New Roman" w:eastAsia="仿宋_GB2312" w:cs="Times New Roman"/>
          <w:sz w:val="32"/>
          <w:szCs w:val="32"/>
          <w:highlight w:val="none"/>
          <w:lang w:val="en-US" w:eastAsia="zh-CN"/>
        </w:rPr>
        <w:t>12.93</w:t>
      </w:r>
      <w:r>
        <w:rPr>
          <w:rFonts w:hint="eastAsia" w:ascii="Times New Roman" w:hAnsi="Times New Roman" w:eastAsia="仿宋_GB2312" w:cs="Times New Roman"/>
          <w:sz w:val="32"/>
          <w:szCs w:val="32"/>
          <w:highlight w:val="none"/>
          <w:lang w:val="zh-CN" w:eastAsia="zh-CN"/>
        </w:rPr>
        <w:t>%，</w:t>
      </w:r>
      <w:r>
        <w:rPr>
          <w:rFonts w:hint="eastAsia" w:ascii="Times New Roman" w:hAnsi="Times New Roman" w:eastAsia="仿宋_GB2312" w:cs="Times New Roman"/>
          <w:sz w:val="32"/>
          <w:szCs w:val="32"/>
          <w:highlight w:val="none"/>
          <w:lang w:val="en-US" w:eastAsia="zh-CN"/>
        </w:rPr>
        <w:t>该小项得0分。</w:t>
      </w:r>
    </w:p>
    <w:p w14:paraId="20EA2D60">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3" w:firstLineChars="200"/>
        <w:contextualSpacing/>
        <w:jc w:val="both"/>
        <w:textAlignment w:val="auto"/>
        <w:outlineLvl w:val="9"/>
        <w:rPr>
          <w:rFonts w:hint="eastAsia" w:ascii="Times New Roman" w:hAnsi="Times New Roman" w:eastAsia="仿宋_GB2312" w:cs="Times New Roman"/>
          <w:sz w:val="32"/>
          <w:szCs w:val="32"/>
          <w:highlight w:val="none"/>
          <w:lang w:val="zh-CN" w:eastAsia="zh-CN"/>
        </w:rPr>
      </w:pPr>
      <w:r>
        <w:rPr>
          <w:rFonts w:hint="eastAsia" w:ascii="Times New Roman" w:hAnsi="Times New Roman" w:eastAsia="仿宋_GB2312" w:cs="Times New Roman"/>
          <w:b/>
          <w:bCs/>
          <w:sz w:val="32"/>
          <w:szCs w:val="32"/>
          <w:highlight w:val="none"/>
          <w:lang w:val="en-US" w:eastAsia="zh-CN"/>
        </w:rPr>
        <w:t>办公设备方面，</w:t>
      </w:r>
      <w:r>
        <w:rPr>
          <w:rFonts w:hint="eastAsia" w:ascii="Times New Roman" w:hAnsi="Times New Roman" w:eastAsia="仿宋_GB2312" w:cs="Times New Roman"/>
          <w:sz w:val="32"/>
          <w:szCs w:val="32"/>
          <w:highlight w:val="none"/>
          <w:lang w:val="en-US" w:eastAsia="zh-CN"/>
        </w:rPr>
        <w:t>阿坝州商务局2025年</w:t>
      </w:r>
      <w:r>
        <w:rPr>
          <w:rFonts w:hint="eastAsia" w:ascii="Times New Roman" w:hAnsi="Times New Roman" w:eastAsia="仿宋_GB2312" w:cs="Times New Roman"/>
          <w:sz w:val="32"/>
          <w:szCs w:val="32"/>
          <w:highlight w:val="none"/>
          <w:lang w:val="zh-CN" w:eastAsia="zh-CN"/>
        </w:rPr>
        <w:t>办公</w:t>
      </w:r>
      <w:r>
        <w:rPr>
          <w:rFonts w:hint="eastAsia" w:ascii="Times New Roman" w:hAnsi="Times New Roman" w:eastAsia="仿宋_GB2312" w:cs="Times New Roman"/>
          <w:sz w:val="32"/>
          <w:szCs w:val="32"/>
          <w:highlight w:val="none"/>
          <w:lang w:val="en-US" w:eastAsia="zh-CN"/>
        </w:rPr>
        <w:t>设备</w:t>
      </w:r>
      <w:r>
        <w:rPr>
          <w:rFonts w:hint="eastAsia" w:ascii="Times New Roman" w:hAnsi="Times New Roman" w:eastAsia="仿宋_GB2312" w:cs="Times New Roman"/>
          <w:sz w:val="32"/>
          <w:szCs w:val="32"/>
          <w:highlight w:val="none"/>
          <w:lang w:val="zh-CN" w:eastAsia="zh-CN"/>
        </w:rPr>
        <w:t>账面价值</w:t>
      </w:r>
      <w:r>
        <w:rPr>
          <w:rFonts w:hint="eastAsia" w:ascii="Times New Roman" w:hAnsi="Times New Roman" w:eastAsia="仿宋_GB2312" w:cs="Times New Roman"/>
          <w:sz w:val="32"/>
          <w:szCs w:val="32"/>
          <w:highlight w:val="none"/>
          <w:lang w:val="en-US" w:eastAsia="zh-CN"/>
        </w:rPr>
        <w:t>356.68万元</w:t>
      </w:r>
      <w:r>
        <w:rPr>
          <w:rFonts w:hint="eastAsia" w:ascii="Times New Roman" w:hAnsi="Times New Roman" w:eastAsia="仿宋_GB2312" w:cs="Times New Roman"/>
          <w:sz w:val="32"/>
          <w:szCs w:val="32"/>
          <w:highlight w:val="none"/>
          <w:lang w:val="zh-CN" w:eastAsia="zh-CN"/>
        </w:rPr>
        <w:t>、超最低使用年限的办公</w:t>
      </w:r>
      <w:r>
        <w:rPr>
          <w:rFonts w:hint="eastAsia" w:ascii="Times New Roman" w:hAnsi="Times New Roman" w:eastAsia="仿宋_GB2312" w:cs="Times New Roman"/>
          <w:sz w:val="32"/>
          <w:szCs w:val="32"/>
          <w:highlight w:val="none"/>
          <w:lang w:val="en-US" w:eastAsia="zh-CN"/>
        </w:rPr>
        <w:t>设备</w:t>
      </w:r>
      <w:r>
        <w:rPr>
          <w:rFonts w:hint="eastAsia" w:ascii="Times New Roman" w:hAnsi="Times New Roman" w:eastAsia="仿宋_GB2312" w:cs="Times New Roman"/>
          <w:sz w:val="32"/>
          <w:szCs w:val="32"/>
          <w:highlight w:val="none"/>
          <w:lang w:val="zh-CN" w:eastAsia="zh-CN"/>
        </w:rPr>
        <w:t>账面价值</w:t>
      </w:r>
      <w:r>
        <w:rPr>
          <w:rFonts w:hint="eastAsia" w:ascii="Times New Roman" w:hAnsi="Times New Roman" w:eastAsia="仿宋_GB2312" w:cs="Times New Roman"/>
          <w:sz w:val="32"/>
          <w:szCs w:val="32"/>
          <w:highlight w:val="none"/>
          <w:lang w:val="en-US" w:eastAsia="zh-CN"/>
        </w:rPr>
        <w:t>191.1万元</w:t>
      </w:r>
      <w:r>
        <w:rPr>
          <w:rFonts w:hint="eastAsia" w:ascii="Times New Roman" w:hAnsi="Times New Roman" w:eastAsia="仿宋_GB2312" w:cs="Times New Roman"/>
          <w:sz w:val="32"/>
          <w:szCs w:val="32"/>
          <w:highlight w:val="none"/>
          <w:lang w:val="zh-CN" w:eastAsia="zh-CN"/>
        </w:rPr>
        <w:t>。部门办公</w:t>
      </w:r>
      <w:r>
        <w:rPr>
          <w:rFonts w:hint="eastAsia" w:ascii="Times New Roman" w:hAnsi="Times New Roman" w:eastAsia="仿宋_GB2312" w:cs="Times New Roman"/>
          <w:sz w:val="32"/>
          <w:szCs w:val="32"/>
          <w:highlight w:val="none"/>
          <w:lang w:val="en-US" w:eastAsia="zh-CN"/>
        </w:rPr>
        <w:t>设备</w:t>
      </w:r>
      <w:r>
        <w:rPr>
          <w:rFonts w:hint="eastAsia" w:ascii="Times New Roman" w:hAnsi="Times New Roman" w:eastAsia="仿宋_GB2312" w:cs="Times New Roman"/>
          <w:sz w:val="32"/>
          <w:szCs w:val="32"/>
          <w:highlight w:val="none"/>
          <w:lang w:val="zh-CN" w:eastAsia="zh-CN"/>
        </w:rPr>
        <w:t>超最低使用年限资产利用率</w:t>
      </w:r>
      <w:r>
        <w:rPr>
          <w:rFonts w:hint="eastAsia" w:ascii="Times New Roman" w:hAnsi="Times New Roman" w:eastAsia="仿宋_GB2312" w:cs="Times New Roman"/>
          <w:sz w:val="32"/>
          <w:szCs w:val="32"/>
          <w:highlight w:val="none"/>
          <w:lang w:val="en-US" w:eastAsia="zh-CN"/>
        </w:rPr>
        <w:t>53.58%，高于</w:t>
      </w:r>
      <w:r>
        <w:rPr>
          <w:rFonts w:hint="eastAsia" w:ascii="Times New Roman" w:hAnsi="Times New Roman" w:eastAsia="仿宋_GB2312" w:cs="Times New Roman"/>
          <w:sz w:val="32"/>
          <w:szCs w:val="32"/>
          <w:highlight w:val="none"/>
          <w:lang w:val="zh-CN" w:eastAsia="zh-CN"/>
        </w:rPr>
        <w:t>2025年</w:t>
      </w:r>
      <w:r>
        <w:rPr>
          <w:rFonts w:hint="eastAsia" w:ascii="Times New Roman" w:hAnsi="Times New Roman" w:eastAsia="仿宋_GB2312" w:cs="Times New Roman"/>
          <w:sz w:val="32"/>
          <w:szCs w:val="32"/>
          <w:highlight w:val="none"/>
          <w:lang w:val="en-US" w:eastAsia="zh-CN"/>
        </w:rPr>
        <w:t>州级</w:t>
      </w:r>
      <w:r>
        <w:rPr>
          <w:rFonts w:hint="eastAsia" w:ascii="Times New Roman" w:hAnsi="Times New Roman" w:eastAsia="仿宋_GB2312" w:cs="Times New Roman"/>
          <w:sz w:val="32"/>
          <w:szCs w:val="32"/>
          <w:highlight w:val="none"/>
          <w:lang w:val="zh-CN" w:eastAsia="zh-CN"/>
        </w:rPr>
        <w:t>行政事业单位平均值（办公</w:t>
      </w:r>
      <w:r>
        <w:rPr>
          <w:rFonts w:hint="eastAsia" w:ascii="Times New Roman" w:hAnsi="Times New Roman" w:eastAsia="仿宋_GB2312" w:cs="Times New Roman"/>
          <w:sz w:val="32"/>
          <w:szCs w:val="32"/>
          <w:highlight w:val="none"/>
          <w:lang w:val="en-US" w:eastAsia="zh-CN"/>
        </w:rPr>
        <w:t>设备</w:t>
      </w:r>
      <w:r>
        <w:rPr>
          <w:rFonts w:hint="eastAsia" w:ascii="Times New Roman" w:hAnsi="Times New Roman" w:eastAsia="仿宋_GB2312" w:cs="Times New Roman"/>
          <w:sz w:val="32"/>
          <w:szCs w:val="32"/>
          <w:highlight w:val="none"/>
          <w:lang w:val="zh-CN" w:eastAsia="zh-CN"/>
        </w:rPr>
        <w:t>）</w:t>
      </w:r>
      <w:r>
        <w:rPr>
          <w:rFonts w:hint="eastAsia" w:ascii="Times New Roman" w:hAnsi="Times New Roman" w:eastAsia="仿宋_GB2312" w:cs="Times New Roman"/>
          <w:sz w:val="32"/>
          <w:szCs w:val="32"/>
          <w:highlight w:val="none"/>
          <w:lang w:val="en-US" w:eastAsia="zh-CN"/>
        </w:rPr>
        <w:t>53.14</w:t>
      </w:r>
      <w:r>
        <w:rPr>
          <w:rFonts w:hint="eastAsia" w:ascii="Times New Roman" w:hAnsi="Times New Roman" w:eastAsia="仿宋_GB2312" w:cs="Times New Roman"/>
          <w:sz w:val="32"/>
          <w:szCs w:val="32"/>
          <w:highlight w:val="none"/>
          <w:lang w:val="zh-CN" w:eastAsia="zh-CN"/>
        </w:rPr>
        <w:t>%，</w:t>
      </w:r>
      <w:r>
        <w:rPr>
          <w:rFonts w:hint="eastAsia" w:ascii="Times New Roman" w:hAnsi="Times New Roman" w:eastAsia="仿宋_GB2312" w:cs="Times New Roman"/>
          <w:sz w:val="32"/>
          <w:szCs w:val="32"/>
          <w:highlight w:val="none"/>
          <w:lang w:val="en-US" w:eastAsia="zh-CN"/>
        </w:rPr>
        <w:t>该小项得1.5分。</w:t>
      </w:r>
    </w:p>
    <w:p w14:paraId="740C67CA">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lang w:val="zh-CN" w:eastAsia="zh-CN"/>
        </w:rPr>
      </w:pPr>
      <w:r>
        <w:rPr>
          <w:rFonts w:hint="eastAsia" w:ascii="Times New Roman" w:hAnsi="Times New Roman" w:eastAsia="仿宋_GB2312" w:cs="Times New Roman"/>
          <w:sz w:val="32"/>
          <w:szCs w:val="32"/>
          <w:highlight w:val="none"/>
          <w:lang w:val="zh-CN" w:eastAsia="zh-CN"/>
        </w:rPr>
        <w:t>（</w:t>
      </w:r>
      <w:r>
        <w:rPr>
          <w:rFonts w:hint="eastAsia" w:ascii="Times New Roman" w:hAnsi="Times New Roman" w:eastAsia="仿宋_GB2312" w:cs="Times New Roman"/>
          <w:sz w:val="32"/>
          <w:szCs w:val="32"/>
          <w:highlight w:val="none"/>
          <w:lang w:val="en-US" w:eastAsia="zh-CN"/>
        </w:rPr>
        <w:t>3）</w:t>
      </w:r>
      <w:r>
        <w:rPr>
          <w:rFonts w:hint="eastAsia" w:ascii="Times New Roman" w:hAnsi="Times New Roman" w:eastAsia="仿宋_GB2312" w:cs="Times New Roman"/>
          <w:sz w:val="32"/>
          <w:szCs w:val="32"/>
          <w:highlight w:val="none"/>
          <w:lang w:val="zh-CN" w:eastAsia="zh-CN"/>
        </w:rPr>
        <w:t>资产盘活率。</w:t>
      </w:r>
    </w:p>
    <w:p w14:paraId="2817F032">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阿坝州商务局2024年</w:t>
      </w:r>
      <w:r>
        <w:rPr>
          <w:rFonts w:hint="eastAsia" w:ascii="Times New Roman" w:hAnsi="Times New Roman" w:eastAsia="仿宋_GB2312" w:cs="Times New Roman"/>
          <w:sz w:val="32"/>
          <w:szCs w:val="32"/>
          <w:highlight w:val="none"/>
          <w:lang w:val="zh-CN" w:eastAsia="zh-CN"/>
        </w:rPr>
        <w:t>总资产原值</w:t>
      </w:r>
      <w:r>
        <w:rPr>
          <w:rFonts w:hint="eastAsia" w:ascii="Times New Roman" w:hAnsi="Times New Roman" w:eastAsia="仿宋_GB2312" w:cs="Times New Roman"/>
          <w:sz w:val="32"/>
          <w:szCs w:val="32"/>
          <w:highlight w:val="none"/>
          <w:lang w:val="en-US" w:eastAsia="zh-CN"/>
        </w:rPr>
        <w:t>504.54万元，2024年</w:t>
      </w:r>
      <w:r>
        <w:rPr>
          <w:rFonts w:hint="eastAsia" w:ascii="Times New Roman" w:hAnsi="Times New Roman" w:eastAsia="仿宋_GB2312" w:cs="Times New Roman"/>
          <w:sz w:val="32"/>
          <w:szCs w:val="32"/>
          <w:highlight w:val="none"/>
          <w:lang w:val="zh-CN" w:eastAsia="zh-CN"/>
        </w:rPr>
        <w:t>闲置资产原值</w:t>
      </w:r>
      <w:r>
        <w:rPr>
          <w:rFonts w:hint="eastAsia" w:ascii="Times New Roman" w:hAnsi="Times New Roman" w:eastAsia="仿宋_GB2312" w:cs="Times New Roman"/>
          <w:sz w:val="32"/>
          <w:szCs w:val="32"/>
          <w:highlight w:val="none"/>
          <w:lang w:val="en-US" w:eastAsia="zh-CN"/>
        </w:rPr>
        <w:t>0.00万元；2025年</w:t>
      </w:r>
      <w:r>
        <w:rPr>
          <w:rFonts w:hint="eastAsia" w:ascii="Times New Roman" w:hAnsi="Times New Roman" w:eastAsia="仿宋_GB2312" w:cs="Times New Roman"/>
          <w:sz w:val="32"/>
          <w:szCs w:val="32"/>
          <w:highlight w:val="none"/>
          <w:lang w:val="zh-CN" w:eastAsia="zh-CN"/>
        </w:rPr>
        <w:t>总资产原值</w:t>
      </w:r>
      <w:r>
        <w:rPr>
          <w:rFonts w:hint="eastAsia" w:ascii="Times New Roman" w:hAnsi="Times New Roman" w:eastAsia="仿宋_GB2312" w:cs="Times New Roman"/>
          <w:sz w:val="32"/>
          <w:szCs w:val="32"/>
          <w:highlight w:val="none"/>
          <w:lang w:val="en-US" w:eastAsia="zh-CN"/>
        </w:rPr>
        <w:t>408.88万元，2025年</w:t>
      </w:r>
      <w:r>
        <w:rPr>
          <w:rFonts w:hint="eastAsia" w:ascii="Times New Roman" w:hAnsi="Times New Roman" w:eastAsia="仿宋_GB2312" w:cs="Times New Roman"/>
          <w:sz w:val="32"/>
          <w:szCs w:val="32"/>
          <w:highlight w:val="none"/>
          <w:lang w:val="zh-CN" w:eastAsia="zh-CN"/>
        </w:rPr>
        <w:t>闲置资产原值</w:t>
      </w:r>
      <w:r>
        <w:rPr>
          <w:rFonts w:hint="eastAsia" w:ascii="Times New Roman" w:hAnsi="Times New Roman" w:eastAsia="仿宋_GB2312" w:cs="Times New Roman"/>
          <w:sz w:val="32"/>
          <w:szCs w:val="32"/>
          <w:highlight w:val="none"/>
          <w:lang w:val="en-US" w:eastAsia="zh-CN"/>
        </w:rPr>
        <w:t>0.00万元。</w:t>
      </w:r>
    </w:p>
    <w:p w14:paraId="2066DB60">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zh-CN" w:eastAsia="zh-CN"/>
        </w:rPr>
        <w:t>部门闲置资产占比变化率</w:t>
      </w:r>
      <w:r>
        <w:rPr>
          <w:rFonts w:hint="eastAsia" w:ascii="Times New Roman" w:hAnsi="Times New Roman" w:eastAsia="仿宋_GB2312" w:cs="Times New Roman"/>
          <w:sz w:val="32"/>
          <w:szCs w:val="32"/>
          <w:highlight w:val="none"/>
          <w:lang w:val="en-US" w:eastAsia="zh-CN"/>
        </w:rPr>
        <w:t>为0，阿坝州商务局2024年和2025年均无闲置资产，得分3分。</w:t>
      </w:r>
    </w:p>
    <w:p w14:paraId="2686479A">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3" w:firstLineChars="200"/>
        <w:contextualSpacing/>
        <w:jc w:val="left"/>
        <w:textAlignment w:val="auto"/>
        <w:outlineLvl w:val="9"/>
        <w:rPr>
          <w:rFonts w:hint="eastAsia" w:ascii="仿宋_GB2312" w:hAnsi="仿宋_GB2312" w:eastAsia="仿宋_GB2312" w:cs="仿宋_GB2312"/>
          <w:b/>
          <w:bCs/>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5.</w:t>
      </w:r>
      <w:r>
        <w:rPr>
          <w:rFonts w:hint="eastAsia" w:ascii="仿宋_GB2312" w:hAnsi="仿宋_GB2312" w:eastAsia="仿宋_GB2312" w:cs="仿宋_GB2312"/>
          <w:b/>
          <w:bCs/>
          <w:color w:val="000000"/>
          <w:kern w:val="0"/>
          <w:sz w:val="32"/>
          <w:szCs w:val="32"/>
          <w:highlight w:val="none"/>
          <w:shd w:val="clear" w:color="auto" w:fill="FFFFFF"/>
          <w:lang w:val="zh-CN"/>
        </w:rPr>
        <w:t>采购管理。</w:t>
      </w:r>
    </w:p>
    <w:p w14:paraId="03B1B093">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en-US" w:eastAsia="zh-CN"/>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（1）支持中小企业发展。</w:t>
      </w:r>
    </w:p>
    <w:p w14:paraId="3B13E8F5">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default" w:ascii="楷体_GB2312" w:hAnsi="楷体_GB2312" w:eastAsia="仿宋_GB2312" w:cs="楷体_GB2312"/>
          <w:color w:val="000000"/>
          <w:kern w:val="0"/>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lang w:val="en-US" w:eastAsia="zh-CN"/>
        </w:rPr>
        <w:t>本部门2025年涉及27个政府采购项目，主要为西博会展馆搭建、展馆租赁及品牌推广、公车维修保养、购买保险等，均按政府采购要求，对适宜中小企业的预留采购份额面向中小企业采购，该项</w:t>
      </w:r>
      <w:r>
        <w:rPr>
          <w:rFonts w:hint="eastAsia" w:ascii="Times New Roman" w:hAnsi="Times New Roman" w:eastAsia="仿宋_GB2312" w:cs="Times New Roman"/>
          <w:color w:val="000000"/>
          <w:kern w:val="0"/>
          <w:sz w:val="32"/>
          <w:szCs w:val="32"/>
          <w:highlight w:val="none"/>
          <w:shd w:val="clear" w:color="auto" w:fill="FFFFFF"/>
          <w:lang w:val="en-US" w:eastAsia="zh-CN"/>
        </w:rPr>
        <w:t>得分3分</w:t>
      </w:r>
      <w:r>
        <w:rPr>
          <w:rFonts w:hint="eastAsia" w:ascii="Times New Roman" w:hAnsi="Times New Roman" w:eastAsia="仿宋_GB2312" w:cs="Times New Roman"/>
          <w:color w:val="000000"/>
          <w:kern w:val="0"/>
          <w:sz w:val="32"/>
          <w:szCs w:val="32"/>
          <w:highlight w:val="none"/>
          <w:shd w:val="clear" w:color="auto" w:fill="FFFFFF"/>
          <w:lang w:val="zh-CN"/>
        </w:rPr>
        <w:t>。</w:t>
      </w:r>
    </w:p>
    <w:p w14:paraId="202C9953">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zh-CN" w:eastAsia="zh-CN"/>
        </w:rPr>
      </w:pP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2）</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采购执行率。</w:t>
      </w:r>
    </w:p>
    <w:p w14:paraId="209A9935">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本部门2025年涉及27个政府采购项目，项目实际支付总金额484.29万元，实际中标（签约）金额484.29万元。2025年政府采购总预算数484.29万元，2025年已完成采购项目节约金额0万元。</w:t>
      </w:r>
    </w:p>
    <w:p w14:paraId="1D39A73A">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zh-CN" w:eastAsia="zh-CN"/>
        </w:rPr>
        <w:t>该项指标得分=</w:t>
      </w:r>
      <w:r>
        <w:rPr>
          <w:rFonts w:hint="eastAsia" w:ascii="Times New Roman" w:hAnsi="Times New Roman" w:eastAsia="仿宋_GB2312" w:cs="Times New Roman"/>
          <w:sz w:val="32"/>
          <w:szCs w:val="32"/>
          <w:highlight w:val="none"/>
          <w:lang w:val="en-US" w:eastAsia="zh-CN"/>
        </w:rPr>
        <w:t>2025年</w:t>
      </w:r>
      <w:r>
        <w:rPr>
          <w:rFonts w:hint="eastAsia" w:ascii="Times New Roman" w:hAnsi="Times New Roman" w:eastAsia="仿宋_GB2312" w:cs="Times New Roman"/>
          <w:sz w:val="32"/>
          <w:szCs w:val="32"/>
          <w:highlight w:val="none"/>
          <w:lang w:val="zh-CN" w:eastAsia="zh-CN"/>
        </w:rPr>
        <w:t>政府采购实际支付总金额÷（</w:t>
      </w:r>
      <w:r>
        <w:rPr>
          <w:rFonts w:hint="eastAsia" w:ascii="Times New Roman" w:hAnsi="Times New Roman" w:eastAsia="仿宋_GB2312" w:cs="Times New Roman"/>
          <w:sz w:val="32"/>
          <w:szCs w:val="32"/>
          <w:highlight w:val="none"/>
          <w:lang w:val="en-US" w:eastAsia="zh-CN"/>
        </w:rPr>
        <w:t>2025年</w:t>
      </w:r>
      <w:r>
        <w:rPr>
          <w:rFonts w:hint="eastAsia" w:ascii="Times New Roman" w:hAnsi="Times New Roman" w:eastAsia="仿宋_GB2312" w:cs="Times New Roman"/>
          <w:sz w:val="32"/>
          <w:szCs w:val="32"/>
          <w:highlight w:val="none"/>
          <w:lang w:val="zh-CN" w:eastAsia="zh-CN"/>
        </w:rPr>
        <w:t>政府采购总预算数-</w:t>
      </w:r>
      <w:r>
        <w:rPr>
          <w:rFonts w:hint="eastAsia" w:ascii="Times New Roman" w:hAnsi="Times New Roman" w:eastAsia="仿宋_GB2312" w:cs="Times New Roman"/>
          <w:sz w:val="32"/>
          <w:szCs w:val="32"/>
          <w:highlight w:val="none"/>
          <w:lang w:val="en-US" w:eastAsia="zh-CN"/>
        </w:rPr>
        <w:t>2025年</w:t>
      </w:r>
      <w:r>
        <w:rPr>
          <w:rFonts w:hint="eastAsia" w:ascii="Times New Roman" w:hAnsi="Times New Roman" w:eastAsia="仿宋_GB2312" w:cs="Times New Roman"/>
          <w:sz w:val="32"/>
          <w:szCs w:val="32"/>
          <w:highlight w:val="none"/>
          <w:lang w:val="zh-CN" w:eastAsia="zh-CN"/>
        </w:rPr>
        <w:t>已完成采购项目节约金额）×100%×3</w:t>
      </w:r>
      <w:r>
        <w:rPr>
          <w:rFonts w:hint="eastAsia" w:ascii="Times New Roman" w:hAnsi="Times New Roman" w:eastAsia="仿宋_GB2312" w:cs="Times New Roman"/>
          <w:sz w:val="32"/>
          <w:szCs w:val="32"/>
          <w:highlight w:val="none"/>
          <w:lang w:val="en-US" w:eastAsia="zh-CN"/>
        </w:rPr>
        <w:t>=3分</w:t>
      </w:r>
      <w:r>
        <w:rPr>
          <w:rFonts w:hint="eastAsia" w:ascii="Times New Roman" w:hAnsi="Times New Roman" w:eastAsia="仿宋_GB2312" w:cs="Times New Roman"/>
          <w:sz w:val="32"/>
          <w:szCs w:val="32"/>
          <w:highlight w:val="none"/>
          <w:lang w:val="zh-CN" w:eastAsia="zh-CN"/>
        </w:rPr>
        <w:t>。</w:t>
      </w:r>
    </w:p>
    <w:p w14:paraId="5D07BD2C">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3" w:firstLineChars="200"/>
        <w:contextualSpacing/>
        <w:jc w:val="left"/>
        <w:textAlignment w:val="auto"/>
        <w:outlineLvl w:val="9"/>
        <w:rPr>
          <w:rFonts w:hint="eastAsia" w:ascii="楷体" w:hAnsi="楷体" w:eastAsia="楷体" w:cs="楷体"/>
          <w:b/>
          <w:bCs/>
          <w:color w:val="000000"/>
          <w:kern w:val="0"/>
          <w:sz w:val="32"/>
          <w:szCs w:val="32"/>
          <w:highlight w:val="none"/>
          <w:shd w:val="clear" w:color="auto" w:fill="FFFFFF"/>
          <w:lang w:val="zh-CN"/>
        </w:rPr>
      </w:pPr>
      <w:r>
        <w:rPr>
          <w:rFonts w:hint="eastAsia" w:ascii="楷体" w:hAnsi="楷体" w:eastAsia="楷体" w:cs="楷体"/>
          <w:b/>
          <w:bCs/>
          <w:color w:val="000000"/>
          <w:kern w:val="0"/>
          <w:sz w:val="32"/>
          <w:szCs w:val="32"/>
          <w:highlight w:val="none"/>
          <w:shd w:val="clear" w:color="auto" w:fill="FFFFFF"/>
          <w:lang w:val="zh-CN"/>
        </w:rPr>
        <w:t>（</w:t>
      </w:r>
      <w:r>
        <w:rPr>
          <w:rFonts w:hint="eastAsia" w:ascii="楷体" w:hAnsi="楷体" w:eastAsia="楷体" w:cs="楷体"/>
          <w:b/>
          <w:bCs/>
          <w:color w:val="000000"/>
          <w:kern w:val="0"/>
          <w:sz w:val="32"/>
          <w:szCs w:val="32"/>
          <w:highlight w:val="none"/>
          <w:shd w:val="clear" w:color="auto" w:fill="FFFFFF"/>
          <w:lang w:val="en-US" w:eastAsia="zh-CN"/>
        </w:rPr>
        <w:t>二</w:t>
      </w:r>
      <w:r>
        <w:rPr>
          <w:rFonts w:hint="eastAsia" w:ascii="楷体" w:hAnsi="楷体" w:eastAsia="楷体" w:cs="楷体"/>
          <w:b/>
          <w:bCs/>
          <w:color w:val="000000"/>
          <w:kern w:val="0"/>
          <w:sz w:val="32"/>
          <w:szCs w:val="32"/>
          <w:highlight w:val="none"/>
          <w:shd w:val="clear" w:color="auto" w:fill="FFFFFF"/>
          <w:lang w:val="zh-CN"/>
        </w:rPr>
        <w:t>）部门预算项目绩效分析。</w:t>
      </w:r>
    </w:p>
    <w:p w14:paraId="04E431E4">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本</w:t>
      </w:r>
      <w:r>
        <w:rPr>
          <w:rFonts w:hint="default" w:ascii="Times New Roman" w:hAnsi="Times New Roman" w:eastAsia="仿宋_GB2312" w:cs="Times New Roman"/>
          <w:color w:val="000000"/>
          <w:kern w:val="0"/>
          <w:sz w:val="32"/>
          <w:szCs w:val="32"/>
          <w:highlight w:val="none"/>
          <w:shd w:val="clear" w:color="auto" w:fill="FFFFFF"/>
          <w:lang w:val="zh-CN"/>
        </w:rPr>
        <w:t>部门预算绩效评价指标体系“项目绩效”涉及</w:t>
      </w:r>
      <w:r>
        <w:rPr>
          <w:rFonts w:hint="eastAsia" w:ascii="Times New Roman" w:hAnsi="Times New Roman" w:eastAsia="仿宋_GB2312" w:cs="Times New Roman"/>
          <w:color w:val="000000"/>
          <w:kern w:val="0"/>
          <w:sz w:val="32"/>
          <w:szCs w:val="32"/>
          <w:highlight w:val="none"/>
          <w:shd w:val="clear" w:color="auto" w:fill="FFFFFF"/>
          <w:lang w:val="zh-CN"/>
        </w:rPr>
        <w:t>二、三级</w:t>
      </w:r>
      <w:r>
        <w:rPr>
          <w:rFonts w:hint="default" w:ascii="Times New Roman" w:hAnsi="Times New Roman" w:eastAsia="仿宋_GB2312" w:cs="Times New Roman"/>
          <w:color w:val="000000"/>
          <w:kern w:val="0"/>
          <w:sz w:val="32"/>
          <w:szCs w:val="32"/>
          <w:highlight w:val="none"/>
          <w:shd w:val="clear" w:color="auto" w:fill="FFFFFF"/>
          <w:lang w:val="zh-CN"/>
        </w:rPr>
        <w:t>指标绩效分析</w:t>
      </w:r>
      <w:r>
        <w:rPr>
          <w:rFonts w:hint="eastAsia" w:ascii="Times New Roman" w:hAnsi="Times New Roman" w:eastAsia="仿宋_GB2312" w:cs="Times New Roman"/>
          <w:color w:val="000000"/>
          <w:kern w:val="0"/>
          <w:sz w:val="32"/>
          <w:szCs w:val="32"/>
          <w:highlight w:val="none"/>
          <w:shd w:val="clear" w:color="auto" w:fill="FFFFFF"/>
          <w:lang w:val="en-US" w:eastAsia="zh-CN"/>
        </w:rPr>
        <w:t>及</w:t>
      </w:r>
      <w:r>
        <w:rPr>
          <w:rFonts w:hint="eastAsia" w:ascii="Times New Roman" w:hAnsi="Times New Roman" w:eastAsia="仿宋_GB2312" w:cs="Times New Roman"/>
          <w:color w:val="000000"/>
          <w:kern w:val="0"/>
          <w:sz w:val="32"/>
          <w:szCs w:val="32"/>
          <w:highlight w:val="none"/>
          <w:shd w:val="clear" w:color="auto" w:fill="FFFFFF"/>
          <w:lang w:val="zh-CN"/>
        </w:rPr>
        <w:t>评分</w:t>
      </w:r>
      <w:r>
        <w:rPr>
          <w:rFonts w:hint="eastAsia" w:ascii="Times New Roman" w:hAnsi="Times New Roman" w:eastAsia="仿宋_GB2312" w:cs="Times New Roman"/>
          <w:color w:val="000000"/>
          <w:kern w:val="0"/>
          <w:sz w:val="32"/>
          <w:szCs w:val="32"/>
          <w:highlight w:val="none"/>
          <w:shd w:val="clear" w:color="auto" w:fill="FFFFFF"/>
          <w:lang w:val="en-US" w:eastAsia="zh-CN"/>
        </w:rPr>
        <w:t>情况</w:t>
      </w:r>
      <w:r>
        <w:rPr>
          <w:rFonts w:hint="default" w:ascii="Times New Roman" w:hAnsi="Times New Roman" w:eastAsia="仿宋_GB2312" w:cs="Times New Roman"/>
          <w:color w:val="000000"/>
          <w:kern w:val="0"/>
          <w:sz w:val="32"/>
          <w:szCs w:val="32"/>
          <w:highlight w:val="none"/>
          <w:shd w:val="clear" w:color="auto" w:fill="FFFFFF"/>
          <w:lang w:val="zh-CN"/>
        </w:rPr>
        <w:t>，依次包括项目</w:t>
      </w:r>
      <w:r>
        <w:rPr>
          <w:rFonts w:hint="default" w:ascii="Times New Roman" w:hAnsi="Times New Roman" w:eastAsia="仿宋_GB2312" w:cs="Times New Roman"/>
          <w:color w:val="000000"/>
          <w:kern w:val="0"/>
          <w:sz w:val="32"/>
          <w:szCs w:val="32"/>
          <w:highlight w:val="none"/>
          <w:shd w:val="clear" w:color="auto" w:fill="FFFFFF"/>
          <w:lang w:val="en-US" w:eastAsia="zh-CN"/>
        </w:rPr>
        <w:t>决策、项目执行、目标实现等情况</w:t>
      </w:r>
      <w:r>
        <w:rPr>
          <w:rFonts w:hint="eastAsia" w:ascii="Times New Roman" w:hAnsi="Times New Roman" w:eastAsia="仿宋_GB2312" w:cs="Times New Roman"/>
          <w:color w:val="000000"/>
          <w:kern w:val="0"/>
          <w:sz w:val="32"/>
          <w:szCs w:val="32"/>
          <w:highlight w:val="none"/>
          <w:shd w:val="clear" w:color="auto" w:fill="FFFFFF"/>
          <w:lang w:val="en-US" w:eastAsia="zh-CN"/>
        </w:rPr>
        <w:t>。</w:t>
      </w:r>
    </w:p>
    <w:p w14:paraId="63B17A96">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常年项目绩效分析。</w:t>
      </w:r>
      <w:r>
        <w:rPr>
          <w:rFonts w:hint="default" w:ascii="Times New Roman" w:hAnsi="Times New Roman" w:eastAsia="仿宋_GB2312" w:cs="Times New Roman"/>
          <w:color w:val="000000"/>
          <w:kern w:val="0"/>
          <w:sz w:val="32"/>
          <w:szCs w:val="32"/>
          <w:highlight w:val="none"/>
          <w:shd w:val="clear" w:color="auto" w:fill="FFFFFF"/>
          <w:lang w:val="zh-CN" w:eastAsia="zh-CN"/>
        </w:rPr>
        <w:t>该类项目总数</w:t>
      </w:r>
      <w:r>
        <w:rPr>
          <w:rFonts w:hint="eastAsia" w:ascii="Times New Roman" w:hAnsi="Times New Roman" w:eastAsia="仿宋_GB2312" w:cs="Times New Roman"/>
          <w:color w:val="000000"/>
          <w:kern w:val="0"/>
          <w:sz w:val="32"/>
          <w:szCs w:val="32"/>
          <w:highlight w:val="none"/>
          <w:shd w:val="clear" w:color="auto" w:fill="FFFFFF"/>
          <w:lang w:val="en-US" w:eastAsia="zh-CN"/>
        </w:rPr>
        <w:t>6</w:t>
      </w:r>
      <w:r>
        <w:rPr>
          <w:rFonts w:hint="default" w:ascii="Times New Roman" w:hAnsi="Times New Roman" w:eastAsia="仿宋_GB2312" w:cs="Times New Roman"/>
          <w:color w:val="000000"/>
          <w:kern w:val="0"/>
          <w:sz w:val="32"/>
          <w:szCs w:val="32"/>
          <w:highlight w:val="none"/>
          <w:shd w:val="clear" w:color="auto" w:fill="FFFFFF"/>
          <w:lang w:val="zh-CN" w:eastAsia="zh-CN"/>
        </w:rPr>
        <w:t>个，涉及预算总金额</w:t>
      </w:r>
      <w:r>
        <w:rPr>
          <w:rFonts w:hint="default" w:ascii="Times New Roman" w:hAnsi="Times New Roman" w:eastAsia="仿宋_GB2312" w:cs="Times New Roman"/>
          <w:color w:val="000000"/>
          <w:kern w:val="0"/>
          <w:sz w:val="32"/>
          <w:szCs w:val="32"/>
          <w:highlight w:val="none"/>
          <w:shd w:val="clear" w:color="auto" w:fill="FFFFFF"/>
          <w:lang w:val="en-US" w:eastAsia="zh-CN"/>
        </w:rPr>
        <w:t xml:space="preserve">   </w:t>
      </w:r>
      <w:r>
        <w:rPr>
          <w:rFonts w:hint="eastAsia" w:ascii="Times New Roman" w:hAnsi="Times New Roman" w:eastAsia="仿宋_GB2312" w:cs="Times New Roman"/>
          <w:color w:val="000000"/>
          <w:kern w:val="0"/>
          <w:sz w:val="32"/>
          <w:szCs w:val="32"/>
          <w:highlight w:val="none"/>
          <w:shd w:val="clear" w:color="auto" w:fill="FFFFFF"/>
          <w:lang w:val="en-US" w:eastAsia="zh-CN"/>
        </w:rPr>
        <w:t>193.82</w:t>
      </w:r>
      <w:r>
        <w:rPr>
          <w:rFonts w:hint="default" w:ascii="Times New Roman" w:hAnsi="Times New Roman" w:eastAsia="仿宋_GB2312" w:cs="Times New Roman"/>
          <w:color w:val="000000"/>
          <w:kern w:val="0"/>
          <w:sz w:val="32"/>
          <w:szCs w:val="32"/>
          <w:highlight w:val="none"/>
          <w:shd w:val="clear" w:color="auto" w:fill="FFFFFF"/>
          <w:lang w:val="zh-CN" w:eastAsia="zh-CN"/>
        </w:rPr>
        <w:t>万元，</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default" w:ascii="Times New Roman" w:hAnsi="Times New Roman" w:eastAsia="仿宋_GB2312" w:cs="Times New Roman"/>
          <w:color w:val="000000"/>
          <w:kern w:val="0"/>
          <w:sz w:val="32"/>
          <w:szCs w:val="32"/>
          <w:highlight w:val="none"/>
          <w:shd w:val="clear" w:color="auto" w:fill="FFFFFF"/>
          <w:lang w:val="en-US" w:eastAsia="zh-CN"/>
        </w:rPr>
        <w:t>2</w:t>
      </w:r>
      <w:r>
        <w:rPr>
          <w:rFonts w:hint="default" w:ascii="Times New Roman" w:hAnsi="Times New Roman" w:eastAsia="仿宋_GB2312" w:cs="Times New Roman"/>
          <w:color w:val="000000"/>
          <w:kern w:val="0"/>
          <w:sz w:val="32"/>
          <w:szCs w:val="32"/>
          <w:highlight w:val="none"/>
          <w:shd w:val="clear" w:color="auto" w:fill="FFFFFF"/>
          <w:lang w:val="zh-CN"/>
        </w:rPr>
        <w:t>月预算执行总体进度为</w:t>
      </w:r>
      <w:r>
        <w:rPr>
          <w:rFonts w:hint="eastAsia" w:ascii="Times New Roman" w:hAnsi="Times New Roman" w:eastAsia="仿宋_GB2312" w:cs="Times New Roman"/>
          <w:color w:val="000000"/>
          <w:kern w:val="0"/>
          <w:sz w:val="32"/>
          <w:szCs w:val="32"/>
          <w:highlight w:val="none"/>
          <w:shd w:val="clear" w:color="auto" w:fill="FFFFFF"/>
          <w:lang w:val="en-US" w:eastAsia="zh-CN"/>
        </w:rPr>
        <w:t>100</w:t>
      </w:r>
      <w:r>
        <w:rPr>
          <w:rFonts w:hint="default" w:ascii="Times New Roman" w:hAnsi="Times New Roman" w:eastAsia="仿宋_GB2312" w:cs="Times New Roman"/>
          <w:color w:val="000000"/>
          <w:kern w:val="0"/>
          <w:sz w:val="32"/>
          <w:szCs w:val="32"/>
          <w:highlight w:val="none"/>
          <w:shd w:val="clear" w:color="auto" w:fill="FFFFFF"/>
          <w:lang w:val="en-US" w:eastAsia="zh-CN"/>
        </w:rPr>
        <w:t xml:space="preserve"> </w:t>
      </w:r>
      <w:r>
        <w:rPr>
          <w:rFonts w:hint="default" w:ascii="Times New Roman" w:hAnsi="Times New Roman" w:eastAsia="仿宋_GB2312" w:cs="Times New Roman"/>
          <w:color w:val="000000"/>
          <w:kern w:val="0"/>
          <w:sz w:val="32"/>
          <w:szCs w:val="32"/>
          <w:highlight w:val="none"/>
          <w:shd w:val="clear" w:color="auto" w:fill="FFFFFF"/>
          <w:lang w:val="zh-CN"/>
        </w:rPr>
        <w:t>%，其中：</w:t>
      </w:r>
      <w:r>
        <w:rPr>
          <w:rFonts w:hint="default" w:ascii="Times New Roman" w:hAnsi="Times New Roman" w:eastAsia="仿宋_GB2312" w:cs="Times New Roman"/>
          <w:color w:val="000000"/>
          <w:kern w:val="0"/>
          <w:sz w:val="32"/>
          <w:szCs w:val="32"/>
          <w:highlight w:val="none"/>
          <w:shd w:val="clear" w:color="auto" w:fill="FFFFFF"/>
          <w:lang w:val="zh-CN" w:eastAsia="zh-CN"/>
        </w:rPr>
        <w:t>预算结余率大于</w:t>
      </w:r>
      <w:r>
        <w:rPr>
          <w:rFonts w:hint="default" w:ascii="Times New Roman" w:hAnsi="Times New Roman" w:eastAsia="仿宋_GB2312" w:cs="Times New Roman"/>
          <w:color w:val="000000"/>
          <w:kern w:val="0"/>
          <w:sz w:val="32"/>
          <w:szCs w:val="32"/>
          <w:highlight w:val="none"/>
          <w:shd w:val="clear" w:color="auto" w:fill="FFFFFF"/>
          <w:lang w:val="en-US" w:eastAsia="zh-CN"/>
        </w:rPr>
        <w:t>10%</w:t>
      </w:r>
      <w:r>
        <w:rPr>
          <w:rFonts w:hint="default" w:ascii="Times New Roman" w:hAnsi="Times New Roman" w:eastAsia="仿宋_GB2312" w:cs="Times New Roman"/>
          <w:color w:val="000000"/>
          <w:kern w:val="0"/>
          <w:sz w:val="32"/>
          <w:szCs w:val="32"/>
          <w:highlight w:val="none"/>
          <w:shd w:val="clear" w:color="auto" w:fill="FFFFFF"/>
          <w:lang w:val="zh-CN" w:eastAsia="zh-CN"/>
        </w:rPr>
        <w:t>的项目共计</w:t>
      </w:r>
      <w:r>
        <w:rPr>
          <w:rFonts w:hint="eastAsia" w:ascii="Times New Roman" w:hAnsi="Times New Roman" w:eastAsia="仿宋_GB2312" w:cs="Times New Roman"/>
          <w:color w:val="000000"/>
          <w:kern w:val="0"/>
          <w:sz w:val="32"/>
          <w:szCs w:val="32"/>
          <w:highlight w:val="none"/>
          <w:shd w:val="clear" w:color="auto" w:fill="FFFFFF"/>
          <w:lang w:val="en-US" w:eastAsia="zh-CN"/>
        </w:rPr>
        <w:t>0</w:t>
      </w:r>
      <w:r>
        <w:rPr>
          <w:rFonts w:hint="default" w:ascii="Times New Roman" w:hAnsi="Times New Roman" w:eastAsia="仿宋_GB2312" w:cs="Times New Roman"/>
          <w:color w:val="000000"/>
          <w:kern w:val="0"/>
          <w:sz w:val="32"/>
          <w:szCs w:val="32"/>
          <w:highlight w:val="none"/>
          <w:shd w:val="clear" w:color="auto" w:fill="FFFFFF"/>
          <w:lang w:val="zh-CN" w:eastAsia="zh-CN"/>
        </w:rPr>
        <w:t>个。</w:t>
      </w:r>
    </w:p>
    <w:p w14:paraId="4D0B0937">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阶段</w:t>
      </w:r>
      <w:r>
        <w:rPr>
          <w:rFonts w:hint="eastAsia" w:ascii="Times New Roman" w:hAnsi="Times New Roman" w:eastAsia="仿宋_GB2312" w:cs="Times New Roman"/>
          <w:color w:val="000000"/>
          <w:kern w:val="0"/>
          <w:sz w:val="32"/>
          <w:szCs w:val="32"/>
          <w:highlight w:val="none"/>
          <w:shd w:val="clear" w:color="auto" w:fill="FFFFFF"/>
          <w:lang w:val="en-US" w:eastAsia="zh-CN"/>
        </w:rPr>
        <w:t>（</w:t>
      </w:r>
      <w:r>
        <w:rPr>
          <w:rFonts w:hint="default" w:ascii="Times New Roman" w:hAnsi="Times New Roman" w:eastAsia="仿宋_GB2312" w:cs="Times New Roman"/>
          <w:color w:val="000000"/>
          <w:kern w:val="0"/>
          <w:sz w:val="32"/>
          <w:szCs w:val="32"/>
          <w:highlight w:val="none"/>
          <w:shd w:val="clear" w:color="auto" w:fill="FFFFFF"/>
          <w:lang w:val="en-US" w:eastAsia="zh-CN"/>
        </w:rPr>
        <w:t>一次性</w:t>
      </w:r>
      <w:r>
        <w:rPr>
          <w:rFonts w:hint="eastAsia" w:ascii="Times New Roman" w:hAnsi="Times New Roman" w:eastAsia="仿宋_GB2312" w:cs="Times New Roman"/>
          <w:color w:val="000000"/>
          <w:kern w:val="0"/>
          <w:sz w:val="32"/>
          <w:szCs w:val="32"/>
          <w:highlight w:val="none"/>
          <w:shd w:val="clear" w:color="auto" w:fill="FFFFFF"/>
          <w:lang w:val="en-US" w:eastAsia="zh-CN"/>
        </w:rPr>
        <w:t>）</w:t>
      </w:r>
      <w:r>
        <w:rPr>
          <w:rFonts w:hint="default" w:ascii="Times New Roman" w:hAnsi="Times New Roman" w:eastAsia="仿宋_GB2312" w:cs="Times New Roman"/>
          <w:color w:val="000000"/>
          <w:kern w:val="0"/>
          <w:sz w:val="32"/>
          <w:szCs w:val="32"/>
          <w:highlight w:val="none"/>
          <w:shd w:val="clear" w:color="auto" w:fill="FFFFFF"/>
          <w:lang w:val="en-US" w:eastAsia="zh-CN"/>
        </w:rPr>
        <w:t>项目绩效分析。</w:t>
      </w:r>
      <w:r>
        <w:rPr>
          <w:rFonts w:hint="default" w:ascii="Times New Roman" w:hAnsi="Times New Roman" w:eastAsia="仿宋_GB2312" w:cs="Times New Roman"/>
          <w:color w:val="000000"/>
          <w:kern w:val="0"/>
          <w:sz w:val="32"/>
          <w:szCs w:val="32"/>
          <w:highlight w:val="none"/>
          <w:shd w:val="clear" w:color="auto" w:fill="FFFFFF"/>
          <w:lang w:val="zh-CN" w:eastAsia="zh-CN"/>
        </w:rPr>
        <w:t>该类项目总数</w:t>
      </w:r>
      <w:r>
        <w:rPr>
          <w:rFonts w:hint="eastAsia" w:ascii="Times New Roman" w:hAnsi="Times New Roman" w:eastAsia="仿宋_GB2312" w:cs="Times New Roman"/>
          <w:color w:val="000000"/>
          <w:kern w:val="0"/>
          <w:sz w:val="32"/>
          <w:szCs w:val="32"/>
          <w:highlight w:val="none"/>
          <w:shd w:val="clear" w:color="auto" w:fill="FFFFFF"/>
          <w:lang w:val="en-US" w:eastAsia="zh-CN"/>
        </w:rPr>
        <w:t>5</w:t>
      </w:r>
      <w:r>
        <w:rPr>
          <w:rFonts w:hint="default" w:ascii="Times New Roman" w:hAnsi="Times New Roman" w:eastAsia="仿宋_GB2312" w:cs="Times New Roman"/>
          <w:color w:val="000000"/>
          <w:kern w:val="0"/>
          <w:sz w:val="32"/>
          <w:szCs w:val="32"/>
          <w:highlight w:val="none"/>
          <w:shd w:val="clear" w:color="auto" w:fill="FFFFFF"/>
          <w:lang w:val="zh-CN" w:eastAsia="zh-CN"/>
        </w:rPr>
        <w:t>个，涉及预算总金额</w:t>
      </w:r>
      <w:r>
        <w:rPr>
          <w:rFonts w:hint="eastAsia" w:ascii="Times New Roman" w:hAnsi="Times New Roman" w:eastAsia="仿宋_GB2312" w:cs="Times New Roman"/>
          <w:color w:val="000000"/>
          <w:kern w:val="0"/>
          <w:sz w:val="32"/>
          <w:szCs w:val="32"/>
          <w:highlight w:val="none"/>
          <w:shd w:val="clear" w:color="auto" w:fill="FFFFFF"/>
          <w:lang w:val="en-US" w:eastAsia="zh-CN"/>
        </w:rPr>
        <w:t>3591.37</w:t>
      </w:r>
      <w:r>
        <w:rPr>
          <w:rFonts w:hint="default" w:ascii="Times New Roman" w:hAnsi="Times New Roman" w:eastAsia="仿宋_GB2312" w:cs="Times New Roman"/>
          <w:color w:val="000000"/>
          <w:kern w:val="0"/>
          <w:sz w:val="32"/>
          <w:szCs w:val="32"/>
          <w:highlight w:val="none"/>
          <w:shd w:val="clear" w:color="auto" w:fill="FFFFFF"/>
          <w:lang w:val="zh-CN" w:eastAsia="zh-CN"/>
        </w:rPr>
        <w:t>万元，</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default" w:ascii="Times New Roman" w:hAnsi="Times New Roman" w:eastAsia="仿宋_GB2312" w:cs="Times New Roman"/>
          <w:color w:val="000000"/>
          <w:kern w:val="0"/>
          <w:sz w:val="32"/>
          <w:szCs w:val="32"/>
          <w:highlight w:val="none"/>
          <w:shd w:val="clear" w:color="auto" w:fill="FFFFFF"/>
          <w:lang w:val="en-US" w:eastAsia="zh-CN"/>
        </w:rPr>
        <w:t>2</w:t>
      </w:r>
      <w:r>
        <w:rPr>
          <w:rFonts w:hint="default" w:ascii="Times New Roman" w:hAnsi="Times New Roman" w:eastAsia="仿宋_GB2312" w:cs="Times New Roman"/>
          <w:color w:val="000000"/>
          <w:kern w:val="0"/>
          <w:sz w:val="32"/>
          <w:szCs w:val="32"/>
          <w:highlight w:val="none"/>
          <w:shd w:val="clear" w:color="auto" w:fill="FFFFFF"/>
          <w:lang w:val="zh-CN"/>
        </w:rPr>
        <w:t>月预算执行总体进度为</w:t>
      </w:r>
      <w:r>
        <w:rPr>
          <w:rFonts w:hint="eastAsia" w:ascii="Times New Roman" w:hAnsi="Times New Roman" w:eastAsia="仿宋_GB2312" w:cs="Times New Roman"/>
          <w:color w:val="000000"/>
          <w:kern w:val="0"/>
          <w:sz w:val="32"/>
          <w:szCs w:val="32"/>
          <w:highlight w:val="none"/>
          <w:shd w:val="clear" w:color="auto" w:fill="FFFFFF"/>
          <w:lang w:val="en-US" w:eastAsia="zh-CN"/>
        </w:rPr>
        <w:t>100</w:t>
      </w:r>
      <w:r>
        <w:rPr>
          <w:rFonts w:hint="default" w:ascii="Times New Roman" w:hAnsi="Times New Roman" w:eastAsia="仿宋_GB2312" w:cs="Times New Roman"/>
          <w:color w:val="000000"/>
          <w:kern w:val="0"/>
          <w:sz w:val="32"/>
          <w:szCs w:val="32"/>
          <w:highlight w:val="none"/>
          <w:shd w:val="clear" w:color="auto" w:fill="FFFFFF"/>
          <w:lang w:val="en-US" w:eastAsia="zh-CN"/>
        </w:rPr>
        <w:t xml:space="preserve"> </w:t>
      </w:r>
      <w:r>
        <w:rPr>
          <w:rFonts w:hint="default" w:ascii="Times New Roman" w:hAnsi="Times New Roman" w:eastAsia="仿宋_GB2312" w:cs="Times New Roman"/>
          <w:color w:val="000000"/>
          <w:kern w:val="0"/>
          <w:sz w:val="32"/>
          <w:szCs w:val="32"/>
          <w:highlight w:val="none"/>
          <w:shd w:val="clear" w:color="auto" w:fill="FFFFFF"/>
          <w:lang w:val="zh-CN"/>
        </w:rPr>
        <w:t>%，其中：</w:t>
      </w:r>
      <w:r>
        <w:rPr>
          <w:rFonts w:hint="default" w:ascii="Times New Roman" w:hAnsi="Times New Roman" w:eastAsia="仿宋_GB2312" w:cs="Times New Roman"/>
          <w:color w:val="000000"/>
          <w:kern w:val="0"/>
          <w:sz w:val="32"/>
          <w:szCs w:val="32"/>
          <w:highlight w:val="none"/>
          <w:shd w:val="clear" w:color="auto" w:fill="FFFFFF"/>
          <w:lang w:val="zh-CN" w:eastAsia="zh-CN"/>
        </w:rPr>
        <w:t>预算结余率大于</w:t>
      </w:r>
      <w:r>
        <w:rPr>
          <w:rFonts w:hint="default" w:ascii="Times New Roman" w:hAnsi="Times New Roman" w:eastAsia="仿宋_GB2312" w:cs="Times New Roman"/>
          <w:color w:val="000000"/>
          <w:kern w:val="0"/>
          <w:sz w:val="32"/>
          <w:szCs w:val="32"/>
          <w:highlight w:val="none"/>
          <w:shd w:val="clear" w:color="auto" w:fill="FFFFFF"/>
          <w:lang w:val="en-US" w:eastAsia="zh-CN"/>
        </w:rPr>
        <w:t>10%</w:t>
      </w:r>
      <w:r>
        <w:rPr>
          <w:rFonts w:hint="default" w:ascii="Times New Roman" w:hAnsi="Times New Roman" w:eastAsia="仿宋_GB2312" w:cs="Times New Roman"/>
          <w:color w:val="000000"/>
          <w:kern w:val="0"/>
          <w:sz w:val="32"/>
          <w:szCs w:val="32"/>
          <w:highlight w:val="none"/>
          <w:shd w:val="clear" w:color="auto" w:fill="FFFFFF"/>
          <w:lang w:val="zh-CN" w:eastAsia="zh-CN"/>
        </w:rPr>
        <w:t>的项目共计</w:t>
      </w:r>
      <w:r>
        <w:rPr>
          <w:rFonts w:hint="eastAsia" w:ascii="Times New Roman" w:hAnsi="Times New Roman" w:eastAsia="仿宋_GB2312" w:cs="Times New Roman"/>
          <w:color w:val="000000"/>
          <w:kern w:val="0"/>
          <w:sz w:val="32"/>
          <w:szCs w:val="32"/>
          <w:highlight w:val="none"/>
          <w:shd w:val="clear" w:color="auto" w:fill="FFFFFF"/>
          <w:lang w:val="en-US" w:eastAsia="zh-CN"/>
        </w:rPr>
        <w:t>0</w:t>
      </w:r>
      <w:r>
        <w:rPr>
          <w:rFonts w:hint="default" w:ascii="Times New Roman" w:hAnsi="Times New Roman" w:eastAsia="仿宋_GB2312" w:cs="Times New Roman"/>
          <w:color w:val="000000"/>
          <w:kern w:val="0"/>
          <w:sz w:val="32"/>
          <w:szCs w:val="32"/>
          <w:highlight w:val="none"/>
          <w:shd w:val="clear" w:color="auto" w:fill="FFFFFF"/>
          <w:lang w:val="zh-CN" w:eastAsia="zh-CN"/>
        </w:rPr>
        <w:t>个。</w:t>
      </w:r>
    </w:p>
    <w:p w14:paraId="39791E2B">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1.</w:t>
      </w:r>
      <w:r>
        <w:rPr>
          <w:rFonts w:hint="eastAsia" w:ascii="仿宋_GB2312" w:hAnsi="仿宋_GB2312" w:eastAsia="仿宋_GB2312" w:cs="仿宋_GB2312"/>
          <w:color w:val="000000"/>
          <w:kern w:val="0"/>
          <w:sz w:val="32"/>
          <w:szCs w:val="32"/>
          <w:highlight w:val="none"/>
          <w:shd w:val="clear" w:color="auto" w:fill="FFFFFF"/>
          <w:lang w:val="zh-CN"/>
        </w:rPr>
        <w:t>项目决策。本部门严格按预算工作要求，开展项目事前评估，本部门</w:t>
      </w:r>
      <w:r>
        <w:rPr>
          <w:rFonts w:hint="eastAsia" w:ascii="仿宋_GB2312" w:hAnsi="仿宋_GB2312" w:eastAsia="仿宋_GB2312" w:cs="仿宋_GB2312"/>
          <w:color w:val="000000"/>
          <w:kern w:val="0"/>
          <w:sz w:val="32"/>
          <w:szCs w:val="32"/>
          <w:highlight w:val="none"/>
          <w:shd w:val="clear" w:color="auto" w:fill="FFFFFF"/>
          <w:lang w:val="en-US" w:eastAsia="zh-CN"/>
        </w:rPr>
        <w:t>共11</w:t>
      </w:r>
      <w:r>
        <w:rPr>
          <w:rFonts w:hint="eastAsia" w:ascii="仿宋_GB2312" w:hAnsi="仿宋_GB2312" w:eastAsia="仿宋_GB2312" w:cs="仿宋_GB2312"/>
          <w:color w:val="000000"/>
          <w:kern w:val="0"/>
          <w:sz w:val="32"/>
          <w:szCs w:val="32"/>
          <w:highlight w:val="none"/>
          <w:shd w:val="clear" w:color="auto" w:fill="FFFFFF"/>
          <w:lang w:val="zh-CN"/>
        </w:rPr>
        <w:t>个项目，无绩效目标与计划期内的任务量、预算安排不相匹配的部门预算阶段项目（含一次性项目），绩效目标设置科学合理、规范完整，严格按财政规定时间完成项目入库，</w:t>
      </w:r>
      <w:r>
        <w:rPr>
          <w:rFonts w:hint="eastAsia" w:ascii="仿宋_GB2312" w:hAnsi="仿宋_GB2312" w:eastAsia="仿宋_GB2312" w:cs="仿宋_GB2312"/>
          <w:color w:val="000000"/>
          <w:kern w:val="0"/>
          <w:sz w:val="32"/>
          <w:szCs w:val="32"/>
          <w:highlight w:val="none"/>
          <w:shd w:val="clear" w:color="auto" w:fill="FFFFFF"/>
          <w:lang w:val="en-US" w:eastAsia="zh-CN"/>
        </w:rPr>
        <w:t>该项得分12分。</w:t>
      </w:r>
    </w:p>
    <w:p w14:paraId="7023FEBF">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2.项目执行</w:t>
      </w:r>
      <w:r>
        <w:rPr>
          <w:rFonts w:hint="eastAsia" w:ascii="仿宋_GB2312" w:hAnsi="仿宋_GB2312" w:eastAsia="仿宋_GB2312" w:cs="仿宋_GB2312"/>
          <w:color w:val="000000"/>
          <w:kern w:val="0"/>
          <w:sz w:val="32"/>
          <w:szCs w:val="32"/>
          <w:highlight w:val="none"/>
          <w:shd w:val="clear" w:color="auto" w:fill="FFFFFF"/>
          <w:lang w:val="zh-CN"/>
        </w:rPr>
        <w:t>。本部门预算项目实际列支内容与绩效目标设置方向相符，</w:t>
      </w:r>
      <w:r>
        <w:rPr>
          <w:rFonts w:hint="eastAsia" w:ascii="仿宋_GB2312" w:hAnsi="仿宋_GB2312" w:eastAsia="仿宋_GB2312" w:cs="仿宋_GB2312"/>
          <w:color w:val="000000"/>
          <w:kern w:val="0"/>
          <w:sz w:val="32"/>
          <w:szCs w:val="32"/>
          <w:highlight w:val="none"/>
          <w:shd w:val="clear" w:color="auto" w:fill="FFFFFF"/>
          <w:lang w:val="en-US" w:eastAsia="zh-CN"/>
        </w:rPr>
        <w:t>本部门共11个项目，</w:t>
      </w:r>
      <w:r>
        <w:rPr>
          <w:rFonts w:hint="eastAsia" w:ascii="仿宋_GB2312" w:hAnsi="仿宋_GB2312" w:eastAsia="仿宋_GB2312" w:cs="仿宋_GB2312"/>
          <w:color w:val="000000"/>
          <w:kern w:val="0"/>
          <w:sz w:val="32"/>
          <w:szCs w:val="32"/>
          <w:highlight w:val="none"/>
          <w:shd w:val="clear" w:color="auto" w:fill="FFFFFF"/>
          <w:lang w:val="zh-CN"/>
        </w:rPr>
        <w:t>预算结余率小于10%的常年项目数量</w:t>
      </w:r>
      <w:r>
        <w:rPr>
          <w:rFonts w:hint="eastAsia" w:ascii="仿宋_GB2312" w:hAnsi="仿宋_GB2312" w:eastAsia="仿宋_GB2312" w:cs="仿宋_GB2312"/>
          <w:color w:val="000000"/>
          <w:kern w:val="0"/>
          <w:sz w:val="32"/>
          <w:szCs w:val="32"/>
          <w:highlight w:val="none"/>
          <w:shd w:val="clear" w:color="auto" w:fill="FFFFFF"/>
          <w:lang w:val="en-US" w:eastAsia="zh-CN"/>
        </w:rPr>
        <w:t>6个</w:t>
      </w:r>
      <w:r>
        <w:rPr>
          <w:rFonts w:hint="eastAsia" w:ascii="仿宋_GB2312" w:hAnsi="仿宋_GB2312" w:eastAsia="仿宋_GB2312" w:cs="仿宋_GB2312"/>
          <w:color w:val="000000"/>
          <w:kern w:val="0"/>
          <w:sz w:val="32"/>
          <w:szCs w:val="32"/>
          <w:highlight w:val="none"/>
          <w:shd w:val="clear" w:color="auto" w:fill="FFFFFF"/>
          <w:lang w:val="zh-CN"/>
        </w:rPr>
        <w:t>，预算结余率小于10%的一次性项目和阶段项目数量</w:t>
      </w:r>
      <w:r>
        <w:rPr>
          <w:rFonts w:hint="eastAsia" w:ascii="仿宋_GB2312" w:hAnsi="仿宋_GB2312" w:eastAsia="仿宋_GB2312" w:cs="仿宋_GB2312"/>
          <w:color w:val="000000"/>
          <w:kern w:val="0"/>
          <w:sz w:val="32"/>
          <w:szCs w:val="32"/>
          <w:highlight w:val="none"/>
          <w:shd w:val="clear" w:color="auto" w:fill="FFFFFF"/>
          <w:lang w:val="en-US" w:eastAsia="zh-CN"/>
        </w:rPr>
        <w:t>5个，该项得分12分。</w:t>
      </w:r>
    </w:p>
    <w:p w14:paraId="43D9B74D">
      <w:pPr>
        <w:keepNext w:val="0"/>
        <w:keepLines w:val="0"/>
        <w:pageBreakBefore w:val="0"/>
        <w:widowControl w:val="0"/>
        <w:tabs>
          <w:tab w:val="left" w:pos="3400"/>
        </w:tabs>
        <w:kinsoku/>
        <w:wordWrap/>
        <w:overflowPunct/>
        <w:topLinePunct w:val="0"/>
        <w:autoSpaceDE/>
        <w:autoSpaceDN/>
        <w:bidi w:val="0"/>
        <w:adjustRightInd/>
        <w:snapToGrid/>
        <w:spacing w:line="480" w:lineRule="exact"/>
        <w:ind w:left="0" w:firstLine="640"/>
        <w:rPr>
          <w:rFonts w:hint="eastAsia" w:ascii="仿宋_GB2312" w:hAnsi="仿宋_GB2312" w:eastAsia="仿宋_GB2312" w:cs="仿宋_GB2312"/>
          <w:b/>
          <w:bCs w:val="0"/>
          <w:sz w:val="32"/>
          <w:szCs w:val="32"/>
          <w:highlight w:val="none"/>
          <w:lang w:val="en-US" w:eastAsia="zh-CN" w:bidi="ar-SA"/>
        </w:rPr>
      </w:pPr>
      <w:r>
        <w:rPr>
          <w:rFonts w:hint="eastAsia" w:ascii="仿宋_GB2312" w:hAnsi="仿宋_GB2312" w:eastAsia="仿宋_GB2312" w:cs="仿宋_GB2312"/>
          <w:color w:val="000000"/>
          <w:kern w:val="0"/>
          <w:sz w:val="32"/>
          <w:szCs w:val="32"/>
          <w:highlight w:val="none"/>
          <w:shd w:val="clear" w:color="auto" w:fill="FFFFFF"/>
          <w:lang w:val="en-US" w:eastAsia="zh-CN"/>
        </w:rPr>
        <w:t>3.</w:t>
      </w:r>
      <w:r>
        <w:rPr>
          <w:rFonts w:hint="eastAsia" w:ascii="仿宋_GB2312" w:hAnsi="仿宋_GB2312" w:eastAsia="仿宋_GB2312" w:cs="仿宋_GB2312"/>
          <w:color w:val="000000"/>
          <w:kern w:val="0"/>
          <w:sz w:val="32"/>
          <w:szCs w:val="32"/>
          <w:highlight w:val="none"/>
          <w:shd w:val="clear" w:color="auto" w:fill="FFFFFF"/>
          <w:lang w:val="zh-CN"/>
        </w:rPr>
        <w:t>目标实现。</w:t>
      </w:r>
      <w:r>
        <w:rPr>
          <w:rFonts w:hint="eastAsia" w:ascii="仿宋_GB2312" w:hAnsi="仿宋_GB2312" w:eastAsia="仿宋_GB2312" w:cs="仿宋_GB2312"/>
          <w:color w:val="000000"/>
          <w:kern w:val="0"/>
          <w:sz w:val="32"/>
          <w:szCs w:val="32"/>
          <w:highlight w:val="none"/>
          <w:shd w:val="clear" w:color="auto" w:fill="FFFFFF"/>
          <w:lang w:val="en-US" w:eastAsia="zh-CN"/>
        </w:rPr>
        <w:t>本部门设置</w:t>
      </w:r>
      <w:r>
        <w:rPr>
          <w:rFonts w:hint="eastAsia" w:ascii="仿宋_GB2312" w:hAnsi="仿宋_GB2312" w:eastAsia="仿宋_GB2312" w:cs="仿宋_GB2312"/>
          <w:color w:val="000000"/>
          <w:kern w:val="0"/>
          <w:sz w:val="32"/>
          <w:szCs w:val="32"/>
          <w:highlight w:val="none"/>
          <w:shd w:val="clear" w:color="auto" w:fill="FFFFFF"/>
          <w:lang w:val="zh-CN"/>
        </w:rPr>
        <w:t>绩效目标数量指标</w:t>
      </w:r>
      <w:r>
        <w:rPr>
          <w:rFonts w:hint="eastAsia" w:ascii="仿宋_GB2312" w:hAnsi="仿宋_GB2312" w:eastAsia="仿宋_GB2312" w:cs="仿宋_GB2312"/>
          <w:color w:val="000000"/>
          <w:kern w:val="0"/>
          <w:sz w:val="32"/>
          <w:szCs w:val="32"/>
          <w:highlight w:val="none"/>
          <w:shd w:val="clear" w:color="auto" w:fill="FFFFFF"/>
          <w:lang w:val="en-US" w:eastAsia="zh-CN"/>
        </w:rPr>
        <w:t>项目11个，</w:t>
      </w:r>
      <w:r>
        <w:rPr>
          <w:rFonts w:hint="eastAsia" w:ascii="仿宋_GB2312" w:hAnsi="仿宋_GB2312" w:eastAsia="仿宋_GB2312" w:cs="仿宋_GB2312"/>
          <w:color w:val="000000"/>
          <w:kern w:val="0"/>
          <w:sz w:val="32"/>
          <w:szCs w:val="32"/>
          <w:highlight w:val="none"/>
          <w:shd w:val="clear" w:color="auto" w:fill="FFFFFF"/>
          <w:lang w:val="zh-CN"/>
        </w:rPr>
        <w:t>完成绩效目标数量指标数量</w:t>
      </w:r>
      <w:r>
        <w:rPr>
          <w:rFonts w:hint="eastAsia" w:ascii="仿宋_GB2312" w:hAnsi="仿宋_GB2312" w:eastAsia="仿宋_GB2312" w:cs="仿宋_GB2312"/>
          <w:color w:val="000000"/>
          <w:kern w:val="0"/>
          <w:sz w:val="32"/>
          <w:szCs w:val="32"/>
          <w:highlight w:val="none"/>
          <w:shd w:val="clear" w:color="auto" w:fill="FFFFFF"/>
          <w:lang w:val="en-US" w:eastAsia="zh-CN"/>
        </w:rPr>
        <w:t>的项目11个，本部门设置绩效目标效益指标的部门预算阶段项目（含一次性项目）11个，完成绩效目标效益指标的部门预算阶段项目（含一次性项目）11个，</w:t>
      </w:r>
      <w:r>
        <w:rPr>
          <w:rFonts w:hint="eastAsia" w:ascii="Times New Roman" w:hAnsi="Times New Roman" w:eastAsia="仿宋_GB2312" w:cs="Times New Roman"/>
          <w:sz w:val="32"/>
          <w:szCs w:val="32"/>
          <w:highlight w:val="none"/>
          <w:lang w:val="en-US" w:eastAsia="zh-CN"/>
        </w:rPr>
        <w:t>本部门预算项目绩效目标数量指标实现程度与预期目标未偏离，</w:t>
      </w:r>
      <w:r>
        <w:rPr>
          <w:rFonts w:hint="eastAsia" w:ascii="仿宋_GB2312" w:hAnsi="仿宋_GB2312" w:eastAsia="仿宋_GB2312" w:cs="仿宋_GB2312"/>
          <w:color w:val="000000"/>
          <w:kern w:val="0"/>
          <w:sz w:val="32"/>
          <w:szCs w:val="32"/>
          <w:highlight w:val="none"/>
          <w:shd w:val="clear" w:color="auto" w:fill="FFFFFF"/>
          <w:lang w:val="en-US" w:eastAsia="zh-CN"/>
        </w:rPr>
        <w:t>该项得分11分</w:t>
      </w:r>
      <w:r>
        <w:rPr>
          <w:rFonts w:hint="eastAsia" w:ascii="仿宋_GB2312" w:hAnsi="仿宋_GB2312" w:eastAsia="仿宋_GB2312" w:cs="仿宋_GB2312"/>
          <w:color w:val="000000"/>
          <w:kern w:val="0"/>
          <w:sz w:val="32"/>
          <w:szCs w:val="32"/>
          <w:highlight w:val="none"/>
          <w:shd w:val="clear" w:color="auto" w:fill="FFFFFF"/>
          <w:lang w:val="zh-CN"/>
        </w:rPr>
        <w:t>。</w:t>
      </w:r>
      <w:r>
        <w:rPr>
          <w:rFonts w:hint="eastAsia" w:ascii="仿宋_GB2312" w:hAnsi="仿宋_GB2312" w:eastAsia="仿宋_GB2312" w:cs="仿宋_GB2312"/>
          <w:b/>
          <w:bCs w:val="0"/>
          <w:sz w:val="32"/>
          <w:szCs w:val="32"/>
          <w:highlight w:val="none"/>
          <w:lang w:val="en-US" w:eastAsia="zh-CN" w:bidi="ar-SA"/>
        </w:rPr>
        <w:t>绩效目标实现情况如下：</w:t>
      </w:r>
    </w:p>
    <w:p w14:paraId="37CCCE59">
      <w:pPr>
        <w:keepNext w:val="0"/>
        <w:keepLines w:val="0"/>
        <w:pageBreakBefore w:val="0"/>
        <w:widowControl w:val="0"/>
        <w:numPr>
          <w:ilvl w:val="0"/>
          <w:numId w:val="0"/>
        </w:numPr>
        <w:kinsoku/>
        <w:wordWrap/>
        <w:overflowPunct/>
        <w:topLinePunct w:val="0"/>
        <w:bidi w:val="0"/>
        <w:adjustRightInd/>
        <w:snapToGrid/>
        <w:spacing w:line="560" w:lineRule="exact"/>
        <w:ind w:firstLine="643"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bCs w:val="0"/>
          <w:sz w:val="32"/>
          <w:szCs w:val="32"/>
          <w:highlight w:val="none"/>
          <w:lang w:val="en-US" w:eastAsia="zh-CN" w:bidi="ar-SA"/>
        </w:rPr>
        <w:t>（1）大力开展提振消费。</w:t>
      </w:r>
      <w:r>
        <w:rPr>
          <w:rFonts w:hint="eastAsia" w:ascii="仿宋_GB2312" w:hAnsi="仿宋_GB2312" w:eastAsia="仿宋_GB2312" w:cs="仿宋_GB2312"/>
          <w:b w:val="0"/>
          <w:bCs w:val="0"/>
          <w:sz w:val="32"/>
          <w:szCs w:val="32"/>
          <w:highlight w:val="none"/>
          <w:lang w:val="en-US" w:eastAsia="zh-CN"/>
        </w:rPr>
        <w:t>2025年</w:t>
      </w:r>
      <w:r>
        <w:rPr>
          <w:rFonts w:hint="eastAsia" w:ascii="仿宋_GB2312" w:hAnsi="仿宋_GB2312" w:eastAsia="仿宋_GB2312" w:cs="仿宋_GB2312"/>
          <w:b w:val="0"/>
          <w:bCs w:val="0"/>
          <w:sz w:val="32"/>
          <w:szCs w:val="32"/>
          <w:highlight w:val="none"/>
          <w:lang w:eastAsia="zh-CN"/>
        </w:rPr>
        <w:t>以来，累计安排资金</w:t>
      </w:r>
      <w:r>
        <w:rPr>
          <w:rFonts w:hint="eastAsia" w:ascii="仿宋_GB2312" w:hAnsi="仿宋_GB2312" w:eastAsia="仿宋_GB2312" w:cs="仿宋_GB2312"/>
          <w:b w:val="0"/>
          <w:bCs w:val="0"/>
          <w:sz w:val="32"/>
          <w:szCs w:val="32"/>
          <w:highlight w:val="none"/>
          <w:lang w:val="en-US" w:eastAsia="zh-CN"/>
        </w:rPr>
        <w:t>4000</w:t>
      </w:r>
      <w:r>
        <w:rPr>
          <w:rFonts w:hint="eastAsia" w:ascii="仿宋_GB2312" w:hAnsi="仿宋_GB2312" w:eastAsia="仿宋_GB2312" w:cs="仿宋_GB2312"/>
          <w:b w:val="0"/>
          <w:bCs w:val="0"/>
          <w:sz w:val="32"/>
          <w:szCs w:val="32"/>
          <w:highlight w:val="none"/>
          <w:lang w:eastAsia="zh-CN"/>
        </w:rPr>
        <w:t>万元，发放消费券1</w:t>
      </w:r>
      <w:r>
        <w:rPr>
          <w:rFonts w:hint="eastAsia" w:ascii="仿宋_GB2312" w:hAnsi="仿宋_GB2312" w:eastAsia="仿宋_GB2312" w:cs="仿宋_GB2312"/>
          <w:b w:val="0"/>
          <w:bCs w:val="0"/>
          <w:sz w:val="32"/>
          <w:szCs w:val="32"/>
          <w:highlight w:val="none"/>
          <w:lang w:val="en-US" w:eastAsia="zh-CN"/>
        </w:rPr>
        <w:t>5</w:t>
      </w:r>
      <w:r>
        <w:rPr>
          <w:rFonts w:hint="eastAsia" w:ascii="仿宋_GB2312" w:hAnsi="仿宋_GB2312" w:eastAsia="仿宋_GB2312" w:cs="仿宋_GB2312"/>
          <w:b w:val="0"/>
          <w:bCs w:val="0"/>
          <w:sz w:val="32"/>
          <w:szCs w:val="32"/>
          <w:highlight w:val="none"/>
          <w:lang w:eastAsia="zh-CN"/>
        </w:rPr>
        <w:t>期，带动消费超</w:t>
      </w:r>
      <w:r>
        <w:rPr>
          <w:rFonts w:hint="eastAsia" w:ascii="仿宋_GB2312" w:hAnsi="仿宋_GB2312" w:eastAsia="仿宋_GB2312" w:cs="仿宋_GB2312"/>
          <w:b w:val="0"/>
          <w:bCs w:val="0"/>
          <w:sz w:val="32"/>
          <w:szCs w:val="32"/>
          <w:highlight w:val="none"/>
          <w:lang w:val="en-US" w:eastAsia="zh-CN"/>
        </w:rPr>
        <w:t>3.2</w:t>
      </w:r>
      <w:r>
        <w:rPr>
          <w:rFonts w:hint="eastAsia" w:ascii="仿宋_GB2312" w:hAnsi="仿宋_GB2312" w:eastAsia="仿宋_GB2312" w:cs="仿宋_GB2312"/>
          <w:b w:val="0"/>
          <w:bCs w:val="0"/>
          <w:sz w:val="32"/>
          <w:szCs w:val="32"/>
          <w:highlight w:val="none"/>
          <w:lang w:eastAsia="zh-CN"/>
        </w:rPr>
        <w:t>亿元（其中：安排资金</w:t>
      </w:r>
      <w:r>
        <w:rPr>
          <w:rFonts w:hint="eastAsia" w:ascii="仿宋_GB2312" w:hAnsi="仿宋_GB2312" w:eastAsia="仿宋_GB2312" w:cs="仿宋_GB2312"/>
          <w:b w:val="0"/>
          <w:bCs w:val="0"/>
          <w:sz w:val="32"/>
          <w:szCs w:val="32"/>
          <w:highlight w:val="none"/>
          <w:lang w:val="en-US" w:eastAsia="zh-CN"/>
        </w:rPr>
        <w:t>2065</w:t>
      </w:r>
      <w:r>
        <w:rPr>
          <w:rFonts w:hint="eastAsia" w:ascii="仿宋_GB2312" w:hAnsi="仿宋_GB2312" w:eastAsia="仿宋_GB2312" w:cs="仿宋_GB2312"/>
          <w:b w:val="0"/>
          <w:bCs w:val="0"/>
          <w:sz w:val="32"/>
          <w:szCs w:val="32"/>
          <w:highlight w:val="none"/>
          <w:lang w:eastAsia="zh-CN"/>
        </w:rPr>
        <w:t>万元，发放“汽车消费券”</w:t>
      </w:r>
      <w:r>
        <w:rPr>
          <w:rFonts w:hint="eastAsia" w:ascii="仿宋_GB2312" w:hAnsi="仿宋_GB2312" w:eastAsia="仿宋_GB2312" w:cs="仿宋_GB2312"/>
          <w:b w:val="0"/>
          <w:bCs w:val="0"/>
          <w:sz w:val="32"/>
          <w:szCs w:val="32"/>
          <w:highlight w:val="none"/>
          <w:lang w:val="en-US" w:eastAsia="zh-CN"/>
        </w:rPr>
        <w:t>6</w:t>
      </w:r>
      <w:r>
        <w:rPr>
          <w:rFonts w:hint="eastAsia" w:ascii="仿宋_GB2312" w:hAnsi="仿宋_GB2312" w:eastAsia="仿宋_GB2312" w:cs="仿宋_GB2312"/>
          <w:b w:val="0"/>
          <w:bCs w:val="0"/>
          <w:sz w:val="32"/>
          <w:szCs w:val="32"/>
          <w:highlight w:val="none"/>
          <w:lang w:eastAsia="zh-CN"/>
        </w:rPr>
        <w:t>期，销售各类车辆</w:t>
      </w:r>
      <w:r>
        <w:rPr>
          <w:rFonts w:hint="eastAsia" w:ascii="仿宋_GB2312" w:hAnsi="仿宋_GB2312" w:eastAsia="仿宋_GB2312" w:cs="仿宋_GB2312"/>
          <w:b w:val="0"/>
          <w:bCs w:val="0"/>
          <w:sz w:val="32"/>
          <w:szCs w:val="32"/>
          <w:highlight w:val="none"/>
          <w:lang w:val="en-US" w:eastAsia="zh-CN"/>
        </w:rPr>
        <w:t>2787</w:t>
      </w:r>
      <w:r>
        <w:rPr>
          <w:rFonts w:hint="eastAsia" w:ascii="仿宋_GB2312" w:hAnsi="仿宋_GB2312" w:eastAsia="仿宋_GB2312" w:cs="仿宋_GB2312"/>
          <w:b w:val="0"/>
          <w:bCs w:val="0"/>
          <w:sz w:val="32"/>
          <w:szCs w:val="32"/>
          <w:highlight w:val="none"/>
          <w:lang w:eastAsia="zh-CN"/>
        </w:rPr>
        <w:t>辆，带动消费超</w:t>
      </w:r>
      <w:r>
        <w:rPr>
          <w:rFonts w:hint="eastAsia" w:ascii="仿宋_GB2312" w:hAnsi="仿宋_GB2312" w:eastAsia="仿宋_GB2312" w:cs="仿宋_GB2312"/>
          <w:b w:val="0"/>
          <w:bCs w:val="0"/>
          <w:sz w:val="32"/>
          <w:szCs w:val="32"/>
          <w:highlight w:val="none"/>
          <w:lang w:val="en-US" w:eastAsia="zh-CN"/>
        </w:rPr>
        <w:t>2.6</w:t>
      </w:r>
      <w:r>
        <w:rPr>
          <w:rFonts w:hint="eastAsia" w:ascii="仿宋_GB2312" w:hAnsi="仿宋_GB2312" w:eastAsia="仿宋_GB2312" w:cs="仿宋_GB2312"/>
          <w:b w:val="0"/>
          <w:bCs w:val="0"/>
          <w:sz w:val="32"/>
          <w:szCs w:val="32"/>
          <w:highlight w:val="none"/>
          <w:lang w:eastAsia="zh-CN"/>
        </w:rPr>
        <w:t>亿元）；以旧换新申请量达</w:t>
      </w:r>
      <w:r>
        <w:rPr>
          <w:rFonts w:hint="eastAsia" w:ascii="仿宋_GB2312" w:hAnsi="仿宋_GB2312" w:eastAsia="仿宋_GB2312" w:cs="仿宋_GB2312"/>
          <w:b w:val="0"/>
          <w:bCs w:val="0"/>
          <w:sz w:val="32"/>
          <w:szCs w:val="32"/>
          <w:highlight w:val="none"/>
          <w:lang w:val="en-US" w:eastAsia="zh-CN"/>
        </w:rPr>
        <w:t>22070</w:t>
      </w:r>
      <w:r>
        <w:rPr>
          <w:rFonts w:hint="eastAsia" w:ascii="仿宋_GB2312" w:hAnsi="仿宋_GB2312" w:eastAsia="仿宋_GB2312" w:cs="仿宋_GB2312"/>
          <w:b w:val="0"/>
          <w:bCs w:val="0"/>
          <w:sz w:val="32"/>
          <w:szCs w:val="32"/>
          <w:highlight w:val="none"/>
          <w:lang w:eastAsia="zh-CN"/>
        </w:rPr>
        <w:t>件，带动消费2.</w:t>
      </w:r>
      <w:r>
        <w:rPr>
          <w:rFonts w:hint="eastAsia" w:ascii="仿宋_GB2312" w:hAnsi="仿宋_GB2312" w:eastAsia="仿宋_GB2312" w:cs="仿宋_GB2312"/>
          <w:b w:val="0"/>
          <w:bCs w:val="0"/>
          <w:sz w:val="32"/>
          <w:szCs w:val="32"/>
          <w:highlight w:val="none"/>
          <w:lang w:val="en-US" w:eastAsia="zh-CN"/>
        </w:rPr>
        <w:t>3</w:t>
      </w:r>
      <w:r>
        <w:rPr>
          <w:rFonts w:hint="eastAsia" w:ascii="仿宋_GB2312" w:hAnsi="仿宋_GB2312" w:eastAsia="仿宋_GB2312" w:cs="仿宋_GB2312"/>
          <w:b w:val="0"/>
          <w:bCs w:val="0"/>
          <w:sz w:val="32"/>
          <w:szCs w:val="32"/>
          <w:highlight w:val="none"/>
          <w:lang w:eastAsia="zh-CN"/>
        </w:rPr>
        <w:t>亿元；安排资金</w:t>
      </w:r>
      <w:r>
        <w:rPr>
          <w:rFonts w:hint="eastAsia" w:ascii="仿宋_GB2312" w:hAnsi="仿宋_GB2312" w:eastAsia="仿宋_GB2312" w:cs="仿宋_GB2312"/>
          <w:b w:val="0"/>
          <w:bCs w:val="0"/>
          <w:sz w:val="32"/>
          <w:szCs w:val="32"/>
          <w:highlight w:val="none"/>
          <w:lang w:val="en-US" w:eastAsia="zh-CN"/>
        </w:rPr>
        <w:t>320余万元，支持</w:t>
      </w:r>
      <w:r>
        <w:rPr>
          <w:rFonts w:hint="eastAsia" w:ascii="仿宋_GB2312" w:hAnsi="仿宋_GB2312" w:eastAsia="仿宋_GB2312" w:cs="仿宋_GB2312"/>
          <w:b w:val="0"/>
          <w:bCs w:val="0"/>
          <w:sz w:val="32"/>
          <w:szCs w:val="32"/>
          <w:highlight w:val="none"/>
          <w:lang w:eastAsia="zh-CN"/>
        </w:rPr>
        <w:t>川超“赛事”，带动消费超2000万元；组织企业（单位）200家次，参加进博会、“阿坝-成都”农商对接等活动，共达成意向购销合作协议5个，协议金额超1.1亿元。</w:t>
      </w:r>
      <w:r>
        <w:rPr>
          <w:rFonts w:hint="eastAsia" w:ascii="仿宋_GB2312" w:hAnsi="仿宋_GB2312" w:eastAsia="仿宋_GB2312" w:cs="仿宋_GB2312"/>
          <w:b w:val="0"/>
          <w:bCs w:val="0"/>
          <w:sz w:val="32"/>
          <w:szCs w:val="32"/>
          <w:highlight w:val="none"/>
          <w:lang w:val="en-US" w:eastAsia="zh-CN"/>
        </w:rPr>
        <w:t xml:space="preserve">   </w:t>
      </w:r>
    </w:p>
    <w:p w14:paraId="042348A1">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60" w:lineRule="exact"/>
        <w:ind w:left="0" w:right="0" w:firstLine="643" w:firstLineChars="200"/>
        <w:jc w:val="both"/>
        <w:textAlignment w:val="auto"/>
        <w:outlineLvl w:val="9"/>
        <w:rPr>
          <w:rFonts w:hint="eastAsia" w:ascii="仿宋_GB2312" w:hAnsi="仿宋_GB2312" w:eastAsia="仿宋_GB2312" w:cs="仿宋_GB2312"/>
          <w:b w:val="0"/>
          <w:bCs w:val="0"/>
          <w:caps w:val="0"/>
          <w:color w:val="auto"/>
          <w:kern w:val="2"/>
          <w:sz w:val="32"/>
          <w:szCs w:val="32"/>
          <w:highlight w:val="none"/>
          <w:vertAlign w:val="baseline"/>
          <w:lang w:val="en-US" w:eastAsia="zh-CN"/>
        </w:rPr>
      </w:pPr>
      <w:r>
        <w:rPr>
          <w:rFonts w:hint="eastAsia" w:ascii="仿宋_GB2312" w:hAnsi="仿宋_GB2312" w:eastAsia="仿宋_GB2312" w:cs="仿宋_GB2312"/>
          <w:b/>
          <w:bCs w:val="0"/>
          <w:sz w:val="32"/>
          <w:szCs w:val="32"/>
          <w:highlight w:val="none"/>
          <w:lang w:val="en-US" w:eastAsia="zh-CN" w:bidi="ar-SA"/>
        </w:rPr>
        <w:t>（2）加快各类项目推进。</w:t>
      </w:r>
      <w:r>
        <w:rPr>
          <w:rFonts w:hint="eastAsia" w:ascii="仿宋_GB2312" w:hAnsi="仿宋_GB2312" w:eastAsia="仿宋_GB2312" w:cs="仿宋_GB2312"/>
          <w:b/>
          <w:bCs/>
          <w:sz w:val="32"/>
          <w:szCs w:val="32"/>
          <w:highlight w:val="none"/>
          <w:lang w:eastAsia="zh-CN"/>
        </w:rPr>
        <w:t>一是</w:t>
      </w:r>
      <w:r>
        <w:rPr>
          <w:rFonts w:hint="eastAsia" w:ascii="仿宋_GB2312" w:hAnsi="仿宋_GB2312" w:eastAsia="仿宋_GB2312" w:cs="仿宋_GB2312"/>
          <w:b w:val="0"/>
          <w:bCs w:val="0"/>
          <w:sz w:val="32"/>
          <w:szCs w:val="32"/>
          <w:highlight w:val="none"/>
          <w:lang w:eastAsia="zh-CN"/>
        </w:rPr>
        <w:t>申报成功专项债券项目</w:t>
      </w:r>
      <w:r>
        <w:rPr>
          <w:rFonts w:hint="eastAsia" w:ascii="仿宋_GB2312" w:hAnsi="仿宋_GB2312" w:eastAsia="仿宋_GB2312" w:cs="仿宋_GB2312"/>
          <w:b w:val="0"/>
          <w:bCs w:val="0"/>
          <w:sz w:val="32"/>
          <w:szCs w:val="32"/>
          <w:highlight w:val="none"/>
          <w:lang w:val="en-US" w:eastAsia="zh-CN"/>
        </w:rPr>
        <w:t>3个，</w:t>
      </w:r>
      <w:r>
        <w:rPr>
          <w:rFonts w:hint="eastAsia" w:ascii="仿宋_GB2312" w:hAnsi="仿宋_GB2312" w:eastAsia="仿宋_GB2312" w:cs="仿宋_GB2312"/>
          <w:b w:val="0"/>
          <w:bCs w:val="0"/>
          <w:sz w:val="32"/>
          <w:szCs w:val="32"/>
          <w:highlight w:val="none"/>
          <w:lang w:eastAsia="zh-CN"/>
        </w:rPr>
        <w:t>到位专项债券资金1.412亿元；</w:t>
      </w:r>
      <w:r>
        <w:rPr>
          <w:rFonts w:hint="eastAsia" w:ascii="仿宋_GB2312" w:hAnsi="仿宋_GB2312" w:eastAsia="仿宋_GB2312" w:cs="仿宋_GB2312"/>
          <w:b w:val="0"/>
          <w:bCs w:val="0"/>
          <w:caps w:val="0"/>
          <w:color w:val="auto"/>
          <w:kern w:val="2"/>
          <w:sz w:val="32"/>
          <w:szCs w:val="32"/>
          <w:highlight w:val="none"/>
          <w:vertAlign w:val="baseline"/>
          <w:lang w:val="en-US" w:eastAsia="zh-CN" w:bidi="ar"/>
        </w:rPr>
        <w:t>积极申报2026年第一批专项债券项目，通过省级联审项目4个</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bCs/>
          <w:sz w:val="32"/>
          <w:szCs w:val="32"/>
          <w:highlight w:val="none"/>
          <w:lang w:eastAsia="zh-CN"/>
        </w:rPr>
        <w:t>二是</w:t>
      </w:r>
      <w:r>
        <w:rPr>
          <w:rFonts w:hint="eastAsia" w:ascii="仿宋_GB2312" w:hAnsi="仿宋_GB2312" w:eastAsia="仿宋_GB2312" w:cs="仿宋_GB2312"/>
          <w:b w:val="0"/>
          <w:bCs w:val="0"/>
          <w:sz w:val="32"/>
          <w:szCs w:val="32"/>
          <w:highlight w:val="none"/>
          <w:lang w:eastAsia="zh-CN"/>
        </w:rPr>
        <w:t>积极争取县域商业建设行动项目资金</w:t>
      </w:r>
      <w:r>
        <w:rPr>
          <w:rFonts w:hint="eastAsia" w:ascii="仿宋_GB2312" w:hAnsi="仿宋_GB2312" w:eastAsia="仿宋_GB2312" w:cs="仿宋_GB2312"/>
          <w:b w:val="0"/>
          <w:bCs w:val="0"/>
          <w:sz w:val="32"/>
          <w:szCs w:val="32"/>
          <w:highlight w:val="none"/>
          <w:lang w:val="en-US" w:eastAsia="zh-CN"/>
        </w:rPr>
        <w:t>433万元，支持5个县（市）补齐商业体系短板。</w:t>
      </w:r>
      <w:r>
        <w:rPr>
          <w:rFonts w:hint="eastAsia" w:ascii="仿宋_GB2312" w:hAnsi="仿宋_GB2312" w:eastAsia="仿宋_GB2312" w:cs="仿宋_GB2312"/>
          <w:b/>
          <w:bCs/>
          <w:sz w:val="32"/>
          <w:szCs w:val="32"/>
          <w:highlight w:val="none"/>
          <w:lang w:val="en-US" w:eastAsia="zh-CN"/>
        </w:rPr>
        <w:t>三是</w:t>
      </w:r>
      <w:r>
        <w:rPr>
          <w:rFonts w:hint="eastAsia" w:ascii="仿宋_GB2312" w:hAnsi="仿宋_GB2312" w:eastAsia="仿宋_GB2312" w:cs="仿宋_GB2312"/>
          <w:b w:val="0"/>
          <w:bCs w:val="0"/>
          <w:caps w:val="0"/>
          <w:color w:val="auto"/>
          <w:kern w:val="2"/>
          <w:sz w:val="32"/>
          <w:szCs w:val="32"/>
          <w:highlight w:val="none"/>
          <w:vertAlign w:val="baseline"/>
          <w:lang w:val="en-US" w:eastAsia="zh-CN" w:bidi="ar"/>
        </w:rPr>
        <w:t>成功申报小金县、红原县、黑水县3县为全省第三批县域商业建设行动激励县支持县，落地补贴资金1696.2万元。</w:t>
      </w:r>
      <w:r>
        <w:rPr>
          <w:rFonts w:hint="eastAsia" w:ascii="仿宋_GB2312" w:hAnsi="仿宋_GB2312" w:eastAsia="仿宋_GB2312" w:cs="仿宋_GB2312"/>
          <w:b/>
          <w:bCs/>
          <w:sz w:val="32"/>
          <w:szCs w:val="32"/>
          <w:highlight w:val="none"/>
          <w:lang w:val="en-US" w:eastAsia="zh-CN"/>
        </w:rPr>
        <w:t>四是</w:t>
      </w:r>
      <w:r>
        <w:rPr>
          <w:rFonts w:hint="eastAsia" w:ascii="仿宋_GB2312" w:hAnsi="仿宋_GB2312" w:eastAsia="仿宋_GB2312" w:cs="仿宋_GB2312"/>
          <w:b w:val="0"/>
          <w:bCs w:val="0"/>
          <w:caps w:val="0"/>
          <w:color w:val="auto"/>
          <w:kern w:val="2"/>
          <w:sz w:val="32"/>
          <w:szCs w:val="32"/>
          <w:highlight w:val="none"/>
          <w:vertAlign w:val="baseline"/>
          <w:lang w:val="en-US" w:eastAsia="zh-CN" w:bidi="ar"/>
        </w:rPr>
        <w:t>成功申报小金县斯古拉文旅城—乐游蜀地项目为2025年度四川省“蜀里安逸”消费新场景支持项目，落地补贴资金200万元。</w:t>
      </w:r>
      <w:r>
        <w:rPr>
          <w:rFonts w:hint="eastAsia" w:ascii="仿宋_GB2312" w:hAnsi="仿宋_GB2312" w:eastAsia="仿宋_GB2312" w:cs="仿宋_GB2312"/>
          <w:b/>
          <w:bCs/>
          <w:sz w:val="32"/>
          <w:szCs w:val="32"/>
          <w:highlight w:val="none"/>
          <w:lang w:val="en-US" w:eastAsia="zh-CN"/>
        </w:rPr>
        <w:t>五是</w:t>
      </w:r>
      <w:r>
        <w:rPr>
          <w:rFonts w:hint="eastAsia" w:ascii="仿宋_GB2312" w:hAnsi="仿宋_GB2312" w:eastAsia="仿宋_GB2312" w:cs="仿宋_GB2312"/>
          <w:b w:val="0"/>
          <w:bCs w:val="0"/>
          <w:caps w:val="0"/>
          <w:color w:val="auto"/>
          <w:kern w:val="2"/>
          <w:sz w:val="32"/>
          <w:szCs w:val="32"/>
          <w:highlight w:val="none"/>
          <w:vertAlign w:val="baseline"/>
          <w:lang w:val="en-US" w:eastAsia="zh-CN" w:bidi="ar"/>
        </w:rPr>
        <w:t>完成小金县美诺特色商业街、茂县古羌城商业街、松潘县“大唐神韵”商贸集聚区、九寨沟卓玛雅集夜市、汶川县水磨镇禅寿老街5个特色商业街区风貌提升、配套设施建设等工作，新增入驻商户超150户，带动县域消费持续升温。</w:t>
      </w:r>
      <w:r>
        <w:rPr>
          <w:rFonts w:hint="eastAsia" w:ascii="仿宋_GB2312" w:hAnsi="仿宋_GB2312" w:eastAsia="仿宋_GB2312" w:cs="仿宋_GB2312"/>
          <w:b/>
          <w:bCs/>
          <w:caps w:val="0"/>
          <w:color w:val="auto"/>
          <w:kern w:val="2"/>
          <w:sz w:val="32"/>
          <w:szCs w:val="32"/>
          <w:highlight w:val="none"/>
          <w:vertAlign w:val="baseline"/>
          <w:lang w:val="en-US" w:eastAsia="zh-CN" w:bidi="ar"/>
        </w:rPr>
        <w:t>六是</w:t>
      </w:r>
      <w:r>
        <w:rPr>
          <w:rFonts w:hint="eastAsia" w:ascii="仿宋_GB2312" w:hAnsi="仿宋_GB2312" w:eastAsia="仿宋_GB2312" w:cs="仿宋_GB2312"/>
          <w:b w:val="0"/>
          <w:bCs w:val="0"/>
          <w:caps w:val="0"/>
          <w:color w:val="auto"/>
          <w:kern w:val="2"/>
          <w:sz w:val="32"/>
          <w:szCs w:val="32"/>
          <w:highlight w:val="none"/>
          <w:vertAlign w:val="baseline"/>
          <w:lang w:val="en-US" w:eastAsia="zh-CN" w:bidi="ar"/>
        </w:rPr>
        <w:t>积极筹备“十五五”服务业发展规划编制，收集项目50个，总投资达127.86亿元。</w:t>
      </w:r>
      <w:r>
        <w:rPr>
          <w:rFonts w:hint="eastAsia" w:ascii="仿宋_GB2312" w:hAnsi="仿宋_GB2312" w:eastAsia="仿宋_GB2312" w:cs="仿宋_GB2312"/>
          <w:b/>
          <w:bCs/>
          <w:caps w:val="0"/>
          <w:color w:val="auto"/>
          <w:kern w:val="2"/>
          <w:sz w:val="32"/>
          <w:szCs w:val="32"/>
          <w:highlight w:val="none"/>
          <w:vertAlign w:val="baseline"/>
          <w:lang w:val="en-US" w:eastAsia="zh-CN" w:bidi="ar"/>
        </w:rPr>
        <w:t>七是</w:t>
      </w:r>
      <w:r>
        <w:rPr>
          <w:rFonts w:hint="eastAsia" w:ascii="仿宋_GB2312" w:hAnsi="仿宋_GB2312" w:eastAsia="仿宋_GB2312" w:cs="仿宋_GB2312"/>
          <w:b w:val="0"/>
          <w:bCs w:val="0"/>
          <w:caps w:val="0"/>
          <w:color w:val="auto"/>
          <w:kern w:val="2"/>
          <w:sz w:val="32"/>
          <w:szCs w:val="32"/>
          <w:highlight w:val="none"/>
          <w:vertAlign w:val="baseline"/>
          <w:lang w:val="en-US" w:eastAsia="zh-CN" w:bidi="ar"/>
        </w:rPr>
        <w:t>申报成功服务业集聚区项目1个，获省级奖励资金1500万元。</w:t>
      </w:r>
      <w:r>
        <w:rPr>
          <w:rFonts w:hint="eastAsia" w:ascii="仿宋_GB2312" w:hAnsi="仿宋_GB2312" w:eastAsia="仿宋_GB2312" w:cs="仿宋_GB2312"/>
          <w:b/>
          <w:bCs/>
          <w:caps w:val="0"/>
          <w:color w:val="auto"/>
          <w:kern w:val="2"/>
          <w:sz w:val="32"/>
          <w:szCs w:val="32"/>
          <w:highlight w:val="none"/>
          <w:vertAlign w:val="baseline"/>
          <w:lang w:val="en-US" w:eastAsia="zh-CN" w:bidi="ar"/>
        </w:rPr>
        <w:t>八是</w:t>
      </w:r>
      <w:r>
        <w:rPr>
          <w:rFonts w:hint="eastAsia" w:ascii="仿宋_GB2312" w:hAnsi="仿宋_GB2312" w:eastAsia="仿宋_GB2312" w:cs="仿宋_GB2312"/>
          <w:b w:val="0"/>
          <w:bCs w:val="0"/>
          <w:caps w:val="0"/>
          <w:color w:val="auto"/>
          <w:kern w:val="2"/>
          <w:sz w:val="32"/>
          <w:szCs w:val="32"/>
          <w:highlight w:val="none"/>
          <w:vertAlign w:val="baseline"/>
          <w:lang w:val="en-US" w:eastAsia="zh-CN" w:bidi="ar"/>
        </w:rPr>
        <w:t>上报14个具有阿坝特色的“烟火小店”典型案例。</w:t>
      </w:r>
    </w:p>
    <w:p w14:paraId="426E9011">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60" w:lineRule="exact"/>
        <w:ind w:left="0" w:right="0" w:firstLine="643" w:firstLineChars="200"/>
        <w:jc w:val="both"/>
        <w:textAlignment w:val="auto"/>
        <w:outlineLvl w:val="9"/>
        <w:rPr>
          <w:rFonts w:hint="eastAsia" w:ascii="仿宋_GB2312" w:hAnsi="仿宋_GB2312" w:eastAsia="仿宋_GB2312" w:cs="仿宋_GB2312"/>
          <w:b w:val="0"/>
          <w:bCs w:val="0"/>
          <w:caps w:val="0"/>
          <w:color w:val="auto"/>
          <w:sz w:val="32"/>
          <w:szCs w:val="32"/>
          <w:highlight w:val="none"/>
          <w:vertAlign w:val="baseline"/>
          <w:lang w:val="en-US" w:eastAsia="zh-CN"/>
        </w:rPr>
      </w:pPr>
      <w:r>
        <w:rPr>
          <w:rFonts w:hint="eastAsia" w:ascii="仿宋_GB2312" w:hAnsi="仿宋_GB2312" w:eastAsia="仿宋_GB2312" w:cs="仿宋_GB2312"/>
          <w:b/>
          <w:bCs w:val="0"/>
          <w:sz w:val="32"/>
          <w:szCs w:val="32"/>
          <w:highlight w:val="none"/>
          <w:lang w:val="en-US" w:eastAsia="zh-CN" w:bidi="ar-SA"/>
        </w:rPr>
        <w:t>（3）积极助企纾困。</w:t>
      </w:r>
      <w:r>
        <w:rPr>
          <w:rFonts w:hint="eastAsia" w:ascii="仿宋_GB2312" w:hAnsi="仿宋_GB2312" w:eastAsia="仿宋_GB2312" w:cs="仿宋_GB2312"/>
          <w:b/>
          <w:bCs/>
          <w:sz w:val="32"/>
          <w:szCs w:val="32"/>
          <w:highlight w:val="none"/>
          <w:lang w:eastAsia="zh-CN"/>
        </w:rPr>
        <w:t>一是</w:t>
      </w:r>
      <w:r>
        <w:rPr>
          <w:rFonts w:hint="eastAsia" w:ascii="仿宋_GB2312" w:hAnsi="仿宋_GB2312" w:eastAsia="仿宋_GB2312" w:cs="仿宋_GB2312"/>
          <w:b w:val="0"/>
          <w:bCs w:val="0"/>
          <w:sz w:val="32"/>
          <w:szCs w:val="32"/>
          <w:highlight w:val="none"/>
          <w:lang w:eastAsia="zh-CN"/>
        </w:rPr>
        <w:t>积极兑现“升规上限”奖励资金</w:t>
      </w:r>
      <w:r>
        <w:rPr>
          <w:rFonts w:hint="eastAsia" w:ascii="仿宋_GB2312" w:hAnsi="仿宋_GB2312" w:eastAsia="仿宋_GB2312" w:cs="仿宋_GB2312"/>
          <w:b w:val="0"/>
          <w:bCs w:val="0"/>
          <w:sz w:val="32"/>
          <w:szCs w:val="32"/>
          <w:highlight w:val="none"/>
          <w:lang w:val="en-US" w:eastAsia="zh-CN"/>
        </w:rPr>
        <w:t>391余万元。</w:t>
      </w:r>
      <w:r>
        <w:rPr>
          <w:rFonts w:hint="eastAsia" w:ascii="仿宋_GB2312" w:hAnsi="仿宋_GB2312" w:eastAsia="仿宋_GB2312" w:cs="仿宋_GB2312"/>
          <w:b/>
          <w:bCs/>
          <w:sz w:val="32"/>
          <w:szCs w:val="32"/>
          <w:highlight w:val="none"/>
          <w:lang w:val="en-US" w:eastAsia="zh-CN"/>
        </w:rPr>
        <w:t>二是</w:t>
      </w:r>
      <w:r>
        <w:rPr>
          <w:rFonts w:hint="eastAsia" w:ascii="仿宋_GB2312" w:hAnsi="仿宋_GB2312" w:eastAsia="仿宋_GB2312" w:cs="仿宋_GB2312"/>
          <w:b w:val="0"/>
          <w:bCs w:val="0"/>
          <w:sz w:val="32"/>
          <w:szCs w:val="32"/>
          <w:highlight w:val="none"/>
          <w:lang w:val="en-US" w:eastAsia="zh-CN"/>
        </w:rPr>
        <w:t>争取全州</w:t>
      </w:r>
      <w:r>
        <w:rPr>
          <w:rFonts w:hint="eastAsia" w:ascii="仿宋_GB2312" w:hAnsi="仿宋_GB2312" w:eastAsia="仿宋_GB2312" w:cs="仿宋_GB2312"/>
          <w:b w:val="0"/>
          <w:bCs w:val="0"/>
          <w:caps w:val="0"/>
          <w:color w:val="auto"/>
          <w:kern w:val="2"/>
          <w:sz w:val="32"/>
          <w:szCs w:val="32"/>
          <w:highlight w:val="none"/>
          <w:vertAlign w:val="baseline"/>
          <w:lang w:val="en-US" w:eastAsia="zh-CN" w:bidi="ar"/>
        </w:rPr>
        <w:t>74户规上服务业企业纳入省级“服保贷”支持范围，切实缓解企业融资难题。</w:t>
      </w:r>
      <w:r>
        <w:rPr>
          <w:rFonts w:hint="eastAsia" w:ascii="仿宋_GB2312" w:hAnsi="仿宋_GB2312" w:eastAsia="仿宋_GB2312" w:cs="仿宋_GB2312"/>
          <w:b/>
          <w:bCs/>
          <w:caps w:val="0"/>
          <w:color w:val="auto"/>
          <w:kern w:val="2"/>
          <w:sz w:val="32"/>
          <w:szCs w:val="32"/>
          <w:highlight w:val="none"/>
          <w:vertAlign w:val="baseline"/>
          <w:lang w:val="en-US" w:eastAsia="zh-CN" w:bidi="ar"/>
        </w:rPr>
        <w:t>三是</w:t>
      </w:r>
      <w:r>
        <w:rPr>
          <w:rFonts w:hint="eastAsia" w:ascii="仿宋_GB2312" w:hAnsi="仿宋_GB2312" w:eastAsia="仿宋_GB2312" w:cs="仿宋_GB2312"/>
          <w:b w:val="0"/>
          <w:bCs w:val="0"/>
          <w:caps w:val="0"/>
          <w:color w:val="auto"/>
          <w:kern w:val="2"/>
          <w:sz w:val="32"/>
          <w:szCs w:val="32"/>
          <w:highlight w:val="none"/>
          <w:vertAlign w:val="baseline"/>
          <w:lang w:val="en-US" w:eastAsia="zh-CN" w:bidi="ar"/>
        </w:rPr>
        <w:t>积极推动党建引领电商行业发展，开展阿坝州电子商务协会换届并成立阿坝州电子商务行业委员会；成功举办第三届阿坝州电商直播大赛，实现网络销售额100余万元；全年全州网络交易额达171.87亿元，同比增长18%；农产品网络零售额3.5亿元，同比增长16.4%；5名电商指导员成功获批省厅支持。</w:t>
      </w:r>
      <w:r>
        <w:rPr>
          <w:rFonts w:hint="eastAsia" w:ascii="仿宋_GB2312" w:hAnsi="仿宋_GB2312" w:eastAsia="仿宋_GB2312" w:cs="仿宋_GB2312"/>
          <w:b/>
          <w:bCs/>
          <w:caps w:val="0"/>
          <w:color w:val="auto"/>
          <w:kern w:val="2"/>
          <w:sz w:val="32"/>
          <w:szCs w:val="32"/>
          <w:highlight w:val="none"/>
          <w:vertAlign w:val="baseline"/>
          <w:lang w:val="en-US" w:eastAsia="zh-CN" w:bidi="ar"/>
        </w:rPr>
        <w:t>四是</w:t>
      </w:r>
      <w:r>
        <w:rPr>
          <w:rFonts w:hint="eastAsia" w:ascii="仿宋_GB2312" w:hAnsi="仿宋_GB2312" w:eastAsia="仿宋_GB2312" w:cs="仿宋_GB2312"/>
          <w:b w:val="0"/>
          <w:bCs w:val="0"/>
          <w:caps w:val="0"/>
          <w:color w:val="auto"/>
          <w:sz w:val="32"/>
          <w:szCs w:val="32"/>
          <w:highlight w:val="none"/>
          <w:vertAlign w:val="baseline"/>
          <w:lang w:val="en-US" w:eastAsia="zh-CN"/>
        </w:rPr>
        <w:t>走访外贸企业20家（次），协调解决</w:t>
      </w:r>
      <w:r>
        <w:rPr>
          <w:rFonts w:hint="eastAsia" w:ascii="仿宋_GB2312" w:hAnsi="仿宋_GB2312" w:eastAsia="仿宋_GB2312" w:cs="仿宋_GB2312"/>
          <w:b w:val="0"/>
          <w:bCs w:val="0"/>
          <w:caps w:val="0"/>
          <w:color w:val="auto"/>
          <w:sz w:val="32"/>
          <w:szCs w:val="32"/>
          <w:highlight w:val="none"/>
          <w:vertAlign w:val="baseline"/>
        </w:rPr>
        <w:t>政策</w:t>
      </w:r>
      <w:r>
        <w:rPr>
          <w:rFonts w:hint="eastAsia" w:ascii="仿宋_GB2312" w:hAnsi="仿宋_GB2312" w:eastAsia="仿宋_GB2312" w:cs="仿宋_GB2312"/>
          <w:b w:val="0"/>
          <w:bCs w:val="0"/>
          <w:caps w:val="0"/>
          <w:color w:val="auto"/>
          <w:sz w:val="32"/>
          <w:szCs w:val="32"/>
          <w:highlight w:val="none"/>
          <w:vertAlign w:val="baseline"/>
          <w:lang w:val="en-US" w:eastAsia="zh-CN"/>
        </w:rPr>
        <w:t>申报、资金</w:t>
      </w:r>
      <w:r>
        <w:rPr>
          <w:rFonts w:hint="eastAsia" w:ascii="仿宋_GB2312" w:hAnsi="仿宋_GB2312" w:eastAsia="仿宋_GB2312" w:cs="仿宋_GB2312"/>
          <w:b w:val="0"/>
          <w:bCs w:val="0"/>
          <w:caps w:val="0"/>
          <w:color w:val="auto"/>
          <w:sz w:val="32"/>
          <w:szCs w:val="32"/>
          <w:highlight w:val="none"/>
          <w:vertAlign w:val="baseline"/>
        </w:rPr>
        <w:t>兑现</w:t>
      </w:r>
      <w:r>
        <w:rPr>
          <w:rFonts w:hint="eastAsia" w:ascii="仿宋_GB2312" w:hAnsi="仿宋_GB2312" w:eastAsia="仿宋_GB2312" w:cs="仿宋_GB2312"/>
          <w:b w:val="0"/>
          <w:bCs w:val="0"/>
          <w:caps w:val="0"/>
          <w:color w:val="auto"/>
          <w:sz w:val="32"/>
          <w:szCs w:val="32"/>
          <w:highlight w:val="none"/>
          <w:vertAlign w:val="baseline"/>
          <w:lang w:eastAsia="zh-CN"/>
        </w:rPr>
        <w:t>、</w:t>
      </w:r>
      <w:r>
        <w:rPr>
          <w:rFonts w:hint="eastAsia" w:ascii="仿宋_GB2312" w:hAnsi="仿宋_GB2312" w:eastAsia="仿宋_GB2312" w:cs="仿宋_GB2312"/>
          <w:b w:val="0"/>
          <w:bCs w:val="0"/>
          <w:caps w:val="0"/>
          <w:color w:val="auto"/>
          <w:sz w:val="32"/>
          <w:szCs w:val="32"/>
          <w:highlight w:val="none"/>
          <w:vertAlign w:val="baseline"/>
          <w:lang w:val="en-US" w:eastAsia="zh-CN"/>
        </w:rPr>
        <w:t>出口退税等方面问题5起；</w:t>
      </w:r>
      <w:r>
        <w:rPr>
          <w:rFonts w:hint="eastAsia" w:ascii="仿宋_GB2312" w:hAnsi="仿宋_GB2312" w:eastAsia="仿宋_GB2312" w:cs="仿宋_GB2312"/>
          <w:b w:val="0"/>
          <w:bCs w:val="0"/>
          <w:caps w:val="0"/>
          <w:color w:val="auto"/>
          <w:sz w:val="32"/>
          <w:szCs w:val="32"/>
          <w:highlight w:val="none"/>
          <w:vertAlign w:val="baseline"/>
          <w:lang w:eastAsia="zh-CN"/>
        </w:rPr>
        <w:t>组织</w:t>
      </w:r>
      <w:r>
        <w:rPr>
          <w:rFonts w:hint="eastAsia" w:ascii="仿宋_GB2312" w:hAnsi="仿宋_GB2312" w:eastAsia="仿宋_GB2312" w:cs="仿宋_GB2312"/>
          <w:b w:val="0"/>
          <w:bCs w:val="0"/>
          <w:caps w:val="0"/>
          <w:color w:val="auto"/>
          <w:sz w:val="32"/>
          <w:szCs w:val="32"/>
          <w:highlight w:val="none"/>
          <w:vertAlign w:val="baseline"/>
          <w:lang w:val="en-US" w:eastAsia="zh-CN"/>
        </w:rPr>
        <w:t>15家（次）外贸企业参加全省“单一窗口”和省级外贸业务专题培训；</w:t>
      </w:r>
      <w:r>
        <w:rPr>
          <w:rFonts w:hint="eastAsia" w:ascii="仿宋_GB2312" w:hAnsi="仿宋_GB2312" w:eastAsia="仿宋_GB2312" w:cs="仿宋_GB2312"/>
          <w:b w:val="0"/>
          <w:bCs w:val="0"/>
          <w:caps w:val="0"/>
          <w:color w:val="auto"/>
          <w:sz w:val="32"/>
          <w:szCs w:val="32"/>
          <w:highlight w:val="none"/>
          <w:vertAlign w:val="baseline"/>
          <w:lang w:val="zh-TW" w:eastAsia="zh-CN"/>
        </w:rPr>
        <w:t>兑现</w:t>
      </w:r>
      <w:r>
        <w:rPr>
          <w:rFonts w:hint="eastAsia" w:ascii="仿宋_GB2312" w:hAnsi="仿宋_GB2312" w:eastAsia="仿宋_GB2312" w:cs="仿宋_GB2312"/>
          <w:b w:val="0"/>
          <w:bCs w:val="0"/>
          <w:caps w:val="0"/>
          <w:color w:val="auto"/>
          <w:sz w:val="32"/>
          <w:szCs w:val="32"/>
          <w:highlight w:val="none"/>
          <w:vertAlign w:val="baseline"/>
        </w:rPr>
        <w:t>中央外经贸资金</w:t>
      </w:r>
      <w:r>
        <w:rPr>
          <w:rFonts w:hint="eastAsia" w:ascii="仿宋_GB2312" w:hAnsi="仿宋_GB2312" w:eastAsia="仿宋_GB2312" w:cs="仿宋_GB2312"/>
          <w:b w:val="0"/>
          <w:bCs w:val="0"/>
          <w:caps w:val="0"/>
          <w:color w:val="auto"/>
          <w:sz w:val="32"/>
          <w:szCs w:val="32"/>
          <w:highlight w:val="none"/>
          <w:vertAlign w:val="baseline"/>
          <w:lang w:val="en-US" w:eastAsia="zh-CN"/>
        </w:rPr>
        <w:t>324</w:t>
      </w:r>
      <w:r>
        <w:rPr>
          <w:rFonts w:hint="eastAsia" w:ascii="仿宋_GB2312" w:hAnsi="仿宋_GB2312" w:eastAsia="仿宋_GB2312" w:cs="仿宋_GB2312"/>
          <w:b w:val="0"/>
          <w:bCs w:val="0"/>
          <w:caps w:val="0"/>
          <w:color w:val="auto"/>
          <w:sz w:val="32"/>
          <w:szCs w:val="32"/>
          <w:highlight w:val="none"/>
          <w:vertAlign w:val="baseline"/>
        </w:rPr>
        <w:t>万元，惠及</w:t>
      </w:r>
      <w:r>
        <w:rPr>
          <w:rFonts w:hint="eastAsia" w:ascii="仿宋_GB2312" w:hAnsi="仿宋_GB2312" w:eastAsia="仿宋_GB2312" w:cs="仿宋_GB2312"/>
          <w:b w:val="0"/>
          <w:bCs w:val="0"/>
          <w:caps w:val="0"/>
          <w:color w:val="auto"/>
          <w:sz w:val="32"/>
          <w:szCs w:val="32"/>
          <w:highlight w:val="none"/>
          <w:vertAlign w:val="baseline"/>
          <w:lang w:eastAsia="zh-CN"/>
        </w:rPr>
        <w:t>外贸</w:t>
      </w:r>
      <w:r>
        <w:rPr>
          <w:rFonts w:hint="eastAsia" w:ascii="仿宋_GB2312" w:hAnsi="仿宋_GB2312" w:eastAsia="仿宋_GB2312" w:cs="仿宋_GB2312"/>
          <w:b w:val="0"/>
          <w:bCs w:val="0"/>
          <w:caps w:val="0"/>
          <w:color w:val="auto"/>
          <w:sz w:val="32"/>
          <w:szCs w:val="32"/>
          <w:highlight w:val="none"/>
          <w:vertAlign w:val="baseline"/>
        </w:rPr>
        <w:t>企业</w:t>
      </w:r>
      <w:r>
        <w:rPr>
          <w:rFonts w:hint="eastAsia" w:ascii="仿宋_GB2312" w:hAnsi="仿宋_GB2312" w:eastAsia="仿宋_GB2312" w:cs="仿宋_GB2312"/>
          <w:b w:val="0"/>
          <w:bCs w:val="0"/>
          <w:caps w:val="0"/>
          <w:color w:val="auto"/>
          <w:sz w:val="32"/>
          <w:szCs w:val="32"/>
          <w:highlight w:val="none"/>
          <w:vertAlign w:val="baseline"/>
          <w:lang w:val="en-US" w:eastAsia="zh-CN"/>
        </w:rPr>
        <w:t>6</w:t>
      </w:r>
      <w:r>
        <w:rPr>
          <w:rFonts w:hint="eastAsia" w:ascii="仿宋_GB2312" w:hAnsi="仿宋_GB2312" w:eastAsia="仿宋_GB2312" w:cs="仿宋_GB2312"/>
          <w:b w:val="0"/>
          <w:bCs w:val="0"/>
          <w:caps w:val="0"/>
          <w:color w:val="auto"/>
          <w:sz w:val="32"/>
          <w:szCs w:val="32"/>
          <w:highlight w:val="none"/>
          <w:vertAlign w:val="baseline"/>
        </w:rPr>
        <w:t>家</w:t>
      </w:r>
      <w:r>
        <w:rPr>
          <w:rFonts w:hint="eastAsia" w:ascii="仿宋_GB2312" w:hAnsi="仿宋_GB2312" w:eastAsia="仿宋_GB2312" w:cs="仿宋_GB2312"/>
          <w:b w:val="0"/>
          <w:bCs w:val="0"/>
          <w:caps w:val="0"/>
          <w:color w:val="auto"/>
          <w:sz w:val="32"/>
          <w:szCs w:val="32"/>
          <w:highlight w:val="none"/>
          <w:vertAlign w:val="baseline"/>
          <w:lang w:eastAsia="zh-CN"/>
        </w:rPr>
        <w:t>，</w:t>
      </w:r>
      <w:r>
        <w:rPr>
          <w:rFonts w:hint="eastAsia" w:ascii="仿宋_GB2312" w:hAnsi="仿宋_GB2312" w:eastAsia="仿宋_GB2312" w:cs="仿宋_GB2312"/>
          <w:b w:val="0"/>
          <w:bCs w:val="0"/>
          <w:caps w:val="0"/>
          <w:color w:val="auto"/>
          <w:sz w:val="32"/>
          <w:szCs w:val="32"/>
          <w:highlight w:val="none"/>
          <w:vertAlign w:val="baseline"/>
          <w:lang w:val="en-US" w:eastAsia="zh-CN"/>
        </w:rPr>
        <w:t>拉动货物进出口3.5亿元；推动</w:t>
      </w:r>
      <w:r>
        <w:rPr>
          <w:rFonts w:hint="eastAsia" w:ascii="仿宋_GB2312" w:hAnsi="仿宋_GB2312" w:eastAsia="仿宋_GB2312" w:cs="仿宋_GB2312"/>
          <w:b w:val="0"/>
          <w:bCs w:val="0"/>
          <w:caps w:val="0"/>
          <w:color w:val="auto"/>
          <w:sz w:val="32"/>
          <w:szCs w:val="32"/>
          <w:highlight w:val="none"/>
          <w:vertAlign w:val="baseline"/>
          <w:lang w:eastAsia="zh-CN"/>
        </w:rPr>
        <w:t>黑水县丰淼商贸公司</w:t>
      </w:r>
      <w:r>
        <w:rPr>
          <w:rFonts w:hint="eastAsia" w:ascii="仿宋_GB2312" w:hAnsi="仿宋_GB2312" w:eastAsia="仿宋_GB2312" w:cs="仿宋_GB2312"/>
          <w:b w:val="0"/>
          <w:bCs w:val="0"/>
          <w:caps w:val="0"/>
          <w:color w:val="auto"/>
          <w:sz w:val="32"/>
          <w:szCs w:val="32"/>
          <w:highlight w:val="none"/>
          <w:vertAlign w:val="baseline"/>
          <w:lang w:val="en-US" w:eastAsia="zh-CN" w:bidi="ar"/>
        </w:rPr>
        <w:t>冷冻藏香乳猪实现</w:t>
      </w:r>
      <w:r>
        <w:rPr>
          <w:rFonts w:hint="eastAsia" w:ascii="仿宋_GB2312" w:hAnsi="仿宋_GB2312" w:eastAsia="仿宋_GB2312" w:cs="仿宋_GB2312"/>
          <w:b w:val="0"/>
          <w:bCs w:val="0"/>
          <w:caps w:val="0"/>
          <w:color w:val="auto"/>
          <w:sz w:val="32"/>
          <w:szCs w:val="32"/>
          <w:highlight w:val="none"/>
          <w:vertAlign w:val="baseline"/>
          <w:lang w:val="en-US" w:eastAsia="zh-CN"/>
        </w:rPr>
        <w:t>出口香港，出口额达200万元，小金</w:t>
      </w:r>
      <w:r>
        <w:rPr>
          <w:rFonts w:hint="eastAsia" w:ascii="仿宋_GB2312" w:hAnsi="仿宋_GB2312" w:eastAsia="仿宋_GB2312" w:cs="仿宋_GB2312"/>
          <w:b w:val="0"/>
          <w:bCs w:val="0"/>
          <w:caps w:val="0"/>
          <w:color w:val="auto"/>
          <w:sz w:val="32"/>
          <w:szCs w:val="32"/>
          <w:highlight w:val="none"/>
          <w:vertAlign w:val="baseline"/>
          <w:lang w:eastAsia="zh-CN"/>
        </w:rPr>
        <w:t>善作农业实现</w:t>
      </w:r>
      <w:r>
        <w:rPr>
          <w:rFonts w:hint="eastAsia" w:ascii="仿宋_GB2312" w:hAnsi="仿宋_GB2312" w:eastAsia="仿宋_GB2312" w:cs="仿宋_GB2312"/>
          <w:b w:val="0"/>
          <w:bCs w:val="0"/>
          <w:caps w:val="0"/>
          <w:color w:val="auto"/>
          <w:sz w:val="32"/>
          <w:szCs w:val="32"/>
          <w:highlight w:val="none"/>
          <w:vertAlign w:val="baseline"/>
          <w:lang w:val="en-US" w:eastAsia="zh-CN"/>
        </w:rPr>
        <w:t>首次出口50吨苹果到俄罗斯；</w:t>
      </w:r>
      <w:r>
        <w:rPr>
          <w:rFonts w:hint="eastAsia" w:ascii="仿宋_GB2312" w:hAnsi="仿宋_GB2312" w:eastAsia="仿宋_GB2312" w:cs="仿宋_GB2312"/>
          <w:b w:val="0"/>
          <w:bCs w:val="0"/>
          <w:caps w:val="0"/>
          <w:color w:val="auto"/>
          <w:sz w:val="32"/>
          <w:szCs w:val="32"/>
          <w:highlight w:val="none"/>
          <w:vertAlign w:val="baseline"/>
        </w:rPr>
        <w:t>组织</w:t>
      </w:r>
      <w:r>
        <w:rPr>
          <w:rFonts w:hint="eastAsia" w:ascii="仿宋_GB2312" w:hAnsi="仿宋_GB2312" w:eastAsia="仿宋_GB2312" w:cs="仿宋_GB2312"/>
          <w:b w:val="0"/>
          <w:bCs w:val="0"/>
          <w:caps w:val="0"/>
          <w:color w:val="auto"/>
          <w:sz w:val="32"/>
          <w:szCs w:val="32"/>
          <w:highlight w:val="none"/>
          <w:vertAlign w:val="baseline"/>
          <w:lang w:val="en-US" w:eastAsia="zh-CN"/>
        </w:rPr>
        <w:t>15家（次）企业参加消博会、广交会、“四川外贸优品产销对接会”等展会6场（次），累计达成意向性合作协议1000余万元；推荐黑水睿禾亮农业公司参加“川港澳合作周·走进澳门”推介活动，拟与澳门南粤食品水产公司签订2万头/年的活猪订单。组织泽禾农业、金山玫瑰赴新加坡、日本、意大利开展经贸交流活动，助力企业开拓“一带一路”国际市场。</w:t>
      </w:r>
    </w:p>
    <w:p w14:paraId="06E58E43">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60" w:lineRule="exact"/>
        <w:ind w:left="0" w:right="0" w:firstLine="643" w:firstLineChars="200"/>
        <w:jc w:val="both"/>
        <w:textAlignment w:val="auto"/>
        <w:outlineLvl w:val="9"/>
        <w:rPr>
          <w:rFonts w:hint="eastAsia" w:ascii="仿宋_GB2312" w:hAnsi="仿宋_GB2312" w:eastAsia="仿宋_GB2312" w:cs="仿宋_GB2312"/>
          <w:b w:val="0"/>
          <w:bCs w:val="0"/>
          <w:caps w:val="0"/>
          <w:color w:val="auto"/>
          <w:sz w:val="32"/>
          <w:szCs w:val="32"/>
          <w:highlight w:val="none"/>
          <w:vertAlign w:val="baseline"/>
          <w:lang w:val="en-US" w:eastAsia="zh-CN"/>
        </w:rPr>
      </w:pPr>
      <w:r>
        <w:rPr>
          <w:rFonts w:hint="eastAsia" w:ascii="仿宋_GB2312" w:hAnsi="仿宋_GB2312" w:eastAsia="仿宋_GB2312" w:cs="仿宋_GB2312"/>
          <w:b/>
          <w:bCs w:val="0"/>
          <w:sz w:val="32"/>
          <w:szCs w:val="32"/>
          <w:highlight w:val="none"/>
          <w:lang w:val="en-US" w:eastAsia="zh-CN" w:bidi="ar-SA"/>
        </w:rPr>
        <w:t>（4）招商成效显著。</w:t>
      </w:r>
      <w:r>
        <w:rPr>
          <w:rFonts w:hint="eastAsia" w:ascii="仿宋_GB2312" w:hAnsi="仿宋_GB2312" w:eastAsia="仿宋_GB2312" w:cs="仿宋_GB2312"/>
          <w:b w:val="0"/>
          <w:bCs w:val="0"/>
          <w:caps w:val="0"/>
          <w:color w:val="auto"/>
          <w:sz w:val="32"/>
          <w:szCs w:val="32"/>
          <w:highlight w:val="none"/>
          <w:vertAlign w:val="baseline"/>
          <w:lang w:val="en-US" w:eastAsia="zh-CN"/>
        </w:rPr>
        <w:t>上半年，编制发布阿坝州投资机遇、资源、政策“三张清单”，论证推出2025年州级重点招商引资项目120个，总投资693亿元;成功筹办第二十届西博会阿坝系列活动、“天下九寨沟·大美阿坝州”北京站投资合作推介会、川商总会天府新区商会阿坝行等活动，印发《投资机遇信息》20余期，组织县（市）主要领导外出小分队招商34批次;开展招商引资优惠政策清理，排查169个2024年5月前签约项目并督促政策兑现；举办全州招商引资专题培训，并将招商引资相关指标纳入2025年州对县市综合目标考核，将2023-2024年签约项目履约督查纳入全州督监考计划。</w:t>
      </w:r>
    </w:p>
    <w:p w14:paraId="7F86DE92">
      <w:pPr>
        <w:keepNext w:val="0"/>
        <w:keepLines w:val="0"/>
        <w:pageBreakBefore w:val="0"/>
        <w:widowControl w:val="0"/>
        <w:numPr>
          <w:ilvl w:val="0"/>
          <w:numId w:val="0"/>
        </w:numPr>
        <w:kinsoku/>
        <w:wordWrap/>
        <w:overflowPunct/>
        <w:topLinePunct w:val="0"/>
        <w:bidi w:val="0"/>
        <w:adjustRightInd/>
        <w:snapToGrid/>
        <w:spacing w:line="560" w:lineRule="exact"/>
        <w:ind w:firstLine="643" w:firstLineChars="200"/>
        <w:textAlignment w:val="auto"/>
        <w:rPr>
          <w:rFonts w:hint="eastAsia" w:ascii="仿宋_GB2312" w:hAnsi="仿宋_GB2312" w:eastAsia="仿宋_GB2312" w:cs="仿宋_GB2312"/>
          <w:b w:val="0"/>
          <w:bCs w:val="0"/>
          <w:sz w:val="32"/>
          <w:szCs w:val="32"/>
          <w:highlight w:val="none"/>
          <w:lang w:val="en-US" w:bidi="ar-SA"/>
        </w:rPr>
      </w:pPr>
      <w:r>
        <w:rPr>
          <w:rFonts w:hint="eastAsia" w:ascii="仿宋_GB2312" w:hAnsi="仿宋_GB2312" w:eastAsia="仿宋_GB2312" w:cs="仿宋_GB2312"/>
          <w:b/>
          <w:bCs w:val="0"/>
          <w:sz w:val="32"/>
          <w:szCs w:val="32"/>
          <w:highlight w:val="none"/>
          <w:lang w:val="en-US" w:eastAsia="zh-CN" w:bidi="ar-SA"/>
        </w:rPr>
        <w:t>（5）完成年度工作目标任务的情况。</w:t>
      </w:r>
      <w:r>
        <w:rPr>
          <w:rFonts w:hint="eastAsia" w:ascii="仿宋_GB2312" w:hAnsi="仿宋_GB2312" w:eastAsia="仿宋_GB2312" w:cs="仿宋_GB2312"/>
          <w:b/>
          <w:bCs/>
          <w:sz w:val="32"/>
          <w:szCs w:val="32"/>
          <w:highlight w:val="none"/>
          <w:lang w:eastAsia="zh-CN"/>
        </w:rPr>
        <w:t>一是</w:t>
      </w:r>
      <w:r>
        <w:rPr>
          <w:rFonts w:hint="eastAsia" w:ascii="仿宋_GB2312" w:hAnsi="仿宋_GB2312" w:eastAsia="仿宋_GB2312" w:cs="仿宋_GB2312"/>
          <w:b w:val="0"/>
          <w:bCs w:val="0"/>
          <w:sz w:val="32"/>
          <w:szCs w:val="32"/>
          <w:highlight w:val="none"/>
        </w:rPr>
        <w:t>全州服务业保持稳中有进发展态势，实现服务业增加值</w:t>
      </w:r>
      <w:r>
        <w:rPr>
          <w:rFonts w:hint="eastAsia" w:ascii="仿宋_GB2312" w:hAnsi="仿宋_GB2312" w:eastAsia="仿宋_GB2312" w:cs="仿宋_GB2312"/>
          <w:b w:val="0"/>
          <w:bCs w:val="0"/>
          <w:sz w:val="32"/>
          <w:szCs w:val="32"/>
          <w:highlight w:val="none"/>
          <w:lang w:val="en-US" w:eastAsia="zh-CN"/>
        </w:rPr>
        <w:t>343.16</w:t>
      </w:r>
      <w:r>
        <w:rPr>
          <w:rFonts w:hint="eastAsia" w:ascii="仿宋_GB2312" w:hAnsi="仿宋_GB2312" w:eastAsia="仿宋_GB2312" w:cs="仿宋_GB2312"/>
          <w:b w:val="0"/>
          <w:bCs w:val="0"/>
          <w:sz w:val="32"/>
          <w:szCs w:val="32"/>
          <w:highlight w:val="none"/>
        </w:rPr>
        <w:t>亿元，</w:t>
      </w:r>
      <w:r>
        <w:rPr>
          <w:rFonts w:hint="eastAsia" w:ascii="仿宋_GB2312" w:hAnsi="仿宋_GB2312" w:eastAsia="仿宋_GB2312" w:cs="仿宋_GB2312"/>
          <w:b w:val="0"/>
          <w:bCs w:val="0"/>
          <w:sz w:val="32"/>
          <w:szCs w:val="32"/>
          <w:highlight w:val="none"/>
          <w:lang w:eastAsia="zh-CN"/>
        </w:rPr>
        <w:t>占</w:t>
      </w:r>
      <w:r>
        <w:rPr>
          <w:rFonts w:hint="eastAsia" w:ascii="仿宋_GB2312" w:hAnsi="仿宋_GB2312" w:eastAsia="仿宋_GB2312" w:cs="仿宋_GB2312"/>
          <w:b w:val="0"/>
          <w:bCs w:val="0"/>
          <w:sz w:val="32"/>
          <w:szCs w:val="32"/>
          <w:highlight w:val="none"/>
          <w:lang w:val="en-US" w:eastAsia="zh-CN"/>
        </w:rPr>
        <w:t>GDP比重57%，</w:t>
      </w:r>
      <w:r>
        <w:rPr>
          <w:rFonts w:hint="eastAsia" w:ascii="仿宋_GB2312" w:hAnsi="仿宋_GB2312" w:eastAsia="仿宋_GB2312" w:cs="仿宋_GB2312"/>
          <w:b w:val="0"/>
          <w:bCs w:val="0"/>
          <w:sz w:val="32"/>
          <w:szCs w:val="32"/>
          <w:highlight w:val="none"/>
        </w:rPr>
        <w:t>同比增长</w:t>
      </w:r>
      <w:r>
        <w:rPr>
          <w:rFonts w:hint="eastAsia" w:ascii="仿宋_GB2312" w:hAnsi="仿宋_GB2312" w:eastAsia="仿宋_GB2312" w:cs="仿宋_GB2312"/>
          <w:b w:val="0"/>
          <w:bCs w:val="0"/>
          <w:sz w:val="32"/>
          <w:szCs w:val="32"/>
          <w:highlight w:val="none"/>
          <w:lang w:val="en-US" w:eastAsia="zh-CN"/>
        </w:rPr>
        <w:t>6</w:t>
      </w:r>
      <w:r>
        <w:rPr>
          <w:rFonts w:hint="eastAsia" w:ascii="仿宋_GB2312" w:hAnsi="仿宋_GB2312" w:eastAsia="仿宋_GB2312" w:cs="仿宋_GB2312"/>
          <w:b w:val="0"/>
          <w:bCs w:val="0"/>
          <w:sz w:val="32"/>
          <w:szCs w:val="32"/>
          <w:highlight w:val="none"/>
        </w:rPr>
        <w:t>%</w:t>
      </w:r>
      <w:r>
        <w:rPr>
          <w:rFonts w:hint="eastAsia" w:ascii="仿宋_GB2312" w:hAnsi="仿宋_GB2312" w:eastAsia="仿宋_GB2312" w:cs="仿宋_GB2312"/>
          <w:b w:val="0"/>
          <w:bCs w:val="0"/>
          <w:sz w:val="32"/>
          <w:szCs w:val="32"/>
          <w:highlight w:val="none"/>
          <w:lang w:eastAsia="zh-CN"/>
        </w:rPr>
        <w:t>，拉动</w:t>
      </w:r>
      <w:r>
        <w:rPr>
          <w:rFonts w:hint="eastAsia" w:ascii="仿宋_GB2312" w:hAnsi="仿宋_GB2312" w:eastAsia="仿宋_GB2312" w:cs="仿宋_GB2312"/>
          <w:b w:val="0"/>
          <w:bCs w:val="0"/>
          <w:sz w:val="32"/>
          <w:szCs w:val="32"/>
          <w:highlight w:val="none"/>
          <w:lang w:val="en-US" w:eastAsia="zh-CN"/>
        </w:rPr>
        <w:t>GDP增长3.4个百分点。</w:t>
      </w:r>
      <w:r>
        <w:rPr>
          <w:rFonts w:hint="eastAsia" w:ascii="仿宋_GB2312" w:hAnsi="仿宋_GB2312" w:eastAsia="仿宋_GB2312" w:cs="仿宋_GB2312"/>
          <w:b/>
          <w:bCs/>
          <w:sz w:val="32"/>
          <w:szCs w:val="32"/>
          <w:highlight w:val="none"/>
          <w:lang w:eastAsia="zh-CN"/>
        </w:rPr>
        <w:t>二是</w:t>
      </w:r>
      <w:r>
        <w:rPr>
          <w:rFonts w:hint="eastAsia" w:ascii="仿宋_GB2312" w:hAnsi="仿宋_GB2312" w:eastAsia="仿宋_GB2312" w:cs="仿宋_GB2312"/>
          <w:b w:val="0"/>
          <w:bCs w:val="0"/>
          <w:caps w:val="0"/>
          <w:color w:val="auto"/>
          <w:kern w:val="2"/>
          <w:sz w:val="32"/>
          <w:szCs w:val="32"/>
          <w:highlight w:val="none"/>
          <w:vertAlign w:val="baseline"/>
          <w:lang w:val="en-US" w:eastAsia="zh-CN" w:bidi="ar"/>
        </w:rPr>
        <w:t>全州社会消费品零售总额实现124.6亿元，同比增长7.4%，高于年度目标（6.5%）0.9个百分点，增速位列全省第1位。</w:t>
      </w:r>
      <w:r>
        <w:rPr>
          <w:rFonts w:hint="eastAsia" w:ascii="仿宋_GB2312" w:hAnsi="仿宋_GB2312" w:eastAsia="仿宋_GB2312" w:cs="仿宋_GB2312"/>
          <w:b/>
          <w:bCs/>
          <w:sz w:val="32"/>
          <w:szCs w:val="32"/>
          <w:highlight w:val="none"/>
          <w:lang w:eastAsia="zh-CN"/>
        </w:rPr>
        <w:t>三是</w:t>
      </w:r>
      <w:r>
        <w:rPr>
          <w:rFonts w:hint="eastAsia" w:ascii="仿宋_GB2312" w:hAnsi="仿宋_GB2312" w:eastAsia="仿宋_GB2312" w:cs="仿宋_GB2312"/>
          <w:b w:val="0"/>
          <w:bCs w:val="0"/>
          <w:sz w:val="32"/>
          <w:szCs w:val="32"/>
          <w:highlight w:val="none"/>
          <w:lang w:eastAsia="zh-CN"/>
        </w:rPr>
        <w:t>实现外贸进出口总额</w:t>
      </w:r>
      <w:r>
        <w:rPr>
          <w:rFonts w:hint="eastAsia" w:ascii="仿宋_GB2312" w:hAnsi="仿宋_GB2312" w:eastAsia="仿宋_GB2312" w:cs="仿宋_GB2312"/>
          <w:b w:val="0"/>
          <w:bCs w:val="0"/>
          <w:sz w:val="32"/>
          <w:szCs w:val="32"/>
          <w:highlight w:val="none"/>
          <w:lang w:val="en-US" w:eastAsia="zh-CN"/>
        </w:rPr>
        <w:t>4.03</w:t>
      </w:r>
      <w:r>
        <w:rPr>
          <w:rFonts w:hint="eastAsia" w:ascii="仿宋_GB2312" w:hAnsi="仿宋_GB2312" w:eastAsia="仿宋_GB2312" w:cs="仿宋_GB2312"/>
          <w:b w:val="0"/>
          <w:bCs w:val="0"/>
          <w:sz w:val="32"/>
          <w:szCs w:val="32"/>
          <w:highlight w:val="none"/>
          <w:lang w:eastAsia="zh-CN"/>
        </w:rPr>
        <w:t>亿元，完成全年目标任务的</w:t>
      </w:r>
      <w:r>
        <w:rPr>
          <w:rFonts w:hint="eastAsia" w:ascii="仿宋_GB2312" w:hAnsi="仿宋_GB2312" w:eastAsia="仿宋_GB2312" w:cs="仿宋_GB2312"/>
          <w:b w:val="0"/>
          <w:bCs w:val="0"/>
          <w:sz w:val="32"/>
          <w:szCs w:val="32"/>
          <w:highlight w:val="none"/>
          <w:lang w:val="en-US" w:eastAsia="zh-CN"/>
        </w:rPr>
        <w:t>112</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caps w:val="0"/>
          <w:color w:val="auto"/>
          <w:kern w:val="2"/>
          <w:sz w:val="32"/>
          <w:szCs w:val="32"/>
          <w:highlight w:val="none"/>
          <w:vertAlign w:val="baseline"/>
          <w:lang w:val="en-US" w:eastAsia="zh-CN" w:bidi="ar"/>
        </w:rPr>
        <w:t>。</w:t>
      </w:r>
      <w:r>
        <w:rPr>
          <w:rFonts w:hint="eastAsia" w:ascii="仿宋_GB2312" w:hAnsi="仿宋_GB2312" w:eastAsia="仿宋_GB2312" w:cs="仿宋_GB2312"/>
          <w:b/>
          <w:bCs/>
          <w:sz w:val="32"/>
          <w:szCs w:val="32"/>
          <w:highlight w:val="none"/>
          <w:lang w:eastAsia="zh-CN"/>
        </w:rPr>
        <w:t>四是</w:t>
      </w:r>
      <w:r>
        <w:rPr>
          <w:rFonts w:hint="eastAsia" w:ascii="仿宋_GB2312" w:hAnsi="仿宋_GB2312" w:eastAsia="仿宋_GB2312" w:cs="仿宋_GB2312"/>
          <w:b w:val="0"/>
          <w:bCs w:val="0"/>
          <w:sz w:val="32"/>
          <w:szCs w:val="32"/>
          <w:highlight w:val="none"/>
          <w:lang w:eastAsia="zh-CN"/>
        </w:rPr>
        <w:t>新增规上企业</w:t>
      </w:r>
      <w:r>
        <w:rPr>
          <w:rFonts w:hint="eastAsia" w:ascii="仿宋_GB2312" w:hAnsi="仿宋_GB2312" w:eastAsia="仿宋_GB2312" w:cs="仿宋_GB2312"/>
          <w:b w:val="0"/>
          <w:bCs w:val="0"/>
          <w:sz w:val="32"/>
          <w:szCs w:val="32"/>
          <w:highlight w:val="none"/>
          <w:lang w:val="en-US" w:eastAsia="zh-CN"/>
        </w:rPr>
        <w:t>18</w:t>
      </w:r>
      <w:r>
        <w:rPr>
          <w:rFonts w:hint="eastAsia" w:ascii="仿宋_GB2312" w:hAnsi="仿宋_GB2312" w:eastAsia="仿宋_GB2312" w:cs="仿宋_GB2312"/>
          <w:b w:val="0"/>
          <w:bCs w:val="0"/>
          <w:sz w:val="32"/>
          <w:szCs w:val="32"/>
          <w:highlight w:val="none"/>
          <w:lang w:eastAsia="zh-CN"/>
        </w:rPr>
        <w:t>户</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highlight w:val="none"/>
          <w:lang w:eastAsia="zh-CN"/>
        </w:rPr>
        <w:t>完成州定目标任务的</w:t>
      </w:r>
      <w:r>
        <w:rPr>
          <w:rFonts w:hint="eastAsia" w:ascii="仿宋_GB2312" w:hAnsi="仿宋_GB2312" w:eastAsia="仿宋_GB2312" w:cs="仿宋_GB2312"/>
          <w:b w:val="0"/>
          <w:bCs w:val="0"/>
          <w:sz w:val="32"/>
          <w:szCs w:val="32"/>
          <w:highlight w:val="none"/>
          <w:lang w:val="en-US" w:eastAsia="zh-CN"/>
        </w:rPr>
        <w:t>180%；</w:t>
      </w:r>
      <w:r>
        <w:rPr>
          <w:rFonts w:hint="eastAsia" w:ascii="仿宋_GB2312" w:hAnsi="仿宋_GB2312" w:eastAsia="仿宋_GB2312" w:cs="仿宋_GB2312"/>
          <w:b w:val="0"/>
          <w:bCs w:val="0"/>
          <w:sz w:val="32"/>
          <w:szCs w:val="32"/>
          <w:highlight w:val="none"/>
          <w:lang w:eastAsia="zh-CN"/>
        </w:rPr>
        <w:t>新增限上商贸主体队伍</w:t>
      </w:r>
      <w:r>
        <w:rPr>
          <w:rFonts w:hint="eastAsia" w:ascii="仿宋_GB2312" w:hAnsi="仿宋_GB2312" w:eastAsia="仿宋_GB2312" w:cs="仿宋_GB2312"/>
          <w:b w:val="0"/>
          <w:bCs w:val="0"/>
          <w:sz w:val="32"/>
          <w:szCs w:val="32"/>
          <w:highlight w:val="none"/>
          <w:lang w:val="en-US" w:eastAsia="zh-CN" w:bidi="ar-SA"/>
        </w:rPr>
        <w:t>67户</w:t>
      </w:r>
      <w:r>
        <w:rPr>
          <w:rFonts w:hint="eastAsia" w:ascii="仿宋_GB2312" w:hAnsi="仿宋_GB2312" w:eastAsia="仿宋_GB2312" w:cs="仿宋_GB2312"/>
          <w:b w:val="0"/>
          <w:bCs w:val="0"/>
          <w:sz w:val="32"/>
          <w:szCs w:val="32"/>
          <w:highlight w:val="none"/>
          <w:lang w:eastAsia="zh-CN"/>
        </w:rPr>
        <w:t>，完成州定目标的</w:t>
      </w:r>
      <w:r>
        <w:rPr>
          <w:rFonts w:hint="eastAsia" w:ascii="仿宋_GB2312" w:hAnsi="仿宋_GB2312" w:eastAsia="仿宋_GB2312" w:cs="仿宋_GB2312"/>
          <w:b w:val="0"/>
          <w:bCs w:val="0"/>
          <w:sz w:val="32"/>
          <w:szCs w:val="32"/>
          <w:highlight w:val="none"/>
          <w:lang w:val="en-US" w:eastAsia="zh-CN"/>
        </w:rPr>
        <w:t>335%；</w:t>
      </w:r>
      <w:r>
        <w:rPr>
          <w:rFonts w:hint="eastAsia" w:ascii="仿宋_GB2312" w:hAnsi="仿宋_GB2312" w:eastAsia="仿宋_GB2312" w:cs="仿宋_GB2312"/>
          <w:b w:val="0"/>
          <w:bCs w:val="0"/>
          <w:sz w:val="32"/>
          <w:szCs w:val="32"/>
          <w:highlight w:val="none"/>
          <w:lang w:eastAsia="zh-CN"/>
        </w:rPr>
        <w:t>新增外贸实绩企业</w:t>
      </w:r>
      <w:r>
        <w:rPr>
          <w:rFonts w:hint="eastAsia" w:ascii="仿宋_GB2312" w:hAnsi="仿宋_GB2312" w:eastAsia="仿宋_GB2312" w:cs="仿宋_GB2312"/>
          <w:b w:val="0"/>
          <w:bCs w:val="0"/>
          <w:sz w:val="32"/>
          <w:szCs w:val="32"/>
          <w:highlight w:val="none"/>
          <w:lang w:val="en-US" w:eastAsia="zh-CN"/>
        </w:rPr>
        <w:t>3家。</w:t>
      </w:r>
    </w:p>
    <w:p w14:paraId="20FEFA07">
      <w:pPr>
        <w:keepNext w:val="0"/>
        <w:keepLines w:val="0"/>
        <w:pageBreakBefore w:val="0"/>
        <w:widowControl w:val="0"/>
        <w:kinsoku/>
        <w:wordWrap/>
        <w:overflowPunct/>
        <w:topLinePunct w:val="0"/>
        <w:autoSpaceDE/>
        <w:autoSpaceDN/>
        <w:bidi w:val="0"/>
        <w:snapToGrid w:val="0"/>
        <w:spacing w:line="480" w:lineRule="exact"/>
        <w:ind w:firstLine="643" w:firstLineChars="200"/>
        <w:textAlignment w:val="auto"/>
        <w:rPr>
          <w:rFonts w:hint="eastAsia" w:ascii="仿宋_GB2312" w:hAnsi="仿宋_GB2312" w:eastAsia="仿宋_GB2312" w:cs="仿宋_GB2312"/>
          <w:b/>
          <w:bCs w:val="0"/>
          <w:sz w:val="32"/>
          <w:szCs w:val="32"/>
          <w:highlight w:val="none"/>
        </w:rPr>
      </w:pPr>
      <w:r>
        <w:rPr>
          <w:rFonts w:hint="default" w:ascii="Times New Roman" w:hAnsi="Times New Roman" w:eastAsia="楷体_GB2312" w:cs="Times New Roman"/>
          <w:b/>
          <w:bCs/>
          <w:sz w:val="32"/>
          <w:szCs w:val="32"/>
          <w:highlight w:val="none"/>
          <w:lang w:val="zh-CN"/>
        </w:rPr>
        <w:t>（</w:t>
      </w:r>
      <w:r>
        <w:rPr>
          <w:rFonts w:hint="eastAsia" w:ascii="Times New Roman" w:hAnsi="Times New Roman" w:eastAsia="楷体_GB2312" w:cs="Times New Roman"/>
          <w:b/>
          <w:bCs/>
          <w:sz w:val="32"/>
          <w:szCs w:val="32"/>
          <w:highlight w:val="none"/>
          <w:lang w:val="en-US" w:eastAsia="zh-CN"/>
        </w:rPr>
        <w:t>三</w:t>
      </w:r>
      <w:r>
        <w:rPr>
          <w:rFonts w:hint="default" w:ascii="Times New Roman" w:hAnsi="Times New Roman" w:eastAsia="楷体_GB2312" w:cs="Times New Roman"/>
          <w:b/>
          <w:bCs/>
          <w:sz w:val="32"/>
          <w:szCs w:val="32"/>
          <w:highlight w:val="none"/>
          <w:lang w:val="zh-CN"/>
        </w:rPr>
        <w:t>）绩效结果应用情况</w:t>
      </w:r>
      <w:r>
        <w:rPr>
          <w:rFonts w:hint="eastAsia" w:ascii="Times New Roman" w:hAnsi="Times New Roman" w:eastAsia="楷体_GB2312" w:cs="Times New Roman"/>
          <w:b/>
          <w:bCs/>
          <w:sz w:val="32"/>
          <w:szCs w:val="32"/>
          <w:highlight w:val="none"/>
          <w:lang w:val="zh-CN"/>
        </w:rPr>
        <w:t>。</w:t>
      </w:r>
      <w:r>
        <w:rPr>
          <w:rFonts w:hint="eastAsia" w:ascii="仿宋_GB2312" w:hAnsi="仿宋_GB2312" w:eastAsia="仿宋_GB2312" w:cs="仿宋_GB2312"/>
          <w:color w:val="000000"/>
          <w:kern w:val="0"/>
          <w:sz w:val="32"/>
          <w:highlight w:val="none"/>
          <w:lang w:val="en-US" w:eastAsia="zh-CN"/>
        </w:rPr>
        <w:t>本部门预决算、绩效目标设置情况、绩效目标完成情况均在规定时间内在门户网站公开，绩效结果作为项目申报预算的重要依据</w:t>
      </w:r>
      <w:r>
        <w:rPr>
          <w:rFonts w:hint="eastAsia" w:ascii="仿宋_GB2312" w:hAnsi="仿宋_GB2312" w:eastAsia="仿宋_GB2312" w:cs="仿宋_GB2312"/>
          <w:color w:val="000000"/>
          <w:kern w:val="0"/>
          <w:sz w:val="32"/>
          <w:szCs w:val="32"/>
          <w:highlight w:val="none"/>
          <w:shd w:val="clear" w:color="auto" w:fill="FFFFFF"/>
          <w:lang w:val="zh-CN" w:eastAsia="zh-CN"/>
        </w:rPr>
        <w:t>。</w:t>
      </w:r>
    </w:p>
    <w:p w14:paraId="3B8D7C3F">
      <w:pPr>
        <w:keepNext w:val="0"/>
        <w:keepLines w:val="0"/>
        <w:pageBreakBefore w:val="0"/>
        <w:widowControl/>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lang w:eastAsia="zh-CN"/>
        </w:rPr>
        <w:t>四、</w:t>
      </w:r>
      <w:r>
        <w:rPr>
          <w:rFonts w:hint="default" w:ascii="Times New Roman" w:hAnsi="Times New Roman" w:eastAsia="黑体" w:cs="Times New Roman"/>
          <w:color w:val="000000"/>
          <w:kern w:val="0"/>
          <w:sz w:val="32"/>
          <w:szCs w:val="32"/>
          <w:highlight w:val="none"/>
          <w:shd w:val="clear" w:color="auto" w:fill="FFFFFF"/>
        </w:rPr>
        <w:t>评价结论及建议</w:t>
      </w:r>
    </w:p>
    <w:p w14:paraId="1BD283C9">
      <w:pPr>
        <w:keepNext w:val="0"/>
        <w:keepLines w:val="0"/>
        <w:pageBreakBefore w:val="0"/>
        <w:widowControl/>
        <w:kinsoku/>
        <w:wordWrap/>
        <w:overflowPunct/>
        <w:topLinePunct w:val="0"/>
        <w:autoSpaceDE/>
        <w:autoSpaceDN/>
        <w:bidi w:val="0"/>
        <w:adjustRightInd w:val="0"/>
        <w:snapToGrid w:val="0"/>
        <w:spacing w:line="48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仿宋_GB2312" w:hAnsi="仿宋_GB2312" w:eastAsia="仿宋_GB2312" w:cs="仿宋_GB2312"/>
          <w:b w:val="0"/>
          <w:bCs w:val="0"/>
          <w:kern w:val="0"/>
          <w:position w:val="0"/>
          <w:sz w:val="32"/>
          <w:szCs w:val="32"/>
          <w:highlight w:val="none"/>
          <w:lang w:val="en-US" w:eastAsia="zh-CN" w:bidi="ar-SA"/>
        </w:rPr>
        <w:t>本部门积极开展预算绩效评价工作，部门整体自评得分97.62分。</w:t>
      </w:r>
    </w:p>
    <w:p w14:paraId="77C86540">
      <w:pPr>
        <w:keepNext w:val="0"/>
        <w:keepLines w:val="0"/>
        <w:pageBreakBefore w:val="0"/>
        <w:widowControl/>
        <w:kinsoku/>
        <w:wordWrap/>
        <w:overflowPunct/>
        <w:topLinePunct w:val="0"/>
        <w:autoSpaceDE/>
        <w:autoSpaceDN/>
        <w:bidi w:val="0"/>
        <w:adjustRightInd w:val="0"/>
        <w:snapToGrid w:val="0"/>
        <w:spacing w:line="480" w:lineRule="exact"/>
        <w:ind w:firstLine="643" w:firstLineChars="200"/>
        <w:contextualSpacing/>
        <w:jc w:val="left"/>
        <w:textAlignment w:val="auto"/>
        <w:outlineLvl w:val="9"/>
        <w:rPr>
          <w:rFonts w:hint="default" w:ascii="Times New Roman" w:hAnsi="Times New Roman" w:eastAsia="仿宋_GB2312" w:cs="Times New Roman"/>
          <w:sz w:val="32"/>
          <w:szCs w:val="32"/>
          <w:highlight w:val="none"/>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eastAsia" w:ascii="Times New Roman" w:hAnsi="Times New Roman" w:eastAsia="仿宋_GB2312" w:cs="Times New Roman"/>
          <w:sz w:val="32"/>
          <w:szCs w:val="32"/>
          <w:highlight w:val="none"/>
          <w:lang w:val="en-US" w:eastAsia="zh-CN"/>
        </w:rPr>
        <w:t>部分</w:t>
      </w:r>
      <w:r>
        <w:rPr>
          <w:rFonts w:hint="default" w:ascii="Times New Roman" w:hAnsi="Times New Roman" w:eastAsia="仿宋_GB2312" w:cs="Times New Roman"/>
          <w:sz w:val="32"/>
          <w:szCs w:val="32"/>
          <w:highlight w:val="none"/>
          <w:lang w:val="en-US" w:eastAsia="zh-CN"/>
        </w:rPr>
        <w:t>项目执行率较低，主要是部分项目前期工作有待加强，预算绩效管理意识还需提升，执行过程中对项目执行追踪力度不够，财务部门与业务部门的协作配合有待加强。</w:t>
      </w:r>
    </w:p>
    <w:p w14:paraId="4C7EEE8C">
      <w:pPr>
        <w:keepNext w:val="0"/>
        <w:keepLines w:val="0"/>
        <w:pageBreakBefore w:val="0"/>
        <w:widowControl/>
        <w:numPr>
          <w:ilvl w:val="0"/>
          <w:numId w:val="0"/>
        </w:numPr>
        <w:kinsoku/>
        <w:wordWrap/>
        <w:overflowPunct/>
        <w:topLinePunct w:val="0"/>
        <w:autoSpaceDE/>
        <w:autoSpaceDN/>
        <w:bidi w:val="0"/>
        <w:adjustRightInd w:val="0"/>
        <w:snapToGrid w:val="0"/>
        <w:spacing w:after="0" w:line="480" w:lineRule="exact"/>
        <w:ind w:left="0" w:leftChars="0" w:right="0" w:firstLine="643" w:firstLineChars="200"/>
        <w:jc w:val="both"/>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w:t>
      </w:r>
      <w:r>
        <w:rPr>
          <w:rFonts w:hint="eastAsia" w:ascii="Times New Roman" w:hAnsi="Times New Roman" w:eastAsia="楷体_GB2312" w:cs="Times New Roman"/>
          <w:b/>
          <w:bCs/>
          <w:color w:val="000000"/>
          <w:kern w:val="0"/>
          <w:sz w:val="32"/>
          <w:szCs w:val="32"/>
          <w:highlight w:val="none"/>
          <w:shd w:val="clear" w:color="auto" w:fill="FFFFFF"/>
          <w:lang w:val="en-US" w:eastAsia="zh-CN"/>
        </w:rPr>
        <w:t>措施</w:t>
      </w: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p>
    <w:p w14:paraId="7BC82EED">
      <w:pPr>
        <w:keepNext w:val="0"/>
        <w:keepLines w:val="0"/>
        <w:pageBreakBefore w:val="0"/>
        <w:widowControl/>
        <w:numPr>
          <w:ilvl w:val="0"/>
          <w:numId w:val="0"/>
        </w:numPr>
        <w:kinsoku/>
        <w:wordWrap/>
        <w:overflowPunct/>
        <w:topLinePunct w:val="0"/>
        <w:autoSpaceDE/>
        <w:autoSpaceDN/>
        <w:bidi w:val="0"/>
        <w:adjustRightInd w:val="0"/>
        <w:snapToGrid w:val="0"/>
        <w:spacing w:after="0" w:line="480" w:lineRule="exact"/>
        <w:ind w:right="0" w:firstLine="643" w:firstLineChars="200"/>
        <w:jc w:val="both"/>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b/>
          <w:bCs/>
          <w:sz w:val="32"/>
          <w:szCs w:val="32"/>
          <w:highlight w:val="none"/>
          <w:lang w:val="en-US" w:eastAsia="zh-CN"/>
        </w:rPr>
        <w:t>一是</w:t>
      </w:r>
      <w:r>
        <w:rPr>
          <w:rFonts w:hint="default" w:ascii="Times New Roman" w:hAnsi="Times New Roman" w:eastAsia="仿宋_GB2312" w:cs="Times New Roman"/>
          <w:sz w:val="32"/>
          <w:szCs w:val="32"/>
          <w:highlight w:val="none"/>
          <w:lang w:val="en-US" w:eastAsia="zh-CN"/>
        </w:rPr>
        <w:t>提高部门预算编制的科学性。通过对单位预决算情况分析，检验预算编制的科学程度，了解财政资金的实际使用方向是否和预算一致，查找差异产生的原因，为下年度部门预算编制提供依据，提高预算编制的科学性。</w:t>
      </w:r>
    </w:p>
    <w:p w14:paraId="2DD3D8E4">
      <w:pPr>
        <w:keepNext w:val="0"/>
        <w:keepLines w:val="0"/>
        <w:pageBreakBefore w:val="0"/>
        <w:widowControl/>
        <w:numPr>
          <w:ilvl w:val="0"/>
          <w:numId w:val="0"/>
        </w:numPr>
        <w:kinsoku/>
        <w:wordWrap/>
        <w:overflowPunct/>
        <w:topLinePunct w:val="0"/>
        <w:autoSpaceDE/>
        <w:autoSpaceDN/>
        <w:bidi w:val="0"/>
        <w:adjustRightInd w:val="0"/>
        <w:snapToGrid w:val="0"/>
        <w:spacing w:after="0" w:line="480" w:lineRule="exact"/>
        <w:ind w:right="0" w:firstLine="643" w:firstLineChars="200"/>
        <w:jc w:val="both"/>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b/>
          <w:bCs/>
          <w:sz w:val="32"/>
          <w:szCs w:val="32"/>
          <w:highlight w:val="none"/>
          <w:lang w:val="en-US" w:eastAsia="zh-CN"/>
        </w:rPr>
        <w:t>二是</w:t>
      </w:r>
      <w:r>
        <w:rPr>
          <w:rFonts w:hint="default" w:ascii="Times New Roman" w:hAnsi="Times New Roman" w:eastAsia="仿宋_GB2312" w:cs="Times New Roman"/>
          <w:sz w:val="32"/>
          <w:szCs w:val="32"/>
          <w:highlight w:val="none"/>
          <w:lang w:val="en-US" w:eastAsia="zh-CN"/>
        </w:rPr>
        <w:t>加强绩效管理意识，提高资金使用率。提高部门全面实施预算绩效的自觉性，把绩效管理应用于管理工作的各个环节中，实现对财政资金申报、分配、管理等各个环节的优化，督促各项目科室抓好预算绩效管理工作，加强执行力度的监管，提高资金使用率。</w:t>
      </w:r>
    </w:p>
    <w:p w14:paraId="12ABF7DC">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643" w:firstLineChars="200"/>
        <w:contextualSpacing/>
        <w:jc w:val="both"/>
        <w:textAlignment w:val="auto"/>
        <w:outlineLvl w:val="9"/>
        <w:rPr>
          <w:rFonts w:hint="eastAsia" w:ascii="Times New Roman" w:hAnsi="Times New Roman" w:eastAsia="仿宋_GB2312" w:cs="Times New Roman"/>
          <w:sz w:val="32"/>
          <w:szCs w:val="32"/>
          <w:highlight w:val="none"/>
          <w:u w:val="none"/>
          <w:lang w:val="en-US" w:eastAsia="zh-CN" w:bidi="ar"/>
        </w:rPr>
        <w:sectPr>
          <w:footerReference r:id="rId10" w:type="first"/>
          <w:footerReference r:id="rId9" w:type="default"/>
          <w:pgSz w:w="11906" w:h="16838"/>
          <w:pgMar w:top="1440" w:right="1800" w:bottom="1440" w:left="1800" w:header="851" w:footer="992" w:gutter="0"/>
          <w:pgNumType w:fmt="decimal" w:start="1"/>
          <w:cols w:space="425" w:num="1"/>
          <w:titlePg/>
          <w:docGrid w:type="lines" w:linePitch="312" w:charSpace="0"/>
        </w:sectPr>
      </w:pPr>
      <w:r>
        <w:rPr>
          <w:rFonts w:hint="eastAsia" w:ascii="Times New Roman" w:hAnsi="Times New Roman" w:eastAsia="仿宋_GB2312" w:cs="Times New Roman"/>
          <w:b/>
          <w:bCs/>
          <w:sz w:val="32"/>
          <w:szCs w:val="32"/>
          <w:highlight w:val="none"/>
          <w:lang w:val="en-US" w:eastAsia="zh-CN"/>
        </w:rPr>
        <w:t>三是</w:t>
      </w:r>
      <w:r>
        <w:rPr>
          <w:rFonts w:hint="eastAsia" w:ascii="Times New Roman" w:hAnsi="Times New Roman" w:eastAsia="仿宋_GB2312" w:cs="Times New Roman"/>
          <w:sz w:val="32"/>
          <w:szCs w:val="32"/>
          <w:highlight w:val="none"/>
          <w:lang w:val="en-US" w:eastAsia="zh-CN"/>
        </w:rPr>
        <w:t>严格把控财务制度、加强审核力度。全面审核各类单据，重点审核单据来源是否合法，内容是否真实、完整，使用是否准确，是否符合预算，审批手续是否齐全。</w:t>
      </w:r>
      <w:r>
        <w:rPr>
          <w:rFonts w:hint="default" w:ascii="Times New Roman" w:hAnsi="Times New Roman" w:eastAsia="仿宋_GB2312" w:cs="Times New Roman"/>
          <w:sz w:val="32"/>
          <w:szCs w:val="32"/>
          <w:highlight w:val="none"/>
          <w:lang w:val="en-US" w:eastAsia="zh-CN"/>
        </w:rPr>
        <w:t>对审批程序不完整、附件要素不齐全的加强审核把关，加强对项目工作人员提交的报账资料原始单据审批，对记载不明确、不完整的原始凭证，予以退回，要求经办人员更正、补充</w:t>
      </w:r>
      <w:r>
        <w:rPr>
          <w:rFonts w:hint="eastAsia" w:ascii="Times New Roman" w:hAnsi="Times New Roman" w:eastAsia="仿宋_GB2312" w:cs="Times New Roman"/>
          <w:sz w:val="32"/>
          <w:szCs w:val="32"/>
          <w:highlight w:val="none"/>
          <w:u w:val="none"/>
          <w:lang w:val="en-US" w:eastAsia="zh-CN" w:bidi="ar"/>
        </w:rPr>
        <w:t>。</w:t>
      </w:r>
    </w:p>
    <w:bookmarkEnd w:id="60"/>
    <w:p w14:paraId="388ED93E">
      <w:pPr>
        <w:pStyle w:val="10"/>
        <w:keepNext w:val="0"/>
        <w:keepLines w:val="0"/>
        <w:pageBreakBefore w:val="0"/>
        <w:numPr>
          <w:ilvl w:val="0"/>
          <w:numId w:val="0"/>
        </w:numPr>
        <w:kinsoku/>
        <w:wordWrap/>
        <w:overflowPunct/>
        <w:topLinePunct w:val="0"/>
        <w:autoSpaceDE/>
        <w:autoSpaceDN/>
        <w:bidi w:val="0"/>
        <w:spacing w:line="560" w:lineRule="exact"/>
        <w:jc w:val="center"/>
        <w:textAlignment w:val="auto"/>
        <w:rPr>
          <w:rFonts w:hint="eastAsia" w:ascii="Times New Roman" w:hAnsi="Times New Roman" w:cs="Times New Roman"/>
          <w:sz w:val="32"/>
          <w:szCs w:val="32"/>
          <w:highlight w:val="none"/>
          <w:lang w:val="zh-CN" w:eastAsia="zh-CN"/>
        </w:rPr>
      </w:pPr>
      <w:r>
        <w:rPr>
          <w:rFonts w:hint="eastAsia" w:ascii="Times New Roman" w:hAnsi="Times New Roman" w:eastAsia="仿宋_GB2312" w:cs="Times New Roman"/>
          <w:kern w:val="2"/>
          <w:sz w:val="32"/>
          <w:szCs w:val="32"/>
          <w:highlight w:val="none"/>
          <w:u w:val="none"/>
          <w:lang w:val="zh-CN" w:eastAsia="zh-CN" w:bidi="ar"/>
        </w:rPr>
        <w:t>附表：</w:t>
      </w:r>
      <w:r>
        <w:rPr>
          <w:rFonts w:hint="eastAsia" w:ascii="Times New Roman" w:hAnsi="Times New Roman" w:eastAsia="仿宋_GB2312" w:cs="Times New Roman"/>
          <w:kern w:val="2"/>
          <w:sz w:val="32"/>
          <w:szCs w:val="32"/>
          <w:highlight w:val="none"/>
          <w:u w:val="none"/>
          <w:lang w:val="en-US" w:eastAsia="zh-CN" w:bidi="ar"/>
        </w:rPr>
        <w:t>部门预算项目支出绩效自评表（</w:t>
      </w:r>
      <w:r>
        <w:rPr>
          <w:rFonts w:hint="eastAsia" w:ascii="Times New Roman" w:eastAsia="仿宋_GB2312" w:cs="Times New Roman"/>
          <w:kern w:val="2"/>
          <w:sz w:val="32"/>
          <w:szCs w:val="32"/>
          <w:highlight w:val="none"/>
          <w:u w:val="none"/>
          <w:lang w:val="en-US" w:eastAsia="zh-CN" w:bidi="ar"/>
        </w:rPr>
        <w:t>2025</w:t>
      </w:r>
      <w:r>
        <w:rPr>
          <w:rFonts w:hint="eastAsia" w:ascii="Times New Roman" w:hAnsi="Times New Roman" w:eastAsia="仿宋_GB2312" w:cs="Times New Roman"/>
          <w:kern w:val="2"/>
          <w:sz w:val="32"/>
          <w:szCs w:val="32"/>
          <w:highlight w:val="none"/>
          <w:u w:val="none"/>
          <w:lang w:val="en-US" w:eastAsia="zh-CN" w:bidi="ar"/>
        </w:rPr>
        <w:t>年度）</w:t>
      </w:r>
    </w:p>
    <w:tbl>
      <w:tblPr>
        <w:tblStyle w:val="19"/>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4"/>
        <w:gridCol w:w="2046"/>
        <w:gridCol w:w="1769"/>
        <w:gridCol w:w="2258"/>
        <w:gridCol w:w="520"/>
        <w:gridCol w:w="1673"/>
        <w:gridCol w:w="520"/>
        <w:gridCol w:w="1090"/>
        <w:gridCol w:w="504"/>
        <w:gridCol w:w="486"/>
        <w:gridCol w:w="2550"/>
      </w:tblGrid>
      <w:tr w14:paraId="52FA8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045C761">
            <w:pPr>
              <w:keepNext w:val="0"/>
              <w:keepLines w:val="0"/>
              <w:widowControl/>
              <w:suppressLineNumbers w:val="0"/>
              <w:jc w:val="center"/>
              <w:textAlignment w:val="center"/>
              <w:rPr>
                <w:rFonts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5C06C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D8B38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5613F6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51320021T000000047136-对外联络处工作经费(深圳+成都)</w:t>
            </w:r>
          </w:p>
        </w:tc>
      </w:tr>
      <w:tr w14:paraId="61856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560D2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9C30C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州商务局部门</w:t>
            </w:r>
          </w:p>
        </w:tc>
        <w:tc>
          <w:tcPr>
            <w:tcW w:w="1091" w:type="dxa"/>
            <w:tcBorders>
              <w:top w:val="nil"/>
              <w:left w:val="nil"/>
              <w:bottom w:val="nil"/>
              <w:right w:val="nil"/>
            </w:tcBorders>
            <w:shd w:val="clear" w:color="auto" w:fill="auto"/>
            <w:vAlign w:val="center"/>
          </w:tcPr>
          <w:p w14:paraId="670734FB">
            <w:pPr>
              <w:keepNext w:val="0"/>
              <w:keepLines w:val="0"/>
              <w:widowControl/>
              <w:suppressLineNumbers w:val="0"/>
              <w:jc w:val="left"/>
              <w:textAlignment w:val="center"/>
              <w:rPr>
                <w:rFonts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62A1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w:t>
            </w:r>
          </w:p>
        </w:tc>
      </w:tr>
      <w:tr w14:paraId="37C32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99357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4B773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D8F1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3FD7CC">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4A258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A0250">
            <w:pP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BAC5A">
            <w:pPr>
              <w:rPr>
                <w:rFonts w:hint="eastAsia" w:ascii="宋体" w:hAnsi="宋体" w:eastAsia="宋体" w:cs="宋体"/>
                <w:i w:val="0"/>
                <w:iCs w:val="0"/>
                <w:color w:val="000000"/>
                <w:sz w:val="18"/>
                <w:szCs w:val="18"/>
                <w:highlight w:val="none"/>
                <w:u w:val="none"/>
              </w:rPr>
            </w:pP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1A748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　一是深圳对外联络处是根据十二届州人民政府第28次常务会议、十一届州委常委会第74次会议审定,同意设立阿坝州驻深圳联络处，主要承担招商引资的对外业务联系，综合协调服务及与省外相关部门的联络协调，参与投资促进项目的对接、洽谈和跟踪服务；接待来州投资和经贸客商在州外、内地的接洽、咨询、联络服务等工作，充分发挥着“窗口”和“桥梁”的作用，有效带动港珠澳企业投资阿坝。2025年计划与1-2家珠三角500强企业达成合作意向。二是成都对外联络处主要承担了外经、外贸、招商引资和商贸流通的对外业务联系，综合协调服务及与省相关部门的联络协调，参与投资促进项目的对接、洽谈和跟踪服务；接待来州投资和经贸客商在州外、内地的接洽、咨询、联络服务等工作，充分发挥着“窗口”和“桥梁”的作用。</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65DEE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承担深圳办及外联科所有职能职责，圆满完成所有工作任务。</w:t>
            </w:r>
          </w:p>
        </w:tc>
      </w:tr>
      <w:tr w14:paraId="63068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FDD2E">
            <w:pP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F658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35C53F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日常同省级相关部门、投资意向企业和商协会对接联络，充分发挥驻地企业的本土优势开展工作打造外宣形象，筹备开展第二十届西部国际博览会阿坝州投资推介会、特色商品展等活动，达成多个项目对接和跟进，成效显著。</w:t>
            </w:r>
          </w:p>
        </w:tc>
      </w:tr>
      <w:tr w14:paraId="7CB7F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139F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104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E3D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12BF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A234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E2BE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AF7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144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946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1CC36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60CEB">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4EF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741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883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45.16</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248E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45.16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4B4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B87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979CD">
            <w:pPr>
              <w:jc w:val="center"/>
              <w:rPr>
                <w:rFonts w:hint="eastAsia" w:ascii="宋体" w:hAnsi="宋体" w:eastAsia="宋体" w:cs="宋体"/>
                <w:i w:val="0"/>
                <w:iCs w:val="0"/>
                <w:color w:val="000000"/>
                <w:sz w:val="18"/>
                <w:szCs w:val="18"/>
                <w:highlight w:val="none"/>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30023C">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2025年因机构改革，职能职责划转至州经济合作外事局，相关经费一并划转。</w:t>
            </w:r>
          </w:p>
        </w:tc>
      </w:tr>
      <w:tr w14:paraId="079AB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40724">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53A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D4DE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0C57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45.16</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F08A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45.16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8965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7B9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DC6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C7AA4">
            <w:pPr>
              <w:rPr>
                <w:rFonts w:hint="eastAsia" w:ascii="黑体" w:hAnsi="黑体" w:eastAsia="黑体" w:cs="黑体"/>
                <w:i/>
                <w:iCs/>
                <w:color w:val="000000"/>
                <w:sz w:val="18"/>
                <w:szCs w:val="18"/>
                <w:highlight w:val="none"/>
                <w:u w:val="none"/>
              </w:rPr>
            </w:pPr>
          </w:p>
        </w:tc>
      </w:tr>
      <w:tr w14:paraId="5EC75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DAF3B">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A102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EEF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B5D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D928D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F26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359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ED0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55426">
            <w:pPr>
              <w:rPr>
                <w:rFonts w:hint="eastAsia" w:ascii="黑体" w:hAnsi="黑体" w:eastAsia="黑体" w:cs="黑体"/>
                <w:i/>
                <w:iCs/>
                <w:color w:val="000000"/>
                <w:sz w:val="18"/>
                <w:szCs w:val="18"/>
                <w:highlight w:val="none"/>
                <w:u w:val="none"/>
              </w:rPr>
            </w:pPr>
          </w:p>
        </w:tc>
      </w:tr>
      <w:tr w14:paraId="3EF07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748FA">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9E6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0FD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C8C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F7FB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CC7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4B6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6D1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4BBE3">
            <w:pPr>
              <w:rPr>
                <w:rFonts w:hint="eastAsia" w:ascii="黑体" w:hAnsi="黑体" w:eastAsia="黑体" w:cs="黑体"/>
                <w:i/>
                <w:iCs/>
                <w:color w:val="000000"/>
                <w:sz w:val="18"/>
                <w:szCs w:val="18"/>
                <w:highlight w:val="none"/>
                <w:u w:val="none"/>
              </w:rPr>
            </w:pPr>
          </w:p>
        </w:tc>
      </w:tr>
      <w:tr w14:paraId="361C2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5D0D2">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605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01E17">
            <w:pPr>
              <w:jc w:val="center"/>
              <w:rPr>
                <w:rFonts w:hint="eastAsia" w:ascii="微软雅黑" w:hAnsi="微软雅黑" w:eastAsia="微软雅黑" w:cs="微软雅黑"/>
                <w:i/>
                <w:iCs/>
                <w:color w:val="000000"/>
                <w:sz w:val="16"/>
                <w:szCs w:val="16"/>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70AD8">
            <w:pPr>
              <w:jc w:val="center"/>
              <w:rPr>
                <w:rFonts w:hint="eastAsia" w:ascii="微软雅黑" w:hAnsi="微软雅黑" w:eastAsia="微软雅黑" w:cs="微软雅黑"/>
                <w:i/>
                <w:iCs/>
                <w:color w:val="000000"/>
                <w:sz w:val="16"/>
                <w:szCs w:val="16"/>
                <w:highlight w:val="none"/>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C2833D">
            <w:pPr>
              <w:jc w:val="center"/>
              <w:rPr>
                <w:rFonts w:hint="eastAsia" w:ascii="微软雅黑" w:hAnsi="微软雅黑" w:eastAsia="微软雅黑" w:cs="微软雅黑"/>
                <w:i/>
                <w:iCs/>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379DB">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608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407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AFD1D">
            <w:pPr>
              <w:rPr>
                <w:rFonts w:hint="eastAsia" w:ascii="黑体" w:hAnsi="黑体" w:eastAsia="黑体" w:cs="黑体"/>
                <w:i/>
                <w:iCs/>
                <w:color w:val="000000"/>
                <w:sz w:val="18"/>
                <w:szCs w:val="18"/>
                <w:highlight w:val="none"/>
                <w:u w:val="none"/>
              </w:rPr>
            </w:pPr>
          </w:p>
        </w:tc>
      </w:tr>
      <w:tr w14:paraId="020F7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C02F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6ED3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2D44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62B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9D1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333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AC3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09C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16D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92B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3B2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328DD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105A4">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38B7B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FC54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B2A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达成合作意向企业数量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99F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0EC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E51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家</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4682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AC9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37D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7B377">
            <w:pPr>
              <w:jc w:val="center"/>
              <w:rPr>
                <w:rFonts w:hint="eastAsia" w:ascii="微软雅黑" w:hAnsi="微软雅黑" w:eastAsia="微软雅黑" w:cs="微软雅黑"/>
                <w:i/>
                <w:iCs/>
                <w:color w:val="000000"/>
                <w:sz w:val="16"/>
                <w:szCs w:val="16"/>
                <w:highlight w:val="none"/>
                <w:u w:val="none"/>
              </w:rPr>
            </w:pPr>
          </w:p>
        </w:tc>
      </w:tr>
      <w:tr w14:paraId="67E9D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A7F29">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BD4A0">
            <w:pPr>
              <w:jc w:val="center"/>
              <w:rPr>
                <w:rFonts w:hint="eastAsia" w:ascii="宋体" w:hAnsi="宋体" w:eastAsia="宋体" w:cs="宋体"/>
                <w:i w:val="0"/>
                <w:iCs w:val="0"/>
                <w:color w:val="000000"/>
                <w:sz w:val="18"/>
                <w:szCs w:val="18"/>
                <w:highlight w:val="none"/>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E89C9">
            <w:pPr>
              <w:jc w:val="center"/>
              <w:rPr>
                <w:rFonts w:hint="eastAsia" w:ascii="宋体" w:hAnsi="宋体" w:eastAsia="宋体" w:cs="宋体"/>
                <w:i w:val="0"/>
                <w:iCs w:val="0"/>
                <w:color w:val="000000"/>
                <w:sz w:val="18"/>
                <w:szCs w:val="18"/>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784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保障对外联络机构数量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0967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3A1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CC1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个</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07E6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60BB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583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3BD0A">
            <w:pPr>
              <w:jc w:val="center"/>
              <w:rPr>
                <w:rFonts w:hint="eastAsia" w:ascii="微软雅黑" w:hAnsi="微软雅黑" w:eastAsia="微软雅黑" w:cs="微软雅黑"/>
                <w:i/>
                <w:iCs/>
                <w:color w:val="000000"/>
                <w:sz w:val="16"/>
                <w:szCs w:val="16"/>
                <w:highlight w:val="none"/>
                <w:u w:val="none"/>
              </w:rPr>
            </w:pPr>
          </w:p>
        </w:tc>
      </w:tr>
      <w:tr w14:paraId="43570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8EF55">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9F028">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8F5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C47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联络处服务规范率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8D27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240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3BB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6C90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E55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95B4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80D9A">
            <w:pPr>
              <w:jc w:val="center"/>
              <w:rPr>
                <w:rFonts w:hint="eastAsia" w:ascii="微软雅黑" w:hAnsi="微软雅黑" w:eastAsia="微软雅黑" w:cs="微软雅黑"/>
                <w:i/>
                <w:iCs/>
                <w:color w:val="000000"/>
                <w:sz w:val="16"/>
                <w:szCs w:val="16"/>
                <w:highlight w:val="none"/>
                <w:u w:val="none"/>
              </w:rPr>
            </w:pPr>
          </w:p>
        </w:tc>
      </w:tr>
      <w:tr w14:paraId="552C3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E37A1">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1C62C">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1F0F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3B5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及时保障周期</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B1B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C4D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7FB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月</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03BF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F90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5700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B90E0">
            <w:pPr>
              <w:jc w:val="center"/>
              <w:rPr>
                <w:rFonts w:hint="eastAsia" w:ascii="微软雅黑" w:hAnsi="微软雅黑" w:eastAsia="微软雅黑" w:cs="微软雅黑"/>
                <w:i/>
                <w:iCs/>
                <w:color w:val="000000"/>
                <w:sz w:val="16"/>
                <w:szCs w:val="16"/>
                <w:highlight w:val="none"/>
                <w:u w:val="none"/>
              </w:rPr>
            </w:pPr>
          </w:p>
        </w:tc>
      </w:tr>
      <w:tr w14:paraId="62794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C7291">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AFFE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77C4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0F4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港珠澳企业投资阿坝情况</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021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B1F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好</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60F63">
            <w:pPr>
              <w:jc w:val="center"/>
              <w:rPr>
                <w:rFonts w:hint="eastAsia" w:ascii="宋体" w:hAnsi="宋体" w:eastAsia="宋体" w:cs="宋体"/>
                <w:i w:val="0"/>
                <w:iCs w:val="0"/>
                <w:color w:val="000000"/>
                <w:sz w:val="18"/>
                <w:szCs w:val="18"/>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684B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好</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AA3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9D4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5534C">
            <w:pPr>
              <w:jc w:val="center"/>
              <w:rPr>
                <w:rFonts w:hint="eastAsia" w:ascii="微软雅黑" w:hAnsi="微软雅黑" w:eastAsia="微软雅黑" w:cs="微软雅黑"/>
                <w:i/>
                <w:iCs/>
                <w:color w:val="000000"/>
                <w:sz w:val="16"/>
                <w:szCs w:val="16"/>
                <w:highlight w:val="none"/>
                <w:u w:val="none"/>
              </w:rPr>
            </w:pPr>
          </w:p>
        </w:tc>
      </w:tr>
      <w:tr w14:paraId="15345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CBB62">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99BE2">
            <w:pPr>
              <w:jc w:val="center"/>
              <w:rPr>
                <w:rFonts w:hint="eastAsia" w:ascii="宋体" w:hAnsi="宋体" w:eastAsia="宋体" w:cs="宋体"/>
                <w:i w:val="0"/>
                <w:iCs w:val="0"/>
                <w:color w:val="000000"/>
                <w:sz w:val="18"/>
                <w:szCs w:val="18"/>
                <w:highlight w:val="none"/>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12910">
            <w:pPr>
              <w:jc w:val="center"/>
              <w:rPr>
                <w:rFonts w:hint="eastAsia" w:ascii="宋体" w:hAnsi="宋体" w:eastAsia="宋体" w:cs="宋体"/>
                <w:i w:val="0"/>
                <w:iCs w:val="0"/>
                <w:color w:val="000000"/>
                <w:sz w:val="18"/>
                <w:szCs w:val="18"/>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CF9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与珠三角办事处合作情况</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37F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43A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合作关系显著增强</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F34D8">
            <w:pPr>
              <w:jc w:val="center"/>
              <w:rPr>
                <w:rFonts w:hint="eastAsia" w:ascii="宋体" w:hAnsi="宋体" w:eastAsia="宋体" w:cs="宋体"/>
                <w:i w:val="0"/>
                <w:iCs w:val="0"/>
                <w:color w:val="000000"/>
                <w:sz w:val="18"/>
                <w:szCs w:val="18"/>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9170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显著增强</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936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662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E7A02">
            <w:pPr>
              <w:jc w:val="center"/>
              <w:rPr>
                <w:rFonts w:hint="eastAsia" w:ascii="微软雅黑" w:hAnsi="微软雅黑" w:eastAsia="微软雅黑" w:cs="微软雅黑"/>
                <w:i/>
                <w:iCs/>
                <w:color w:val="000000"/>
                <w:sz w:val="16"/>
                <w:szCs w:val="16"/>
                <w:highlight w:val="none"/>
                <w:u w:val="none"/>
              </w:rPr>
            </w:pPr>
          </w:p>
        </w:tc>
      </w:tr>
      <w:tr w14:paraId="54BA7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32C87">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6A5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118E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1B2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相关单位对工作满意度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C0B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252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2A2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AE5C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85</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08F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5FF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A99F3">
            <w:pPr>
              <w:jc w:val="center"/>
              <w:rPr>
                <w:rFonts w:hint="eastAsia" w:ascii="微软雅黑" w:hAnsi="微软雅黑" w:eastAsia="微软雅黑" w:cs="微软雅黑"/>
                <w:i/>
                <w:iCs/>
                <w:color w:val="000000"/>
                <w:sz w:val="16"/>
                <w:szCs w:val="16"/>
                <w:highlight w:val="none"/>
                <w:u w:val="none"/>
              </w:rPr>
            </w:pPr>
          </w:p>
        </w:tc>
      </w:tr>
      <w:tr w14:paraId="6E755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1E2A2">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CAE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A9D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2C41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预算控制金额</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5B7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9C4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4A3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F5C0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45.16</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31B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34A6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1B2F3">
            <w:pPr>
              <w:jc w:val="center"/>
              <w:rPr>
                <w:rFonts w:hint="eastAsia" w:ascii="微软雅黑" w:hAnsi="微软雅黑" w:eastAsia="微软雅黑" w:cs="微软雅黑"/>
                <w:i/>
                <w:iCs/>
                <w:color w:val="000000"/>
                <w:sz w:val="16"/>
                <w:szCs w:val="16"/>
                <w:highlight w:val="none"/>
                <w:u w:val="none"/>
              </w:rPr>
            </w:pPr>
          </w:p>
        </w:tc>
      </w:tr>
      <w:tr w14:paraId="7BB8C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2A606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072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0C68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EBD29">
            <w:pPr>
              <w:rPr>
                <w:rFonts w:hint="eastAsia" w:ascii="宋体" w:hAnsi="宋体" w:eastAsia="宋体" w:cs="宋体"/>
                <w:i w:val="0"/>
                <w:iCs w:val="0"/>
                <w:color w:val="000000"/>
                <w:sz w:val="18"/>
                <w:szCs w:val="18"/>
                <w:highlight w:val="none"/>
                <w:u w:val="none"/>
              </w:rPr>
            </w:pPr>
          </w:p>
        </w:tc>
      </w:tr>
      <w:tr w14:paraId="511DB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FB2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24C104">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项目自评得分100分，加强了同省政府驻外机构的沟通联络和项目推送承接；筹备组织实施第第二十届届西博会阿坝州投资推介会、特色商品展等活动，达成多个项目对接和跟进，成效显著。下半年因机构改革，职能职责划转至州经济合作外事局，相关经费一并划转。</w:t>
            </w:r>
          </w:p>
        </w:tc>
      </w:tr>
      <w:tr w14:paraId="2E8EB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0D7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20FC50">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44C99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7E8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49B5AE">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62047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2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740C79">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项目负责人：熊焕玉</w:t>
            </w:r>
          </w:p>
        </w:tc>
        <w:tc>
          <w:tcPr>
            <w:tcW w:w="68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CF8097C">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财务负责人：顺云梅</w:t>
            </w:r>
          </w:p>
        </w:tc>
      </w:tr>
      <w:tr w14:paraId="7D6E3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2961422C">
            <w:pPr>
              <w:rPr>
                <w:rFonts w:hint="eastAsia" w:ascii="宋体" w:hAnsi="宋体" w:eastAsia="宋体" w:cs="宋体"/>
                <w:i w:val="0"/>
                <w:iCs w:val="0"/>
                <w:color w:val="000000"/>
                <w:sz w:val="18"/>
                <w:szCs w:val="18"/>
                <w:highlight w:val="none"/>
                <w:u w:val="none"/>
              </w:rPr>
            </w:pPr>
          </w:p>
        </w:tc>
        <w:tc>
          <w:tcPr>
            <w:tcW w:w="2052" w:type="dxa"/>
            <w:tcBorders>
              <w:top w:val="nil"/>
              <w:left w:val="nil"/>
              <w:bottom w:val="nil"/>
              <w:right w:val="nil"/>
            </w:tcBorders>
            <w:shd w:val="clear" w:color="auto" w:fill="auto"/>
            <w:vAlign w:val="center"/>
          </w:tcPr>
          <w:p w14:paraId="70D3CC43">
            <w:pPr>
              <w:rPr>
                <w:rFonts w:hint="eastAsia" w:ascii="宋体" w:hAnsi="宋体" w:eastAsia="宋体" w:cs="宋体"/>
                <w:i w:val="0"/>
                <w:iCs w:val="0"/>
                <w:color w:val="000000"/>
                <w:sz w:val="18"/>
                <w:szCs w:val="18"/>
                <w:highlight w:val="none"/>
                <w:u w:val="none"/>
              </w:rPr>
            </w:pPr>
          </w:p>
        </w:tc>
        <w:tc>
          <w:tcPr>
            <w:tcW w:w="1774" w:type="dxa"/>
            <w:tcBorders>
              <w:top w:val="nil"/>
              <w:left w:val="nil"/>
              <w:bottom w:val="nil"/>
              <w:right w:val="nil"/>
            </w:tcBorders>
            <w:shd w:val="clear" w:color="auto" w:fill="auto"/>
            <w:vAlign w:val="center"/>
          </w:tcPr>
          <w:p w14:paraId="6E2DC08B">
            <w:pPr>
              <w:rPr>
                <w:rFonts w:hint="eastAsia" w:ascii="宋体" w:hAnsi="宋体" w:eastAsia="宋体" w:cs="宋体"/>
                <w:i w:val="0"/>
                <w:iCs w:val="0"/>
                <w:color w:val="000000"/>
                <w:sz w:val="18"/>
                <w:szCs w:val="18"/>
                <w:highlight w:val="none"/>
                <w:u w:val="none"/>
              </w:rPr>
            </w:pPr>
          </w:p>
        </w:tc>
        <w:tc>
          <w:tcPr>
            <w:tcW w:w="2263" w:type="dxa"/>
            <w:tcBorders>
              <w:top w:val="nil"/>
              <w:left w:val="nil"/>
              <w:bottom w:val="nil"/>
              <w:right w:val="nil"/>
            </w:tcBorders>
            <w:shd w:val="clear" w:color="auto" w:fill="auto"/>
            <w:vAlign w:val="center"/>
          </w:tcPr>
          <w:p w14:paraId="26CF6731">
            <w:pPr>
              <w:rPr>
                <w:rFonts w:hint="eastAsia" w:ascii="宋体" w:hAnsi="宋体" w:eastAsia="宋体" w:cs="宋体"/>
                <w:i w:val="0"/>
                <w:iCs w:val="0"/>
                <w:color w:val="000000"/>
                <w:sz w:val="18"/>
                <w:szCs w:val="18"/>
                <w:highlight w:val="none"/>
                <w:u w:val="none"/>
              </w:rPr>
            </w:pPr>
          </w:p>
          <w:p w14:paraId="7D8AAC0D">
            <w:pPr>
              <w:rPr>
                <w:rFonts w:hint="eastAsia" w:ascii="宋体" w:hAnsi="宋体" w:eastAsia="宋体" w:cs="宋体"/>
                <w:i w:val="0"/>
                <w:iCs w:val="0"/>
                <w:color w:val="000000"/>
                <w:sz w:val="18"/>
                <w:szCs w:val="18"/>
                <w:highlight w:val="none"/>
                <w:u w:val="none"/>
              </w:rPr>
            </w:pPr>
          </w:p>
          <w:p w14:paraId="286B635B">
            <w:pPr>
              <w:rPr>
                <w:rFonts w:hint="eastAsia" w:ascii="宋体" w:hAnsi="宋体" w:eastAsia="宋体" w:cs="宋体"/>
                <w:i w:val="0"/>
                <w:iCs w:val="0"/>
                <w:color w:val="000000"/>
                <w:sz w:val="18"/>
                <w:szCs w:val="18"/>
                <w:highlight w:val="none"/>
                <w:u w:val="none"/>
              </w:rPr>
            </w:pPr>
          </w:p>
          <w:p w14:paraId="02363A7D">
            <w:pPr>
              <w:rPr>
                <w:rFonts w:hint="eastAsia" w:ascii="宋体" w:hAnsi="宋体" w:eastAsia="宋体" w:cs="宋体"/>
                <w:i w:val="0"/>
                <w:iCs w:val="0"/>
                <w:color w:val="000000"/>
                <w:sz w:val="18"/>
                <w:szCs w:val="18"/>
                <w:highlight w:val="none"/>
                <w:u w:val="none"/>
              </w:rPr>
            </w:pPr>
          </w:p>
          <w:p w14:paraId="2CD2A1F0">
            <w:pPr>
              <w:rPr>
                <w:rFonts w:hint="eastAsia" w:ascii="宋体" w:hAnsi="宋体" w:eastAsia="宋体" w:cs="宋体"/>
                <w:i w:val="0"/>
                <w:iCs w:val="0"/>
                <w:color w:val="000000"/>
                <w:sz w:val="18"/>
                <w:szCs w:val="18"/>
                <w:highlight w:val="none"/>
                <w:u w:val="none"/>
              </w:rPr>
            </w:pPr>
          </w:p>
          <w:p w14:paraId="00AB3D34">
            <w:pPr>
              <w:rPr>
                <w:rFonts w:hint="eastAsia" w:ascii="宋体" w:hAnsi="宋体" w:eastAsia="宋体" w:cs="宋体"/>
                <w:i w:val="0"/>
                <w:iCs w:val="0"/>
                <w:color w:val="000000"/>
                <w:sz w:val="18"/>
                <w:szCs w:val="18"/>
                <w:highlight w:val="none"/>
                <w:u w:val="none"/>
              </w:rPr>
            </w:pPr>
          </w:p>
          <w:p w14:paraId="163DE28F">
            <w:pPr>
              <w:rPr>
                <w:rFonts w:hint="eastAsia" w:ascii="宋体" w:hAnsi="宋体" w:eastAsia="宋体" w:cs="宋体"/>
                <w:i w:val="0"/>
                <w:iCs w:val="0"/>
                <w:color w:val="000000"/>
                <w:sz w:val="18"/>
                <w:szCs w:val="18"/>
                <w:highlight w:val="none"/>
                <w:u w:val="none"/>
              </w:rPr>
            </w:pPr>
          </w:p>
          <w:p w14:paraId="7C82DC7A">
            <w:pPr>
              <w:rPr>
                <w:rFonts w:hint="eastAsia" w:ascii="宋体" w:hAnsi="宋体" w:eastAsia="宋体" w:cs="宋体"/>
                <w:i w:val="0"/>
                <w:iCs w:val="0"/>
                <w:color w:val="000000"/>
                <w:sz w:val="18"/>
                <w:szCs w:val="18"/>
                <w:highlight w:val="none"/>
                <w:u w:val="none"/>
              </w:rPr>
            </w:pPr>
          </w:p>
          <w:p w14:paraId="585B178E">
            <w:pPr>
              <w:rPr>
                <w:rFonts w:hint="eastAsia" w:ascii="宋体" w:hAnsi="宋体" w:eastAsia="宋体" w:cs="宋体"/>
                <w:i w:val="0"/>
                <w:iCs w:val="0"/>
                <w:color w:val="000000"/>
                <w:sz w:val="18"/>
                <w:szCs w:val="18"/>
                <w:highlight w:val="none"/>
                <w:u w:val="none"/>
              </w:rPr>
            </w:pPr>
          </w:p>
          <w:p w14:paraId="102C07A8">
            <w:pPr>
              <w:rPr>
                <w:rFonts w:hint="eastAsia" w:ascii="宋体" w:hAnsi="宋体" w:eastAsia="宋体" w:cs="宋体"/>
                <w:i w:val="0"/>
                <w:iCs w:val="0"/>
                <w:color w:val="000000"/>
                <w:sz w:val="18"/>
                <w:szCs w:val="18"/>
                <w:highlight w:val="none"/>
                <w:u w:val="none"/>
              </w:rPr>
            </w:pPr>
          </w:p>
          <w:p w14:paraId="3536DFAA">
            <w:pPr>
              <w:rPr>
                <w:rFonts w:hint="eastAsia" w:ascii="宋体" w:hAnsi="宋体" w:eastAsia="宋体" w:cs="宋体"/>
                <w:i w:val="0"/>
                <w:iCs w:val="0"/>
                <w:color w:val="000000"/>
                <w:sz w:val="18"/>
                <w:szCs w:val="18"/>
                <w:highlight w:val="none"/>
                <w:u w:val="none"/>
              </w:rPr>
            </w:pPr>
          </w:p>
          <w:p w14:paraId="322C4518">
            <w:pPr>
              <w:rPr>
                <w:rFonts w:hint="eastAsia" w:ascii="宋体" w:hAnsi="宋体" w:eastAsia="宋体" w:cs="宋体"/>
                <w:i w:val="0"/>
                <w:iCs w:val="0"/>
                <w:color w:val="000000"/>
                <w:sz w:val="18"/>
                <w:szCs w:val="18"/>
                <w:highlight w:val="none"/>
                <w:u w:val="none"/>
              </w:rPr>
            </w:pPr>
          </w:p>
          <w:p w14:paraId="7F21FD50">
            <w:pPr>
              <w:rPr>
                <w:rFonts w:hint="eastAsia" w:ascii="宋体" w:hAnsi="宋体" w:eastAsia="宋体" w:cs="宋体"/>
                <w:i w:val="0"/>
                <w:iCs w:val="0"/>
                <w:color w:val="000000"/>
                <w:sz w:val="18"/>
                <w:szCs w:val="18"/>
                <w:highlight w:val="none"/>
                <w:u w:val="none"/>
              </w:rPr>
            </w:pPr>
          </w:p>
          <w:p w14:paraId="4F161BC7">
            <w:pPr>
              <w:rPr>
                <w:rFonts w:hint="eastAsia" w:ascii="宋体" w:hAnsi="宋体" w:eastAsia="宋体" w:cs="宋体"/>
                <w:i w:val="0"/>
                <w:iCs w:val="0"/>
                <w:color w:val="000000"/>
                <w:sz w:val="18"/>
                <w:szCs w:val="18"/>
                <w:highlight w:val="none"/>
                <w:u w:val="none"/>
              </w:rPr>
            </w:pPr>
          </w:p>
          <w:p w14:paraId="1709365D">
            <w:pPr>
              <w:rPr>
                <w:rFonts w:hint="eastAsia" w:ascii="宋体" w:hAnsi="宋体" w:eastAsia="宋体" w:cs="宋体"/>
                <w:i w:val="0"/>
                <w:iCs w:val="0"/>
                <w:color w:val="000000"/>
                <w:sz w:val="18"/>
                <w:szCs w:val="18"/>
                <w:highlight w:val="none"/>
                <w:u w:val="none"/>
              </w:rPr>
            </w:pPr>
          </w:p>
          <w:p w14:paraId="0EC8B58D">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356C2FB8">
            <w:pPr>
              <w:rPr>
                <w:rFonts w:hint="eastAsia" w:ascii="宋体" w:hAnsi="宋体" w:eastAsia="宋体" w:cs="宋体"/>
                <w:i w:val="0"/>
                <w:iCs w:val="0"/>
                <w:color w:val="000000"/>
                <w:sz w:val="18"/>
                <w:szCs w:val="18"/>
                <w:highlight w:val="none"/>
                <w:u w:val="none"/>
              </w:rPr>
            </w:pPr>
          </w:p>
        </w:tc>
        <w:tc>
          <w:tcPr>
            <w:tcW w:w="1677" w:type="dxa"/>
            <w:tcBorders>
              <w:top w:val="nil"/>
              <w:left w:val="nil"/>
              <w:bottom w:val="nil"/>
              <w:right w:val="nil"/>
            </w:tcBorders>
            <w:shd w:val="clear" w:color="auto" w:fill="auto"/>
            <w:vAlign w:val="center"/>
          </w:tcPr>
          <w:p w14:paraId="108A8E75">
            <w:pPr>
              <w:rPr>
                <w:rFonts w:hint="eastAsia" w:ascii="宋体" w:hAnsi="宋体" w:eastAsia="宋体" w:cs="宋体"/>
                <w:i w:val="0"/>
                <w:iCs w:val="0"/>
                <w:color w:val="000000"/>
                <w:sz w:val="18"/>
                <w:szCs w:val="18"/>
                <w:highlight w:val="none"/>
                <w:u w:val="none"/>
              </w:rPr>
            </w:pPr>
          </w:p>
          <w:p w14:paraId="7A4A82AA">
            <w:pPr>
              <w:rPr>
                <w:rFonts w:hint="eastAsia" w:ascii="宋体" w:hAnsi="宋体" w:eastAsia="宋体" w:cs="宋体"/>
                <w:i w:val="0"/>
                <w:iCs w:val="0"/>
                <w:color w:val="000000"/>
                <w:sz w:val="18"/>
                <w:szCs w:val="18"/>
                <w:highlight w:val="none"/>
                <w:u w:val="none"/>
              </w:rPr>
            </w:pPr>
          </w:p>
          <w:p w14:paraId="20BACFCF">
            <w:pPr>
              <w:rPr>
                <w:rFonts w:hint="eastAsia" w:ascii="宋体" w:hAnsi="宋体" w:eastAsia="宋体" w:cs="宋体"/>
                <w:i w:val="0"/>
                <w:iCs w:val="0"/>
                <w:color w:val="000000"/>
                <w:sz w:val="18"/>
                <w:szCs w:val="18"/>
                <w:highlight w:val="none"/>
                <w:u w:val="none"/>
              </w:rPr>
            </w:pPr>
          </w:p>
          <w:p w14:paraId="6929092F">
            <w:pPr>
              <w:rPr>
                <w:rFonts w:hint="eastAsia" w:ascii="宋体" w:hAnsi="宋体" w:eastAsia="宋体" w:cs="宋体"/>
                <w:i w:val="0"/>
                <w:iCs w:val="0"/>
                <w:color w:val="000000"/>
                <w:sz w:val="18"/>
                <w:szCs w:val="18"/>
                <w:highlight w:val="none"/>
                <w:u w:val="none"/>
              </w:rPr>
            </w:pPr>
          </w:p>
          <w:p w14:paraId="7274BA0B">
            <w:pPr>
              <w:rPr>
                <w:rFonts w:hint="eastAsia" w:ascii="宋体" w:hAnsi="宋体" w:eastAsia="宋体" w:cs="宋体"/>
                <w:i w:val="0"/>
                <w:iCs w:val="0"/>
                <w:color w:val="000000"/>
                <w:sz w:val="18"/>
                <w:szCs w:val="18"/>
                <w:highlight w:val="none"/>
                <w:u w:val="none"/>
              </w:rPr>
            </w:pPr>
          </w:p>
          <w:p w14:paraId="7142A8B6">
            <w:pPr>
              <w:rPr>
                <w:rFonts w:hint="eastAsia" w:ascii="宋体" w:hAnsi="宋体" w:eastAsia="宋体" w:cs="宋体"/>
                <w:i w:val="0"/>
                <w:iCs w:val="0"/>
                <w:color w:val="000000"/>
                <w:sz w:val="18"/>
                <w:szCs w:val="18"/>
                <w:highlight w:val="none"/>
                <w:u w:val="none"/>
              </w:rPr>
            </w:pPr>
          </w:p>
          <w:p w14:paraId="4A65CCD3">
            <w:pPr>
              <w:rPr>
                <w:rFonts w:hint="eastAsia" w:ascii="宋体" w:hAnsi="宋体" w:eastAsia="宋体" w:cs="宋体"/>
                <w:i w:val="0"/>
                <w:iCs w:val="0"/>
                <w:color w:val="000000"/>
                <w:sz w:val="18"/>
                <w:szCs w:val="18"/>
                <w:highlight w:val="none"/>
                <w:u w:val="none"/>
              </w:rPr>
            </w:pPr>
          </w:p>
          <w:p w14:paraId="4F1F3CE2">
            <w:pPr>
              <w:rPr>
                <w:rFonts w:hint="eastAsia" w:ascii="宋体" w:hAnsi="宋体" w:eastAsia="宋体" w:cs="宋体"/>
                <w:i w:val="0"/>
                <w:iCs w:val="0"/>
                <w:color w:val="000000"/>
                <w:sz w:val="18"/>
                <w:szCs w:val="18"/>
                <w:highlight w:val="none"/>
                <w:u w:val="none"/>
              </w:rPr>
            </w:pPr>
          </w:p>
          <w:p w14:paraId="123FE004">
            <w:pPr>
              <w:rPr>
                <w:rFonts w:hint="eastAsia" w:ascii="宋体" w:hAnsi="宋体" w:eastAsia="宋体" w:cs="宋体"/>
                <w:i w:val="0"/>
                <w:iCs w:val="0"/>
                <w:color w:val="000000"/>
                <w:sz w:val="18"/>
                <w:szCs w:val="18"/>
                <w:highlight w:val="none"/>
                <w:u w:val="none"/>
              </w:rPr>
            </w:pPr>
          </w:p>
          <w:p w14:paraId="33B80A76">
            <w:pPr>
              <w:rPr>
                <w:rFonts w:hint="eastAsia" w:ascii="宋体" w:hAnsi="宋体" w:eastAsia="宋体" w:cs="宋体"/>
                <w:i w:val="0"/>
                <w:iCs w:val="0"/>
                <w:color w:val="000000"/>
                <w:sz w:val="18"/>
                <w:szCs w:val="18"/>
                <w:highlight w:val="none"/>
                <w:u w:val="none"/>
              </w:rPr>
            </w:pPr>
          </w:p>
          <w:p w14:paraId="05B6D391">
            <w:pPr>
              <w:rPr>
                <w:rFonts w:hint="eastAsia" w:ascii="宋体" w:hAnsi="宋体" w:eastAsia="宋体" w:cs="宋体"/>
                <w:i w:val="0"/>
                <w:iCs w:val="0"/>
                <w:color w:val="000000"/>
                <w:sz w:val="18"/>
                <w:szCs w:val="18"/>
                <w:highlight w:val="none"/>
                <w:u w:val="none"/>
              </w:rPr>
            </w:pPr>
          </w:p>
          <w:p w14:paraId="3E1BF60A">
            <w:pPr>
              <w:rPr>
                <w:rFonts w:hint="eastAsia" w:ascii="宋体" w:hAnsi="宋体" w:eastAsia="宋体" w:cs="宋体"/>
                <w:i w:val="0"/>
                <w:iCs w:val="0"/>
                <w:color w:val="000000"/>
                <w:sz w:val="18"/>
                <w:szCs w:val="18"/>
                <w:highlight w:val="none"/>
                <w:u w:val="none"/>
              </w:rPr>
            </w:pPr>
          </w:p>
          <w:p w14:paraId="5920E28C">
            <w:pPr>
              <w:rPr>
                <w:rFonts w:hint="eastAsia" w:ascii="宋体" w:hAnsi="宋体" w:eastAsia="宋体" w:cs="宋体"/>
                <w:i w:val="0"/>
                <w:iCs w:val="0"/>
                <w:color w:val="000000"/>
                <w:sz w:val="18"/>
                <w:szCs w:val="18"/>
                <w:highlight w:val="none"/>
                <w:u w:val="none"/>
              </w:rPr>
            </w:pPr>
          </w:p>
          <w:p w14:paraId="06BC35A1">
            <w:pPr>
              <w:rPr>
                <w:rFonts w:hint="eastAsia" w:ascii="宋体" w:hAnsi="宋体" w:eastAsia="宋体" w:cs="宋体"/>
                <w:i w:val="0"/>
                <w:iCs w:val="0"/>
                <w:color w:val="000000"/>
                <w:sz w:val="18"/>
                <w:szCs w:val="18"/>
                <w:highlight w:val="none"/>
                <w:u w:val="none"/>
              </w:rPr>
            </w:pPr>
          </w:p>
          <w:p w14:paraId="1B9B04A3">
            <w:pPr>
              <w:rPr>
                <w:rFonts w:hint="eastAsia" w:ascii="宋体" w:hAnsi="宋体" w:eastAsia="宋体" w:cs="宋体"/>
                <w:i w:val="0"/>
                <w:iCs w:val="0"/>
                <w:color w:val="000000"/>
                <w:sz w:val="18"/>
                <w:szCs w:val="18"/>
                <w:highlight w:val="none"/>
                <w:u w:val="none"/>
              </w:rPr>
            </w:pPr>
          </w:p>
          <w:p w14:paraId="3AF4D4EF">
            <w:pPr>
              <w:rPr>
                <w:rFonts w:hint="eastAsia" w:ascii="宋体" w:hAnsi="宋体" w:eastAsia="宋体" w:cs="宋体"/>
                <w:i w:val="0"/>
                <w:iCs w:val="0"/>
                <w:color w:val="000000"/>
                <w:sz w:val="18"/>
                <w:szCs w:val="18"/>
                <w:highlight w:val="none"/>
                <w:u w:val="none"/>
              </w:rPr>
            </w:pPr>
          </w:p>
          <w:p w14:paraId="0BA03D82">
            <w:pPr>
              <w:rPr>
                <w:rFonts w:hint="eastAsia" w:ascii="宋体" w:hAnsi="宋体" w:eastAsia="宋体" w:cs="宋体"/>
                <w:i w:val="0"/>
                <w:iCs w:val="0"/>
                <w:color w:val="000000"/>
                <w:sz w:val="18"/>
                <w:szCs w:val="18"/>
                <w:highlight w:val="none"/>
                <w:u w:val="none"/>
              </w:rPr>
            </w:pPr>
          </w:p>
          <w:p w14:paraId="0F3C3699">
            <w:pPr>
              <w:rPr>
                <w:rFonts w:hint="eastAsia" w:ascii="宋体" w:hAnsi="宋体" w:eastAsia="宋体" w:cs="宋体"/>
                <w:i w:val="0"/>
                <w:iCs w:val="0"/>
                <w:color w:val="000000"/>
                <w:sz w:val="18"/>
                <w:szCs w:val="18"/>
                <w:highlight w:val="none"/>
                <w:u w:val="none"/>
              </w:rPr>
            </w:pPr>
          </w:p>
          <w:p w14:paraId="0D317F3A">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5DA62E62">
            <w:pPr>
              <w:rPr>
                <w:rFonts w:hint="eastAsia" w:ascii="宋体" w:hAnsi="宋体" w:eastAsia="宋体" w:cs="宋体"/>
                <w:i w:val="0"/>
                <w:iCs w:val="0"/>
                <w:color w:val="000000"/>
                <w:sz w:val="18"/>
                <w:szCs w:val="18"/>
                <w:highlight w:val="none"/>
                <w:u w:val="none"/>
              </w:rPr>
            </w:pPr>
          </w:p>
        </w:tc>
        <w:tc>
          <w:tcPr>
            <w:tcW w:w="1091" w:type="dxa"/>
            <w:tcBorders>
              <w:top w:val="nil"/>
              <w:left w:val="nil"/>
              <w:bottom w:val="nil"/>
              <w:right w:val="nil"/>
            </w:tcBorders>
            <w:shd w:val="clear" w:color="auto" w:fill="auto"/>
            <w:vAlign w:val="center"/>
          </w:tcPr>
          <w:p w14:paraId="0234ECDC">
            <w:pPr>
              <w:rPr>
                <w:rFonts w:hint="eastAsia" w:ascii="宋体" w:hAnsi="宋体" w:eastAsia="宋体" w:cs="宋体"/>
                <w:i w:val="0"/>
                <w:iCs w:val="0"/>
                <w:color w:val="000000"/>
                <w:sz w:val="18"/>
                <w:szCs w:val="18"/>
                <w:highlight w:val="none"/>
                <w:u w:val="none"/>
              </w:rPr>
            </w:pPr>
          </w:p>
        </w:tc>
        <w:tc>
          <w:tcPr>
            <w:tcW w:w="504" w:type="dxa"/>
            <w:tcBorders>
              <w:top w:val="nil"/>
              <w:left w:val="nil"/>
              <w:bottom w:val="nil"/>
              <w:right w:val="nil"/>
            </w:tcBorders>
            <w:shd w:val="clear" w:color="auto" w:fill="auto"/>
            <w:vAlign w:val="center"/>
          </w:tcPr>
          <w:p w14:paraId="16BD8FCD">
            <w:pPr>
              <w:rPr>
                <w:rFonts w:hint="eastAsia" w:ascii="宋体" w:hAnsi="宋体" w:eastAsia="宋体" w:cs="宋体"/>
                <w:i w:val="0"/>
                <w:iCs w:val="0"/>
                <w:color w:val="000000"/>
                <w:sz w:val="18"/>
                <w:szCs w:val="18"/>
                <w:highlight w:val="none"/>
                <w:u w:val="none"/>
              </w:rPr>
            </w:pPr>
          </w:p>
        </w:tc>
        <w:tc>
          <w:tcPr>
            <w:tcW w:w="456" w:type="dxa"/>
            <w:tcBorders>
              <w:top w:val="nil"/>
              <w:left w:val="nil"/>
              <w:bottom w:val="nil"/>
              <w:right w:val="nil"/>
            </w:tcBorders>
            <w:shd w:val="clear" w:color="auto" w:fill="auto"/>
            <w:vAlign w:val="center"/>
          </w:tcPr>
          <w:p w14:paraId="11C1360E">
            <w:pPr>
              <w:rPr>
                <w:rFonts w:hint="eastAsia" w:ascii="宋体" w:hAnsi="宋体" w:eastAsia="宋体" w:cs="宋体"/>
                <w:i w:val="0"/>
                <w:iCs w:val="0"/>
                <w:color w:val="000000"/>
                <w:sz w:val="18"/>
                <w:szCs w:val="18"/>
                <w:highlight w:val="none"/>
                <w:u w:val="none"/>
              </w:rPr>
            </w:pPr>
          </w:p>
        </w:tc>
        <w:tc>
          <w:tcPr>
            <w:tcW w:w="2557" w:type="dxa"/>
            <w:tcBorders>
              <w:top w:val="nil"/>
              <w:left w:val="nil"/>
              <w:bottom w:val="nil"/>
              <w:right w:val="nil"/>
            </w:tcBorders>
            <w:shd w:val="clear" w:color="auto" w:fill="auto"/>
            <w:vAlign w:val="center"/>
          </w:tcPr>
          <w:p w14:paraId="39B2A0D8">
            <w:pPr>
              <w:rPr>
                <w:rFonts w:hint="eastAsia" w:ascii="宋体" w:hAnsi="宋体" w:eastAsia="宋体" w:cs="宋体"/>
                <w:i w:val="0"/>
                <w:iCs w:val="0"/>
                <w:color w:val="000000"/>
                <w:sz w:val="18"/>
                <w:szCs w:val="18"/>
                <w:highlight w:val="none"/>
                <w:u w:val="none"/>
              </w:rPr>
            </w:pPr>
          </w:p>
        </w:tc>
      </w:tr>
      <w:tr w14:paraId="04728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E39F60C">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6F625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A1458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1BE83A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51320021T000000047138-专题精准小分队招商、开放合作活动及项目册投资指南制作等项目经费</w:t>
            </w:r>
          </w:p>
        </w:tc>
      </w:tr>
      <w:tr w14:paraId="6483F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74C9A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10931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州商务局部门</w:t>
            </w:r>
          </w:p>
        </w:tc>
        <w:tc>
          <w:tcPr>
            <w:tcW w:w="1091" w:type="dxa"/>
            <w:tcBorders>
              <w:top w:val="nil"/>
              <w:left w:val="nil"/>
              <w:bottom w:val="nil"/>
              <w:right w:val="nil"/>
            </w:tcBorders>
            <w:shd w:val="clear" w:color="auto" w:fill="auto"/>
            <w:vAlign w:val="center"/>
          </w:tcPr>
          <w:p w14:paraId="3338878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3174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w:t>
            </w:r>
          </w:p>
        </w:tc>
      </w:tr>
      <w:tr w14:paraId="42855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88864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D93B0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6EE4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3E1BE2">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1D755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132FB">
            <w:pP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BAACC">
            <w:pPr>
              <w:rPr>
                <w:rFonts w:hint="eastAsia" w:ascii="宋体" w:hAnsi="宋体" w:eastAsia="宋体" w:cs="宋体"/>
                <w:i w:val="0"/>
                <w:iCs w:val="0"/>
                <w:color w:val="000000"/>
                <w:sz w:val="18"/>
                <w:szCs w:val="18"/>
                <w:highlight w:val="none"/>
                <w:u w:val="none"/>
              </w:rPr>
            </w:pP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75D7B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　一是为充分展示我州良好的投资环境和对外开放形象，利用专题招商引资活动、小分队招商引资活动、精准招商引资活动、各类经贸活动等，赴省内外发达地区宣传推介阿坝州五大产业：全域旅游、特色农牧、清洁能源、民族文化、‘飞地’经济、优良投资环境和良好的营商环境，加快构建“三地共建、五业同优”“四向拓展、全域开放”区域发展新格局，加快“一州两区三家园”建设，着力打造全域旅游“九大品牌”和“净土阿坝”农牧产品金字招牌贡献力量。二是使我州干部拓展视野、创新思路、激发干劲，借鉴先进经验，把学习考察成果转化为本地本部门创新发展、绿色发展、高质量发展的新思路、新举措、新成效，进一步促进我州在项目洽谈、签约、落地、开工、服务等方面的快速高效，确保项目谈得成、留得住、建得成。三是通过招商引资项目册、投资指南、手提袋的印制，在省、市（州）各大会议活动、展览会、外出招商活动中的发放，让更多人从文字、图片等信息更加形象的了解知晓阿坝州总体概况、资源禀赋、资源分布、机构设立及联系方式、产业定位及发展方向。</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1CD01B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编制发布阿坝州投资机遇、资源、政策“三张清单”，论证推出2025年州级重点招商引资项目120个，总投资693亿元，成功筹办第二十届西博会阿坝系列活动、“天下九寨沟·大美阿坝州”北京站投资合作推介会、川商总会天府新区商会阿坝行等活动，印发《投资机遇信息》20余期，组织县（市）主要领导外出小分队招商34批次。</w:t>
            </w:r>
          </w:p>
        </w:tc>
      </w:tr>
      <w:tr w14:paraId="0382A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2A95C">
            <w:pP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EDA0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CAD12D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开展招商引资优惠政策清理，排查169个2024年5月前签约项目并督促政策兑现；举办全州招商引资专题培训，并将招商引资相关指标纳入2025年州对县市综合目标考核，将2023-2024年签约项目履约督查纳入全州督监考计划。</w:t>
            </w:r>
          </w:p>
        </w:tc>
      </w:tr>
      <w:tr w14:paraId="2AE22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2D3A4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37B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74B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344F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183E6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A26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883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EB8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300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477EA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B3712">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1EE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C8E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343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19.63</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2022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19.63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1D2F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D2D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99191">
            <w:pPr>
              <w:jc w:val="center"/>
              <w:rPr>
                <w:rFonts w:hint="eastAsia" w:ascii="宋体" w:hAnsi="宋体" w:eastAsia="宋体" w:cs="宋体"/>
                <w:i w:val="0"/>
                <w:iCs w:val="0"/>
                <w:color w:val="000000"/>
                <w:sz w:val="18"/>
                <w:szCs w:val="18"/>
                <w:highlight w:val="none"/>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84D66E">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2025年因机构改革，职能职责划转至州经济合作外事局，相关经费一并划转。</w:t>
            </w:r>
          </w:p>
        </w:tc>
      </w:tr>
      <w:tr w14:paraId="6F814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C6AAE">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D49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D58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E2D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19.63</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3FD3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19.63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791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B5CC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8DE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D1A9D">
            <w:pPr>
              <w:rPr>
                <w:rFonts w:hint="eastAsia" w:ascii="黑体" w:hAnsi="黑体" w:eastAsia="黑体" w:cs="黑体"/>
                <w:i/>
                <w:iCs/>
                <w:color w:val="000000"/>
                <w:sz w:val="18"/>
                <w:szCs w:val="18"/>
                <w:highlight w:val="none"/>
                <w:u w:val="none"/>
              </w:rPr>
            </w:pPr>
          </w:p>
        </w:tc>
      </w:tr>
      <w:tr w14:paraId="7870F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DE6C2">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189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E2EC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6B29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28C5B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960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D81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8F9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10D23">
            <w:pPr>
              <w:rPr>
                <w:rFonts w:hint="eastAsia" w:ascii="黑体" w:hAnsi="黑体" w:eastAsia="黑体" w:cs="黑体"/>
                <w:i/>
                <w:iCs/>
                <w:color w:val="000000"/>
                <w:sz w:val="18"/>
                <w:szCs w:val="18"/>
                <w:highlight w:val="none"/>
                <w:u w:val="none"/>
              </w:rPr>
            </w:pPr>
          </w:p>
        </w:tc>
      </w:tr>
      <w:tr w14:paraId="61EFA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9D700">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ED99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3FE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011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D25DB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1B6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575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E10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08F63">
            <w:pPr>
              <w:rPr>
                <w:rFonts w:hint="eastAsia" w:ascii="黑体" w:hAnsi="黑体" w:eastAsia="黑体" w:cs="黑体"/>
                <w:i/>
                <w:iCs/>
                <w:color w:val="000000"/>
                <w:sz w:val="18"/>
                <w:szCs w:val="18"/>
                <w:highlight w:val="none"/>
                <w:u w:val="none"/>
              </w:rPr>
            </w:pPr>
          </w:p>
        </w:tc>
      </w:tr>
      <w:tr w14:paraId="092AC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24687">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58B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7D585">
            <w:pPr>
              <w:jc w:val="center"/>
              <w:rPr>
                <w:rFonts w:hint="eastAsia" w:ascii="微软雅黑" w:hAnsi="微软雅黑" w:eastAsia="微软雅黑" w:cs="微软雅黑"/>
                <w:i/>
                <w:iCs/>
                <w:color w:val="000000"/>
                <w:sz w:val="16"/>
                <w:szCs w:val="16"/>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00432">
            <w:pPr>
              <w:jc w:val="center"/>
              <w:rPr>
                <w:rFonts w:hint="eastAsia" w:ascii="微软雅黑" w:hAnsi="微软雅黑" w:eastAsia="微软雅黑" w:cs="微软雅黑"/>
                <w:i/>
                <w:iCs/>
                <w:color w:val="000000"/>
                <w:sz w:val="16"/>
                <w:szCs w:val="16"/>
                <w:highlight w:val="none"/>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04F90D">
            <w:pPr>
              <w:jc w:val="center"/>
              <w:rPr>
                <w:rFonts w:hint="eastAsia" w:ascii="微软雅黑" w:hAnsi="微软雅黑" w:eastAsia="微软雅黑" w:cs="微软雅黑"/>
                <w:i/>
                <w:iCs/>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DFFB7">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5C36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F0F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E58B2">
            <w:pPr>
              <w:rPr>
                <w:rFonts w:hint="eastAsia" w:ascii="黑体" w:hAnsi="黑体" w:eastAsia="黑体" w:cs="黑体"/>
                <w:i/>
                <w:iCs/>
                <w:color w:val="000000"/>
                <w:sz w:val="18"/>
                <w:szCs w:val="18"/>
                <w:highlight w:val="none"/>
                <w:u w:val="none"/>
              </w:rPr>
            </w:pPr>
          </w:p>
        </w:tc>
      </w:tr>
      <w:tr w14:paraId="62663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398B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302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AA4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233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3DD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D6A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EF9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E40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DCA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DF9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205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66A11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94AA4">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A2F0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DA08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149A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印制投资机遇清单数量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9A10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393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830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册</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0289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DC8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093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5F6B5">
            <w:pPr>
              <w:jc w:val="center"/>
              <w:rPr>
                <w:rFonts w:hint="eastAsia" w:ascii="微软雅黑" w:hAnsi="微软雅黑" w:eastAsia="微软雅黑" w:cs="微软雅黑"/>
                <w:i/>
                <w:iCs/>
                <w:color w:val="000000"/>
                <w:sz w:val="16"/>
                <w:szCs w:val="16"/>
                <w:highlight w:val="none"/>
                <w:u w:val="none"/>
              </w:rPr>
            </w:pPr>
          </w:p>
        </w:tc>
      </w:tr>
      <w:tr w14:paraId="51DFE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5C0D3">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6630A">
            <w:pPr>
              <w:jc w:val="center"/>
              <w:rPr>
                <w:rFonts w:hint="eastAsia" w:ascii="宋体" w:hAnsi="宋体" w:eastAsia="宋体" w:cs="宋体"/>
                <w:i w:val="0"/>
                <w:iCs w:val="0"/>
                <w:color w:val="000000"/>
                <w:sz w:val="18"/>
                <w:szCs w:val="18"/>
                <w:highlight w:val="none"/>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3082B">
            <w:pPr>
              <w:jc w:val="center"/>
              <w:rPr>
                <w:rFonts w:hint="eastAsia" w:ascii="宋体" w:hAnsi="宋体" w:eastAsia="宋体" w:cs="宋体"/>
                <w:i w:val="0"/>
                <w:iCs w:val="0"/>
                <w:color w:val="000000"/>
                <w:sz w:val="18"/>
                <w:szCs w:val="18"/>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514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开展招商引资系列活动数量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2B7B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6227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EC0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DE3A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84A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9A2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A8A01">
            <w:pPr>
              <w:jc w:val="center"/>
              <w:rPr>
                <w:rFonts w:hint="eastAsia" w:ascii="微软雅黑" w:hAnsi="微软雅黑" w:eastAsia="微软雅黑" w:cs="微软雅黑"/>
                <w:i/>
                <w:iCs/>
                <w:color w:val="000000"/>
                <w:sz w:val="16"/>
                <w:szCs w:val="16"/>
                <w:highlight w:val="none"/>
                <w:u w:val="none"/>
              </w:rPr>
            </w:pPr>
          </w:p>
        </w:tc>
      </w:tr>
      <w:tr w14:paraId="3F166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9BE46">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23649">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CB6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FD0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印刷品验收合格率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054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FEDA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F45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44FD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FF5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D88D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34A7E">
            <w:pPr>
              <w:jc w:val="center"/>
              <w:rPr>
                <w:rFonts w:hint="eastAsia" w:ascii="微软雅黑" w:hAnsi="微软雅黑" w:eastAsia="微软雅黑" w:cs="微软雅黑"/>
                <w:i/>
                <w:iCs/>
                <w:color w:val="000000"/>
                <w:sz w:val="16"/>
                <w:szCs w:val="16"/>
                <w:highlight w:val="none"/>
                <w:u w:val="none"/>
              </w:rPr>
            </w:pPr>
          </w:p>
        </w:tc>
      </w:tr>
      <w:tr w14:paraId="13D27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98AF7">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6E482">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908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7D4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及时保障时间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653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D33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AC5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月</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FA78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9996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057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91F58">
            <w:pPr>
              <w:jc w:val="center"/>
              <w:rPr>
                <w:rFonts w:hint="eastAsia" w:ascii="微软雅黑" w:hAnsi="微软雅黑" w:eastAsia="微软雅黑" w:cs="微软雅黑"/>
                <w:i/>
                <w:iCs/>
                <w:color w:val="000000"/>
                <w:sz w:val="16"/>
                <w:szCs w:val="16"/>
                <w:highlight w:val="none"/>
                <w:u w:val="none"/>
              </w:rPr>
            </w:pPr>
          </w:p>
        </w:tc>
      </w:tr>
      <w:tr w14:paraId="072F9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C87BB">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A6FF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2D59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FA0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新签约项目数量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DEE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0FE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13</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7D3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个</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BFDA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13</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6EF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119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91BEC">
            <w:pPr>
              <w:jc w:val="center"/>
              <w:rPr>
                <w:rFonts w:hint="eastAsia" w:ascii="微软雅黑" w:hAnsi="微软雅黑" w:eastAsia="微软雅黑" w:cs="微软雅黑"/>
                <w:i/>
                <w:iCs/>
                <w:color w:val="000000"/>
                <w:sz w:val="16"/>
                <w:szCs w:val="16"/>
                <w:highlight w:val="none"/>
                <w:u w:val="none"/>
              </w:rPr>
            </w:pPr>
          </w:p>
        </w:tc>
      </w:tr>
      <w:tr w14:paraId="35C49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BCA71">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64D7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9B9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D86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客商对推介会等工作满意度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F06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B0E9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957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BFCF6">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85</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E54C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94E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C5323">
            <w:pPr>
              <w:jc w:val="center"/>
              <w:rPr>
                <w:rFonts w:hint="eastAsia" w:ascii="微软雅黑" w:hAnsi="微软雅黑" w:eastAsia="微软雅黑" w:cs="微软雅黑"/>
                <w:i/>
                <w:iCs/>
                <w:color w:val="000000"/>
                <w:sz w:val="16"/>
                <w:szCs w:val="16"/>
                <w:highlight w:val="none"/>
                <w:u w:val="none"/>
              </w:rPr>
            </w:pPr>
          </w:p>
        </w:tc>
      </w:tr>
      <w:tr w14:paraId="2FBCB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72C92">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CE34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F7B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E3D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项目成本控制金额</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9ED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ED0F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853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8773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19.63</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614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E5A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D3444">
            <w:pPr>
              <w:jc w:val="center"/>
              <w:rPr>
                <w:rFonts w:hint="eastAsia" w:ascii="微软雅黑" w:hAnsi="微软雅黑" w:eastAsia="微软雅黑" w:cs="微软雅黑"/>
                <w:i/>
                <w:iCs/>
                <w:color w:val="000000"/>
                <w:sz w:val="16"/>
                <w:szCs w:val="16"/>
                <w:highlight w:val="none"/>
                <w:u w:val="none"/>
              </w:rPr>
            </w:pPr>
          </w:p>
        </w:tc>
      </w:tr>
      <w:tr w14:paraId="338AA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89D801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670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8B4A7">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1DE7C">
            <w:pPr>
              <w:rPr>
                <w:rFonts w:hint="eastAsia" w:ascii="宋体" w:hAnsi="宋体" w:eastAsia="宋体" w:cs="宋体"/>
                <w:i w:val="0"/>
                <w:iCs w:val="0"/>
                <w:color w:val="000000"/>
                <w:sz w:val="18"/>
                <w:szCs w:val="18"/>
                <w:highlight w:val="none"/>
                <w:u w:val="none"/>
              </w:rPr>
            </w:pPr>
          </w:p>
        </w:tc>
      </w:tr>
      <w:tr w14:paraId="760FD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D45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955F742">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项目自评总分100分，项目实施取得的成效显著，下半年因机构改革，职能职责划转至州经济合作外事局，相关经费一并划转。</w:t>
            </w:r>
          </w:p>
        </w:tc>
      </w:tr>
      <w:tr w14:paraId="1FCA2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E3D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B952B87">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223F8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A24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0E5318">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13DCA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2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18532E">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项目负责人：柯正刚</w:t>
            </w:r>
          </w:p>
        </w:tc>
        <w:tc>
          <w:tcPr>
            <w:tcW w:w="68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21C7B5">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财务负责人：顺云梅</w:t>
            </w:r>
          </w:p>
        </w:tc>
      </w:tr>
      <w:tr w14:paraId="01BB7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28B11884">
            <w:pPr>
              <w:rPr>
                <w:rFonts w:hint="eastAsia" w:ascii="宋体" w:hAnsi="宋体" w:eastAsia="宋体" w:cs="宋体"/>
                <w:i w:val="0"/>
                <w:iCs w:val="0"/>
                <w:color w:val="000000"/>
                <w:sz w:val="18"/>
                <w:szCs w:val="18"/>
                <w:highlight w:val="none"/>
                <w:u w:val="none"/>
              </w:rPr>
            </w:pPr>
          </w:p>
        </w:tc>
        <w:tc>
          <w:tcPr>
            <w:tcW w:w="2052" w:type="dxa"/>
            <w:tcBorders>
              <w:top w:val="nil"/>
              <w:left w:val="nil"/>
              <w:bottom w:val="nil"/>
              <w:right w:val="nil"/>
            </w:tcBorders>
            <w:shd w:val="clear" w:color="auto" w:fill="auto"/>
            <w:vAlign w:val="center"/>
          </w:tcPr>
          <w:p w14:paraId="0D753733">
            <w:pPr>
              <w:rPr>
                <w:rFonts w:hint="eastAsia" w:ascii="宋体" w:hAnsi="宋体" w:eastAsia="宋体" w:cs="宋体"/>
                <w:i w:val="0"/>
                <w:iCs w:val="0"/>
                <w:color w:val="000000"/>
                <w:sz w:val="18"/>
                <w:szCs w:val="18"/>
                <w:highlight w:val="none"/>
                <w:u w:val="none"/>
              </w:rPr>
            </w:pPr>
          </w:p>
        </w:tc>
        <w:tc>
          <w:tcPr>
            <w:tcW w:w="1774" w:type="dxa"/>
            <w:tcBorders>
              <w:top w:val="nil"/>
              <w:left w:val="nil"/>
              <w:bottom w:val="nil"/>
              <w:right w:val="nil"/>
            </w:tcBorders>
            <w:shd w:val="clear" w:color="auto" w:fill="auto"/>
            <w:vAlign w:val="center"/>
          </w:tcPr>
          <w:p w14:paraId="7C6F0F08">
            <w:pPr>
              <w:rPr>
                <w:rFonts w:hint="eastAsia" w:ascii="宋体" w:hAnsi="宋体" w:eastAsia="宋体" w:cs="宋体"/>
                <w:i w:val="0"/>
                <w:iCs w:val="0"/>
                <w:color w:val="000000"/>
                <w:sz w:val="18"/>
                <w:szCs w:val="18"/>
                <w:highlight w:val="none"/>
                <w:u w:val="none"/>
              </w:rPr>
            </w:pPr>
          </w:p>
          <w:p w14:paraId="01BCAC4F">
            <w:pPr>
              <w:rPr>
                <w:rFonts w:hint="eastAsia" w:ascii="宋体" w:hAnsi="宋体" w:eastAsia="宋体" w:cs="宋体"/>
                <w:i w:val="0"/>
                <w:iCs w:val="0"/>
                <w:color w:val="000000"/>
                <w:sz w:val="18"/>
                <w:szCs w:val="18"/>
                <w:highlight w:val="none"/>
                <w:u w:val="none"/>
              </w:rPr>
            </w:pPr>
          </w:p>
          <w:p w14:paraId="135DF716">
            <w:pPr>
              <w:rPr>
                <w:rFonts w:hint="eastAsia" w:ascii="宋体" w:hAnsi="宋体" w:eastAsia="宋体" w:cs="宋体"/>
                <w:i w:val="0"/>
                <w:iCs w:val="0"/>
                <w:color w:val="000000"/>
                <w:sz w:val="18"/>
                <w:szCs w:val="18"/>
                <w:highlight w:val="none"/>
                <w:u w:val="none"/>
              </w:rPr>
            </w:pPr>
          </w:p>
          <w:p w14:paraId="54A8B63F">
            <w:pPr>
              <w:rPr>
                <w:rFonts w:hint="eastAsia" w:ascii="宋体" w:hAnsi="宋体" w:eastAsia="宋体" w:cs="宋体"/>
                <w:i w:val="0"/>
                <w:iCs w:val="0"/>
                <w:color w:val="000000"/>
                <w:sz w:val="18"/>
                <w:szCs w:val="18"/>
                <w:highlight w:val="none"/>
                <w:u w:val="none"/>
              </w:rPr>
            </w:pPr>
          </w:p>
          <w:p w14:paraId="7D04FEFA">
            <w:pPr>
              <w:rPr>
                <w:rFonts w:hint="eastAsia" w:ascii="宋体" w:hAnsi="宋体" w:eastAsia="宋体" w:cs="宋体"/>
                <w:i w:val="0"/>
                <w:iCs w:val="0"/>
                <w:color w:val="000000"/>
                <w:sz w:val="18"/>
                <w:szCs w:val="18"/>
                <w:highlight w:val="none"/>
                <w:u w:val="none"/>
              </w:rPr>
            </w:pPr>
          </w:p>
          <w:p w14:paraId="3768A7FB">
            <w:pPr>
              <w:rPr>
                <w:rFonts w:hint="eastAsia" w:ascii="宋体" w:hAnsi="宋体" w:eastAsia="宋体" w:cs="宋体"/>
                <w:i w:val="0"/>
                <w:iCs w:val="0"/>
                <w:color w:val="000000"/>
                <w:sz w:val="18"/>
                <w:szCs w:val="18"/>
                <w:highlight w:val="none"/>
                <w:u w:val="none"/>
              </w:rPr>
            </w:pPr>
          </w:p>
          <w:p w14:paraId="2207A39B">
            <w:pPr>
              <w:rPr>
                <w:rFonts w:hint="eastAsia" w:ascii="宋体" w:hAnsi="宋体" w:eastAsia="宋体" w:cs="宋体"/>
                <w:i w:val="0"/>
                <w:iCs w:val="0"/>
                <w:color w:val="000000"/>
                <w:sz w:val="18"/>
                <w:szCs w:val="18"/>
                <w:highlight w:val="none"/>
                <w:u w:val="none"/>
              </w:rPr>
            </w:pPr>
          </w:p>
          <w:p w14:paraId="6312E178">
            <w:pPr>
              <w:rPr>
                <w:rFonts w:hint="eastAsia" w:ascii="宋体" w:hAnsi="宋体" w:eastAsia="宋体" w:cs="宋体"/>
                <w:i w:val="0"/>
                <w:iCs w:val="0"/>
                <w:color w:val="000000"/>
                <w:sz w:val="18"/>
                <w:szCs w:val="18"/>
                <w:highlight w:val="none"/>
                <w:u w:val="none"/>
              </w:rPr>
            </w:pPr>
          </w:p>
          <w:p w14:paraId="64DE8E34">
            <w:pPr>
              <w:rPr>
                <w:rFonts w:hint="eastAsia" w:ascii="宋体" w:hAnsi="宋体" w:eastAsia="宋体" w:cs="宋体"/>
                <w:i w:val="0"/>
                <w:iCs w:val="0"/>
                <w:color w:val="000000"/>
                <w:sz w:val="18"/>
                <w:szCs w:val="18"/>
                <w:highlight w:val="none"/>
                <w:u w:val="none"/>
              </w:rPr>
            </w:pPr>
          </w:p>
          <w:p w14:paraId="38F57365">
            <w:pPr>
              <w:rPr>
                <w:rFonts w:hint="eastAsia" w:ascii="宋体" w:hAnsi="宋体" w:eastAsia="宋体" w:cs="宋体"/>
                <w:i w:val="0"/>
                <w:iCs w:val="0"/>
                <w:color w:val="000000"/>
                <w:sz w:val="18"/>
                <w:szCs w:val="18"/>
                <w:highlight w:val="none"/>
                <w:u w:val="none"/>
              </w:rPr>
            </w:pPr>
          </w:p>
          <w:p w14:paraId="08E917AA">
            <w:pPr>
              <w:rPr>
                <w:rFonts w:hint="eastAsia" w:ascii="宋体" w:hAnsi="宋体" w:eastAsia="宋体" w:cs="宋体"/>
                <w:i w:val="0"/>
                <w:iCs w:val="0"/>
                <w:color w:val="000000"/>
                <w:sz w:val="18"/>
                <w:szCs w:val="18"/>
                <w:highlight w:val="none"/>
                <w:u w:val="none"/>
              </w:rPr>
            </w:pPr>
          </w:p>
          <w:p w14:paraId="12C549B8">
            <w:pPr>
              <w:rPr>
                <w:rFonts w:hint="eastAsia" w:ascii="宋体" w:hAnsi="宋体" w:eastAsia="宋体" w:cs="宋体"/>
                <w:i w:val="0"/>
                <w:iCs w:val="0"/>
                <w:color w:val="000000"/>
                <w:sz w:val="18"/>
                <w:szCs w:val="18"/>
                <w:highlight w:val="none"/>
                <w:u w:val="none"/>
              </w:rPr>
            </w:pPr>
          </w:p>
          <w:p w14:paraId="7B01FB94">
            <w:pPr>
              <w:rPr>
                <w:rFonts w:hint="eastAsia" w:ascii="宋体" w:hAnsi="宋体" w:eastAsia="宋体" w:cs="宋体"/>
                <w:i w:val="0"/>
                <w:iCs w:val="0"/>
                <w:color w:val="000000"/>
                <w:sz w:val="18"/>
                <w:szCs w:val="18"/>
                <w:highlight w:val="none"/>
                <w:u w:val="none"/>
              </w:rPr>
            </w:pPr>
          </w:p>
          <w:p w14:paraId="2671BC1F">
            <w:pPr>
              <w:rPr>
                <w:rFonts w:hint="eastAsia" w:ascii="宋体" w:hAnsi="宋体" w:eastAsia="宋体" w:cs="宋体"/>
                <w:i w:val="0"/>
                <w:iCs w:val="0"/>
                <w:color w:val="000000"/>
                <w:sz w:val="18"/>
                <w:szCs w:val="18"/>
                <w:highlight w:val="none"/>
                <w:u w:val="none"/>
              </w:rPr>
            </w:pPr>
          </w:p>
          <w:p w14:paraId="43FC3678">
            <w:pPr>
              <w:rPr>
                <w:rFonts w:hint="eastAsia" w:ascii="宋体" w:hAnsi="宋体" w:eastAsia="宋体" w:cs="宋体"/>
                <w:i w:val="0"/>
                <w:iCs w:val="0"/>
                <w:color w:val="000000"/>
                <w:sz w:val="18"/>
                <w:szCs w:val="18"/>
                <w:highlight w:val="none"/>
                <w:u w:val="none"/>
              </w:rPr>
            </w:pPr>
          </w:p>
          <w:p w14:paraId="7EACEEC2">
            <w:pPr>
              <w:rPr>
                <w:rFonts w:hint="eastAsia" w:ascii="宋体" w:hAnsi="宋体" w:eastAsia="宋体" w:cs="宋体"/>
                <w:i w:val="0"/>
                <w:iCs w:val="0"/>
                <w:color w:val="000000"/>
                <w:sz w:val="18"/>
                <w:szCs w:val="18"/>
                <w:highlight w:val="none"/>
                <w:u w:val="none"/>
              </w:rPr>
            </w:pPr>
          </w:p>
          <w:p w14:paraId="4C957088">
            <w:pPr>
              <w:rPr>
                <w:rFonts w:hint="eastAsia" w:ascii="宋体" w:hAnsi="宋体" w:eastAsia="宋体" w:cs="宋体"/>
                <w:i w:val="0"/>
                <w:iCs w:val="0"/>
                <w:color w:val="000000"/>
                <w:sz w:val="18"/>
                <w:szCs w:val="18"/>
                <w:highlight w:val="none"/>
                <w:u w:val="none"/>
              </w:rPr>
            </w:pPr>
          </w:p>
          <w:p w14:paraId="19CB4000">
            <w:pPr>
              <w:rPr>
                <w:rFonts w:hint="eastAsia" w:ascii="宋体" w:hAnsi="宋体" w:eastAsia="宋体" w:cs="宋体"/>
                <w:i w:val="0"/>
                <w:iCs w:val="0"/>
                <w:color w:val="000000"/>
                <w:sz w:val="18"/>
                <w:szCs w:val="18"/>
                <w:highlight w:val="none"/>
                <w:u w:val="none"/>
              </w:rPr>
            </w:pPr>
          </w:p>
          <w:p w14:paraId="074EE74C">
            <w:pPr>
              <w:rPr>
                <w:rFonts w:hint="eastAsia" w:ascii="宋体" w:hAnsi="宋体" w:eastAsia="宋体" w:cs="宋体"/>
                <w:i w:val="0"/>
                <w:iCs w:val="0"/>
                <w:color w:val="000000"/>
                <w:sz w:val="18"/>
                <w:szCs w:val="18"/>
                <w:highlight w:val="none"/>
                <w:u w:val="none"/>
              </w:rPr>
            </w:pPr>
          </w:p>
          <w:p w14:paraId="2B590E6A">
            <w:pPr>
              <w:rPr>
                <w:rFonts w:hint="eastAsia" w:ascii="宋体" w:hAnsi="宋体" w:eastAsia="宋体" w:cs="宋体"/>
                <w:i w:val="0"/>
                <w:iCs w:val="0"/>
                <w:color w:val="000000"/>
                <w:sz w:val="18"/>
                <w:szCs w:val="18"/>
                <w:highlight w:val="none"/>
                <w:u w:val="none"/>
              </w:rPr>
            </w:pPr>
          </w:p>
          <w:p w14:paraId="3A440560">
            <w:pPr>
              <w:rPr>
                <w:rFonts w:hint="eastAsia" w:ascii="宋体" w:hAnsi="宋体" w:eastAsia="宋体" w:cs="宋体"/>
                <w:i w:val="0"/>
                <w:iCs w:val="0"/>
                <w:color w:val="000000"/>
                <w:sz w:val="18"/>
                <w:szCs w:val="18"/>
                <w:highlight w:val="none"/>
                <w:u w:val="none"/>
              </w:rPr>
            </w:pPr>
          </w:p>
          <w:p w14:paraId="48A9E200">
            <w:pPr>
              <w:rPr>
                <w:rFonts w:hint="eastAsia" w:ascii="宋体" w:hAnsi="宋体" w:eastAsia="宋体" w:cs="宋体"/>
                <w:i w:val="0"/>
                <w:iCs w:val="0"/>
                <w:color w:val="000000"/>
                <w:sz w:val="18"/>
                <w:szCs w:val="18"/>
                <w:highlight w:val="none"/>
                <w:u w:val="none"/>
              </w:rPr>
            </w:pPr>
          </w:p>
        </w:tc>
        <w:tc>
          <w:tcPr>
            <w:tcW w:w="2263" w:type="dxa"/>
            <w:tcBorders>
              <w:top w:val="nil"/>
              <w:left w:val="nil"/>
              <w:bottom w:val="nil"/>
              <w:right w:val="nil"/>
            </w:tcBorders>
            <w:shd w:val="clear" w:color="auto" w:fill="auto"/>
            <w:vAlign w:val="center"/>
          </w:tcPr>
          <w:p w14:paraId="03DE3A43">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73F6545B">
            <w:pPr>
              <w:rPr>
                <w:rFonts w:hint="eastAsia" w:ascii="宋体" w:hAnsi="宋体" w:eastAsia="宋体" w:cs="宋体"/>
                <w:i w:val="0"/>
                <w:iCs w:val="0"/>
                <w:color w:val="000000"/>
                <w:sz w:val="18"/>
                <w:szCs w:val="18"/>
                <w:highlight w:val="none"/>
                <w:u w:val="none"/>
              </w:rPr>
            </w:pPr>
          </w:p>
        </w:tc>
        <w:tc>
          <w:tcPr>
            <w:tcW w:w="1677" w:type="dxa"/>
            <w:tcBorders>
              <w:top w:val="nil"/>
              <w:left w:val="nil"/>
              <w:bottom w:val="nil"/>
              <w:right w:val="nil"/>
            </w:tcBorders>
            <w:shd w:val="clear" w:color="auto" w:fill="auto"/>
            <w:vAlign w:val="center"/>
          </w:tcPr>
          <w:p w14:paraId="395479DB">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7B2B2F96">
            <w:pPr>
              <w:rPr>
                <w:rFonts w:hint="eastAsia" w:ascii="宋体" w:hAnsi="宋体" w:eastAsia="宋体" w:cs="宋体"/>
                <w:i w:val="0"/>
                <w:iCs w:val="0"/>
                <w:color w:val="000000"/>
                <w:sz w:val="18"/>
                <w:szCs w:val="18"/>
                <w:highlight w:val="none"/>
                <w:u w:val="none"/>
              </w:rPr>
            </w:pPr>
          </w:p>
        </w:tc>
        <w:tc>
          <w:tcPr>
            <w:tcW w:w="1091" w:type="dxa"/>
            <w:tcBorders>
              <w:top w:val="nil"/>
              <w:left w:val="nil"/>
              <w:bottom w:val="nil"/>
              <w:right w:val="nil"/>
            </w:tcBorders>
            <w:shd w:val="clear" w:color="auto" w:fill="auto"/>
            <w:vAlign w:val="center"/>
          </w:tcPr>
          <w:p w14:paraId="3E62E027">
            <w:pPr>
              <w:rPr>
                <w:rFonts w:hint="eastAsia" w:ascii="宋体" w:hAnsi="宋体" w:eastAsia="宋体" w:cs="宋体"/>
                <w:i w:val="0"/>
                <w:iCs w:val="0"/>
                <w:color w:val="000000"/>
                <w:sz w:val="18"/>
                <w:szCs w:val="18"/>
                <w:highlight w:val="none"/>
                <w:u w:val="none"/>
              </w:rPr>
            </w:pPr>
          </w:p>
        </w:tc>
        <w:tc>
          <w:tcPr>
            <w:tcW w:w="504" w:type="dxa"/>
            <w:tcBorders>
              <w:top w:val="nil"/>
              <w:left w:val="nil"/>
              <w:bottom w:val="nil"/>
              <w:right w:val="nil"/>
            </w:tcBorders>
            <w:shd w:val="clear" w:color="auto" w:fill="auto"/>
            <w:vAlign w:val="center"/>
          </w:tcPr>
          <w:p w14:paraId="449AED66">
            <w:pPr>
              <w:rPr>
                <w:rFonts w:hint="eastAsia" w:ascii="宋体" w:hAnsi="宋体" w:eastAsia="宋体" w:cs="宋体"/>
                <w:i w:val="0"/>
                <w:iCs w:val="0"/>
                <w:color w:val="000000"/>
                <w:sz w:val="18"/>
                <w:szCs w:val="18"/>
                <w:highlight w:val="none"/>
                <w:u w:val="none"/>
              </w:rPr>
            </w:pPr>
          </w:p>
        </w:tc>
        <w:tc>
          <w:tcPr>
            <w:tcW w:w="456" w:type="dxa"/>
            <w:tcBorders>
              <w:top w:val="nil"/>
              <w:left w:val="nil"/>
              <w:bottom w:val="nil"/>
              <w:right w:val="nil"/>
            </w:tcBorders>
            <w:shd w:val="clear" w:color="auto" w:fill="auto"/>
            <w:vAlign w:val="center"/>
          </w:tcPr>
          <w:p w14:paraId="7E0A3B34">
            <w:pPr>
              <w:rPr>
                <w:rFonts w:hint="eastAsia" w:ascii="宋体" w:hAnsi="宋体" w:eastAsia="宋体" w:cs="宋体"/>
                <w:i w:val="0"/>
                <w:iCs w:val="0"/>
                <w:color w:val="000000"/>
                <w:sz w:val="18"/>
                <w:szCs w:val="18"/>
                <w:highlight w:val="none"/>
                <w:u w:val="none"/>
              </w:rPr>
            </w:pPr>
          </w:p>
        </w:tc>
        <w:tc>
          <w:tcPr>
            <w:tcW w:w="2557" w:type="dxa"/>
            <w:tcBorders>
              <w:top w:val="nil"/>
              <w:left w:val="nil"/>
              <w:bottom w:val="nil"/>
              <w:right w:val="nil"/>
            </w:tcBorders>
            <w:shd w:val="clear" w:color="auto" w:fill="auto"/>
            <w:vAlign w:val="center"/>
          </w:tcPr>
          <w:p w14:paraId="50557132">
            <w:pPr>
              <w:rPr>
                <w:rFonts w:hint="eastAsia" w:ascii="宋体" w:hAnsi="宋体" w:eastAsia="宋体" w:cs="宋体"/>
                <w:i w:val="0"/>
                <w:iCs w:val="0"/>
                <w:color w:val="000000"/>
                <w:sz w:val="18"/>
                <w:szCs w:val="18"/>
                <w:highlight w:val="none"/>
                <w:u w:val="none"/>
              </w:rPr>
            </w:pPr>
          </w:p>
        </w:tc>
      </w:tr>
      <w:tr w14:paraId="79A16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6F79C1F5">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1A2A2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AA23C3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3D744B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51320021T000000047139-服务业电商发展及维护市场秩序等工作经费</w:t>
            </w:r>
          </w:p>
        </w:tc>
      </w:tr>
      <w:tr w14:paraId="5B1FF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854882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AD2BCD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州商务局部门</w:t>
            </w:r>
          </w:p>
        </w:tc>
        <w:tc>
          <w:tcPr>
            <w:tcW w:w="1091" w:type="dxa"/>
            <w:tcBorders>
              <w:top w:val="nil"/>
              <w:left w:val="nil"/>
              <w:bottom w:val="nil"/>
              <w:right w:val="nil"/>
            </w:tcBorders>
            <w:shd w:val="clear" w:color="auto" w:fill="FFFFFF"/>
            <w:vAlign w:val="center"/>
          </w:tcPr>
          <w:p w14:paraId="7770B1EE">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E575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w:t>
            </w:r>
          </w:p>
        </w:tc>
      </w:tr>
      <w:tr w14:paraId="6B8DA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9BD89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56564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14687B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89E04C2">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22F36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05CCC6">
            <w:pP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DFC177">
            <w:pPr>
              <w:rPr>
                <w:rFonts w:hint="eastAsia" w:ascii="宋体" w:hAnsi="宋体" w:eastAsia="宋体" w:cs="宋体"/>
                <w:i w:val="0"/>
                <w:iCs w:val="0"/>
                <w:color w:val="000000"/>
                <w:sz w:val="18"/>
                <w:szCs w:val="18"/>
                <w:highlight w:val="none"/>
                <w:u w:val="none"/>
              </w:rPr>
            </w:pP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269EED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保障落实州委州政府、商务厅工作安排，结合工作需要对全州服务业、电子商务等开展考察学习、培训、调研、综合督导、购买大数据报告、开展餐饮、再生资源回收相关活动等工作。通过开展各项工作，促进全州服务业稳定发展。</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D7D21D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对全州服务业、电子商务等开展考察学习、培训、调研、综合督导、购买大数据报告、开展餐饮、再生资源回收相关活动等工作。通过开展各项工作，促进全州服务业稳定发展。</w:t>
            </w:r>
          </w:p>
        </w:tc>
      </w:tr>
      <w:tr w14:paraId="1DDD2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603AE1">
            <w:pP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3A842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27615AC">
            <w:pPr>
              <w:rPr>
                <w:rFonts w:hint="eastAsia" w:ascii="宋体" w:hAnsi="宋体" w:eastAsia="宋体" w:cs="宋体"/>
                <w:i w:val="0"/>
                <w:iCs w:val="0"/>
                <w:color w:val="000000"/>
                <w:sz w:val="18"/>
                <w:szCs w:val="18"/>
                <w:highlight w:val="none"/>
                <w:u w:val="none"/>
              </w:rPr>
            </w:pPr>
          </w:p>
        </w:tc>
      </w:tr>
      <w:tr w14:paraId="084F7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62A0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DA99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4B9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3E3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51EF2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012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5DB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121E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28E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2A3CD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C7427D">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0E6C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C92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25.00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949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25.00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F327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24.99</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EC5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99.96%</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270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29B8E">
            <w:pPr>
              <w:jc w:val="center"/>
              <w:rPr>
                <w:rFonts w:hint="eastAsia" w:ascii="宋体" w:hAnsi="宋体" w:eastAsia="宋体" w:cs="宋体"/>
                <w:i w:val="0"/>
                <w:iCs w:val="0"/>
                <w:color w:val="000000"/>
                <w:sz w:val="18"/>
                <w:szCs w:val="18"/>
                <w:highlight w:val="none"/>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EFB956">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4EA7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B3916C">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F6D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CE7B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25.00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282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25.00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47AF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24.99</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768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99.96%</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58B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D4F6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C67618">
            <w:pPr>
              <w:rPr>
                <w:rFonts w:hint="eastAsia" w:ascii="黑体" w:hAnsi="黑体" w:eastAsia="黑体" w:cs="黑体"/>
                <w:i/>
                <w:iCs/>
                <w:color w:val="000000"/>
                <w:sz w:val="18"/>
                <w:szCs w:val="18"/>
                <w:highlight w:val="none"/>
                <w:u w:val="none"/>
              </w:rPr>
            </w:pPr>
          </w:p>
        </w:tc>
      </w:tr>
      <w:tr w14:paraId="118BC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910D20">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EF2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5D1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EE0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F9AE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C0F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7AC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F49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E0F147">
            <w:pPr>
              <w:rPr>
                <w:rFonts w:hint="eastAsia" w:ascii="黑体" w:hAnsi="黑体" w:eastAsia="黑体" w:cs="黑体"/>
                <w:i/>
                <w:iCs/>
                <w:color w:val="000000"/>
                <w:sz w:val="18"/>
                <w:szCs w:val="18"/>
                <w:highlight w:val="none"/>
                <w:u w:val="none"/>
              </w:rPr>
            </w:pPr>
          </w:p>
        </w:tc>
      </w:tr>
      <w:tr w14:paraId="4C783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6DD945">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412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36F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D6C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3CE5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A9E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8D7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310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34E000">
            <w:pPr>
              <w:rPr>
                <w:rFonts w:hint="eastAsia" w:ascii="黑体" w:hAnsi="黑体" w:eastAsia="黑体" w:cs="黑体"/>
                <w:i/>
                <w:iCs/>
                <w:color w:val="000000"/>
                <w:sz w:val="18"/>
                <w:szCs w:val="18"/>
                <w:highlight w:val="none"/>
                <w:u w:val="none"/>
              </w:rPr>
            </w:pPr>
          </w:p>
        </w:tc>
      </w:tr>
      <w:tr w14:paraId="73911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662A0D">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B24F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861C4">
            <w:pPr>
              <w:jc w:val="center"/>
              <w:rPr>
                <w:rFonts w:hint="eastAsia" w:ascii="微软雅黑" w:hAnsi="微软雅黑" w:eastAsia="微软雅黑" w:cs="微软雅黑"/>
                <w:i/>
                <w:iCs/>
                <w:color w:val="000000"/>
                <w:sz w:val="16"/>
                <w:szCs w:val="16"/>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C4F00">
            <w:pPr>
              <w:jc w:val="center"/>
              <w:rPr>
                <w:rFonts w:hint="eastAsia" w:ascii="微软雅黑" w:hAnsi="微软雅黑" w:eastAsia="微软雅黑" w:cs="微软雅黑"/>
                <w:i/>
                <w:iCs/>
                <w:color w:val="000000"/>
                <w:sz w:val="16"/>
                <w:szCs w:val="16"/>
                <w:highlight w:val="none"/>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3C4E59C">
            <w:pPr>
              <w:jc w:val="center"/>
              <w:rPr>
                <w:rFonts w:hint="eastAsia" w:ascii="微软雅黑" w:hAnsi="微软雅黑" w:eastAsia="微软雅黑" w:cs="微软雅黑"/>
                <w:i/>
                <w:iCs/>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A137A">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B37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CA8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A0FDFF">
            <w:pPr>
              <w:rPr>
                <w:rFonts w:hint="eastAsia" w:ascii="黑体" w:hAnsi="黑体" w:eastAsia="黑体" w:cs="黑体"/>
                <w:i/>
                <w:iCs/>
                <w:color w:val="000000"/>
                <w:sz w:val="18"/>
                <w:szCs w:val="18"/>
                <w:highlight w:val="none"/>
                <w:u w:val="none"/>
              </w:rPr>
            </w:pPr>
          </w:p>
        </w:tc>
      </w:tr>
      <w:tr w14:paraId="6EED3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CC6E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347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117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13C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786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AF2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B6B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DC3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CD3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BA9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863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3C1B0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5E7FF3">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30211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7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8ED5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A7C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服务业电商工作培训次数</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65D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DA4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612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5AA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9AD8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D58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6131E">
            <w:pPr>
              <w:jc w:val="center"/>
              <w:rPr>
                <w:rFonts w:hint="eastAsia" w:ascii="微软雅黑" w:hAnsi="微软雅黑" w:eastAsia="微软雅黑" w:cs="微软雅黑"/>
                <w:i/>
                <w:iCs/>
                <w:color w:val="000000"/>
                <w:sz w:val="16"/>
                <w:szCs w:val="16"/>
                <w:highlight w:val="none"/>
                <w:u w:val="none"/>
              </w:rPr>
            </w:pPr>
          </w:p>
        </w:tc>
      </w:tr>
      <w:tr w14:paraId="367DF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6D893C">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26360A">
            <w:pPr>
              <w:jc w:val="center"/>
              <w:rPr>
                <w:rFonts w:hint="eastAsia" w:ascii="宋体" w:hAnsi="宋体" w:eastAsia="宋体" w:cs="宋体"/>
                <w:i w:val="0"/>
                <w:iCs w:val="0"/>
                <w:color w:val="000000"/>
                <w:sz w:val="18"/>
                <w:szCs w:val="18"/>
                <w:highlight w:val="none"/>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836B5A">
            <w:pPr>
              <w:jc w:val="center"/>
              <w:rPr>
                <w:rFonts w:hint="eastAsia" w:ascii="宋体" w:hAnsi="宋体" w:eastAsia="宋体" w:cs="宋体"/>
                <w:i w:val="0"/>
                <w:iCs w:val="0"/>
                <w:color w:val="000000"/>
                <w:sz w:val="18"/>
                <w:szCs w:val="18"/>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60E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提供电商分析数据次数</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D68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C52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715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头次</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AC33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12</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83D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84C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2483D">
            <w:pPr>
              <w:jc w:val="center"/>
              <w:rPr>
                <w:rFonts w:hint="eastAsia" w:ascii="微软雅黑" w:hAnsi="微软雅黑" w:eastAsia="微软雅黑" w:cs="微软雅黑"/>
                <w:i/>
                <w:iCs/>
                <w:color w:val="000000"/>
                <w:sz w:val="16"/>
                <w:szCs w:val="16"/>
                <w:highlight w:val="none"/>
                <w:u w:val="none"/>
              </w:rPr>
            </w:pPr>
          </w:p>
        </w:tc>
      </w:tr>
      <w:tr w14:paraId="7EB2E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AA35FE">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67FB93">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6E7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C2F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服务业电商工作培训率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438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857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149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F4A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5DCF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5327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D806B">
            <w:pPr>
              <w:jc w:val="center"/>
              <w:rPr>
                <w:rFonts w:hint="eastAsia" w:ascii="微软雅黑" w:hAnsi="微软雅黑" w:eastAsia="微软雅黑" w:cs="微软雅黑"/>
                <w:i/>
                <w:iCs/>
                <w:color w:val="000000"/>
                <w:sz w:val="16"/>
                <w:szCs w:val="16"/>
                <w:highlight w:val="none"/>
                <w:u w:val="none"/>
              </w:rPr>
            </w:pPr>
          </w:p>
        </w:tc>
      </w:tr>
      <w:tr w14:paraId="1C38A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3C045B">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D63451">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55A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698F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培训计划完成及时率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3DE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A92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AAA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60E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67F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815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2AECA">
            <w:pPr>
              <w:jc w:val="center"/>
              <w:rPr>
                <w:rFonts w:hint="eastAsia" w:ascii="微软雅黑" w:hAnsi="微软雅黑" w:eastAsia="微软雅黑" w:cs="微软雅黑"/>
                <w:i/>
                <w:iCs/>
                <w:color w:val="000000"/>
                <w:sz w:val="16"/>
                <w:szCs w:val="16"/>
                <w:highlight w:val="none"/>
                <w:u w:val="none"/>
              </w:rPr>
            </w:pPr>
          </w:p>
        </w:tc>
      </w:tr>
      <w:tr w14:paraId="6B616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243B76">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4526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7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ADCC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901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服务业增加值增长率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F2C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A625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65D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33F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738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9B6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72950">
            <w:pPr>
              <w:jc w:val="center"/>
              <w:rPr>
                <w:rFonts w:hint="eastAsia" w:ascii="微软雅黑" w:hAnsi="微软雅黑" w:eastAsia="微软雅黑" w:cs="微软雅黑"/>
                <w:i/>
                <w:iCs/>
                <w:color w:val="000000"/>
                <w:sz w:val="16"/>
                <w:szCs w:val="16"/>
                <w:highlight w:val="none"/>
                <w:u w:val="none"/>
              </w:rPr>
            </w:pPr>
          </w:p>
        </w:tc>
      </w:tr>
      <w:tr w14:paraId="127DC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B9E16D">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D1F80E">
            <w:pPr>
              <w:jc w:val="center"/>
              <w:rPr>
                <w:rFonts w:hint="eastAsia" w:ascii="宋体" w:hAnsi="宋体" w:eastAsia="宋体" w:cs="宋体"/>
                <w:i w:val="0"/>
                <w:iCs w:val="0"/>
                <w:color w:val="000000"/>
                <w:sz w:val="18"/>
                <w:szCs w:val="18"/>
                <w:highlight w:val="none"/>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003ADB">
            <w:pPr>
              <w:jc w:val="center"/>
              <w:rPr>
                <w:rFonts w:hint="eastAsia" w:ascii="宋体" w:hAnsi="宋体" w:eastAsia="宋体" w:cs="宋体"/>
                <w:i w:val="0"/>
                <w:iCs w:val="0"/>
                <w:color w:val="000000"/>
                <w:sz w:val="18"/>
                <w:szCs w:val="18"/>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18D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电子商务网络交易额增长率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7A72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0BA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B55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FE8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18</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4FA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50C4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D23E1">
            <w:pPr>
              <w:jc w:val="center"/>
              <w:rPr>
                <w:rFonts w:hint="eastAsia" w:ascii="微软雅黑" w:hAnsi="微软雅黑" w:eastAsia="微软雅黑" w:cs="微软雅黑"/>
                <w:i/>
                <w:iCs/>
                <w:color w:val="000000"/>
                <w:sz w:val="16"/>
                <w:szCs w:val="16"/>
                <w:highlight w:val="none"/>
                <w:u w:val="none"/>
              </w:rPr>
            </w:pPr>
          </w:p>
        </w:tc>
      </w:tr>
      <w:tr w14:paraId="7FBBE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20A55F">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7C5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13B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10A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服务业企业满意度</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AF0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571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031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948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0EE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6869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20947">
            <w:pPr>
              <w:jc w:val="center"/>
              <w:rPr>
                <w:rFonts w:hint="eastAsia" w:ascii="微软雅黑" w:hAnsi="微软雅黑" w:eastAsia="微软雅黑" w:cs="微软雅黑"/>
                <w:i/>
                <w:iCs/>
                <w:color w:val="000000"/>
                <w:sz w:val="16"/>
                <w:szCs w:val="16"/>
                <w:highlight w:val="none"/>
                <w:u w:val="none"/>
              </w:rPr>
            </w:pPr>
          </w:p>
        </w:tc>
      </w:tr>
      <w:tr w14:paraId="09D61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07A308">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03F6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5E9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5FE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预算控制金额</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C69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73D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25</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021F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C30F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24.99</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44F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BE645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B157A">
            <w:pPr>
              <w:jc w:val="center"/>
              <w:rPr>
                <w:rFonts w:hint="eastAsia" w:ascii="微软雅黑" w:hAnsi="微软雅黑" w:eastAsia="微软雅黑" w:cs="微软雅黑"/>
                <w:i/>
                <w:iCs/>
                <w:color w:val="000000"/>
                <w:sz w:val="16"/>
                <w:szCs w:val="16"/>
                <w:highlight w:val="none"/>
                <w:u w:val="none"/>
              </w:rPr>
            </w:pPr>
          </w:p>
        </w:tc>
      </w:tr>
      <w:tr w14:paraId="4BC24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1EC63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447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1EE84">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B3593">
            <w:pPr>
              <w:rPr>
                <w:rFonts w:hint="eastAsia" w:ascii="宋体" w:hAnsi="宋体" w:eastAsia="宋体" w:cs="宋体"/>
                <w:i w:val="0"/>
                <w:iCs w:val="0"/>
                <w:color w:val="000000"/>
                <w:sz w:val="18"/>
                <w:szCs w:val="18"/>
                <w:highlight w:val="none"/>
                <w:u w:val="none"/>
              </w:rPr>
            </w:pPr>
          </w:p>
        </w:tc>
      </w:tr>
      <w:tr w14:paraId="73DE5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F806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486170AC">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经自评总分100分，按照年度目标有序推进，促进行业稳定发展。</w:t>
            </w:r>
          </w:p>
        </w:tc>
      </w:tr>
      <w:tr w14:paraId="423AA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A62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534D470A">
            <w:pPr>
              <w:rPr>
                <w:rFonts w:hint="eastAsia" w:ascii="微软雅黑" w:hAnsi="微软雅黑" w:eastAsia="微软雅黑" w:cs="微软雅黑"/>
                <w:i/>
                <w:iCs/>
                <w:color w:val="000000"/>
                <w:sz w:val="16"/>
                <w:szCs w:val="16"/>
                <w:highlight w:val="none"/>
                <w:u w:val="none"/>
              </w:rPr>
            </w:pPr>
          </w:p>
        </w:tc>
      </w:tr>
      <w:tr w14:paraId="778EA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18A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74C6A8B1">
            <w:pPr>
              <w:rPr>
                <w:rFonts w:hint="eastAsia" w:ascii="微软雅黑" w:hAnsi="微软雅黑" w:eastAsia="微软雅黑" w:cs="微软雅黑"/>
                <w:i/>
                <w:iCs/>
                <w:color w:val="000000"/>
                <w:sz w:val="16"/>
                <w:szCs w:val="16"/>
                <w:highlight w:val="none"/>
                <w:u w:val="none"/>
              </w:rPr>
            </w:pPr>
          </w:p>
        </w:tc>
      </w:tr>
      <w:tr w14:paraId="68919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2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5F51A8">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项目负责人：刘利增</w:t>
            </w:r>
          </w:p>
        </w:tc>
        <w:tc>
          <w:tcPr>
            <w:tcW w:w="68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6B7CC8">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财务负责人：顺云梅</w:t>
            </w:r>
          </w:p>
        </w:tc>
      </w:tr>
      <w:tr w14:paraId="71CD4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2101053B">
            <w:pPr>
              <w:rPr>
                <w:rFonts w:hint="eastAsia" w:ascii="宋体" w:hAnsi="宋体" w:eastAsia="宋体" w:cs="宋体"/>
                <w:i w:val="0"/>
                <w:iCs w:val="0"/>
                <w:color w:val="000000"/>
                <w:sz w:val="18"/>
                <w:szCs w:val="18"/>
                <w:highlight w:val="none"/>
                <w:u w:val="none"/>
              </w:rPr>
            </w:pPr>
          </w:p>
        </w:tc>
        <w:tc>
          <w:tcPr>
            <w:tcW w:w="2052" w:type="dxa"/>
            <w:tcBorders>
              <w:top w:val="nil"/>
              <w:left w:val="nil"/>
              <w:bottom w:val="nil"/>
              <w:right w:val="nil"/>
            </w:tcBorders>
            <w:shd w:val="clear" w:color="auto" w:fill="auto"/>
            <w:vAlign w:val="center"/>
          </w:tcPr>
          <w:p w14:paraId="35C05B96">
            <w:pPr>
              <w:rPr>
                <w:rFonts w:hint="eastAsia" w:ascii="宋体" w:hAnsi="宋体" w:eastAsia="宋体" w:cs="宋体"/>
                <w:i w:val="0"/>
                <w:iCs w:val="0"/>
                <w:color w:val="000000"/>
                <w:sz w:val="18"/>
                <w:szCs w:val="18"/>
                <w:highlight w:val="none"/>
                <w:u w:val="none"/>
              </w:rPr>
            </w:pPr>
          </w:p>
        </w:tc>
        <w:tc>
          <w:tcPr>
            <w:tcW w:w="1774" w:type="dxa"/>
            <w:tcBorders>
              <w:top w:val="nil"/>
              <w:left w:val="nil"/>
              <w:bottom w:val="nil"/>
              <w:right w:val="nil"/>
            </w:tcBorders>
            <w:shd w:val="clear" w:color="auto" w:fill="auto"/>
            <w:vAlign w:val="center"/>
          </w:tcPr>
          <w:p w14:paraId="1873C0A2">
            <w:pPr>
              <w:rPr>
                <w:rFonts w:hint="eastAsia" w:ascii="宋体" w:hAnsi="宋体" w:eastAsia="宋体" w:cs="宋体"/>
                <w:i w:val="0"/>
                <w:iCs w:val="0"/>
                <w:color w:val="000000"/>
                <w:sz w:val="18"/>
                <w:szCs w:val="18"/>
                <w:highlight w:val="none"/>
                <w:u w:val="none"/>
              </w:rPr>
            </w:pPr>
          </w:p>
          <w:p w14:paraId="0C624E69">
            <w:pPr>
              <w:rPr>
                <w:rFonts w:hint="eastAsia" w:ascii="宋体" w:hAnsi="宋体" w:eastAsia="宋体" w:cs="宋体"/>
                <w:i w:val="0"/>
                <w:iCs w:val="0"/>
                <w:color w:val="000000"/>
                <w:sz w:val="18"/>
                <w:szCs w:val="18"/>
                <w:highlight w:val="none"/>
                <w:u w:val="none"/>
              </w:rPr>
            </w:pPr>
          </w:p>
          <w:p w14:paraId="604C2403">
            <w:pPr>
              <w:rPr>
                <w:rFonts w:hint="eastAsia" w:ascii="宋体" w:hAnsi="宋体" w:eastAsia="宋体" w:cs="宋体"/>
                <w:i w:val="0"/>
                <w:iCs w:val="0"/>
                <w:color w:val="000000"/>
                <w:sz w:val="18"/>
                <w:szCs w:val="18"/>
                <w:highlight w:val="none"/>
                <w:u w:val="none"/>
              </w:rPr>
            </w:pPr>
          </w:p>
        </w:tc>
        <w:tc>
          <w:tcPr>
            <w:tcW w:w="2263" w:type="dxa"/>
            <w:tcBorders>
              <w:top w:val="nil"/>
              <w:left w:val="nil"/>
              <w:bottom w:val="nil"/>
              <w:right w:val="nil"/>
            </w:tcBorders>
            <w:shd w:val="clear" w:color="auto" w:fill="auto"/>
            <w:vAlign w:val="center"/>
          </w:tcPr>
          <w:p w14:paraId="6557203C">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3B686E11">
            <w:pPr>
              <w:rPr>
                <w:rFonts w:hint="eastAsia" w:ascii="宋体" w:hAnsi="宋体" w:eastAsia="宋体" w:cs="宋体"/>
                <w:i w:val="0"/>
                <w:iCs w:val="0"/>
                <w:color w:val="000000"/>
                <w:sz w:val="18"/>
                <w:szCs w:val="18"/>
                <w:highlight w:val="none"/>
                <w:u w:val="none"/>
              </w:rPr>
            </w:pPr>
          </w:p>
        </w:tc>
        <w:tc>
          <w:tcPr>
            <w:tcW w:w="1677" w:type="dxa"/>
            <w:tcBorders>
              <w:top w:val="nil"/>
              <w:left w:val="nil"/>
              <w:bottom w:val="nil"/>
              <w:right w:val="nil"/>
            </w:tcBorders>
            <w:shd w:val="clear" w:color="auto" w:fill="auto"/>
            <w:vAlign w:val="center"/>
          </w:tcPr>
          <w:p w14:paraId="55E92142">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372526A9">
            <w:pPr>
              <w:rPr>
                <w:rFonts w:hint="eastAsia" w:ascii="宋体" w:hAnsi="宋体" w:eastAsia="宋体" w:cs="宋体"/>
                <w:i w:val="0"/>
                <w:iCs w:val="0"/>
                <w:color w:val="000000"/>
                <w:sz w:val="18"/>
                <w:szCs w:val="18"/>
                <w:highlight w:val="none"/>
                <w:u w:val="none"/>
              </w:rPr>
            </w:pPr>
          </w:p>
        </w:tc>
        <w:tc>
          <w:tcPr>
            <w:tcW w:w="1091" w:type="dxa"/>
            <w:tcBorders>
              <w:top w:val="nil"/>
              <w:left w:val="nil"/>
              <w:bottom w:val="nil"/>
              <w:right w:val="nil"/>
            </w:tcBorders>
            <w:shd w:val="clear" w:color="auto" w:fill="auto"/>
            <w:vAlign w:val="center"/>
          </w:tcPr>
          <w:p w14:paraId="43EFA2CB">
            <w:pPr>
              <w:rPr>
                <w:rFonts w:hint="eastAsia" w:ascii="宋体" w:hAnsi="宋体" w:eastAsia="宋体" w:cs="宋体"/>
                <w:i w:val="0"/>
                <w:iCs w:val="0"/>
                <w:color w:val="000000"/>
                <w:sz w:val="18"/>
                <w:szCs w:val="18"/>
                <w:highlight w:val="none"/>
                <w:u w:val="none"/>
              </w:rPr>
            </w:pPr>
          </w:p>
        </w:tc>
        <w:tc>
          <w:tcPr>
            <w:tcW w:w="504" w:type="dxa"/>
            <w:tcBorders>
              <w:top w:val="nil"/>
              <w:left w:val="nil"/>
              <w:bottom w:val="nil"/>
              <w:right w:val="nil"/>
            </w:tcBorders>
            <w:shd w:val="clear" w:color="auto" w:fill="auto"/>
            <w:vAlign w:val="center"/>
          </w:tcPr>
          <w:p w14:paraId="448A0ADB">
            <w:pPr>
              <w:rPr>
                <w:rFonts w:hint="eastAsia" w:ascii="宋体" w:hAnsi="宋体" w:eastAsia="宋体" w:cs="宋体"/>
                <w:i w:val="0"/>
                <w:iCs w:val="0"/>
                <w:color w:val="000000"/>
                <w:sz w:val="18"/>
                <w:szCs w:val="18"/>
                <w:highlight w:val="none"/>
                <w:u w:val="none"/>
              </w:rPr>
            </w:pPr>
          </w:p>
        </w:tc>
        <w:tc>
          <w:tcPr>
            <w:tcW w:w="456" w:type="dxa"/>
            <w:tcBorders>
              <w:top w:val="nil"/>
              <w:left w:val="nil"/>
              <w:bottom w:val="nil"/>
              <w:right w:val="nil"/>
            </w:tcBorders>
            <w:shd w:val="clear" w:color="auto" w:fill="auto"/>
            <w:vAlign w:val="center"/>
          </w:tcPr>
          <w:p w14:paraId="4ACD48FA">
            <w:pPr>
              <w:rPr>
                <w:rFonts w:hint="eastAsia" w:ascii="宋体" w:hAnsi="宋体" w:eastAsia="宋体" w:cs="宋体"/>
                <w:i w:val="0"/>
                <w:iCs w:val="0"/>
                <w:color w:val="000000"/>
                <w:sz w:val="18"/>
                <w:szCs w:val="18"/>
                <w:highlight w:val="none"/>
                <w:u w:val="none"/>
              </w:rPr>
            </w:pPr>
          </w:p>
        </w:tc>
        <w:tc>
          <w:tcPr>
            <w:tcW w:w="2557" w:type="dxa"/>
            <w:tcBorders>
              <w:top w:val="nil"/>
              <w:left w:val="nil"/>
              <w:bottom w:val="nil"/>
              <w:right w:val="nil"/>
            </w:tcBorders>
            <w:shd w:val="clear" w:color="auto" w:fill="auto"/>
            <w:vAlign w:val="center"/>
          </w:tcPr>
          <w:p w14:paraId="04230EDA">
            <w:pPr>
              <w:rPr>
                <w:rFonts w:hint="eastAsia" w:ascii="宋体" w:hAnsi="宋体" w:eastAsia="宋体" w:cs="宋体"/>
                <w:i w:val="0"/>
                <w:iCs w:val="0"/>
                <w:color w:val="000000"/>
                <w:sz w:val="18"/>
                <w:szCs w:val="18"/>
                <w:highlight w:val="none"/>
                <w:u w:val="none"/>
              </w:rPr>
            </w:pPr>
          </w:p>
        </w:tc>
      </w:tr>
      <w:tr w14:paraId="37477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0FC17F13">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3682D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B9D6AC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158725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51320021T000000047140-组织参加各类贸易活动（展洽会）和农商对接活动经费</w:t>
            </w:r>
          </w:p>
        </w:tc>
      </w:tr>
      <w:tr w14:paraId="29D40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4D16CC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106F43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州商务局部门</w:t>
            </w:r>
          </w:p>
        </w:tc>
        <w:tc>
          <w:tcPr>
            <w:tcW w:w="1091" w:type="dxa"/>
            <w:tcBorders>
              <w:top w:val="nil"/>
              <w:left w:val="nil"/>
              <w:bottom w:val="nil"/>
              <w:right w:val="nil"/>
            </w:tcBorders>
            <w:shd w:val="clear" w:color="auto" w:fill="FFFFFF"/>
            <w:vAlign w:val="center"/>
          </w:tcPr>
          <w:p w14:paraId="1E32ABD7">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1F8C2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w:t>
            </w:r>
          </w:p>
        </w:tc>
      </w:tr>
      <w:tr w14:paraId="79260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313CA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A143B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B8CF2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4A9350E6">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44174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ED024A">
            <w:pP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72D456">
            <w:pPr>
              <w:rPr>
                <w:rFonts w:hint="eastAsia" w:ascii="宋体" w:hAnsi="宋体" w:eastAsia="宋体" w:cs="宋体"/>
                <w:i w:val="0"/>
                <w:iCs w:val="0"/>
                <w:color w:val="000000"/>
                <w:sz w:val="18"/>
                <w:szCs w:val="18"/>
                <w:highlight w:val="none"/>
                <w:u w:val="none"/>
              </w:rPr>
            </w:pP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31DFCC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我州将按四川省商务厅的年度计划，有针对性地组织带领我州“净土阿坝”的特色农产品企业，参加省商务厅组织的各类展洽会活动。组织州农业农村局等有关单位、各县（市）经济商务和信息化局及农业农村局、“净土阿坝”农特产品企业，会同成都、重庆、海口市商务局以及周边地区市（县）农产品批发市场、大中型超市、电子商务企业，采取产需见面、供需对接、展销展示、现场考察等多种形式开展“农商对接”活动。积极为供需双方创造见面与沟通的机会，为阿坝州“名优特新”农产品不断进入成都及周边市（县）的各大批发市场和超市创造条件。</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CF91EB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组织企业（单位）200家次，参加进博会、“阿坝-成都”农商对接等活动，共达成意向购销合作协议5个，协议金额超1.1亿元。</w:t>
            </w:r>
          </w:p>
        </w:tc>
      </w:tr>
      <w:tr w14:paraId="7BD9D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2061E2">
            <w:pP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F137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1B2348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先后组织参加“新春购物月”、“消博会”、“西博会”“进博会”、地理标志产品博览会、浙江消费帮扶等重要活动。于5月21日，会同成都市商务局组织州内大型农民专业合作社、农牧业龙头企业与成都市的批发市场、流通企业、连锁超市、农产品直销等企业在小金县开展第十一届“阿坝-成都”农商对接活动</w:t>
            </w:r>
          </w:p>
        </w:tc>
      </w:tr>
      <w:tr w14:paraId="1BE33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B992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D220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1B9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0FCB7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576D7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C77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A98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5EE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8AF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4C68F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CC16F7">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3D5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673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0DE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D722F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19.96</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24C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99.80%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EE1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5FDC4">
            <w:pPr>
              <w:jc w:val="center"/>
              <w:rPr>
                <w:rFonts w:hint="eastAsia" w:ascii="宋体" w:hAnsi="宋体" w:eastAsia="宋体" w:cs="宋体"/>
                <w:i w:val="0"/>
                <w:iCs w:val="0"/>
                <w:color w:val="000000"/>
                <w:sz w:val="18"/>
                <w:szCs w:val="18"/>
                <w:highlight w:val="none"/>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2C3069">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8F3D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E6FCC0">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2D35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76C7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858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CE18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19.96</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7ECE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99.80%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FAE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332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0DE1CF">
            <w:pPr>
              <w:rPr>
                <w:rFonts w:hint="eastAsia" w:ascii="黑体" w:hAnsi="黑体" w:eastAsia="黑体" w:cs="黑体"/>
                <w:i/>
                <w:iCs/>
                <w:color w:val="000000"/>
                <w:sz w:val="18"/>
                <w:szCs w:val="18"/>
                <w:highlight w:val="none"/>
                <w:u w:val="none"/>
              </w:rPr>
            </w:pPr>
          </w:p>
        </w:tc>
      </w:tr>
      <w:tr w14:paraId="5CA45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35425E">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33C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068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C911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20A9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3A5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8CA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B26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872770">
            <w:pPr>
              <w:rPr>
                <w:rFonts w:hint="eastAsia" w:ascii="黑体" w:hAnsi="黑体" w:eastAsia="黑体" w:cs="黑体"/>
                <w:i/>
                <w:iCs/>
                <w:color w:val="000000"/>
                <w:sz w:val="18"/>
                <w:szCs w:val="18"/>
                <w:highlight w:val="none"/>
                <w:u w:val="none"/>
              </w:rPr>
            </w:pPr>
          </w:p>
        </w:tc>
      </w:tr>
      <w:tr w14:paraId="5F9FE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137C06">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0722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199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16A7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2954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5578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FE7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131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5C9606">
            <w:pPr>
              <w:rPr>
                <w:rFonts w:hint="eastAsia" w:ascii="黑体" w:hAnsi="黑体" w:eastAsia="黑体" w:cs="黑体"/>
                <w:i/>
                <w:iCs/>
                <w:color w:val="000000"/>
                <w:sz w:val="18"/>
                <w:szCs w:val="18"/>
                <w:highlight w:val="none"/>
                <w:u w:val="none"/>
              </w:rPr>
            </w:pPr>
          </w:p>
        </w:tc>
      </w:tr>
      <w:tr w14:paraId="62FC4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DF8ABC">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94D0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1E699">
            <w:pPr>
              <w:jc w:val="center"/>
              <w:rPr>
                <w:rFonts w:hint="eastAsia" w:ascii="微软雅黑" w:hAnsi="微软雅黑" w:eastAsia="微软雅黑" w:cs="微软雅黑"/>
                <w:i/>
                <w:iCs/>
                <w:color w:val="000000"/>
                <w:sz w:val="16"/>
                <w:szCs w:val="16"/>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30C68">
            <w:pPr>
              <w:jc w:val="center"/>
              <w:rPr>
                <w:rFonts w:hint="eastAsia" w:ascii="微软雅黑" w:hAnsi="微软雅黑" w:eastAsia="微软雅黑" w:cs="微软雅黑"/>
                <w:i/>
                <w:iCs/>
                <w:color w:val="000000"/>
                <w:sz w:val="16"/>
                <w:szCs w:val="16"/>
                <w:highlight w:val="none"/>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87743B">
            <w:pPr>
              <w:jc w:val="center"/>
              <w:rPr>
                <w:rFonts w:hint="eastAsia" w:ascii="微软雅黑" w:hAnsi="微软雅黑" w:eastAsia="微软雅黑" w:cs="微软雅黑"/>
                <w:i/>
                <w:iCs/>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0F6C5">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68A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EEB9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C05B5E">
            <w:pPr>
              <w:rPr>
                <w:rFonts w:hint="eastAsia" w:ascii="黑体" w:hAnsi="黑体" w:eastAsia="黑体" w:cs="黑体"/>
                <w:i/>
                <w:iCs/>
                <w:color w:val="000000"/>
                <w:sz w:val="18"/>
                <w:szCs w:val="18"/>
                <w:highlight w:val="none"/>
                <w:u w:val="none"/>
              </w:rPr>
            </w:pPr>
          </w:p>
        </w:tc>
      </w:tr>
      <w:tr w14:paraId="6F402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DE70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18B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203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296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D89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765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B15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F12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EEF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009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554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4449D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230759">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EA18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7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1345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94DE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组织参加'进博会'系列活动数量</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9BC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2E49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A05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1833F">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3C6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133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687E5">
            <w:pPr>
              <w:jc w:val="center"/>
              <w:rPr>
                <w:rFonts w:hint="eastAsia" w:ascii="微软雅黑" w:hAnsi="微软雅黑" w:eastAsia="微软雅黑" w:cs="微软雅黑"/>
                <w:i/>
                <w:iCs/>
                <w:color w:val="000000"/>
                <w:sz w:val="16"/>
                <w:szCs w:val="16"/>
                <w:highlight w:val="none"/>
                <w:u w:val="none"/>
              </w:rPr>
            </w:pPr>
          </w:p>
        </w:tc>
      </w:tr>
      <w:tr w14:paraId="01EF2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21F822">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6E4600">
            <w:pPr>
              <w:jc w:val="center"/>
              <w:rPr>
                <w:rFonts w:hint="eastAsia" w:ascii="宋体" w:hAnsi="宋体" w:eastAsia="宋体" w:cs="宋体"/>
                <w:i w:val="0"/>
                <w:iCs w:val="0"/>
                <w:color w:val="000000"/>
                <w:sz w:val="18"/>
                <w:szCs w:val="18"/>
                <w:highlight w:val="none"/>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304316">
            <w:pPr>
              <w:jc w:val="center"/>
              <w:rPr>
                <w:rFonts w:hint="eastAsia" w:ascii="宋体" w:hAnsi="宋体" w:eastAsia="宋体" w:cs="宋体"/>
                <w:i w:val="0"/>
                <w:iCs w:val="0"/>
                <w:color w:val="000000"/>
                <w:sz w:val="18"/>
                <w:szCs w:val="18"/>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EF2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组织参会参展企业数量</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456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CA4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25A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家</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3E00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9E1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4DD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5FF8A">
            <w:pPr>
              <w:jc w:val="center"/>
              <w:rPr>
                <w:rFonts w:hint="eastAsia" w:ascii="微软雅黑" w:hAnsi="微软雅黑" w:eastAsia="微软雅黑" w:cs="微软雅黑"/>
                <w:i/>
                <w:iCs/>
                <w:color w:val="000000"/>
                <w:sz w:val="16"/>
                <w:szCs w:val="16"/>
                <w:highlight w:val="none"/>
                <w:u w:val="none"/>
              </w:rPr>
            </w:pPr>
          </w:p>
        </w:tc>
      </w:tr>
      <w:tr w14:paraId="72A4E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C7BF5F">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48F4D8">
            <w:pPr>
              <w:jc w:val="center"/>
              <w:rPr>
                <w:rFonts w:hint="eastAsia" w:ascii="宋体" w:hAnsi="宋体" w:eastAsia="宋体" w:cs="宋体"/>
                <w:i w:val="0"/>
                <w:iCs w:val="0"/>
                <w:color w:val="000000"/>
                <w:sz w:val="18"/>
                <w:szCs w:val="18"/>
                <w:highlight w:val="none"/>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545867">
            <w:pPr>
              <w:jc w:val="center"/>
              <w:rPr>
                <w:rFonts w:hint="eastAsia" w:ascii="宋体" w:hAnsi="宋体" w:eastAsia="宋体" w:cs="宋体"/>
                <w:i w:val="0"/>
                <w:iCs w:val="0"/>
                <w:color w:val="000000"/>
                <w:sz w:val="18"/>
                <w:szCs w:val="18"/>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C67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农商对接活动次数</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55B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1C1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81A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BF42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BF4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1FE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80EB9">
            <w:pPr>
              <w:jc w:val="center"/>
              <w:rPr>
                <w:rFonts w:hint="eastAsia" w:ascii="微软雅黑" w:hAnsi="微软雅黑" w:eastAsia="微软雅黑" w:cs="微软雅黑"/>
                <w:i/>
                <w:iCs/>
                <w:color w:val="000000"/>
                <w:sz w:val="16"/>
                <w:szCs w:val="16"/>
                <w:highlight w:val="none"/>
                <w:u w:val="none"/>
              </w:rPr>
            </w:pPr>
          </w:p>
        </w:tc>
      </w:tr>
      <w:tr w14:paraId="21A01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F3C643">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777452">
            <w:pPr>
              <w:jc w:val="center"/>
              <w:rPr>
                <w:rFonts w:hint="eastAsia" w:ascii="宋体" w:hAnsi="宋体" w:eastAsia="宋体" w:cs="宋体"/>
                <w:i w:val="0"/>
                <w:iCs w:val="0"/>
                <w:color w:val="000000"/>
                <w:sz w:val="18"/>
                <w:szCs w:val="18"/>
                <w:highlight w:val="none"/>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B67540">
            <w:pPr>
              <w:jc w:val="center"/>
              <w:rPr>
                <w:rFonts w:hint="eastAsia" w:ascii="宋体" w:hAnsi="宋体" w:eastAsia="宋体" w:cs="宋体"/>
                <w:i w:val="0"/>
                <w:iCs w:val="0"/>
                <w:color w:val="000000"/>
                <w:sz w:val="18"/>
                <w:szCs w:val="18"/>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414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组织特色农产品企业参展次数</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4E4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EA1F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47D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72CC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AEA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9A0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3F7E8">
            <w:pPr>
              <w:jc w:val="center"/>
              <w:rPr>
                <w:rFonts w:hint="eastAsia" w:ascii="微软雅黑" w:hAnsi="微软雅黑" w:eastAsia="微软雅黑" w:cs="微软雅黑"/>
                <w:i/>
                <w:iCs/>
                <w:color w:val="000000"/>
                <w:sz w:val="16"/>
                <w:szCs w:val="16"/>
                <w:highlight w:val="none"/>
                <w:u w:val="none"/>
              </w:rPr>
            </w:pPr>
          </w:p>
        </w:tc>
      </w:tr>
      <w:tr w14:paraId="67A7B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06CDE8">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B24E50">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AB4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98F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农商对接活动成交率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29E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3FFE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30B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D15C6">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61C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6ED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49E99">
            <w:pPr>
              <w:jc w:val="center"/>
              <w:rPr>
                <w:rFonts w:hint="eastAsia" w:ascii="微软雅黑" w:hAnsi="微软雅黑" w:eastAsia="微软雅黑" w:cs="微软雅黑"/>
                <w:i/>
                <w:iCs/>
                <w:color w:val="000000"/>
                <w:sz w:val="16"/>
                <w:szCs w:val="16"/>
                <w:highlight w:val="none"/>
                <w:u w:val="none"/>
              </w:rPr>
            </w:pPr>
          </w:p>
        </w:tc>
      </w:tr>
      <w:tr w14:paraId="76DF8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F893BC">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06091D">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EC0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C1B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展会活动按期完成率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CB8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E73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97D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A6D95">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302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4C1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B84F5">
            <w:pPr>
              <w:jc w:val="center"/>
              <w:rPr>
                <w:rFonts w:hint="eastAsia" w:ascii="微软雅黑" w:hAnsi="微软雅黑" w:eastAsia="微软雅黑" w:cs="微软雅黑"/>
                <w:i/>
                <w:iCs/>
                <w:color w:val="000000"/>
                <w:sz w:val="16"/>
                <w:szCs w:val="16"/>
                <w:highlight w:val="none"/>
                <w:u w:val="none"/>
              </w:rPr>
            </w:pPr>
          </w:p>
        </w:tc>
      </w:tr>
      <w:tr w14:paraId="773A2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E04306">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4B3E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1787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902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拓展"净土阿坝"特色农产品省外销售覆盖范围</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73E2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7C4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有效拓展我州农特产品销售渠道</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C1040">
            <w:pPr>
              <w:jc w:val="center"/>
              <w:rPr>
                <w:rFonts w:hint="eastAsia" w:ascii="宋体" w:hAnsi="宋体" w:eastAsia="宋体" w:cs="宋体"/>
                <w:i w:val="0"/>
                <w:iCs w:val="0"/>
                <w:color w:val="000000"/>
                <w:sz w:val="18"/>
                <w:szCs w:val="18"/>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299F5">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有效拓展</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1DE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7D3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79A194">
            <w:pPr>
              <w:jc w:val="center"/>
              <w:rPr>
                <w:rFonts w:hint="eastAsia" w:ascii="微软雅黑" w:hAnsi="微软雅黑" w:eastAsia="微软雅黑" w:cs="微软雅黑"/>
                <w:i/>
                <w:iCs/>
                <w:color w:val="000000"/>
                <w:sz w:val="16"/>
                <w:szCs w:val="16"/>
                <w:highlight w:val="none"/>
                <w:u w:val="none"/>
              </w:rPr>
            </w:pPr>
          </w:p>
        </w:tc>
      </w:tr>
      <w:tr w14:paraId="2F2B0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9A2A4F">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49A6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8CAB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DF46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参加企业满意度</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107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CE4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E1E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713FF">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85</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697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C41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8DE42">
            <w:pPr>
              <w:jc w:val="center"/>
              <w:rPr>
                <w:rFonts w:hint="eastAsia" w:ascii="微软雅黑" w:hAnsi="微软雅黑" w:eastAsia="微软雅黑" w:cs="微软雅黑"/>
                <w:i/>
                <w:iCs/>
                <w:color w:val="000000"/>
                <w:sz w:val="16"/>
                <w:szCs w:val="16"/>
                <w:highlight w:val="none"/>
                <w:u w:val="none"/>
              </w:rPr>
            </w:pPr>
          </w:p>
        </w:tc>
      </w:tr>
      <w:tr w14:paraId="73BCD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0C4BE8">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B3B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A98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9AB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预算控制金额</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68C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FB0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8BC36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68E2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19.96</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0B8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C64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4E6AC">
            <w:pPr>
              <w:jc w:val="center"/>
              <w:rPr>
                <w:rFonts w:hint="eastAsia" w:ascii="微软雅黑" w:hAnsi="微软雅黑" w:eastAsia="微软雅黑" w:cs="微软雅黑"/>
                <w:i/>
                <w:iCs/>
                <w:color w:val="000000"/>
                <w:sz w:val="16"/>
                <w:szCs w:val="16"/>
                <w:highlight w:val="none"/>
                <w:u w:val="none"/>
              </w:rPr>
            </w:pPr>
          </w:p>
        </w:tc>
      </w:tr>
      <w:tr w14:paraId="0AB2B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10B00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C58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2BE1C">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96013">
            <w:pPr>
              <w:rPr>
                <w:rFonts w:hint="eastAsia" w:ascii="宋体" w:hAnsi="宋体" w:eastAsia="宋体" w:cs="宋体"/>
                <w:i w:val="0"/>
                <w:iCs w:val="0"/>
                <w:color w:val="000000"/>
                <w:sz w:val="18"/>
                <w:szCs w:val="18"/>
                <w:highlight w:val="none"/>
                <w:u w:val="none"/>
              </w:rPr>
            </w:pPr>
          </w:p>
        </w:tc>
      </w:tr>
      <w:tr w14:paraId="29F69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CDA7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244C0579">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组织参加各类贸易活动（展洽会）和农商对接活动经费严格按照每个项目的执行都制定实施方案或计划，组织机构健全，职责分工明确，有具体的实施时间，有明确的工作程序，基础工作推进能够有效保障，资金能足额保证。</w:t>
            </w:r>
          </w:p>
        </w:tc>
      </w:tr>
      <w:tr w14:paraId="1744C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AA47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501038F9">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3023F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54E3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3B2DB2C5">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6DA90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294"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6F9B27A">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项目负责人：张军</w:t>
            </w:r>
          </w:p>
        </w:tc>
        <w:tc>
          <w:tcPr>
            <w:tcW w:w="6806"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C77BE43">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财务负责人：顺云梅</w:t>
            </w:r>
          </w:p>
        </w:tc>
      </w:tr>
      <w:tr w14:paraId="73D03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7DF5039A">
            <w:pPr>
              <w:rPr>
                <w:rFonts w:hint="eastAsia" w:ascii="宋体" w:hAnsi="宋体" w:eastAsia="宋体" w:cs="宋体"/>
                <w:i w:val="0"/>
                <w:iCs w:val="0"/>
                <w:color w:val="000000"/>
                <w:sz w:val="18"/>
                <w:szCs w:val="18"/>
                <w:highlight w:val="none"/>
                <w:u w:val="none"/>
              </w:rPr>
            </w:pPr>
          </w:p>
        </w:tc>
        <w:tc>
          <w:tcPr>
            <w:tcW w:w="2052" w:type="dxa"/>
            <w:tcBorders>
              <w:top w:val="nil"/>
              <w:left w:val="nil"/>
              <w:bottom w:val="nil"/>
              <w:right w:val="nil"/>
            </w:tcBorders>
            <w:shd w:val="clear" w:color="auto" w:fill="auto"/>
            <w:vAlign w:val="center"/>
          </w:tcPr>
          <w:p w14:paraId="62DCDF7F">
            <w:pPr>
              <w:rPr>
                <w:rFonts w:hint="eastAsia" w:ascii="宋体" w:hAnsi="宋体" w:eastAsia="宋体" w:cs="宋体"/>
                <w:i w:val="0"/>
                <w:iCs w:val="0"/>
                <w:color w:val="000000"/>
                <w:sz w:val="18"/>
                <w:szCs w:val="18"/>
                <w:highlight w:val="none"/>
                <w:u w:val="none"/>
              </w:rPr>
            </w:pPr>
          </w:p>
        </w:tc>
        <w:tc>
          <w:tcPr>
            <w:tcW w:w="1774" w:type="dxa"/>
            <w:tcBorders>
              <w:top w:val="nil"/>
              <w:left w:val="nil"/>
              <w:bottom w:val="nil"/>
              <w:right w:val="nil"/>
            </w:tcBorders>
            <w:shd w:val="clear" w:color="auto" w:fill="auto"/>
            <w:vAlign w:val="center"/>
          </w:tcPr>
          <w:p w14:paraId="1324069C">
            <w:pPr>
              <w:rPr>
                <w:rFonts w:hint="eastAsia" w:ascii="宋体" w:hAnsi="宋体" w:eastAsia="宋体" w:cs="宋体"/>
                <w:i w:val="0"/>
                <w:iCs w:val="0"/>
                <w:color w:val="000000"/>
                <w:sz w:val="18"/>
                <w:szCs w:val="18"/>
                <w:highlight w:val="none"/>
                <w:u w:val="none"/>
              </w:rPr>
            </w:pPr>
          </w:p>
        </w:tc>
        <w:tc>
          <w:tcPr>
            <w:tcW w:w="2263" w:type="dxa"/>
            <w:tcBorders>
              <w:top w:val="nil"/>
              <w:left w:val="nil"/>
              <w:bottom w:val="nil"/>
              <w:right w:val="nil"/>
            </w:tcBorders>
            <w:shd w:val="clear" w:color="auto" w:fill="auto"/>
            <w:vAlign w:val="center"/>
          </w:tcPr>
          <w:p w14:paraId="536582FC">
            <w:pPr>
              <w:rPr>
                <w:rFonts w:hint="eastAsia" w:ascii="宋体" w:hAnsi="宋体" w:eastAsia="宋体" w:cs="宋体"/>
                <w:i w:val="0"/>
                <w:iCs w:val="0"/>
                <w:color w:val="000000"/>
                <w:sz w:val="18"/>
                <w:szCs w:val="18"/>
                <w:highlight w:val="none"/>
                <w:u w:val="none"/>
              </w:rPr>
            </w:pPr>
          </w:p>
          <w:p w14:paraId="5C849121">
            <w:pPr>
              <w:rPr>
                <w:rFonts w:hint="eastAsia" w:ascii="宋体" w:hAnsi="宋体" w:eastAsia="宋体" w:cs="宋体"/>
                <w:i w:val="0"/>
                <w:iCs w:val="0"/>
                <w:color w:val="000000"/>
                <w:sz w:val="18"/>
                <w:szCs w:val="18"/>
                <w:highlight w:val="none"/>
                <w:u w:val="none"/>
              </w:rPr>
            </w:pPr>
          </w:p>
          <w:p w14:paraId="0E843829">
            <w:pPr>
              <w:rPr>
                <w:rFonts w:hint="eastAsia" w:ascii="宋体" w:hAnsi="宋体" w:eastAsia="宋体" w:cs="宋体"/>
                <w:i w:val="0"/>
                <w:iCs w:val="0"/>
                <w:color w:val="000000"/>
                <w:sz w:val="18"/>
                <w:szCs w:val="18"/>
                <w:highlight w:val="none"/>
                <w:u w:val="none"/>
              </w:rPr>
            </w:pPr>
          </w:p>
          <w:p w14:paraId="3E9AB958">
            <w:pPr>
              <w:rPr>
                <w:rFonts w:hint="eastAsia" w:ascii="宋体" w:hAnsi="宋体" w:eastAsia="宋体" w:cs="宋体"/>
                <w:i w:val="0"/>
                <w:iCs w:val="0"/>
                <w:color w:val="000000"/>
                <w:sz w:val="18"/>
                <w:szCs w:val="18"/>
                <w:highlight w:val="none"/>
                <w:u w:val="none"/>
              </w:rPr>
            </w:pPr>
          </w:p>
          <w:p w14:paraId="1902F394">
            <w:pPr>
              <w:rPr>
                <w:rFonts w:hint="eastAsia" w:ascii="宋体" w:hAnsi="宋体" w:eastAsia="宋体" w:cs="宋体"/>
                <w:i w:val="0"/>
                <w:iCs w:val="0"/>
                <w:color w:val="000000"/>
                <w:sz w:val="18"/>
                <w:szCs w:val="18"/>
                <w:highlight w:val="none"/>
                <w:u w:val="none"/>
              </w:rPr>
            </w:pPr>
          </w:p>
          <w:p w14:paraId="5C4BF4F3">
            <w:pPr>
              <w:rPr>
                <w:rFonts w:hint="eastAsia" w:ascii="宋体" w:hAnsi="宋体" w:eastAsia="宋体" w:cs="宋体"/>
                <w:i w:val="0"/>
                <w:iCs w:val="0"/>
                <w:color w:val="000000"/>
                <w:sz w:val="18"/>
                <w:szCs w:val="18"/>
                <w:highlight w:val="none"/>
                <w:u w:val="none"/>
              </w:rPr>
            </w:pPr>
          </w:p>
          <w:p w14:paraId="17D47448">
            <w:pPr>
              <w:rPr>
                <w:rFonts w:hint="eastAsia" w:ascii="宋体" w:hAnsi="宋体" w:eastAsia="宋体" w:cs="宋体"/>
                <w:i w:val="0"/>
                <w:iCs w:val="0"/>
                <w:color w:val="000000"/>
                <w:sz w:val="18"/>
                <w:szCs w:val="18"/>
                <w:highlight w:val="none"/>
                <w:u w:val="none"/>
              </w:rPr>
            </w:pPr>
          </w:p>
          <w:p w14:paraId="09C6CB02">
            <w:pPr>
              <w:rPr>
                <w:rFonts w:hint="eastAsia" w:ascii="宋体" w:hAnsi="宋体" w:eastAsia="宋体" w:cs="宋体"/>
                <w:i w:val="0"/>
                <w:iCs w:val="0"/>
                <w:color w:val="000000"/>
                <w:sz w:val="18"/>
                <w:szCs w:val="18"/>
                <w:highlight w:val="none"/>
                <w:u w:val="none"/>
              </w:rPr>
            </w:pPr>
          </w:p>
          <w:p w14:paraId="0723F536">
            <w:pPr>
              <w:rPr>
                <w:rFonts w:hint="eastAsia" w:ascii="宋体" w:hAnsi="宋体" w:eastAsia="宋体" w:cs="宋体"/>
                <w:i w:val="0"/>
                <w:iCs w:val="0"/>
                <w:color w:val="000000"/>
                <w:sz w:val="18"/>
                <w:szCs w:val="18"/>
                <w:highlight w:val="none"/>
                <w:u w:val="none"/>
              </w:rPr>
            </w:pPr>
          </w:p>
          <w:p w14:paraId="5642A54C">
            <w:pPr>
              <w:rPr>
                <w:rFonts w:hint="eastAsia" w:ascii="宋体" w:hAnsi="宋体" w:eastAsia="宋体" w:cs="宋体"/>
                <w:i w:val="0"/>
                <w:iCs w:val="0"/>
                <w:color w:val="000000"/>
                <w:sz w:val="18"/>
                <w:szCs w:val="18"/>
                <w:highlight w:val="none"/>
                <w:u w:val="none"/>
              </w:rPr>
            </w:pPr>
          </w:p>
          <w:p w14:paraId="7F932CBD">
            <w:pPr>
              <w:rPr>
                <w:rFonts w:hint="eastAsia" w:ascii="宋体" w:hAnsi="宋体" w:eastAsia="宋体" w:cs="宋体"/>
                <w:i w:val="0"/>
                <w:iCs w:val="0"/>
                <w:color w:val="000000"/>
                <w:sz w:val="18"/>
                <w:szCs w:val="18"/>
                <w:highlight w:val="none"/>
                <w:u w:val="none"/>
              </w:rPr>
            </w:pPr>
          </w:p>
          <w:p w14:paraId="2DC01DCE">
            <w:pPr>
              <w:rPr>
                <w:rFonts w:hint="eastAsia" w:ascii="宋体" w:hAnsi="宋体" w:eastAsia="宋体" w:cs="宋体"/>
                <w:i w:val="0"/>
                <w:iCs w:val="0"/>
                <w:color w:val="000000"/>
                <w:sz w:val="18"/>
                <w:szCs w:val="18"/>
                <w:highlight w:val="none"/>
                <w:u w:val="none"/>
              </w:rPr>
            </w:pPr>
          </w:p>
          <w:p w14:paraId="4298E2ED">
            <w:pPr>
              <w:rPr>
                <w:rFonts w:hint="eastAsia" w:ascii="宋体" w:hAnsi="宋体" w:eastAsia="宋体" w:cs="宋体"/>
                <w:i w:val="0"/>
                <w:iCs w:val="0"/>
                <w:color w:val="000000"/>
                <w:sz w:val="18"/>
                <w:szCs w:val="18"/>
                <w:highlight w:val="none"/>
                <w:u w:val="none"/>
              </w:rPr>
            </w:pPr>
          </w:p>
          <w:p w14:paraId="02647551">
            <w:pPr>
              <w:rPr>
                <w:rFonts w:hint="eastAsia" w:ascii="宋体" w:hAnsi="宋体" w:eastAsia="宋体" w:cs="宋体"/>
                <w:i w:val="0"/>
                <w:iCs w:val="0"/>
                <w:color w:val="000000"/>
                <w:sz w:val="18"/>
                <w:szCs w:val="18"/>
                <w:highlight w:val="none"/>
                <w:u w:val="none"/>
              </w:rPr>
            </w:pPr>
          </w:p>
          <w:p w14:paraId="6DED1189">
            <w:pPr>
              <w:rPr>
                <w:rFonts w:hint="eastAsia" w:ascii="宋体" w:hAnsi="宋体" w:eastAsia="宋体" w:cs="宋体"/>
                <w:i w:val="0"/>
                <w:iCs w:val="0"/>
                <w:color w:val="000000"/>
                <w:sz w:val="18"/>
                <w:szCs w:val="18"/>
                <w:highlight w:val="none"/>
                <w:u w:val="none"/>
              </w:rPr>
            </w:pPr>
          </w:p>
          <w:p w14:paraId="542B8C47">
            <w:pPr>
              <w:rPr>
                <w:rFonts w:hint="eastAsia" w:ascii="宋体" w:hAnsi="宋体" w:eastAsia="宋体" w:cs="宋体"/>
                <w:i w:val="0"/>
                <w:iCs w:val="0"/>
                <w:color w:val="000000"/>
                <w:sz w:val="18"/>
                <w:szCs w:val="18"/>
                <w:highlight w:val="none"/>
                <w:u w:val="none"/>
              </w:rPr>
            </w:pPr>
          </w:p>
          <w:p w14:paraId="6EA0B17F">
            <w:pPr>
              <w:rPr>
                <w:rFonts w:hint="eastAsia" w:ascii="宋体" w:hAnsi="宋体" w:eastAsia="宋体" w:cs="宋体"/>
                <w:i w:val="0"/>
                <w:iCs w:val="0"/>
                <w:color w:val="000000"/>
                <w:sz w:val="18"/>
                <w:szCs w:val="18"/>
                <w:highlight w:val="none"/>
                <w:u w:val="none"/>
              </w:rPr>
            </w:pPr>
          </w:p>
          <w:p w14:paraId="51F26C76">
            <w:pPr>
              <w:rPr>
                <w:rFonts w:hint="eastAsia" w:ascii="宋体" w:hAnsi="宋体" w:eastAsia="宋体" w:cs="宋体"/>
                <w:i w:val="0"/>
                <w:iCs w:val="0"/>
                <w:color w:val="000000"/>
                <w:sz w:val="18"/>
                <w:szCs w:val="18"/>
                <w:highlight w:val="none"/>
                <w:u w:val="none"/>
              </w:rPr>
            </w:pPr>
          </w:p>
          <w:p w14:paraId="589286FF">
            <w:pPr>
              <w:rPr>
                <w:rFonts w:hint="eastAsia" w:ascii="宋体" w:hAnsi="宋体" w:eastAsia="宋体" w:cs="宋体"/>
                <w:i w:val="0"/>
                <w:iCs w:val="0"/>
                <w:color w:val="000000"/>
                <w:sz w:val="18"/>
                <w:szCs w:val="18"/>
                <w:highlight w:val="none"/>
                <w:u w:val="none"/>
              </w:rPr>
            </w:pPr>
          </w:p>
          <w:p w14:paraId="07379DEE">
            <w:pPr>
              <w:rPr>
                <w:rFonts w:hint="eastAsia" w:ascii="宋体" w:hAnsi="宋体" w:eastAsia="宋体" w:cs="宋体"/>
                <w:i w:val="0"/>
                <w:iCs w:val="0"/>
                <w:color w:val="000000"/>
                <w:sz w:val="18"/>
                <w:szCs w:val="18"/>
                <w:highlight w:val="none"/>
                <w:u w:val="none"/>
              </w:rPr>
            </w:pPr>
          </w:p>
          <w:p w14:paraId="3CB0A45E">
            <w:pPr>
              <w:rPr>
                <w:rFonts w:hint="eastAsia" w:ascii="宋体" w:hAnsi="宋体" w:eastAsia="宋体" w:cs="宋体"/>
                <w:i w:val="0"/>
                <w:iCs w:val="0"/>
                <w:color w:val="000000"/>
                <w:sz w:val="18"/>
                <w:szCs w:val="18"/>
                <w:highlight w:val="none"/>
                <w:u w:val="none"/>
              </w:rPr>
            </w:pPr>
          </w:p>
          <w:p w14:paraId="5B283479">
            <w:pPr>
              <w:rPr>
                <w:rFonts w:hint="eastAsia" w:ascii="宋体" w:hAnsi="宋体" w:eastAsia="宋体" w:cs="宋体"/>
                <w:i w:val="0"/>
                <w:iCs w:val="0"/>
                <w:color w:val="000000"/>
                <w:sz w:val="18"/>
                <w:szCs w:val="18"/>
                <w:highlight w:val="none"/>
                <w:u w:val="none"/>
              </w:rPr>
            </w:pPr>
          </w:p>
          <w:p w14:paraId="72749B8E">
            <w:pPr>
              <w:rPr>
                <w:rFonts w:hint="eastAsia" w:ascii="宋体" w:hAnsi="宋体" w:eastAsia="宋体" w:cs="宋体"/>
                <w:i w:val="0"/>
                <w:iCs w:val="0"/>
                <w:color w:val="000000"/>
                <w:sz w:val="18"/>
                <w:szCs w:val="18"/>
                <w:highlight w:val="none"/>
                <w:u w:val="none"/>
              </w:rPr>
            </w:pPr>
          </w:p>
          <w:p w14:paraId="71350B15">
            <w:pPr>
              <w:rPr>
                <w:rFonts w:hint="eastAsia" w:ascii="宋体" w:hAnsi="宋体" w:eastAsia="宋体" w:cs="宋体"/>
                <w:i w:val="0"/>
                <w:iCs w:val="0"/>
                <w:color w:val="000000"/>
                <w:sz w:val="18"/>
                <w:szCs w:val="18"/>
                <w:highlight w:val="none"/>
                <w:u w:val="none"/>
              </w:rPr>
            </w:pPr>
          </w:p>
          <w:p w14:paraId="74E3B741">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7FCDFF6F">
            <w:pPr>
              <w:rPr>
                <w:rFonts w:hint="eastAsia" w:ascii="宋体" w:hAnsi="宋体" w:eastAsia="宋体" w:cs="宋体"/>
                <w:i w:val="0"/>
                <w:iCs w:val="0"/>
                <w:color w:val="000000"/>
                <w:sz w:val="18"/>
                <w:szCs w:val="18"/>
                <w:highlight w:val="none"/>
                <w:u w:val="none"/>
              </w:rPr>
            </w:pPr>
          </w:p>
        </w:tc>
        <w:tc>
          <w:tcPr>
            <w:tcW w:w="1677" w:type="dxa"/>
            <w:tcBorders>
              <w:top w:val="nil"/>
              <w:left w:val="nil"/>
              <w:bottom w:val="nil"/>
              <w:right w:val="nil"/>
            </w:tcBorders>
            <w:shd w:val="clear" w:color="auto" w:fill="auto"/>
            <w:vAlign w:val="center"/>
          </w:tcPr>
          <w:p w14:paraId="649EA80F">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7A583E79">
            <w:pPr>
              <w:rPr>
                <w:rFonts w:hint="eastAsia" w:ascii="宋体" w:hAnsi="宋体" w:eastAsia="宋体" w:cs="宋体"/>
                <w:i w:val="0"/>
                <w:iCs w:val="0"/>
                <w:color w:val="000000"/>
                <w:sz w:val="18"/>
                <w:szCs w:val="18"/>
                <w:highlight w:val="none"/>
                <w:u w:val="none"/>
              </w:rPr>
            </w:pPr>
          </w:p>
        </w:tc>
        <w:tc>
          <w:tcPr>
            <w:tcW w:w="1091" w:type="dxa"/>
            <w:tcBorders>
              <w:top w:val="nil"/>
              <w:left w:val="nil"/>
              <w:bottom w:val="nil"/>
              <w:right w:val="nil"/>
            </w:tcBorders>
            <w:shd w:val="clear" w:color="auto" w:fill="auto"/>
            <w:vAlign w:val="center"/>
          </w:tcPr>
          <w:p w14:paraId="6B68AE58">
            <w:pPr>
              <w:rPr>
                <w:rFonts w:hint="eastAsia" w:ascii="宋体" w:hAnsi="宋体" w:eastAsia="宋体" w:cs="宋体"/>
                <w:i w:val="0"/>
                <w:iCs w:val="0"/>
                <w:color w:val="000000"/>
                <w:sz w:val="18"/>
                <w:szCs w:val="18"/>
                <w:highlight w:val="none"/>
                <w:u w:val="none"/>
              </w:rPr>
            </w:pPr>
          </w:p>
        </w:tc>
        <w:tc>
          <w:tcPr>
            <w:tcW w:w="504" w:type="dxa"/>
            <w:tcBorders>
              <w:top w:val="nil"/>
              <w:left w:val="nil"/>
              <w:bottom w:val="nil"/>
              <w:right w:val="nil"/>
            </w:tcBorders>
            <w:shd w:val="clear" w:color="auto" w:fill="auto"/>
            <w:vAlign w:val="center"/>
          </w:tcPr>
          <w:p w14:paraId="6D2DF615">
            <w:pPr>
              <w:rPr>
                <w:rFonts w:hint="eastAsia" w:ascii="宋体" w:hAnsi="宋体" w:eastAsia="宋体" w:cs="宋体"/>
                <w:i w:val="0"/>
                <w:iCs w:val="0"/>
                <w:color w:val="000000"/>
                <w:sz w:val="18"/>
                <w:szCs w:val="18"/>
                <w:highlight w:val="none"/>
                <w:u w:val="none"/>
              </w:rPr>
            </w:pPr>
          </w:p>
        </w:tc>
        <w:tc>
          <w:tcPr>
            <w:tcW w:w="456" w:type="dxa"/>
            <w:tcBorders>
              <w:top w:val="nil"/>
              <w:left w:val="nil"/>
              <w:bottom w:val="nil"/>
              <w:right w:val="nil"/>
            </w:tcBorders>
            <w:shd w:val="clear" w:color="auto" w:fill="auto"/>
            <w:vAlign w:val="center"/>
          </w:tcPr>
          <w:p w14:paraId="1CF60D4E">
            <w:pPr>
              <w:rPr>
                <w:rFonts w:hint="eastAsia" w:ascii="宋体" w:hAnsi="宋体" w:eastAsia="宋体" w:cs="宋体"/>
                <w:i w:val="0"/>
                <w:iCs w:val="0"/>
                <w:color w:val="000000"/>
                <w:sz w:val="18"/>
                <w:szCs w:val="18"/>
                <w:highlight w:val="none"/>
                <w:u w:val="none"/>
              </w:rPr>
            </w:pPr>
          </w:p>
        </w:tc>
        <w:tc>
          <w:tcPr>
            <w:tcW w:w="2557" w:type="dxa"/>
            <w:tcBorders>
              <w:top w:val="nil"/>
              <w:left w:val="nil"/>
              <w:bottom w:val="nil"/>
              <w:right w:val="nil"/>
            </w:tcBorders>
            <w:shd w:val="clear" w:color="auto" w:fill="auto"/>
            <w:vAlign w:val="center"/>
          </w:tcPr>
          <w:p w14:paraId="0BCC4F65">
            <w:pPr>
              <w:rPr>
                <w:rFonts w:hint="eastAsia" w:ascii="宋体" w:hAnsi="宋体" w:eastAsia="宋体" w:cs="宋体"/>
                <w:i w:val="0"/>
                <w:iCs w:val="0"/>
                <w:color w:val="000000"/>
                <w:sz w:val="18"/>
                <w:szCs w:val="18"/>
                <w:highlight w:val="none"/>
                <w:u w:val="none"/>
              </w:rPr>
            </w:pPr>
          </w:p>
        </w:tc>
      </w:tr>
      <w:tr w14:paraId="282C1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6409EBD4">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30C5D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E8060F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89166E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51320022T000007219483-促进消费恢复发展专项资金</w:t>
            </w:r>
          </w:p>
        </w:tc>
      </w:tr>
      <w:tr w14:paraId="73584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BF7A0E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A96074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州商务局部门</w:t>
            </w:r>
          </w:p>
        </w:tc>
        <w:tc>
          <w:tcPr>
            <w:tcW w:w="1091" w:type="dxa"/>
            <w:tcBorders>
              <w:top w:val="nil"/>
              <w:left w:val="nil"/>
              <w:bottom w:val="nil"/>
              <w:right w:val="nil"/>
            </w:tcBorders>
            <w:shd w:val="clear" w:color="auto" w:fill="FFFFFF"/>
            <w:vAlign w:val="center"/>
          </w:tcPr>
          <w:p w14:paraId="2ED141F6">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69EA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w:t>
            </w:r>
          </w:p>
        </w:tc>
      </w:tr>
      <w:tr w14:paraId="0BDF3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FB091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BD001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10E52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5452B0B">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331D7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BF490A">
            <w:pP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867827">
            <w:pPr>
              <w:rPr>
                <w:rFonts w:hint="eastAsia" w:ascii="宋体" w:hAnsi="宋体" w:eastAsia="宋体" w:cs="宋体"/>
                <w:i w:val="0"/>
                <w:iCs w:val="0"/>
                <w:color w:val="000000"/>
                <w:sz w:val="18"/>
                <w:szCs w:val="18"/>
                <w:highlight w:val="none"/>
                <w:u w:val="none"/>
              </w:rPr>
            </w:pP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80AEE5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为推动消费恢复回升，释放消费潜力，更好发挥消费对经济循环的牵引带动作用。积极组织开展促销工作，以有力的举措推动省、州政策落实，带动消费恢复提升。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B05652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为深入贯彻落实中共中央办公厅、国务院办公厅《提振消费专项行动方案》部署要求，紧扣省委省政府、州委州政府“大力提振消费”工作安排，重点围绕汽车、家电、批零住餐、文旅加油等领域开展促消费工作。阿坝州消费券吸引全州12家景区及220余家市场主体参与受理消费券核销，累计带动消费3.2亿元，撬动比实现1:8，拉动了经济复苏。</w:t>
            </w:r>
          </w:p>
        </w:tc>
      </w:tr>
      <w:tr w14:paraId="56FFB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4AD561">
            <w:pP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76D7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17D606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为全面落实国家《提振消费专项行动方案》及四川省促消费工作部署，围绕中央 “大宗消费更新升级、服务消费提质惠民” 核心要求，立足阿坝州产业特色，以发放消费券为抓手，重点围绕汽车、家电、批零住餐、文旅加油等领域分批次开展促消费工作。</w:t>
            </w:r>
          </w:p>
        </w:tc>
      </w:tr>
      <w:tr w14:paraId="549C7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0C0A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0A1E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62C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771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4D04F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AC1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7C6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98F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54F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536C8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8F2253">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1103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A66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FD0B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2,955.00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00C8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2,955.00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DDA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2D71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1C651">
            <w:pPr>
              <w:jc w:val="center"/>
              <w:rPr>
                <w:rFonts w:hint="eastAsia" w:ascii="宋体" w:hAnsi="宋体" w:eastAsia="宋体" w:cs="宋体"/>
                <w:i w:val="0"/>
                <w:iCs w:val="0"/>
                <w:color w:val="000000"/>
                <w:sz w:val="18"/>
                <w:szCs w:val="18"/>
                <w:highlight w:val="none"/>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A140EC">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7BEB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0955C1">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F37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34A2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281E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2,955.00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DF2B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2,955.00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C9E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F2B1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93F1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B3EAE7">
            <w:pPr>
              <w:rPr>
                <w:rFonts w:hint="eastAsia" w:ascii="黑体" w:hAnsi="黑体" w:eastAsia="黑体" w:cs="黑体"/>
                <w:i/>
                <w:iCs/>
                <w:color w:val="000000"/>
                <w:sz w:val="18"/>
                <w:szCs w:val="18"/>
                <w:highlight w:val="none"/>
                <w:u w:val="none"/>
              </w:rPr>
            </w:pPr>
          </w:p>
        </w:tc>
      </w:tr>
      <w:tr w14:paraId="78B15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3744F0">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34E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6C1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0B2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0370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EE0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6F3A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908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131295">
            <w:pPr>
              <w:rPr>
                <w:rFonts w:hint="eastAsia" w:ascii="黑体" w:hAnsi="黑体" w:eastAsia="黑体" w:cs="黑体"/>
                <w:i/>
                <w:iCs/>
                <w:color w:val="000000"/>
                <w:sz w:val="18"/>
                <w:szCs w:val="18"/>
                <w:highlight w:val="none"/>
                <w:u w:val="none"/>
              </w:rPr>
            </w:pPr>
          </w:p>
        </w:tc>
      </w:tr>
      <w:tr w14:paraId="05804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111FF9">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526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DB4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33E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C509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E64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409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693E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282EBB">
            <w:pPr>
              <w:rPr>
                <w:rFonts w:hint="eastAsia" w:ascii="黑体" w:hAnsi="黑体" w:eastAsia="黑体" w:cs="黑体"/>
                <w:i/>
                <w:iCs/>
                <w:color w:val="000000"/>
                <w:sz w:val="18"/>
                <w:szCs w:val="18"/>
                <w:highlight w:val="none"/>
                <w:u w:val="none"/>
              </w:rPr>
            </w:pPr>
          </w:p>
        </w:tc>
      </w:tr>
      <w:tr w14:paraId="7033A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A7A0FE">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BCF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8FFF0">
            <w:pPr>
              <w:jc w:val="center"/>
              <w:rPr>
                <w:rFonts w:hint="eastAsia" w:ascii="微软雅黑" w:hAnsi="微软雅黑" w:eastAsia="微软雅黑" w:cs="微软雅黑"/>
                <w:i/>
                <w:iCs/>
                <w:color w:val="000000"/>
                <w:sz w:val="16"/>
                <w:szCs w:val="16"/>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8A4B8">
            <w:pPr>
              <w:jc w:val="center"/>
              <w:rPr>
                <w:rFonts w:hint="eastAsia" w:ascii="微软雅黑" w:hAnsi="微软雅黑" w:eastAsia="微软雅黑" w:cs="微软雅黑"/>
                <w:i/>
                <w:iCs/>
                <w:color w:val="000000"/>
                <w:sz w:val="16"/>
                <w:szCs w:val="16"/>
                <w:highlight w:val="none"/>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A5FF01">
            <w:pPr>
              <w:jc w:val="center"/>
              <w:rPr>
                <w:rFonts w:hint="eastAsia" w:ascii="微软雅黑" w:hAnsi="微软雅黑" w:eastAsia="微软雅黑" w:cs="微软雅黑"/>
                <w:i/>
                <w:iCs/>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4FFB5">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024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C84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7336E6">
            <w:pPr>
              <w:rPr>
                <w:rFonts w:hint="eastAsia" w:ascii="黑体" w:hAnsi="黑体" w:eastAsia="黑体" w:cs="黑体"/>
                <w:i/>
                <w:iCs/>
                <w:color w:val="000000"/>
                <w:sz w:val="18"/>
                <w:szCs w:val="18"/>
                <w:highlight w:val="none"/>
                <w:u w:val="none"/>
              </w:rPr>
            </w:pPr>
          </w:p>
        </w:tc>
      </w:tr>
      <w:tr w14:paraId="097A9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72939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627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C94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9D2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B70C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86B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653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2B5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DAC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1CE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1506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12FEA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021DAC">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B5C3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EAB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7D4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年发放次数</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30D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D265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975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次/年</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C931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13</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87D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755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873A6">
            <w:pPr>
              <w:jc w:val="center"/>
              <w:rPr>
                <w:rFonts w:hint="eastAsia" w:ascii="微软雅黑" w:hAnsi="微软雅黑" w:eastAsia="微软雅黑" w:cs="微软雅黑"/>
                <w:i/>
                <w:iCs/>
                <w:color w:val="000000"/>
                <w:sz w:val="16"/>
                <w:szCs w:val="16"/>
                <w:highlight w:val="none"/>
                <w:u w:val="none"/>
              </w:rPr>
            </w:pPr>
          </w:p>
        </w:tc>
      </w:tr>
      <w:tr w14:paraId="50382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599517">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D4F39A">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BD3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F65B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活动覆盖率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DF6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22A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63C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C2DE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06A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BB7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92307">
            <w:pPr>
              <w:jc w:val="center"/>
              <w:rPr>
                <w:rFonts w:hint="eastAsia" w:ascii="微软雅黑" w:hAnsi="微软雅黑" w:eastAsia="微软雅黑" w:cs="微软雅黑"/>
                <w:i/>
                <w:iCs/>
                <w:color w:val="000000"/>
                <w:sz w:val="16"/>
                <w:szCs w:val="16"/>
                <w:highlight w:val="none"/>
                <w:u w:val="none"/>
              </w:rPr>
            </w:pPr>
          </w:p>
        </w:tc>
      </w:tr>
      <w:tr w14:paraId="6DBB2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F63968">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AD0198">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BAA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E9C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发放及时率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4DE9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3F6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DCED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F531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C97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47F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703C6">
            <w:pPr>
              <w:jc w:val="center"/>
              <w:rPr>
                <w:rFonts w:hint="eastAsia" w:ascii="微软雅黑" w:hAnsi="微软雅黑" w:eastAsia="微软雅黑" w:cs="微软雅黑"/>
                <w:i/>
                <w:iCs/>
                <w:color w:val="000000"/>
                <w:sz w:val="16"/>
                <w:szCs w:val="16"/>
                <w:highlight w:val="none"/>
                <w:u w:val="none"/>
              </w:rPr>
            </w:pPr>
          </w:p>
        </w:tc>
      </w:tr>
      <w:tr w14:paraId="48720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94B4B6">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1DC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8A8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BAD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促进消费者消费意愿回升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534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2F0E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有效促进消费</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707D4">
            <w:pPr>
              <w:jc w:val="center"/>
              <w:rPr>
                <w:rFonts w:hint="eastAsia" w:ascii="宋体" w:hAnsi="宋体" w:eastAsia="宋体" w:cs="宋体"/>
                <w:i w:val="0"/>
                <w:iCs w:val="0"/>
                <w:color w:val="000000"/>
                <w:sz w:val="18"/>
                <w:szCs w:val="18"/>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9388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有效促进消费</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A313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8DEA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92CE4A">
            <w:pPr>
              <w:jc w:val="center"/>
              <w:rPr>
                <w:rFonts w:hint="eastAsia" w:ascii="微软雅黑" w:hAnsi="微软雅黑" w:eastAsia="微软雅黑" w:cs="微软雅黑"/>
                <w:i/>
                <w:iCs/>
                <w:color w:val="000000"/>
                <w:sz w:val="16"/>
                <w:szCs w:val="16"/>
                <w:highlight w:val="none"/>
                <w:u w:val="none"/>
              </w:rPr>
            </w:pPr>
          </w:p>
        </w:tc>
      </w:tr>
      <w:tr w14:paraId="5E03E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B1C3D7">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B665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7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1F09C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B65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参与企业满意度</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7717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AC59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AC1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A461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85</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137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C9A7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A26F3">
            <w:pPr>
              <w:jc w:val="center"/>
              <w:rPr>
                <w:rFonts w:hint="eastAsia" w:ascii="微软雅黑" w:hAnsi="微软雅黑" w:eastAsia="微软雅黑" w:cs="微软雅黑"/>
                <w:i/>
                <w:iCs/>
                <w:color w:val="000000"/>
                <w:sz w:val="16"/>
                <w:szCs w:val="16"/>
                <w:highlight w:val="none"/>
                <w:u w:val="none"/>
              </w:rPr>
            </w:pPr>
          </w:p>
        </w:tc>
      </w:tr>
      <w:tr w14:paraId="679E5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847035">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1186DA">
            <w:pPr>
              <w:jc w:val="center"/>
              <w:rPr>
                <w:rFonts w:hint="eastAsia" w:ascii="宋体" w:hAnsi="宋体" w:eastAsia="宋体" w:cs="宋体"/>
                <w:i w:val="0"/>
                <w:iCs w:val="0"/>
                <w:color w:val="000000"/>
                <w:sz w:val="18"/>
                <w:szCs w:val="18"/>
                <w:highlight w:val="none"/>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338C71">
            <w:pPr>
              <w:jc w:val="center"/>
              <w:rPr>
                <w:rFonts w:hint="eastAsia" w:ascii="宋体" w:hAnsi="宋体" w:eastAsia="宋体" w:cs="宋体"/>
                <w:i w:val="0"/>
                <w:iCs w:val="0"/>
                <w:color w:val="000000"/>
                <w:sz w:val="18"/>
                <w:szCs w:val="18"/>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F89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消费者满意度</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250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3F1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6B7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900A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85</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839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A3A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150E7">
            <w:pPr>
              <w:jc w:val="center"/>
              <w:rPr>
                <w:rFonts w:hint="eastAsia" w:ascii="微软雅黑" w:hAnsi="微软雅黑" w:eastAsia="微软雅黑" w:cs="微软雅黑"/>
                <w:i/>
                <w:iCs/>
                <w:color w:val="000000"/>
                <w:sz w:val="16"/>
                <w:szCs w:val="16"/>
                <w:highlight w:val="none"/>
                <w:u w:val="none"/>
              </w:rPr>
            </w:pPr>
          </w:p>
        </w:tc>
      </w:tr>
      <w:tr w14:paraId="65D32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C0223E">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069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74A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211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控制预算</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148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969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0.4</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59B1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亿元</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A4516">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0.4</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6E0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3A6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BF4E8">
            <w:pPr>
              <w:jc w:val="center"/>
              <w:rPr>
                <w:rFonts w:hint="eastAsia" w:ascii="微软雅黑" w:hAnsi="微软雅黑" w:eastAsia="微软雅黑" w:cs="微软雅黑"/>
                <w:i/>
                <w:iCs/>
                <w:color w:val="000000"/>
                <w:sz w:val="16"/>
                <w:szCs w:val="16"/>
                <w:highlight w:val="none"/>
                <w:u w:val="none"/>
              </w:rPr>
            </w:pPr>
          </w:p>
        </w:tc>
      </w:tr>
      <w:tr w14:paraId="0E5E4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9DB75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7EA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DF201">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93559">
            <w:pPr>
              <w:rPr>
                <w:rFonts w:hint="eastAsia" w:ascii="宋体" w:hAnsi="宋体" w:eastAsia="宋体" w:cs="宋体"/>
                <w:i w:val="0"/>
                <w:iCs w:val="0"/>
                <w:color w:val="000000"/>
                <w:sz w:val="18"/>
                <w:szCs w:val="18"/>
                <w:highlight w:val="none"/>
                <w:u w:val="none"/>
              </w:rPr>
            </w:pPr>
          </w:p>
        </w:tc>
      </w:tr>
      <w:tr w14:paraId="54AAE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826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0E12B226">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阿坝州消费券促消费活动通过发放政府消费券，逐步构建了“政府引导、市场为主、消费者广泛参与”的消费生态，为消费市场持续回升向好按下了加速键。很多参与商家反映消费券活动对提升客流量起到了显著效果。汽车促消费活动成效显著，通过6期的汽车促消费活动，销售汽车2787台，产生的直接消费总额2.6亿元，撬动比达1：12，经济效益、社会效益和带动效益明显增强。</w:t>
            </w:r>
          </w:p>
        </w:tc>
      </w:tr>
      <w:tr w14:paraId="5E312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F17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1BFD6B0D">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49859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74D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340A1152">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263A9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2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0AFE57">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项目负责人：张军</w:t>
            </w:r>
          </w:p>
        </w:tc>
        <w:tc>
          <w:tcPr>
            <w:tcW w:w="68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E9B12A3">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财务负责人：顺云梅</w:t>
            </w:r>
          </w:p>
        </w:tc>
      </w:tr>
      <w:tr w14:paraId="60518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2DF5AAD4">
            <w:pPr>
              <w:rPr>
                <w:rFonts w:hint="eastAsia" w:ascii="宋体" w:hAnsi="宋体" w:eastAsia="宋体" w:cs="宋体"/>
                <w:i w:val="0"/>
                <w:iCs w:val="0"/>
                <w:color w:val="000000"/>
                <w:sz w:val="18"/>
                <w:szCs w:val="18"/>
                <w:highlight w:val="none"/>
                <w:u w:val="none"/>
              </w:rPr>
            </w:pPr>
          </w:p>
        </w:tc>
        <w:tc>
          <w:tcPr>
            <w:tcW w:w="2052" w:type="dxa"/>
            <w:tcBorders>
              <w:top w:val="nil"/>
              <w:left w:val="nil"/>
              <w:bottom w:val="nil"/>
              <w:right w:val="nil"/>
            </w:tcBorders>
            <w:shd w:val="clear" w:color="auto" w:fill="auto"/>
            <w:vAlign w:val="center"/>
          </w:tcPr>
          <w:p w14:paraId="201CF9EE">
            <w:pPr>
              <w:rPr>
                <w:rFonts w:hint="eastAsia" w:ascii="宋体" w:hAnsi="宋体" w:eastAsia="宋体" w:cs="宋体"/>
                <w:i w:val="0"/>
                <w:iCs w:val="0"/>
                <w:color w:val="000000"/>
                <w:sz w:val="18"/>
                <w:szCs w:val="18"/>
                <w:highlight w:val="none"/>
                <w:u w:val="none"/>
              </w:rPr>
            </w:pPr>
          </w:p>
        </w:tc>
        <w:tc>
          <w:tcPr>
            <w:tcW w:w="1774" w:type="dxa"/>
            <w:tcBorders>
              <w:top w:val="nil"/>
              <w:left w:val="nil"/>
              <w:bottom w:val="nil"/>
              <w:right w:val="nil"/>
            </w:tcBorders>
            <w:shd w:val="clear" w:color="auto" w:fill="auto"/>
            <w:vAlign w:val="center"/>
          </w:tcPr>
          <w:p w14:paraId="655B92D9">
            <w:pPr>
              <w:rPr>
                <w:rFonts w:hint="eastAsia" w:ascii="宋体" w:hAnsi="宋体" w:eastAsia="宋体" w:cs="宋体"/>
                <w:i w:val="0"/>
                <w:iCs w:val="0"/>
                <w:color w:val="000000"/>
                <w:sz w:val="18"/>
                <w:szCs w:val="18"/>
                <w:highlight w:val="none"/>
                <w:u w:val="none"/>
              </w:rPr>
            </w:pPr>
          </w:p>
        </w:tc>
        <w:tc>
          <w:tcPr>
            <w:tcW w:w="2263" w:type="dxa"/>
            <w:tcBorders>
              <w:top w:val="nil"/>
              <w:left w:val="nil"/>
              <w:bottom w:val="nil"/>
              <w:right w:val="nil"/>
            </w:tcBorders>
            <w:shd w:val="clear" w:color="auto" w:fill="auto"/>
            <w:vAlign w:val="center"/>
          </w:tcPr>
          <w:p w14:paraId="6F9C417F">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6638083B">
            <w:pPr>
              <w:rPr>
                <w:rFonts w:hint="eastAsia" w:ascii="宋体" w:hAnsi="宋体" w:eastAsia="宋体" w:cs="宋体"/>
                <w:i w:val="0"/>
                <w:iCs w:val="0"/>
                <w:color w:val="000000"/>
                <w:sz w:val="18"/>
                <w:szCs w:val="18"/>
                <w:highlight w:val="none"/>
                <w:u w:val="none"/>
              </w:rPr>
            </w:pPr>
          </w:p>
        </w:tc>
        <w:tc>
          <w:tcPr>
            <w:tcW w:w="1677" w:type="dxa"/>
            <w:tcBorders>
              <w:top w:val="nil"/>
              <w:left w:val="nil"/>
              <w:bottom w:val="nil"/>
              <w:right w:val="nil"/>
            </w:tcBorders>
            <w:shd w:val="clear" w:color="auto" w:fill="auto"/>
            <w:vAlign w:val="center"/>
          </w:tcPr>
          <w:p w14:paraId="21987115">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60674899">
            <w:pPr>
              <w:rPr>
                <w:rFonts w:hint="eastAsia" w:ascii="宋体" w:hAnsi="宋体" w:eastAsia="宋体" w:cs="宋体"/>
                <w:i w:val="0"/>
                <w:iCs w:val="0"/>
                <w:color w:val="000000"/>
                <w:sz w:val="18"/>
                <w:szCs w:val="18"/>
                <w:highlight w:val="none"/>
                <w:u w:val="none"/>
              </w:rPr>
            </w:pPr>
          </w:p>
        </w:tc>
        <w:tc>
          <w:tcPr>
            <w:tcW w:w="1091" w:type="dxa"/>
            <w:tcBorders>
              <w:top w:val="nil"/>
              <w:left w:val="nil"/>
              <w:bottom w:val="nil"/>
              <w:right w:val="nil"/>
            </w:tcBorders>
            <w:shd w:val="clear" w:color="auto" w:fill="auto"/>
            <w:vAlign w:val="center"/>
          </w:tcPr>
          <w:p w14:paraId="2D5CA581">
            <w:pPr>
              <w:rPr>
                <w:rFonts w:hint="eastAsia" w:ascii="宋体" w:hAnsi="宋体" w:eastAsia="宋体" w:cs="宋体"/>
                <w:i w:val="0"/>
                <w:iCs w:val="0"/>
                <w:color w:val="000000"/>
                <w:sz w:val="18"/>
                <w:szCs w:val="18"/>
                <w:highlight w:val="none"/>
                <w:u w:val="none"/>
              </w:rPr>
            </w:pPr>
          </w:p>
        </w:tc>
        <w:tc>
          <w:tcPr>
            <w:tcW w:w="504" w:type="dxa"/>
            <w:tcBorders>
              <w:top w:val="nil"/>
              <w:left w:val="nil"/>
              <w:bottom w:val="nil"/>
              <w:right w:val="nil"/>
            </w:tcBorders>
            <w:shd w:val="clear" w:color="auto" w:fill="auto"/>
            <w:vAlign w:val="center"/>
          </w:tcPr>
          <w:p w14:paraId="34270C94">
            <w:pPr>
              <w:rPr>
                <w:rFonts w:hint="eastAsia" w:ascii="宋体" w:hAnsi="宋体" w:eastAsia="宋体" w:cs="宋体"/>
                <w:i w:val="0"/>
                <w:iCs w:val="0"/>
                <w:color w:val="000000"/>
                <w:sz w:val="18"/>
                <w:szCs w:val="18"/>
                <w:highlight w:val="none"/>
                <w:u w:val="none"/>
              </w:rPr>
            </w:pPr>
          </w:p>
        </w:tc>
        <w:tc>
          <w:tcPr>
            <w:tcW w:w="456" w:type="dxa"/>
            <w:tcBorders>
              <w:top w:val="nil"/>
              <w:left w:val="nil"/>
              <w:bottom w:val="nil"/>
              <w:right w:val="nil"/>
            </w:tcBorders>
            <w:shd w:val="clear" w:color="auto" w:fill="auto"/>
            <w:vAlign w:val="center"/>
          </w:tcPr>
          <w:p w14:paraId="48EB98F1">
            <w:pPr>
              <w:rPr>
                <w:rFonts w:hint="eastAsia" w:ascii="宋体" w:hAnsi="宋体" w:eastAsia="宋体" w:cs="宋体"/>
                <w:i w:val="0"/>
                <w:iCs w:val="0"/>
                <w:color w:val="000000"/>
                <w:sz w:val="18"/>
                <w:szCs w:val="18"/>
                <w:highlight w:val="none"/>
                <w:u w:val="none"/>
              </w:rPr>
            </w:pPr>
          </w:p>
        </w:tc>
        <w:tc>
          <w:tcPr>
            <w:tcW w:w="2557" w:type="dxa"/>
            <w:tcBorders>
              <w:top w:val="nil"/>
              <w:left w:val="nil"/>
              <w:bottom w:val="nil"/>
              <w:right w:val="nil"/>
            </w:tcBorders>
            <w:shd w:val="clear" w:color="auto" w:fill="auto"/>
            <w:vAlign w:val="center"/>
          </w:tcPr>
          <w:p w14:paraId="09B7FFDE">
            <w:pPr>
              <w:rPr>
                <w:rFonts w:hint="eastAsia" w:ascii="宋体" w:hAnsi="宋体" w:eastAsia="宋体" w:cs="宋体"/>
                <w:i w:val="0"/>
                <w:iCs w:val="0"/>
                <w:color w:val="000000"/>
                <w:sz w:val="18"/>
                <w:szCs w:val="18"/>
                <w:highlight w:val="none"/>
                <w:u w:val="none"/>
              </w:rPr>
            </w:pPr>
          </w:p>
        </w:tc>
      </w:tr>
      <w:tr w14:paraId="1BDA3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4FE4499A">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7FDB6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46CE07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5DE0A1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51320023T000007985085-州级政府冻猪肉承储费</w:t>
            </w:r>
          </w:p>
        </w:tc>
      </w:tr>
      <w:tr w14:paraId="153EA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406D3C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ECC0FB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州商务局部门</w:t>
            </w:r>
          </w:p>
        </w:tc>
        <w:tc>
          <w:tcPr>
            <w:tcW w:w="1091" w:type="dxa"/>
            <w:tcBorders>
              <w:top w:val="nil"/>
              <w:left w:val="nil"/>
              <w:bottom w:val="nil"/>
              <w:right w:val="nil"/>
            </w:tcBorders>
            <w:shd w:val="clear" w:color="auto" w:fill="FFFFFF"/>
            <w:vAlign w:val="center"/>
          </w:tcPr>
          <w:p w14:paraId="1EF8E66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4A8F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w:t>
            </w:r>
          </w:p>
        </w:tc>
      </w:tr>
      <w:tr w14:paraId="6C718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30B07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78507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81F12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422A6DF9">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6A834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E62C55">
            <w:pP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D977B5">
            <w:pPr>
              <w:rPr>
                <w:rFonts w:hint="eastAsia" w:ascii="宋体" w:hAnsi="宋体" w:eastAsia="宋体" w:cs="宋体"/>
                <w:i w:val="0"/>
                <w:iCs w:val="0"/>
                <w:color w:val="000000"/>
                <w:sz w:val="18"/>
                <w:szCs w:val="18"/>
                <w:highlight w:val="none"/>
                <w:u w:val="none"/>
              </w:rPr>
            </w:pP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91007A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按照《四川省发展改革委、财政厅、农业农村厅、商务厅、市场监管局关于印发〈四川省生猪猪肉市场价格调控预案〉的通知》（川发改价格﹝2021﹞330号）文件精神，确保州级政府冻猪肉承储量不低于102吨，有效保障紧急情况下城乡居民对猪肉的需求。</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5DDB9FB">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完成2025年度州级政府冻猪肉收储企业招标工作，并按要求完成102吨收储任务。</w:t>
            </w:r>
          </w:p>
        </w:tc>
      </w:tr>
      <w:tr w14:paraId="1E295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5B6D75">
            <w:pP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5C32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6F3A1E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根据《政府冻猪肉收储工作实施方案》，2025年公开招标确定红原县金松牦牛食品有限公司完成2025年102吨的收储任务。</w:t>
            </w:r>
          </w:p>
        </w:tc>
      </w:tr>
      <w:tr w14:paraId="40191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6C08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2B9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87FB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BD3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A9CC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3A6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28A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199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AD6E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10B17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8CFBA0">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6DB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D1B1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38C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33CD4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13.91</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F02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19.87%</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CB9E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E1BAC">
            <w:pPr>
              <w:jc w:val="center"/>
              <w:rPr>
                <w:rFonts w:hint="eastAsia" w:ascii="宋体" w:hAnsi="宋体" w:eastAsia="宋体" w:cs="宋体"/>
                <w:i w:val="0"/>
                <w:iCs w:val="0"/>
                <w:color w:val="000000"/>
                <w:sz w:val="18"/>
                <w:szCs w:val="18"/>
                <w:highlight w:val="none"/>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D4DA4C">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于2025年3月公开征选2次流标。后多部门联合调研，全州冻库有限等原因，导致未能及时确定承储单位。</w:t>
            </w:r>
          </w:p>
        </w:tc>
      </w:tr>
      <w:tr w14:paraId="79246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3D9515">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1CB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151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0566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D27A4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13.91</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BED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19.87%</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240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26A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B93253">
            <w:pPr>
              <w:rPr>
                <w:rFonts w:hint="eastAsia" w:ascii="黑体" w:hAnsi="黑体" w:eastAsia="黑体" w:cs="黑体"/>
                <w:i/>
                <w:iCs/>
                <w:color w:val="000000"/>
                <w:sz w:val="18"/>
                <w:szCs w:val="18"/>
                <w:highlight w:val="none"/>
                <w:u w:val="none"/>
              </w:rPr>
            </w:pPr>
          </w:p>
        </w:tc>
      </w:tr>
      <w:tr w14:paraId="0F067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698E92">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437E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D93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AA1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2AD7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2AD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B2E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98EA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B08C1C">
            <w:pPr>
              <w:rPr>
                <w:rFonts w:hint="eastAsia" w:ascii="黑体" w:hAnsi="黑体" w:eastAsia="黑体" w:cs="黑体"/>
                <w:i/>
                <w:iCs/>
                <w:color w:val="000000"/>
                <w:sz w:val="18"/>
                <w:szCs w:val="18"/>
                <w:highlight w:val="none"/>
                <w:u w:val="none"/>
              </w:rPr>
            </w:pPr>
          </w:p>
        </w:tc>
      </w:tr>
      <w:tr w14:paraId="09602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8229B3">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6244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345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56F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07A3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F8A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A12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872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944C43">
            <w:pPr>
              <w:rPr>
                <w:rFonts w:hint="eastAsia" w:ascii="黑体" w:hAnsi="黑体" w:eastAsia="黑体" w:cs="黑体"/>
                <w:i/>
                <w:iCs/>
                <w:color w:val="000000"/>
                <w:sz w:val="18"/>
                <w:szCs w:val="18"/>
                <w:highlight w:val="none"/>
                <w:u w:val="none"/>
              </w:rPr>
            </w:pPr>
          </w:p>
        </w:tc>
      </w:tr>
      <w:tr w14:paraId="15F70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D1EF45">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790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CB80F">
            <w:pPr>
              <w:jc w:val="center"/>
              <w:rPr>
                <w:rFonts w:hint="eastAsia" w:ascii="微软雅黑" w:hAnsi="微软雅黑" w:eastAsia="微软雅黑" w:cs="微软雅黑"/>
                <w:i/>
                <w:iCs/>
                <w:color w:val="000000"/>
                <w:sz w:val="16"/>
                <w:szCs w:val="16"/>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FC7AB">
            <w:pPr>
              <w:jc w:val="center"/>
              <w:rPr>
                <w:rFonts w:hint="eastAsia" w:ascii="微软雅黑" w:hAnsi="微软雅黑" w:eastAsia="微软雅黑" w:cs="微软雅黑"/>
                <w:i/>
                <w:iCs/>
                <w:color w:val="000000"/>
                <w:sz w:val="16"/>
                <w:szCs w:val="16"/>
                <w:highlight w:val="none"/>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6696777">
            <w:pPr>
              <w:jc w:val="center"/>
              <w:rPr>
                <w:rFonts w:hint="eastAsia" w:ascii="微软雅黑" w:hAnsi="微软雅黑" w:eastAsia="微软雅黑" w:cs="微软雅黑"/>
                <w:i/>
                <w:iCs/>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3BF0F">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428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334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9EF32F">
            <w:pPr>
              <w:rPr>
                <w:rFonts w:hint="eastAsia" w:ascii="黑体" w:hAnsi="黑体" w:eastAsia="黑体" w:cs="黑体"/>
                <w:i/>
                <w:iCs/>
                <w:color w:val="000000"/>
                <w:sz w:val="18"/>
                <w:szCs w:val="18"/>
                <w:highlight w:val="none"/>
                <w:u w:val="none"/>
              </w:rPr>
            </w:pPr>
          </w:p>
        </w:tc>
      </w:tr>
      <w:tr w14:paraId="47297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54E4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B36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E5A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26A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594B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E35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824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D04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320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37E2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998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76D8B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A24BFC">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F327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2FA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C77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州级政府冻猪肉承储量</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C13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0F9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102</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8DB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吨</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B5CC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102</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ABD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1923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7E68FC">
            <w:pPr>
              <w:jc w:val="center"/>
              <w:rPr>
                <w:rFonts w:hint="eastAsia" w:ascii="微软雅黑" w:hAnsi="微软雅黑" w:eastAsia="微软雅黑" w:cs="微软雅黑"/>
                <w:i/>
                <w:iCs/>
                <w:color w:val="000000"/>
                <w:sz w:val="16"/>
                <w:szCs w:val="16"/>
                <w:highlight w:val="none"/>
                <w:u w:val="none"/>
              </w:rPr>
            </w:pPr>
          </w:p>
        </w:tc>
      </w:tr>
      <w:tr w14:paraId="2C474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A49FC3">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2A7DC1">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8B2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A6A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猪肉承储率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159E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B64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670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60955">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A81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2DF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AD9AB">
            <w:pPr>
              <w:jc w:val="center"/>
              <w:rPr>
                <w:rFonts w:hint="eastAsia" w:ascii="微软雅黑" w:hAnsi="微软雅黑" w:eastAsia="微软雅黑" w:cs="微软雅黑"/>
                <w:i/>
                <w:iCs/>
                <w:color w:val="000000"/>
                <w:sz w:val="16"/>
                <w:szCs w:val="16"/>
                <w:highlight w:val="none"/>
                <w:u w:val="none"/>
              </w:rPr>
            </w:pPr>
          </w:p>
        </w:tc>
      </w:tr>
      <w:tr w14:paraId="0081F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6BE517">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6C6258">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4F6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4B4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及时保障时间</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6FFC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99C4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906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9AF8F">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F34A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C539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82DBD">
            <w:pPr>
              <w:jc w:val="center"/>
              <w:rPr>
                <w:rFonts w:hint="eastAsia" w:ascii="微软雅黑" w:hAnsi="微软雅黑" w:eastAsia="微软雅黑" w:cs="微软雅黑"/>
                <w:i/>
                <w:iCs/>
                <w:color w:val="000000"/>
                <w:sz w:val="16"/>
                <w:szCs w:val="16"/>
                <w:highlight w:val="none"/>
                <w:u w:val="none"/>
              </w:rPr>
            </w:pPr>
          </w:p>
        </w:tc>
      </w:tr>
      <w:tr w14:paraId="5B2D7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C6811F">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CD1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40F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68C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群众猪肉保障情况</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0641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8F9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及时保障</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0252B">
            <w:pPr>
              <w:jc w:val="center"/>
              <w:rPr>
                <w:rFonts w:hint="eastAsia" w:ascii="宋体" w:hAnsi="宋体" w:eastAsia="宋体" w:cs="宋体"/>
                <w:i w:val="0"/>
                <w:iCs w:val="0"/>
                <w:color w:val="000000"/>
                <w:sz w:val="18"/>
                <w:szCs w:val="18"/>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2AAD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及时保障</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16D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F7D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D225E">
            <w:pPr>
              <w:jc w:val="center"/>
              <w:rPr>
                <w:rFonts w:hint="eastAsia" w:ascii="微软雅黑" w:hAnsi="微软雅黑" w:eastAsia="微软雅黑" w:cs="微软雅黑"/>
                <w:i/>
                <w:iCs/>
                <w:color w:val="000000"/>
                <w:sz w:val="16"/>
                <w:szCs w:val="16"/>
                <w:highlight w:val="none"/>
                <w:u w:val="none"/>
              </w:rPr>
            </w:pPr>
          </w:p>
        </w:tc>
      </w:tr>
      <w:tr w14:paraId="33E55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C85766">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43A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9A3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CC11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受益群众满意度</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DDD0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3B5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2B37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E9BC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85</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5CF8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6E6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28ECB">
            <w:pPr>
              <w:jc w:val="center"/>
              <w:rPr>
                <w:rFonts w:hint="eastAsia" w:ascii="微软雅黑" w:hAnsi="微软雅黑" w:eastAsia="微软雅黑" w:cs="微软雅黑"/>
                <w:i/>
                <w:iCs/>
                <w:color w:val="000000"/>
                <w:sz w:val="16"/>
                <w:szCs w:val="16"/>
                <w:highlight w:val="none"/>
                <w:u w:val="none"/>
              </w:rPr>
            </w:pPr>
          </w:p>
        </w:tc>
      </w:tr>
      <w:tr w14:paraId="05078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314887">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CA2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ADF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33A5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预算控制金额</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6C4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A21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A83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C481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13.91</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53A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8C2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7116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于2025年11月28日与承储协议</w:t>
            </w:r>
          </w:p>
        </w:tc>
      </w:tr>
      <w:tr w14:paraId="6944A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30EF0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8EAF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34EF4">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D1B66">
            <w:pPr>
              <w:rPr>
                <w:rFonts w:hint="eastAsia" w:ascii="宋体" w:hAnsi="宋体" w:eastAsia="宋体" w:cs="宋体"/>
                <w:i w:val="0"/>
                <w:iCs w:val="0"/>
                <w:color w:val="000000"/>
                <w:sz w:val="18"/>
                <w:szCs w:val="18"/>
                <w:highlight w:val="none"/>
                <w:u w:val="none"/>
              </w:rPr>
            </w:pPr>
          </w:p>
        </w:tc>
      </w:tr>
      <w:tr w14:paraId="4FF79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1B7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3332A958">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完成州级政府冻猪肉收102吨收储任务。</w:t>
            </w:r>
          </w:p>
        </w:tc>
      </w:tr>
      <w:tr w14:paraId="58768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F21F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601969F5">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40E2B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DFE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62971FB0">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06411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2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E49FCB">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项目负责人：张军</w:t>
            </w:r>
          </w:p>
        </w:tc>
        <w:tc>
          <w:tcPr>
            <w:tcW w:w="68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BE0ECE">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财务负责人：顺云梅</w:t>
            </w:r>
          </w:p>
        </w:tc>
      </w:tr>
      <w:tr w14:paraId="11BFB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41FD4743">
            <w:pPr>
              <w:rPr>
                <w:rFonts w:hint="eastAsia" w:ascii="宋体" w:hAnsi="宋体" w:eastAsia="宋体" w:cs="宋体"/>
                <w:i w:val="0"/>
                <w:iCs w:val="0"/>
                <w:color w:val="000000"/>
                <w:sz w:val="18"/>
                <w:szCs w:val="18"/>
                <w:highlight w:val="none"/>
                <w:u w:val="none"/>
              </w:rPr>
            </w:pPr>
          </w:p>
        </w:tc>
        <w:tc>
          <w:tcPr>
            <w:tcW w:w="2052" w:type="dxa"/>
            <w:tcBorders>
              <w:top w:val="nil"/>
              <w:left w:val="nil"/>
              <w:bottom w:val="nil"/>
              <w:right w:val="nil"/>
            </w:tcBorders>
            <w:shd w:val="clear" w:color="auto" w:fill="auto"/>
            <w:vAlign w:val="center"/>
          </w:tcPr>
          <w:p w14:paraId="5F46BB8D">
            <w:pPr>
              <w:rPr>
                <w:rFonts w:hint="eastAsia" w:ascii="宋体" w:hAnsi="宋体" w:eastAsia="宋体" w:cs="宋体"/>
                <w:i w:val="0"/>
                <w:iCs w:val="0"/>
                <w:color w:val="000000"/>
                <w:sz w:val="18"/>
                <w:szCs w:val="18"/>
                <w:highlight w:val="none"/>
                <w:u w:val="none"/>
              </w:rPr>
            </w:pPr>
          </w:p>
        </w:tc>
        <w:tc>
          <w:tcPr>
            <w:tcW w:w="1774" w:type="dxa"/>
            <w:tcBorders>
              <w:top w:val="nil"/>
              <w:left w:val="nil"/>
              <w:bottom w:val="nil"/>
              <w:right w:val="nil"/>
            </w:tcBorders>
            <w:shd w:val="clear" w:color="auto" w:fill="auto"/>
            <w:vAlign w:val="center"/>
          </w:tcPr>
          <w:p w14:paraId="2C081AE1">
            <w:pPr>
              <w:rPr>
                <w:rFonts w:hint="eastAsia" w:ascii="宋体" w:hAnsi="宋体" w:eastAsia="宋体" w:cs="宋体"/>
                <w:i w:val="0"/>
                <w:iCs w:val="0"/>
                <w:color w:val="000000"/>
                <w:sz w:val="18"/>
                <w:szCs w:val="18"/>
                <w:highlight w:val="none"/>
                <w:u w:val="none"/>
              </w:rPr>
            </w:pPr>
          </w:p>
        </w:tc>
        <w:tc>
          <w:tcPr>
            <w:tcW w:w="2263" w:type="dxa"/>
            <w:tcBorders>
              <w:top w:val="nil"/>
              <w:left w:val="nil"/>
              <w:bottom w:val="nil"/>
              <w:right w:val="nil"/>
            </w:tcBorders>
            <w:shd w:val="clear" w:color="auto" w:fill="auto"/>
            <w:vAlign w:val="center"/>
          </w:tcPr>
          <w:p w14:paraId="1DC85864">
            <w:pPr>
              <w:rPr>
                <w:rFonts w:hint="eastAsia" w:ascii="宋体" w:hAnsi="宋体" w:eastAsia="宋体" w:cs="宋体"/>
                <w:i w:val="0"/>
                <w:iCs w:val="0"/>
                <w:color w:val="000000"/>
                <w:sz w:val="18"/>
                <w:szCs w:val="18"/>
                <w:highlight w:val="none"/>
                <w:u w:val="none"/>
              </w:rPr>
            </w:pPr>
          </w:p>
          <w:p w14:paraId="3F3D548D">
            <w:pPr>
              <w:rPr>
                <w:rFonts w:hint="eastAsia" w:ascii="宋体" w:hAnsi="宋体" w:eastAsia="宋体" w:cs="宋体"/>
                <w:i w:val="0"/>
                <w:iCs w:val="0"/>
                <w:color w:val="000000"/>
                <w:sz w:val="18"/>
                <w:szCs w:val="18"/>
                <w:highlight w:val="none"/>
                <w:u w:val="none"/>
              </w:rPr>
            </w:pPr>
          </w:p>
          <w:p w14:paraId="1516C5C2">
            <w:pPr>
              <w:rPr>
                <w:rFonts w:hint="eastAsia" w:ascii="宋体" w:hAnsi="宋体" w:eastAsia="宋体" w:cs="宋体"/>
                <w:i w:val="0"/>
                <w:iCs w:val="0"/>
                <w:color w:val="000000"/>
                <w:sz w:val="18"/>
                <w:szCs w:val="18"/>
                <w:highlight w:val="none"/>
                <w:u w:val="none"/>
              </w:rPr>
            </w:pPr>
          </w:p>
          <w:p w14:paraId="065E9568">
            <w:pPr>
              <w:rPr>
                <w:rFonts w:hint="eastAsia" w:ascii="宋体" w:hAnsi="宋体" w:eastAsia="宋体" w:cs="宋体"/>
                <w:i w:val="0"/>
                <w:iCs w:val="0"/>
                <w:color w:val="000000"/>
                <w:sz w:val="18"/>
                <w:szCs w:val="18"/>
                <w:highlight w:val="none"/>
                <w:u w:val="none"/>
              </w:rPr>
            </w:pPr>
          </w:p>
          <w:p w14:paraId="2FBE8CFA">
            <w:pPr>
              <w:rPr>
                <w:rFonts w:hint="eastAsia" w:ascii="宋体" w:hAnsi="宋体" w:eastAsia="宋体" w:cs="宋体"/>
                <w:i w:val="0"/>
                <w:iCs w:val="0"/>
                <w:color w:val="000000"/>
                <w:sz w:val="18"/>
                <w:szCs w:val="18"/>
                <w:highlight w:val="none"/>
                <w:u w:val="none"/>
              </w:rPr>
            </w:pPr>
          </w:p>
          <w:p w14:paraId="5A02630F">
            <w:pPr>
              <w:rPr>
                <w:rFonts w:hint="eastAsia" w:ascii="宋体" w:hAnsi="宋体" w:eastAsia="宋体" w:cs="宋体"/>
                <w:i w:val="0"/>
                <w:iCs w:val="0"/>
                <w:color w:val="000000"/>
                <w:sz w:val="18"/>
                <w:szCs w:val="18"/>
                <w:highlight w:val="none"/>
                <w:u w:val="none"/>
              </w:rPr>
            </w:pPr>
          </w:p>
          <w:p w14:paraId="7AE7D638">
            <w:pPr>
              <w:rPr>
                <w:rFonts w:hint="eastAsia" w:ascii="宋体" w:hAnsi="宋体" w:eastAsia="宋体" w:cs="宋体"/>
                <w:i w:val="0"/>
                <w:iCs w:val="0"/>
                <w:color w:val="000000"/>
                <w:sz w:val="18"/>
                <w:szCs w:val="18"/>
                <w:highlight w:val="none"/>
                <w:u w:val="none"/>
              </w:rPr>
            </w:pPr>
          </w:p>
          <w:p w14:paraId="5CEA6BF4">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5DD8C099">
            <w:pPr>
              <w:rPr>
                <w:rFonts w:hint="eastAsia" w:ascii="宋体" w:hAnsi="宋体" w:eastAsia="宋体" w:cs="宋体"/>
                <w:i w:val="0"/>
                <w:iCs w:val="0"/>
                <w:color w:val="000000"/>
                <w:sz w:val="18"/>
                <w:szCs w:val="18"/>
                <w:highlight w:val="none"/>
                <w:u w:val="none"/>
              </w:rPr>
            </w:pPr>
          </w:p>
        </w:tc>
        <w:tc>
          <w:tcPr>
            <w:tcW w:w="1677" w:type="dxa"/>
            <w:tcBorders>
              <w:top w:val="nil"/>
              <w:left w:val="nil"/>
              <w:bottom w:val="nil"/>
              <w:right w:val="nil"/>
            </w:tcBorders>
            <w:shd w:val="clear" w:color="auto" w:fill="auto"/>
            <w:vAlign w:val="center"/>
          </w:tcPr>
          <w:p w14:paraId="7B5AFA23">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47310C3A">
            <w:pPr>
              <w:rPr>
                <w:rFonts w:hint="eastAsia" w:ascii="宋体" w:hAnsi="宋体" w:eastAsia="宋体" w:cs="宋体"/>
                <w:i w:val="0"/>
                <w:iCs w:val="0"/>
                <w:color w:val="000000"/>
                <w:sz w:val="18"/>
                <w:szCs w:val="18"/>
                <w:highlight w:val="none"/>
                <w:u w:val="none"/>
              </w:rPr>
            </w:pPr>
          </w:p>
        </w:tc>
        <w:tc>
          <w:tcPr>
            <w:tcW w:w="1091" w:type="dxa"/>
            <w:tcBorders>
              <w:top w:val="nil"/>
              <w:left w:val="nil"/>
              <w:bottom w:val="nil"/>
              <w:right w:val="nil"/>
            </w:tcBorders>
            <w:shd w:val="clear" w:color="auto" w:fill="auto"/>
            <w:vAlign w:val="center"/>
          </w:tcPr>
          <w:p w14:paraId="54450DB2">
            <w:pPr>
              <w:rPr>
                <w:rFonts w:hint="eastAsia" w:ascii="宋体" w:hAnsi="宋体" w:eastAsia="宋体" w:cs="宋体"/>
                <w:i w:val="0"/>
                <w:iCs w:val="0"/>
                <w:color w:val="000000"/>
                <w:sz w:val="18"/>
                <w:szCs w:val="18"/>
                <w:highlight w:val="none"/>
                <w:u w:val="none"/>
              </w:rPr>
            </w:pPr>
          </w:p>
        </w:tc>
        <w:tc>
          <w:tcPr>
            <w:tcW w:w="504" w:type="dxa"/>
            <w:tcBorders>
              <w:top w:val="nil"/>
              <w:left w:val="nil"/>
              <w:bottom w:val="nil"/>
              <w:right w:val="nil"/>
            </w:tcBorders>
            <w:shd w:val="clear" w:color="auto" w:fill="auto"/>
            <w:vAlign w:val="center"/>
          </w:tcPr>
          <w:p w14:paraId="5DDCC016">
            <w:pPr>
              <w:rPr>
                <w:rFonts w:hint="eastAsia" w:ascii="宋体" w:hAnsi="宋体" w:eastAsia="宋体" w:cs="宋体"/>
                <w:i w:val="0"/>
                <w:iCs w:val="0"/>
                <w:color w:val="000000"/>
                <w:sz w:val="18"/>
                <w:szCs w:val="18"/>
                <w:highlight w:val="none"/>
                <w:u w:val="none"/>
              </w:rPr>
            </w:pPr>
          </w:p>
        </w:tc>
        <w:tc>
          <w:tcPr>
            <w:tcW w:w="456" w:type="dxa"/>
            <w:tcBorders>
              <w:top w:val="nil"/>
              <w:left w:val="nil"/>
              <w:bottom w:val="nil"/>
              <w:right w:val="nil"/>
            </w:tcBorders>
            <w:shd w:val="clear" w:color="auto" w:fill="auto"/>
            <w:vAlign w:val="center"/>
          </w:tcPr>
          <w:p w14:paraId="426C1464">
            <w:pPr>
              <w:rPr>
                <w:rFonts w:hint="eastAsia" w:ascii="宋体" w:hAnsi="宋体" w:eastAsia="宋体" w:cs="宋体"/>
                <w:i w:val="0"/>
                <w:iCs w:val="0"/>
                <w:color w:val="000000"/>
                <w:sz w:val="18"/>
                <w:szCs w:val="18"/>
                <w:highlight w:val="none"/>
                <w:u w:val="none"/>
              </w:rPr>
            </w:pPr>
          </w:p>
        </w:tc>
        <w:tc>
          <w:tcPr>
            <w:tcW w:w="2557" w:type="dxa"/>
            <w:tcBorders>
              <w:top w:val="nil"/>
              <w:left w:val="nil"/>
              <w:bottom w:val="nil"/>
              <w:right w:val="nil"/>
            </w:tcBorders>
            <w:shd w:val="clear" w:color="auto" w:fill="auto"/>
            <w:vAlign w:val="center"/>
          </w:tcPr>
          <w:p w14:paraId="7BF25E7B">
            <w:pPr>
              <w:rPr>
                <w:rFonts w:hint="eastAsia" w:ascii="宋体" w:hAnsi="宋体" w:eastAsia="宋体" w:cs="宋体"/>
                <w:i w:val="0"/>
                <w:iCs w:val="0"/>
                <w:color w:val="000000"/>
                <w:sz w:val="18"/>
                <w:szCs w:val="18"/>
                <w:highlight w:val="none"/>
                <w:u w:val="none"/>
              </w:rPr>
            </w:pPr>
          </w:p>
        </w:tc>
      </w:tr>
      <w:tr w14:paraId="30EB3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F7D2492">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5CA6F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C3784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B1B5CA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51320024T000010451079-局机关食堂及办公室会议室修缮</w:t>
            </w:r>
          </w:p>
        </w:tc>
      </w:tr>
      <w:tr w14:paraId="59ED1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6696B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49F4D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州商务局部门</w:t>
            </w:r>
          </w:p>
        </w:tc>
        <w:tc>
          <w:tcPr>
            <w:tcW w:w="1091" w:type="dxa"/>
            <w:tcBorders>
              <w:top w:val="nil"/>
              <w:left w:val="nil"/>
              <w:bottom w:val="nil"/>
              <w:right w:val="nil"/>
            </w:tcBorders>
            <w:shd w:val="clear" w:color="auto" w:fill="auto"/>
            <w:vAlign w:val="center"/>
          </w:tcPr>
          <w:p w14:paraId="14505B55">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F364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w:t>
            </w:r>
          </w:p>
        </w:tc>
      </w:tr>
      <w:tr w14:paraId="74D32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05FC6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62AFA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26AE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FB81EE">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63C34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FD64C">
            <w:pP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A2947">
            <w:pPr>
              <w:rPr>
                <w:rFonts w:hint="eastAsia" w:ascii="宋体" w:hAnsi="宋体" w:eastAsia="宋体" w:cs="宋体"/>
                <w:i w:val="0"/>
                <w:iCs w:val="0"/>
                <w:color w:val="000000"/>
                <w:sz w:val="18"/>
                <w:szCs w:val="18"/>
                <w:highlight w:val="none"/>
                <w:u w:val="none"/>
              </w:rPr>
            </w:pP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5198D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2025年完成局机关食堂62平方米及12间办公室及会议室的修缮工作，进一步改善办公环境。</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1FE126">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已完成</w:t>
            </w:r>
          </w:p>
        </w:tc>
      </w:tr>
      <w:tr w14:paraId="36B92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D4A49">
            <w:pP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9EF8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06597D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严格按预算及采购相关要求执行。</w:t>
            </w:r>
          </w:p>
        </w:tc>
      </w:tr>
      <w:tr w14:paraId="2B034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EC12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D323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636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DA7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0A0E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5DE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6E1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903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988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4EC26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6B8C8">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88C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37A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70.50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25D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70.50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083C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69.98</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982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99.27%</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A958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61858">
            <w:pPr>
              <w:jc w:val="center"/>
              <w:rPr>
                <w:rFonts w:hint="eastAsia" w:ascii="宋体" w:hAnsi="宋体" w:eastAsia="宋体" w:cs="宋体"/>
                <w:i w:val="0"/>
                <w:iCs w:val="0"/>
                <w:color w:val="000000"/>
                <w:sz w:val="18"/>
                <w:szCs w:val="18"/>
                <w:highlight w:val="none"/>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3DF62A">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76E3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A838A">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61A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02A9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70.50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52D1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70.50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377C7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69.98</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FCA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99.27%</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E85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BD5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1DA96">
            <w:pPr>
              <w:rPr>
                <w:rFonts w:hint="eastAsia" w:ascii="黑体" w:hAnsi="黑体" w:eastAsia="黑体" w:cs="黑体"/>
                <w:i/>
                <w:iCs/>
                <w:color w:val="000000"/>
                <w:sz w:val="18"/>
                <w:szCs w:val="18"/>
                <w:highlight w:val="none"/>
                <w:u w:val="none"/>
              </w:rPr>
            </w:pPr>
          </w:p>
        </w:tc>
      </w:tr>
      <w:tr w14:paraId="5D600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7F323">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855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B06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77D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E24D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12E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C5B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DA67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4910C">
            <w:pPr>
              <w:rPr>
                <w:rFonts w:hint="eastAsia" w:ascii="黑体" w:hAnsi="黑体" w:eastAsia="黑体" w:cs="黑体"/>
                <w:i/>
                <w:iCs/>
                <w:color w:val="000000"/>
                <w:sz w:val="18"/>
                <w:szCs w:val="18"/>
                <w:highlight w:val="none"/>
                <w:u w:val="none"/>
              </w:rPr>
            </w:pPr>
          </w:p>
        </w:tc>
      </w:tr>
      <w:tr w14:paraId="7883F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99A74">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611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2BF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D23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DA58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975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C89C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700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538C0">
            <w:pPr>
              <w:rPr>
                <w:rFonts w:hint="eastAsia" w:ascii="黑体" w:hAnsi="黑体" w:eastAsia="黑体" w:cs="黑体"/>
                <w:i/>
                <w:iCs/>
                <w:color w:val="000000"/>
                <w:sz w:val="18"/>
                <w:szCs w:val="18"/>
                <w:highlight w:val="none"/>
                <w:u w:val="none"/>
              </w:rPr>
            </w:pPr>
          </w:p>
        </w:tc>
      </w:tr>
      <w:tr w14:paraId="3ED1A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77ECE">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C76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0525E">
            <w:pPr>
              <w:jc w:val="center"/>
              <w:rPr>
                <w:rFonts w:hint="eastAsia" w:ascii="微软雅黑" w:hAnsi="微软雅黑" w:eastAsia="微软雅黑" w:cs="微软雅黑"/>
                <w:i/>
                <w:iCs/>
                <w:color w:val="000000"/>
                <w:sz w:val="16"/>
                <w:szCs w:val="16"/>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3E298">
            <w:pPr>
              <w:jc w:val="center"/>
              <w:rPr>
                <w:rFonts w:hint="eastAsia" w:ascii="微软雅黑" w:hAnsi="微软雅黑" w:eastAsia="微软雅黑" w:cs="微软雅黑"/>
                <w:i/>
                <w:iCs/>
                <w:color w:val="000000"/>
                <w:sz w:val="16"/>
                <w:szCs w:val="16"/>
                <w:highlight w:val="none"/>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1BA279">
            <w:pPr>
              <w:jc w:val="center"/>
              <w:rPr>
                <w:rFonts w:hint="eastAsia" w:ascii="微软雅黑" w:hAnsi="微软雅黑" w:eastAsia="微软雅黑" w:cs="微软雅黑"/>
                <w:i/>
                <w:iCs/>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5D768">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12E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7EC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4146D">
            <w:pPr>
              <w:rPr>
                <w:rFonts w:hint="eastAsia" w:ascii="黑体" w:hAnsi="黑体" w:eastAsia="黑体" w:cs="黑体"/>
                <w:i/>
                <w:iCs/>
                <w:color w:val="000000"/>
                <w:sz w:val="18"/>
                <w:szCs w:val="18"/>
                <w:highlight w:val="none"/>
                <w:u w:val="none"/>
              </w:rPr>
            </w:pPr>
          </w:p>
        </w:tc>
      </w:tr>
      <w:tr w14:paraId="1957E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E408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16F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C2DB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B6C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753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450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962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0EFF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BA9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639F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6E7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54AA5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EAA74">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5464E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A0BC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D65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办公室会议室修缮数量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DC8D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AF8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BAF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处</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A1A0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651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59B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56835">
            <w:pPr>
              <w:jc w:val="center"/>
              <w:rPr>
                <w:rFonts w:hint="eastAsia" w:ascii="微软雅黑" w:hAnsi="微软雅黑" w:eastAsia="微软雅黑" w:cs="微软雅黑"/>
                <w:i/>
                <w:iCs/>
                <w:color w:val="000000"/>
                <w:sz w:val="16"/>
                <w:szCs w:val="16"/>
                <w:highlight w:val="none"/>
                <w:u w:val="none"/>
              </w:rPr>
            </w:pPr>
          </w:p>
        </w:tc>
      </w:tr>
      <w:tr w14:paraId="29412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ABAEF">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F3428">
            <w:pPr>
              <w:jc w:val="center"/>
              <w:rPr>
                <w:rFonts w:hint="eastAsia" w:ascii="宋体" w:hAnsi="宋体" w:eastAsia="宋体" w:cs="宋体"/>
                <w:i w:val="0"/>
                <w:iCs w:val="0"/>
                <w:color w:val="000000"/>
                <w:sz w:val="18"/>
                <w:szCs w:val="18"/>
                <w:highlight w:val="none"/>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DB6B3">
            <w:pPr>
              <w:jc w:val="center"/>
              <w:rPr>
                <w:rFonts w:hint="eastAsia" w:ascii="宋体" w:hAnsi="宋体" w:eastAsia="宋体" w:cs="宋体"/>
                <w:i w:val="0"/>
                <w:iCs w:val="0"/>
                <w:color w:val="000000"/>
                <w:sz w:val="18"/>
                <w:szCs w:val="18"/>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6320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食堂修缮面积</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ED0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24B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486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平方米</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9DE9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62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DA7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71E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7D693">
            <w:pPr>
              <w:jc w:val="center"/>
              <w:rPr>
                <w:rFonts w:hint="eastAsia" w:ascii="微软雅黑" w:hAnsi="微软雅黑" w:eastAsia="微软雅黑" w:cs="微软雅黑"/>
                <w:i/>
                <w:iCs/>
                <w:color w:val="000000"/>
                <w:sz w:val="16"/>
                <w:szCs w:val="16"/>
                <w:highlight w:val="none"/>
                <w:u w:val="none"/>
              </w:rPr>
            </w:pPr>
          </w:p>
        </w:tc>
      </w:tr>
      <w:tr w14:paraId="2EA49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72A56">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50AC2">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485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B7C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房屋修缮改造率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3BB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CFE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20D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786A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B7B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371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E7811">
            <w:pPr>
              <w:jc w:val="center"/>
              <w:rPr>
                <w:rFonts w:hint="eastAsia" w:ascii="微软雅黑" w:hAnsi="微软雅黑" w:eastAsia="微软雅黑" w:cs="微软雅黑"/>
                <w:i/>
                <w:iCs/>
                <w:color w:val="000000"/>
                <w:sz w:val="16"/>
                <w:szCs w:val="16"/>
                <w:highlight w:val="none"/>
                <w:u w:val="none"/>
              </w:rPr>
            </w:pPr>
          </w:p>
        </w:tc>
      </w:tr>
      <w:tr w14:paraId="4F8A8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00EBB">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3EFD8">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154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EE7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及时执行时长</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E90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AD7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5B0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月</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CA9D5">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A4B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4B0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A873E">
            <w:pPr>
              <w:jc w:val="center"/>
              <w:rPr>
                <w:rFonts w:hint="eastAsia" w:ascii="微软雅黑" w:hAnsi="微软雅黑" w:eastAsia="微软雅黑" w:cs="微软雅黑"/>
                <w:i/>
                <w:iCs/>
                <w:color w:val="000000"/>
                <w:sz w:val="16"/>
                <w:szCs w:val="16"/>
                <w:highlight w:val="none"/>
                <w:u w:val="none"/>
              </w:rPr>
            </w:pPr>
          </w:p>
        </w:tc>
      </w:tr>
      <w:tr w14:paraId="3FC54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908B8">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0FA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031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4E3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办公环境改善程度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D96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05A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3DA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07C8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545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02B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DD606">
            <w:pPr>
              <w:jc w:val="center"/>
              <w:rPr>
                <w:rFonts w:hint="eastAsia" w:ascii="微软雅黑" w:hAnsi="微软雅黑" w:eastAsia="微软雅黑" w:cs="微软雅黑"/>
                <w:i/>
                <w:iCs/>
                <w:color w:val="000000"/>
                <w:sz w:val="16"/>
                <w:szCs w:val="16"/>
                <w:highlight w:val="none"/>
                <w:u w:val="none"/>
              </w:rPr>
            </w:pPr>
          </w:p>
        </w:tc>
      </w:tr>
      <w:tr w14:paraId="0B522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99AEA">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0EC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623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10E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职工满意度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DFB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7744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9B8D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3CAA4">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85</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064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762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58946">
            <w:pPr>
              <w:jc w:val="center"/>
              <w:rPr>
                <w:rFonts w:hint="eastAsia" w:ascii="微软雅黑" w:hAnsi="微软雅黑" w:eastAsia="微软雅黑" w:cs="微软雅黑"/>
                <w:i/>
                <w:iCs/>
                <w:color w:val="000000"/>
                <w:sz w:val="16"/>
                <w:szCs w:val="16"/>
                <w:highlight w:val="none"/>
                <w:u w:val="none"/>
              </w:rPr>
            </w:pPr>
          </w:p>
        </w:tc>
      </w:tr>
      <w:tr w14:paraId="12481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A680F">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4790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787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EE87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预算控制金额</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B82E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092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70.5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020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8ADB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69.98</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2FC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49E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BA304">
            <w:pPr>
              <w:jc w:val="center"/>
              <w:rPr>
                <w:rFonts w:hint="eastAsia" w:ascii="微软雅黑" w:hAnsi="微软雅黑" w:eastAsia="微软雅黑" w:cs="微软雅黑"/>
                <w:i/>
                <w:iCs/>
                <w:color w:val="000000"/>
                <w:sz w:val="16"/>
                <w:szCs w:val="16"/>
                <w:highlight w:val="none"/>
                <w:u w:val="none"/>
              </w:rPr>
            </w:pPr>
          </w:p>
        </w:tc>
      </w:tr>
      <w:tr w14:paraId="48AFC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A7590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C3F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BE1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92325">
            <w:pPr>
              <w:rPr>
                <w:rFonts w:hint="eastAsia" w:ascii="宋体" w:hAnsi="宋体" w:eastAsia="宋体" w:cs="宋体"/>
                <w:i w:val="0"/>
                <w:iCs w:val="0"/>
                <w:color w:val="000000"/>
                <w:sz w:val="18"/>
                <w:szCs w:val="18"/>
                <w:highlight w:val="none"/>
                <w:u w:val="none"/>
              </w:rPr>
            </w:pPr>
          </w:p>
        </w:tc>
      </w:tr>
      <w:tr w14:paraId="18AFF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7A8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A5F27A">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项目自评得分100分，项目执行严格批复的预算执行，相关采购严格按政府采购采购及内控执行。项目已全面完成，延长了房屋使用寿命，有效提升了办公、用餐环境。</w:t>
            </w:r>
          </w:p>
        </w:tc>
      </w:tr>
      <w:tr w14:paraId="48631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8A3A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E5BCB69">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1AD6F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72B1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45BD97">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45131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2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AE15A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项目负责人：顺云梅</w:t>
            </w:r>
          </w:p>
        </w:tc>
        <w:tc>
          <w:tcPr>
            <w:tcW w:w="68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ACBEE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财务负责人：顺云梅</w:t>
            </w:r>
          </w:p>
        </w:tc>
      </w:tr>
      <w:tr w14:paraId="6862C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53A52569">
            <w:pPr>
              <w:rPr>
                <w:rFonts w:hint="eastAsia" w:ascii="宋体" w:hAnsi="宋体" w:eastAsia="宋体" w:cs="宋体"/>
                <w:i w:val="0"/>
                <w:iCs w:val="0"/>
                <w:color w:val="000000"/>
                <w:sz w:val="18"/>
                <w:szCs w:val="18"/>
                <w:highlight w:val="none"/>
                <w:u w:val="none"/>
              </w:rPr>
            </w:pPr>
          </w:p>
        </w:tc>
        <w:tc>
          <w:tcPr>
            <w:tcW w:w="2052" w:type="dxa"/>
            <w:tcBorders>
              <w:top w:val="nil"/>
              <w:left w:val="nil"/>
              <w:bottom w:val="nil"/>
              <w:right w:val="nil"/>
            </w:tcBorders>
            <w:shd w:val="clear" w:color="auto" w:fill="auto"/>
            <w:vAlign w:val="center"/>
          </w:tcPr>
          <w:p w14:paraId="2CA81CB6">
            <w:pPr>
              <w:rPr>
                <w:rFonts w:hint="eastAsia" w:ascii="宋体" w:hAnsi="宋体" w:eastAsia="宋体" w:cs="宋体"/>
                <w:i w:val="0"/>
                <w:iCs w:val="0"/>
                <w:color w:val="000000"/>
                <w:sz w:val="18"/>
                <w:szCs w:val="18"/>
                <w:highlight w:val="none"/>
                <w:u w:val="none"/>
              </w:rPr>
            </w:pPr>
          </w:p>
        </w:tc>
        <w:tc>
          <w:tcPr>
            <w:tcW w:w="1774" w:type="dxa"/>
            <w:tcBorders>
              <w:top w:val="nil"/>
              <w:left w:val="nil"/>
              <w:bottom w:val="nil"/>
              <w:right w:val="nil"/>
            </w:tcBorders>
            <w:shd w:val="clear" w:color="auto" w:fill="auto"/>
            <w:vAlign w:val="center"/>
          </w:tcPr>
          <w:p w14:paraId="4F7DDA2F">
            <w:pPr>
              <w:rPr>
                <w:rFonts w:hint="eastAsia" w:ascii="宋体" w:hAnsi="宋体" w:eastAsia="宋体" w:cs="宋体"/>
                <w:i w:val="0"/>
                <w:iCs w:val="0"/>
                <w:color w:val="000000"/>
                <w:sz w:val="18"/>
                <w:szCs w:val="18"/>
                <w:highlight w:val="none"/>
                <w:u w:val="none"/>
              </w:rPr>
            </w:pPr>
          </w:p>
        </w:tc>
        <w:tc>
          <w:tcPr>
            <w:tcW w:w="2263" w:type="dxa"/>
            <w:tcBorders>
              <w:top w:val="nil"/>
              <w:left w:val="nil"/>
              <w:bottom w:val="nil"/>
              <w:right w:val="nil"/>
            </w:tcBorders>
            <w:shd w:val="clear" w:color="auto" w:fill="auto"/>
            <w:vAlign w:val="center"/>
          </w:tcPr>
          <w:p w14:paraId="720C161B">
            <w:pPr>
              <w:rPr>
                <w:rFonts w:hint="eastAsia" w:ascii="宋体" w:hAnsi="宋体" w:eastAsia="宋体" w:cs="宋体"/>
                <w:i w:val="0"/>
                <w:iCs w:val="0"/>
                <w:color w:val="000000"/>
                <w:sz w:val="18"/>
                <w:szCs w:val="18"/>
                <w:highlight w:val="none"/>
                <w:u w:val="none"/>
              </w:rPr>
            </w:pPr>
          </w:p>
          <w:p w14:paraId="4AE6FF4E">
            <w:pPr>
              <w:rPr>
                <w:rFonts w:hint="eastAsia" w:ascii="宋体" w:hAnsi="宋体" w:eastAsia="宋体" w:cs="宋体"/>
                <w:i w:val="0"/>
                <w:iCs w:val="0"/>
                <w:color w:val="000000"/>
                <w:sz w:val="18"/>
                <w:szCs w:val="18"/>
                <w:highlight w:val="none"/>
                <w:u w:val="none"/>
              </w:rPr>
            </w:pPr>
          </w:p>
          <w:p w14:paraId="4597E043">
            <w:pPr>
              <w:rPr>
                <w:rFonts w:hint="eastAsia" w:ascii="宋体" w:hAnsi="宋体" w:eastAsia="宋体" w:cs="宋体"/>
                <w:i w:val="0"/>
                <w:iCs w:val="0"/>
                <w:color w:val="000000"/>
                <w:sz w:val="18"/>
                <w:szCs w:val="18"/>
                <w:highlight w:val="none"/>
                <w:u w:val="none"/>
              </w:rPr>
            </w:pPr>
          </w:p>
          <w:p w14:paraId="66EA81AA">
            <w:pPr>
              <w:rPr>
                <w:rFonts w:hint="eastAsia" w:ascii="宋体" w:hAnsi="宋体" w:eastAsia="宋体" w:cs="宋体"/>
                <w:i w:val="0"/>
                <w:iCs w:val="0"/>
                <w:color w:val="000000"/>
                <w:sz w:val="18"/>
                <w:szCs w:val="18"/>
                <w:highlight w:val="none"/>
                <w:u w:val="none"/>
              </w:rPr>
            </w:pPr>
          </w:p>
          <w:p w14:paraId="7794052B">
            <w:pPr>
              <w:rPr>
                <w:rFonts w:hint="eastAsia" w:ascii="宋体" w:hAnsi="宋体" w:eastAsia="宋体" w:cs="宋体"/>
                <w:i w:val="0"/>
                <w:iCs w:val="0"/>
                <w:color w:val="000000"/>
                <w:sz w:val="18"/>
                <w:szCs w:val="18"/>
                <w:highlight w:val="none"/>
                <w:u w:val="none"/>
              </w:rPr>
            </w:pPr>
          </w:p>
          <w:p w14:paraId="611E04E0">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056BCC66">
            <w:pPr>
              <w:rPr>
                <w:rFonts w:hint="eastAsia" w:ascii="宋体" w:hAnsi="宋体" w:eastAsia="宋体" w:cs="宋体"/>
                <w:i w:val="0"/>
                <w:iCs w:val="0"/>
                <w:color w:val="000000"/>
                <w:sz w:val="18"/>
                <w:szCs w:val="18"/>
                <w:highlight w:val="none"/>
                <w:u w:val="none"/>
              </w:rPr>
            </w:pPr>
          </w:p>
        </w:tc>
        <w:tc>
          <w:tcPr>
            <w:tcW w:w="1677" w:type="dxa"/>
            <w:tcBorders>
              <w:top w:val="nil"/>
              <w:left w:val="nil"/>
              <w:bottom w:val="nil"/>
              <w:right w:val="nil"/>
            </w:tcBorders>
            <w:shd w:val="clear" w:color="auto" w:fill="auto"/>
            <w:vAlign w:val="center"/>
          </w:tcPr>
          <w:p w14:paraId="2BDF571C">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59561A19">
            <w:pPr>
              <w:rPr>
                <w:rFonts w:hint="eastAsia" w:ascii="宋体" w:hAnsi="宋体" w:eastAsia="宋体" w:cs="宋体"/>
                <w:i w:val="0"/>
                <w:iCs w:val="0"/>
                <w:color w:val="000000"/>
                <w:sz w:val="18"/>
                <w:szCs w:val="18"/>
                <w:highlight w:val="none"/>
                <w:u w:val="none"/>
              </w:rPr>
            </w:pPr>
          </w:p>
        </w:tc>
        <w:tc>
          <w:tcPr>
            <w:tcW w:w="1091" w:type="dxa"/>
            <w:tcBorders>
              <w:top w:val="nil"/>
              <w:left w:val="nil"/>
              <w:bottom w:val="nil"/>
              <w:right w:val="nil"/>
            </w:tcBorders>
            <w:shd w:val="clear" w:color="auto" w:fill="auto"/>
            <w:vAlign w:val="center"/>
          </w:tcPr>
          <w:p w14:paraId="38419905">
            <w:pPr>
              <w:rPr>
                <w:rFonts w:hint="eastAsia" w:ascii="宋体" w:hAnsi="宋体" w:eastAsia="宋体" w:cs="宋体"/>
                <w:i w:val="0"/>
                <w:iCs w:val="0"/>
                <w:color w:val="000000"/>
                <w:sz w:val="18"/>
                <w:szCs w:val="18"/>
                <w:highlight w:val="none"/>
                <w:u w:val="none"/>
              </w:rPr>
            </w:pPr>
          </w:p>
        </w:tc>
        <w:tc>
          <w:tcPr>
            <w:tcW w:w="504" w:type="dxa"/>
            <w:tcBorders>
              <w:top w:val="nil"/>
              <w:left w:val="nil"/>
              <w:bottom w:val="nil"/>
              <w:right w:val="nil"/>
            </w:tcBorders>
            <w:shd w:val="clear" w:color="auto" w:fill="auto"/>
            <w:vAlign w:val="center"/>
          </w:tcPr>
          <w:p w14:paraId="373A0BEF">
            <w:pPr>
              <w:rPr>
                <w:rFonts w:hint="eastAsia" w:ascii="宋体" w:hAnsi="宋体" w:eastAsia="宋体" w:cs="宋体"/>
                <w:i w:val="0"/>
                <w:iCs w:val="0"/>
                <w:color w:val="000000"/>
                <w:sz w:val="18"/>
                <w:szCs w:val="18"/>
                <w:highlight w:val="none"/>
                <w:u w:val="none"/>
              </w:rPr>
            </w:pPr>
          </w:p>
        </w:tc>
        <w:tc>
          <w:tcPr>
            <w:tcW w:w="456" w:type="dxa"/>
            <w:tcBorders>
              <w:top w:val="nil"/>
              <w:left w:val="nil"/>
              <w:bottom w:val="nil"/>
              <w:right w:val="nil"/>
            </w:tcBorders>
            <w:shd w:val="clear" w:color="auto" w:fill="auto"/>
            <w:vAlign w:val="center"/>
          </w:tcPr>
          <w:p w14:paraId="001BC583">
            <w:pPr>
              <w:rPr>
                <w:rFonts w:hint="eastAsia" w:ascii="宋体" w:hAnsi="宋体" w:eastAsia="宋体" w:cs="宋体"/>
                <w:i w:val="0"/>
                <w:iCs w:val="0"/>
                <w:color w:val="000000"/>
                <w:sz w:val="18"/>
                <w:szCs w:val="18"/>
                <w:highlight w:val="none"/>
                <w:u w:val="none"/>
              </w:rPr>
            </w:pPr>
          </w:p>
        </w:tc>
        <w:tc>
          <w:tcPr>
            <w:tcW w:w="2557" w:type="dxa"/>
            <w:tcBorders>
              <w:top w:val="nil"/>
              <w:left w:val="nil"/>
              <w:bottom w:val="nil"/>
              <w:right w:val="nil"/>
            </w:tcBorders>
            <w:shd w:val="clear" w:color="auto" w:fill="auto"/>
            <w:vAlign w:val="center"/>
          </w:tcPr>
          <w:p w14:paraId="64DFC112">
            <w:pPr>
              <w:rPr>
                <w:rFonts w:hint="eastAsia" w:ascii="宋体" w:hAnsi="宋体" w:eastAsia="宋体" w:cs="宋体"/>
                <w:i w:val="0"/>
                <w:iCs w:val="0"/>
                <w:color w:val="000000"/>
                <w:sz w:val="18"/>
                <w:szCs w:val="18"/>
                <w:highlight w:val="none"/>
                <w:u w:val="none"/>
              </w:rPr>
            </w:pPr>
          </w:p>
        </w:tc>
      </w:tr>
      <w:tr w14:paraId="707FC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460600A1">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008AC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1B1F27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6C344C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51320024T000011948449-“净土阿坝”品牌培育及净土阿坝馆运营项目</w:t>
            </w:r>
          </w:p>
        </w:tc>
      </w:tr>
      <w:tr w14:paraId="1C188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439799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3F5643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州商务局部门</w:t>
            </w:r>
          </w:p>
        </w:tc>
        <w:tc>
          <w:tcPr>
            <w:tcW w:w="1091" w:type="dxa"/>
            <w:tcBorders>
              <w:top w:val="nil"/>
              <w:left w:val="nil"/>
              <w:bottom w:val="nil"/>
              <w:right w:val="nil"/>
            </w:tcBorders>
            <w:shd w:val="clear" w:color="auto" w:fill="FFFFFF"/>
            <w:vAlign w:val="center"/>
          </w:tcPr>
          <w:p w14:paraId="0E0F3478">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6326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w:t>
            </w:r>
          </w:p>
        </w:tc>
      </w:tr>
      <w:tr w14:paraId="30282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E0C54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639C8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5D3231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0848FF6">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3BD05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77D896">
            <w:pP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0F20E1">
            <w:pPr>
              <w:rPr>
                <w:rFonts w:hint="eastAsia" w:ascii="宋体" w:hAnsi="宋体" w:eastAsia="宋体" w:cs="宋体"/>
                <w:i w:val="0"/>
                <w:iCs w:val="0"/>
                <w:color w:val="000000"/>
                <w:sz w:val="18"/>
                <w:szCs w:val="18"/>
                <w:highlight w:val="none"/>
                <w:u w:val="none"/>
              </w:rPr>
            </w:pP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6D35DE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东部阿坝馆以“净土阿坝”农特产品品牌为核心，立足温州城市区位优势，作为阿坝州东西部协作成果展示平台。面向温州消费市场，满足消费群体对高原纯净臻品的消费需求，依托浙江发达的电商技术优势，结合当地旅游资源，通过新经济、新零售手段，全方位宣传展示阿坝州特色产品。开展1次净土阿坝”产品消费帮扶推介会，邀请各县（市）农特产品企业30余家参会参展。</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9AF159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通过“走出去”“引进来”组织开展了2025年“净土阿坝”产品消费帮扶推介会-温州站、杭州站、茂县站活动，推动阿坝州中药材、生鲜果蔬、手工艺品等特色产品进入浙江主流销售渠道，建立长期供货机制。</w:t>
            </w:r>
          </w:p>
        </w:tc>
      </w:tr>
      <w:tr w14:paraId="76883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A20531">
            <w:pP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F71A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D14C8B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通过“走出去”“引进来”组织开展了2025年“净土阿坝”产品消费帮扶推介会-温州站、杭州站、茂县站活动。</w:t>
            </w:r>
          </w:p>
        </w:tc>
      </w:tr>
      <w:tr w14:paraId="55401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822B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9401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74B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943B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89D78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E5B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D78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451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EAC9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775E7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E99F81">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9EE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132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A05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8.10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F89B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CCC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2D7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63243">
            <w:pPr>
              <w:jc w:val="center"/>
              <w:rPr>
                <w:rFonts w:hint="eastAsia" w:ascii="宋体" w:hAnsi="宋体" w:eastAsia="宋体" w:cs="宋体"/>
                <w:i w:val="0"/>
                <w:iCs w:val="0"/>
                <w:color w:val="000000"/>
                <w:sz w:val="18"/>
                <w:szCs w:val="18"/>
                <w:highlight w:val="none"/>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BE41A2">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00CC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ADC95D">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A15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423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749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8.10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9C22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2FD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BB8A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CF8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B8AE80">
            <w:pPr>
              <w:rPr>
                <w:rFonts w:hint="eastAsia" w:ascii="黑体" w:hAnsi="黑体" w:eastAsia="黑体" w:cs="黑体"/>
                <w:i/>
                <w:iCs/>
                <w:color w:val="000000"/>
                <w:sz w:val="18"/>
                <w:szCs w:val="18"/>
                <w:highlight w:val="none"/>
                <w:u w:val="none"/>
              </w:rPr>
            </w:pPr>
          </w:p>
        </w:tc>
      </w:tr>
      <w:tr w14:paraId="70FE6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554784">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742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3B5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DA2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AF81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C81C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7F7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E64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3E9129">
            <w:pPr>
              <w:rPr>
                <w:rFonts w:hint="eastAsia" w:ascii="黑体" w:hAnsi="黑体" w:eastAsia="黑体" w:cs="黑体"/>
                <w:i/>
                <w:iCs/>
                <w:color w:val="000000"/>
                <w:sz w:val="18"/>
                <w:szCs w:val="18"/>
                <w:highlight w:val="none"/>
                <w:u w:val="none"/>
              </w:rPr>
            </w:pPr>
          </w:p>
        </w:tc>
      </w:tr>
      <w:tr w14:paraId="16E73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0133A7">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B53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D36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85A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C412D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B74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CD7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354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3CE9DA">
            <w:pPr>
              <w:rPr>
                <w:rFonts w:hint="eastAsia" w:ascii="黑体" w:hAnsi="黑体" w:eastAsia="黑体" w:cs="黑体"/>
                <w:i/>
                <w:iCs/>
                <w:color w:val="000000"/>
                <w:sz w:val="18"/>
                <w:szCs w:val="18"/>
                <w:highlight w:val="none"/>
                <w:u w:val="none"/>
              </w:rPr>
            </w:pPr>
          </w:p>
        </w:tc>
      </w:tr>
      <w:tr w14:paraId="2022D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F3B33A">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AE0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02E1E">
            <w:pPr>
              <w:jc w:val="center"/>
              <w:rPr>
                <w:rFonts w:hint="eastAsia" w:ascii="微软雅黑" w:hAnsi="微软雅黑" w:eastAsia="微软雅黑" w:cs="微软雅黑"/>
                <w:i/>
                <w:iCs/>
                <w:color w:val="000000"/>
                <w:sz w:val="16"/>
                <w:szCs w:val="16"/>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B2F42">
            <w:pPr>
              <w:jc w:val="center"/>
              <w:rPr>
                <w:rFonts w:hint="eastAsia" w:ascii="微软雅黑" w:hAnsi="微软雅黑" w:eastAsia="微软雅黑" w:cs="微软雅黑"/>
                <w:i/>
                <w:iCs/>
                <w:color w:val="000000"/>
                <w:sz w:val="16"/>
                <w:szCs w:val="16"/>
                <w:highlight w:val="none"/>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B815C57">
            <w:pPr>
              <w:jc w:val="center"/>
              <w:rPr>
                <w:rFonts w:hint="eastAsia" w:ascii="微软雅黑" w:hAnsi="微软雅黑" w:eastAsia="微软雅黑" w:cs="微软雅黑"/>
                <w:i/>
                <w:iCs/>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C3781">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854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328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CAD31C">
            <w:pPr>
              <w:rPr>
                <w:rFonts w:hint="eastAsia" w:ascii="黑体" w:hAnsi="黑体" w:eastAsia="黑体" w:cs="黑体"/>
                <w:i/>
                <w:iCs/>
                <w:color w:val="000000"/>
                <w:sz w:val="18"/>
                <w:szCs w:val="18"/>
                <w:highlight w:val="none"/>
                <w:u w:val="none"/>
              </w:rPr>
            </w:pPr>
          </w:p>
        </w:tc>
      </w:tr>
      <w:tr w14:paraId="43C3B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A1A0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E6A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DB8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CEF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5184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8D7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5716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D2E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605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A96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893B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1E98E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CBDF80">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D9F0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327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995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组织消费帮扶推介会次数</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BF8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C5B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A48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D988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3</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DB5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12B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DC744">
            <w:pPr>
              <w:jc w:val="center"/>
              <w:rPr>
                <w:rFonts w:hint="eastAsia" w:ascii="微软雅黑" w:hAnsi="微软雅黑" w:eastAsia="微软雅黑" w:cs="微软雅黑"/>
                <w:i/>
                <w:iCs/>
                <w:color w:val="000000"/>
                <w:sz w:val="16"/>
                <w:szCs w:val="16"/>
                <w:highlight w:val="none"/>
                <w:u w:val="none"/>
              </w:rPr>
            </w:pPr>
          </w:p>
        </w:tc>
      </w:tr>
      <w:tr w14:paraId="77457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E16584">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B9F083">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747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CD3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年度内及时开展</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5A0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6D7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A77F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月</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9302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12</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D34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6CC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01E90">
            <w:pPr>
              <w:jc w:val="center"/>
              <w:rPr>
                <w:rFonts w:hint="eastAsia" w:ascii="微软雅黑" w:hAnsi="微软雅黑" w:eastAsia="微软雅黑" w:cs="微软雅黑"/>
                <w:i/>
                <w:iCs/>
                <w:color w:val="000000"/>
                <w:sz w:val="16"/>
                <w:szCs w:val="16"/>
                <w:highlight w:val="none"/>
                <w:u w:val="none"/>
              </w:rPr>
            </w:pPr>
          </w:p>
        </w:tc>
      </w:tr>
      <w:tr w14:paraId="7D5E3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51758B">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B9180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17F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EA4C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提高我州农产品销售额</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B6F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9C5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高</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DF12F">
            <w:pPr>
              <w:jc w:val="center"/>
              <w:rPr>
                <w:rFonts w:hint="eastAsia" w:ascii="宋体" w:hAnsi="宋体" w:eastAsia="宋体" w:cs="宋体"/>
                <w:i w:val="0"/>
                <w:iCs w:val="0"/>
                <w:color w:val="000000"/>
                <w:sz w:val="18"/>
                <w:szCs w:val="18"/>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BE1BF">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高</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19E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4AA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F9E4F">
            <w:pPr>
              <w:jc w:val="center"/>
              <w:rPr>
                <w:rFonts w:hint="eastAsia" w:ascii="微软雅黑" w:hAnsi="微软雅黑" w:eastAsia="微软雅黑" w:cs="微软雅黑"/>
                <w:i/>
                <w:iCs/>
                <w:color w:val="000000"/>
                <w:sz w:val="16"/>
                <w:szCs w:val="16"/>
                <w:highlight w:val="none"/>
                <w:u w:val="none"/>
              </w:rPr>
            </w:pPr>
          </w:p>
        </w:tc>
      </w:tr>
      <w:tr w14:paraId="5D862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D384FF">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2462E4">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CFA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B0A6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提高我州农特产品知名度</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FB4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D54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高</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D7A9C">
            <w:pPr>
              <w:jc w:val="center"/>
              <w:rPr>
                <w:rFonts w:hint="eastAsia" w:ascii="宋体" w:hAnsi="宋体" w:eastAsia="宋体" w:cs="宋体"/>
                <w:i w:val="0"/>
                <w:iCs w:val="0"/>
                <w:color w:val="000000"/>
                <w:sz w:val="18"/>
                <w:szCs w:val="18"/>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EE65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高</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CDA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316D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73BF3">
            <w:pPr>
              <w:jc w:val="center"/>
              <w:rPr>
                <w:rFonts w:hint="eastAsia" w:ascii="微软雅黑" w:hAnsi="微软雅黑" w:eastAsia="微软雅黑" w:cs="微软雅黑"/>
                <w:i/>
                <w:iCs/>
                <w:color w:val="000000"/>
                <w:sz w:val="16"/>
                <w:szCs w:val="16"/>
                <w:highlight w:val="none"/>
                <w:u w:val="none"/>
              </w:rPr>
            </w:pPr>
          </w:p>
        </w:tc>
      </w:tr>
      <w:tr w14:paraId="7D231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4C4151">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B5D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5C7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帮扶对象满意度指标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DEE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参会参展企业满意度</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45A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D1D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3C4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0B1E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85</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59D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F7E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972F3">
            <w:pPr>
              <w:jc w:val="center"/>
              <w:rPr>
                <w:rFonts w:hint="eastAsia" w:ascii="微软雅黑" w:hAnsi="微软雅黑" w:eastAsia="微软雅黑" w:cs="微软雅黑"/>
                <w:i/>
                <w:iCs/>
                <w:color w:val="000000"/>
                <w:sz w:val="16"/>
                <w:szCs w:val="16"/>
                <w:highlight w:val="none"/>
                <w:u w:val="none"/>
              </w:rPr>
            </w:pPr>
          </w:p>
        </w:tc>
      </w:tr>
      <w:tr w14:paraId="43D43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C53A24">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CD6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B5A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1E5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控制在预算内</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37A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C4E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3EF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万元/每项目</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F4294">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8.1</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C93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168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D7830">
            <w:pPr>
              <w:jc w:val="center"/>
              <w:rPr>
                <w:rFonts w:hint="eastAsia" w:ascii="微软雅黑" w:hAnsi="微软雅黑" w:eastAsia="微软雅黑" w:cs="微软雅黑"/>
                <w:i/>
                <w:iCs/>
                <w:color w:val="000000"/>
                <w:sz w:val="16"/>
                <w:szCs w:val="16"/>
                <w:highlight w:val="none"/>
                <w:u w:val="none"/>
              </w:rPr>
            </w:pPr>
          </w:p>
        </w:tc>
      </w:tr>
      <w:tr w14:paraId="5D653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0C5A6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C861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4FAE1">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796C8">
            <w:pPr>
              <w:rPr>
                <w:rFonts w:hint="eastAsia" w:ascii="宋体" w:hAnsi="宋体" w:eastAsia="宋体" w:cs="宋体"/>
                <w:i w:val="0"/>
                <w:iCs w:val="0"/>
                <w:color w:val="000000"/>
                <w:sz w:val="18"/>
                <w:szCs w:val="18"/>
                <w:highlight w:val="none"/>
                <w:u w:val="none"/>
              </w:rPr>
            </w:pPr>
          </w:p>
        </w:tc>
      </w:tr>
      <w:tr w14:paraId="62B46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0E61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2842C69C">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深入落实对口支援工作，深化了浙阿两地交流合作，拓展阿坝州农副产品销售渠道，提升“净土阿坝”品牌知名度，通过“走出去”“引进来”的方式多方位的推介宣传我州农特产品</w:t>
            </w:r>
          </w:p>
        </w:tc>
      </w:tr>
      <w:tr w14:paraId="658AF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4EC3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2480FD41">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41886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C85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560B6D96">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64131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2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AED086">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项目负责人：张军</w:t>
            </w:r>
          </w:p>
        </w:tc>
        <w:tc>
          <w:tcPr>
            <w:tcW w:w="68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0D0A0D8">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财务负责人：顺云梅</w:t>
            </w:r>
          </w:p>
        </w:tc>
      </w:tr>
      <w:tr w14:paraId="4AC5A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60A09E17">
            <w:pPr>
              <w:rPr>
                <w:rFonts w:hint="eastAsia" w:ascii="宋体" w:hAnsi="宋体" w:eastAsia="宋体" w:cs="宋体"/>
                <w:i w:val="0"/>
                <w:iCs w:val="0"/>
                <w:color w:val="000000"/>
                <w:sz w:val="18"/>
                <w:szCs w:val="18"/>
                <w:highlight w:val="none"/>
                <w:u w:val="none"/>
              </w:rPr>
            </w:pPr>
          </w:p>
        </w:tc>
        <w:tc>
          <w:tcPr>
            <w:tcW w:w="2052" w:type="dxa"/>
            <w:tcBorders>
              <w:top w:val="nil"/>
              <w:left w:val="nil"/>
              <w:bottom w:val="nil"/>
              <w:right w:val="nil"/>
            </w:tcBorders>
            <w:shd w:val="clear" w:color="auto" w:fill="auto"/>
            <w:vAlign w:val="center"/>
          </w:tcPr>
          <w:p w14:paraId="0B0DE194">
            <w:pPr>
              <w:rPr>
                <w:rFonts w:hint="eastAsia" w:ascii="宋体" w:hAnsi="宋体" w:eastAsia="宋体" w:cs="宋体"/>
                <w:i w:val="0"/>
                <w:iCs w:val="0"/>
                <w:color w:val="000000"/>
                <w:sz w:val="18"/>
                <w:szCs w:val="18"/>
                <w:highlight w:val="none"/>
                <w:u w:val="none"/>
              </w:rPr>
            </w:pPr>
          </w:p>
        </w:tc>
        <w:tc>
          <w:tcPr>
            <w:tcW w:w="1774" w:type="dxa"/>
            <w:tcBorders>
              <w:top w:val="nil"/>
              <w:left w:val="nil"/>
              <w:bottom w:val="nil"/>
              <w:right w:val="nil"/>
            </w:tcBorders>
            <w:shd w:val="clear" w:color="auto" w:fill="auto"/>
            <w:vAlign w:val="center"/>
          </w:tcPr>
          <w:p w14:paraId="64087D77">
            <w:pPr>
              <w:rPr>
                <w:rFonts w:hint="eastAsia" w:ascii="宋体" w:hAnsi="宋体" w:eastAsia="宋体" w:cs="宋体"/>
                <w:i w:val="0"/>
                <w:iCs w:val="0"/>
                <w:color w:val="000000"/>
                <w:sz w:val="18"/>
                <w:szCs w:val="18"/>
                <w:highlight w:val="none"/>
                <w:u w:val="none"/>
              </w:rPr>
            </w:pPr>
          </w:p>
        </w:tc>
        <w:tc>
          <w:tcPr>
            <w:tcW w:w="2263" w:type="dxa"/>
            <w:tcBorders>
              <w:top w:val="nil"/>
              <w:left w:val="nil"/>
              <w:bottom w:val="nil"/>
              <w:right w:val="nil"/>
            </w:tcBorders>
            <w:shd w:val="clear" w:color="auto" w:fill="auto"/>
            <w:vAlign w:val="center"/>
          </w:tcPr>
          <w:p w14:paraId="46F4C415">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34F751EB">
            <w:pPr>
              <w:rPr>
                <w:rFonts w:hint="eastAsia" w:ascii="宋体" w:hAnsi="宋体" w:eastAsia="宋体" w:cs="宋体"/>
                <w:i w:val="0"/>
                <w:iCs w:val="0"/>
                <w:color w:val="000000"/>
                <w:sz w:val="18"/>
                <w:szCs w:val="18"/>
                <w:highlight w:val="none"/>
                <w:u w:val="none"/>
              </w:rPr>
            </w:pPr>
          </w:p>
        </w:tc>
        <w:tc>
          <w:tcPr>
            <w:tcW w:w="1677" w:type="dxa"/>
            <w:tcBorders>
              <w:top w:val="nil"/>
              <w:left w:val="nil"/>
              <w:bottom w:val="nil"/>
              <w:right w:val="nil"/>
            </w:tcBorders>
            <w:shd w:val="clear" w:color="auto" w:fill="auto"/>
            <w:vAlign w:val="center"/>
          </w:tcPr>
          <w:p w14:paraId="72FFAAAE">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2D259377">
            <w:pPr>
              <w:rPr>
                <w:rFonts w:hint="eastAsia" w:ascii="宋体" w:hAnsi="宋体" w:eastAsia="宋体" w:cs="宋体"/>
                <w:i w:val="0"/>
                <w:iCs w:val="0"/>
                <w:color w:val="000000"/>
                <w:sz w:val="18"/>
                <w:szCs w:val="18"/>
                <w:highlight w:val="none"/>
                <w:u w:val="none"/>
              </w:rPr>
            </w:pPr>
          </w:p>
        </w:tc>
        <w:tc>
          <w:tcPr>
            <w:tcW w:w="1091" w:type="dxa"/>
            <w:tcBorders>
              <w:top w:val="nil"/>
              <w:left w:val="nil"/>
              <w:bottom w:val="nil"/>
              <w:right w:val="nil"/>
            </w:tcBorders>
            <w:shd w:val="clear" w:color="auto" w:fill="auto"/>
            <w:vAlign w:val="center"/>
          </w:tcPr>
          <w:p w14:paraId="6D7B5AD1">
            <w:pPr>
              <w:rPr>
                <w:rFonts w:hint="eastAsia" w:ascii="宋体" w:hAnsi="宋体" w:eastAsia="宋体" w:cs="宋体"/>
                <w:i w:val="0"/>
                <w:iCs w:val="0"/>
                <w:color w:val="000000"/>
                <w:sz w:val="18"/>
                <w:szCs w:val="18"/>
                <w:highlight w:val="none"/>
                <w:u w:val="none"/>
              </w:rPr>
            </w:pPr>
          </w:p>
        </w:tc>
        <w:tc>
          <w:tcPr>
            <w:tcW w:w="504" w:type="dxa"/>
            <w:tcBorders>
              <w:top w:val="nil"/>
              <w:left w:val="nil"/>
              <w:bottom w:val="nil"/>
              <w:right w:val="nil"/>
            </w:tcBorders>
            <w:shd w:val="clear" w:color="auto" w:fill="auto"/>
            <w:vAlign w:val="center"/>
          </w:tcPr>
          <w:p w14:paraId="07EC9BA8">
            <w:pPr>
              <w:rPr>
                <w:rFonts w:hint="eastAsia" w:ascii="宋体" w:hAnsi="宋体" w:eastAsia="宋体" w:cs="宋体"/>
                <w:i w:val="0"/>
                <w:iCs w:val="0"/>
                <w:color w:val="000000"/>
                <w:sz w:val="18"/>
                <w:szCs w:val="18"/>
                <w:highlight w:val="none"/>
                <w:u w:val="none"/>
              </w:rPr>
            </w:pPr>
          </w:p>
        </w:tc>
        <w:tc>
          <w:tcPr>
            <w:tcW w:w="456" w:type="dxa"/>
            <w:tcBorders>
              <w:top w:val="nil"/>
              <w:left w:val="nil"/>
              <w:bottom w:val="nil"/>
              <w:right w:val="nil"/>
            </w:tcBorders>
            <w:shd w:val="clear" w:color="auto" w:fill="auto"/>
            <w:vAlign w:val="center"/>
          </w:tcPr>
          <w:p w14:paraId="15B8925E">
            <w:pPr>
              <w:rPr>
                <w:rFonts w:hint="eastAsia" w:ascii="宋体" w:hAnsi="宋体" w:eastAsia="宋体" w:cs="宋体"/>
                <w:i w:val="0"/>
                <w:iCs w:val="0"/>
                <w:color w:val="000000"/>
                <w:sz w:val="18"/>
                <w:szCs w:val="18"/>
                <w:highlight w:val="none"/>
                <w:u w:val="none"/>
              </w:rPr>
            </w:pPr>
          </w:p>
        </w:tc>
        <w:tc>
          <w:tcPr>
            <w:tcW w:w="2557" w:type="dxa"/>
            <w:tcBorders>
              <w:top w:val="nil"/>
              <w:left w:val="nil"/>
              <w:bottom w:val="nil"/>
              <w:right w:val="nil"/>
            </w:tcBorders>
            <w:shd w:val="clear" w:color="auto" w:fill="auto"/>
            <w:vAlign w:val="center"/>
          </w:tcPr>
          <w:p w14:paraId="1CAF44F7">
            <w:pPr>
              <w:rPr>
                <w:rFonts w:hint="eastAsia" w:ascii="宋体" w:hAnsi="宋体" w:eastAsia="宋体" w:cs="宋体"/>
                <w:i w:val="0"/>
                <w:iCs w:val="0"/>
                <w:color w:val="000000"/>
                <w:sz w:val="18"/>
                <w:szCs w:val="18"/>
                <w:highlight w:val="none"/>
                <w:u w:val="none"/>
              </w:rPr>
            </w:pPr>
          </w:p>
        </w:tc>
      </w:tr>
      <w:tr w14:paraId="0D204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B1BE358">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6FFBC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878D7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540972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51320025T000012613823-对外交流合作中心工作经费</w:t>
            </w:r>
          </w:p>
        </w:tc>
      </w:tr>
      <w:tr w14:paraId="7A2AA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F18D0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AA444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州商务局部门</w:t>
            </w:r>
          </w:p>
        </w:tc>
        <w:tc>
          <w:tcPr>
            <w:tcW w:w="1091" w:type="dxa"/>
            <w:tcBorders>
              <w:top w:val="nil"/>
              <w:left w:val="nil"/>
              <w:bottom w:val="nil"/>
              <w:right w:val="nil"/>
            </w:tcBorders>
            <w:shd w:val="clear" w:color="auto" w:fill="auto"/>
            <w:vAlign w:val="center"/>
          </w:tcPr>
          <w:p w14:paraId="40D24A52">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2DBB5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w:t>
            </w:r>
          </w:p>
        </w:tc>
      </w:tr>
      <w:tr w14:paraId="6F4AC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AB8CE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6DFB3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300CB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BB19CA">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7DB9A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65061">
            <w:pP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76AF8">
            <w:pPr>
              <w:rPr>
                <w:rFonts w:hint="eastAsia" w:ascii="宋体" w:hAnsi="宋体" w:eastAsia="宋体" w:cs="宋体"/>
                <w:i w:val="0"/>
                <w:iCs w:val="0"/>
                <w:color w:val="000000"/>
                <w:sz w:val="18"/>
                <w:szCs w:val="18"/>
                <w:highlight w:val="none"/>
                <w:u w:val="none"/>
              </w:rPr>
            </w:pP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FF201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通过在成都建立办公场所延伸工作触角，及时跟进项目，更好服务地方经济发展，2025年，力争实现招商引资到位资金110亿元以上。</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C45BAD">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办公场地已入驻</w:t>
            </w:r>
          </w:p>
        </w:tc>
      </w:tr>
      <w:tr w14:paraId="10B5D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DB231">
            <w:pP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8BA4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59C8F6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办公场地已入驻</w:t>
            </w:r>
          </w:p>
        </w:tc>
      </w:tr>
      <w:tr w14:paraId="55D5A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8B8B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BF7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B45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F27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F41A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355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B3D9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934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E75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3C0E3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79BD3">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DC5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402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40F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70.12</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EA5B7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70.12</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FDE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FBE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6F055">
            <w:pPr>
              <w:jc w:val="center"/>
              <w:rPr>
                <w:rFonts w:hint="eastAsia" w:ascii="宋体" w:hAnsi="宋体" w:eastAsia="宋体" w:cs="宋体"/>
                <w:i w:val="0"/>
                <w:iCs w:val="0"/>
                <w:color w:val="000000"/>
                <w:sz w:val="18"/>
                <w:szCs w:val="18"/>
                <w:highlight w:val="none"/>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A2BD6E">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2025年因机构改革，职能职责划转至州经济合作外事局，相关经费一并划转。</w:t>
            </w:r>
          </w:p>
        </w:tc>
      </w:tr>
      <w:tr w14:paraId="557AE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A3168">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9CD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7BD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596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70.12</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7774A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70.12</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31BA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1A9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A99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DF66F">
            <w:pPr>
              <w:rPr>
                <w:rFonts w:hint="eastAsia" w:ascii="黑体" w:hAnsi="黑体" w:eastAsia="黑体" w:cs="黑体"/>
                <w:i/>
                <w:iCs/>
                <w:color w:val="000000"/>
                <w:sz w:val="18"/>
                <w:szCs w:val="18"/>
                <w:highlight w:val="none"/>
                <w:u w:val="none"/>
              </w:rPr>
            </w:pPr>
          </w:p>
        </w:tc>
      </w:tr>
      <w:tr w14:paraId="7E11B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5811C">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DF8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11E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235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9FC09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D441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3426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D81C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B93A7">
            <w:pPr>
              <w:rPr>
                <w:rFonts w:hint="eastAsia" w:ascii="黑体" w:hAnsi="黑体" w:eastAsia="黑体" w:cs="黑体"/>
                <w:i/>
                <w:iCs/>
                <w:color w:val="000000"/>
                <w:sz w:val="18"/>
                <w:szCs w:val="18"/>
                <w:highlight w:val="none"/>
                <w:u w:val="none"/>
              </w:rPr>
            </w:pPr>
          </w:p>
        </w:tc>
      </w:tr>
      <w:tr w14:paraId="30C31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3ADAD">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EAA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96A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3DA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087A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18C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84B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341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71BA7">
            <w:pPr>
              <w:rPr>
                <w:rFonts w:hint="eastAsia" w:ascii="黑体" w:hAnsi="黑体" w:eastAsia="黑体" w:cs="黑体"/>
                <w:i/>
                <w:iCs/>
                <w:color w:val="000000"/>
                <w:sz w:val="18"/>
                <w:szCs w:val="18"/>
                <w:highlight w:val="none"/>
                <w:u w:val="none"/>
              </w:rPr>
            </w:pPr>
          </w:p>
        </w:tc>
      </w:tr>
      <w:tr w14:paraId="18877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E6BA6">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D1D1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89C44">
            <w:pPr>
              <w:jc w:val="center"/>
              <w:rPr>
                <w:rFonts w:hint="eastAsia" w:ascii="微软雅黑" w:hAnsi="微软雅黑" w:eastAsia="微软雅黑" w:cs="微软雅黑"/>
                <w:i/>
                <w:iCs/>
                <w:color w:val="000000"/>
                <w:sz w:val="16"/>
                <w:szCs w:val="16"/>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57E8C">
            <w:pPr>
              <w:jc w:val="center"/>
              <w:rPr>
                <w:rFonts w:hint="eastAsia" w:ascii="微软雅黑" w:hAnsi="微软雅黑" w:eastAsia="微软雅黑" w:cs="微软雅黑"/>
                <w:i/>
                <w:iCs/>
                <w:color w:val="000000"/>
                <w:sz w:val="16"/>
                <w:szCs w:val="16"/>
                <w:highlight w:val="none"/>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DDD8B5">
            <w:pPr>
              <w:jc w:val="center"/>
              <w:rPr>
                <w:rFonts w:hint="eastAsia" w:ascii="微软雅黑" w:hAnsi="微软雅黑" w:eastAsia="微软雅黑" w:cs="微软雅黑"/>
                <w:i/>
                <w:iCs/>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DC6A8">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8B9D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406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87D36">
            <w:pPr>
              <w:rPr>
                <w:rFonts w:hint="eastAsia" w:ascii="黑体" w:hAnsi="黑体" w:eastAsia="黑体" w:cs="黑体"/>
                <w:i/>
                <w:iCs/>
                <w:color w:val="000000"/>
                <w:sz w:val="18"/>
                <w:szCs w:val="18"/>
                <w:highlight w:val="none"/>
                <w:u w:val="none"/>
              </w:rPr>
            </w:pPr>
          </w:p>
        </w:tc>
      </w:tr>
      <w:tr w14:paraId="5DAF0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7E25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803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C6B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C1E7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51F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168A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0EB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AF8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720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810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C8A2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22985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29708">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370B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238B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68C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与企业座谈交流次数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70F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2F4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4B1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CB4E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4</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1AA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E09C3">
            <w:pPr>
              <w:jc w:val="center"/>
              <w:rPr>
                <w:rFonts w:hint="eastAsia" w:ascii="宋体" w:hAnsi="宋体" w:eastAsia="宋体" w:cs="宋体"/>
                <w:i w:val="0"/>
                <w:iCs w:val="0"/>
                <w:color w:val="000000"/>
                <w:sz w:val="18"/>
                <w:szCs w:val="18"/>
                <w:highlight w:val="none"/>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D6299">
            <w:pPr>
              <w:jc w:val="center"/>
              <w:rPr>
                <w:rFonts w:hint="eastAsia" w:ascii="微软雅黑" w:hAnsi="微软雅黑" w:eastAsia="微软雅黑" w:cs="微软雅黑"/>
                <w:i/>
                <w:iCs/>
                <w:color w:val="000000"/>
                <w:sz w:val="16"/>
                <w:szCs w:val="16"/>
                <w:highlight w:val="none"/>
                <w:u w:val="none"/>
              </w:rPr>
            </w:pPr>
          </w:p>
        </w:tc>
      </w:tr>
      <w:tr w14:paraId="5F1B3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F22A6">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1BAA5">
            <w:pPr>
              <w:jc w:val="center"/>
              <w:rPr>
                <w:rFonts w:hint="eastAsia" w:ascii="宋体" w:hAnsi="宋体" w:eastAsia="宋体" w:cs="宋体"/>
                <w:i w:val="0"/>
                <w:iCs w:val="0"/>
                <w:color w:val="000000"/>
                <w:sz w:val="18"/>
                <w:szCs w:val="18"/>
                <w:highlight w:val="none"/>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AE023">
            <w:pPr>
              <w:jc w:val="center"/>
              <w:rPr>
                <w:rFonts w:hint="eastAsia" w:ascii="宋体" w:hAnsi="宋体" w:eastAsia="宋体" w:cs="宋体"/>
                <w:i w:val="0"/>
                <w:iCs w:val="0"/>
                <w:color w:val="000000"/>
                <w:sz w:val="18"/>
                <w:szCs w:val="18"/>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D28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引进企业考察次数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D6CB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4F36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FBA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66DD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4</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0EC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0D8FD">
            <w:pPr>
              <w:jc w:val="center"/>
              <w:rPr>
                <w:rFonts w:hint="eastAsia" w:ascii="宋体" w:hAnsi="宋体" w:eastAsia="宋体" w:cs="宋体"/>
                <w:i w:val="0"/>
                <w:iCs w:val="0"/>
                <w:color w:val="000000"/>
                <w:sz w:val="18"/>
                <w:szCs w:val="18"/>
                <w:highlight w:val="none"/>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2E6C6">
            <w:pPr>
              <w:jc w:val="center"/>
              <w:rPr>
                <w:rFonts w:hint="eastAsia" w:ascii="微软雅黑" w:hAnsi="微软雅黑" w:eastAsia="微软雅黑" w:cs="微软雅黑"/>
                <w:i/>
                <w:iCs/>
                <w:color w:val="000000"/>
                <w:sz w:val="16"/>
                <w:szCs w:val="16"/>
                <w:highlight w:val="none"/>
                <w:u w:val="none"/>
              </w:rPr>
            </w:pPr>
          </w:p>
        </w:tc>
      </w:tr>
      <w:tr w14:paraId="42F04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7E588">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18896">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699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343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政策咨询准确率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8F46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E95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A552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39B3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7C47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D421C">
            <w:pPr>
              <w:jc w:val="center"/>
              <w:rPr>
                <w:rFonts w:hint="eastAsia" w:ascii="宋体" w:hAnsi="宋体" w:eastAsia="宋体" w:cs="宋体"/>
                <w:i w:val="0"/>
                <w:iCs w:val="0"/>
                <w:color w:val="000000"/>
                <w:sz w:val="18"/>
                <w:szCs w:val="18"/>
                <w:highlight w:val="none"/>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F01D4">
            <w:pPr>
              <w:jc w:val="center"/>
              <w:rPr>
                <w:rFonts w:hint="eastAsia" w:ascii="微软雅黑" w:hAnsi="微软雅黑" w:eastAsia="微软雅黑" w:cs="微软雅黑"/>
                <w:i/>
                <w:iCs/>
                <w:color w:val="000000"/>
                <w:sz w:val="16"/>
                <w:szCs w:val="16"/>
                <w:highlight w:val="none"/>
                <w:u w:val="none"/>
              </w:rPr>
            </w:pPr>
          </w:p>
        </w:tc>
      </w:tr>
      <w:tr w14:paraId="5CE6B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8BFA3">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F5099">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D7C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DCD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项目入驻时长</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B94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D30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863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月</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FA64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AAB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C5EB7">
            <w:pPr>
              <w:jc w:val="center"/>
              <w:rPr>
                <w:rFonts w:hint="eastAsia" w:ascii="宋体" w:hAnsi="宋体" w:eastAsia="宋体" w:cs="宋体"/>
                <w:i w:val="0"/>
                <w:iCs w:val="0"/>
                <w:color w:val="000000"/>
                <w:sz w:val="18"/>
                <w:szCs w:val="18"/>
                <w:highlight w:val="none"/>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C9D22">
            <w:pPr>
              <w:jc w:val="center"/>
              <w:rPr>
                <w:rFonts w:hint="eastAsia" w:ascii="微软雅黑" w:hAnsi="微软雅黑" w:eastAsia="微软雅黑" w:cs="微软雅黑"/>
                <w:i/>
                <w:iCs/>
                <w:color w:val="000000"/>
                <w:sz w:val="16"/>
                <w:szCs w:val="16"/>
                <w:highlight w:val="none"/>
                <w:u w:val="none"/>
              </w:rPr>
            </w:pPr>
          </w:p>
        </w:tc>
      </w:tr>
      <w:tr w14:paraId="6191D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902CE">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C572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F57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16DA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提供政策解答与企业咨询</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D12C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A1F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政策解答情况良好</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EC49F">
            <w:pPr>
              <w:jc w:val="center"/>
              <w:rPr>
                <w:rFonts w:hint="eastAsia" w:ascii="宋体" w:hAnsi="宋体" w:eastAsia="宋体" w:cs="宋体"/>
                <w:i w:val="0"/>
                <w:iCs w:val="0"/>
                <w:color w:val="000000"/>
                <w:sz w:val="18"/>
                <w:szCs w:val="18"/>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52BD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良好</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2917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F64B0">
            <w:pPr>
              <w:jc w:val="center"/>
              <w:rPr>
                <w:rFonts w:hint="eastAsia" w:ascii="宋体" w:hAnsi="宋体" w:eastAsia="宋体" w:cs="宋体"/>
                <w:i w:val="0"/>
                <w:iCs w:val="0"/>
                <w:color w:val="000000"/>
                <w:sz w:val="18"/>
                <w:szCs w:val="18"/>
                <w:highlight w:val="none"/>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6E069">
            <w:pPr>
              <w:jc w:val="center"/>
              <w:rPr>
                <w:rFonts w:hint="eastAsia" w:ascii="微软雅黑" w:hAnsi="微软雅黑" w:eastAsia="微软雅黑" w:cs="微软雅黑"/>
                <w:i/>
                <w:iCs/>
                <w:color w:val="000000"/>
                <w:sz w:val="16"/>
                <w:szCs w:val="16"/>
                <w:highlight w:val="none"/>
                <w:u w:val="none"/>
              </w:rPr>
            </w:pPr>
          </w:p>
        </w:tc>
      </w:tr>
      <w:tr w14:paraId="40DF6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9A606">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5E5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790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07B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企业满意度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4E54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49B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2CB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50AE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85</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2A3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D5E80">
            <w:pPr>
              <w:jc w:val="center"/>
              <w:rPr>
                <w:rFonts w:hint="eastAsia" w:ascii="宋体" w:hAnsi="宋体" w:eastAsia="宋体" w:cs="宋体"/>
                <w:i w:val="0"/>
                <w:iCs w:val="0"/>
                <w:color w:val="000000"/>
                <w:sz w:val="18"/>
                <w:szCs w:val="18"/>
                <w:highlight w:val="none"/>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26FE2">
            <w:pPr>
              <w:jc w:val="center"/>
              <w:rPr>
                <w:rFonts w:hint="eastAsia" w:ascii="微软雅黑" w:hAnsi="微软雅黑" w:eastAsia="微软雅黑" w:cs="微软雅黑"/>
                <w:i/>
                <w:iCs/>
                <w:color w:val="000000"/>
                <w:sz w:val="16"/>
                <w:szCs w:val="16"/>
                <w:highlight w:val="none"/>
                <w:u w:val="none"/>
              </w:rPr>
            </w:pPr>
          </w:p>
        </w:tc>
      </w:tr>
      <w:tr w14:paraId="2F2D06C3">
        <w:tblPrEx>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9EDC2">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B09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E22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FF0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预算控制金额</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2CE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A85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67A6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5D23C">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80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4660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2FD7D">
            <w:pPr>
              <w:jc w:val="center"/>
              <w:rPr>
                <w:rFonts w:hint="eastAsia" w:ascii="宋体" w:hAnsi="宋体" w:eastAsia="宋体" w:cs="宋体"/>
                <w:i w:val="0"/>
                <w:iCs w:val="0"/>
                <w:color w:val="000000"/>
                <w:sz w:val="18"/>
                <w:szCs w:val="18"/>
                <w:highlight w:val="none"/>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2FA26">
            <w:pPr>
              <w:jc w:val="center"/>
              <w:rPr>
                <w:rFonts w:hint="eastAsia" w:ascii="微软雅黑" w:hAnsi="微软雅黑" w:eastAsia="微软雅黑" w:cs="微软雅黑"/>
                <w:i/>
                <w:iCs/>
                <w:color w:val="000000"/>
                <w:sz w:val="16"/>
                <w:szCs w:val="16"/>
                <w:highlight w:val="none"/>
                <w:u w:val="none"/>
              </w:rPr>
            </w:pPr>
          </w:p>
        </w:tc>
      </w:tr>
      <w:tr w14:paraId="74E48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090038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7EB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C0C2E">
            <w:pPr>
              <w:rPr>
                <w:rFonts w:hint="eastAsia" w:ascii="宋体" w:hAnsi="宋体" w:eastAsia="宋体" w:cs="宋体"/>
                <w:i w:val="0"/>
                <w:iCs w:val="0"/>
                <w:color w:val="000000"/>
                <w:sz w:val="18"/>
                <w:szCs w:val="18"/>
                <w:highlight w:val="none"/>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E9EBA">
            <w:pPr>
              <w:rPr>
                <w:rFonts w:hint="eastAsia" w:ascii="宋体" w:hAnsi="宋体" w:eastAsia="宋体" w:cs="宋体"/>
                <w:i w:val="0"/>
                <w:iCs w:val="0"/>
                <w:color w:val="000000"/>
                <w:sz w:val="18"/>
                <w:szCs w:val="18"/>
                <w:highlight w:val="none"/>
                <w:u w:val="none"/>
              </w:rPr>
            </w:pPr>
          </w:p>
        </w:tc>
      </w:tr>
      <w:tr w14:paraId="50B87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D84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613C39">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该项目自评得分100分，上半年已拨付房租70.12万元，下半年因机构改革，职能职责划转至州经济合作外事局，相关经费一并划转。</w:t>
            </w:r>
          </w:p>
        </w:tc>
      </w:tr>
      <w:tr w14:paraId="25E4F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71E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7AEAC9">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08FD9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34C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2B229E">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2699C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2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32107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项目负责人：熊焕玉</w:t>
            </w:r>
          </w:p>
        </w:tc>
        <w:tc>
          <w:tcPr>
            <w:tcW w:w="68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6E6F2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财务负责人：顺云梅</w:t>
            </w:r>
          </w:p>
        </w:tc>
      </w:tr>
      <w:tr w14:paraId="24AC1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62C99C3B">
            <w:pPr>
              <w:rPr>
                <w:rFonts w:hint="eastAsia" w:ascii="宋体" w:hAnsi="宋体" w:eastAsia="宋体" w:cs="宋体"/>
                <w:i w:val="0"/>
                <w:iCs w:val="0"/>
                <w:color w:val="000000"/>
                <w:sz w:val="18"/>
                <w:szCs w:val="18"/>
                <w:highlight w:val="none"/>
                <w:u w:val="none"/>
              </w:rPr>
            </w:pPr>
          </w:p>
        </w:tc>
        <w:tc>
          <w:tcPr>
            <w:tcW w:w="2052" w:type="dxa"/>
            <w:tcBorders>
              <w:top w:val="nil"/>
              <w:left w:val="nil"/>
              <w:bottom w:val="nil"/>
              <w:right w:val="nil"/>
            </w:tcBorders>
            <w:shd w:val="clear" w:color="auto" w:fill="auto"/>
            <w:vAlign w:val="center"/>
          </w:tcPr>
          <w:p w14:paraId="4B07638C">
            <w:pPr>
              <w:rPr>
                <w:rFonts w:hint="eastAsia" w:ascii="宋体" w:hAnsi="宋体" w:eastAsia="宋体" w:cs="宋体"/>
                <w:i w:val="0"/>
                <w:iCs w:val="0"/>
                <w:color w:val="000000"/>
                <w:sz w:val="18"/>
                <w:szCs w:val="18"/>
                <w:highlight w:val="none"/>
                <w:u w:val="none"/>
              </w:rPr>
            </w:pPr>
          </w:p>
        </w:tc>
        <w:tc>
          <w:tcPr>
            <w:tcW w:w="1774" w:type="dxa"/>
            <w:tcBorders>
              <w:top w:val="nil"/>
              <w:left w:val="nil"/>
              <w:bottom w:val="nil"/>
              <w:right w:val="nil"/>
            </w:tcBorders>
            <w:shd w:val="clear" w:color="auto" w:fill="auto"/>
            <w:vAlign w:val="center"/>
          </w:tcPr>
          <w:p w14:paraId="4F00321C">
            <w:pPr>
              <w:rPr>
                <w:rFonts w:hint="eastAsia" w:ascii="宋体" w:hAnsi="宋体" w:eastAsia="宋体" w:cs="宋体"/>
                <w:i w:val="0"/>
                <w:iCs w:val="0"/>
                <w:color w:val="000000"/>
                <w:sz w:val="18"/>
                <w:szCs w:val="18"/>
                <w:highlight w:val="none"/>
                <w:u w:val="none"/>
              </w:rPr>
            </w:pPr>
          </w:p>
        </w:tc>
        <w:tc>
          <w:tcPr>
            <w:tcW w:w="2263" w:type="dxa"/>
            <w:tcBorders>
              <w:top w:val="nil"/>
              <w:left w:val="nil"/>
              <w:bottom w:val="nil"/>
              <w:right w:val="nil"/>
            </w:tcBorders>
            <w:shd w:val="clear" w:color="auto" w:fill="auto"/>
            <w:vAlign w:val="center"/>
          </w:tcPr>
          <w:p w14:paraId="5A4FF365">
            <w:pPr>
              <w:rPr>
                <w:rFonts w:hint="eastAsia" w:ascii="宋体" w:hAnsi="宋体" w:eastAsia="宋体" w:cs="宋体"/>
                <w:i w:val="0"/>
                <w:iCs w:val="0"/>
                <w:color w:val="000000"/>
                <w:sz w:val="18"/>
                <w:szCs w:val="18"/>
                <w:highlight w:val="none"/>
                <w:u w:val="none"/>
              </w:rPr>
            </w:pPr>
          </w:p>
          <w:p w14:paraId="759D9D5B">
            <w:pPr>
              <w:rPr>
                <w:rFonts w:hint="eastAsia" w:ascii="宋体" w:hAnsi="宋体" w:eastAsia="宋体" w:cs="宋体"/>
                <w:i w:val="0"/>
                <w:iCs w:val="0"/>
                <w:color w:val="000000"/>
                <w:sz w:val="18"/>
                <w:szCs w:val="18"/>
                <w:highlight w:val="none"/>
                <w:u w:val="none"/>
              </w:rPr>
            </w:pPr>
          </w:p>
          <w:p w14:paraId="46FD43E3">
            <w:pPr>
              <w:rPr>
                <w:rFonts w:hint="eastAsia" w:ascii="宋体" w:hAnsi="宋体" w:eastAsia="宋体" w:cs="宋体"/>
                <w:i w:val="0"/>
                <w:iCs w:val="0"/>
                <w:color w:val="000000"/>
                <w:sz w:val="18"/>
                <w:szCs w:val="18"/>
                <w:highlight w:val="none"/>
                <w:u w:val="none"/>
              </w:rPr>
            </w:pPr>
          </w:p>
          <w:p w14:paraId="329FFB93">
            <w:pPr>
              <w:rPr>
                <w:rFonts w:hint="eastAsia" w:ascii="宋体" w:hAnsi="宋体" w:eastAsia="宋体" w:cs="宋体"/>
                <w:i w:val="0"/>
                <w:iCs w:val="0"/>
                <w:color w:val="000000"/>
                <w:sz w:val="18"/>
                <w:szCs w:val="18"/>
                <w:highlight w:val="none"/>
                <w:u w:val="none"/>
              </w:rPr>
            </w:pPr>
          </w:p>
          <w:p w14:paraId="00D1EDD1">
            <w:pPr>
              <w:rPr>
                <w:rFonts w:hint="eastAsia" w:ascii="宋体" w:hAnsi="宋体" w:eastAsia="宋体" w:cs="宋体"/>
                <w:i w:val="0"/>
                <w:iCs w:val="0"/>
                <w:color w:val="000000"/>
                <w:sz w:val="18"/>
                <w:szCs w:val="18"/>
                <w:highlight w:val="none"/>
                <w:u w:val="none"/>
              </w:rPr>
            </w:pPr>
          </w:p>
          <w:p w14:paraId="22D77B6C">
            <w:pPr>
              <w:rPr>
                <w:rFonts w:hint="eastAsia" w:ascii="宋体" w:hAnsi="宋体" w:eastAsia="宋体" w:cs="宋体"/>
                <w:i w:val="0"/>
                <w:iCs w:val="0"/>
                <w:color w:val="000000"/>
                <w:sz w:val="18"/>
                <w:szCs w:val="18"/>
                <w:highlight w:val="none"/>
                <w:u w:val="none"/>
              </w:rPr>
            </w:pPr>
          </w:p>
          <w:p w14:paraId="2D7B1B5F">
            <w:pPr>
              <w:rPr>
                <w:rFonts w:hint="eastAsia" w:ascii="宋体" w:hAnsi="宋体" w:eastAsia="宋体" w:cs="宋体"/>
                <w:i w:val="0"/>
                <w:iCs w:val="0"/>
                <w:color w:val="000000"/>
                <w:sz w:val="18"/>
                <w:szCs w:val="18"/>
                <w:highlight w:val="none"/>
                <w:u w:val="none"/>
              </w:rPr>
            </w:pPr>
          </w:p>
          <w:p w14:paraId="1E7C1404">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69657718">
            <w:pPr>
              <w:rPr>
                <w:rFonts w:hint="eastAsia" w:ascii="宋体" w:hAnsi="宋体" w:eastAsia="宋体" w:cs="宋体"/>
                <w:i w:val="0"/>
                <w:iCs w:val="0"/>
                <w:color w:val="000000"/>
                <w:sz w:val="18"/>
                <w:szCs w:val="18"/>
                <w:highlight w:val="none"/>
                <w:u w:val="none"/>
              </w:rPr>
            </w:pPr>
          </w:p>
        </w:tc>
        <w:tc>
          <w:tcPr>
            <w:tcW w:w="1677" w:type="dxa"/>
            <w:tcBorders>
              <w:top w:val="nil"/>
              <w:left w:val="nil"/>
              <w:bottom w:val="nil"/>
              <w:right w:val="nil"/>
            </w:tcBorders>
            <w:shd w:val="clear" w:color="auto" w:fill="auto"/>
            <w:vAlign w:val="center"/>
          </w:tcPr>
          <w:p w14:paraId="52DF142F">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40884522">
            <w:pPr>
              <w:rPr>
                <w:rFonts w:hint="eastAsia" w:ascii="宋体" w:hAnsi="宋体" w:eastAsia="宋体" w:cs="宋体"/>
                <w:i w:val="0"/>
                <w:iCs w:val="0"/>
                <w:color w:val="000000"/>
                <w:sz w:val="18"/>
                <w:szCs w:val="18"/>
                <w:highlight w:val="none"/>
                <w:u w:val="none"/>
              </w:rPr>
            </w:pPr>
          </w:p>
        </w:tc>
        <w:tc>
          <w:tcPr>
            <w:tcW w:w="1091" w:type="dxa"/>
            <w:tcBorders>
              <w:top w:val="nil"/>
              <w:left w:val="nil"/>
              <w:bottom w:val="nil"/>
              <w:right w:val="nil"/>
            </w:tcBorders>
            <w:shd w:val="clear" w:color="auto" w:fill="auto"/>
            <w:vAlign w:val="center"/>
          </w:tcPr>
          <w:p w14:paraId="6F0CD84A">
            <w:pPr>
              <w:rPr>
                <w:rFonts w:hint="eastAsia" w:ascii="宋体" w:hAnsi="宋体" w:eastAsia="宋体" w:cs="宋体"/>
                <w:i w:val="0"/>
                <w:iCs w:val="0"/>
                <w:color w:val="000000"/>
                <w:sz w:val="18"/>
                <w:szCs w:val="18"/>
                <w:highlight w:val="none"/>
                <w:u w:val="none"/>
              </w:rPr>
            </w:pPr>
          </w:p>
        </w:tc>
        <w:tc>
          <w:tcPr>
            <w:tcW w:w="504" w:type="dxa"/>
            <w:tcBorders>
              <w:top w:val="nil"/>
              <w:left w:val="nil"/>
              <w:bottom w:val="nil"/>
              <w:right w:val="nil"/>
            </w:tcBorders>
            <w:shd w:val="clear" w:color="auto" w:fill="auto"/>
            <w:vAlign w:val="center"/>
          </w:tcPr>
          <w:p w14:paraId="7549F353">
            <w:pPr>
              <w:rPr>
                <w:rFonts w:hint="eastAsia" w:ascii="宋体" w:hAnsi="宋体" w:eastAsia="宋体" w:cs="宋体"/>
                <w:i w:val="0"/>
                <w:iCs w:val="0"/>
                <w:color w:val="000000"/>
                <w:sz w:val="18"/>
                <w:szCs w:val="18"/>
                <w:highlight w:val="none"/>
                <w:u w:val="none"/>
              </w:rPr>
            </w:pPr>
          </w:p>
        </w:tc>
        <w:tc>
          <w:tcPr>
            <w:tcW w:w="456" w:type="dxa"/>
            <w:tcBorders>
              <w:top w:val="nil"/>
              <w:left w:val="nil"/>
              <w:bottom w:val="nil"/>
              <w:right w:val="nil"/>
            </w:tcBorders>
            <w:shd w:val="clear" w:color="auto" w:fill="auto"/>
            <w:vAlign w:val="center"/>
          </w:tcPr>
          <w:p w14:paraId="3EC80670">
            <w:pPr>
              <w:rPr>
                <w:rFonts w:hint="eastAsia" w:ascii="宋体" w:hAnsi="宋体" w:eastAsia="宋体" w:cs="宋体"/>
                <w:i w:val="0"/>
                <w:iCs w:val="0"/>
                <w:color w:val="000000"/>
                <w:sz w:val="18"/>
                <w:szCs w:val="18"/>
                <w:highlight w:val="none"/>
                <w:u w:val="none"/>
              </w:rPr>
            </w:pPr>
          </w:p>
        </w:tc>
        <w:tc>
          <w:tcPr>
            <w:tcW w:w="2557" w:type="dxa"/>
            <w:tcBorders>
              <w:top w:val="nil"/>
              <w:left w:val="nil"/>
              <w:bottom w:val="nil"/>
              <w:right w:val="nil"/>
            </w:tcBorders>
            <w:shd w:val="clear" w:color="auto" w:fill="auto"/>
            <w:vAlign w:val="center"/>
          </w:tcPr>
          <w:p w14:paraId="6F7F9195">
            <w:pPr>
              <w:rPr>
                <w:rFonts w:hint="eastAsia" w:ascii="宋体" w:hAnsi="宋体" w:eastAsia="宋体" w:cs="宋体"/>
                <w:i w:val="0"/>
                <w:iCs w:val="0"/>
                <w:color w:val="000000"/>
                <w:sz w:val="18"/>
                <w:szCs w:val="18"/>
                <w:highlight w:val="none"/>
                <w:u w:val="none"/>
              </w:rPr>
            </w:pPr>
          </w:p>
        </w:tc>
      </w:tr>
      <w:tr w14:paraId="5BC59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6CB346C">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1C4E1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9AE64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8A1EF9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51320025T000013635049-参加第二十届西部国际博览会阿坝州活动经费</w:t>
            </w:r>
          </w:p>
        </w:tc>
      </w:tr>
      <w:tr w14:paraId="23569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937C9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725E8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州商务局部门</w:t>
            </w:r>
          </w:p>
        </w:tc>
        <w:tc>
          <w:tcPr>
            <w:tcW w:w="1091" w:type="dxa"/>
            <w:tcBorders>
              <w:top w:val="nil"/>
              <w:left w:val="nil"/>
              <w:bottom w:val="nil"/>
              <w:right w:val="nil"/>
            </w:tcBorders>
            <w:shd w:val="clear" w:color="auto" w:fill="auto"/>
            <w:vAlign w:val="center"/>
          </w:tcPr>
          <w:p w14:paraId="477457EC">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A5C8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w:t>
            </w:r>
          </w:p>
        </w:tc>
      </w:tr>
      <w:tr w14:paraId="68110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41EB1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D1D1B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B063C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D0611B">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5DE43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FF715">
            <w:pP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C357A">
            <w:pPr>
              <w:rPr>
                <w:rFonts w:hint="eastAsia" w:ascii="宋体" w:hAnsi="宋体" w:eastAsia="宋体" w:cs="宋体"/>
                <w:i w:val="0"/>
                <w:iCs w:val="0"/>
                <w:color w:val="000000"/>
                <w:sz w:val="18"/>
                <w:szCs w:val="18"/>
                <w:highlight w:val="none"/>
                <w:u w:val="none"/>
              </w:rPr>
            </w:pP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C8C61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通过参展布展，充分展示我州产业发展成果、资源优势和发展潜力。通过举办投资合作推介会，架起我州与外界经济合作和交流的桥梁，让国内外客商了解阿坝、走进阿坝、投资阿坝，对支持我州经济社会高质量发展具有重要意义。</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533BD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第二十届中国西部国际博览会（以下简称“西博会”）于2025年5月25日至29日在成都西博城举行，我州以“天下九寨沟·大美阿坝州”为主题开展综合展览展示，举办了第二十届西博会“天下九寨沟·大美阿坝州”投资合作推介会暨项目签约仪式、第11届成都-阿坝农商互联联保联供对接活动等，参会参展工作取得圆满成功。</w:t>
            </w:r>
          </w:p>
        </w:tc>
      </w:tr>
      <w:tr w14:paraId="021B5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C9D25">
            <w:pP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DA3E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8873C6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项目实施过程中严格控制预算，相关采购严格按政府采购要求执行。</w:t>
            </w:r>
          </w:p>
        </w:tc>
      </w:tr>
      <w:tr w14:paraId="18542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CFCF5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3F9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3B0C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D29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5BC8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780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90A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A59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33F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53EB1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E7F81">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096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296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2ACF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518.27</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B06B0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518.27</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9D3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F56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5FA87">
            <w:pPr>
              <w:jc w:val="center"/>
              <w:rPr>
                <w:rFonts w:hint="eastAsia" w:ascii="宋体" w:hAnsi="宋体" w:eastAsia="宋体" w:cs="宋体"/>
                <w:i w:val="0"/>
                <w:iCs w:val="0"/>
                <w:color w:val="000000"/>
                <w:sz w:val="18"/>
                <w:szCs w:val="18"/>
                <w:highlight w:val="none"/>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775BE2">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7454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20265">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F573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C74C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8DC6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518.27</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C44B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518.27</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10B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5C3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528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ECFD2">
            <w:pPr>
              <w:rPr>
                <w:rFonts w:hint="eastAsia" w:ascii="黑体" w:hAnsi="黑体" w:eastAsia="黑体" w:cs="黑体"/>
                <w:i/>
                <w:iCs/>
                <w:color w:val="000000"/>
                <w:sz w:val="18"/>
                <w:szCs w:val="18"/>
                <w:highlight w:val="none"/>
                <w:u w:val="none"/>
              </w:rPr>
            </w:pPr>
          </w:p>
        </w:tc>
      </w:tr>
      <w:tr w14:paraId="4D742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BF2EB">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203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C48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C47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CD59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A57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040D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4B1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B73F6">
            <w:pPr>
              <w:rPr>
                <w:rFonts w:hint="eastAsia" w:ascii="黑体" w:hAnsi="黑体" w:eastAsia="黑体" w:cs="黑体"/>
                <w:i/>
                <w:iCs/>
                <w:color w:val="000000"/>
                <w:sz w:val="18"/>
                <w:szCs w:val="18"/>
                <w:highlight w:val="none"/>
                <w:u w:val="none"/>
              </w:rPr>
            </w:pPr>
          </w:p>
        </w:tc>
      </w:tr>
      <w:tr w14:paraId="54332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FB49A0">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5DC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F35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F6AD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0824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B40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6B0C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E545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3BB7C">
            <w:pPr>
              <w:rPr>
                <w:rFonts w:hint="eastAsia" w:ascii="黑体" w:hAnsi="黑体" w:eastAsia="黑体" w:cs="黑体"/>
                <w:i/>
                <w:iCs/>
                <w:color w:val="000000"/>
                <w:sz w:val="18"/>
                <w:szCs w:val="18"/>
                <w:highlight w:val="none"/>
                <w:u w:val="none"/>
              </w:rPr>
            </w:pPr>
          </w:p>
        </w:tc>
      </w:tr>
      <w:tr w14:paraId="5D4F5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C94C5">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242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0B9E5">
            <w:pPr>
              <w:jc w:val="center"/>
              <w:rPr>
                <w:rFonts w:hint="eastAsia" w:ascii="微软雅黑" w:hAnsi="微软雅黑" w:eastAsia="微软雅黑" w:cs="微软雅黑"/>
                <w:i/>
                <w:iCs/>
                <w:color w:val="000000"/>
                <w:sz w:val="16"/>
                <w:szCs w:val="16"/>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F5356">
            <w:pPr>
              <w:jc w:val="center"/>
              <w:rPr>
                <w:rFonts w:hint="eastAsia" w:ascii="微软雅黑" w:hAnsi="微软雅黑" w:eastAsia="微软雅黑" w:cs="微软雅黑"/>
                <w:i/>
                <w:iCs/>
                <w:color w:val="000000"/>
                <w:sz w:val="16"/>
                <w:szCs w:val="16"/>
                <w:highlight w:val="none"/>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11B0F2">
            <w:pPr>
              <w:jc w:val="center"/>
              <w:rPr>
                <w:rFonts w:hint="eastAsia" w:ascii="微软雅黑" w:hAnsi="微软雅黑" w:eastAsia="微软雅黑" w:cs="微软雅黑"/>
                <w:i/>
                <w:iCs/>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8DCFC">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716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D0E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8BA48">
            <w:pPr>
              <w:rPr>
                <w:rFonts w:hint="eastAsia" w:ascii="黑体" w:hAnsi="黑体" w:eastAsia="黑体" w:cs="黑体"/>
                <w:i/>
                <w:iCs/>
                <w:color w:val="000000"/>
                <w:sz w:val="18"/>
                <w:szCs w:val="18"/>
                <w:highlight w:val="none"/>
                <w:u w:val="none"/>
              </w:rPr>
            </w:pPr>
          </w:p>
        </w:tc>
      </w:tr>
      <w:tr w14:paraId="0E123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5EF8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C6E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F36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E7B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354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8A8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BA7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5FF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D46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268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4A0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74C9C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8FDED">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8FE6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E08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CA5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推介会举办次数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856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523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992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DD377">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801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4F355">
            <w:pPr>
              <w:jc w:val="center"/>
              <w:rPr>
                <w:rFonts w:hint="eastAsia" w:ascii="宋体" w:hAnsi="宋体" w:eastAsia="宋体" w:cs="宋体"/>
                <w:i w:val="0"/>
                <w:iCs w:val="0"/>
                <w:color w:val="000000"/>
                <w:sz w:val="18"/>
                <w:szCs w:val="18"/>
                <w:highlight w:val="none"/>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DE9CB">
            <w:pPr>
              <w:jc w:val="center"/>
              <w:rPr>
                <w:rFonts w:hint="eastAsia" w:ascii="微软雅黑" w:hAnsi="微软雅黑" w:eastAsia="微软雅黑" w:cs="微软雅黑"/>
                <w:i/>
                <w:iCs/>
                <w:color w:val="000000"/>
                <w:sz w:val="16"/>
                <w:szCs w:val="16"/>
                <w:highlight w:val="none"/>
                <w:u w:val="none"/>
              </w:rPr>
            </w:pPr>
          </w:p>
        </w:tc>
      </w:tr>
      <w:tr w14:paraId="14B46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F4652">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81752">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AC9E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A26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活动按时完成率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554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A2C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44F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13441">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3FD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71ACE">
            <w:pPr>
              <w:jc w:val="center"/>
              <w:rPr>
                <w:rFonts w:hint="eastAsia" w:ascii="宋体" w:hAnsi="宋体" w:eastAsia="宋体" w:cs="宋体"/>
                <w:i w:val="0"/>
                <w:iCs w:val="0"/>
                <w:color w:val="000000"/>
                <w:sz w:val="18"/>
                <w:szCs w:val="18"/>
                <w:highlight w:val="none"/>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6F378">
            <w:pPr>
              <w:jc w:val="center"/>
              <w:rPr>
                <w:rFonts w:hint="eastAsia" w:ascii="微软雅黑" w:hAnsi="微软雅黑" w:eastAsia="微软雅黑" w:cs="微软雅黑"/>
                <w:i/>
                <w:iCs/>
                <w:color w:val="000000"/>
                <w:sz w:val="16"/>
                <w:szCs w:val="16"/>
                <w:highlight w:val="none"/>
                <w:u w:val="none"/>
              </w:rPr>
            </w:pPr>
          </w:p>
        </w:tc>
      </w:tr>
      <w:tr w14:paraId="7474E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E95E1">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E5D5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D41B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C3A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扩大对外交流合作，助推我州经济发展</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EC6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7166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优</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5B25B">
            <w:pPr>
              <w:jc w:val="center"/>
              <w:rPr>
                <w:rFonts w:hint="eastAsia" w:ascii="宋体" w:hAnsi="宋体" w:eastAsia="宋体" w:cs="宋体"/>
                <w:i w:val="0"/>
                <w:iCs w:val="0"/>
                <w:color w:val="000000"/>
                <w:sz w:val="18"/>
                <w:szCs w:val="18"/>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59353">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75F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A746B">
            <w:pPr>
              <w:jc w:val="center"/>
              <w:rPr>
                <w:rFonts w:hint="eastAsia" w:ascii="宋体" w:hAnsi="宋体" w:eastAsia="宋体" w:cs="宋体"/>
                <w:i w:val="0"/>
                <w:iCs w:val="0"/>
                <w:color w:val="000000"/>
                <w:sz w:val="18"/>
                <w:szCs w:val="18"/>
                <w:highlight w:val="none"/>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4F8F0">
            <w:pPr>
              <w:jc w:val="center"/>
              <w:rPr>
                <w:rFonts w:hint="eastAsia" w:ascii="微软雅黑" w:hAnsi="微软雅黑" w:eastAsia="微软雅黑" w:cs="微软雅黑"/>
                <w:i/>
                <w:iCs/>
                <w:color w:val="000000"/>
                <w:sz w:val="16"/>
                <w:szCs w:val="16"/>
                <w:highlight w:val="none"/>
                <w:u w:val="none"/>
              </w:rPr>
            </w:pPr>
          </w:p>
        </w:tc>
      </w:tr>
      <w:tr w14:paraId="2B75C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DD6B5">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63786">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E8B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39B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宣传阿坝州，吸引客商投资阿坝州</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A73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A01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优</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54B41">
            <w:pPr>
              <w:jc w:val="center"/>
              <w:rPr>
                <w:rFonts w:hint="eastAsia" w:ascii="宋体" w:hAnsi="宋体" w:eastAsia="宋体" w:cs="宋体"/>
                <w:i w:val="0"/>
                <w:iCs w:val="0"/>
                <w:color w:val="000000"/>
                <w:sz w:val="18"/>
                <w:szCs w:val="18"/>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D8F52">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BC6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F7796">
            <w:pPr>
              <w:jc w:val="center"/>
              <w:rPr>
                <w:rFonts w:hint="eastAsia" w:ascii="宋体" w:hAnsi="宋体" w:eastAsia="宋体" w:cs="宋体"/>
                <w:i w:val="0"/>
                <w:iCs w:val="0"/>
                <w:color w:val="000000"/>
                <w:sz w:val="18"/>
                <w:szCs w:val="18"/>
                <w:highlight w:val="none"/>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83F82">
            <w:pPr>
              <w:jc w:val="center"/>
              <w:rPr>
                <w:rFonts w:hint="eastAsia" w:ascii="微软雅黑" w:hAnsi="微软雅黑" w:eastAsia="微软雅黑" w:cs="微软雅黑"/>
                <w:i/>
                <w:iCs/>
                <w:color w:val="000000"/>
                <w:sz w:val="16"/>
                <w:szCs w:val="16"/>
                <w:highlight w:val="none"/>
                <w:u w:val="none"/>
              </w:rPr>
            </w:pPr>
          </w:p>
        </w:tc>
      </w:tr>
      <w:tr w14:paraId="74575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E4D4F">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D1839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1F99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F37E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参会参展企业满意度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906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322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BDA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D2B47">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D366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0F9C5">
            <w:pPr>
              <w:jc w:val="center"/>
              <w:rPr>
                <w:rFonts w:hint="eastAsia" w:ascii="宋体" w:hAnsi="宋体" w:eastAsia="宋体" w:cs="宋体"/>
                <w:i w:val="0"/>
                <w:iCs w:val="0"/>
                <w:color w:val="000000"/>
                <w:sz w:val="18"/>
                <w:szCs w:val="18"/>
                <w:highlight w:val="none"/>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8D2FB">
            <w:pPr>
              <w:jc w:val="center"/>
              <w:rPr>
                <w:rFonts w:hint="eastAsia" w:ascii="微软雅黑" w:hAnsi="微软雅黑" w:eastAsia="微软雅黑" w:cs="微软雅黑"/>
                <w:i/>
                <w:iCs/>
                <w:color w:val="000000"/>
                <w:sz w:val="16"/>
                <w:szCs w:val="16"/>
                <w:highlight w:val="none"/>
                <w:u w:val="none"/>
              </w:rPr>
            </w:pPr>
          </w:p>
        </w:tc>
      </w:tr>
      <w:tr w14:paraId="5883D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BB3D0">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AE12B">
            <w:pPr>
              <w:jc w:val="center"/>
              <w:rPr>
                <w:rFonts w:hint="eastAsia" w:ascii="宋体" w:hAnsi="宋体" w:eastAsia="宋体" w:cs="宋体"/>
                <w:i w:val="0"/>
                <w:iCs w:val="0"/>
                <w:color w:val="000000"/>
                <w:sz w:val="18"/>
                <w:szCs w:val="18"/>
                <w:highlight w:val="none"/>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C153D">
            <w:pPr>
              <w:jc w:val="center"/>
              <w:rPr>
                <w:rFonts w:hint="eastAsia" w:ascii="宋体" w:hAnsi="宋体" w:eastAsia="宋体" w:cs="宋体"/>
                <w:i w:val="0"/>
                <w:iCs w:val="0"/>
                <w:color w:val="000000"/>
                <w:sz w:val="18"/>
                <w:szCs w:val="18"/>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0DE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客商满意度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2C6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C13A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D4E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740F0">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1E0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9295C">
            <w:pPr>
              <w:jc w:val="center"/>
              <w:rPr>
                <w:rFonts w:hint="eastAsia" w:ascii="宋体" w:hAnsi="宋体" w:eastAsia="宋体" w:cs="宋体"/>
                <w:i w:val="0"/>
                <w:iCs w:val="0"/>
                <w:color w:val="000000"/>
                <w:sz w:val="18"/>
                <w:szCs w:val="18"/>
                <w:highlight w:val="none"/>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37402">
            <w:pPr>
              <w:jc w:val="center"/>
              <w:rPr>
                <w:rFonts w:hint="eastAsia" w:ascii="微软雅黑" w:hAnsi="微软雅黑" w:eastAsia="微软雅黑" w:cs="微软雅黑"/>
                <w:i/>
                <w:iCs/>
                <w:color w:val="000000"/>
                <w:sz w:val="16"/>
                <w:szCs w:val="16"/>
                <w:highlight w:val="none"/>
                <w:u w:val="none"/>
              </w:rPr>
            </w:pPr>
          </w:p>
        </w:tc>
      </w:tr>
      <w:tr w14:paraId="16B28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2F51A">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605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5C4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915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控制预算</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450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5BBE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572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C04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8E5A0">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9AB8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B7044">
            <w:pPr>
              <w:jc w:val="center"/>
              <w:rPr>
                <w:rFonts w:hint="eastAsia" w:ascii="宋体" w:hAnsi="宋体" w:eastAsia="宋体" w:cs="宋体"/>
                <w:i w:val="0"/>
                <w:iCs w:val="0"/>
                <w:color w:val="000000"/>
                <w:sz w:val="18"/>
                <w:szCs w:val="18"/>
                <w:highlight w:val="none"/>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E7CCE">
            <w:pPr>
              <w:jc w:val="center"/>
              <w:rPr>
                <w:rFonts w:hint="eastAsia" w:ascii="微软雅黑" w:hAnsi="微软雅黑" w:eastAsia="微软雅黑" w:cs="微软雅黑"/>
                <w:i/>
                <w:iCs/>
                <w:color w:val="000000"/>
                <w:sz w:val="16"/>
                <w:szCs w:val="16"/>
                <w:highlight w:val="none"/>
                <w:u w:val="none"/>
              </w:rPr>
            </w:pPr>
          </w:p>
        </w:tc>
      </w:tr>
      <w:tr w14:paraId="5AC72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0F6AD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E57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316C6">
            <w:pPr>
              <w:rPr>
                <w:rFonts w:hint="eastAsia" w:ascii="宋体" w:hAnsi="宋体" w:eastAsia="宋体" w:cs="宋体"/>
                <w:i w:val="0"/>
                <w:iCs w:val="0"/>
                <w:color w:val="000000"/>
                <w:sz w:val="18"/>
                <w:szCs w:val="18"/>
                <w:highlight w:val="none"/>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46677">
            <w:pPr>
              <w:rPr>
                <w:rFonts w:hint="eastAsia" w:ascii="宋体" w:hAnsi="宋体" w:eastAsia="宋体" w:cs="宋体"/>
                <w:i w:val="0"/>
                <w:iCs w:val="0"/>
                <w:color w:val="000000"/>
                <w:sz w:val="18"/>
                <w:szCs w:val="18"/>
                <w:highlight w:val="none"/>
                <w:u w:val="none"/>
              </w:rPr>
            </w:pPr>
          </w:p>
        </w:tc>
      </w:tr>
      <w:tr w14:paraId="40AED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0"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D88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45723C">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Style w:val="38"/>
                <w:highlight w:val="none"/>
                <w:lang w:val="en-US" w:eastAsia="zh-CN" w:bidi="ar"/>
              </w:rPr>
              <w:t>项目自评得分100分，成功举办第二十届西博会“天下九寨沟·大美阿坝州”投资合作推介会暨项目签约仪式，签订了商业综合体等产业领域项目21个，协议引资额138亿元，四川省低空经济智算中心（一期）项目在中国西部投资说明会暨经济合作项目签约仪式上成功签约，协议引资总额13.8亿元，茂县新能源高端装备制造（一期）项目纳入省级签约活动成果统计，较上届西博会相比实现省级平台签约项目“零突破”。西博会期间，阿坝州综合展馆参展企业实现销售额152.3万元，较上届西博会（53.7万元）增长183.6%，达成意向购销合作58个。借西博会平台，我局与成都、德阳、眉山、资阳商务局五地联动，在成都开展“四川好物</w:t>
            </w:r>
            <w:r>
              <w:rPr>
                <w:rStyle w:val="39"/>
                <w:rFonts w:eastAsia="微软雅黑"/>
                <w:highlight w:val="none"/>
                <w:lang w:val="en-US" w:eastAsia="zh-CN" w:bidi="ar"/>
              </w:rPr>
              <w:t> </w:t>
            </w:r>
            <w:r>
              <w:rPr>
                <w:rStyle w:val="38"/>
                <w:highlight w:val="none"/>
                <w:lang w:val="en-US" w:eastAsia="zh-CN" w:bidi="ar"/>
              </w:rPr>
              <w:t>联动出川”系列活动，60余家成德眉资和我州企业参加，活动通过走进西博会阿坝展馆现场选品、企业推介和座谈交流、实地考察供应链企业等形式开展，第11届成都-阿坝农商互联联保联供对接活动同步举行，达成购销合作协议5个，协议金额1.1亿元，涵盖牦牛肉制品、牦牛乳系列产品、高原果蔬等。</w:t>
            </w:r>
          </w:p>
        </w:tc>
      </w:tr>
      <w:tr w14:paraId="79F2D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8752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5711983">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4ECD8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CE00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576A1C2">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53FD4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2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BAF2E3">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项目负责人：柯正刚</w:t>
            </w:r>
          </w:p>
        </w:tc>
        <w:tc>
          <w:tcPr>
            <w:tcW w:w="68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3AA4F3">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财务负责人：顺云梅</w:t>
            </w:r>
          </w:p>
        </w:tc>
      </w:tr>
      <w:tr w14:paraId="7E7E6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39E0C948">
            <w:pPr>
              <w:rPr>
                <w:rFonts w:hint="eastAsia" w:ascii="宋体" w:hAnsi="宋体" w:eastAsia="宋体" w:cs="宋体"/>
                <w:i w:val="0"/>
                <w:iCs w:val="0"/>
                <w:color w:val="000000"/>
                <w:sz w:val="18"/>
                <w:szCs w:val="18"/>
                <w:highlight w:val="none"/>
                <w:u w:val="none"/>
              </w:rPr>
            </w:pPr>
          </w:p>
        </w:tc>
        <w:tc>
          <w:tcPr>
            <w:tcW w:w="2052" w:type="dxa"/>
            <w:tcBorders>
              <w:top w:val="nil"/>
              <w:left w:val="nil"/>
              <w:bottom w:val="nil"/>
              <w:right w:val="nil"/>
            </w:tcBorders>
            <w:shd w:val="clear" w:color="auto" w:fill="auto"/>
            <w:vAlign w:val="center"/>
          </w:tcPr>
          <w:p w14:paraId="612341FB">
            <w:pPr>
              <w:rPr>
                <w:rFonts w:hint="eastAsia" w:ascii="宋体" w:hAnsi="宋体" w:eastAsia="宋体" w:cs="宋体"/>
                <w:i w:val="0"/>
                <w:iCs w:val="0"/>
                <w:color w:val="000000"/>
                <w:sz w:val="18"/>
                <w:szCs w:val="18"/>
                <w:highlight w:val="none"/>
                <w:u w:val="none"/>
              </w:rPr>
            </w:pPr>
          </w:p>
        </w:tc>
        <w:tc>
          <w:tcPr>
            <w:tcW w:w="1774" w:type="dxa"/>
            <w:tcBorders>
              <w:top w:val="nil"/>
              <w:left w:val="nil"/>
              <w:bottom w:val="nil"/>
              <w:right w:val="nil"/>
            </w:tcBorders>
            <w:shd w:val="clear" w:color="auto" w:fill="auto"/>
            <w:vAlign w:val="center"/>
          </w:tcPr>
          <w:p w14:paraId="5CD0B747">
            <w:pPr>
              <w:rPr>
                <w:rFonts w:hint="eastAsia" w:ascii="宋体" w:hAnsi="宋体" w:eastAsia="宋体" w:cs="宋体"/>
                <w:i w:val="0"/>
                <w:iCs w:val="0"/>
                <w:color w:val="000000"/>
                <w:sz w:val="18"/>
                <w:szCs w:val="18"/>
                <w:highlight w:val="none"/>
                <w:u w:val="none"/>
              </w:rPr>
            </w:pPr>
          </w:p>
        </w:tc>
        <w:tc>
          <w:tcPr>
            <w:tcW w:w="2263" w:type="dxa"/>
            <w:tcBorders>
              <w:top w:val="nil"/>
              <w:left w:val="nil"/>
              <w:bottom w:val="nil"/>
              <w:right w:val="nil"/>
            </w:tcBorders>
            <w:shd w:val="clear" w:color="auto" w:fill="auto"/>
            <w:vAlign w:val="center"/>
          </w:tcPr>
          <w:p w14:paraId="3C781E6D">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1FB1556A">
            <w:pPr>
              <w:rPr>
                <w:rFonts w:hint="eastAsia" w:ascii="宋体" w:hAnsi="宋体" w:eastAsia="宋体" w:cs="宋体"/>
                <w:i w:val="0"/>
                <w:iCs w:val="0"/>
                <w:color w:val="000000"/>
                <w:sz w:val="18"/>
                <w:szCs w:val="18"/>
                <w:highlight w:val="none"/>
                <w:u w:val="none"/>
              </w:rPr>
            </w:pPr>
          </w:p>
        </w:tc>
        <w:tc>
          <w:tcPr>
            <w:tcW w:w="1677" w:type="dxa"/>
            <w:tcBorders>
              <w:top w:val="nil"/>
              <w:left w:val="nil"/>
              <w:bottom w:val="nil"/>
              <w:right w:val="nil"/>
            </w:tcBorders>
            <w:shd w:val="clear" w:color="auto" w:fill="auto"/>
            <w:vAlign w:val="center"/>
          </w:tcPr>
          <w:p w14:paraId="194978D2">
            <w:pPr>
              <w:rPr>
                <w:rFonts w:hint="eastAsia" w:ascii="宋体" w:hAnsi="宋体" w:eastAsia="宋体" w:cs="宋体"/>
                <w:i w:val="0"/>
                <w:iCs w:val="0"/>
                <w:color w:val="000000"/>
                <w:sz w:val="18"/>
                <w:szCs w:val="18"/>
                <w:highlight w:val="none"/>
                <w:u w:val="none"/>
              </w:rPr>
            </w:pPr>
          </w:p>
        </w:tc>
        <w:tc>
          <w:tcPr>
            <w:tcW w:w="521" w:type="dxa"/>
            <w:tcBorders>
              <w:top w:val="nil"/>
              <w:left w:val="nil"/>
              <w:bottom w:val="nil"/>
              <w:right w:val="nil"/>
            </w:tcBorders>
            <w:shd w:val="clear" w:color="auto" w:fill="auto"/>
            <w:vAlign w:val="center"/>
          </w:tcPr>
          <w:p w14:paraId="6A767BEA">
            <w:pPr>
              <w:rPr>
                <w:rFonts w:hint="eastAsia" w:ascii="宋体" w:hAnsi="宋体" w:eastAsia="宋体" w:cs="宋体"/>
                <w:i w:val="0"/>
                <w:iCs w:val="0"/>
                <w:color w:val="000000"/>
                <w:sz w:val="18"/>
                <w:szCs w:val="18"/>
                <w:highlight w:val="none"/>
                <w:u w:val="none"/>
              </w:rPr>
            </w:pPr>
          </w:p>
        </w:tc>
        <w:tc>
          <w:tcPr>
            <w:tcW w:w="1091" w:type="dxa"/>
            <w:tcBorders>
              <w:top w:val="nil"/>
              <w:left w:val="nil"/>
              <w:bottom w:val="nil"/>
              <w:right w:val="nil"/>
            </w:tcBorders>
            <w:shd w:val="clear" w:color="auto" w:fill="auto"/>
            <w:vAlign w:val="center"/>
          </w:tcPr>
          <w:p w14:paraId="0D8A366D">
            <w:pPr>
              <w:rPr>
                <w:rFonts w:hint="eastAsia" w:ascii="宋体" w:hAnsi="宋体" w:eastAsia="宋体" w:cs="宋体"/>
                <w:i w:val="0"/>
                <w:iCs w:val="0"/>
                <w:color w:val="000000"/>
                <w:sz w:val="18"/>
                <w:szCs w:val="18"/>
                <w:highlight w:val="none"/>
                <w:u w:val="none"/>
              </w:rPr>
            </w:pPr>
          </w:p>
        </w:tc>
        <w:tc>
          <w:tcPr>
            <w:tcW w:w="504" w:type="dxa"/>
            <w:tcBorders>
              <w:top w:val="nil"/>
              <w:left w:val="nil"/>
              <w:bottom w:val="nil"/>
              <w:right w:val="nil"/>
            </w:tcBorders>
            <w:shd w:val="clear" w:color="auto" w:fill="auto"/>
            <w:vAlign w:val="center"/>
          </w:tcPr>
          <w:p w14:paraId="71017CEC">
            <w:pPr>
              <w:rPr>
                <w:rFonts w:hint="eastAsia" w:ascii="宋体" w:hAnsi="宋体" w:eastAsia="宋体" w:cs="宋体"/>
                <w:i w:val="0"/>
                <w:iCs w:val="0"/>
                <w:color w:val="000000"/>
                <w:sz w:val="18"/>
                <w:szCs w:val="18"/>
                <w:highlight w:val="none"/>
                <w:u w:val="none"/>
              </w:rPr>
            </w:pPr>
          </w:p>
        </w:tc>
        <w:tc>
          <w:tcPr>
            <w:tcW w:w="456" w:type="dxa"/>
            <w:tcBorders>
              <w:top w:val="nil"/>
              <w:left w:val="nil"/>
              <w:bottom w:val="nil"/>
              <w:right w:val="nil"/>
            </w:tcBorders>
            <w:shd w:val="clear" w:color="auto" w:fill="auto"/>
            <w:vAlign w:val="center"/>
          </w:tcPr>
          <w:p w14:paraId="344EE3AA">
            <w:pPr>
              <w:rPr>
                <w:rFonts w:hint="eastAsia" w:ascii="宋体" w:hAnsi="宋体" w:eastAsia="宋体" w:cs="宋体"/>
                <w:i w:val="0"/>
                <w:iCs w:val="0"/>
                <w:color w:val="000000"/>
                <w:sz w:val="18"/>
                <w:szCs w:val="18"/>
                <w:highlight w:val="none"/>
                <w:u w:val="none"/>
              </w:rPr>
            </w:pPr>
          </w:p>
        </w:tc>
        <w:tc>
          <w:tcPr>
            <w:tcW w:w="2557" w:type="dxa"/>
            <w:tcBorders>
              <w:top w:val="nil"/>
              <w:left w:val="nil"/>
              <w:bottom w:val="nil"/>
              <w:right w:val="nil"/>
            </w:tcBorders>
            <w:shd w:val="clear" w:color="auto" w:fill="auto"/>
            <w:vAlign w:val="center"/>
          </w:tcPr>
          <w:p w14:paraId="618A6B12">
            <w:pPr>
              <w:rPr>
                <w:rFonts w:hint="eastAsia" w:ascii="宋体" w:hAnsi="宋体" w:eastAsia="宋体" w:cs="宋体"/>
                <w:i w:val="0"/>
                <w:iCs w:val="0"/>
                <w:color w:val="000000"/>
                <w:sz w:val="18"/>
                <w:szCs w:val="18"/>
                <w:highlight w:val="none"/>
                <w:u w:val="none"/>
              </w:rPr>
            </w:pPr>
          </w:p>
        </w:tc>
      </w:tr>
      <w:tr w14:paraId="48C1B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57D9A054">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5D30E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0726C4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189945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51320025T000013760432-2025年浙江援建资金-净土阿坝品牌培育及净土阿坝馆运维项目</w:t>
            </w:r>
          </w:p>
        </w:tc>
      </w:tr>
      <w:tr w14:paraId="47532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062F89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8945B9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州商务局部门</w:t>
            </w:r>
          </w:p>
        </w:tc>
        <w:tc>
          <w:tcPr>
            <w:tcW w:w="1091" w:type="dxa"/>
            <w:tcBorders>
              <w:top w:val="nil"/>
              <w:left w:val="nil"/>
              <w:bottom w:val="nil"/>
              <w:right w:val="nil"/>
            </w:tcBorders>
            <w:shd w:val="clear" w:color="auto" w:fill="FFFFFF"/>
            <w:vAlign w:val="center"/>
          </w:tcPr>
          <w:p w14:paraId="0DBCDD27">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1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A4F2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州商务局</w:t>
            </w:r>
          </w:p>
        </w:tc>
      </w:tr>
      <w:tr w14:paraId="4073C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2D64B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76248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20E7E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D07BD37">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4FD51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12DDE9">
            <w:pP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47FFA4">
            <w:pPr>
              <w:rPr>
                <w:rFonts w:hint="eastAsia" w:ascii="宋体" w:hAnsi="宋体" w:eastAsia="宋体" w:cs="宋体"/>
                <w:i w:val="0"/>
                <w:iCs w:val="0"/>
                <w:color w:val="000000"/>
                <w:sz w:val="18"/>
                <w:szCs w:val="18"/>
                <w:highlight w:val="none"/>
                <w:u w:val="none"/>
              </w:rPr>
            </w:pP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F1A006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依托浙江市场优势，提升“净土阿坝”品牌知名度，推动净土阿坝产品的准入体系、品控体系、营销体系、和服务体系打造，运维好东部净土阿坝馆和净土阿坝旗舰店。</w:t>
            </w:r>
          </w:p>
        </w:tc>
        <w:tc>
          <w:tcPr>
            <w:tcW w:w="460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8194F0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通过“走出去”“引进来”组织开展了2025年“净土阿坝”产品消费帮扶推介会-温州站、杭州站、茂县站活动，推动阿坝州中药材、生鲜果蔬、手工艺品等特色产品进入浙江主流销售渠道，建立长期供货机制。</w:t>
            </w:r>
          </w:p>
        </w:tc>
      </w:tr>
      <w:tr w14:paraId="426C1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6C661D">
            <w:pP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3A8B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6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C9336C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通过“走出去”“引进来”组织开展了2025年“净土阿坝”产品消费帮扶推介会-温州站、杭州站、茂县站活动。</w:t>
            </w:r>
          </w:p>
        </w:tc>
      </w:tr>
      <w:tr w14:paraId="5F822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0E92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3D43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BE0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F0C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3A85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224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54C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C4C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C46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22C65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78ECC8">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274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78B2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FFD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E642F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48.16</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CBE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96.31%</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769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7256E">
            <w:pPr>
              <w:jc w:val="center"/>
              <w:rPr>
                <w:rFonts w:hint="eastAsia" w:ascii="宋体" w:hAnsi="宋体" w:eastAsia="宋体" w:cs="宋体"/>
                <w:i w:val="0"/>
                <w:iCs w:val="0"/>
                <w:color w:val="000000"/>
                <w:sz w:val="18"/>
                <w:szCs w:val="18"/>
                <w:highlight w:val="none"/>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44E488">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8DB7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CD2A35">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89B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107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E8C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E980B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48.16</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1F7E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96.31%</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CF3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AA6F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4225FB">
            <w:pPr>
              <w:rPr>
                <w:rFonts w:hint="eastAsia" w:ascii="黑体" w:hAnsi="黑体" w:eastAsia="黑体" w:cs="黑体"/>
                <w:i/>
                <w:iCs/>
                <w:color w:val="000000"/>
                <w:sz w:val="18"/>
                <w:szCs w:val="18"/>
                <w:highlight w:val="none"/>
                <w:u w:val="none"/>
              </w:rPr>
            </w:pPr>
          </w:p>
        </w:tc>
      </w:tr>
      <w:tr w14:paraId="7183F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FC2571">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579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FEDE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713A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5D9B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FA0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2B9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B56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C263A4">
            <w:pPr>
              <w:rPr>
                <w:rFonts w:hint="eastAsia" w:ascii="黑体" w:hAnsi="黑体" w:eastAsia="黑体" w:cs="黑体"/>
                <w:i/>
                <w:iCs/>
                <w:color w:val="000000"/>
                <w:sz w:val="18"/>
                <w:szCs w:val="18"/>
                <w:highlight w:val="none"/>
                <w:u w:val="none"/>
              </w:rPr>
            </w:pPr>
          </w:p>
        </w:tc>
      </w:tr>
      <w:tr w14:paraId="31EB4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687658">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7E28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A72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8FF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BCA0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335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A1B9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02C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6B1257">
            <w:pPr>
              <w:rPr>
                <w:rFonts w:hint="eastAsia" w:ascii="黑体" w:hAnsi="黑体" w:eastAsia="黑体" w:cs="黑体"/>
                <w:i/>
                <w:iCs/>
                <w:color w:val="000000"/>
                <w:sz w:val="18"/>
                <w:szCs w:val="18"/>
                <w:highlight w:val="none"/>
                <w:u w:val="none"/>
              </w:rPr>
            </w:pPr>
          </w:p>
        </w:tc>
      </w:tr>
      <w:tr w14:paraId="729C2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4CAF53">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788D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C71AB">
            <w:pPr>
              <w:jc w:val="center"/>
              <w:rPr>
                <w:rFonts w:hint="eastAsia" w:ascii="微软雅黑" w:hAnsi="微软雅黑" w:eastAsia="微软雅黑" w:cs="微软雅黑"/>
                <w:i/>
                <w:iCs/>
                <w:color w:val="000000"/>
                <w:sz w:val="16"/>
                <w:szCs w:val="16"/>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B1855">
            <w:pPr>
              <w:jc w:val="center"/>
              <w:rPr>
                <w:rFonts w:hint="eastAsia" w:ascii="微软雅黑" w:hAnsi="微软雅黑" w:eastAsia="微软雅黑" w:cs="微软雅黑"/>
                <w:i/>
                <w:iCs/>
                <w:color w:val="000000"/>
                <w:sz w:val="16"/>
                <w:szCs w:val="16"/>
                <w:highlight w:val="none"/>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3BD055">
            <w:pPr>
              <w:jc w:val="center"/>
              <w:rPr>
                <w:rFonts w:hint="eastAsia" w:ascii="微软雅黑" w:hAnsi="微软雅黑" w:eastAsia="微软雅黑" w:cs="微软雅黑"/>
                <w:i/>
                <w:iCs/>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6C64C">
            <w:pPr>
              <w:jc w:val="center"/>
              <w:rPr>
                <w:rFonts w:hint="eastAsia" w:ascii="微软雅黑" w:hAnsi="微软雅黑" w:eastAsia="微软雅黑" w:cs="微软雅黑"/>
                <w:i/>
                <w:iCs/>
                <w:color w:val="000000"/>
                <w:sz w:val="16"/>
                <w:szCs w:val="16"/>
                <w:highlight w:val="none"/>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555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AC4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D21EFE">
            <w:pPr>
              <w:rPr>
                <w:rFonts w:hint="eastAsia" w:ascii="黑体" w:hAnsi="黑体" w:eastAsia="黑体" w:cs="黑体"/>
                <w:i/>
                <w:iCs/>
                <w:color w:val="000000"/>
                <w:sz w:val="18"/>
                <w:szCs w:val="18"/>
                <w:highlight w:val="none"/>
                <w:u w:val="none"/>
              </w:rPr>
            </w:pPr>
          </w:p>
        </w:tc>
      </w:tr>
      <w:tr w14:paraId="02723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5541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FD50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30C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757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BD0B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CA27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C4C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E84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5BF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B23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7E6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2246A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0C543E">
            <w:pPr>
              <w:jc w:val="center"/>
              <w:rPr>
                <w:rFonts w:hint="eastAsia" w:ascii="宋体" w:hAnsi="宋体" w:eastAsia="宋体" w:cs="宋体"/>
                <w:i w:val="0"/>
                <w:iCs w:val="0"/>
                <w:color w:val="000000"/>
                <w:sz w:val="18"/>
                <w:szCs w:val="18"/>
                <w:highlight w:val="none"/>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FFBD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7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3DD9A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903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开展产销对接活动</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FD7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3B5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3B4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8DBD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3</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4AB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C7E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5C8A8">
            <w:pPr>
              <w:jc w:val="center"/>
              <w:rPr>
                <w:rFonts w:hint="eastAsia" w:ascii="微软雅黑" w:hAnsi="微软雅黑" w:eastAsia="微软雅黑" w:cs="微软雅黑"/>
                <w:i/>
                <w:iCs/>
                <w:color w:val="000000"/>
                <w:sz w:val="16"/>
                <w:szCs w:val="16"/>
                <w:highlight w:val="none"/>
                <w:u w:val="none"/>
              </w:rPr>
            </w:pPr>
          </w:p>
        </w:tc>
      </w:tr>
      <w:tr w14:paraId="7167B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B3E095">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2E1234">
            <w:pPr>
              <w:jc w:val="center"/>
              <w:rPr>
                <w:rFonts w:hint="eastAsia" w:ascii="宋体" w:hAnsi="宋体" w:eastAsia="宋体" w:cs="宋体"/>
                <w:i w:val="0"/>
                <w:iCs w:val="0"/>
                <w:color w:val="000000"/>
                <w:sz w:val="18"/>
                <w:szCs w:val="18"/>
                <w:highlight w:val="none"/>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F7CF1C">
            <w:pPr>
              <w:jc w:val="center"/>
              <w:rPr>
                <w:rFonts w:hint="eastAsia" w:ascii="宋体" w:hAnsi="宋体" w:eastAsia="宋体" w:cs="宋体"/>
                <w:i w:val="0"/>
                <w:iCs w:val="0"/>
                <w:color w:val="000000"/>
                <w:sz w:val="18"/>
                <w:szCs w:val="18"/>
                <w:highlight w:val="none"/>
                <w:u w:val="none"/>
              </w:rPr>
            </w:pP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F761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组织企业参会参展</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AC8C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D38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780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47D5C">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50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414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A32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2AD39">
            <w:pPr>
              <w:jc w:val="center"/>
              <w:rPr>
                <w:rFonts w:hint="eastAsia" w:ascii="微软雅黑" w:hAnsi="微软雅黑" w:eastAsia="微软雅黑" w:cs="微软雅黑"/>
                <w:i/>
                <w:iCs/>
                <w:color w:val="000000"/>
                <w:sz w:val="16"/>
                <w:szCs w:val="16"/>
                <w:highlight w:val="none"/>
                <w:u w:val="none"/>
              </w:rPr>
            </w:pPr>
          </w:p>
        </w:tc>
      </w:tr>
      <w:tr w14:paraId="43B8C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6912BB">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602F69">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415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22E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活动开展率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F87A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EBF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EE9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3BA1F">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7F1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7C8C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B0F8E">
            <w:pPr>
              <w:jc w:val="center"/>
              <w:rPr>
                <w:rFonts w:hint="eastAsia" w:ascii="微软雅黑" w:hAnsi="微软雅黑" w:eastAsia="微软雅黑" w:cs="微软雅黑"/>
                <w:i/>
                <w:iCs/>
                <w:color w:val="000000"/>
                <w:sz w:val="16"/>
                <w:szCs w:val="16"/>
                <w:highlight w:val="none"/>
                <w:u w:val="none"/>
              </w:rPr>
            </w:pPr>
          </w:p>
        </w:tc>
      </w:tr>
      <w:tr w14:paraId="203F5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3CD768">
            <w:pPr>
              <w:jc w:val="center"/>
              <w:rPr>
                <w:rFonts w:hint="eastAsia" w:ascii="宋体" w:hAnsi="宋体" w:eastAsia="宋体" w:cs="宋体"/>
                <w:i w:val="0"/>
                <w:iCs w:val="0"/>
                <w:color w:val="000000"/>
                <w:sz w:val="18"/>
                <w:szCs w:val="18"/>
                <w:highlight w:val="none"/>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76BBD4">
            <w:pPr>
              <w:jc w:val="center"/>
              <w:rPr>
                <w:rFonts w:hint="eastAsia" w:ascii="宋体" w:hAnsi="宋体" w:eastAsia="宋体" w:cs="宋体"/>
                <w:i w:val="0"/>
                <w:iCs w:val="0"/>
                <w:color w:val="000000"/>
                <w:sz w:val="18"/>
                <w:szCs w:val="18"/>
                <w:highlight w:val="none"/>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FE6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882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项目开展及时率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B6F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80E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C21F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21B75">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3FB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403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F9514">
            <w:pPr>
              <w:jc w:val="center"/>
              <w:rPr>
                <w:rFonts w:hint="eastAsia" w:ascii="微软雅黑" w:hAnsi="微软雅黑" w:eastAsia="微软雅黑" w:cs="微软雅黑"/>
                <w:i/>
                <w:iCs/>
                <w:color w:val="000000"/>
                <w:sz w:val="16"/>
                <w:szCs w:val="16"/>
                <w:highlight w:val="none"/>
                <w:u w:val="none"/>
              </w:rPr>
            </w:pPr>
          </w:p>
        </w:tc>
      </w:tr>
      <w:tr w14:paraId="00D80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DA7897">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59B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E00C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0D8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提升净土阿坝品牌知名度</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FE5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1E2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有效提升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A7018">
            <w:pPr>
              <w:jc w:val="center"/>
              <w:rPr>
                <w:rFonts w:hint="eastAsia" w:ascii="宋体" w:hAnsi="宋体" w:eastAsia="宋体" w:cs="宋体"/>
                <w:i w:val="0"/>
                <w:iCs w:val="0"/>
                <w:color w:val="000000"/>
                <w:sz w:val="18"/>
                <w:szCs w:val="18"/>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5C49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有效提升</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ED2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222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739B8">
            <w:pPr>
              <w:jc w:val="center"/>
              <w:rPr>
                <w:rFonts w:hint="eastAsia" w:ascii="微软雅黑" w:hAnsi="微软雅黑" w:eastAsia="微软雅黑" w:cs="微软雅黑"/>
                <w:i/>
                <w:iCs/>
                <w:color w:val="000000"/>
                <w:sz w:val="16"/>
                <w:szCs w:val="16"/>
                <w:highlight w:val="none"/>
                <w:u w:val="none"/>
              </w:rPr>
            </w:pPr>
          </w:p>
        </w:tc>
      </w:tr>
      <w:tr w14:paraId="009EB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22CCCD">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B2C0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E96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FEF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帮扶企业满意度</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38A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C8C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794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37B4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85</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72C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410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E75CE">
            <w:pPr>
              <w:jc w:val="center"/>
              <w:rPr>
                <w:rFonts w:hint="eastAsia" w:ascii="微软雅黑" w:hAnsi="微软雅黑" w:eastAsia="微软雅黑" w:cs="微软雅黑"/>
                <w:i/>
                <w:iCs/>
                <w:color w:val="000000"/>
                <w:sz w:val="16"/>
                <w:szCs w:val="16"/>
                <w:highlight w:val="none"/>
                <w:u w:val="none"/>
              </w:rPr>
            </w:pPr>
          </w:p>
        </w:tc>
      </w:tr>
      <w:tr w14:paraId="2E789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8946C9">
            <w:pPr>
              <w:jc w:val="center"/>
              <w:rPr>
                <w:rFonts w:hint="eastAsia" w:ascii="宋体" w:hAnsi="宋体" w:eastAsia="宋体" w:cs="宋体"/>
                <w:i w:val="0"/>
                <w:iCs w:val="0"/>
                <w:color w:val="000000"/>
                <w:sz w:val="18"/>
                <w:szCs w:val="18"/>
                <w:highlight w:val="none"/>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E75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643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598D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控制在预算内</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5016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AE6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25B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E37D3">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48.16</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7A5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EF8C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17C8F">
            <w:pPr>
              <w:jc w:val="center"/>
              <w:rPr>
                <w:rFonts w:hint="eastAsia" w:ascii="微软雅黑" w:hAnsi="微软雅黑" w:eastAsia="微软雅黑" w:cs="微软雅黑"/>
                <w:i/>
                <w:iCs/>
                <w:color w:val="000000"/>
                <w:sz w:val="16"/>
                <w:szCs w:val="16"/>
                <w:highlight w:val="none"/>
                <w:u w:val="none"/>
              </w:rPr>
            </w:pPr>
          </w:p>
        </w:tc>
      </w:tr>
      <w:tr w14:paraId="098DF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275F5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1416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93623">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97F19">
            <w:pPr>
              <w:rPr>
                <w:rFonts w:hint="eastAsia" w:ascii="宋体" w:hAnsi="宋体" w:eastAsia="宋体" w:cs="宋体"/>
                <w:i w:val="0"/>
                <w:iCs w:val="0"/>
                <w:color w:val="000000"/>
                <w:sz w:val="18"/>
                <w:szCs w:val="18"/>
                <w:highlight w:val="none"/>
                <w:u w:val="none"/>
              </w:rPr>
            </w:pPr>
          </w:p>
        </w:tc>
      </w:tr>
      <w:tr w14:paraId="0C2FF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4BA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3501324E">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深入落实对口支援工作，深化了浙阿两地交流合作，拓展阿坝州农副产品销售渠道，提升“净土阿坝”品牌知名度，通过“走出去”“引进来”的方式多方位的推介宣传我州农特产品</w:t>
            </w:r>
          </w:p>
        </w:tc>
      </w:tr>
      <w:tr w14:paraId="361D7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854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1E8820E6">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2BA8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B7A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5B518727">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7613C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2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38769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项目负责人：张军</w:t>
            </w:r>
          </w:p>
        </w:tc>
        <w:tc>
          <w:tcPr>
            <w:tcW w:w="68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75A9DF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财务负责人：顺云梅</w:t>
            </w:r>
          </w:p>
        </w:tc>
      </w:tr>
    </w:tbl>
    <w:p w14:paraId="4A67F47F">
      <w:pPr>
        <w:pStyle w:val="10"/>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none"/>
          <w:lang w:val="zh-CN" w:eastAsia="zh-CN"/>
        </w:rPr>
        <w:sectPr>
          <w:pgSz w:w="16838" w:h="11906" w:orient="landscape"/>
          <w:pgMar w:top="1800" w:right="1440" w:bottom="1800" w:left="1440" w:header="851" w:footer="992" w:gutter="0"/>
          <w:pgNumType w:fmt="decimal"/>
          <w:cols w:space="425" w:num="1"/>
          <w:titlePg/>
          <w:docGrid w:type="lines" w:linePitch="312" w:charSpace="0"/>
        </w:sectPr>
      </w:pPr>
    </w:p>
    <w:p w14:paraId="72F6FFC3">
      <w:pPr>
        <w:pStyle w:val="8"/>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511EC3B7">
      <w:pPr>
        <w:pStyle w:val="37"/>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微软雅黑" w:cs="微软雅黑"/>
          <w:color w:val="auto"/>
          <w:kern w:val="2"/>
          <w:sz w:val="44"/>
          <w:szCs w:val="44"/>
          <w:highlight w:val="none"/>
          <w:lang w:val="en-US" w:eastAsia="zh-CN"/>
        </w:rPr>
      </w:pPr>
    </w:p>
    <w:p w14:paraId="0AACA9F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default" w:ascii="Times New Roman" w:hAnsi="Times New Roman" w:eastAsia="方正小标宋_GBK" w:cs="Times New Roman"/>
          <w:sz w:val="44"/>
          <w:szCs w:val="44"/>
          <w:highlight w:val="none"/>
        </w:rPr>
      </w:pPr>
      <w:r>
        <w:rPr>
          <w:rFonts w:hint="default" w:ascii="Times New Roman" w:hAnsi="Times New Roman" w:eastAsia="方正小标宋_GBK" w:cs="Times New Roman"/>
          <w:sz w:val="44"/>
          <w:szCs w:val="44"/>
          <w:highlight w:val="none"/>
        </w:rPr>
        <w:t>阿坝州商务局</w:t>
      </w:r>
    </w:p>
    <w:p w14:paraId="2779A44E">
      <w:pPr>
        <w:keepNext w:val="0"/>
        <w:keepLines w:val="0"/>
        <w:pageBreakBefore w:val="0"/>
        <w:widowControl w:val="0"/>
        <w:suppressLineNumbers w:val="0"/>
        <w:suppressAutoHyphens w:val="0"/>
        <w:kinsoku/>
        <w:wordWrap/>
        <w:overflowPunct/>
        <w:topLinePunct w:val="0"/>
        <w:autoSpaceDE/>
        <w:autoSpaceDN/>
        <w:bidi w:val="0"/>
        <w:spacing w:line="560" w:lineRule="exact"/>
        <w:ind w:left="0"/>
        <w:jc w:val="center"/>
        <w:textAlignment w:val="auto"/>
        <w:rPr>
          <w:rFonts w:hint="default" w:ascii="Times New Roman" w:hAnsi="Times New Roman" w:eastAsia="方正小标宋_GBK" w:cs="Times New Roman"/>
          <w:color w:val="auto"/>
          <w:kern w:val="2"/>
          <w:sz w:val="44"/>
          <w:szCs w:val="44"/>
          <w:highlight w:val="none"/>
          <w:lang w:val="en-US" w:eastAsia="zh-CN" w:bidi="ar-SA"/>
        </w:rPr>
      </w:pPr>
      <w:r>
        <w:rPr>
          <w:rFonts w:hint="default" w:ascii="Times New Roman" w:hAnsi="Times New Roman" w:eastAsia="方正小标宋_GBK" w:cs="Times New Roman"/>
          <w:color w:val="auto"/>
          <w:kern w:val="2"/>
          <w:sz w:val="44"/>
          <w:szCs w:val="44"/>
          <w:highlight w:val="none"/>
          <w:lang w:val="en-US" w:eastAsia="zh-CN" w:bidi="ar-SA"/>
        </w:rPr>
        <w:t>2025年促进消费恢复发展专项资金</w:t>
      </w:r>
    </w:p>
    <w:p w14:paraId="039F3483">
      <w:pPr>
        <w:keepNext w:val="0"/>
        <w:keepLines w:val="0"/>
        <w:pageBreakBefore w:val="0"/>
        <w:widowControl w:val="0"/>
        <w:suppressLineNumbers w:val="0"/>
        <w:suppressAutoHyphens w:val="0"/>
        <w:kinsoku/>
        <w:wordWrap/>
        <w:overflowPunct/>
        <w:topLinePunct w:val="0"/>
        <w:autoSpaceDE/>
        <w:autoSpaceDN/>
        <w:bidi w:val="0"/>
        <w:spacing w:line="560" w:lineRule="exact"/>
        <w:ind w:left="0"/>
        <w:jc w:val="center"/>
        <w:textAlignment w:val="auto"/>
        <w:rPr>
          <w:rFonts w:hint="default" w:ascii="Times New Roman" w:hAnsi="Times New Roman" w:eastAsia="方正仿宋_GBK" w:cs="Times New Roman"/>
          <w:color w:val="000000"/>
          <w:kern w:val="2"/>
          <w:sz w:val="32"/>
          <w:szCs w:val="32"/>
          <w:highlight w:val="none"/>
          <w:lang w:val="zh-CN" w:eastAsia="zh-CN" w:bidi="ar-SA"/>
        </w:rPr>
      </w:pPr>
      <w:r>
        <w:rPr>
          <w:rFonts w:hint="default" w:ascii="Times New Roman" w:hAnsi="Times New Roman" w:eastAsia="方正小标宋_GBK" w:cs="Times New Roman"/>
          <w:color w:val="auto"/>
          <w:kern w:val="2"/>
          <w:sz w:val="44"/>
          <w:szCs w:val="44"/>
          <w:highlight w:val="none"/>
          <w:lang w:val="en-US" w:eastAsia="zh-CN" w:bidi="ar-SA"/>
        </w:rPr>
        <w:t>绩效评价报告</w:t>
      </w:r>
    </w:p>
    <w:p w14:paraId="6BCE4F3C">
      <w:pPr>
        <w:keepNext w:val="0"/>
        <w:keepLines w:val="0"/>
        <w:pageBreakBefore w:val="0"/>
        <w:widowControl w:val="0"/>
        <w:kinsoku/>
        <w:wordWrap/>
        <w:overflowPunct/>
        <w:topLinePunct w:val="0"/>
        <w:autoSpaceDE/>
        <w:autoSpaceDN/>
        <w:bidi w:val="0"/>
        <w:spacing w:line="560" w:lineRule="exact"/>
        <w:jc w:val="left"/>
        <w:textAlignment w:val="auto"/>
        <w:rPr>
          <w:rFonts w:hint="default" w:ascii="Times New Roman" w:hAnsi="Times New Roman" w:eastAsia="方正仿宋_GBK" w:cs="Times New Roman"/>
          <w:color w:val="auto"/>
          <w:kern w:val="2"/>
          <w:sz w:val="32"/>
          <w:szCs w:val="32"/>
          <w:highlight w:val="none"/>
          <w:lang w:val="zh-CN" w:eastAsia="zh-CN" w:bidi="ar-SA"/>
        </w:rPr>
      </w:pPr>
    </w:p>
    <w:p w14:paraId="53A2CF65">
      <w:pPr>
        <w:keepNext w:val="0"/>
        <w:keepLines w:val="0"/>
        <w:pageBreakBefore w:val="0"/>
        <w:widowControl w:val="0"/>
        <w:suppressLineNumbers w:val="0"/>
        <w:suppressAutoHyphens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kern w:val="2"/>
          <w:sz w:val="32"/>
          <w:szCs w:val="32"/>
          <w:highlight w:val="none"/>
          <w:lang w:bidi="ar-SA"/>
        </w:rPr>
      </w:pPr>
      <w:r>
        <w:rPr>
          <w:rFonts w:hint="default" w:ascii="Times New Roman" w:hAnsi="Times New Roman" w:eastAsia="黑体" w:cs="Times New Roman"/>
          <w:kern w:val="2"/>
          <w:sz w:val="32"/>
          <w:szCs w:val="32"/>
          <w:highlight w:val="none"/>
          <w:lang w:bidi="ar-SA"/>
        </w:rPr>
        <w:t>一、项目概况</w:t>
      </w:r>
    </w:p>
    <w:p w14:paraId="201FDDBE">
      <w:pPr>
        <w:keepNext w:val="0"/>
        <w:keepLines w:val="0"/>
        <w:pageBreakBefore w:val="0"/>
        <w:widowControl/>
        <w:suppressLineNumbers w:val="0"/>
        <w:suppressAutoHyphens w:val="0"/>
        <w:kinsoku/>
        <w:wordWrap/>
        <w:overflowPunct/>
        <w:topLinePunct w:val="0"/>
        <w:autoSpaceDE/>
        <w:autoSpaceDN/>
        <w:bidi w:val="0"/>
        <w:adjustRightInd w:val="0"/>
        <w:snapToGrid w:val="0"/>
        <w:spacing w:line="560" w:lineRule="exact"/>
        <w:ind w:left="0" w:firstLine="643" w:firstLineChars="200"/>
        <w:contextualSpacing/>
        <w:jc w:val="left"/>
        <w:textAlignment w:val="auto"/>
        <w:rPr>
          <w:rFonts w:hint="default" w:ascii="Times New Roman" w:hAnsi="Times New Roman" w:eastAsia="方正仿宋_GBK" w:cs="Times New Roman"/>
          <w:kern w:val="0"/>
          <w:sz w:val="32"/>
          <w:szCs w:val="32"/>
          <w:highlight w:val="none"/>
          <w:shd w:val="clear" w:color="auto" w:fill="FFFFFF"/>
          <w:lang w:eastAsia="zh-CN" w:bidi="ar-SA"/>
        </w:rPr>
      </w:pPr>
      <w:r>
        <w:rPr>
          <w:rFonts w:hint="default" w:ascii="Times New Roman" w:hAnsi="Times New Roman" w:eastAsia="楷体_GB2312" w:cs="Times New Roman"/>
          <w:b/>
          <w:bCs w:val="0"/>
          <w:kern w:val="2"/>
          <w:sz w:val="32"/>
          <w:szCs w:val="32"/>
          <w:highlight w:val="none"/>
          <w:lang w:bidi="ar-SA"/>
        </w:rPr>
        <w:t>（一）设立背景及基本情况。</w:t>
      </w:r>
      <w:r>
        <w:rPr>
          <w:rFonts w:hint="default" w:ascii="Times New Roman" w:hAnsi="Times New Roman" w:eastAsia="方正仿宋_GBK" w:cs="Times New Roman"/>
          <w:sz w:val="32"/>
          <w:szCs w:val="32"/>
          <w:highlight w:val="none"/>
          <w:lang w:bidi="ar-SA"/>
        </w:rPr>
        <w:t>为</w:t>
      </w:r>
      <w:r>
        <w:rPr>
          <w:rFonts w:hint="default" w:ascii="Times New Roman" w:hAnsi="Times New Roman" w:eastAsia="方正仿宋_GBK" w:cs="Times New Roman"/>
          <w:sz w:val="32"/>
          <w:szCs w:val="32"/>
          <w:highlight w:val="none"/>
          <w:lang w:eastAsia="zh-CN" w:bidi="ar-SA"/>
        </w:rPr>
        <w:t>深入</w:t>
      </w:r>
      <w:r>
        <w:rPr>
          <w:rFonts w:hint="default" w:ascii="Times New Roman" w:hAnsi="Times New Roman" w:eastAsia="方正仿宋_GBK" w:cs="Times New Roman"/>
          <w:sz w:val="32"/>
          <w:szCs w:val="32"/>
          <w:highlight w:val="none"/>
          <w:lang w:bidi="ar-SA"/>
        </w:rPr>
        <w:t>贯彻落实中共中央办公厅、国务院办公厅《提振消费专项行动方案》部署要求</w:t>
      </w:r>
      <w:r>
        <w:rPr>
          <w:rFonts w:hint="default" w:ascii="Times New Roman" w:hAnsi="Times New Roman" w:eastAsia="方正仿宋_GBK" w:cs="Times New Roman"/>
          <w:sz w:val="32"/>
          <w:szCs w:val="32"/>
          <w:highlight w:val="none"/>
          <w:lang w:eastAsia="zh-CN" w:bidi="ar-SA"/>
        </w:rPr>
        <w:t>，紧扣</w:t>
      </w:r>
      <w:r>
        <w:rPr>
          <w:rFonts w:hint="default" w:ascii="Times New Roman" w:hAnsi="Times New Roman" w:eastAsia="方正仿宋_GBK" w:cs="Times New Roman"/>
          <w:sz w:val="32"/>
          <w:szCs w:val="32"/>
          <w:highlight w:val="none"/>
          <w:lang w:bidi="ar-SA"/>
        </w:rPr>
        <w:t>省委</w:t>
      </w:r>
      <w:r>
        <w:rPr>
          <w:rFonts w:hint="default" w:ascii="Times New Roman" w:hAnsi="Times New Roman" w:eastAsia="方正仿宋_GBK" w:cs="Times New Roman"/>
          <w:sz w:val="32"/>
          <w:szCs w:val="32"/>
          <w:highlight w:val="none"/>
          <w:lang w:eastAsia="zh-CN" w:bidi="ar-SA"/>
        </w:rPr>
        <w:t>省政府、州委州政府</w:t>
      </w:r>
      <w:r>
        <w:rPr>
          <w:rFonts w:hint="default" w:ascii="Times New Roman" w:hAnsi="Times New Roman" w:eastAsia="方正仿宋_GBK" w:cs="Times New Roman"/>
          <w:sz w:val="32"/>
          <w:szCs w:val="32"/>
          <w:highlight w:val="none"/>
          <w:lang w:bidi="ar-SA"/>
        </w:rPr>
        <w:t>“</w:t>
      </w:r>
      <w:r>
        <w:rPr>
          <w:rFonts w:hint="default" w:ascii="Times New Roman" w:hAnsi="Times New Roman" w:eastAsia="方正仿宋_GBK" w:cs="Times New Roman"/>
          <w:sz w:val="32"/>
          <w:szCs w:val="32"/>
          <w:highlight w:val="none"/>
          <w:lang w:eastAsia="zh-CN" w:bidi="ar-SA"/>
        </w:rPr>
        <w:t>大力提振消费</w:t>
      </w:r>
      <w:r>
        <w:rPr>
          <w:rFonts w:hint="default" w:ascii="Times New Roman" w:hAnsi="Times New Roman" w:eastAsia="方正仿宋_GBK" w:cs="Times New Roman"/>
          <w:sz w:val="32"/>
          <w:szCs w:val="32"/>
          <w:highlight w:val="none"/>
          <w:lang w:bidi="ar-SA"/>
        </w:rPr>
        <w:t>”工作</w:t>
      </w:r>
      <w:r>
        <w:rPr>
          <w:rFonts w:hint="default" w:ascii="Times New Roman" w:hAnsi="Times New Roman" w:eastAsia="方正仿宋_GBK" w:cs="Times New Roman"/>
          <w:sz w:val="32"/>
          <w:szCs w:val="32"/>
          <w:highlight w:val="none"/>
          <w:lang w:eastAsia="zh-CN" w:bidi="ar-SA"/>
        </w:rPr>
        <w:t>安排</w:t>
      </w:r>
      <w:r>
        <w:rPr>
          <w:rFonts w:hint="default" w:ascii="Times New Roman" w:hAnsi="Times New Roman" w:eastAsia="方正仿宋_GBK" w:cs="Times New Roman"/>
          <w:sz w:val="32"/>
          <w:szCs w:val="32"/>
          <w:highlight w:val="none"/>
          <w:lang w:bidi="ar-SA"/>
        </w:rPr>
        <w:t>，</w:t>
      </w:r>
      <w:r>
        <w:rPr>
          <w:rFonts w:hint="default" w:ascii="Times New Roman" w:hAnsi="Times New Roman" w:eastAsia="方正仿宋_GBK" w:cs="Times New Roman"/>
          <w:sz w:val="32"/>
          <w:szCs w:val="32"/>
          <w:highlight w:val="none"/>
          <w:lang w:eastAsia="zh-CN" w:bidi="ar-SA"/>
        </w:rPr>
        <w:t>抢抓 2025 年全国全省加力扩围消费品以旧换新、提振大宗消费的政策机遇，加快提振消费信心，激发消费潜力，助力我州消费市场持续健康和高质量发展，州级财政投入 4000 万元专项资金推动消费市场回暖复苏。</w:t>
      </w:r>
    </w:p>
    <w:p w14:paraId="073949E1">
      <w:pPr>
        <w:keepNext w:val="0"/>
        <w:keepLines w:val="0"/>
        <w:pageBreakBefore w:val="0"/>
        <w:kinsoku/>
        <w:wordWrap/>
        <w:overflowPunct/>
        <w:topLinePunct w:val="0"/>
        <w:autoSpaceDE/>
        <w:bidi w:val="0"/>
        <w:spacing w:line="560" w:lineRule="exact"/>
        <w:ind w:firstLine="640"/>
        <w:jc w:val="left"/>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default" w:ascii="Times New Roman" w:hAnsi="Times New Roman" w:eastAsia="楷体_GB2312" w:cs="Times New Roman"/>
          <w:b/>
          <w:bCs w:val="0"/>
          <w:kern w:val="2"/>
          <w:sz w:val="32"/>
          <w:szCs w:val="32"/>
          <w:highlight w:val="none"/>
          <w:lang w:bidi="ar-SA"/>
        </w:rPr>
        <w:t>（二）实施目的及支持方向</w:t>
      </w:r>
      <w:r>
        <w:rPr>
          <w:rFonts w:hint="default" w:ascii="Times New Roman" w:hAnsi="Times New Roman" w:eastAsia="楷体_GB2312" w:cs="Times New Roman"/>
          <w:b/>
          <w:bCs w:val="0"/>
          <w:kern w:val="2"/>
          <w:sz w:val="32"/>
          <w:szCs w:val="32"/>
          <w:highlight w:val="none"/>
          <w:lang w:eastAsia="zh-CN" w:bidi="ar-SA"/>
        </w:rPr>
        <w:t>。</w:t>
      </w:r>
      <w:r>
        <w:rPr>
          <w:rFonts w:hint="default" w:ascii="Times New Roman" w:hAnsi="Times New Roman" w:eastAsia="方正仿宋_GBK" w:cs="Times New Roman"/>
          <w:sz w:val="32"/>
          <w:szCs w:val="32"/>
          <w:highlight w:val="none"/>
          <w:lang w:bidi="ar-SA"/>
        </w:rPr>
        <w:t>为全面落实国家《提振消费专项行动方案》及四川省促消费工作部署，围绕中央 “大宗消费更新升级、服务消费提质惠民” 核心要求，立足阿坝州产业特色，以发放消费券为抓手，重点围绕汽车、家电、批零住餐、文旅加油等领域开展促消费工作，加快提振消费信心，激发消费潜力，助力我州消费市场持续健康和高质量发展，推动形成政府引导、市场为主、消费者广泛参与”的消费生态。</w:t>
      </w:r>
    </w:p>
    <w:p w14:paraId="6C05C428">
      <w:pPr>
        <w:keepNext w:val="0"/>
        <w:keepLines w:val="0"/>
        <w:pageBreakBefore w:val="0"/>
        <w:kinsoku/>
        <w:wordWrap/>
        <w:overflowPunct/>
        <w:topLinePunct w:val="0"/>
        <w:autoSpaceDE/>
        <w:bidi w:val="0"/>
        <w:spacing w:line="560" w:lineRule="exact"/>
        <w:ind w:firstLine="640"/>
        <w:jc w:val="left"/>
        <w:textAlignment w:val="auto"/>
        <w:rPr>
          <w:rFonts w:hint="default" w:ascii="Times New Roman" w:hAnsi="Times New Roman" w:eastAsia="方正仿宋_GBK" w:cs="Times New Roman"/>
          <w:b w:val="0"/>
          <w:bCs w:val="0"/>
          <w:color w:val="auto"/>
          <w:sz w:val="32"/>
          <w:szCs w:val="32"/>
          <w:highlight w:val="none"/>
          <w:lang w:val="en-US" w:eastAsia="zh-CN" w:bidi="ar-SA"/>
        </w:rPr>
      </w:pPr>
      <w:r>
        <w:rPr>
          <w:rFonts w:hint="default" w:ascii="Times New Roman" w:hAnsi="Times New Roman" w:eastAsia="楷体_GB2312" w:cs="Times New Roman"/>
          <w:b/>
          <w:bCs w:val="0"/>
          <w:kern w:val="2"/>
          <w:sz w:val="32"/>
          <w:szCs w:val="32"/>
          <w:highlight w:val="none"/>
          <w:lang w:bidi="ar-SA"/>
        </w:rPr>
        <w:t>（三）预算安排及分配管理。</w:t>
      </w:r>
      <w:r>
        <w:rPr>
          <w:rFonts w:hint="default" w:ascii="Times New Roman" w:hAnsi="Times New Roman" w:eastAsia="方正仿宋_GBK" w:cs="Times New Roman"/>
          <w:sz w:val="32"/>
          <w:szCs w:val="32"/>
          <w:highlight w:val="none"/>
          <w:lang w:val="en-US" w:eastAsia="zh-CN" w:bidi="ar-SA"/>
        </w:rPr>
        <w:t>紧扣国家大宗消费、服务消费提质政策导向，主要围绕汽车（叠加汽车以旧换新）、家电、批零住餐、加油、文旅等行业发放阿坝州消费券10期以上，统筹支持各县（市）开展特色促消费活动，预计带动消费超过3亿元，推动政策红利精准落地。</w:t>
      </w:r>
    </w:p>
    <w:p w14:paraId="0604A5D0">
      <w:pPr>
        <w:keepNext w:val="0"/>
        <w:keepLines w:val="0"/>
        <w:pageBreakBefore w:val="0"/>
        <w:widowControl w:val="0"/>
        <w:suppressLineNumbers w:val="0"/>
        <w:suppressAutoHyphens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kern w:val="2"/>
          <w:sz w:val="32"/>
          <w:szCs w:val="32"/>
          <w:highlight w:val="none"/>
          <w:lang w:bidi="ar-SA"/>
        </w:rPr>
      </w:pPr>
      <w:r>
        <w:rPr>
          <w:rFonts w:hint="default" w:ascii="Times New Roman" w:hAnsi="Times New Roman" w:eastAsia="黑体" w:cs="Times New Roman"/>
          <w:kern w:val="2"/>
          <w:sz w:val="32"/>
          <w:szCs w:val="32"/>
          <w:highlight w:val="none"/>
          <w:lang w:bidi="ar-SA"/>
        </w:rPr>
        <w:t>二、评价实施</w:t>
      </w:r>
    </w:p>
    <w:p w14:paraId="4B75E476">
      <w:pPr>
        <w:keepNext w:val="0"/>
        <w:keepLines w:val="0"/>
        <w:pageBreakBefore w:val="0"/>
        <w:widowControl w:val="0"/>
        <w:suppressLineNumbers w:val="0"/>
        <w:suppressAutoHyphens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kern w:val="0"/>
          <w:sz w:val="32"/>
          <w:szCs w:val="32"/>
          <w:highlight w:val="none"/>
          <w:shd w:val="clear" w:color="auto" w:fill="FFFFFF"/>
          <w:lang w:val="en-US" w:eastAsia="zh-CN" w:bidi="ar-SA"/>
        </w:rPr>
      </w:pPr>
      <w:r>
        <w:rPr>
          <w:rFonts w:hint="default" w:ascii="Times New Roman" w:hAnsi="Times New Roman" w:eastAsia="方正仿宋_GBK" w:cs="Times New Roman"/>
          <w:kern w:val="0"/>
          <w:sz w:val="32"/>
          <w:szCs w:val="32"/>
          <w:highlight w:val="none"/>
          <w:shd w:val="clear" w:color="auto" w:fill="FFFFFF"/>
          <w:lang w:val="en-US" w:eastAsia="zh-CN" w:bidi="ar-SA"/>
        </w:rPr>
        <w:t>为深入贯彻落实国家《提振消费专项行动方案》及省委省政府、州委州政府提振消费的决策部署，紧扣“大宗消费更新升级、服务消费提质惠民”工作要求，不断恢复和扩大我州汽车、文旅等重点消费市场活力，本次消费券发放采用自动满减优惠方式，覆盖“通用消费券、景区消费券、汽车消费券、加油消费券”等品类，消费者通过指定平台线上领取，在规定有效期内到合作商户完成核销，确保政策执行便捷高效、可追溯。</w:t>
      </w:r>
    </w:p>
    <w:p w14:paraId="580DE78F">
      <w:pPr>
        <w:keepNext w:val="0"/>
        <w:keepLines w:val="0"/>
        <w:pageBreakBefore w:val="0"/>
        <w:widowControl w:val="0"/>
        <w:suppressLineNumbers w:val="0"/>
        <w:suppressAutoHyphens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kern w:val="2"/>
          <w:sz w:val="32"/>
          <w:szCs w:val="32"/>
          <w:highlight w:val="none"/>
          <w:lang w:bidi="ar-SA"/>
        </w:rPr>
      </w:pPr>
      <w:r>
        <w:rPr>
          <w:rFonts w:hint="default" w:ascii="Times New Roman" w:hAnsi="Times New Roman" w:eastAsia="黑体" w:cs="Times New Roman"/>
          <w:kern w:val="2"/>
          <w:sz w:val="32"/>
          <w:szCs w:val="32"/>
          <w:highlight w:val="none"/>
          <w:lang w:bidi="ar-SA"/>
        </w:rPr>
        <w:t>三、绩效分析</w:t>
      </w:r>
    </w:p>
    <w:p w14:paraId="282B862A">
      <w:pPr>
        <w:keepNext w:val="0"/>
        <w:keepLines w:val="0"/>
        <w:pageBreakBefore w:val="0"/>
        <w:widowControl/>
        <w:kinsoku/>
        <w:wordWrap/>
        <w:overflowPunct/>
        <w:topLinePunct w:val="0"/>
        <w:autoSpaceDE/>
        <w:autoSpaceDN/>
        <w:bidi w:val="0"/>
        <w:spacing w:line="560" w:lineRule="exact"/>
        <w:ind w:firstLine="643" w:firstLineChars="200"/>
        <w:jc w:val="left"/>
        <w:textAlignment w:val="auto"/>
        <w:rPr>
          <w:rFonts w:hint="default" w:ascii="Times New Roman" w:hAnsi="Times New Roman" w:eastAsia="楷体_GB2312" w:cs="Times New Roman"/>
          <w:b/>
          <w:bCs w:val="0"/>
          <w:kern w:val="2"/>
          <w:position w:val="0"/>
          <w:sz w:val="32"/>
          <w:szCs w:val="32"/>
          <w:highlight w:val="none"/>
          <w:lang w:val="en-US" w:eastAsia="zh-CN" w:bidi="ar-SA"/>
        </w:rPr>
      </w:pPr>
      <w:r>
        <w:rPr>
          <w:rFonts w:hint="default" w:ascii="Times New Roman" w:hAnsi="Times New Roman" w:eastAsia="楷体_GB2312" w:cs="Times New Roman"/>
          <w:b/>
          <w:bCs w:val="0"/>
          <w:kern w:val="2"/>
          <w:position w:val="0"/>
          <w:sz w:val="32"/>
          <w:szCs w:val="32"/>
          <w:highlight w:val="none"/>
          <w:lang w:val="en-US" w:eastAsia="zh-CN" w:bidi="ar-SA"/>
        </w:rPr>
        <w:t>（一）项目资金执行情况</w:t>
      </w:r>
    </w:p>
    <w:p w14:paraId="4D86FD90">
      <w:pPr>
        <w:keepNext w:val="0"/>
        <w:keepLines w:val="0"/>
        <w:pageBreakBefore w:val="0"/>
        <w:widowControl/>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pPr>
      <w:r>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t>2025年该项目预算安排4000万元，执行数4000万元，执行率：100%。权重10分，得分：10分。</w:t>
      </w:r>
    </w:p>
    <w:p w14:paraId="388835CB">
      <w:pPr>
        <w:keepNext w:val="0"/>
        <w:keepLines w:val="0"/>
        <w:pageBreakBefore w:val="0"/>
        <w:widowControl/>
        <w:kinsoku/>
        <w:wordWrap/>
        <w:overflowPunct/>
        <w:topLinePunct w:val="0"/>
        <w:autoSpaceDE/>
        <w:autoSpaceDN/>
        <w:bidi w:val="0"/>
        <w:spacing w:line="560" w:lineRule="exact"/>
        <w:ind w:firstLine="643" w:firstLineChars="200"/>
        <w:jc w:val="left"/>
        <w:textAlignment w:val="auto"/>
        <w:outlineLvl w:val="9"/>
        <w:rPr>
          <w:rFonts w:hint="default" w:ascii="Times New Roman" w:hAnsi="Times New Roman" w:eastAsia="楷体_GB2312" w:cs="Times New Roman"/>
          <w:b/>
          <w:bCs w:val="0"/>
          <w:kern w:val="2"/>
          <w:position w:val="0"/>
          <w:sz w:val="32"/>
          <w:szCs w:val="32"/>
          <w:highlight w:val="none"/>
          <w:lang w:val="en-US" w:eastAsia="zh-CN" w:bidi="ar-SA"/>
        </w:rPr>
      </w:pPr>
      <w:r>
        <w:rPr>
          <w:rFonts w:hint="default" w:ascii="Times New Roman" w:hAnsi="Times New Roman" w:eastAsia="楷体_GB2312" w:cs="Times New Roman"/>
          <w:b/>
          <w:bCs w:val="0"/>
          <w:kern w:val="2"/>
          <w:position w:val="0"/>
          <w:sz w:val="32"/>
          <w:szCs w:val="32"/>
          <w:highlight w:val="none"/>
          <w:lang w:val="en-US" w:eastAsia="zh-CN" w:bidi="ar-SA"/>
        </w:rPr>
        <w:t>（二）项目绩效目标完成情况</w:t>
      </w:r>
    </w:p>
    <w:p w14:paraId="054F1514">
      <w:pPr>
        <w:keepNext w:val="0"/>
        <w:keepLines w:val="0"/>
        <w:pageBreakBefore w:val="0"/>
        <w:widowControl/>
        <w:kinsoku/>
        <w:wordWrap/>
        <w:overflowPunct/>
        <w:topLinePunct w:val="0"/>
        <w:autoSpaceDE/>
        <w:autoSpaceDN/>
        <w:bidi w:val="0"/>
        <w:spacing w:line="560" w:lineRule="exact"/>
        <w:ind w:firstLine="643" w:firstLineChars="200"/>
        <w:jc w:val="left"/>
        <w:textAlignment w:val="auto"/>
        <w:rPr>
          <w:rFonts w:hint="default" w:ascii="Times New Roman" w:hAnsi="Times New Roman" w:eastAsia="方正仿宋_GBK" w:cs="Times New Roman"/>
          <w:b/>
          <w:bCs/>
          <w:kern w:val="0"/>
          <w:position w:val="3"/>
          <w:sz w:val="32"/>
          <w:szCs w:val="32"/>
          <w:highlight w:val="none"/>
          <w:lang w:val="en-US" w:eastAsia="zh-CN" w:bidi="ar-SA"/>
        </w:rPr>
      </w:pPr>
      <w:r>
        <w:rPr>
          <w:rFonts w:hint="default" w:ascii="Times New Roman" w:hAnsi="Times New Roman" w:eastAsia="方正仿宋_GBK" w:cs="Times New Roman"/>
          <w:b/>
          <w:bCs/>
          <w:kern w:val="0"/>
          <w:position w:val="3"/>
          <w:sz w:val="32"/>
          <w:szCs w:val="32"/>
          <w:highlight w:val="none"/>
          <w:lang w:val="en-US" w:eastAsia="zh-CN" w:bidi="ar-SA"/>
        </w:rPr>
        <w:t>1.产出指标完成情况</w:t>
      </w:r>
    </w:p>
    <w:p w14:paraId="5BFFC6F2">
      <w:pPr>
        <w:keepNext w:val="0"/>
        <w:keepLines w:val="0"/>
        <w:pageBreakBefore w:val="0"/>
        <w:widowControl/>
        <w:kinsoku/>
        <w:wordWrap/>
        <w:overflowPunct/>
        <w:topLinePunct w:val="0"/>
        <w:autoSpaceDE/>
        <w:autoSpaceDN/>
        <w:bidi w:val="0"/>
        <w:spacing w:line="560" w:lineRule="exact"/>
        <w:ind w:firstLine="643" w:firstLineChars="200"/>
        <w:jc w:val="left"/>
        <w:textAlignment w:val="auto"/>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pPr>
      <w:r>
        <w:rPr>
          <w:rFonts w:hint="default" w:ascii="Times New Roman" w:hAnsi="Times New Roman" w:eastAsia="方正仿宋_GBK" w:cs="Times New Roman"/>
          <w:b/>
          <w:bCs/>
          <w:kern w:val="0"/>
          <w:position w:val="3"/>
          <w:sz w:val="32"/>
          <w:szCs w:val="32"/>
          <w:highlight w:val="none"/>
          <w:lang w:val="en-US" w:eastAsia="zh-CN" w:bidi="ar-SA"/>
        </w:rPr>
        <w:t>（1）数量指标。</w:t>
      </w:r>
      <w:r>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t>分别开展了阿坝州“天府精品·阿坝有礼”促消费活动、“游走阿坝·钜惠无限”加油券促消费活动、第二期汽车消费券、“春启万象·阿坝消费季”汽车促消费活动、“暑驾油礼·畅游阿坝”加油券促消费活动、“暑期钜惠·阿坝购车狂欢节”汽车促消费活动、川超主场消费券、“驰骋川西・惠享阿坝” 汽车促消费活动、“秋冬出行・阿坝油礼”加油券、“川超”客场消费券和主场展会专属消费券发放活动、“岁末购车·阿坝有礼” 汽车促消费活动等15场次，得分20分。</w:t>
      </w:r>
    </w:p>
    <w:p w14:paraId="0C1901F3">
      <w:pPr>
        <w:keepNext w:val="0"/>
        <w:keepLines w:val="0"/>
        <w:pageBreakBefore w:val="0"/>
        <w:widowControl/>
        <w:kinsoku/>
        <w:wordWrap/>
        <w:overflowPunct/>
        <w:topLinePunct w:val="0"/>
        <w:autoSpaceDE/>
        <w:autoSpaceDN/>
        <w:bidi w:val="0"/>
        <w:spacing w:line="560" w:lineRule="exact"/>
        <w:ind w:firstLine="643" w:firstLineChars="200"/>
        <w:jc w:val="left"/>
        <w:textAlignment w:val="auto"/>
        <w:outlineLvl w:val="9"/>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pPr>
      <w:r>
        <w:rPr>
          <w:rFonts w:hint="default" w:ascii="Times New Roman" w:hAnsi="Times New Roman" w:eastAsia="方正仿宋_GBK" w:cs="Times New Roman"/>
          <w:b/>
          <w:bCs/>
          <w:kern w:val="0"/>
          <w:position w:val="3"/>
          <w:sz w:val="32"/>
          <w:szCs w:val="32"/>
          <w:highlight w:val="none"/>
          <w:lang w:val="en-US" w:eastAsia="zh-CN" w:bidi="ar-SA"/>
        </w:rPr>
        <w:t>（2）质量指标。</w:t>
      </w:r>
      <w:r>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t>活动期间，阿坝州消费券体系吸引全州 12 家景区及 220 余家市场主体参与核销受理，覆盖汽车销售、家电零售、餐饮住宿、商超便利、文旅加油等多个领域，手机定位在 “阿坝州” 的消费者均可无门槛参与，活动全州覆盖率达 100%，实现政策红利全域覆盖。本指标得分 10 分。</w:t>
      </w:r>
    </w:p>
    <w:p w14:paraId="3E4C2E93">
      <w:pPr>
        <w:keepNext w:val="0"/>
        <w:keepLines w:val="0"/>
        <w:pageBreakBefore w:val="0"/>
        <w:widowControl/>
        <w:kinsoku/>
        <w:wordWrap/>
        <w:overflowPunct/>
        <w:topLinePunct w:val="0"/>
        <w:autoSpaceDE/>
        <w:autoSpaceDN/>
        <w:bidi w:val="0"/>
        <w:spacing w:line="560" w:lineRule="exact"/>
        <w:ind w:firstLine="643" w:firstLineChars="200"/>
        <w:jc w:val="left"/>
        <w:textAlignment w:val="auto"/>
        <w:outlineLvl w:val="9"/>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pPr>
      <w:r>
        <w:rPr>
          <w:rFonts w:hint="default" w:ascii="Times New Roman" w:hAnsi="Times New Roman" w:eastAsia="方正仿宋_GBK" w:cs="Times New Roman"/>
          <w:b/>
          <w:bCs/>
          <w:kern w:val="0"/>
          <w:position w:val="3"/>
          <w:sz w:val="32"/>
          <w:szCs w:val="32"/>
          <w:highlight w:val="none"/>
          <w:lang w:val="en-US" w:eastAsia="zh-CN" w:bidi="ar-SA"/>
        </w:rPr>
        <w:t>（3）时效指标。</w:t>
      </w:r>
      <w:r>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t>活动于2025年分批次开展。得分10分。</w:t>
      </w:r>
    </w:p>
    <w:p w14:paraId="5564781D">
      <w:pPr>
        <w:keepNext w:val="0"/>
        <w:keepLines w:val="0"/>
        <w:pageBreakBefore w:val="0"/>
        <w:widowControl/>
        <w:kinsoku/>
        <w:wordWrap/>
        <w:overflowPunct/>
        <w:topLinePunct w:val="0"/>
        <w:autoSpaceDE/>
        <w:autoSpaceDN/>
        <w:bidi w:val="0"/>
        <w:spacing w:line="560" w:lineRule="exact"/>
        <w:ind w:firstLine="643" w:firstLineChars="200"/>
        <w:jc w:val="left"/>
        <w:textAlignment w:val="auto"/>
        <w:outlineLvl w:val="9"/>
        <w:rPr>
          <w:rFonts w:hint="default" w:ascii="Times New Roman" w:hAnsi="Times New Roman" w:eastAsia="楷体_GB2312" w:cs="Times New Roman"/>
          <w:b/>
          <w:bCs w:val="0"/>
          <w:kern w:val="2"/>
          <w:position w:val="0"/>
          <w:sz w:val="32"/>
          <w:szCs w:val="32"/>
          <w:highlight w:val="none"/>
          <w:lang w:val="en-US" w:eastAsia="zh-CN" w:bidi="ar-SA"/>
        </w:rPr>
      </w:pPr>
      <w:r>
        <w:rPr>
          <w:rFonts w:hint="default" w:ascii="Times New Roman" w:hAnsi="Times New Roman" w:eastAsia="楷体_GB2312" w:cs="Times New Roman"/>
          <w:b/>
          <w:bCs w:val="0"/>
          <w:kern w:val="2"/>
          <w:position w:val="0"/>
          <w:sz w:val="32"/>
          <w:szCs w:val="32"/>
          <w:highlight w:val="none"/>
          <w:lang w:val="en-US" w:eastAsia="zh-CN" w:bidi="ar-SA"/>
        </w:rPr>
        <w:t>（二）效益指标完成情况</w:t>
      </w:r>
    </w:p>
    <w:p w14:paraId="3CC2B4E0">
      <w:pPr>
        <w:keepNext w:val="0"/>
        <w:keepLines w:val="0"/>
        <w:pageBreakBefore w:val="0"/>
        <w:widowControl/>
        <w:kinsoku/>
        <w:wordWrap/>
        <w:overflowPunct/>
        <w:topLinePunct w:val="0"/>
        <w:autoSpaceDE/>
        <w:autoSpaceDN/>
        <w:bidi w:val="0"/>
        <w:spacing w:line="560" w:lineRule="exact"/>
        <w:ind w:firstLine="643" w:firstLineChars="200"/>
        <w:jc w:val="left"/>
        <w:textAlignment w:val="auto"/>
        <w:outlineLvl w:val="9"/>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pPr>
      <w:r>
        <w:rPr>
          <w:rFonts w:hint="default" w:ascii="Times New Roman" w:hAnsi="Times New Roman" w:eastAsia="方正仿宋_GBK" w:cs="Times New Roman"/>
          <w:b/>
          <w:bCs/>
          <w:kern w:val="0"/>
          <w:position w:val="3"/>
          <w:sz w:val="32"/>
          <w:szCs w:val="32"/>
          <w:highlight w:val="none"/>
          <w:lang w:val="en-US" w:eastAsia="zh-CN" w:bidi="ar-SA"/>
        </w:rPr>
        <w:t>（1）经济效益指标：</w:t>
      </w:r>
      <w:r>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t>活动期间，阿坝州消费券吸引全州12家景区及220余家市场主体参与受理消费券核销，累计带动消费3.2亿元，撬动比实现1:8，拉动了经济复苏。</w:t>
      </w:r>
      <w:r>
        <w:rPr>
          <w:rFonts w:hint="default" w:ascii="Times New Roman" w:hAnsi="Times New Roman" w:eastAsia="方正仿宋_GBK" w:cs="Times New Roman"/>
          <w:b w:val="0"/>
          <w:bCs w:val="0"/>
          <w:kern w:val="0"/>
          <w:position w:val="3"/>
          <w:sz w:val="32"/>
          <w:szCs w:val="32"/>
          <w:highlight w:val="none"/>
          <w:lang w:val="en-US" w:eastAsia="zh-CN" w:bidi="ar-SA"/>
        </w:rPr>
        <w:t>其中：安排资金2065万元，发放“汽车消费券”6期，销售各类车辆2787辆，带动消费超2.6亿元。</w:t>
      </w:r>
      <w:r>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t>得分15分。</w:t>
      </w:r>
    </w:p>
    <w:p w14:paraId="531E2ED5">
      <w:pPr>
        <w:keepNext w:val="0"/>
        <w:keepLines w:val="0"/>
        <w:pageBreakBefore w:val="0"/>
        <w:widowControl/>
        <w:kinsoku/>
        <w:wordWrap/>
        <w:overflowPunct/>
        <w:topLinePunct w:val="0"/>
        <w:autoSpaceDE/>
        <w:autoSpaceDN/>
        <w:bidi w:val="0"/>
        <w:spacing w:line="560" w:lineRule="exact"/>
        <w:ind w:firstLine="643" w:firstLineChars="200"/>
        <w:jc w:val="left"/>
        <w:textAlignment w:val="auto"/>
        <w:outlineLvl w:val="9"/>
        <w:rPr>
          <w:rFonts w:hint="default" w:ascii="Times New Roman" w:hAnsi="Times New Roman" w:eastAsia="方正仿宋_GBK" w:cs="Times New Roman"/>
          <w:color w:val="auto"/>
          <w:kern w:val="0"/>
          <w:position w:val="3"/>
          <w:sz w:val="32"/>
          <w:szCs w:val="32"/>
          <w:highlight w:val="none"/>
          <w:lang w:val="en-US" w:eastAsia="zh-CN" w:bidi="ar-SA"/>
        </w:rPr>
      </w:pPr>
      <w:r>
        <w:rPr>
          <w:rFonts w:hint="default" w:ascii="Times New Roman" w:hAnsi="Times New Roman" w:eastAsia="方正仿宋_GBK" w:cs="Times New Roman"/>
          <w:b/>
          <w:bCs/>
          <w:kern w:val="0"/>
          <w:position w:val="3"/>
          <w:sz w:val="32"/>
          <w:szCs w:val="32"/>
          <w:highlight w:val="none"/>
          <w:lang w:val="en-US" w:eastAsia="zh-CN" w:bidi="ar-SA"/>
        </w:rPr>
        <w:t>（2）社会效益指标：</w:t>
      </w:r>
      <w:r>
        <w:rPr>
          <w:rFonts w:hint="default" w:ascii="Times New Roman" w:hAnsi="Times New Roman" w:eastAsia="方正仿宋_GBK" w:cs="Times New Roman"/>
          <w:color w:val="auto"/>
          <w:kern w:val="0"/>
          <w:position w:val="3"/>
          <w:sz w:val="32"/>
          <w:szCs w:val="32"/>
          <w:highlight w:val="none"/>
          <w:lang w:val="en-US" w:eastAsia="zh-CN" w:bidi="ar-SA"/>
        </w:rPr>
        <w:t>2025年，阿坝州社会消费品零售总额同比增长7.4%，增幅居四川省第1位，消费市场保持良好增长态势。得分15分。</w:t>
      </w:r>
    </w:p>
    <w:p w14:paraId="6986E513">
      <w:pPr>
        <w:keepNext w:val="0"/>
        <w:keepLines w:val="0"/>
        <w:pageBreakBefore w:val="0"/>
        <w:widowControl/>
        <w:kinsoku/>
        <w:wordWrap/>
        <w:overflowPunct/>
        <w:topLinePunct w:val="0"/>
        <w:autoSpaceDE/>
        <w:autoSpaceDN/>
        <w:bidi w:val="0"/>
        <w:spacing w:line="560" w:lineRule="exact"/>
        <w:ind w:firstLine="643" w:firstLineChars="200"/>
        <w:jc w:val="left"/>
        <w:textAlignment w:val="auto"/>
        <w:outlineLvl w:val="9"/>
        <w:rPr>
          <w:rFonts w:hint="default" w:ascii="Times New Roman" w:hAnsi="Times New Roman" w:eastAsia="楷体_GB2312" w:cs="Times New Roman"/>
          <w:b/>
          <w:bCs w:val="0"/>
          <w:kern w:val="2"/>
          <w:position w:val="0"/>
          <w:sz w:val="32"/>
          <w:szCs w:val="32"/>
          <w:highlight w:val="none"/>
          <w:lang w:val="en-US" w:eastAsia="zh-CN" w:bidi="ar-SA"/>
        </w:rPr>
      </w:pPr>
      <w:r>
        <w:rPr>
          <w:rFonts w:hint="default" w:ascii="Times New Roman" w:hAnsi="Times New Roman" w:eastAsia="楷体_GB2312" w:cs="Times New Roman"/>
          <w:b/>
          <w:bCs w:val="0"/>
          <w:kern w:val="2"/>
          <w:position w:val="0"/>
          <w:sz w:val="32"/>
          <w:szCs w:val="32"/>
          <w:highlight w:val="none"/>
          <w:lang w:val="en-US" w:eastAsia="zh-CN" w:bidi="ar-SA"/>
        </w:rPr>
        <w:t>（三）满意度指标完成情况</w:t>
      </w:r>
    </w:p>
    <w:p w14:paraId="7BAB4BCF">
      <w:pPr>
        <w:keepNext w:val="0"/>
        <w:keepLines w:val="0"/>
        <w:pageBreakBefore w:val="0"/>
        <w:widowControl/>
        <w:kinsoku/>
        <w:wordWrap/>
        <w:overflowPunct/>
        <w:topLinePunct w:val="0"/>
        <w:autoSpaceDE/>
        <w:autoSpaceDN/>
        <w:bidi w:val="0"/>
        <w:spacing w:line="560" w:lineRule="exact"/>
        <w:ind w:firstLine="643" w:firstLineChars="200"/>
        <w:jc w:val="left"/>
        <w:textAlignment w:val="auto"/>
        <w:outlineLvl w:val="9"/>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pPr>
      <w:r>
        <w:rPr>
          <w:rFonts w:hint="default" w:ascii="Times New Roman" w:hAnsi="Times New Roman" w:eastAsia="方正仿宋_GBK" w:cs="Times New Roman"/>
          <w:b/>
          <w:bCs/>
          <w:kern w:val="0"/>
          <w:position w:val="3"/>
          <w:sz w:val="32"/>
          <w:szCs w:val="32"/>
          <w:highlight w:val="none"/>
          <w:lang w:val="en-US" w:eastAsia="zh-CN" w:bidi="ar-SA"/>
        </w:rPr>
        <w:t>（1）城乡居民满意度：</w:t>
      </w:r>
      <w:r>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t>通过线上线下调研反馈，参与活动的城乡居民对消费券发放、使用流程及优惠力度的满意度超 85%，本指标得 5 分。</w:t>
      </w:r>
    </w:p>
    <w:p w14:paraId="793E1D23">
      <w:pPr>
        <w:keepNext w:val="0"/>
        <w:keepLines w:val="0"/>
        <w:pageBreakBefore w:val="0"/>
        <w:widowControl/>
        <w:kinsoku/>
        <w:wordWrap/>
        <w:overflowPunct/>
        <w:topLinePunct w:val="0"/>
        <w:autoSpaceDE/>
        <w:autoSpaceDN/>
        <w:bidi w:val="0"/>
        <w:spacing w:line="560" w:lineRule="exact"/>
        <w:ind w:firstLine="643" w:firstLineChars="200"/>
        <w:jc w:val="left"/>
        <w:textAlignment w:val="auto"/>
        <w:outlineLvl w:val="9"/>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pPr>
      <w:r>
        <w:rPr>
          <w:rFonts w:hint="default" w:ascii="Times New Roman" w:hAnsi="Times New Roman" w:eastAsia="方正仿宋_GBK" w:cs="Times New Roman"/>
          <w:b/>
          <w:bCs/>
          <w:kern w:val="0"/>
          <w:position w:val="3"/>
          <w:sz w:val="32"/>
          <w:szCs w:val="32"/>
          <w:highlight w:val="none"/>
          <w:lang w:val="en-US" w:eastAsia="zh-CN" w:bidi="ar-SA"/>
        </w:rPr>
        <w:t>（2）企业满意度：</w:t>
      </w:r>
      <w:r>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t>参与商户对消费券活动的组织实施、客流带动效果的满意度达 85%，本指标得 5 分。</w:t>
      </w:r>
    </w:p>
    <w:p w14:paraId="286ADE68">
      <w:pPr>
        <w:keepNext w:val="0"/>
        <w:keepLines w:val="0"/>
        <w:pageBreakBefore w:val="0"/>
        <w:widowControl/>
        <w:kinsoku/>
        <w:wordWrap/>
        <w:overflowPunct/>
        <w:topLinePunct w:val="0"/>
        <w:autoSpaceDE/>
        <w:autoSpaceDN/>
        <w:bidi w:val="0"/>
        <w:spacing w:line="560" w:lineRule="exact"/>
        <w:ind w:firstLine="640" w:firstLineChars="200"/>
        <w:jc w:val="left"/>
        <w:textAlignment w:val="auto"/>
        <w:outlineLvl w:val="9"/>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pPr>
      <w:r>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t>总得分：100分。</w:t>
      </w:r>
    </w:p>
    <w:p w14:paraId="1F99ED13">
      <w:pPr>
        <w:keepNext w:val="0"/>
        <w:keepLines w:val="0"/>
        <w:pageBreakBefore w:val="0"/>
        <w:widowControl w:val="0"/>
        <w:suppressLineNumbers w:val="0"/>
        <w:suppressAutoHyphens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kern w:val="2"/>
          <w:sz w:val="32"/>
          <w:szCs w:val="32"/>
          <w:highlight w:val="none"/>
          <w:lang w:bidi="ar-SA"/>
        </w:rPr>
      </w:pPr>
      <w:r>
        <w:rPr>
          <w:rFonts w:hint="default" w:ascii="Times New Roman" w:hAnsi="Times New Roman" w:eastAsia="黑体" w:cs="Times New Roman"/>
          <w:kern w:val="2"/>
          <w:sz w:val="32"/>
          <w:szCs w:val="32"/>
          <w:highlight w:val="none"/>
          <w:lang w:bidi="ar-SA"/>
        </w:rPr>
        <w:t>四、评价结论</w:t>
      </w:r>
    </w:p>
    <w:p w14:paraId="2AAD347A">
      <w:pPr>
        <w:keepNext w:val="0"/>
        <w:keepLines w:val="0"/>
        <w:pageBreakBefore w:val="0"/>
        <w:widowControl/>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方正仿宋_GBK" w:cs="Times New Roman"/>
          <w:kern w:val="0"/>
          <w:position w:val="0"/>
          <w:sz w:val="32"/>
          <w:szCs w:val="32"/>
          <w:highlight w:val="none"/>
          <w:shd w:val="clear" w:color="auto" w:fill="FFFFFF"/>
          <w:lang w:val="en-US" w:eastAsia="zh-CN" w:bidi="ar-SA"/>
        </w:rPr>
      </w:pPr>
      <w:r>
        <w:rPr>
          <w:rFonts w:hint="default" w:ascii="Times New Roman" w:hAnsi="Times New Roman" w:eastAsia="方正仿宋_GBK" w:cs="Times New Roman"/>
          <w:kern w:val="0"/>
          <w:position w:val="0"/>
          <w:sz w:val="32"/>
          <w:szCs w:val="32"/>
          <w:highlight w:val="none"/>
          <w:shd w:val="clear" w:color="auto" w:fill="FFFFFF"/>
          <w:lang w:val="en-US" w:eastAsia="en-US" w:bidi="ar-SA"/>
        </w:rPr>
        <w:t>促进消费恢复发展专项资金</w:t>
      </w:r>
      <w:r>
        <w:rPr>
          <w:rFonts w:hint="default" w:ascii="Times New Roman" w:hAnsi="Times New Roman" w:eastAsia="方正仿宋_GBK" w:cs="Times New Roman"/>
          <w:kern w:val="0"/>
          <w:position w:val="0"/>
          <w:sz w:val="32"/>
          <w:szCs w:val="32"/>
          <w:highlight w:val="none"/>
          <w:shd w:val="clear" w:color="auto" w:fill="FFFFFF"/>
          <w:lang w:val="en-US" w:eastAsia="zh-CN" w:bidi="ar-SA"/>
        </w:rPr>
        <w:t>绩效评价项目绩效评价最终结果为：总体得分100分。</w:t>
      </w:r>
    </w:p>
    <w:p w14:paraId="6D7A42C7">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60" w:lineRule="exact"/>
        <w:ind w:left="0" w:right="0" w:firstLine="640" w:firstLineChars="200"/>
        <w:jc w:val="left"/>
        <w:textAlignment w:val="auto"/>
        <w:outlineLvl w:val="9"/>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pPr>
      <w:r>
        <w:rPr>
          <w:rFonts w:hint="default" w:ascii="Times New Roman" w:hAnsi="Times New Roman" w:eastAsia="方正仿宋_GBK" w:cs="Times New Roman"/>
          <w:position w:val="0"/>
          <w:sz w:val="32"/>
          <w:szCs w:val="32"/>
          <w:highlight w:val="none"/>
          <w:shd w:val="clear" w:color="auto" w:fill="FFFFFF"/>
          <w:lang w:val="en-US" w:eastAsia="zh-CN"/>
        </w:rPr>
        <w:t>基于评价结果，得出以下结论</w:t>
      </w:r>
      <w:r>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t>：阿坝州消费券促消费活动通过发放政府消费券，逐步构建了“政府引导、市场为主、消费者广泛参与”的消费生态，为消费市场持续回升向好按下了加速键。很多参与商家反映消费券活动对提升客流量起到了显著效果。汽车促消费活动成效显著，通过6期的汽车促消费活动，</w:t>
      </w:r>
      <w:r>
        <w:rPr>
          <w:rFonts w:hint="default" w:ascii="Times New Roman" w:hAnsi="Times New Roman" w:eastAsia="方正仿宋_GBK" w:cs="Times New Roman"/>
          <w:sz w:val="32"/>
          <w:szCs w:val="32"/>
          <w:highlight w:val="none"/>
          <w:lang w:val="en-US" w:eastAsia="zh-CN"/>
        </w:rPr>
        <w:t>销售汽车2787台，产生的直接消费总额2.6亿元，撬动比达1：12，</w:t>
      </w:r>
      <w:r>
        <w:rPr>
          <w:rFonts w:hint="default" w:ascii="Times New Roman" w:hAnsi="Times New Roman" w:eastAsia="方正仿宋_GBK" w:cs="Times New Roman"/>
          <w:snapToGrid/>
          <w:color w:val="auto"/>
          <w:spacing w:val="0"/>
          <w:w w:val="100"/>
          <w:kern w:val="0"/>
          <w:position w:val="0"/>
          <w:sz w:val="32"/>
          <w:szCs w:val="32"/>
          <w:highlight w:val="none"/>
          <w:u w:val="none" w:color="auto"/>
          <w:shd w:val="clear" w:color="auto" w:fill="FFFFFF"/>
          <w:vertAlign w:val="baseline"/>
          <w:lang w:val="en-US" w:eastAsia="zh-CN" w:bidi="ar-SA"/>
        </w:rPr>
        <w:t>经济效益、社会效益和带动效益明显增强。</w:t>
      </w:r>
    </w:p>
    <w:p w14:paraId="7B8C7EDB">
      <w:pPr>
        <w:keepNext w:val="0"/>
        <w:keepLines w:val="0"/>
        <w:pageBreakBefore w:val="0"/>
        <w:widowControl w:val="0"/>
        <w:suppressLineNumbers w:val="0"/>
        <w:suppressAutoHyphens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黑体" w:cs="Times New Roman"/>
          <w:kern w:val="2"/>
          <w:sz w:val="32"/>
          <w:szCs w:val="32"/>
          <w:highlight w:val="none"/>
          <w:lang w:bidi="ar-SA"/>
        </w:rPr>
        <w:t>五、存在主要问题</w:t>
      </w:r>
    </w:p>
    <w:p w14:paraId="74A3DA09">
      <w:pPr>
        <w:keepNext w:val="0"/>
        <w:keepLines w:val="0"/>
        <w:pageBreakBefore w:val="0"/>
        <w:widowControl/>
        <w:kinsoku/>
        <w:wordWrap/>
        <w:overflowPunct/>
        <w:topLinePunct w:val="0"/>
        <w:autoSpaceDE/>
        <w:autoSpaceDN/>
        <w:bidi w:val="0"/>
        <w:spacing w:line="560" w:lineRule="exact"/>
        <w:ind w:firstLine="643" w:firstLineChars="200"/>
        <w:jc w:val="left"/>
        <w:textAlignment w:val="auto"/>
        <w:outlineLvl w:val="9"/>
        <w:rPr>
          <w:rFonts w:hint="default" w:ascii="Times New Roman" w:hAnsi="Times New Roman" w:eastAsia="楷体_GB2312" w:cs="Times New Roman"/>
          <w:b/>
          <w:bCs w:val="0"/>
          <w:kern w:val="2"/>
          <w:position w:val="0"/>
          <w:sz w:val="32"/>
          <w:szCs w:val="32"/>
          <w:highlight w:val="none"/>
          <w:lang w:val="zh-TW" w:eastAsia="zh-CN" w:bidi="ar-SA"/>
        </w:rPr>
      </w:pPr>
      <w:r>
        <w:rPr>
          <w:rFonts w:hint="default" w:ascii="Times New Roman" w:hAnsi="Times New Roman" w:eastAsia="楷体_GB2312" w:cs="Times New Roman"/>
          <w:b/>
          <w:bCs w:val="0"/>
          <w:kern w:val="2"/>
          <w:position w:val="0"/>
          <w:sz w:val="32"/>
          <w:szCs w:val="32"/>
          <w:highlight w:val="none"/>
          <w:lang w:val="zh-TW" w:eastAsia="zh-CN" w:bidi="ar-SA"/>
        </w:rPr>
        <w:t>（一）政策设计机制不够优化</w:t>
      </w:r>
    </w:p>
    <w:p w14:paraId="4D6D3686">
      <w:pPr>
        <w:keepNext w:val="0"/>
        <w:keepLines w:val="0"/>
        <w:pageBreakBefore w:val="0"/>
        <w:widowControl/>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方正仿宋_GBK" w:cs="Times New Roman"/>
          <w:b/>
          <w:bCs/>
          <w:color w:val="auto"/>
          <w:kern w:val="2"/>
          <w:position w:val="3"/>
          <w:sz w:val="32"/>
          <w:szCs w:val="32"/>
          <w:highlight w:val="none"/>
          <w:lang w:val="zh-TW" w:eastAsia="zh-CN" w:bidi="ar-SA"/>
        </w:rPr>
      </w:pPr>
      <w:r>
        <w:rPr>
          <w:rFonts w:hint="default" w:ascii="Times New Roman" w:hAnsi="Times New Roman" w:eastAsia="方正仿宋_GBK" w:cs="Times New Roman"/>
          <w:snapToGrid/>
          <w:color w:val="auto"/>
          <w:spacing w:val="0"/>
          <w:w w:val="100"/>
          <w:kern w:val="2"/>
          <w:position w:val="0"/>
          <w:sz w:val="32"/>
          <w:szCs w:val="32"/>
          <w:highlight w:val="none"/>
          <w:u w:val="none" w:color="auto"/>
          <w:vertAlign w:val="baseline"/>
          <w:lang w:val="zh-TW" w:eastAsia="zh-CN" w:bidi="ar-SA"/>
        </w:rPr>
        <w:t>对照国家促消费政策 “精准投放、高效便民” 的要求，当前消费券的发放渠道和宣传平台较为单一，未能充分利用线上新媒体、线下商户联动等多元渠道；同时为防范套现等风险，消费券使用设置的限制条款较多，降低了消费者使用体验；对如何提高资金资源配置效率，精准将消费券发放到刚需消费群体手中并有效转化为实际消费行为，缺乏深入的调研和系统的设计。</w:t>
      </w:r>
    </w:p>
    <w:p w14:paraId="257F360C">
      <w:pPr>
        <w:keepNext w:val="0"/>
        <w:keepLines w:val="0"/>
        <w:pageBreakBefore w:val="0"/>
        <w:widowControl/>
        <w:kinsoku/>
        <w:wordWrap/>
        <w:overflowPunct/>
        <w:topLinePunct w:val="0"/>
        <w:autoSpaceDE/>
        <w:autoSpaceDN/>
        <w:bidi w:val="0"/>
        <w:spacing w:line="560" w:lineRule="exact"/>
        <w:ind w:firstLine="643" w:firstLineChars="200"/>
        <w:jc w:val="left"/>
        <w:textAlignment w:val="auto"/>
        <w:outlineLvl w:val="9"/>
        <w:rPr>
          <w:rFonts w:hint="default" w:ascii="Times New Roman" w:hAnsi="Times New Roman" w:eastAsia="楷体_GB2312" w:cs="Times New Roman"/>
          <w:b/>
          <w:bCs w:val="0"/>
          <w:kern w:val="2"/>
          <w:position w:val="0"/>
          <w:sz w:val="32"/>
          <w:szCs w:val="32"/>
          <w:highlight w:val="none"/>
          <w:lang w:val="zh-TW" w:eastAsia="zh-CN" w:bidi="ar-SA"/>
        </w:rPr>
      </w:pPr>
      <w:r>
        <w:rPr>
          <w:rFonts w:hint="default" w:ascii="Times New Roman" w:hAnsi="Times New Roman" w:eastAsia="楷体_GB2312" w:cs="Times New Roman"/>
          <w:b/>
          <w:bCs w:val="0"/>
          <w:kern w:val="2"/>
          <w:position w:val="0"/>
          <w:sz w:val="32"/>
          <w:szCs w:val="32"/>
          <w:highlight w:val="none"/>
          <w:lang w:val="zh-TW" w:eastAsia="zh-CN" w:bidi="ar-SA"/>
        </w:rPr>
        <w:t>（二）活动实施缺乏长效延续性</w:t>
      </w:r>
    </w:p>
    <w:p w14:paraId="4B367F81">
      <w:pPr>
        <w:keepNext w:val="0"/>
        <w:keepLines w:val="0"/>
        <w:pageBreakBefore w:val="0"/>
        <w:widowControl/>
        <w:kinsoku/>
        <w:wordWrap/>
        <w:overflowPunct/>
        <w:topLinePunct w:val="0"/>
        <w:autoSpaceDE/>
        <w:autoSpaceDN/>
        <w:bidi w:val="0"/>
        <w:spacing w:line="560" w:lineRule="exact"/>
        <w:ind w:firstLine="640" w:firstLineChars="200"/>
        <w:jc w:val="left"/>
        <w:textAlignment w:val="auto"/>
        <w:outlineLvl w:val="9"/>
        <w:rPr>
          <w:rFonts w:hint="default" w:ascii="Times New Roman" w:hAnsi="Times New Roman" w:eastAsia="方正仿宋_GBK" w:cs="Times New Roman"/>
          <w:snapToGrid/>
          <w:color w:val="auto"/>
          <w:spacing w:val="0"/>
          <w:w w:val="100"/>
          <w:kern w:val="2"/>
          <w:position w:val="0"/>
          <w:sz w:val="32"/>
          <w:szCs w:val="32"/>
          <w:highlight w:val="none"/>
          <w:u w:val="none" w:color="auto"/>
          <w:vertAlign w:val="baseline"/>
          <w:lang w:val="zh-TW" w:eastAsia="zh-CN" w:bidi="ar-SA"/>
        </w:rPr>
      </w:pPr>
      <w:r>
        <w:rPr>
          <w:rFonts w:hint="default" w:ascii="Times New Roman" w:hAnsi="Times New Roman" w:eastAsia="方正仿宋_GBK" w:cs="Times New Roman"/>
          <w:snapToGrid/>
          <w:color w:val="auto"/>
          <w:spacing w:val="0"/>
          <w:w w:val="100"/>
          <w:kern w:val="2"/>
          <w:position w:val="0"/>
          <w:sz w:val="32"/>
          <w:szCs w:val="32"/>
          <w:highlight w:val="none"/>
          <w:u w:val="none" w:color="auto"/>
          <w:vertAlign w:val="baseline"/>
          <w:lang w:val="zh-TW" w:eastAsia="zh-CN" w:bidi="ar-SA"/>
        </w:rPr>
        <w:t>促进消费是系统性工程，国家《提振消费专项行动方案》明确要求建立长效消费提振机制，而我州目前仅依托年度专项资金开展阶段性促消费活动，尚未形成常态化、持续性的活动体系；单次活动的消费刺激效果难以持久，未能有效衔接全年消费节点，对消费潜力的持续释放和消费市场的长期稳定增长支撑不足。</w:t>
      </w:r>
    </w:p>
    <w:p w14:paraId="4970CEF8">
      <w:pPr>
        <w:keepNext w:val="0"/>
        <w:keepLines w:val="0"/>
        <w:pageBreakBefore w:val="0"/>
        <w:widowControl/>
        <w:kinsoku/>
        <w:wordWrap/>
        <w:overflowPunct/>
        <w:topLinePunct w:val="0"/>
        <w:autoSpaceDE/>
        <w:autoSpaceDN/>
        <w:bidi w:val="0"/>
        <w:spacing w:line="560" w:lineRule="exact"/>
        <w:ind w:firstLine="643" w:firstLineChars="200"/>
        <w:jc w:val="left"/>
        <w:textAlignment w:val="auto"/>
        <w:outlineLvl w:val="9"/>
        <w:rPr>
          <w:rFonts w:hint="default" w:ascii="Times New Roman" w:hAnsi="Times New Roman" w:eastAsia="楷体_GB2312" w:cs="Times New Roman"/>
          <w:b/>
          <w:bCs w:val="0"/>
          <w:kern w:val="2"/>
          <w:position w:val="0"/>
          <w:sz w:val="32"/>
          <w:szCs w:val="32"/>
          <w:highlight w:val="none"/>
          <w:lang w:val="zh-TW" w:eastAsia="zh-CN" w:bidi="ar-SA"/>
        </w:rPr>
      </w:pPr>
      <w:r>
        <w:rPr>
          <w:rFonts w:hint="default" w:ascii="Times New Roman" w:hAnsi="Times New Roman" w:eastAsia="楷体_GB2312" w:cs="Times New Roman"/>
          <w:b/>
          <w:bCs w:val="0"/>
          <w:kern w:val="2"/>
          <w:position w:val="0"/>
          <w:sz w:val="32"/>
          <w:szCs w:val="32"/>
          <w:highlight w:val="none"/>
          <w:lang w:val="zh-TW" w:eastAsia="zh-CN" w:bidi="ar-SA"/>
        </w:rPr>
        <w:t>（三）与国家细分政策衔接不足</w:t>
      </w:r>
    </w:p>
    <w:p w14:paraId="64FC61A4">
      <w:pPr>
        <w:keepNext w:val="0"/>
        <w:keepLines w:val="0"/>
        <w:pageBreakBefore w:val="0"/>
        <w:widowControl/>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方正仿宋_GBK" w:cs="Times New Roman"/>
          <w:b/>
          <w:bCs/>
          <w:color w:val="auto"/>
          <w:kern w:val="2"/>
          <w:position w:val="3"/>
          <w:sz w:val="32"/>
          <w:szCs w:val="32"/>
          <w:highlight w:val="none"/>
          <w:lang w:val="zh-TW" w:eastAsia="zh-CN" w:bidi="ar-SA"/>
        </w:rPr>
      </w:pPr>
      <w:r>
        <w:rPr>
          <w:rFonts w:hint="default" w:ascii="Times New Roman" w:hAnsi="Times New Roman" w:eastAsia="方正仿宋_GBK" w:cs="Times New Roman"/>
          <w:snapToGrid/>
          <w:color w:val="auto"/>
          <w:spacing w:val="0"/>
          <w:w w:val="100"/>
          <w:kern w:val="2"/>
          <w:position w:val="0"/>
          <w:sz w:val="32"/>
          <w:szCs w:val="32"/>
          <w:highlight w:val="none"/>
          <w:u w:val="none" w:color="auto"/>
          <w:vertAlign w:val="baseline"/>
          <w:lang w:val="zh-TW" w:eastAsia="zh-CN" w:bidi="ar-SA"/>
        </w:rPr>
        <w:t>对国家2025年家电以旧换新（12 类品类）、数码产品购新补贴、汽车后市场消费等细分政策的落地衔接不够，对家电、数码等大宗消费品类的提振力度有待加强</w:t>
      </w:r>
      <w:r>
        <w:rPr>
          <w:rFonts w:hint="default" w:ascii="Times New Roman" w:hAnsi="Times New Roman" w:eastAsia="方正仿宋_GBK" w:cs="Times New Roman"/>
          <w:b/>
          <w:bCs/>
          <w:color w:val="auto"/>
          <w:kern w:val="2"/>
          <w:position w:val="3"/>
          <w:sz w:val="32"/>
          <w:szCs w:val="32"/>
          <w:highlight w:val="none"/>
          <w:lang w:val="zh-TW" w:eastAsia="zh-CN" w:bidi="ar-SA"/>
        </w:rPr>
        <w:t>。</w:t>
      </w:r>
    </w:p>
    <w:p w14:paraId="37564A65">
      <w:pPr>
        <w:keepNext w:val="0"/>
        <w:keepLines w:val="0"/>
        <w:pageBreakBefore w:val="0"/>
        <w:widowControl w:val="0"/>
        <w:suppressLineNumbers w:val="0"/>
        <w:suppressAutoHyphens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kern w:val="0"/>
          <w:position w:val="3"/>
          <w:sz w:val="32"/>
          <w:szCs w:val="32"/>
          <w:highlight w:val="none"/>
          <w:lang w:bidi="ar-SA"/>
        </w:rPr>
      </w:pPr>
      <w:r>
        <w:rPr>
          <w:rFonts w:hint="default" w:ascii="Times New Roman" w:hAnsi="Times New Roman" w:eastAsia="黑体" w:cs="Times New Roman"/>
          <w:kern w:val="2"/>
          <w:sz w:val="32"/>
          <w:szCs w:val="32"/>
          <w:highlight w:val="none"/>
          <w:lang w:bidi="ar-SA"/>
        </w:rPr>
        <w:t>六、改进建议</w:t>
      </w:r>
    </w:p>
    <w:p w14:paraId="2038CEF7">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left"/>
        <w:textAlignment w:val="auto"/>
        <w:rPr>
          <w:rFonts w:hint="default" w:ascii="Times New Roman" w:hAnsi="Times New Roman" w:eastAsia="方正仿宋_GBK" w:cs="Times New Roman"/>
          <w:bCs/>
          <w:color w:val="000000"/>
          <w:kern w:val="0"/>
          <w:position w:val="3"/>
          <w:sz w:val="32"/>
          <w:szCs w:val="32"/>
          <w:highlight w:val="none"/>
          <w:lang w:val="en-US" w:eastAsia="zh-CN" w:bidi="ar-SA"/>
        </w:rPr>
      </w:pPr>
      <w:r>
        <w:rPr>
          <w:rFonts w:hint="default" w:ascii="Times New Roman" w:hAnsi="Times New Roman" w:eastAsia="楷体_GB2312" w:cs="Times New Roman"/>
          <w:b/>
          <w:bCs w:val="0"/>
          <w:kern w:val="2"/>
          <w:position w:val="0"/>
          <w:sz w:val="32"/>
          <w:szCs w:val="32"/>
          <w:highlight w:val="none"/>
          <w:lang w:val="en-US" w:eastAsia="zh-CN" w:bidi="ar-SA"/>
        </w:rPr>
        <w:t>（一）完善机制，优化环境。</w:t>
      </w:r>
      <w:r>
        <w:rPr>
          <w:rFonts w:hint="default" w:ascii="Times New Roman" w:hAnsi="Times New Roman" w:eastAsia="方正仿宋_GBK" w:cs="Times New Roman"/>
          <w:color w:val="000000"/>
          <w:kern w:val="2"/>
          <w:position w:val="3"/>
          <w:sz w:val="32"/>
          <w:szCs w:val="32"/>
          <w:highlight w:val="none"/>
          <w:lang w:val="en-US" w:eastAsia="zh-CN" w:bidi="ar-SA"/>
        </w:rPr>
        <w:t>深入分析研究，设计更合理、便于操作的消费券发放机制。</w:t>
      </w:r>
      <w:r>
        <w:rPr>
          <w:rFonts w:hint="default" w:ascii="Times New Roman" w:hAnsi="Times New Roman" w:eastAsia="方正仿宋_GBK" w:cs="Times New Roman"/>
          <w:bCs/>
          <w:color w:val="000000"/>
          <w:kern w:val="0"/>
          <w:position w:val="3"/>
          <w:sz w:val="32"/>
          <w:szCs w:val="32"/>
          <w:highlight w:val="none"/>
          <w:lang w:val="en-US" w:eastAsia="zh-CN" w:bidi="ar-SA"/>
        </w:rPr>
        <w:t>在消费券的发放和使用过程中加强监管，杜绝利用消费券破坏市场秩序的行为，保证发券过程公平、透明、可回溯，提升用户与商户的消费体验。</w:t>
      </w:r>
    </w:p>
    <w:p w14:paraId="7CB39F29">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方正仿宋_GBK" w:cs="Times New Roman"/>
          <w:sz w:val="32"/>
          <w:szCs w:val="32"/>
          <w:highlight w:val="none"/>
          <w:lang w:eastAsia="zh-CN"/>
        </w:rPr>
      </w:pPr>
      <w:r>
        <w:rPr>
          <w:rFonts w:hint="default" w:ascii="Times New Roman" w:hAnsi="Times New Roman" w:eastAsia="楷体_GB2312" w:cs="Times New Roman"/>
          <w:b/>
          <w:bCs w:val="0"/>
          <w:kern w:val="2"/>
          <w:position w:val="0"/>
          <w:sz w:val="32"/>
          <w:szCs w:val="32"/>
          <w:highlight w:val="none"/>
          <w:lang w:val="en-US" w:eastAsia="zh-CN" w:bidi="ar-SA"/>
        </w:rPr>
        <w:t>（二）延续活动，办出特色。</w:t>
      </w:r>
      <w:r>
        <w:rPr>
          <w:rFonts w:hint="default" w:ascii="Times New Roman" w:hAnsi="Times New Roman" w:eastAsia="方正仿宋_GBK" w:cs="Times New Roman"/>
          <w:sz w:val="32"/>
          <w:szCs w:val="32"/>
          <w:highlight w:val="none"/>
          <w:lang w:eastAsia="zh-CN"/>
        </w:rPr>
        <w:t>提升促消费活动影响力，固定举办时间，持续性投入资金，</w:t>
      </w:r>
      <w:r>
        <w:rPr>
          <w:rFonts w:hint="default" w:ascii="Times New Roman" w:hAnsi="Times New Roman" w:eastAsia="方正仿宋_GBK" w:cs="Times New Roman"/>
          <w:sz w:val="32"/>
          <w:szCs w:val="32"/>
          <w:highlight w:val="none"/>
          <w:lang w:val="en-US" w:eastAsia="zh-CN"/>
        </w:rPr>
        <w:t>延长消费链条，放大消费效能。</w:t>
      </w:r>
      <w:r>
        <w:rPr>
          <w:rFonts w:hint="default" w:ascii="Times New Roman" w:hAnsi="Times New Roman" w:eastAsia="方正仿宋_GBK" w:cs="Times New Roman"/>
          <w:sz w:val="32"/>
          <w:szCs w:val="32"/>
          <w:highlight w:val="none"/>
          <w:lang w:eastAsia="zh-CN"/>
        </w:rPr>
        <w:t>带动更多有活力的企业参与进来，将促消费活动作为“守诚信、促消费、惠民生”建设的一个总抓手，在消费券发放基础上，采用特价、满减等方式相结合，灵活多样地开展各类让利促销活动，满足各类消费人群需求。</w:t>
      </w:r>
    </w:p>
    <w:p w14:paraId="3C78BB4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Cs/>
          <w:color w:val="000000"/>
          <w:sz w:val="32"/>
          <w:szCs w:val="32"/>
          <w:highlight w:val="none"/>
          <w:lang w:val="zh-TW"/>
        </w:rPr>
      </w:pPr>
      <w:r>
        <w:rPr>
          <w:rFonts w:hint="default" w:ascii="Times New Roman" w:hAnsi="Times New Roman" w:eastAsia="楷体_GB2312" w:cs="Times New Roman"/>
          <w:b/>
          <w:bCs w:val="0"/>
          <w:kern w:val="2"/>
          <w:position w:val="0"/>
          <w:sz w:val="32"/>
          <w:szCs w:val="32"/>
          <w:highlight w:val="none"/>
          <w:lang w:val="zh-TW" w:eastAsia="zh-CN" w:bidi="ar-SA"/>
        </w:rPr>
        <w:t>（三）积极引导，培育热点。</w:t>
      </w:r>
      <w:r>
        <w:rPr>
          <w:rFonts w:hint="default" w:ascii="Times New Roman" w:hAnsi="Times New Roman" w:eastAsia="方正仿宋_GBK" w:cs="Times New Roman"/>
          <w:bCs/>
          <w:color w:val="000000"/>
          <w:sz w:val="32"/>
          <w:szCs w:val="32"/>
          <w:highlight w:val="none"/>
          <w:lang w:val="zh-TW" w:eastAsia="zh-CN"/>
        </w:rPr>
        <w:t>加强商户培训</w:t>
      </w:r>
      <w:r>
        <w:rPr>
          <w:rFonts w:hint="default" w:ascii="Times New Roman" w:hAnsi="Times New Roman" w:eastAsia="方正仿宋_GBK" w:cs="Times New Roman"/>
          <w:bCs/>
          <w:color w:val="000000"/>
          <w:sz w:val="32"/>
          <w:szCs w:val="32"/>
          <w:highlight w:val="none"/>
          <w:lang w:val="zh-TW"/>
        </w:rPr>
        <w:t>，</w:t>
      </w:r>
      <w:r>
        <w:rPr>
          <w:rFonts w:hint="default" w:ascii="Times New Roman" w:hAnsi="Times New Roman" w:eastAsia="方正仿宋_GBK" w:cs="Times New Roman"/>
          <w:bCs/>
          <w:color w:val="000000"/>
          <w:sz w:val="32"/>
          <w:szCs w:val="32"/>
          <w:highlight w:val="none"/>
          <w:lang w:val="zh-TW" w:eastAsia="zh-CN"/>
        </w:rPr>
        <w:t>积极引导，</w:t>
      </w:r>
      <w:r>
        <w:rPr>
          <w:rFonts w:hint="default" w:ascii="Times New Roman" w:hAnsi="Times New Roman" w:eastAsia="方正仿宋_GBK" w:cs="Times New Roman"/>
          <w:bCs/>
          <w:color w:val="000000"/>
          <w:sz w:val="32"/>
          <w:szCs w:val="32"/>
          <w:highlight w:val="none"/>
          <w:lang w:val="zh-TW"/>
        </w:rPr>
        <w:t>以营造安全消费环境、倡导诚信经营、突出保护消费者权益为重点，围绕安全消费、绿色消费、信用消</w:t>
      </w:r>
      <w:r>
        <w:rPr>
          <w:rFonts w:hint="default" w:ascii="Times New Roman" w:hAnsi="Times New Roman" w:eastAsia="方正仿宋_GBK" w:cs="Times New Roman"/>
          <w:bCs/>
          <w:color w:val="000000"/>
          <w:sz w:val="32"/>
          <w:szCs w:val="32"/>
          <w:highlight w:val="none"/>
          <w:lang w:val="zh-TW" w:eastAsia="zh-CN"/>
        </w:rPr>
        <w:t>费等</w:t>
      </w:r>
      <w:r>
        <w:rPr>
          <w:rFonts w:hint="default" w:ascii="Times New Roman" w:hAnsi="Times New Roman" w:eastAsia="方正仿宋_GBK" w:cs="Times New Roman"/>
          <w:bCs/>
          <w:color w:val="000000"/>
          <w:sz w:val="32"/>
          <w:szCs w:val="32"/>
          <w:highlight w:val="none"/>
          <w:lang w:val="zh-TW"/>
        </w:rPr>
        <w:t>专题，推进商旅互动、商文结合，拓展消费空间，培育新的消费热点。</w:t>
      </w:r>
    </w:p>
    <w:p w14:paraId="2BCC27B0">
      <w:pPr>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64E2302D">
      <w:pPr>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微软雅黑" w:hAnsi="微软雅黑" w:eastAsia="微软雅黑" w:cs="微软雅黑"/>
          <w:color w:val="auto"/>
          <w:kern w:val="2"/>
          <w:sz w:val="44"/>
          <w:szCs w:val="44"/>
          <w:highlight w:val="none"/>
          <w:lang w:val="en-US" w:eastAsia="zh-CN" w:bidi="ar-SA"/>
        </w:rPr>
      </w:pPr>
      <w:r>
        <w:rPr>
          <w:rFonts w:hint="eastAsia" w:ascii="微软雅黑" w:hAnsi="微软雅黑" w:eastAsia="微软雅黑" w:cs="微软雅黑"/>
          <w:color w:val="auto"/>
          <w:kern w:val="2"/>
          <w:sz w:val="44"/>
          <w:szCs w:val="44"/>
          <w:highlight w:val="none"/>
          <w:lang w:val="en-US" w:eastAsia="zh-CN" w:bidi="ar-SA"/>
        </w:rPr>
        <w:t xml:space="preserve"> 阿坝州商务局</w:t>
      </w:r>
    </w:p>
    <w:p w14:paraId="5470D82B">
      <w:pPr>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微软雅黑" w:hAnsi="微软雅黑" w:eastAsia="微软雅黑" w:cs="微软雅黑"/>
          <w:color w:val="auto"/>
          <w:kern w:val="2"/>
          <w:sz w:val="44"/>
          <w:szCs w:val="44"/>
          <w:highlight w:val="none"/>
          <w:lang w:val="zh-CN" w:eastAsia="zh-CN" w:bidi="ar-SA"/>
        </w:rPr>
      </w:pPr>
      <w:r>
        <w:rPr>
          <w:rFonts w:hint="default" w:ascii="微软雅黑" w:hAnsi="微软雅黑" w:eastAsia="微软雅黑" w:cs="微软雅黑"/>
          <w:color w:val="auto"/>
          <w:kern w:val="2"/>
          <w:sz w:val="44"/>
          <w:szCs w:val="44"/>
          <w:highlight w:val="none"/>
          <w:lang w:val="zh-CN" w:eastAsia="zh-CN" w:bidi="ar-SA"/>
        </w:rPr>
        <w:t>商务领域服务业市场经营主体扶持补助</w:t>
      </w:r>
    </w:p>
    <w:p w14:paraId="218F3DE4">
      <w:pPr>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微软雅黑" w:hAnsi="微软雅黑" w:eastAsia="微软雅黑" w:cs="微软雅黑"/>
          <w:color w:val="auto"/>
          <w:kern w:val="2"/>
          <w:sz w:val="44"/>
          <w:szCs w:val="44"/>
          <w:highlight w:val="none"/>
          <w:lang w:val="zh-CN" w:eastAsia="zh-CN" w:bidi="ar-SA"/>
        </w:rPr>
      </w:pPr>
      <w:r>
        <w:rPr>
          <w:rFonts w:hint="default" w:ascii="微软雅黑" w:hAnsi="微软雅黑" w:eastAsia="微软雅黑" w:cs="微软雅黑"/>
          <w:color w:val="auto"/>
          <w:kern w:val="2"/>
          <w:sz w:val="44"/>
          <w:szCs w:val="44"/>
          <w:highlight w:val="none"/>
          <w:lang w:val="zh-CN" w:eastAsia="zh-CN" w:bidi="ar-SA"/>
        </w:rPr>
        <w:t>资金及商务领域2024年度“转企升规”</w:t>
      </w:r>
    </w:p>
    <w:p w14:paraId="1ADFB6CF">
      <w:pPr>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微软雅黑" w:hAnsi="微软雅黑" w:eastAsia="微软雅黑" w:cs="微软雅黑"/>
          <w:color w:val="auto"/>
          <w:kern w:val="2"/>
          <w:sz w:val="44"/>
          <w:szCs w:val="44"/>
          <w:highlight w:val="none"/>
          <w:lang w:val="en-US" w:eastAsia="zh-CN" w:bidi="ar-SA"/>
        </w:rPr>
      </w:pPr>
      <w:r>
        <w:rPr>
          <w:rFonts w:hint="default" w:ascii="微软雅黑" w:hAnsi="微软雅黑" w:eastAsia="微软雅黑" w:cs="微软雅黑"/>
          <w:color w:val="auto"/>
          <w:kern w:val="2"/>
          <w:sz w:val="44"/>
          <w:szCs w:val="44"/>
          <w:highlight w:val="none"/>
          <w:lang w:val="zh-CN" w:eastAsia="zh-CN" w:bidi="ar-SA"/>
        </w:rPr>
        <w:t>激励资金</w:t>
      </w:r>
      <w:r>
        <w:rPr>
          <w:rFonts w:hint="eastAsia" w:ascii="微软雅黑" w:hAnsi="微软雅黑" w:eastAsia="微软雅黑" w:cs="微软雅黑"/>
          <w:color w:val="auto"/>
          <w:kern w:val="2"/>
          <w:sz w:val="44"/>
          <w:szCs w:val="44"/>
          <w:highlight w:val="none"/>
          <w:lang w:val="en-US" w:eastAsia="zh-CN" w:bidi="ar-SA"/>
        </w:rPr>
        <w:t>预算绩效自评报告</w:t>
      </w:r>
    </w:p>
    <w:p w14:paraId="31422362">
      <w:pPr>
        <w:keepNext w:val="0"/>
        <w:keepLines w:val="0"/>
        <w:pageBreakBefore w:val="0"/>
        <w:widowControl w:val="0"/>
        <w:kinsoku/>
        <w:wordWrap/>
        <w:overflowPunct/>
        <w:topLinePunct w:val="0"/>
        <w:autoSpaceDE/>
        <w:autoSpaceDN/>
        <w:bidi w:val="0"/>
        <w:spacing w:line="578" w:lineRule="exact"/>
        <w:jc w:val="left"/>
        <w:textAlignment w:val="auto"/>
        <w:rPr>
          <w:rFonts w:hint="default" w:ascii="Times New Roman" w:hAnsi="Times New Roman" w:eastAsia="仿宋_GB2312" w:cs="Times New Roman"/>
          <w:color w:val="auto"/>
          <w:kern w:val="2"/>
          <w:sz w:val="32"/>
          <w:szCs w:val="32"/>
          <w:highlight w:val="none"/>
          <w:lang w:val="zh-CN" w:eastAsia="zh-CN" w:bidi="ar-SA"/>
        </w:rPr>
      </w:pPr>
    </w:p>
    <w:p w14:paraId="77FD99C7">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黑体" w:cs="Times New Roman"/>
          <w:sz w:val="32"/>
          <w:szCs w:val="32"/>
          <w:highlight w:val="none"/>
          <w:lang w:val="zh-CN"/>
        </w:rPr>
      </w:pPr>
      <w:r>
        <w:rPr>
          <w:rFonts w:hint="default" w:ascii="Times New Roman" w:hAnsi="Times New Roman" w:eastAsia="黑体" w:cs="Times New Roman"/>
          <w:sz w:val="32"/>
          <w:szCs w:val="32"/>
          <w:highlight w:val="none"/>
        </w:rPr>
        <w:t>一、</w:t>
      </w:r>
      <w:r>
        <w:rPr>
          <w:rFonts w:hint="default" w:ascii="Times New Roman" w:hAnsi="Times New Roman" w:eastAsia="黑体" w:cs="Times New Roman"/>
          <w:sz w:val="32"/>
          <w:szCs w:val="32"/>
          <w:highlight w:val="none"/>
          <w:lang w:val="zh-CN"/>
        </w:rPr>
        <w:t>项目概况</w:t>
      </w:r>
    </w:p>
    <w:p w14:paraId="716AFD32">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楷体_GB2312" w:cs="Times New Roman"/>
          <w:b/>
          <w:color w:val="auto"/>
          <w:sz w:val="32"/>
          <w:szCs w:val="32"/>
          <w:highlight w:val="none"/>
          <w:u w:val="none"/>
          <w:lang w:val="zh-CN"/>
        </w:rPr>
        <w:t>（一）设立背景及基本情况。</w:t>
      </w:r>
      <w:r>
        <w:rPr>
          <w:rFonts w:hint="default" w:ascii="Times New Roman" w:hAnsi="Times New Roman" w:eastAsia="仿宋_GB2312" w:cs="Times New Roman"/>
          <w:color w:val="auto"/>
          <w:sz w:val="32"/>
          <w:szCs w:val="32"/>
          <w:highlight w:val="none"/>
          <w:lang w:val="en-US" w:eastAsia="zh-CN"/>
        </w:rPr>
        <w:t>根据</w:t>
      </w:r>
      <w:r>
        <w:rPr>
          <w:rFonts w:hint="default" w:ascii="Times New Roman" w:hAnsi="Times New Roman" w:eastAsia="仿宋_GB2312" w:cs="Times New Roman"/>
          <w:kern w:val="0"/>
          <w:sz w:val="32"/>
          <w:szCs w:val="32"/>
          <w:highlight w:val="none"/>
          <w:lang w:eastAsia="zh-CN"/>
        </w:rPr>
        <w:t>《四川省财政厅关于下达2024年度“转企升规”激励资金的通知》（川财建</w:t>
      </w:r>
      <w:r>
        <w:rPr>
          <w:rFonts w:hint="default" w:ascii="Times New Roman" w:hAnsi="Times New Roman" w:eastAsia="宋体" w:cs="Times New Roman"/>
          <w:kern w:val="0"/>
          <w:sz w:val="32"/>
          <w:szCs w:val="32"/>
          <w:highlight w:val="none"/>
          <w:lang w:eastAsia="zh-CN"/>
        </w:rPr>
        <w:t>〔</w:t>
      </w:r>
      <w:r>
        <w:rPr>
          <w:rFonts w:hint="default" w:ascii="Times New Roman" w:hAnsi="Times New Roman" w:eastAsia="宋体" w:cs="Times New Roman"/>
          <w:kern w:val="0"/>
          <w:sz w:val="32"/>
          <w:szCs w:val="32"/>
          <w:highlight w:val="none"/>
          <w:lang w:val="en-US" w:eastAsia="zh-CN"/>
        </w:rPr>
        <w:t>2025</w:t>
      </w:r>
      <w:r>
        <w:rPr>
          <w:rFonts w:hint="default" w:ascii="Times New Roman" w:hAnsi="Times New Roman" w:eastAsia="宋体" w:cs="Times New Roman"/>
          <w:kern w:val="0"/>
          <w:sz w:val="32"/>
          <w:szCs w:val="32"/>
          <w:highlight w:val="none"/>
          <w:lang w:eastAsia="zh-CN"/>
        </w:rPr>
        <w:t>〕</w:t>
      </w:r>
      <w:r>
        <w:rPr>
          <w:rFonts w:hint="default" w:ascii="Times New Roman" w:hAnsi="Times New Roman" w:eastAsia="宋体" w:cs="Times New Roman"/>
          <w:kern w:val="0"/>
          <w:sz w:val="32"/>
          <w:szCs w:val="32"/>
          <w:highlight w:val="none"/>
          <w:lang w:val="en-US" w:eastAsia="zh-CN"/>
        </w:rPr>
        <w:t>55号）、</w:t>
      </w:r>
      <w:r>
        <w:rPr>
          <w:rFonts w:hint="default" w:ascii="Times New Roman" w:hAnsi="Times New Roman" w:eastAsia="仿宋_GB2312" w:cs="Times New Roman"/>
          <w:color w:val="auto"/>
          <w:kern w:val="0"/>
          <w:sz w:val="32"/>
          <w:szCs w:val="32"/>
          <w:highlight w:val="none"/>
        </w:rPr>
        <w:t>《阿坝州人民政府办公室关于做好2025年一季度经济“开门红”工作的通知》（阿府办发〔2025〕2号）中关于</w:t>
      </w:r>
      <w:r>
        <w:rPr>
          <w:rFonts w:hint="default" w:ascii="Times New Roman" w:hAnsi="Times New Roman" w:eastAsia="仿宋_GB2312" w:cs="Times New Roman"/>
          <w:kern w:val="0"/>
          <w:sz w:val="32"/>
          <w:szCs w:val="32"/>
          <w:highlight w:val="none"/>
        </w:rPr>
        <w:t>《激发市场活力促进经济持续向好的若干措施》</w:t>
      </w:r>
      <w:r>
        <w:rPr>
          <w:rFonts w:hint="default" w:ascii="Times New Roman" w:hAnsi="Times New Roman" w:eastAsia="仿宋_GB2312" w:cs="Times New Roman"/>
          <w:kern w:val="0"/>
          <w:sz w:val="32"/>
          <w:szCs w:val="32"/>
          <w:highlight w:val="none"/>
          <w:lang w:eastAsia="zh-CN"/>
        </w:rPr>
        <w:t>要求，促进服务业市场主体不断壮大。</w:t>
      </w:r>
    </w:p>
    <w:p w14:paraId="2BE3104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eastAsia="zh-CN"/>
        </w:rPr>
        <w:t>（二）</w:t>
      </w:r>
      <w:r>
        <w:rPr>
          <w:rFonts w:hint="default" w:ascii="Times New Roman" w:hAnsi="Times New Roman" w:eastAsia="楷体_GB2312" w:cs="Times New Roman"/>
          <w:b/>
          <w:color w:val="auto"/>
          <w:sz w:val="32"/>
          <w:szCs w:val="32"/>
          <w:highlight w:val="none"/>
          <w:u w:val="none"/>
          <w:lang w:val="en-US" w:eastAsia="zh-CN"/>
        </w:rPr>
        <w:t>预算安排及分配管理。</w:t>
      </w:r>
    </w:p>
    <w:p w14:paraId="1D1640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pacing w:val="0"/>
          <w:w w:val="100"/>
          <w:kern w:val="2"/>
          <w:sz w:val="32"/>
          <w:szCs w:val="32"/>
          <w:highlight w:val="none"/>
          <w:lang w:val="en-US" w:eastAsia="zh-CN" w:bidi="ar-SA"/>
        </w:rPr>
      </w:pPr>
      <w:r>
        <w:rPr>
          <w:rFonts w:hint="default" w:ascii="Times New Roman" w:hAnsi="Times New Roman" w:eastAsia="仿宋_GB2312" w:cs="Times New Roman"/>
          <w:sz w:val="32"/>
          <w:szCs w:val="32"/>
          <w:highlight w:val="none"/>
          <w:lang w:val="en-US" w:eastAsia="zh-CN" w:bidi="ar-SA"/>
        </w:rPr>
        <w:t>1.按照</w:t>
      </w:r>
      <w:r>
        <w:rPr>
          <w:rFonts w:hint="default" w:ascii="Times New Roman" w:hAnsi="Times New Roman" w:eastAsia="仿宋_GB2312" w:cs="Times New Roman"/>
          <w:kern w:val="0"/>
          <w:sz w:val="32"/>
          <w:szCs w:val="32"/>
          <w:highlight w:val="none"/>
          <w:u w:val="none"/>
          <w:shd w:val="clear" w:color="auto" w:fill="FFFFFF"/>
          <w:lang w:val="zh-CN" w:eastAsia="zh-CN" w:bidi="ar-SA"/>
        </w:rPr>
        <w:t>《阿坝州财政局关于下达2024年“转企升规”激励资金的通知》（阿州财建〔2025〕</w:t>
      </w:r>
      <w:r>
        <w:rPr>
          <w:rFonts w:hint="default" w:ascii="Times New Roman" w:hAnsi="Times New Roman" w:eastAsia="仿宋_GB2312" w:cs="Times New Roman"/>
          <w:kern w:val="0"/>
          <w:sz w:val="32"/>
          <w:szCs w:val="32"/>
          <w:highlight w:val="none"/>
          <w:u w:val="none"/>
          <w:shd w:val="clear" w:color="auto" w:fill="FFFFFF"/>
          <w:lang w:val="en-US" w:eastAsia="zh-CN" w:bidi="ar-SA"/>
        </w:rPr>
        <w:t>43</w:t>
      </w:r>
      <w:r>
        <w:rPr>
          <w:rFonts w:hint="default" w:ascii="Times New Roman" w:hAnsi="Times New Roman" w:eastAsia="仿宋_GB2312" w:cs="Times New Roman"/>
          <w:kern w:val="0"/>
          <w:sz w:val="32"/>
          <w:szCs w:val="32"/>
          <w:highlight w:val="none"/>
          <w:u w:val="none"/>
          <w:shd w:val="clear" w:color="auto" w:fill="FFFFFF"/>
          <w:lang w:val="zh-CN" w:eastAsia="zh-CN" w:bidi="ar-SA"/>
        </w:rPr>
        <w:t>号）文件</w:t>
      </w:r>
      <w:r>
        <w:rPr>
          <w:rFonts w:hint="default" w:ascii="Times New Roman" w:hAnsi="Times New Roman" w:eastAsia="仿宋_GB2312" w:cs="Times New Roman"/>
          <w:spacing w:val="0"/>
          <w:w w:val="100"/>
          <w:kern w:val="2"/>
          <w:sz w:val="32"/>
          <w:szCs w:val="32"/>
          <w:highlight w:val="none"/>
          <w:lang w:val="en-US" w:eastAsia="zh-CN" w:bidi="ar-SA"/>
        </w:rPr>
        <w:t>，共下达服务业“小升规”激励、商贸业“上限”激励资金</w:t>
      </w:r>
      <w:r>
        <w:rPr>
          <w:rFonts w:hint="default" w:ascii="Times New Roman" w:hAnsi="Times New Roman" w:eastAsia="仿宋_GB2312" w:cs="Times New Roman"/>
          <w:kern w:val="0"/>
          <w:sz w:val="32"/>
          <w:szCs w:val="32"/>
          <w:highlight w:val="none"/>
          <w:u w:val="none"/>
          <w:shd w:val="clear" w:color="auto" w:fill="FFFFFF"/>
          <w:lang w:val="zh-CN" w:eastAsia="zh-CN" w:bidi="ar-SA"/>
        </w:rPr>
        <w:t>资金</w:t>
      </w:r>
      <w:r>
        <w:rPr>
          <w:rFonts w:hint="default" w:ascii="Times New Roman" w:hAnsi="Times New Roman" w:eastAsia="仿宋_GB2312" w:cs="Times New Roman"/>
          <w:kern w:val="0"/>
          <w:sz w:val="32"/>
          <w:szCs w:val="32"/>
          <w:highlight w:val="none"/>
          <w:u w:val="none"/>
          <w:shd w:val="clear" w:color="auto" w:fill="FFFFFF"/>
          <w:lang w:val="en-US" w:eastAsia="zh-CN" w:bidi="ar-SA"/>
        </w:rPr>
        <w:t>122</w:t>
      </w:r>
      <w:r>
        <w:rPr>
          <w:rFonts w:hint="default" w:ascii="Times New Roman" w:hAnsi="Times New Roman" w:eastAsia="仿宋_GB2312" w:cs="Times New Roman"/>
          <w:kern w:val="0"/>
          <w:sz w:val="32"/>
          <w:szCs w:val="32"/>
          <w:highlight w:val="none"/>
          <w:u w:val="none"/>
          <w:shd w:val="clear" w:color="auto" w:fill="FFFFFF"/>
          <w:lang w:val="zh-CN" w:eastAsia="zh-CN" w:bidi="ar-SA"/>
        </w:rPr>
        <w:t>万元。</w:t>
      </w:r>
    </w:p>
    <w:p w14:paraId="4997F4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rPr>
      </w:pPr>
      <w:r>
        <w:rPr>
          <w:rFonts w:hint="default" w:ascii="Times New Roman" w:hAnsi="Times New Roman" w:eastAsia="仿宋_GB2312" w:cs="Times New Roman"/>
          <w:spacing w:val="0"/>
          <w:w w:val="100"/>
          <w:kern w:val="2"/>
          <w:sz w:val="32"/>
          <w:szCs w:val="32"/>
          <w:highlight w:val="none"/>
          <w:lang w:val="en-US" w:eastAsia="zh-CN" w:bidi="ar-SA"/>
        </w:rPr>
        <w:t>2.按照</w:t>
      </w:r>
      <w:r>
        <w:rPr>
          <w:rFonts w:hint="default" w:ascii="Times New Roman" w:hAnsi="Times New Roman" w:eastAsia="仿宋_GB2312" w:cs="Times New Roman"/>
          <w:color w:val="auto"/>
          <w:kern w:val="0"/>
          <w:sz w:val="32"/>
          <w:szCs w:val="32"/>
          <w:highlight w:val="none"/>
          <w:u w:val="none"/>
          <w:shd w:val="clear" w:color="auto" w:fill="FFFFFF"/>
          <w:lang w:val="zh-CN" w:eastAsia="zh-CN" w:bidi="ar-SA"/>
        </w:rPr>
        <w:t>《阿坝州财政局</w:t>
      </w:r>
      <w:r>
        <w:rPr>
          <w:rFonts w:hint="default" w:ascii="Times New Roman" w:hAnsi="Times New Roman" w:eastAsia="仿宋_GB2312" w:cs="Times New Roman"/>
          <w:color w:val="auto"/>
          <w:kern w:val="0"/>
          <w:sz w:val="32"/>
          <w:szCs w:val="32"/>
          <w:highlight w:val="none"/>
          <w:u w:val="none"/>
          <w:shd w:val="clear" w:color="auto" w:fill="FFFFFF"/>
          <w:lang w:val="en-US" w:eastAsia="zh-CN" w:bidi="ar-SA"/>
        </w:rPr>
        <w:t xml:space="preserve"> </w:t>
      </w:r>
      <w:r>
        <w:rPr>
          <w:rFonts w:hint="default" w:ascii="Times New Roman" w:hAnsi="Times New Roman" w:eastAsia="仿宋_GB2312" w:cs="Times New Roman"/>
          <w:color w:val="auto"/>
          <w:kern w:val="0"/>
          <w:sz w:val="32"/>
          <w:szCs w:val="32"/>
          <w:highlight w:val="none"/>
          <w:u w:val="none"/>
          <w:shd w:val="clear" w:color="auto" w:fill="FFFFFF"/>
          <w:lang w:val="zh-CN" w:eastAsia="zh-CN" w:bidi="ar-SA"/>
        </w:rPr>
        <w:t>阿坝州商务局关于兑现2024年度商务领域服务业市场经营主体扶持补助资金预算的通知》</w:t>
      </w:r>
      <w:r>
        <w:rPr>
          <w:rFonts w:hint="default" w:ascii="Times New Roman" w:hAnsi="Times New Roman" w:eastAsia="仿宋_GB2312" w:cs="Times New Roman"/>
          <w:kern w:val="0"/>
          <w:sz w:val="32"/>
          <w:szCs w:val="32"/>
          <w:highlight w:val="none"/>
          <w:u w:val="none"/>
          <w:shd w:val="clear" w:color="auto" w:fill="FFFFFF"/>
          <w:lang w:val="zh-CN" w:eastAsia="zh-CN" w:bidi="ar-SA"/>
        </w:rPr>
        <w:t>（阿州财建〔2025〕</w:t>
      </w:r>
      <w:r>
        <w:rPr>
          <w:rFonts w:hint="default" w:ascii="Times New Roman" w:hAnsi="Times New Roman" w:eastAsia="仿宋_GB2312" w:cs="Times New Roman"/>
          <w:kern w:val="0"/>
          <w:sz w:val="32"/>
          <w:szCs w:val="32"/>
          <w:highlight w:val="none"/>
          <w:u w:val="none"/>
          <w:shd w:val="clear" w:color="auto" w:fill="FFFFFF"/>
          <w:lang w:val="en-US" w:eastAsia="zh-CN" w:bidi="ar-SA"/>
        </w:rPr>
        <w:t>114</w:t>
      </w:r>
      <w:r>
        <w:rPr>
          <w:rFonts w:hint="default" w:ascii="Times New Roman" w:hAnsi="Times New Roman" w:eastAsia="仿宋_GB2312" w:cs="Times New Roman"/>
          <w:kern w:val="0"/>
          <w:sz w:val="32"/>
          <w:szCs w:val="32"/>
          <w:highlight w:val="none"/>
          <w:u w:val="none"/>
          <w:shd w:val="clear" w:color="auto" w:fill="FFFFFF"/>
          <w:lang w:val="zh-CN" w:eastAsia="zh-CN" w:bidi="ar-SA"/>
        </w:rPr>
        <w:t>号）文件</w:t>
      </w:r>
      <w:r>
        <w:rPr>
          <w:rFonts w:hint="default" w:ascii="Times New Roman" w:hAnsi="Times New Roman" w:eastAsia="仿宋_GB2312" w:cs="Times New Roman"/>
          <w:color w:val="auto"/>
          <w:kern w:val="0"/>
          <w:sz w:val="32"/>
          <w:szCs w:val="32"/>
          <w:highlight w:val="none"/>
          <w:u w:val="none"/>
          <w:shd w:val="clear" w:color="auto" w:fill="FFFFFF"/>
          <w:lang w:val="zh-CN" w:eastAsia="zh-CN" w:bidi="ar-SA"/>
        </w:rPr>
        <w:t>，共下达</w:t>
      </w:r>
      <w:r>
        <w:rPr>
          <w:rFonts w:hint="default" w:ascii="Times New Roman" w:hAnsi="Times New Roman" w:eastAsia="仿宋_GB2312" w:cs="Times New Roman"/>
          <w:bCs/>
          <w:sz w:val="32"/>
          <w:szCs w:val="32"/>
          <w:highlight w:val="none"/>
        </w:rPr>
        <w:t>2024年度服务业市场经营主体发展培育扶持补助资金</w:t>
      </w:r>
      <w:r>
        <w:rPr>
          <w:rFonts w:hint="default" w:ascii="Times New Roman" w:hAnsi="Times New Roman" w:eastAsia="仿宋_GB2312" w:cs="Times New Roman"/>
          <w:bCs/>
          <w:sz w:val="32"/>
          <w:szCs w:val="32"/>
          <w:highlight w:val="none"/>
          <w:lang w:val="en-US" w:eastAsia="zh-CN"/>
        </w:rPr>
        <w:t>269.7154万元</w:t>
      </w:r>
      <w:r>
        <w:rPr>
          <w:rFonts w:hint="default" w:ascii="Times New Roman" w:hAnsi="Times New Roman" w:eastAsia="仿宋_GB2312" w:cs="Times New Roman"/>
          <w:color w:val="auto"/>
          <w:kern w:val="0"/>
          <w:sz w:val="32"/>
          <w:szCs w:val="32"/>
          <w:highlight w:val="none"/>
          <w:u w:val="none"/>
          <w:shd w:val="clear" w:color="auto" w:fill="FFFFFF"/>
          <w:lang w:val="zh-CN" w:eastAsia="zh-CN" w:bidi="ar-SA"/>
        </w:rPr>
        <w:t>。</w:t>
      </w:r>
    </w:p>
    <w:p w14:paraId="13B9D708">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仿宋_GB2312"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lang w:eastAsia="zh-CN"/>
        </w:rPr>
        <w:t>二</w:t>
      </w:r>
      <w:r>
        <w:rPr>
          <w:rFonts w:hint="default" w:ascii="Times New Roman" w:hAnsi="Times New Roman" w:eastAsia="黑体" w:cs="Times New Roman"/>
          <w:color w:val="auto"/>
          <w:sz w:val="32"/>
          <w:szCs w:val="32"/>
          <w:highlight w:val="none"/>
          <w:u w:val="none"/>
        </w:rPr>
        <w:t>、</w:t>
      </w:r>
      <w:r>
        <w:rPr>
          <w:rFonts w:hint="default" w:ascii="Times New Roman" w:hAnsi="Times New Roman" w:eastAsia="黑体" w:cs="Times New Roman"/>
          <w:color w:val="auto"/>
          <w:sz w:val="32"/>
          <w:szCs w:val="32"/>
          <w:highlight w:val="none"/>
          <w:u w:val="none"/>
          <w:lang w:eastAsia="zh-CN"/>
        </w:rPr>
        <w:t>绩效分析</w:t>
      </w:r>
      <w:r>
        <w:rPr>
          <w:rFonts w:hint="default" w:ascii="Times New Roman" w:hAnsi="Times New Roman" w:eastAsia="仿宋_GB2312" w:cs="Times New Roman"/>
          <w:color w:val="auto"/>
          <w:sz w:val="32"/>
          <w:szCs w:val="32"/>
          <w:highlight w:val="none"/>
          <w:u w:val="none"/>
          <w:lang w:val="zh-CN"/>
        </w:rPr>
        <w:tab/>
      </w:r>
    </w:p>
    <w:p w14:paraId="4F8A01C9">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outlineLvl w:val="0"/>
        <w:rPr>
          <w:rFonts w:hint="default" w:ascii="Times New Roman" w:hAnsi="Times New Roman" w:eastAsia="楷体_GB2312" w:cs="Times New Roman"/>
          <w:b/>
          <w:bCs/>
          <w:sz w:val="32"/>
          <w:szCs w:val="32"/>
          <w:highlight w:val="none"/>
          <w:lang w:val="en-US" w:eastAsia="zh-CN" w:bidi="ar-SA"/>
        </w:rPr>
      </w:pPr>
      <w:r>
        <w:rPr>
          <w:rFonts w:hint="default" w:ascii="Times New Roman" w:hAnsi="Times New Roman" w:eastAsia="楷体_GB2312" w:cs="Times New Roman"/>
          <w:b/>
          <w:bCs/>
          <w:sz w:val="32"/>
          <w:szCs w:val="32"/>
          <w:highlight w:val="none"/>
          <w:lang w:bidi="ar-SA"/>
        </w:rPr>
        <w:t>（一）</w:t>
      </w:r>
      <w:r>
        <w:rPr>
          <w:rFonts w:hint="default" w:ascii="Times New Roman" w:hAnsi="Times New Roman" w:eastAsia="楷体_GB2312" w:cs="Times New Roman"/>
          <w:b/>
          <w:bCs/>
          <w:sz w:val="32"/>
          <w:szCs w:val="32"/>
          <w:highlight w:val="none"/>
          <w:lang w:val="en-US" w:eastAsia="zh-CN" w:bidi="ar-SA"/>
        </w:rPr>
        <w:t>资金投入情况</w:t>
      </w:r>
    </w:p>
    <w:p w14:paraId="57CDFCA3">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left"/>
        <w:textAlignment w:val="auto"/>
        <w:rPr>
          <w:rFonts w:hint="default" w:ascii="Times New Roman" w:hAnsi="Times New Roman" w:eastAsia="仿宋_GB2312" w:cs="Times New Roman"/>
          <w:kern w:val="0"/>
          <w:sz w:val="32"/>
          <w:szCs w:val="32"/>
          <w:highlight w:val="none"/>
          <w:shd w:val="clear" w:color="auto" w:fill="FFFFFF"/>
          <w:lang w:val="zh-CN" w:eastAsia="zh-CN"/>
        </w:rPr>
      </w:pPr>
      <w:r>
        <w:rPr>
          <w:rFonts w:hint="default" w:ascii="Times New Roman" w:hAnsi="Times New Roman" w:eastAsia="仿宋_GB2312" w:cs="Times New Roman"/>
          <w:b/>
          <w:bCs/>
          <w:sz w:val="32"/>
          <w:szCs w:val="32"/>
          <w:highlight w:val="none"/>
          <w:lang w:val="en-US" w:eastAsia="zh-CN" w:bidi="ar-SA"/>
        </w:rPr>
        <w:t>1.资金申报程序。</w:t>
      </w:r>
      <w:r>
        <w:rPr>
          <w:rFonts w:hint="default" w:ascii="Times New Roman" w:hAnsi="Times New Roman" w:eastAsia="仿宋_GB2312" w:cs="Times New Roman"/>
          <w:b/>
          <w:bCs/>
          <w:kern w:val="0"/>
          <w:sz w:val="32"/>
          <w:szCs w:val="32"/>
          <w:highlight w:val="none"/>
          <w:u w:val="none"/>
          <w:shd w:val="clear" w:color="auto" w:fill="FFFFFF"/>
          <w:lang w:val="zh-CN" w:eastAsia="zh-CN" w:bidi="ar-SA"/>
        </w:rPr>
        <w:t>一是</w:t>
      </w:r>
      <w:r>
        <w:rPr>
          <w:rFonts w:hint="default" w:ascii="Times New Roman" w:hAnsi="Times New Roman" w:eastAsia="仿宋_GB2312" w:cs="Times New Roman"/>
          <w:kern w:val="0"/>
          <w:sz w:val="32"/>
          <w:szCs w:val="32"/>
          <w:highlight w:val="none"/>
          <w:u w:val="none"/>
          <w:shd w:val="clear" w:color="auto" w:fill="FFFFFF"/>
          <w:lang w:val="zh-CN" w:eastAsia="zh-CN" w:bidi="ar-SA"/>
        </w:rPr>
        <w:t>严格按照</w:t>
      </w:r>
      <w:r>
        <w:rPr>
          <w:rFonts w:hint="default" w:ascii="Times New Roman" w:hAnsi="Times New Roman" w:eastAsia="仿宋_GB2312" w:cs="Times New Roman"/>
          <w:kern w:val="0"/>
          <w:sz w:val="32"/>
          <w:szCs w:val="32"/>
          <w:highlight w:val="none"/>
          <w:lang w:eastAsia="zh-CN"/>
        </w:rPr>
        <w:t>《四川省财政厅关于下达2024年度“转企升规”激励资金的通知》（川财建</w:t>
      </w:r>
      <w:r>
        <w:rPr>
          <w:rFonts w:hint="default" w:ascii="Times New Roman" w:hAnsi="Times New Roman" w:eastAsia="宋体" w:cs="Times New Roman"/>
          <w:kern w:val="0"/>
          <w:sz w:val="32"/>
          <w:szCs w:val="32"/>
          <w:highlight w:val="none"/>
          <w:lang w:eastAsia="zh-CN"/>
        </w:rPr>
        <w:t>〔</w:t>
      </w:r>
      <w:r>
        <w:rPr>
          <w:rFonts w:hint="default" w:ascii="Times New Roman" w:hAnsi="Times New Roman" w:eastAsia="宋体" w:cs="Times New Roman"/>
          <w:kern w:val="0"/>
          <w:sz w:val="32"/>
          <w:szCs w:val="32"/>
          <w:highlight w:val="none"/>
          <w:lang w:val="en-US" w:eastAsia="zh-CN"/>
        </w:rPr>
        <w:t>2025</w:t>
      </w:r>
      <w:r>
        <w:rPr>
          <w:rFonts w:hint="default" w:ascii="Times New Roman" w:hAnsi="Times New Roman" w:eastAsia="宋体" w:cs="Times New Roman"/>
          <w:kern w:val="0"/>
          <w:sz w:val="32"/>
          <w:szCs w:val="32"/>
          <w:highlight w:val="none"/>
          <w:lang w:eastAsia="zh-CN"/>
        </w:rPr>
        <w:t>〕</w:t>
      </w:r>
      <w:r>
        <w:rPr>
          <w:rFonts w:hint="default" w:ascii="Times New Roman" w:hAnsi="Times New Roman" w:eastAsia="宋体" w:cs="Times New Roman"/>
          <w:kern w:val="0"/>
          <w:sz w:val="32"/>
          <w:szCs w:val="32"/>
          <w:highlight w:val="none"/>
          <w:lang w:val="en-US" w:eastAsia="zh-CN"/>
        </w:rPr>
        <w:t>55号）</w:t>
      </w:r>
      <w:r>
        <w:rPr>
          <w:rFonts w:hint="default" w:ascii="Times New Roman" w:hAnsi="Times New Roman" w:eastAsia="仿宋_GB2312" w:cs="Times New Roman"/>
          <w:kern w:val="0"/>
          <w:sz w:val="32"/>
          <w:szCs w:val="32"/>
          <w:highlight w:val="none"/>
          <w:u w:val="none"/>
          <w:shd w:val="clear" w:color="auto" w:fill="FFFFFF"/>
          <w:lang w:val="zh-CN" w:eastAsia="zh-CN" w:bidi="ar-SA"/>
        </w:rPr>
        <w:t>文件要求，根据</w:t>
      </w:r>
      <w:r>
        <w:rPr>
          <w:rFonts w:hint="default" w:ascii="Times New Roman" w:hAnsi="Times New Roman" w:eastAsia="仿宋_GB2312" w:cs="Times New Roman"/>
          <w:color w:val="auto"/>
          <w:sz w:val="32"/>
          <w:szCs w:val="32"/>
          <w:highlight w:val="none"/>
          <w:lang w:val="en-US" w:eastAsia="zh-CN"/>
        </w:rPr>
        <w:t>2024年度我州新增服务业企业14户、商贸企业33户，</w:t>
      </w:r>
      <w:r>
        <w:rPr>
          <w:rFonts w:hint="default" w:ascii="Times New Roman" w:hAnsi="Times New Roman" w:eastAsia="仿宋_GB2312" w:cs="Times New Roman"/>
          <w:kern w:val="0"/>
          <w:sz w:val="32"/>
          <w:szCs w:val="32"/>
          <w:highlight w:val="none"/>
          <w:u w:val="none"/>
          <w:shd w:val="clear" w:color="auto" w:fill="FFFFFF"/>
          <w:lang w:val="zh-CN" w:eastAsia="zh-CN" w:bidi="ar-SA"/>
        </w:rPr>
        <w:t>拟定资金分配方案，按程序下达相关县（市）。</w:t>
      </w:r>
      <w:r>
        <w:rPr>
          <w:rFonts w:hint="default" w:ascii="Times New Roman" w:hAnsi="Times New Roman" w:eastAsia="仿宋_GB2312" w:cs="Times New Roman"/>
          <w:b/>
          <w:bCs/>
          <w:kern w:val="0"/>
          <w:sz w:val="32"/>
          <w:szCs w:val="32"/>
          <w:highlight w:val="none"/>
          <w:u w:val="none"/>
          <w:shd w:val="clear" w:color="auto" w:fill="FFFFFF"/>
          <w:lang w:val="zh-CN" w:eastAsia="zh-CN" w:bidi="ar-SA"/>
        </w:rPr>
        <w:t>二是</w:t>
      </w:r>
      <w:r>
        <w:rPr>
          <w:rFonts w:hint="default" w:ascii="Times New Roman" w:hAnsi="Times New Roman" w:eastAsia="仿宋_GB2312" w:cs="Times New Roman"/>
          <w:color w:val="auto"/>
          <w:sz w:val="32"/>
          <w:szCs w:val="32"/>
          <w:highlight w:val="none"/>
          <w:lang w:val="en-US" w:eastAsia="zh-CN"/>
        </w:rPr>
        <w:t>根据</w:t>
      </w:r>
      <w:r>
        <w:rPr>
          <w:rFonts w:hint="default" w:ascii="Times New Roman" w:hAnsi="Times New Roman" w:eastAsia="仿宋_GB2312" w:cs="Times New Roman"/>
          <w:color w:val="auto"/>
          <w:kern w:val="0"/>
          <w:sz w:val="32"/>
          <w:szCs w:val="32"/>
          <w:highlight w:val="none"/>
        </w:rPr>
        <w:t>《阿坝州人民政府办公室关于做好2025年一季度经济“开门红”工作的通知》（阿府办发〔2025〕2号）中关于</w:t>
      </w:r>
      <w:r>
        <w:rPr>
          <w:rFonts w:hint="default" w:ascii="Times New Roman" w:hAnsi="Times New Roman" w:eastAsia="仿宋_GB2312" w:cs="Times New Roman"/>
          <w:kern w:val="0"/>
          <w:sz w:val="32"/>
          <w:szCs w:val="32"/>
          <w:highlight w:val="none"/>
        </w:rPr>
        <w:t>《激发市场活力促进经济持续向好的若干措施》</w:t>
      </w:r>
      <w:r>
        <w:rPr>
          <w:rFonts w:hint="default" w:ascii="Times New Roman" w:hAnsi="Times New Roman" w:eastAsia="仿宋_GB2312" w:cs="Times New Roman"/>
          <w:kern w:val="0"/>
          <w:sz w:val="32"/>
          <w:szCs w:val="32"/>
          <w:highlight w:val="none"/>
          <w:lang w:val="en-US" w:eastAsia="zh-CN"/>
        </w:rPr>
        <w:t>，印发《</w:t>
      </w:r>
      <w:r>
        <w:rPr>
          <w:rFonts w:hint="default" w:ascii="Times New Roman" w:hAnsi="Times New Roman" w:eastAsia="仿宋_GB2312" w:cs="Times New Roman"/>
          <w:kern w:val="0"/>
          <w:sz w:val="32"/>
          <w:szCs w:val="32"/>
          <w:highlight w:val="none"/>
        </w:rPr>
        <w:t>阿坝州</w:t>
      </w:r>
      <w:r>
        <w:rPr>
          <w:rFonts w:hint="default" w:ascii="Times New Roman" w:hAnsi="Times New Roman" w:eastAsia="仿宋_GB2312" w:cs="Times New Roman"/>
          <w:kern w:val="0"/>
          <w:sz w:val="32"/>
          <w:szCs w:val="32"/>
          <w:highlight w:val="none"/>
          <w:lang w:eastAsia="zh-CN"/>
        </w:rPr>
        <w:t>商务局</w:t>
      </w:r>
      <w:r>
        <w:rPr>
          <w:rFonts w:hint="default" w:ascii="Times New Roman" w:hAnsi="Times New Roman" w:eastAsia="仿宋_GB2312" w:cs="Times New Roman"/>
          <w:kern w:val="0"/>
          <w:sz w:val="32"/>
          <w:szCs w:val="32"/>
          <w:highlight w:val="none"/>
        </w:rPr>
        <w:t>关于做好阿坝州商务领域服务业市场经营主体发展培育扶持补助资金申报工作的通知</w:t>
      </w:r>
      <w:r>
        <w:rPr>
          <w:rFonts w:hint="default" w:ascii="Times New Roman" w:hAnsi="Times New Roman" w:eastAsia="仿宋_GB2312" w:cs="Times New Roman"/>
          <w:kern w:val="0"/>
          <w:sz w:val="32"/>
          <w:szCs w:val="32"/>
          <w:highlight w:val="none"/>
          <w:lang w:val="en-US" w:eastAsia="zh-CN"/>
        </w:rPr>
        <w:t>》，</w:t>
      </w:r>
      <w:r>
        <w:rPr>
          <w:rFonts w:hint="default" w:ascii="Times New Roman" w:hAnsi="Times New Roman" w:eastAsia="仿宋_GB2312" w:cs="Times New Roman"/>
          <w:color w:val="auto"/>
          <w:kern w:val="0"/>
          <w:sz w:val="32"/>
          <w:szCs w:val="32"/>
          <w:highlight w:val="none"/>
          <w:u w:val="none"/>
          <w:shd w:val="clear" w:color="auto" w:fill="FFFFFF"/>
          <w:lang w:val="zh-CN" w:eastAsia="zh-CN" w:bidi="ar-SA"/>
        </w:rPr>
        <w:t>组织县（市）积极开展资金申报，</w:t>
      </w:r>
      <w:r>
        <w:rPr>
          <w:rFonts w:hint="default" w:ascii="Times New Roman" w:hAnsi="Times New Roman" w:eastAsia="仿宋_GB2312" w:cs="Times New Roman"/>
          <w:kern w:val="0"/>
          <w:sz w:val="32"/>
          <w:szCs w:val="32"/>
          <w:highlight w:val="none"/>
          <w:shd w:val="clear" w:color="auto" w:fill="FFFFFF"/>
          <w:lang w:val="zh-CN" w:eastAsia="zh-CN"/>
        </w:rPr>
        <w:t>按程序下达各县（市）。</w:t>
      </w:r>
    </w:p>
    <w:p w14:paraId="0DFB9F17">
      <w:pPr>
        <w:keepNext w:val="0"/>
        <w:keepLines w:val="0"/>
        <w:pageBreakBefore w:val="0"/>
        <w:widowControl w:val="0"/>
        <w:kinsoku/>
        <w:wordWrap/>
        <w:overflowPunct/>
        <w:topLinePunct w:val="0"/>
        <w:autoSpaceDE/>
        <w:autoSpaceDN/>
        <w:adjustRightInd w:val="0"/>
        <w:snapToGrid w:val="0"/>
        <w:spacing w:line="560" w:lineRule="exact"/>
        <w:ind w:firstLine="643" w:firstLineChars="200"/>
        <w:rPr>
          <w:rFonts w:hint="default" w:ascii="Times New Roman" w:hAnsi="Times New Roman" w:eastAsia="仿宋_GB2312" w:cs="Times New Roman"/>
          <w:color w:val="000000"/>
          <w:kern w:val="0"/>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bidi="ar-SA"/>
        </w:rPr>
        <w:t>2.资金支持情况。</w:t>
      </w:r>
      <w:r>
        <w:rPr>
          <w:rFonts w:hint="default" w:ascii="Times New Roman" w:hAnsi="Times New Roman" w:eastAsia="仿宋_GB2312" w:cs="Times New Roman"/>
          <w:b/>
          <w:bCs/>
          <w:sz w:val="32"/>
          <w:szCs w:val="32"/>
          <w:highlight w:val="none"/>
          <w:lang w:val="en-US" w:eastAsia="zh-CN"/>
        </w:rPr>
        <w:t>一是</w:t>
      </w:r>
      <w:r>
        <w:rPr>
          <w:rFonts w:hint="default" w:ascii="Times New Roman" w:hAnsi="Times New Roman" w:eastAsia="仿宋_GB2312" w:cs="Times New Roman"/>
          <w:kern w:val="0"/>
          <w:sz w:val="32"/>
          <w:szCs w:val="32"/>
          <w:highlight w:val="none"/>
          <w:lang w:eastAsia="zh-CN"/>
        </w:rPr>
        <w:t>2024年度“转企升规”激励资金</w:t>
      </w:r>
      <w:r>
        <w:rPr>
          <w:rFonts w:hint="eastAsia" w:ascii="Times New Roman" w:hAnsi="Times New Roman" w:eastAsia="仿宋_GB2312" w:cs="Times New Roman"/>
          <w:kern w:val="0"/>
          <w:sz w:val="32"/>
          <w:szCs w:val="32"/>
          <w:highlight w:val="none"/>
          <w:lang w:val="en-US" w:eastAsia="zh-CN"/>
        </w:rPr>
        <w:t>122万元</w:t>
      </w:r>
      <w:r>
        <w:rPr>
          <w:rFonts w:hint="default" w:ascii="Times New Roman" w:hAnsi="Times New Roman" w:eastAsia="仿宋_GB2312" w:cs="Times New Roman"/>
          <w:sz w:val="32"/>
          <w:szCs w:val="32"/>
          <w:highlight w:val="none"/>
          <w:lang w:val="en-US" w:eastAsia="zh-CN"/>
        </w:rPr>
        <w:t>；其中：</w:t>
      </w:r>
      <w:r>
        <w:rPr>
          <w:rFonts w:hint="default" w:ascii="Times New Roman" w:hAnsi="Times New Roman" w:eastAsia="仿宋_GB2312" w:cs="Times New Roman"/>
          <w:spacing w:val="0"/>
          <w:w w:val="100"/>
          <w:kern w:val="2"/>
          <w:sz w:val="32"/>
          <w:szCs w:val="32"/>
          <w:highlight w:val="none"/>
          <w:lang w:val="en-US" w:eastAsia="zh-CN" w:bidi="ar-SA"/>
        </w:rPr>
        <w:t>服务业“小升规”激励</w:t>
      </w:r>
      <w:r>
        <w:rPr>
          <w:rFonts w:hint="eastAsia" w:ascii="Times New Roman" w:hAnsi="Times New Roman" w:eastAsia="仿宋_GB2312" w:cs="Times New Roman"/>
          <w:spacing w:val="0"/>
          <w:w w:val="100"/>
          <w:kern w:val="2"/>
          <w:sz w:val="32"/>
          <w:szCs w:val="32"/>
          <w:highlight w:val="none"/>
          <w:lang w:val="en-US" w:eastAsia="zh-CN" w:bidi="ar-SA"/>
        </w:rPr>
        <w:t>资金56万元（马尔康市、汶川县、金川县各8万元，茂县、松潘县</w:t>
      </w:r>
      <w:r>
        <w:rPr>
          <w:rFonts w:hint="default" w:ascii="Times New Roman" w:hAnsi="Times New Roman" w:eastAsia="仿宋_GB2312" w:cs="Times New Roman"/>
          <w:spacing w:val="0"/>
          <w:w w:val="100"/>
          <w:kern w:val="2"/>
          <w:sz w:val="32"/>
          <w:szCs w:val="32"/>
          <w:highlight w:val="none"/>
          <w:lang w:val="en-US" w:eastAsia="zh-CN" w:bidi="ar-SA"/>
        </w:rPr>
        <w:t>、</w:t>
      </w:r>
      <w:r>
        <w:rPr>
          <w:rFonts w:hint="eastAsia" w:ascii="Times New Roman" w:hAnsi="Times New Roman" w:eastAsia="仿宋_GB2312" w:cs="Times New Roman"/>
          <w:spacing w:val="0"/>
          <w:w w:val="100"/>
          <w:kern w:val="2"/>
          <w:sz w:val="32"/>
          <w:szCs w:val="32"/>
          <w:highlight w:val="none"/>
          <w:lang w:val="en-US" w:eastAsia="zh-CN" w:bidi="ar-SA"/>
        </w:rPr>
        <w:t>九寨沟县、阿坝县、若尔盖县各4万元，壤塘县12万元）；</w:t>
      </w:r>
      <w:r>
        <w:rPr>
          <w:rFonts w:hint="default" w:ascii="Times New Roman" w:hAnsi="Times New Roman" w:eastAsia="仿宋_GB2312" w:cs="Times New Roman"/>
          <w:spacing w:val="0"/>
          <w:w w:val="100"/>
          <w:kern w:val="2"/>
          <w:sz w:val="32"/>
          <w:szCs w:val="32"/>
          <w:highlight w:val="none"/>
          <w:lang w:val="en-US" w:eastAsia="zh-CN" w:bidi="ar-SA"/>
        </w:rPr>
        <w:t>商贸业“上限”激励资金</w:t>
      </w:r>
      <w:r>
        <w:rPr>
          <w:rFonts w:hint="default" w:ascii="Times New Roman" w:hAnsi="Times New Roman" w:eastAsia="仿宋_GB2312" w:cs="Times New Roman"/>
          <w:kern w:val="0"/>
          <w:sz w:val="32"/>
          <w:szCs w:val="32"/>
          <w:highlight w:val="none"/>
          <w:u w:val="none"/>
          <w:shd w:val="clear" w:color="auto" w:fill="FFFFFF"/>
          <w:lang w:val="zh-CN" w:eastAsia="zh-CN" w:bidi="ar-SA"/>
        </w:rPr>
        <w:t>资金</w:t>
      </w:r>
      <w:r>
        <w:rPr>
          <w:rFonts w:hint="eastAsia" w:ascii="Times New Roman" w:hAnsi="Times New Roman" w:eastAsia="仿宋_GB2312" w:cs="Times New Roman"/>
          <w:kern w:val="0"/>
          <w:sz w:val="32"/>
          <w:szCs w:val="32"/>
          <w:highlight w:val="none"/>
          <w:u w:val="none"/>
          <w:shd w:val="clear" w:color="auto" w:fill="FFFFFF"/>
          <w:lang w:val="en-US" w:eastAsia="zh-CN" w:bidi="ar-SA"/>
        </w:rPr>
        <w:t>66万元（马尔康市、九寨沟县各10万元，小金县8万元、汶川县、茂县、阿坝县、若尔盖县各6万元，红原县4万元，理县、松潘县、金川县、黑水县、壤塘县各2万元）。</w:t>
      </w:r>
      <w:r>
        <w:rPr>
          <w:rFonts w:hint="default" w:ascii="Times New Roman" w:hAnsi="Times New Roman" w:eastAsia="仿宋_GB2312" w:cs="Times New Roman"/>
          <w:b/>
          <w:bCs/>
          <w:color w:val="auto"/>
          <w:sz w:val="32"/>
          <w:szCs w:val="32"/>
          <w:highlight w:val="none"/>
          <w:lang w:val="en-US" w:eastAsia="zh-CN"/>
        </w:rPr>
        <w:t>二是</w:t>
      </w:r>
      <w:r>
        <w:rPr>
          <w:rFonts w:hint="default" w:ascii="Times New Roman" w:hAnsi="Times New Roman" w:eastAsia="仿宋_GB2312" w:cs="Times New Roman"/>
          <w:bCs/>
          <w:sz w:val="32"/>
          <w:szCs w:val="32"/>
          <w:highlight w:val="none"/>
        </w:rPr>
        <w:t>2024年度服务业市场经营主体发展培育扶持补助资金</w:t>
      </w:r>
      <w:r>
        <w:rPr>
          <w:rFonts w:hint="default" w:ascii="Times New Roman" w:hAnsi="Times New Roman" w:eastAsia="仿宋_GB2312" w:cs="Times New Roman"/>
          <w:bCs/>
          <w:sz w:val="32"/>
          <w:szCs w:val="32"/>
          <w:highlight w:val="none"/>
          <w:lang w:val="en-US" w:eastAsia="zh-CN"/>
        </w:rPr>
        <w:t>269.7154万元</w:t>
      </w:r>
      <w:r>
        <w:rPr>
          <w:rFonts w:hint="eastAsia" w:ascii="Times New Roman" w:hAnsi="Times New Roman" w:eastAsia="仿宋_GB2312" w:cs="Times New Roman"/>
          <w:bCs/>
          <w:sz w:val="32"/>
          <w:szCs w:val="32"/>
          <w:highlight w:val="none"/>
          <w:lang w:val="en-US" w:eastAsia="zh-CN"/>
        </w:rPr>
        <w:t>（马尔康市23.275万元、金川县13.25万元、小金县29.3万元、阿坝县25.5万元、若尔盖县15万元、红原县22.9992万元、壤塘县4.7万元、汶川县43.2万元、理县15.425万元、茂县15.6万元、松潘县28.6996万元、九寨沟县21.1666万元、黑水县11.6万元）</w:t>
      </w:r>
      <w:r>
        <w:rPr>
          <w:rFonts w:hint="default" w:ascii="Times New Roman" w:hAnsi="Times New Roman" w:eastAsia="仿宋_GB2312" w:cs="Times New Roman"/>
          <w:color w:val="000000"/>
          <w:kern w:val="0"/>
          <w:sz w:val="32"/>
          <w:szCs w:val="32"/>
          <w:highlight w:val="none"/>
          <w:lang w:val="en-US" w:eastAsia="zh-CN"/>
        </w:rPr>
        <w:t>。</w:t>
      </w:r>
    </w:p>
    <w:p w14:paraId="2C6A453D">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outlineLvl w:val="0"/>
        <w:rPr>
          <w:rFonts w:hint="eastAsia" w:ascii="楷体_GB2312" w:hAnsi="Times New Roman" w:eastAsia="楷体_GB2312" w:cs="Times New Roman"/>
          <w:b/>
          <w:bCs/>
          <w:sz w:val="32"/>
          <w:szCs w:val="32"/>
          <w:highlight w:val="none"/>
          <w:lang w:bidi="ar-SA"/>
        </w:rPr>
      </w:pPr>
      <w:r>
        <w:rPr>
          <w:rFonts w:hint="eastAsia" w:ascii="楷体_GB2312" w:hAnsi="Times New Roman" w:eastAsia="楷体_GB2312" w:cs="Times New Roman"/>
          <w:b/>
          <w:bCs/>
          <w:sz w:val="32"/>
          <w:szCs w:val="32"/>
          <w:highlight w:val="none"/>
          <w:lang w:bidi="ar-SA"/>
        </w:rPr>
        <w:t>（</w:t>
      </w:r>
      <w:r>
        <w:rPr>
          <w:rFonts w:hint="eastAsia" w:ascii="楷体_GB2312" w:hAnsi="Times New Roman" w:eastAsia="楷体_GB2312" w:cs="Times New Roman"/>
          <w:b/>
          <w:bCs/>
          <w:sz w:val="32"/>
          <w:szCs w:val="32"/>
          <w:highlight w:val="none"/>
          <w:lang w:val="en-US" w:eastAsia="zh-CN" w:bidi="ar-SA"/>
        </w:rPr>
        <w:t>二</w:t>
      </w:r>
      <w:r>
        <w:rPr>
          <w:rFonts w:hint="eastAsia" w:ascii="楷体_GB2312" w:hAnsi="Times New Roman" w:eastAsia="楷体_GB2312" w:cs="Times New Roman"/>
          <w:b/>
          <w:bCs/>
          <w:sz w:val="32"/>
          <w:szCs w:val="32"/>
          <w:highlight w:val="none"/>
          <w:lang w:bidi="ar-SA"/>
        </w:rPr>
        <w:t>）绩效指标完成情况</w:t>
      </w:r>
    </w:p>
    <w:p w14:paraId="4F7D20C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outlineLvl w:val="0"/>
        <w:rPr>
          <w:rFonts w:hint="eastAsia" w:ascii="Times New Roman" w:hAnsi="Times New Roman" w:eastAsia="仿宋_GB2312" w:cs="Times New Roman"/>
          <w:sz w:val="32"/>
          <w:szCs w:val="32"/>
          <w:highlight w:val="none"/>
          <w:lang w:val="zh-CN" w:eastAsia="zh-CN"/>
        </w:rPr>
      </w:pPr>
      <w:r>
        <w:rPr>
          <w:rFonts w:hint="default" w:ascii="Times New Roman" w:hAnsi="Times New Roman" w:eastAsia="仿宋_GB2312" w:cs="Times New Roman"/>
          <w:bCs/>
          <w:sz w:val="32"/>
          <w:szCs w:val="32"/>
          <w:highlight w:val="none"/>
          <w:lang w:val="en-US" w:eastAsia="zh-CN"/>
        </w:rPr>
        <w:t>2025年</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kern w:val="2"/>
          <w:sz w:val="32"/>
          <w:szCs w:val="32"/>
          <w:highlight w:val="none"/>
        </w:rPr>
        <w:t>全州服务业保持稳中有进发展态势，实现服务业增加值</w:t>
      </w:r>
      <w:r>
        <w:rPr>
          <w:rFonts w:hint="eastAsia" w:ascii="Times New Roman" w:hAnsi="Times New Roman" w:eastAsia="仿宋_GB2312" w:cs="Times New Roman"/>
          <w:kern w:val="2"/>
          <w:sz w:val="32"/>
          <w:szCs w:val="32"/>
          <w:highlight w:val="none"/>
          <w:lang w:eastAsia="zh-CN"/>
        </w:rPr>
        <w:t>增速</w:t>
      </w:r>
      <w:r>
        <w:rPr>
          <w:rFonts w:hint="default" w:ascii="Times New Roman" w:hAnsi="Times New Roman" w:eastAsia="仿宋_GB2312" w:cs="Times New Roman"/>
          <w:kern w:val="2"/>
          <w:sz w:val="32"/>
          <w:szCs w:val="32"/>
          <w:highlight w:val="none"/>
        </w:rPr>
        <w:t>同比增长</w:t>
      </w:r>
      <w:r>
        <w:rPr>
          <w:rFonts w:hint="eastAsia" w:ascii="Times New Roman" w:hAnsi="Times New Roman" w:eastAsia="仿宋_GB2312" w:cs="Times New Roman"/>
          <w:kern w:val="2"/>
          <w:sz w:val="32"/>
          <w:szCs w:val="32"/>
          <w:highlight w:val="none"/>
          <w:lang w:val="en-US" w:eastAsia="zh-CN"/>
        </w:rPr>
        <w:t>6</w:t>
      </w:r>
      <w:r>
        <w:rPr>
          <w:rFonts w:hint="default" w:ascii="Times New Roman" w:hAnsi="Times New Roman" w:eastAsia="仿宋_GB2312" w:cs="Times New Roman"/>
          <w:kern w:val="2"/>
          <w:sz w:val="32"/>
          <w:szCs w:val="32"/>
          <w:highlight w:val="none"/>
        </w:rPr>
        <w:t>%</w:t>
      </w:r>
      <w:r>
        <w:rPr>
          <w:rFonts w:hint="eastAsia" w:ascii="Times New Roman" w:hAnsi="Times New Roman" w:eastAsia="仿宋_GB2312" w:cs="Times New Roman"/>
          <w:kern w:val="2"/>
          <w:sz w:val="32"/>
          <w:szCs w:val="32"/>
          <w:highlight w:val="none"/>
          <w:lang w:eastAsia="zh-CN"/>
        </w:rPr>
        <w:t>，社会消费品零售总额同比增长</w:t>
      </w:r>
      <w:r>
        <w:rPr>
          <w:rFonts w:hint="eastAsia" w:ascii="Times New Roman" w:hAnsi="Times New Roman" w:eastAsia="仿宋_GB2312" w:cs="Times New Roman"/>
          <w:kern w:val="2"/>
          <w:sz w:val="32"/>
          <w:szCs w:val="32"/>
          <w:highlight w:val="none"/>
          <w:lang w:val="en-US" w:eastAsia="zh-CN"/>
        </w:rPr>
        <w:t>7.4%</w:t>
      </w:r>
      <w:r>
        <w:rPr>
          <w:rFonts w:hint="eastAsia" w:ascii="Times New Roman" w:hAnsi="Times New Roman" w:eastAsia="仿宋_GB2312" w:cs="Times New Roman"/>
          <w:kern w:val="2"/>
          <w:sz w:val="32"/>
          <w:szCs w:val="32"/>
          <w:highlight w:val="none"/>
          <w:lang w:eastAsia="zh-CN"/>
        </w:rPr>
        <w:t>。</w:t>
      </w:r>
    </w:p>
    <w:p w14:paraId="6DD78370">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en-US" w:eastAsia="en-US" w:bidi="ar-SA"/>
        </w:rPr>
      </w:pPr>
      <w:r>
        <w:rPr>
          <w:rFonts w:hint="default" w:ascii="Times New Roman" w:hAnsi="Times New Roman" w:eastAsia="黑体" w:cs="Times New Roman"/>
          <w:color w:val="auto"/>
          <w:kern w:val="0"/>
          <w:position w:val="3"/>
          <w:sz w:val="32"/>
          <w:szCs w:val="32"/>
          <w:highlight w:val="none"/>
          <w:u w:val="none"/>
          <w:lang w:val="en-US" w:eastAsia="zh-CN" w:bidi="ar-SA"/>
        </w:rPr>
        <w:t>三</w:t>
      </w:r>
      <w:r>
        <w:rPr>
          <w:rFonts w:hint="default" w:ascii="Times New Roman" w:hAnsi="Times New Roman" w:eastAsia="黑体" w:cs="Times New Roman"/>
          <w:color w:val="auto"/>
          <w:kern w:val="0"/>
          <w:position w:val="3"/>
          <w:sz w:val="32"/>
          <w:szCs w:val="32"/>
          <w:highlight w:val="none"/>
          <w:u w:val="none"/>
          <w:lang w:val="en-US" w:eastAsia="en-US" w:bidi="ar-SA"/>
        </w:rPr>
        <w:t>、评价结论</w:t>
      </w:r>
    </w:p>
    <w:p w14:paraId="29D48722">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仿宋_GB2312" w:cs="Times New Roman"/>
          <w:b w:val="0"/>
          <w:bCs w:val="0"/>
          <w:kern w:val="2"/>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通过商务领域市场主体扶持补助资金，进一步提升服务业市场主体活跃度，让市场主体不断壮大，促进服务业经济发展</w:t>
      </w:r>
      <w:r>
        <w:rPr>
          <w:rFonts w:hint="default" w:ascii="Times New Roman" w:hAnsi="Times New Roman" w:eastAsia="仿宋_GB2312" w:cs="Times New Roman"/>
          <w:b w:val="0"/>
          <w:bCs w:val="0"/>
          <w:kern w:val="0"/>
          <w:position w:val="3"/>
          <w:sz w:val="32"/>
          <w:szCs w:val="32"/>
          <w:highlight w:val="none"/>
          <w:lang w:val="zh-CN" w:eastAsia="en-US" w:bidi="ar-SA"/>
        </w:rPr>
        <w:t>。</w:t>
      </w:r>
      <w:r>
        <w:rPr>
          <w:rFonts w:hint="eastAsia" w:ascii="Times New Roman" w:hAnsi="Times New Roman" w:eastAsia="仿宋_GB2312" w:cs="Times New Roman"/>
          <w:b w:val="0"/>
          <w:bCs w:val="0"/>
          <w:kern w:val="0"/>
          <w:position w:val="3"/>
          <w:sz w:val="32"/>
          <w:szCs w:val="32"/>
          <w:highlight w:val="none"/>
          <w:lang w:val="zh-CN" w:eastAsia="en-US" w:bidi="ar-SA"/>
        </w:rPr>
        <w:t>自评得分：</w:t>
      </w:r>
      <w:r>
        <w:rPr>
          <w:rFonts w:hint="eastAsia" w:ascii="Times New Roman" w:hAnsi="Times New Roman" w:eastAsia="仿宋_GB2312" w:cs="Times New Roman"/>
          <w:b w:val="0"/>
          <w:bCs w:val="0"/>
          <w:kern w:val="0"/>
          <w:position w:val="3"/>
          <w:sz w:val="32"/>
          <w:szCs w:val="32"/>
          <w:highlight w:val="none"/>
          <w:lang w:val="en-US" w:eastAsia="zh-CN" w:bidi="ar-SA"/>
        </w:rPr>
        <w:t>94分。</w:t>
      </w:r>
    </w:p>
    <w:p w14:paraId="61215D7A">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eastAsia" w:ascii="Times New Roman" w:hAnsi="Times New Roman" w:eastAsia="黑体" w:cs="Times New Roman"/>
          <w:color w:val="auto"/>
          <w:kern w:val="0"/>
          <w:position w:val="3"/>
          <w:sz w:val="32"/>
          <w:szCs w:val="32"/>
          <w:highlight w:val="none"/>
          <w:u w:val="none"/>
          <w:lang w:val="zh-CN" w:eastAsia="zh-CN" w:bidi="ar-SA"/>
        </w:rPr>
        <w:t>四</w:t>
      </w:r>
      <w:r>
        <w:rPr>
          <w:rFonts w:hint="default" w:ascii="Times New Roman" w:hAnsi="Times New Roman" w:eastAsia="黑体" w:cs="Times New Roman"/>
          <w:color w:val="auto"/>
          <w:kern w:val="0"/>
          <w:position w:val="3"/>
          <w:sz w:val="32"/>
          <w:szCs w:val="32"/>
          <w:highlight w:val="none"/>
          <w:u w:val="none"/>
          <w:lang w:val="zh-CN" w:eastAsia="zh-CN" w:bidi="ar-SA"/>
        </w:rPr>
        <w:t>、</w:t>
      </w:r>
      <w:r>
        <w:rPr>
          <w:rFonts w:hint="eastAsia" w:ascii="Times New Roman" w:hAnsi="Times New Roman" w:eastAsia="黑体" w:cs="Times New Roman"/>
          <w:color w:val="auto"/>
          <w:kern w:val="0"/>
          <w:position w:val="3"/>
          <w:sz w:val="32"/>
          <w:szCs w:val="32"/>
          <w:highlight w:val="none"/>
          <w:u w:val="none"/>
          <w:lang w:val="zh-CN" w:eastAsia="zh-CN" w:bidi="ar-SA"/>
        </w:rPr>
        <w:t>下步措施</w:t>
      </w:r>
    </w:p>
    <w:p w14:paraId="6D4586F5">
      <w:pPr>
        <w:keepNext w:val="0"/>
        <w:keepLines w:val="0"/>
        <w:pageBreakBefore w:val="0"/>
        <w:widowControl w:val="0"/>
        <w:suppressLineNumbers w:val="0"/>
        <w:suppressAutoHyphens w:val="0"/>
        <w:kinsoku/>
        <w:wordWrap/>
        <w:overflowPunct/>
        <w:topLinePunct w:val="0"/>
        <w:autoSpaceDE/>
        <w:autoSpaceDN/>
        <w:spacing w:line="560" w:lineRule="exact"/>
        <w:ind w:firstLine="640" w:firstLineChars="200"/>
        <w:rPr>
          <w:rFonts w:hint="default" w:ascii="Times New Roman" w:hAnsi="Times New Roman" w:eastAsia="仿宋_GB2312" w:cs="Times New Roman"/>
          <w:bCs/>
          <w:sz w:val="32"/>
          <w:szCs w:val="32"/>
          <w:highlight w:val="none"/>
          <w:lang w:val="en-US" w:eastAsia="zh-CN" w:bidi="ar-SA"/>
        </w:rPr>
      </w:pPr>
      <w:r>
        <w:rPr>
          <w:rFonts w:hint="default" w:ascii="Times New Roman" w:hAnsi="Times New Roman" w:eastAsia="仿宋_GB2312" w:cs="Times New Roman"/>
          <w:bCs/>
          <w:sz w:val="32"/>
          <w:szCs w:val="32"/>
          <w:highlight w:val="none"/>
          <w:lang w:val="en-US" w:eastAsia="zh-CN" w:bidi="ar-SA"/>
        </w:rPr>
        <w:t>我局将指导获得</w:t>
      </w:r>
      <w:r>
        <w:rPr>
          <w:rFonts w:hint="default" w:ascii="Times New Roman" w:hAnsi="Times New Roman" w:eastAsia="仿宋_GB2312" w:cs="Times New Roman"/>
          <w:bCs/>
          <w:sz w:val="32"/>
          <w:szCs w:val="32"/>
          <w:highlight w:val="none"/>
        </w:rPr>
        <w:t>专项资金的</w:t>
      </w:r>
      <w:r>
        <w:rPr>
          <w:rFonts w:ascii="Times New Roman" w:hAnsi="Times New Roman" w:eastAsia="仿宋_GB2312" w:cs="Times New Roman"/>
          <w:bCs/>
          <w:sz w:val="32"/>
          <w:szCs w:val="32"/>
          <w:highlight w:val="none"/>
        </w:rPr>
        <w:t>县</w:t>
      </w:r>
      <w:r>
        <w:rPr>
          <w:rFonts w:hint="default" w:ascii="Times New Roman" w:hAnsi="Times New Roman" w:eastAsia="仿宋_GB2312" w:cs="Times New Roman"/>
          <w:bCs/>
          <w:sz w:val="32"/>
          <w:szCs w:val="32"/>
          <w:highlight w:val="none"/>
          <w:lang w:val="en-US" w:eastAsia="zh-CN" w:bidi="ar-SA"/>
        </w:rPr>
        <w:t>收到资金后，按照国家有关财务、会计制度的规定进行账务处理，严格按照规定使用资金，</w:t>
      </w:r>
      <w:r>
        <w:rPr>
          <w:rFonts w:hint="eastAsia" w:ascii="Times New Roman" w:hAnsi="Times New Roman" w:eastAsia="仿宋_GB2312" w:cs="Times New Roman"/>
          <w:bCs/>
          <w:sz w:val="32"/>
          <w:szCs w:val="32"/>
          <w:highlight w:val="none"/>
          <w:lang w:val="en-US" w:eastAsia="zh-CN" w:bidi="ar-SA"/>
        </w:rPr>
        <w:t>确保专款专用，</w:t>
      </w:r>
      <w:r>
        <w:rPr>
          <w:rFonts w:hint="default" w:ascii="Times New Roman" w:hAnsi="Times New Roman" w:eastAsia="仿宋_GB2312" w:cs="Times New Roman"/>
          <w:bCs/>
          <w:sz w:val="32"/>
          <w:szCs w:val="32"/>
          <w:highlight w:val="none"/>
          <w:lang w:val="en-US" w:eastAsia="zh-CN" w:bidi="ar-SA"/>
        </w:rPr>
        <w:t>自觉接受财政、商务、审计等主管部门的监督检查，并按照国家档案管理有关规定妥善保管申请和审核材料，以备核查。</w:t>
      </w:r>
    </w:p>
    <w:p w14:paraId="522795B5">
      <w:pPr>
        <w:rPr>
          <w:rFonts w:hint="eastAsia"/>
          <w:highlight w:val="none"/>
          <w:lang w:val="en-US" w:eastAsia="zh-CN"/>
        </w:rPr>
      </w:pPr>
      <w:r>
        <w:rPr>
          <w:rFonts w:hint="eastAsia"/>
          <w:highlight w:val="none"/>
          <w:lang w:val="en-US" w:eastAsia="zh-CN"/>
        </w:rPr>
        <w:br w:type="page"/>
      </w:r>
    </w:p>
    <w:p w14:paraId="30918115">
      <w:pPr>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微软雅黑" w:cs="Times New Roman"/>
          <w:color w:val="auto"/>
          <w:kern w:val="2"/>
          <w:sz w:val="44"/>
          <w:szCs w:val="44"/>
          <w:highlight w:val="none"/>
          <w:lang w:val="en-US" w:eastAsia="zh-CN" w:bidi="ar-SA"/>
        </w:rPr>
      </w:pPr>
      <w:r>
        <w:rPr>
          <w:rFonts w:hint="eastAsia" w:ascii="Times New Roman" w:hAnsi="Times New Roman" w:eastAsia="微软雅黑" w:cs="Times New Roman"/>
          <w:color w:val="auto"/>
          <w:kern w:val="2"/>
          <w:sz w:val="44"/>
          <w:szCs w:val="44"/>
          <w:highlight w:val="none"/>
          <w:lang w:val="en-US" w:eastAsia="zh-CN" w:bidi="ar-SA"/>
        </w:rPr>
        <w:t>阿坝州商务局</w:t>
      </w:r>
    </w:p>
    <w:p w14:paraId="7FFD8B68">
      <w:pPr>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微软雅黑" w:cs="Times New Roman"/>
          <w:color w:val="auto"/>
          <w:kern w:val="2"/>
          <w:sz w:val="44"/>
          <w:szCs w:val="44"/>
          <w:highlight w:val="none"/>
          <w:lang w:val="en-US" w:eastAsia="zh-CN" w:bidi="ar-SA"/>
        </w:rPr>
      </w:pPr>
      <w:r>
        <w:rPr>
          <w:rFonts w:hint="default" w:ascii="Times New Roman" w:hAnsi="Times New Roman" w:eastAsia="微软雅黑" w:cs="Times New Roman"/>
          <w:color w:val="auto"/>
          <w:kern w:val="2"/>
          <w:sz w:val="44"/>
          <w:szCs w:val="44"/>
          <w:highlight w:val="none"/>
          <w:lang w:val="en-US" w:eastAsia="zh-CN" w:bidi="ar-SA"/>
        </w:rPr>
        <w:t>消费品以旧换新专项预算绩效自评报告</w:t>
      </w:r>
    </w:p>
    <w:p w14:paraId="76CCF85C">
      <w:pPr>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eastAsia="宋体" w:cs="Times New Roman"/>
          <w:color w:val="auto"/>
          <w:kern w:val="2"/>
          <w:sz w:val="32"/>
          <w:szCs w:val="32"/>
          <w:highlight w:val="none"/>
          <w:lang w:val="zh-CN" w:eastAsia="zh-CN" w:bidi="ar-SA"/>
        </w:rPr>
      </w:pPr>
    </w:p>
    <w:p w14:paraId="3F9E01B6">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黑体" w:cs="Times New Roman"/>
          <w:sz w:val="32"/>
          <w:szCs w:val="32"/>
          <w:highlight w:val="none"/>
          <w:lang w:val="zh-CN"/>
        </w:rPr>
      </w:pPr>
      <w:r>
        <w:rPr>
          <w:rFonts w:hint="default" w:ascii="Times New Roman" w:hAnsi="Times New Roman" w:eastAsia="黑体" w:cs="Times New Roman"/>
          <w:sz w:val="32"/>
          <w:szCs w:val="32"/>
          <w:highlight w:val="none"/>
        </w:rPr>
        <w:t>一、</w:t>
      </w:r>
      <w:r>
        <w:rPr>
          <w:rFonts w:hint="default" w:ascii="Times New Roman" w:hAnsi="Times New Roman" w:eastAsia="黑体" w:cs="Times New Roman"/>
          <w:sz w:val="32"/>
          <w:szCs w:val="32"/>
          <w:highlight w:val="none"/>
          <w:lang w:val="zh-CN"/>
        </w:rPr>
        <w:t>项目概况</w:t>
      </w:r>
    </w:p>
    <w:p w14:paraId="30E41573">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default" w:ascii="Times New Roman" w:hAnsi="Times New Roman" w:eastAsia="仿宋_GB2312" w:cs="Times New Roman"/>
          <w:color w:val="auto"/>
          <w:kern w:val="0"/>
          <w:sz w:val="32"/>
          <w:szCs w:val="32"/>
          <w:highlight w:val="none"/>
          <w:u w:val="none"/>
          <w:shd w:val="clear" w:color="auto" w:fill="FFFFFF"/>
          <w:lang w:val="en-US"/>
        </w:rPr>
      </w:pPr>
      <w:r>
        <w:rPr>
          <w:rFonts w:hint="default" w:ascii="Times New Roman" w:hAnsi="Times New Roman" w:eastAsia="楷体_GB2312" w:cs="Times New Roman"/>
          <w:b/>
          <w:color w:val="auto"/>
          <w:sz w:val="32"/>
          <w:szCs w:val="32"/>
          <w:highlight w:val="none"/>
          <w:u w:val="none"/>
          <w:lang w:val="zh-CN"/>
        </w:rPr>
        <w:t>（一）设立背景及基本情况。</w:t>
      </w:r>
      <w:r>
        <w:rPr>
          <w:rFonts w:hint="eastAsia" w:ascii="Times New Roman" w:hAnsi="Times New Roman" w:eastAsia="仿宋_GB2312" w:cs="Times New Roman"/>
          <w:color w:val="auto"/>
          <w:kern w:val="0"/>
          <w:sz w:val="32"/>
          <w:szCs w:val="32"/>
          <w:highlight w:val="none"/>
          <w:u w:val="none"/>
          <w:shd w:val="clear" w:color="auto" w:fill="FFFFFF"/>
          <w:lang w:val="en-US" w:eastAsia="zh-CN"/>
        </w:rPr>
        <w:t>为贯彻落实党中央国务院、省委省政府关于推动消费品以旧换新的决策部署，</w:t>
      </w:r>
      <w:r>
        <w:rPr>
          <w:rFonts w:hint="eastAsia" w:ascii="Times New Roman" w:hAnsi="Times New Roman" w:eastAsia="仿宋_GB2312" w:cs="Times New Roman"/>
          <w:sz w:val="32"/>
          <w:szCs w:val="32"/>
          <w:highlight w:val="none"/>
          <w:lang w:val="en-US" w:eastAsia="zh-CN"/>
        </w:rPr>
        <w:t>根据《四川省2025年加力扩围支持大规模设备更新和消费品以旧换新政策措施》文件精神，积极推动消费品以旧换新。</w:t>
      </w:r>
    </w:p>
    <w:p w14:paraId="57F23411">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仿宋_GB2312" w:cs="Times New Roman"/>
          <w:sz w:val="32"/>
          <w:szCs w:val="32"/>
          <w:highlight w:val="none"/>
          <w:lang w:val="en-US" w:eastAsia="zh-CN"/>
        </w:rPr>
        <w:t>坚持政府引导、市场为主，以标准为牵引、政策为激励、畅通循环为驱动，</w:t>
      </w:r>
      <w:r>
        <w:rPr>
          <w:rFonts w:hint="eastAsia" w:ascii="Times New Roman" w:hAnsi="Times New Roman" w:eastAsia="仿宋_GB2312" w:cs="Times New Roman"/>
          <w:color w:val="auto"/>
          <w:kern w:val="0"/>
          <w:sz w:val="32"/>
          <w:szCs w:val="32"/>
          <w:highlight w:val="none"/>
          <w:u w:val="none"/>
          <w:shd w:val="clear" w:color="auto" w:fill="FFFFFF"/>
          <w:lang w:val="en-US" w:eastAsia="zh-CN"/>
        </w:rPr>
        <w:t>加快发展“换新+回收”新体系新模式，建立“去旧更容易、换新更愿意”的有效机制，推动消费升级与产业升级良性互动，更好发挥消费对经济增长的支撑作用，更好满足人民群众美好生活需要。在全州范围内开展汽车报废更新、汽车置换更新、家电以旧换新、电动自行车以旧换新活动。</w:t>
      </w:r>
    </w:p>
    <w:p w14:paraId="02D63FEE">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default" w:ascii="Times New Roman" w:hAnsi="Times New Roman" w:eastAsia="仿宋_GB2312" w:cs="Times New Roman"/>
          <w:color w:val="auto"/>
          <w:kern w:val="0"/>
          <w:sz w:val="32"/>
          <w:szCs w:val="32"/>
          <w:highlight w:val="none"/>
          <w:u w:val="none"/>
          <w:shd w:val="clear" w:color="auto" w:fill="FFFFFF"/>
          <w:lang w:val="zh-CN"/>
        </w:rPr>
      </w:pPr>
      <w:r>
        <w:rPr>
          <w:rFonts w:hint="default"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r>
        <w:rPr>
          <w:rFonts w:hint="eastAsia" w:ascii="Times New Roman" w:hAnsi="Times New Roman" w:eastAsia="仿宋_GB2312" w:cs="Times New Roman"/>
          <w:color w:val="auto"/>
          <w:kern w:val="0"/>
          <w:sz w:val="32"/>
          <w:szCs w:val="32"/>
          <w:highlight w:val="none"/>
          <w:u w:val="none"/>
          <w:shd w:val="clear" w:color="auto" w:fill="FFFFFF"/>
          <w:lang w:val="en-US" w:eastAsia="zh-CN"/>
        </w:rPr>
        <w:t>2025年，由州财政统筹安排资金支持消费品以旧换新工作。</w:t>
      </w:r>
    </w:p>
    <w:p w14:paraId="325E726A">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default" w:ascii="仿宋_GB2312" w:hAnsi="仿宋_GB2312" w:eastAsia="仿宋_GB2312" w:cs="仿宋_GB2312"/>
          <w:sz w:val="32"/>
          <w:szCs w:val="32"/>
          <w:highlight w:val="none"/>
          <w:lang w:val="en-US" w:eastAsia="zh-CN"/>
        </w:rPr>
      </w:pPr>
      <w:r>
        <w:rPr>
          <w:rFonts w:hint="default" w:ascii="Times New Roman" w:hAnsi="Times New Roman" w:eastAsia="楷体_GB2312" w:cs="Times New Roman"/>
          <w:b/>
          <w:color w:val="auto"/>
          <w:sz w:val="32"/>
          <w:szCs w:val="32"/>
          <w:highlight w:val="none"/>
          <w:u w:val="none"/>
          <w:lang w:val="zh-CN" w:eastAsia="zh-CN"/>
        </w:rPr>
        <w:t>（四）项目绩效目标设置。</w:t>
      </w:r>
      <w:r>
        <w:rPr>
          <w:rFonts w:hint="eastAsia" w:ascii="仿宋_GB2312" w:hAnsi="仿宋_GB2312" w:eastAsia="仿宋_GB2312" w:cs="仿宋_GB2312"/>
          <w:sz w:val="32"/>
          <w:szCs w:val="32"/>
          <w:highlight w:val="none"/>
          <w:lang w:val="en-US" w:eastAsia="zh-CN"/>
        </w:rPr>
        <w:t>一是参与消费品以旧换新活动的商户不少于50家；二是活动在2025年12月底前完成；三是不超预算；四是全市社会消费品零售比上年度有所增长；五是服务对象满意度</w:t>
      </w:r>
      <w:r>
        <w:rPr>
          <w:rFonts w:hint="default" w:ascii="Arial" w:hAnsi="Arial" w:eastAsia="仿宋_GB2312" w:cs="Arial"/>
          <w:sz w:val="32"/>
          <w:szCs w:val="32"/>
          <w:highlight w:val="none"/>
          <w:lang w:val="en-US" w:eastAsia="zh-CN"/>
        </w:rPr>
        <w:t>≥</w:t>
      </w:r>
      <w:r>
        <w:rPr>
          <w:rFonts w:hint="eastAsia" w:ascii="仿宋_GB2312" w:hAnsi="仿宋_GB2312" w:eastAsia="仿宋_GB2312" w:cs="仿宋_GB2312"/>
          <w:sz w:val="32"/>
          <w:szCs w:val="32"/>
          <w:highlight w:val="none"/>
          <w:lang w:val="en-US" w:eastAsia="zh-CN"/>
        </w:rPr>
        <w:t>85%</w:t>
      </w:r>
    </w:p>
    <w:p w14:paraId="67D78B9E">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rPr>
        <w:t>二、</w:t>
      </w:r>
      <w:r>
        <w:rPr>
          <w:rFonts w:hint="default" w:ascii="Times New Roman" w:hAnsi="Times New Roman" w:eastAsia="黑体" w:cs="Times New Roman"/>
          <w:sz w:val="32"/>
          <w:szCs w:val="32"/>
          <w:highlight w:val="none"/>
          <w:lang w:eastAsia="zh-CN"/>
        </w:rPr>
        <w:t>评价实施</w:t>
      </w:r>
    </w:p>
    <w:p w14:paraId="07947DE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b/>
          <w:color w:val="auto"/>
          <w:sz w:val="32"/>
          <w:szCs w:val="32"/>
          <w:highlight w:val="none"/>
          <w:u w:val="none"/>
          <w:lang w:val="zh-CN"/>
        </w:rPr>
        <w:t>（一）评价目的。</w:t>
      </w:r>
      <w:r>
        <w:rPr>
          <w:rFonts w:hint="eastAsia" w:ascii="Times New Roman" w:hAnsi="Times New Roman" w:eastAsia="仿宋_GB2312" w:cs="Times New Roman"/>
          <w:sz w:val="32"/>
          <w:szCs w:val="32"/>
          <w:highlight w:val="none"/>
          <w:lang w:eastAsia="zh-CN"/>
        </w:rPr>
        <w:t>更好掌握消费品以旧换新</w:t>
      </w:r>
      <w:r>
        <w:rPr>
          <w:rFonts w:hint="default" w:ascii="Times New Roman" w:hAnsi="Times New Roman" w:eastAsia="仿宋_GB2312" w:cs="Times New Roman"/>
          <w:sz w:val="32"/>
          <w:szCs w:val="32"/>
          <w:highlight w:val="none"/>
        </w:rPr>
        <w:t>政策执行的成本效益、对市场的促进作用、对环保的贡献</w:t>
      </w:r>
      <w:r>
        <w:rPr>
          <w:rFonts w:hint="default" w:ascii="Times New Roman" w:hAnsi="Times New Roman" w:eastAsia="仿宋_GB2312" w:cs="Times New Roman"/>
          <w:sz w:val="32"/>
          <w:szCs w:val="32"/>
          <w:highlight w:val="none"/>
          <w:lang w:eastAsia="zh-CN"/>
        </w:rPr>
        <w:t>。</w:t>
      </w:r>
    </w:p>
    <w:p w14:paraId="7AAFBCF5">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default" w:ascii="Times New Roman" w:hAnsi="Times New Roman" w:eastAsia="仿宋_GB2312" w:cs="Times New Roman"/>
          <w:sz w:val="32"/>
          <w:szCs w:val="32"/>
          <w:highlight w:val="none"/>
          <w:lang w:val="en-US" w:eastAsia="zh-CN"/>
        </w:rPr>
      </w:pPr>
      <w:r>
        <w:rPr>
          <w:rFonts w:hint="default" w:ascii="Times New Roman" w:hAnsi="Times New Roman" w:eastAsia="楷体_GB2312" w:cs="Times New Roman"/>
          <w:b/>
          <w:color w:val="auto"/>
          <w:sz w:val="32"/>
          <w:szCs w:val="32"/>
          <w:highlight w:val="none"/>
          <w:u w:val="none"/>
          <w:lang w:val="zh-CN"/>
        </w:rPr>
        <w:t>（二）预设问题及评价重点。</w:t>
      </w:r>
      <w:r>
        <w:rPr>
          <w:rFonts w:hint="eastAsia" w:ascii="Times New Roman" w:hAnsi="Times New Roman" w:eastAsia="仿宋_GB2312" w:cs="Times New Roman"/>
          <w:sz w:val="32"/>
          <w:szCs w:val="32"/>
          <w:highlight w:val="none"/>
          <w:lang w:val="en-US" w:eastAsia="zh-CN"/>
        </w:rPr>
        <w:t>2025年，</w:t>
      </w:r>
      <w:r>
        <w:rPr>
          <w:rFonts w:hint="default" w:ascii="Times New Roman" w:hAnsi="Times New Roman" w:eastAsia="仿宋_GB2312" w:cs="Times New Roman"/>
          <w:sz w:val="32"/>
          <w:szCs w:val="32"/>
          <w:highlight w:val="none"/>
          <w:lang w:eastAsia="zh-CN"/>
        </w:rPr>
        <w:t>家电以旧换新审核通过</w:t>
      </w:r>
      <w:r>
        <w:rPr>
          <w:rFonts w:hint="eastAsia" w:ascii="Times New Roman" w:hAnsi="Times New Roman" w:eastAsia="仿宋_GB2312" w:cs="Times New Roman"/>
          <w:sz w:val="32"/>
          <w:szCs w:val="32"/>
          <w:highlight w:val="none"/>
          <w:lang w:val="en-US" w:eastAsia="zh-CN"/>
        </w:rPr>
        <w:t>11484</w:t>
      </w:r>
      <w:r>
        <w:rPr>
          <w:rFonts w:hint="default" w:ascii="Times New Roman" w:hAnsi="Times New Roman" w:eastAsia="仿宋_GB2312" w:cs="Times New Roman"/>
          <w:sz w:val="32"/>
          <w:szCs w:val="32"/>
          <w:highlight w:val="none"/>
          <w:lang w:eastAsia="zh-CN"/>
        </w:rPr>
        <w:t>件，带动消费</w:t>
      </w:r>
      <w:r>
        <w:rPr>
          <w:rFonts w:hint="eastAsia" w:ascii="Times New Roman" w:hAnsi="Times New Roman" w:eastAsia="仿宋_GB2312" w:cs="Times New Roman"/>
          <w:sz w:val="32"/>
          <w:szCs w:val="32"/>
          <w:highlight w:val="none"/>
          <w:lang w:val="en-US" w:eastAsia="zh-CN"/>
        </w:rPr>
        <w:t>3152.79</w:t>
      </w:r>
      <w:r>
        <w:rPr>
          <w:rFonts w:hint="default" w:ascii="Times New Roman" w:hAnsi="Times New Roman" w:eastAsia="仿宋_GB2312" w:cs="Times New Roman"/>
          <w:sz w:val="32"/>
          <w:szCs w:val="32"/>
          <w:highlight w:val="none"/>
          <w:lang w:eastAsia="zh-CN"/>
        </w:rPr>
        <w:t>万元，发放补贴资金</w:t>
      </w:r>
      <w:r>
        <w:rPr>
          <w:rFonts w:hint="eastAsia" w:ascii="Times New Roman" w:hAnsi="Times New Roman" w:eastAsia="仿宋_GB2312" w:cs="Times New Roman"/>
          <w:sz w:val="32"/>
          <w:szCs w:val="32"/>
          <w:highlight w:val="none"/>
          <w:lang w:val="en-US" w:eastAsia="zh-CN"/>
        </w:rPr>
        <w:t>595.27</w:t>
      </w:r>
      <w:r>
        <w:rPr>
          <w:rFonts w:hint="default" w:ascii="Times New Roman" w:hAnsi="Times New Roman" w:eastAsia="仿宋_GB2312" w:cs="Times New Roman"/>
          <w:sz w:val="32"/>
          <w:szCs w:val="32"/>
          <w:highlight w:val="none"/>
          <w:lang w:eastAsia="zh-CN"/>
        </w:rPr>
        <w:t>万元，撬动比达1：</w:t>
      </w:r>
      <w:r>
        <w:rPr>
          <w:rFonts w:hint="eastAsia"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lang w:eastAsia="zh-CN"/>
        </w:rPr>
        <w:t>；手机等数码产品购新审核通过</w:t>
      </w:r>
      <w:r>
        <w:rPr>
          <w:rFonts w:hint="eastAsia" w:ascii="Times New Roman" w:hAnsi="Times New Roman" w:eastAsia="仿宋_GB2312" w:cs="Times New Roman"/>
          <w:sz w:val="32"/>
          <w:szCs w:val="32"/>
          <w:highlight w:val="none"/>
          <w:lang w:val="en-US" w:eastAsia="zh-CN"/>
        </w:rPr>
        <w:t>8197件，带动消费2403.99万元，</w:t>
      </w:r>
      <w:r>
        <w:rPr>
          <w:rFonts w:hint="eastAsia" w:ascii="仿宋_GB2312" w:hAnsi="仿宋_GB2312" w:eastAsia="仿宋_GB2312" w:cs="仿宋_GB2312"/>
          <w:color w:val="000000"/>
          <w:kern w:val="0"/>
          <w:sz w:val="31"/>
          <w:szCs w:val="31"/>
          <w:highlight w:val="none"/>
          <w:lang w:val="en-US" w:eastAsia="zh-CN" w:bidi="ar"/>
        </w:rPr>
        <w:t>发放补贴305.46万元，</w:t>
      </w:r>
      <w:r>
        <w:rPr>
          <w:rFonts w:hint="default" w:ascii="Times New Roman" w:hAnsi="Times New Roman" w:eastAsia="仿宋_GB2312" w:cs="Times New Roman"/>
          <w:sz w:val="32"/>
          <w:szCs w:val="32"/>
          <w:highlight w:val="none"/>
          <w:lang w:eastAsia="zh-CN"/>
        </w:rPr>
        <w:t>撬动比达</w:t>
      </w:r>
      <w:r>
        <w:rPr>
          <w:rFonts w:hint="eastAsia" w:ascii="Times New Roman" w:hAnsi="Times New Roman" w:eastAsia="仿宋_GB2312" w:cs="Times New Roman"/>
          <w:sz w:val="32"/>
          <w:szCs w:val="32"/>
          <w:highlight w:val="none"/>
          <w:lang w:val="en-US" w:eastAsia="zh-CN"/>
        </w:rPr>
        <w:t>1：8。</w:t>
      </w:r>
      <w:r>
        <w:rPr>
          <w:rFonts w:hint="default" w:ascii="Times New Roman" w:hAnsi="Times New Roman" w:eastAsia="仿宋_GB2312" w:cs="Times New Roman"/>
          <w:sz w:val="32"/>
          <w:szCs w:val="32"/>
          <w:highlight w:val="none"/>
          <w:lang w:eastAsia="zh-CN"/>
        </w:rPr>
        <w:t>汽车报废更新审核通过</w:t>
      </w:r>
      <w:r>
        <w:rPr>
          <w:rFonts w:hint="eastAsia" w:ascii="Times New Roman" w:hAnsi="Times New Roman" w:eastAsia="仿宋_GB2312" w:cs="Times New Roman"/>
          <w:sz w:val="32"/>
          <w:szCs w:val="32"/>
          <w:highlight w:val="none"/>
          <w:lang w:val="en-US" w:eastAsia="zh-CN"/>
        </w:rPr>
        <w:t>725</w:t>
      </w:r>
      <w:r>
        <w:rPr>
          <w:rFonts w:hint="default" w:ascii="Times New Roman" w:hAnsi="Times New Roman" w:eastAsia="仿宋_GB2312" w:cs="Times New Roman"/>
          <w:sz w:val="32"/>
          <w:szCs w:val="32"/>
          <w:highlight w:val="none"/>
          <w:lang w:eastAsia="zh-CN"/>
        </w:rPr>
        <w:t>件，带动消费</w:t>
      </w:r>
      <w:r>
        <w:rPr>
          <w:rFonts w:hint="eastAsia" w:ascii="Times New Roman" w:hAnsi="Times New Roman" w:eastAsia="仿宋_GB2312" w:cs="Times New Roman"/>
          <w:sz w:val="32"/>
          <w:szCs w:val="32"/>
          <w:highlight w:val="none"/>
          <w:lang w:val="en-US" w:eastAsia="zh-CN"/>
        </w:rPr>
        <w:t>6080</w:t>
      </w:r>
      <w:r>
        <w:rPr>
          <w:rFonts w:hint="default" w:ascii="Times New Roman" w:hAnsi="Times New Roman" w:eastAsia="仿宋_GB2312" w:cs="Times New Roman"/>
          <w:sz w:val="32"/>
          <w:szCs w:val="32"/>
          <w:highlight w:val="none"/>
          <w:lang w:eastAsia="zh-CN"/>
        </w:rPr>
        <w:t>万元，发放补贴资金</w:t>
      </w:r>
      <w:r>
        <w:rPr>
          <w:rFonts w:hint="eastAsia" w:ascii="Times New Roman" w:hAnsi="Times New Roman" w:eastAsia="仿宋_GB2312" w:cs="Times New Roman"/>
          <w:sz w:val="32"/>
          <w:szCs w:val="32"/>
          <w:highlight w:val="none"/>
          <w:lang w:val="en-US" w:eastAsia="zh-CN"/>
        </w:rPr>
        <w:t>1330</w:t>
      </w:r>
      <w:r>
        <w:rPr>
          <w:rFonts w:hint="default" w:ascii="Times New Roman" w:hAnsi="Times New Roman" w:eastAsia="仿宋_GB2312" w:cs="Times New Roman"/>
          <w:sz w:val="32"/>
          <w:szCs w:val="32"/>
          <w:highlight w:val="none"/>
          <w:lang w:eastAsia="zh-CN"/>
        </w:rPr>
        <w:t>万元，撬动比达1：5；汽车置换更新审核通过</w:t>
      </w:r>
      <w:r>
        <w:rPr>
          <w:rFonts w:hint="eastAsia" w:ascii="Times New Roman" w:hAnsi="Times New Roman" w:eastAsia="仿宋_GB2312" w:cs="Times New Roman"/>
          <w:sz w:val="32"/>
          <w:szCs w:val="32"/>
          <w:highlight w:val="none"/>
          <w:lang w:val="en-US" w:eastAsia="zh-CN"/>
        </w:rPr>
        <w:t>942</w:t>
      </w:r>
      <w:r>
        <w:rPr>
          <w:rFonts w:hint="default" w:ascii="Times New Roman" w:hAnsi="Times New Roman" w:eastAsia="仿宋_GB2312" w:cs="Times New Roman"/>
          <w:sz w:val="32"/>
          <w:szCs w:val="32"/>
          <w:highlight w:val="none"/>
          <w:lang w:eastAsia="zh-CN"/>
        </w:rPr>
        <w:t>件，带动消费</w:t>
      </w:r>
      <w:r>
        <w:rPr>
          <w:rFonts w:hint="eastAsia" w:ascii="Times New Roman" w:hAnsi="Times New Roman" w:eastAsia="仿宋_GB2312" w:cs="Times New Roman"/>
          <w:sz w:val="32"/>
          <w:szCs w:val="32"/>
          <w:highlight w:val="none"/>
          <w:lang w:val="en-US" w:eastAsia="zh-CN"/>
        </w:rPr>
        <w:t>11015</w:t>
      </w:r>
      <w:r>
        <w:rPr>
          <w:rFonts w:hint="default" w:ascii="Times New Roman" w:hAnsi="Times New Roman" w:eastAsia="仿宋_GB2312" w:cs="Times New Roman"/>
          <w:sz w:val="32"/>
          <w:szCs w:val="32"/>
          <w:highlight w:val="none"/>
          <w:lang w:eastAsia="zh-CN"/>
        </w:rPr>
        <w:t>万元，发放补贴资金</w:t>
      </w:r>
      <w:r>
        <w:rPr>
          <w:rFonts w:hint="eastAsia" w:ascii="Times New Roman" w:hAnsi="Times New Roman" w:eastAsia="仿宋_GB2312" w:cs="Times New Roman"/>
          <w:sz w:val="32"/>
          <w:szCs w:val="32"/>
          <w:highlight w:val="none"/>
          <w:lang w:val="en-US" w:eastAsia="zh-CN"/>
        </w:rPr>
        <w:t>861.99</w:t>
      </w:r>
      <w:r>
        <w:rPr>
          <w:rFonts w:hint="default" w:ascii="Times New Roman" w:hAnsi="Times New Roman" w:eastAsia="仿宋_GB2312" w:cs="Times New Roman"/>
          <w:sz w:val="32"/>
          <w:szCs w:val="32"/>
          <w:highlight w:val="none"/>
          <w:lang w:eastAsia="zh-CN"/>
        </w:rPr>
        <w:t>万元，撬动比达1：</w:t>
      </w:r>
      <w:r>
        <w:rPr>
          <w:rFonts w:hint="eastAsia" w:ascii="Times New Roman" w:hAnsi="Times New Roman" w:eastAsia="仿宋_GB2312" w:cs="Times New Roman"/>
          <w:sz w:val="32"/>
          <w:szCs w:val="32"/>
          <w:highlight w:val="none"/>
          <w:lang w:val="en-US" w:eastAsia="zh-CN"/>
        </w:rPr>
        <w:t>12.7</w:t>
      </w:r>
      <w:r>
        <w:rPr>
          <w:rFonts w:hint="default" w:ascii="Times New Roman" w:hAnsi="Times New Roman" w:eastAsia="仿宋_GB2312" w:cs="Times New Roman"/>
          <w:sz w:val="32"/>
          <w:szCs w:val="32"/>
          <w:highlight w:val="none"/>
          <w:lang w:eastAsia="zh-CN"/>
        </w:rPr>
        <w:t>。家装消费品换新核通过</w:t>
      </w:r>
      <w:r>
        <w:rPr>
          <w:rFonts w:hint="eastAsia" w:ascii="Times New Roman" w:hAnsi="Times New Roman" w:eastAsia="仿宋_GB2312" w:cs="Times New Roman"/>
          <w:sz w:val="32"/>
          <w:szCs w:val="32"/>
          <w:highlight w:val="none"/>
          <w:lang w:val="en-US" w:eastAsia="zh-CN"/>
        </w:rPr>
        <w:t>722件，带动消费197.5万元，</w:t>
      </w:r>
      <w:r>
        <w:rPr>
          <w:rFonts w:hint="default" w:ascii="Times New Roman" w:hAnsi="Times New Roman" w:eastAsia="仿宋_GB2312" w:cs="Times New Roman"/>
          <w:sz w:val="32"/>
          <w:szCs w:val="32"/>
          <w:highlight w:val="none"/>
          <w:lang w:eastAsia="zh-CN"/>
        </w:rPr>
        <w:t>发放补贴资金</w:t>
      </w:r>
      <w:r>
        <w:rPr>
          <w:rFonts w:hint="eastAsia" w:ascii="Times New Roman" w:hAnsi="Times New Roman" w:eastAsia="仿宋_GB2312" w:cs="Times New Roman"/>
          <w:sz w:val="32"/>
          <w:szCs w:val="32"/>
          <w:highlight w:val="none"/>
          <w:lang w:val="en-US" w:eastAsia="zh-CN"/>
        </w:rPr>
        <w:t>30.57万元，</w:t>
      </w:r>
      <w:r>
        <w:rPr>
          <w:rFonts w:hint="default" w:ascii="Times New Roman" w:hAnsi="Times New Roman" w:eastAsia="仿宋_GB2312" w:cs="Times New Roman"/>
          <w:sz w:val="32"/>
          <w:szCs w:val="32"/>
          <w:highlight w:val="none"/>
          <w:lang w:eastAsia="zh-CN"/>
        </w:rPr>
        <w:t>撬动比达</w:t>
      </w:r>
      <w:r>
        <w:rPr>
          <w:rFonts w:hint="eastAsia" w:ascii="Times New Roman" w:hAnsi="Times New Roman" w:eastAsia="仿宋_GB2312" w:cs="Times New Roman"/>
          <w:sz w:val="32"/>
          <w:szCs w:val="32"/>
          <w:highlight w:val="none"/>
          <w:lang w:val="en-US" w:eastAsia="zh-CN"/>
        </w:rPr>
        <w:t>1：6。</w:t>
      </w:r>
    </w:p>
    <w:p w14:paraId="40BFE334">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default" w:ascii="Times New Roman" w:hAnsi="Times New Roman" w:eastAsia="仿宋_GB2312"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r>
        <w:rPr>
          <w:rFonts w:hint="default" w:ascii="Times New Roman" w:hAnsi="Times New Roman" w:eastAsia="仿宋_GB2312" w:cs="Times New Roman"/>
          <w:color w:val="auto"/>
          <w:sz w:val="32"/>
          <w:szCs w:val="32"/>
          <w:highlight w:val="none"/>
          <w:u w:val="none"/>
          <w:lang w:val="zh-CN"/>
        </w:rPr>
        <w:tab/>
      </w:r>
    </w:p>
    <w:p w14:paraId="33F71C8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zh-CN" w:eastAsia="zh-CN"/>
        </w:rPr>
        <w:t>根据项目预算绩效评价指标体系“通用指标”“专用指标”“个性指标”涉及二、三级指标进行逐项绩效分析并评分</w:t>
      </w:r>
      <w:r>
        <w:rPr>
          <w:rFonts w:hint="default" w:ascii="Times New Roman" w:hAnsi="Times New Roman" w:eastAsia="仿宋_GB2312" w:cs="Times New Roman"/>
          <w:sz w:val="32"/>
          <w:szCs w:val="32"/>
          <w:highlight w:val="none"/>
          <w:lang w:val="en-US" w:eastAsia="zh-CN"/>
        </w:rPr>
        <w:t>。</w:t>
      </w:r>
    </w:p>
    <w:p w14:paraId="17432506">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4D1002A6">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color w:val="auto"/>
          <w:sz w:val="32"/>
          <w:szCs w:val="32"/>
          <w:highlight w:val="none"/>
          <w:lang w:eastAsia="zh-CN"/>
        </w:rPr>
      </w:pPr>
      <w:r>
        <w:rPr>
          <w:rFonts w:hint="default" w:ascii="Times New Roman" w:hAnsi="Times New Roman" w:eastAsia="楷体_GB2312" w:cs="Times New Roman"/>
          <w:color w:val="auto"/>
          <w:sz w:val="32"/>
          <w:szCs w:val="32"/>
          <w:highlight w:val="none"/>
          <w:lang w:val="en-US" w:eastAsia="zh-CN"/>
        </w:rPr>
        <w:t>1.</w:t>
      </w:r>
      <w:r>
        <w:rPr>
          <w:rFonts w:hint="default" w:ascii="Times New Roman" w:hAnsi="Times New Roman" w:eastAsia="楷体_GB2312" w:cs="Times New Roman"/>
          <w:color w:val="auto"/>
          <w:sz w:val="32"/>
          <w:szCs w:val="32"/>
          <w:highlight w:val="none"/>
          <w:lang w:eastAsia="zh-CN"/>
        </w:rPr>
        <w:t>项目决策。</w:t>
      </w:r>
      <w:r>
        <w:rPr>
          <w:rFonts w:hint="eastAsia" w:ascii="Times New Roman" w:hAnsi="Times New Roman" w:eastAsia="仿宋_GB2312" w:cs="Times New Roman"/>
          <w:sz w:val="32"/>
          <w:szCs w:val="32"/>
          <w:highlight w:val="none"/>
          <w:lang w:val="en-US" w:eastAsia="zh-CN"/>
        </w:rPr>
        <w:t>根据《四川省2025年加力扩围支持大规模设备更新和消费品以旧换新政策措施》等文件精神，我局积极推进消费品以旧换新相关工作，</w:t>
      </w:r>
    </w:p>
    <w:p w14:paraId="56AB9DA6">
      <w:pPr>
        <w:spacing w:line="540" w:lineRule="exact"/>
        <w:ind w:left="0" w:firstLine="640" w:firstLineChars="200"/>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楷体_GB2312" w:cs="Times New Roman"/>
          <w:color w:val="auto"/>
          <w:sz w:val="32"/>
          <w:szCs w:val="32"/>
          <w:highlight w:val="none"/>
          <w:lang w:val="en-US" w:eastAsia="zh-CN"/>
        </w:rPr>
        <w:t>2.</w:t>
      </w:r>
      <w:r>
        <w:rPr>
          <w:rFonts w:hint="default" w:ascii="Times New Roman" w:hAnsi="Times New Roman" w:eastAsia="楷体_GB2312" w:cs="Times New Roman"/>
          <w:color w:val="auto"/>
          <w:sz w:val="32"/>
          <w:szCs w:val="32"/>
          <w:highlight w:val="none"/>
          <w:lang w:eastAsia="zh-CN"/>
        </w:rPr>
        <w:t>项目管理。</w:t>
      </w:r>
      <w:r>
        <w:rPr>
          <w:rFonts w:hint="eastAsia" w:ascii="Times New Roman" w:hAnsi="Times New Roman" w:eastAsia="仿宋_GB2312" w:cs="Times New Roman"/>
          <w:sz w:val="32"/>
          <w:szCs w:val="32"/>
          <w:highlight w:val="none"/>
          <w:lang w:eastAsia="zh-CN"/>
        </w:rPr>
        <w:t>及时成立以州商务局主要领导为组长，相关班子成员为副组长，相关科室负责人为成员的阿坝州商务局消费品以旧换新工作专班，联动各县（市）商务部门，每日跟进进度数据，定期开展分析调度，全力统筹落实消费品以旧换新工作。同时，积极协调发改、财政、税务、市场监管等部门开展研究，形成工作合力，全力推动消费品以旧换新工作开展。</w:t>
      </w:r>
    </w:p>
    <w:p w14:paraId="54FB966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3.项目实施。</w:t>
      </w:r>
      <w:r>
        <w:rPr>
          <w:rFonts w:hint="eastAsia" w:ascii="仿宋_GB2312" w:hAnsi="仿宋_GB2312" w:eastAsia="仿宋_GB2312" w:cs="仿宋_GB2312"/>
          <w:sz w:val="32"/>
          <w:szCs w:val="32"/>
          <w:highlight w:val="none"/>
          <w:lang w:val="en-US" w:eastAsia="zh-CN"/>
        </w:rPr>
        <w:t>2025年我州积极开展汽车报废更新、汽车置换更新、家电以旧换新等工作，通过政府引导、政策激励，充分发挥市场主体积极性，成效显著。2025年，参与消费品以旧换新活动的人数已超过2.2万人次，带动消费超2.3亿元，撬动比达1：7。</w:t>
      </w:r>
    </w:p>
    <w:p w14:paraId="6B171D66">
      <w:pPr>
        <w:keepNext w:val="0"/>
        <w:keepLines w:val="0"/>
        <w:widowControl w:val="0"/>
        <w:suppressLineNumbers w:val="0"/>
        <w:autoSpaceDE w:val="0"/>
        <w:autoSpaceDN/>
        <w:adjustRightInd w:val="0"/>
        <w:snapToGrid w:val="0"/>
        <w:spacing w:before="0" w:beforeAutospacing="0" w:after="0" w:afterAutospacing="0" w:line="578" w:lineRule="exact"/>
        <w:ind w:left="0" w:leftChars="0" w:right="0" w:firstLine="640" w:firstLineChars="200"/>
        <w:jc w:val="both"/>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楷体_GB2312" w:cs="Times New Roman"/>
          <w:color w:val="auto"/>
          <w:sz w:val="32"/>
          <w:szCs w:val="32"/>
          <w:highlight w:val="none"/>
          <w:lang w:val="en-US" w:eastAsia="zh-CN"/>
        </w:rPr>
        <w:t>4.项目结果。</w:t>
      </w:r>
      <w:r>
        <w:rPr>
          <w:rFonts w:hint="default" w:ascii="Times New Roman" w:hAnsi="Times New Roman" w:eastAsia="仿宋_GB2312" w:cs="Times New Roman"/>
          <w:kern w:val="2"/>
          <w:sz w:val="32"/>
          <w:szCs w:val="32"/>
          <w:highlight w:val="none"/>
          <w:lang w:val="en-US" w:eastAsia="zh-CN" w:bidi="ar"/>
        </w:rPr>
        <w:t>2025</w:t>
      </w:r>
      <w:r>
        <w:rPr>
          <w:rFonts w:hint="eastAsia" w:ascii="仿宋_GB2312" w:hAnsi="Times New Roman" w:eastAsia="仿宋_GB2312" w:cs="仿宋_GB2312"/>
          <w:kern w:val="2"/>
          <w:sz w:val="32"/>
          <w:szCs w:val="32"/>
          <w:highlight w:val="none"/>
          <w:lang w:val="en-US" w:eastAsia="zh-CN" w:bidi="ar"/>
        </w:rPr>
        <w:t>年，家电以旧换新审核通过</w:t>
      </w:r>
      <w:r>
        <w:rPr>
          <w:rFonts w:hint="default" w:ascii="Times New Roman" w:hAnsi="Times New Roman" w:eastAsia="仿宋_GB2312" w:cs="Times New Roman"/>
          <w:kern w:val="2"/>
          <w:sz w:val="32"/>
          <w:szCs w:val="32"/>
          <w:highlight w:val="none"/>
          <w:lang w:val="en-US" w:eastAsia="zh-CN" w:bidi="ar"/>
        </w:rPr>
        <w:t>11484</w:t>
      </w:r>
      <w:r>
        <w:rPr>
          <w:rFonts w:hint="eastAsia" w:ascii="仿宋_GB2312" w:hAnsi="Times New Roman" w:eastAsia="仿宋_GB2312" w:cs="仿宋_GB2312"/>
          <w:kern w:val="2"/>
          <w:sz w:val="32"/>
          <w:szCs w:val="32"/>
          <w:highlight w:val="none"/>
          <w:lang w:val="en-US" w:eastAsia="zh-CN" w:bidi="ar"/>
        </w:rPr>
        <w:t>件，带动消费</w:t>
      </w:r>
      <w:r>
        <w:rPr>
          <w:rFonts w:hint="default" w:ascii="Times New Roman" w:hAnsi="Times New Roman" w:eastAsia="仿宋_GB2312" w:cs="Times New Roman"/>
          <w:kern w:val="2"/>
          <w:sz w:val="32"/>
          <w:szCs w:val="32"/>
          <w:highlight w:val="none"/>
          <w:lang w:val="en-US" w:eastAsia="zh-CN" w:bidi="ar"/>
        </w:rPr>
        <w:t>3152.79</w:t>
      </w:r>
      <w:r>
        <w:rPr>
          <w:rFonts w:hint="eastAsia" w:ascii="仿宋_GB2312" w:hAnsi="Times New Roman" w:eastAsia="仿宋_GB2312" w:cs="仿宋_GB2312"/>
          <w:kern w:val="2"/>
          <w:sz w:val="32"/>
          <w:szCs w:val="32"/>
          <w:highlight w:val="none"/>
          <w:lang w:val="en-US" w:eastAsia="zh-CN" w:bidi="ar"/>
        </w:rPr>
        <w:t>万元，发放补贴资金</w:t>
      </w:r>
      <w:r>
        <w:rPr>
          <w:rFonts w:hint="default" w:ascii="Times New Roman" w:hAnsi="Times New Roman" w:eastAsia="仿宋_GB2312" w:cs="Times New Roman"/>
          <w:kern w:val="2"/>
          <w:sz w:val="32"/>
          <w:szCs w:val="32"/>
          <w:highlight w:val="none"/>
          <w:lang w:val="en-US" w:eastAsia="zh-CN" w:bidi="ar"/>
        </w:rPr>
        <w:t>595.27</w:t>
      </w:r>
      <w:r>
        <w:rPr>
          <w:rFonts w:hint="eastAsia" w:ascii="仿宋_GB2312" w:hAnsi="Times New Roman" w:eastAsia="仿宋_GB2312" w:cs="仿宋_GB2312"/>
          <w:kern w:val="2"/>
          <w:sz w:val="32"/>
          <w:szCs w:val="32"/>
          <w:highlight w:val="none"/>
          <w:lang w:val="en-US" w:eastAsia="zh-CN" w:bidi="ar"/>
        </w:rPr>
        <w:t>万元，撬动比达</w:t>
      </w:r>
      <w:r>
        <w:rPr>
          <w:rFonts w:hint="default" w:ascii="Times New Roman" w:hAnsi="Times New Roman" w:eastAsia="仿宋_GB2312" w:cs="Times New Roman"/>
          <w:kern w:val="2"/>
          <w:sz w:val="32"/>
          <w:szCs w:val="32"/>
          <w:highlight w:val="none"/>
          <w:lang w:val="en-US" w:eastAsia="zh-CN" w:bidi="ar"/>
        </w:rPr>
        <w:t>1</w:t>
      </w:r>
      <w:r>
        <w:rPr>
          <w:rFonts w:hint="eastAsia" w:ascii="仿宋_GB2312" w:hAnsi="Times New Roman" w:eastAsia="仿宋_GB2312" w:cs="仿宋_GB2312"/>
          <w:kern w:val="2"/>
          <w:sz w:val="32"/>
          <w:szCs w:val="32"/>
          <w:highlight w:val="none"/>
          <w:lang w:val="en-US" w:eastAsia="zh-CN" w:bidi="ar"/>
        </w:rPr>
        <w:t>：</w:t>
      </w:r>
      <w:r>
        <w:rPr>
          <w:rFonts w:hint="default" w:ascii="Times New Roman" w:hAnsi="Times New Roman" w:eastAsia="仿宋_GB2312" w:cs="Times New Roman"/>
          <w:kern w:val="2"/>
          <w:sz w:val="32"/>
          <w:szCs w:val="32"/>
          <w:highlight w:val="none"/>
          <w:lang w:val="en-US" w:eastAsia="zh-CN" w:bidi="ar"/>
        </w:rPr>
        <w:t>5</w:t>
      </w:r>
      <w:r>
        <w:rPr>
          <w:rFonts w:hint="eastAsia" w:ascii="仿宋_GB2312" w:hAnsi="Times New Roman" w:eastAsia="仿宋_GB2312" w:cs="仿宋_GB2312"/>
          <w:kern w:val="2"/>
          <w:sz w:val="32"/>
          <w:szCs w:val="32"/>
          <w:highlight w:val="none"/>
          <w:lang w:val="en-US" w:eastAsia="zh-CN" w:bidi="ar"/>
        </w:rPr>
        <w:t>；（四）手机等数码产品购新审核通过</w:t>
      </w:r>
      <w:r>
        <w:rPr>
          <w:rFonts w:hint="default" w:ascii="Times New Roman" w:hAnsi="Times New Roman" w:eastAsia="仿宋_GB2312" w:cs="Times New Roman"/>
          <w:kern w:val="2"/>
          <w:sz w:val="32"/>
          <w:szCs w:val="32"/>
          <w:highlight w:val="none"/>
          <w:lang w:val="en-US" w:eastAsia="zh-CN" w:bidi="ar"/>
        </w:rPr>
        <w:t>8197</w:t>
      </w:r>
      <w:r>
        <w:rPr>
          <w:rFonts w:hint="eastAsia" w:ascii="仿宋_GB2312" w:hAnsi="Times New Roman" w:eastAsia="仿宋_GB2312" w:cs="仿宋_GB2312"/>
          <w:kern w:val="2"/>
          <w:sz w:val="32"/>
          <w:szCs w:val="32"/>
          <w:highlight w:val="none"/>
          <w:lang w:val="en-US" w:eastAsia="zh-CN" w:bidi="ar"/>
        </w:rPr>
        <w:t>件，带动消费</w:t>
      </w:r>
      <w:r>
        <w:rPr>
          <w:rFonts w:hint="default" w:ascii="Times New Roman" w:hAnsi="Times New Roman" w:eastAsia="仿宋_GB2312" w:cs="Times New Roman"/>
          <w:kern w:val="2"/>
          <w:sz w:val="32"/>
          <w:szCs w:val="32"/>
          <w:highlight w:val="none"/>
          <w:lang w:val="en-US" w:eastAsia="zh-CN" w:bidi="ar"/>
        </w:rPr>
        <w:t>2403.99</w:t>
      </w:r>
      <w:r>
        <w:rPr>
          <w:rFonts w:hint="eastAsia" w:ascii="仿宋_GB2312" w:hAnsi="Times New Roman" w:eastAsia="仿宋_GB2312" w:cs="仿宋_GB2312"/>
          <w:kern w:val="2"/>
          <w:sz w:val="32"/>
          <w:szCs w:val="32"/>
          <w:highlight w:val="none"/>
          <w:lang w:val="en-US" w:eastAsia="zh-CN" w:bidi="ar"/>
        </w:rPr>
        <w:t>万元，</w:t>
      </w:r>
      <w:r>
        <w:rPr>
          <w:rFonts w:hint="eastAsia" w:ascii="仿宋_GB2312" w:hAnsi="Times New Roman" w:eastAsia="仿宋_GB2312" w:cs="仿宋_GB2312"/>
          <w:color w:val="000000"/>
          <w:kern w:val="0"/>
          <w:sz w:val="31"/>
          <w:szCs w:val="31"/>
          <w:highlight w:val="none"/>
          <w:lang w:val="en-US" w:eastAsia="zh-CN" w:bidi="ar"/>
        </w:rPr>
        <w:t>发放补贴305.46万元，</w:t>
      </w:r>
      <w:r>
        <w:rPr>
          <w:rFonts w:hint="eastAsia" w:ascii="仿宋_GB2312" w:hAnsi="Times New Roman" w:eastAsia="仿宋_GB2312" w:cs="仿宋_GB2312"/>
          <w:kern w:val="2"/>
          <w:sz w:val="32"/>
          <w:szCs w:val="32"/>
          <w:highlight w:val="none"/>
          <w:lang w:val="en-US" w:eastAsia="zh-CN" w:bidi="ar"/>
        </w:rPr>
        <w:t>撬动比达</w:t>
      </w:r>
      <w:r>
        <w:rPr>
          <w:rFonts w:hint="default" w:ascii="Times New Roman" w:hAnsi="Times New Roman" w:eastAsia="仿宋_GB2312" w:cs="Times New Roman"/>
          <w:kern w:val="2"/>
          <w:sz w:val="32"/>
          <w:szCs w:val="32"/>
          <w:highlight w:val="none"/>
          <w:lang w:val="en-US" w:eastAsia="zh-CN" w:bidi="ar"/>
        </w:rPr>
        <w:t>1</w:t>
      </w:r>
      <w:r>
        <w:rPr>
          <w:rFonts w:hint="eastAsia" w:ascii="仿宋_GB2312" w:hAnsi="Times New Roman" w:eastAsia="仿宋_GB2312" w:cs="仿宋_GB2312"/>
          <w:kern w:val="2"/>
          <w:sz w:val="32"/>
          <w:szCs w:val="32"/>
          <w:highlight w:val="none"/>
          <w:lang w:val="en-US" w:eastAsia="zh-CN" w:bidi="ar"/>
        </w:rPr>
        <w:t>：</w:t>
      </w:r>
      <w:r>
        <w:rPr>
          <w:rFonts w:hint="default" w:ascii="Times New Roman" w:hAnsi="Times New Roman" w:eastAsia="仿宋_GB2312" w:cs="Times New Roman"/>
          <w:kern w:val="2"/>
          <w:sz w:val="32"/>
          <w:szCs w:val="32"/>
          <w:highlight w:val="none"/>
          <w:lang w:val="en-US" w:eastAsia="zh-CN" w:bidi="ar"/>
        </w:rPr>
        <w:t>8</w:t>
      </w:r>
      <w:r>
        <w:rPr>
          <w:rFonts w:hint="eastAsia" w:ascii="仿宋_GB2312" w:hAnsi="Times New Roman" w:eastAsia="仿宋_GB2312" w:cs="仿宋_GB2312"/>
          <w:kern w:val="2"/>
          <w:sz w:val="32"/>
          <w:szCs w:val="32"/>
          <w:highlight w:val="none"/>
          <w:lang w:val="en-US" w:eastAsia="zh-CN" w:bidi="ar"/>
        </w:rPr>
        <w:t>。汽车报废更新审核通过</w:t>
      </w:r>
      <w:r>
        <w:rPr>
          <w:rFonts w:hint="default" w:ascii="Times New Roman" w:hAnsi="Times New Roman" w:eastAsia="仿宋_GB2312" w:cs="Times New Roman"/>
          <w:kern w:val="2"/>
          <w:sz w:val="32"/>
          <w:szCs w:val="32"/>
          <w:highlight w:val="none"/>
          <w:lang w:val="en-US" w:eastAsia="zh-CN" w:bidi="ar"/>
        </w:rPr>
        <w:t>725</w:t>
      </w:r>
      <w:r>
        <w:rPr>
          <w:rFonts w:hint="eastAsia" w:ascii="仿宋_GB2312" w:hAnsi="Times New Roman" w:eastAsia="仿宋_GB2312" w:cs="仿宋_GB2312"/>
          <w:kern w:val="2"/>
          <w:sz w:val="32"/>
          <w:szCs w:val="32"/>
          <w:highlight w:val="none"/>
          <w:lang w:val="en-US" w:eastAsia="zh-CN" w:bidi="ar"/>
        </w:rPr>
        <w:t>件，带动消费</w:t>
      </w:r>
      <w:r>
        <w:rPr>
          <w:rFonts w:hint="default" w:ascii="Times New Roman" w:hAnsi="Times New Roman" w:eastAsia="仿宋_GB2312" w:cs="Times New Roman"/>
          <w:kern w:val="2"/>
          <w:sz w:val="32"/>
          <w:szCs w:val="32"/>
          <w:highlight w:val="none"/>
          <w:lang w:val="en-US" w:eastAsia="zh-CN" w:bidi="ar"/>
        </w:rPr>
        <w:t>6080</w:t>
      </w:r>
      <w:r>
        <w:rPr>
          <w:rFonts w:hint="eastAsia" w:ascii="仿宋_GB2312" w:hAnsi="Times New Roman" w:eastAsia="仿宋_GB2312" w:cs="仿宋_GB2312"/>
          <w:kern w:val="2"/>
          <w:sz w:val="32"/>
          <w:szCs w:val="32"/>
          <w:highlight w:val="none"/>
          <w:lang w:val="en-US" w:eastAsia="zh-CN" w:bidi="ar"/>
        </w:rPr>
        <w:t>万元，发放补贴资金</w:t>
      </w:r>
      <w:r>
        <w:rPr>
          <w:rFonts w:hint="default" w:ascii="Times New Roman" w:hAnsi="Times New Roman" w:eastAsia="仿宋_GB2312" w:cs="Times New Roman"/>
          <w:kern w:val="2"/>
          <w:sz w:val="32"/>
          <w:szCs w:val="32"/>
          <w:highlight w:val="none"/>
          <w:lang w:val="en-US" w:eastAsia="zh-CN" w:bidi="ar"/>
        </w:rPr>
        <w:t>1330</w:t>
      </w:r>
      <w:r>
        <w:rPr>
          <w:rFonts w:hint="eastAsia" w:ascii="仿宋_GB2312" w:hAnsi="Times New Roman" w:eastAsia="仿宋_GB2312" w:cs="仿宋_GB2312"/>
          <w:kern w:val="2"/>
          <w:sz w:val="32"/>
          <w:szCs w:val="32"/>
          <w:highlight w:val="none"/>
          <w:lang w:val="en-US" w:eastAsia="zh-CN" w:bidi="ar"/>
        </w:rPr>
        <w:t>万元，撬动比达</w:t>
      </w:r>
      <w:r>
        <w:rPr>
          <w:rFonts w:hint="default" w:ascii="Times New Roman" w:hAnsi="Times New Roman" w:eastAsia="仿宋_GB2312" w:cs="Times New Roman"/>
          <w:kern w:val="2"/>
          <w:sz w:val="32"/>
          <w:szCs w:val="32"/>
          <w:highlight w:val="none"/>
          <w:lang w:val="en-US" w:eastAsia="zh-CN" w:bidi="ar"/>
        </w:rPr>
        <w:t>1</w:t>
      </w:r>
      <w:r>
        <w:rPr>
          <w:rFonts w:hint="eastAsia" w:ascii="仿宋_GB2312" w:hAnsi="Times New Roman" w:eastAsia="仿宋_GB2312" w:cs="仿宋_GB2312"/>
          <w:kern w:val="2"/>
          <w:sz w:val="32"/>
          <w:szCs w:val="32"/>
          <w:highlight w:val="none"/>
          <w:lang w:val="en-US" w:eastAsia="zh-CN" w:bidi="ar"/>
        </w:rPr>
        <w:t>：</w:t>
      </w:r>
      <w:r>
        <w:rPr>
          <w:rFonts w:hint="default" w:ascii="Times New Roman" w:hAnsi="Times New Roman" w:eastAsia="仿宋_GB2312" w:cs="Times New Roman"/>
          <w:kern w:val="2"/>
          <w:sz w:val="32"/>
          <w:szCs w:val="32"/>
          <w:highlight w:val="none"/>
          <w:lang w:val="en-US" w:eastAsia="zh-CN" w:bidi="ar"/>
        </w:rPr>
        <w:t>5</w:t>
      </w:r>
      <w:r>
        <w:rPr>
          <w:rFonts w:hint="eastAsia" w:ascii="仿宋_GB2312" w:hAnsi="Times New Roman" w:eastAsia="仿宋_GB2312" w:cs="仿宋_GB2312"/>
          <w:kern w:val="2"/>
          <w:sz w:val="32"/>
          <w:szCs w:val="32"/>
          <w:highlight w:val="none"/>
          <w:lang w:val="en-US" w:eastAsia="zh-CN" w:bidi="ar"/>
        </w:rPr>
        <w:t>；汽车置换更新审核通过</w:t>
      </w:r>
      <w:r>
        <w:rPr>
          <w:rFonts w:hint="default" w:ascii="Times New Roman" w:hAnsi="Times New Roman" w:eastAsia="仿宋_GB2312" w:cs="Times New Roman"/>
          <w:kern w:val="2"/>
          <w:sz w:val="32"/>
          <w:szCs w:val="32"/>
          <w:highlight w:val="none"/>
          <w:lang w:val="en-US" w:eastAsia="zh-CN" w:bidi="ar"/>
        </w:rPr>
        <w:t>942</w:t>
      </w:r>
      <w:r>
        <w:rPr>
          <w:rFonts w:hint="eastAsia" w:ascii="仿宋_GB2312" w:hAnsi="Times New Roman" w:eastAsia="仿宋_GB2312" w:cs="仿宋_GB2312"/>
          <w:kern w:val="2"/>
          <w:sz w:val="32"/>
          <w:szCs w:val="32"/>
          <w:highlight w:val="none"/>
          <w:lang w:val="en-US" w:eastAsia="zh-CN" w:bidi="ar"/>
        </w:rPr>
        <w:t>件，带动消费</w:t>
      </w:r>
      <w:r>
        <w:rPr>
          <w:rFonts w:hint="default" w:ascii="Times New Roman" w:hAnsi="Times New Roman" w:eastAsia="仿宋_GB2312" w:cs="Times New Roman"/>
          <w:kern w:val="2"/>
          <w:sz w:val="32"/>
          <w:szCs w:val="32"/>
          <w:highlight w:val="none"/>
          <w:lang w:val="en-US" w:eastAsia="zh-CN" w:bidi="ar"/>
        </w:rPr>
        <w:t>11015</w:t>
      </w:r>
      <w:r>
        <w:rPr>
          <w:rFonts w:hint="eastAsia" w:ascii="仿宋_GB2312" w:hAnsi="Times New Roman" w:eastAsia="仿宋_GB2312" w:cs="仿宋_GB2312"/>
          <w:kern w:val="2"/>
          <w:sz w:val="32"/>
          <w:szCs w:val="32"/>
          <w:highlight w:val="none"/>
          <w:lang w:val="en-US" w:eastAsia="zh-CN" w:bidi="ar"/>
        </w:rPr>
        <w:t>万元，发放补贴资金</w:t>
      </w:r>
      <w:r>
        <w:rPr>
          <w:rFonts w:hint="default" w:ascii="Times New Roman" w:hAnsi="Times New Roman" w:eastAsia="仿宋_GB2312" w:cs="Times New Roman"/>
          <w:kern w:val="2"/>
          <w:sz w:val="32"/>
          <w:szCs w:val="32"/>
          <w:highlight w:val="none"/>
          <w:lang w:val="en-US" w:eastAsia="zh-CN" w:bidi="ar"/>
        </w:rPr>
        <w:t>861.99</w:t>
      </w:r>
      <w:r>
        <w:rPr>
          <w:rFonts w:hint="eastAsia" w:ascii="仿宋_GB2312" w:hAnsi="Times New Roman" w:eastAsia="仿宋_GB2312" w:cs="仿宋_GB2312"/>
          <w:kern w:val="2"/>
          <w:sz w:val="32"/>
          <w:szCs w:val="32"/>
          <w:highlight w:val="none"/>
          <w:lang w:val="en-US" w:eastAsia="zh-CN" w:bidi="ar"/>
        </w:rPr>
        <w:t>万元，撬动比达</w:t>
      </w:r>
      <w:r>
        <w:rPr>
          <w:rFonts w:hint="default" w:ascii="Times New Roman" w:hAnsi="Times New Roman" w:eastAsia="仿宋_GB2312" w:cs="Times New Roman"/>
          <w:kern w:val="2"/>
          <w:sz w:val="32"/>
          <w:szCs w:val="32"/>
          <w:highlight w:val="none"/>
          <w:lang w:val="en-US" w:eastAsia="zh-CN" w:bidi="ar"/>
        </w:rPr>
        <w:t>1</w:t>
      </w:r>
      <w:r>
        <w:rPr>
          <w:rFonts w:hint="eastAsia" w:ascii="仿宋_GB2312" w:hAnsi="Times New Roman" w:eastAsia="仿宋_GB2312" w:cs="仿宋_GB2312"/>
          <w:kern w:val="2"/>
          <w:sz w:val="32"/>
          <w:szCs w:val="32"/>
          <w:highlight w:val="none"/>
          <w:lang w:val="en-US" w:eastAsia="zh-CN" w:bidi="ar"/>
        </w:rPr>
        <w:t>：</w:t>
      </w:r>
      <w:r>
        <w:rPr>
          <w:rFonts w:hint="default" w:ascii="Times New Roman" w:hAnsi="Times New Roman" w:eastAsia="仿宋_GB2312" w:cs="Times New Roman"/>
          <w:kern w:val="2"/>
          <w:sz w:val="32"/>
          <w:szCs w:val="32"/>
          <w:highlight w:val="none"/>
          <w:lang w:val="en-US" w:eastAsia="zh-CN" w:bidi="ar"/>
        </w:rPr>
        <w:t>12.7</w:t>
      </w:r>
      <w:r>
        <w:rPr>
          <w:rFonts w:hint="eastAsia" w:ascii="仿宋_GB2312" w:hAnsi="Times New Roman" w:eastAsia="仿宋_GB2312" w:cs="仿宋_GB2312"/>
          <w:kern w:val="2"/>
          <w:sz w:val="32"/>
          <w:szCs w:val="32"/>
          <w:highlight w:val="none"/>
          <w:lang w:val="en-US" w:eastAsia="zh-CN" w:bidi="ar"/>
        </w:rPr>
        <w:t>。家装消费品换新核通过</w:t>
      </w:r>
      <w:r>
        <w:rPr>
          <w:rFonts w:hint="default" w:ascii="Times New Roman" w:hAnsi="Times New Roman" w:eastAsia="仿宋_GB2312" w:cs="Times New Roman"/>
          <w:kern w:val="2"/>
          <w:sz w:val="32"/>
          <w:szCs w:val="32"/>
          <w:highlight w:val="none"/>
          <w:lang w:val="en-US" w:eastAsia="zh-CN" w:bidi="ar"/>
        </w:rPr>
        <w:t>722</w:t>
      </w:r>
      <w:r>
        <w:rPr>
          <w:rFonts w:hint="eastAsia" w:ascii="仿宋_GB2312" w:hAnsi="Times New Roman" w:eastAsia="仿宋_GB2312" w:cs="仿宋_GB2312"/>
          <w:kern w:val="2"/>
          <w:sz w:val="32"/>
          <w:szCs w:val="32"/>
          <w:highlight w:val="none"/>
          <w:lang w:val="en-US" w:eastAsia="zh-CN" w:bidi="ar"/>
        </w:rPr>
        <w:t>件，带动消费</w:t>
      </w:r>
      <w:r>
        <w:rPr>
          <w:rFonts w:hint="default" w:ascii="Times New Roman" w:hAnsi="Times New Roman" w:eastAsia="仿宋_GB2312" w:cs="Times New Roman"/>
          <w:kern w:val="2"/>
          <w:sz w:val="32"/>
          <w:szCs w:val="32"/>
          <w:highlight w:val="none"/>
          <w:lang w:val="en-US" w:eastAsia="zh-CN" w:bidi="ar"/>
        </w:rPr>
        <w:t>197.5</w:t>
      </w:r>
      <w:r>
        <w:rPr>
          <w:rFonts w:hint="eastAsia" w:ascii="仿宋_GB2312" w:hAnsi="Times New Roman" w:eastAsia="仿宋_GB2312" w:cs="仿宋_GB2312"/>
          <w:kern w:val="2"/>
          <w:sz w:val="32"/>
          <w:szCs w:val="32"/>
          <w:highlight w:val="none"/>
          <w:lang w:val="en-US" w:eastAsia="zh-CN" w:bidi="ar"/>
        </w:rPr>
        <w:t>万元，发放补贴资金</w:t>
      </w:r>
      <w:r>
        <w:rPr>
          <w:rFonts w:hint="default" w:ascii="Times New Roman" w:hAnsi="Times New Roman" w:eastAsia="仿宋_GB2312" w:cs="Times New Roman"/>
          <w:kern w:val="2"/>
          <w:sz w:val="32"/>
          <w:szCs w:val="32"/>
          <w:highlight w:val="none"/>
          <w:lang w:val="en-US" w:eastAsia="zh-CN" w:bidi="ar"/>
        </w:rPr>
        <w:t>30.57</w:t>
      </w:r>
      <w:r>
        <w:rPr>
          <w:rFonts w:hint="eastAsia" w:ascii="仿宋_GB2312" w:hAnsi="Times New Roman" w:eastAsia="仿宋_GB2312" w:cs="仿宋_GB2312"/>
          <w:kern w:val="2"/>
          <w:sz w:val="32"/>
          <w:szCs w:val="32"/>
          <w:highlight w:val="none"/>
          <w:lang w:val="en-US" w:eastAsia="zh-CN" w:bidi="ar"/>
        </w:rPr>
        <w:t>万元，撬动比达</w:t>
      </w:r>
      <w:r>
        <w:rPr>
          <w:rFonts w:hint="default" w:ascii="Times New Roman" w:hAnsi="Times New Roman" w:eastAsia="仿宋_GB2312" w:cs="Times New Roman"/>
          <w:kern w:val="2"/>
          <w:sz w:val="32"/>
          <w:szCs w:val="32"/>
          <w:highlight w:val="none"/>
          <w:lang w:val="en-US" w:eastAsia="zh-CN" w:bidi="ar"/>
        </w:rPr>
        <w:t>1</w:t>
      </w:r>
      <w:r>
        <w:rPr>
          <w:rFonts w:hint="eastAsia" w:ascii="仿宋_GB2312" w:hAnsi="Times New Roman" w:eastAsia="仿宋_GB2312" w:cs="仿宋_GB2312"/>
          <w:kern w:val="2"/>
          <w:sz w:val="32"/>
          <w:szCs w:val="32"/>
          <w:highlight w:val="none"/>
          <w:lang w:val="en-US" w:eastAsia="zh-CN" w:bidi="ar"/>
        </w:rPr>
        <w:t>：</w:t>
      </w:r>
      <w:r>
        <w:rPr>
          <w:rFonts w:hint="default" w:ascii="Times New Roman" w:hAnsi="Times New Roman" w:eastAsia="仿宋_GB2312" w:cs="Times New Roman"/>
          <w:kern w:val="2"/>
          <w:sz w:val="32"/>
          <w:szCs w:val="32"/>
          <w:highlight w:val="none"/>
          <w:lang w:val="en-US" w:eastAsia="zh-CN" w:bidi="ar"/>
        </w:rPr>
        <w:t>6</w:t>
      </w:r>
      <w:r>
        <w:rPr>
          <w:rFonts w:hint="eastAsia" w:ascii="仿宋_GB2312" w:hAnsi="Times New Roman" w:eastAsia="仿宋_GB2312" w:cs="仿宋_GB2312"/>
          <w:kern w:val="2"/>
          <w:sz w:val="32"/>
          <w:szCs w:val="32"/>
          <w:highlight w:val="none"/>
          <w:lang w:val="en-US" w:eastAsia="zh-CN" w:bidi="ar"/>
        </w:rPr>
        <w:t>。</w:t>
      </w:r>
    </w:p>
    <w:p w14:paraId="1DD36207">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27483D3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eastAsia" w:ascii="Times New Roman" w:hAnsi="Times New Roman" w:eastAsia="仿宋_GB2312" w:cs="Times New Roman"/>
          <w:sz w:val="32"/>
          <w:szCs w:val="32"/>
          <w:highlight w:val="none"/>
          <w:lang w:val="en-US" w:eastAsia="zh-CN"/>
        </w:rPr>
        <w:t>根据《四川省2025年加力扩围支持大规模设备更新和消费品以旧换新政策措施》。</w:t>
      </w:r>
      <w:r>
        <w:rPr>
          <w:rFonts w:hint="eastAsia" w:ascii="仿宋_GB2312" w:hAnsi="仿宋_GB2312" w:eastAsia="仿宋_GB2312" w:cs="仿宋_GB2312"/>
          <w:color w:val="auto"/>
          <w:sz w:val="32"/>
          <w:szCs w:val="32"/>
          <w:highlight w:val="none"/>
          <w:lang w:val="en-US" w:eastAsia="zh-CN"/>
        </w:rPr>
        <w:t>2025年，</w:t>
      </w:r>
      <w:r>
        <w:rPr>
          <w:rFonts w:hint="eastAsia" w:ascii="仿宋_GB2312" w:hAnsi="仿宋_GB2312" w:eastAsia="仿宋_GB2312" w:cs="仿宋_GB2312"/>
          <w:sz w:val="32"/>
          <w:szCs w:val="32"/>
          <w:highlight w:val="none"/>
          <w:lang w:val="en-US" w:eastAsia="zh-CN"/>
        </w:rPr>
        <w:t>参与消费品以旧换新活动的人数已超过2.2万人次，带动消费超2.3亿元，撬动比达1：7。</w:t>
      </w:r>
    </w:p>
    <w:p w14:paraId="2F4AE89D">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default" w:ascii="Times New Roman" w:hAnsi="Times New Roman" w:eastAsia="楷体_GB2312" w:cs="Times New Roman"/>
          <w:b/>
          <w:color w:val="auto"/>
          <w:sz w:val="32"/>
          <w:szCs w:val="32"/>
          <w:highlight w:val="none"/>
          <w:u w:val="none"/>
          <w:lang w:val="zh-CN"/>
        </w:rPr>
        <w:t>（三）</w:t>
      </w: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仿宋_GB2312" w:hAnsi="仿宋_GB2312" w:eastAsia="仿宋_GB2312" w:cs="仿宋_GB2312"/>
          <w:color w:val="auto"/>
          <w:sz w:val="32"/>
          <w:szCs w:val="32"/>
          <w:highlight w:val="none"/>
          <w:lang w:val="zh-CN" w:eastAsia="zh-CN"/>
        </w:rPr>
        <w:t>项目实施</w:t>
      </w:r>
      <w:r>
        <w:rPr>
          <w:rFonts w:hint="eastAsia" w:ascii="仿宋_GB2312" w:hAnsi="仿宋_GB2312" w:eastAsia="仿宋_GB2312" w:cs="仿宋_GB2312"/>
          <w:color w:val="auto"/>
          <w:sz w:val="32"/>
          <w:szCs w:val="32"/>
          <w:highlight w:val="none"/>
          <w:lang w:val="en-US" w:eastAsia="zh-CN"/>
        </w:rPr>
        <w:t>不断恢复和扩大我州消费市场活力，促进了居民消费意愿回升，阿坝州社会消费品零售总额同比增长7.4%，增幅居四川省第1位，消费市场保持良好增长态势。</w:t>
      </w:r>
    </w:p>
    <w:p w14:paraId="3E0BC207">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en-US" w:eastAsia="en-US" w:bidi="ar-SA"/>
        </w:rPr>
      </w:pPr>
      <w:r>
        <w:rPr>
          <w:rFonts w:hint="default" w:ascii="Times New Roman" w:hAnsi="Times New Roman" w:eastAsia="黑体" w:cs="Times New Roman"/>
          <w:color w:val="auto"/>
          <w:kern w:val="0"/>
          <w:position w:val="3"/>
          <w:sz w:val="32"/>
          <w:szCs w:val="32"/>
          <w:highlight w:val="none"/>
          <w:u w:val="none"/>
          <w:lang w:val="en-US" w:eastAsia="zh-CN" w:bidi="ar-SA"/>
        </w:rPr>
        <w:t>四</w:t>
      </w:r>
      <w:r>
        <w:rPr>
          <w:rFonts w:hint="default" w:ascii="Times New Roman" w:hAnsi="Times New Roman" w:eastAsia="黑体" w:cs="Times New Roman"/>
          <w:color w:val="auto"/>
          <w:kern w:val="0"/>
          <w:position w:val="3"/>
          <w:sz w:val="32"/>
          <w:szCs w:val="32"/>
          <w:highlight w:val="none"/>
          <w:u w:val="none"/>
          <w:lang w:val="en-US" w:eastAsia="en-US" w:bidi="ar-SA"/>
        </w:rPr>
        <w:t>、评价结论</w:t>
      </w:r>
    </w:p>
    <w:p w14:paraId="447AED0D">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ascii="仿宋_GB2312" w:hAnsi="Times New Roman" w:eastAsia="仿宋_GB2312" w:cs="Times New Roman"/>
          <w:kern w:val="0"/>
          <w:position w:val="0"/>
          <w:sz w:val="32"/>
          <w:szCs w:val="32"/>
          <w:highlight w:val="none"/>
          <w:shd w:val="clear" w:color="auto" w:fill="FFFFFF"/>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消费品以旧换新</w:t>
      </w:r>
      <w:r>
        <w:rPr>
          <w:rFonts w:hint="eastAsia" w:ascii="仿宋_GB2312" w:hAnsi="Times New Roman" w:eastAsia="仿宋_GB2312" w:cs="Times New Roman"/>
          <w:kern w:val="0"/>
          <w:position w:val="0"/>
          <w:sz w:val="32"/>
          <w:szCs w:val="32"/>
          <w:highlight w:val="none"/>
          <w:shd w:val="clear" w:color="auto" w:fill="FFFFFF"/>
          <w:lang w:val="en-US" w:eastAsia="en-US" w:bidi="ar-SA"/>
        </w:rPr>
        <w:t>专项资金</w:t>
      </w:r>
      <w:r>
        <w:rPr>
          <w:rFonts w:hint="eastAsia" w:ascii="仿宋_GB2312" w:hAnsi="Times New Roman" w:eastAsia="仿宋_GB2312" w:cs="Times New Roman"/>
          <w:kern w:val="0"/>
          <w:position w:val="0"/>
          <w:sz w:val="32"/>
          <w:szCs w:val="32"/>
          <w:highlight w:val="none"/>
          <w:shd w:val="clear" w:color="auto" w:fill="FFFFFF"/>
          <w:lang w:val="en-US" w:eastAsia="zh-CN" w:bidi="ar-SA"/>
        </w:rPr>
        <w:t>绩效评价项目绩效评价最终结果为：总体得分100分。</w:t>
      </w:r>
    </w:p>
    <w:p w14:paraId="5D54EDAA">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五、存在主要问题</w:t>
      </w:r>
    </w:p>
    <w:p w14:paraId="2A9FAC59">
      <w:pPr>
        <w:spacing w:line="540" w:lineRule="exact"/>
        <w:ind w:firstLine="643" w:firstLineChars="200"/>
        <w:rPr>
          <w:rFonts w:hint="eastAsia" w:ascii="Times New Roman" w:hAnsi="Times New Roman" w:eastAsia="仿宋_GB2312" w:cs="Times New Roman"/>
          <w:sz w:val="32"/>
          <w:szCs w:val="32"/>
          <w:highlight w:val="none"/>
          <w:lang w:eastAsia="zh-CN"/>
        </w:rPr>
      </w:pPr>
      <w:r>
        <w:rPr>
          <w:rFonts w:hint="eastAsia" w:ascii="Times New Roman" w:hAnsi="Times New Roman" w:eastAsia="楷体_GB2312" w:cs="Times New Roman"/>
          <w:b/>
          <w:bCs/>
          <w:sz w:val="32"/>
          <w:szCs w:val="32"/>
          <w:highlight w:val="none"/>
          <w:lang w:eastAsia="zh-CN"/>
        </w:rPr>
        <w:t>无</w:t>
      </w:r>
    </w:p>
    <w:p w14:paraId="68A04902">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14:paraId="1338A849">
      <w:pPr>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持续加强宣传</w:t>
      </w:r>
      <w:r>
        <w:rPr>
          <w:rFonts w:hint="eastAsia" w:ascii="Times New Roman" w:hAnsi="Times New Roman" w:eastAsia="仿宋_GB2312" w:cs="Times New Roman"/>
          <w:sz w:val="32"/>
          <w:szCs w:val="32"/>
          <w:highlight w:val="none"/>
          <w:lang w:eastAsia="zh-CN"/>
        </w:rPr>
        <w:t>，提升政策知晓率</w:t>
      </w:r>
      <w:r>
        <w:rPr>
          <w:rFonts w:hint="eastAsia"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在继续加大宣传的基础上，将重点加强偏远农村和老年群体的定向宣传。组织"以旧换新进社区"活动，现场演示操作流程，解答群众疑问</w:t>
      </w:r>
      <w:r>
        <w:rPr>
          <w:rFonts w:hint="eastAsia" w:ascii="Times New Roman" w:hAnsi="Times New Roman" w:eastAsia="仿宋_GB2312" w:cs="Times New Roman"/>
          <w:sz w:val="32"/>
          <w:szCs w:val="32"/>
          <w:highlight w:val="none"/>
        </w:rPr>
        <w:t>。强化消费监督</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rPr>
        <w:t>维护好消费者合法权益</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rPr>
        <w:t>对汽车、家电、电动自行车质量和售后服务等加大监督，用好消费品以旧换新消费咨询及投诉专线，充分发挥消费者监督、建言等反馈信息的作用，紧扣群众需求，及时回应、动态调整。</w:t>
      </w:r>
    </w:p>
    <w:p w14:paraId="08BA3E39">
      <w:pPr>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br w:type="page"/>
      </w:r>
    </w:p>
    <w:p w14:paraId="144B5A96">
      <w:pPr>
        <w:widowControl/>
        <w:jc w:val="center"/>
        <w:outlineLvl w:val="0"/>
        <w:rPr>
          <w:rFonts w:hint="eastAsia" w:ascii="Times New Roman" w:hAnsi="Times New Roman" w:eastAsia="仿宋_GB2312" w:cs="仿宋_GB2312"/>
          <w:color w:val="auto"/>
          <w:sz w:val="32"/>
          <w:szCs w:val="32"/>
          <w:highlight w:val="none"/>
        </w:rPr>
      </w:pPr>
      <w:bookmarkStart w:id="64" w:name="_Toc15396618"/>
      <w:bookmarkStart w:id="65" w:name="_Toc18328"/>
      <w:r>
        <w:rPr>
          <w:rFonts w:hint="eastAsia" w:ascii="Times New Roman" w:hAnsi="Times New Roman" w:eastAsia="黑体"/>
          <w:color w:val="auto"/>
          <w:sz w:val="44"/>
          <w:szCs w:val="44"/>
          <w:highlight w:val="none"/>
        </w:rPr>
        <w:t>第</w:t>
      </w:r>
      <w:r>
        <w:rPr>
          <w:rStyle w:val="31"/>
          <w:rFonts w:hint="eastAsia" w:ascii="Times New Roman" w:hAnsi="Times New Roman" w:eastAsia="黑体"/>
          <w:b w:val="0"/>
          <w:color w:val="auto"/>
          <w:highlight w:val="none"/>
        </w:rPr>
        <w:t xml:space="preserve">五部分 </w:t>
      </w:r>
      <w:r>
        <w:rPr>
          <w:rStyle w:val="31"/>
          <w:rFonts w:hint="eastAsia" w:eastAsia="黑体"/>
          <w:b w:val="0"/>
          <w:color w:val="auto"/>
          <w:highlight w:val="none"/>
          <w:lang w:val="en-US" w:eastAsia="zh-CN"/>
        </w:rPr>
        <w:t xml:space="preserve"> </w:t>
      </w:r>
      <w:r>
        <w:rPr>
          <w:rStyle w:val="31"/>
          <w:rFonts w:hint="eastAsia" w:ascii="Times New Roman" w:hAnsi="Times New Roman" w:eastAsia="黑体"/>
          <w:b w:val="0"/>
          <w:color w:val="auto"/>
          <w:highlight w:val="none"/>
        </w:rPr>
        <w:t>附表</w:t>
      </w:r>
      <w:bookmarkEnd w:id="57"/>
      <w:bookmarkEnd w:id="64"/>
      <w:bookmarkEnd w:id="65"/>
      <w:bookmarkStart w:id="66" w:name="_Toc15396619"/>
    </w:p>
    <w:p w14:paraId="5B76F92B">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67" w:name="_Toc3436"/>
      <w:r>
        <w:rPr>
          <w:rFonts w:hint="eastAsia" w:ascii="Times New Roman" w:hAnsi="Times New Roman" w:eastAsia="仿宋_GB2312" w:cs="仿宋_GB2312"/>
          <w:color w:val="auto"/>
          <w:sz w:val="32"/>
          <w:szCs w:val="32"/>
          <w:highlight w:val="none"/>
        </w:rPr>
        <w:t>一、收入支出决算总表</w:t>
      </w:r>
      <w:bookmarkEnd w:id="66"/>
      <w:bookmarkEnd w:id="67"/>
    </w:p>
    <w:p w14:paraId="585E52DC">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68" w:name="_Toc10614"/>
      <w:bookmarkStart w:id="69" w:name="_Toc15396620"/>
      <w:r>
        <w:rPr>
          <w:rFonts w:hint="eastAsia" w:ascii="Times New Roman" w:hAnsi="Times New Roman" w:eastAsia="仿宋_GB2312" w:cs="仿宋_GB2312"/>
          <w:color w:val="auto"/>
          <w:sz w:val="32"/>
          <w:szCs w:val="32"/>
          <w:highlight w:val="none"/>
        </w:rPr>
        <w:t>二、收入决算表</w:t>
      </w:r>
      <w:bookmarkEnd w:id="68"/>
      <w:bookmarkEnd w:id="69"/>
    </w:p>
    <w:p w14:paraId="61C5EB46">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0" w:name="_Toc14774"/>
      <w:bookmarkStart w:id="71" w:name="_Toc15396621"/>
      <w:r>
        <w:rPr>
          <w:rFonts w:hint="eastAsia" w:ascii="Times New Roman" w:hAnsi="Times New Roman" w:eastAsia="仿宋_GB2312" w:cs="仿宋_GB2312"/>
          <w:color w:val="auto"/>
          <w:sz w:val="32"/>
          <w:szCs w:val="32"/>
          <w:highlight w:val="none"/>
        </w:rPr>
        <w:t>三、支出决算表</w:t>
      </w:r>
      <w:bookmarkEnd w:id="70"/>
      <w:bookmarkEnd w:id="71"/>
    </w:p>
    <w:p w14:paraId="2B40FB6D">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2" w:name="_Toc5392"/>
      <w:bookmarkStart w:id="73" w:name="_Toc15396622"/>
      <w:r>
        <w:rPr>
          <w:rFonts w:hint="eastAsia" w:ascii="Times New Roman" w:hAnsi="Times New Roman" w:eastAsia="仿宋_GB2312" w:cs="仿宋_GB2312"/>
          <w:color w:val="auto"/>
          <w:sz w:val="32"/>
          <w:szCs w:val="32"/>
          <w:highlight w:val="none"/>
        </w:rPr>
        <w:t>四、财政拨款收入支出决算总表</w:t>
      </w:r>
      <w:bookmarkEnd w:id="72"/>
      <w:bookmarkEnd w:id="73"/>
    </w:p>
    <w:p w14:paraId="0221BCAD">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4" w:name="_Toc15396623"/>
      <w:bookmarkStart w:id="75" w:name="_Toc29475"/>
      <w:r>
        <w:rPr>
          <w:rFonts w:hint="eastAsia" w:ascii="Times New Roman" w:hAnsi="Times New Roman" w:eastAsia="仿宋_GB2312" w:cs="仿宋_GB2312"/>
          <w:color w:val="auto"/>
          <w:sz w:val="32"/>
          <w:szCs w:val="32"/>
          <w:highlight w:val="none"/>
        </w:rPr>
        <w:t>五、财政拨款支出决算明细表</w:t>
      </w:r>
      <w:bookmarkEnd w:id="74"/>
      <w:bookmarkEnd w:id="75"/>
      <w:bookmarkStart w:id="76" w:name="_Toc15396624"/>
    </w:p>
    <w:p w14:paraId="53FD6F55">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7" w:name="_Toc2870"/>
      <w:r>
        <w:rPr>
          <w:rFonts w:hint="eastAsia" w:ascii="Times New Roman" w:hAnsi="Times New Roman" w:eastAsia="仿宋_GB2312" w:cs="仿宋_GB2312"/>
          <w:color w:val="auto"/>
          <w:sz w:val="32"/>
          <w:szCs w:val="32"/>
          <w:highlight w:val="none"/>
        </w:rPr>
        <w:t>六、一般公共预算财政拨款支出决算表</w:t>
      </w:r>
      <w:bookmarkEnd w:id="76"/>
      <w:bookmarkEnd w:id="77"/>
    </w:p>
    <w:p w14:paraId="2B8EE2E2">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8" w:name="_Toc25605"/>
      <w:bookmarkStart w:id="79" w:name="_Toc15396625"/>
      <w:r>
        <w:rPr>
          <w:rFonts w:hint="eastAsia" w:ascii="Times New Roman" w:hAnsi="Times New Roman" w:eastAsia="仿宋_GB2312" w:cs="仿宋_GB2312"/>
          <w:color w:val="auto"/>
          <w:sz w:val="32"/>
          <w:szCs w:val="32"/>
          <w:highlight w:val="none"/>
        </w:rPr>
        <w:t>七、一般公共预算财政拨款支出决算明细表</w:t>
      </w:r>
      <w:bookmarkEnd w:id="78"/>
      <w:bookmarkEnd w:id="79"/>
    </w:p>
    <w:p w14:paraId="7A3EDB48">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0" w:name="_Toc15396626"/>
      <w:bookmarkStart w:id="81" w:name="_Toc3760"/>
      <w:r>
        <w:rPr>
          <w:rFonts w:hint="eastAsia" w:ascii="Times New Roman" w:hAnsi="Times New Roman" w:eastAsia="仿宋_GB2312" w:cs="仿宋_GB2312"/>
          <w:color w:val="auto"/>
          <w:sz w:val="32"/>
          <w:szCs w:val="32"/>
          <w:highlight w:val="none"/>
        </w:rPr>
        <w:t>八、一般公共预算财政拨款基本支出决算表</w:t>
      </w:r>
      <w:bookmarkEnd w:id="80"/>
      <w:bookmarkEnd w:id="81"/>
    </w:p>
    <w:p w14:paraId="71633B3C">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2" w:name="_Toc15396627"/>
      <w:bookmarkStart w:id="83" w:name="_Toc26330"/>
      <w:r>
        <w:rPr>
          <w:rFonts w:hint="eastAsia" w:ascii="Times New Roman" w:hAnsi="Times New Roman" w:eastAsia="仿宋_GB2312" w:cs="仿宋_GB2312"/>
          <w:color w:val="auto"/>
          <w:sz w:val="32"/>
          <w:szCs w:val="32"/>
          <w:highlight w:val="none"/>
        </w:rPr>
        <w:t>九、一般公共预算财政拨款项目支出决算表</w:t>
      </w:r>
      <w:bookmarkEnd w:id="82"/>
      <w:bookmarkEnd w:id="83"/>
    </w:p>
    <w:p w14:paraId="5C8191B7">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4" w:name="_Toc15396628"/>
      <w:bookmarkStart w:id="85" w:name="_Toc12171"/>
      <w:r>
        <w:rPr>
          <w:rFonts w:hint="eastAsia" w:ascii="Times New Roman" w:hAnsi="Times New Roman" w:eastAsia="仿宋_GB2312" w:cs="仿宋_GB2312"/>
          <w:color w:val="auto"/>
          <w:sz w:val="32"/>
          <w:szCs w:val="32"/>
          <w:highlight w:val="none"/>
        </w:rPr>
        <w:t>十、</w:t>
      </w:r>
      <w:bookmarkEnd w:id="84"/>
      <w:r>
        <w:rPr>
          <w:rFonts w:hint="eastAsia" w:ascii="Times New Roman" w:hAnsi="Times New Roman" w:eastAsia="仿宋_GB2312" w:cs="仿宋_GB2312"/>
          <w:color w:val="auto"/>
          <w:sz w:val="32"/>
          <w:szCs w:val="32"/>
          <w:highlight w:val="none"/>
        </w:rPr>
        <w:t>政府性基金预算财政拨款收入支出决算表</w:t>
      </w:r>
      <w:bookmarkEnd w:id="85"/>
    </w:p>
    <w:p w14:paraId="2554C6AC">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6" w:name="_Toc15396629"/>
      <w:bookmarkStart w:id="87" w:name="_Toc5335"/>
      <w:r>
        <w:rPr>
          <w:rFonts w:hint="eastAsia" w:ascii="Times New Roman" w:hAnsi="Times New Roman" w:eastAsia="仿宋_GB2312" w:cs="仿宋_GB2312"/>
          <w:color w:val="auto"/>
          <w:sz w:val="32"/>
          <w:szCs w:val="32"/>
          <w:highlight w:val="none"/>
        </w:rPr>
        <w:t>十一、</w:t>
      </w:r>
      <w:bookmarkEnd w:id="86"/>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87"/>
    </w:p>
    <w:p w14:paraId="54F8AF3D">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8" w:name="_Toc15396630"/>
      <w:bookmarkStart w:id="89" w:name="_Toc19972"/>
      <w:r>
        <w:rPr>
          <w:rFonts w:hint="eastAsia" w:ascii="Times New Roman" w:hAnsi="Times New Roman" w:eastAsia="仿宋_GB2312" w:cs="仿宋_GB2312"/>
          <w:color w:val="auto"/>
          <w:sz w:val="32"/>
          <w:szCs w:val="32"/>
          <w:highlight w:val="none"/>
        </w:rPr>
        <w:t>十二、</w:t>
      </w:r>
      <w:bookmarkEnd w:id="88"/>
      <w:r>
        <w:rPr>
          <w:rFonts w:hint="eastAsia" w:ascii="Times New Roman" w:hAnsi="Times New Roman" w:eastAsia="仿宋_GB2312" w:cs="仿宋_GB2312"/>
          <w:color w:val="auto"/>
          <w:sz w:val="32"/>
          <w:szCs w:val="32"/>
          <w:highlight w:val="none"/>
          <w:lang w:eastAsia="zh-CN"/>
        </w:rPr>
        <w:t>国有资本经营预算财政拨款支出决算表</w:t>
      </w:r>
      <w:bookmarkEnd w:id="89"/>
    </w:p>
    <w:p w14:paraId="47908272">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lang w:eastAsia="zh-CN"/>
        </w:rPr>
      </w:pPr>
      <w:bookmarkStart w:id="90" w:name="_Toc15396631"/>
      <w:bookmarkStart w:id="91" w:name="_Toc12736"/>
      <w:r>
        <w:rPr>
          <w:rFonts w:hint="eastAsia" w:ascii="Times New Roman" w:hAnsi="Times New Roman" w:eastAsia="仿宋_GB2312" w:cs="仿宋_GB2312"/>
          <w:color w:val="auto"/>
          <w:sz w:val="32"/>
          <w:szCs w:val="32"/>
          <w:highlight w:val="none"/>
        </w:rPr>
        <w:t>十三、</w:t>
      </w:r>
      <w:bookmarkEnd w:id="90"/>
      <w:r>
        <w:rPr>
          <w:rFonts w:hint="eastAsia" w:ascii="Times New Roman" w:hAnsi="Times New Roman" w:eastAsia="仿宋_GB2312" w:cs="仿宋_GB2312"/>
          <w:color w:val="auto"/>
          <w:sz w:val="32"/>
          <w:szCs w:val="32"/>
          <w:highlight w:val="none"/>
          <w:lang w:eastAsia="zh-CN"/>
        </w:rPr>
        <w:t>财政拨款“三公”经费支出决算表</w:t>
      </w:r>
      <w:bookmarkEnd w:id="91"/>
    </w:p>
    <w:p w14:paraId="08966D4F">
      <w:pPr>
        <w:rPr>
          <w:rFonts w:hint="eastAsia" w:ascii="Times New Roman" w:hAnsi="Times New Roman"/>
          <w:highlight w:val="none"/>
          <w:lang w:eastAsia="zh-CN"/>
        </w:rPr>
      </w:pPr>
    </w:p>
    <w:sectPr>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C81D191-9B48-48FA-811D-C0DC84D6121E}"/>
  </w:font>
  <w:font w:name="黑体">
    <w:panose1 w:val="02010609060101010101"/>
    <w:charset w:val="86"/>
    <w:family w:val="auto"/>
    <w:pitch w:val="default"/>
    <w:sig w:usb0="800002BF" w:usb1="38CF7CFA" w:usb2="00000016" w:usb3="00000000" w:csb0="00040001" w:csb1="00000000"/>
    <w:embedRegular r:id="rId2" w:fontKey="{F9E01DF8-8D18-4E8B-8F43-575DF0242E1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EBAA6E98-A5FA-48AB-9243-37DA3B17AFDD}"/>
  </w:font>
  <w:font w:name="仿宋">
    <w:panose1 w:val="02010609060101010101"/>
    <w:charset w:val="86"/>
    <w:family w:val="modern"/>
    <w:pitch w:val="default"/>
    <w:sig w:usb0="800002BF" w:usb1="38CF7CFA" w:usb2="00000016" w:usb3="00000000" w:csb0="00040001" w:csb1="00000000"/>
    <w:embedRegular r:id="rId4" w:fontKey="{79AD56E0-9A7B-441A-A234-644FF712C249}"/>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embedRegular r:id="rId5" w:fontKey="{69DE16A3-92C9-4174-8779-D8B45FC6F11F}"/>
  </w:font>
  <w:font w:name="方正小标宋_GBK">
    <w:panose1 w:val="03000509000000000000"/>
    <w:charset w:val="86"/>
    <w:family w:val="auto"/>
    <w:pitch w:val="default"/>
    <w:sig w:usb0="00000001" w:usb1="080E0000" w:usb2="00000000" w:usb3="00000000" w:csb0="00040000" w:csb1="00000000"/>
    <w:embedRegular r:id="rId6" w:fontKey="{56F2DFBA-2556-4440-BC0C-2FD95468A371}"/>
  </w:font>
  <w:font w:name="楷体_GB2312">
    <w:panose1 w:val="02010609030101010101"/>
    <w:charset w:val="86"/>
    <w:family w:val="auto"/>
    <w:pitch w:val="default"/>
    <w:sig w:usb0="00000001" w:usb1="080E0000" w:usb2="00000000" w:usb3="00000000" w:csb0="00040000" w:csb1="00000000"/>
    <w:embedRegular r:id="rId7" w:fontKey="{40D02559-A638-4004-AD78-ED38BAA91360}"/>
  </w:font>
  <w:font w:name="楷体">
    <w:panose1 w:val="02010609060101010101"/>
    <w:charset w:val="86"/>
    <w:family w:val="auto"/>
    <w:pitch w:val="default"/>
    <w:sig w:usb0="800002BF" w:usb1="38CF7CFA" w:usb2="00000016" w:usb3="00000000" w:csb0="00040001" w:csb1="00000000"/>
    <w:embedRegular r:id="rId8" w:fontKey="{D7616DFD-B791-45F8-A773-D590701504AF}"/>
  </w:font>
  <w:font w:name="方正仿宋_GBK">
    <w:panose1 w:val="03000509000000000000"/>
    <w:charset w:val="86"/>
    <w:family w:val="auto"/>
    <w:pitch w:val="default"/>
    <w:sig w:usb0="00000001" w:usb1="080E0000" w:usb2="00000000" w:usb3="00000000" w:csb0="00040000" w:csb1="00000000"/>
    <w:embedRegular r:id="rId9" w:fontKey="{A7BD3F7E-A5ED-4960-A544-7B8621B60BFF}"/>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124F0">
    <w:pPr>
      <w:pStyle w:val="13"/>
      <w:jc w:val="center"/>
    </w:pPr>
  </w:p>
  <w:p w14:paraId="3777894B">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46423">
    <w:pPr>
      <w:pStyle w:val="13"/>
      <w:jc w:val="cente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673F0D">
                          <w:pPr>
                            <w:pStyle w:val="13"/>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4673F0D">
                    <w:pPr>
                      <w:pStyle w:val="13"/>
                    </w:pPr>
                  </w:p>
                </w:txbxContent>
              </v:textbox>
            </v:shape>
          </w:pict>
        </mc:Fallback>
      </mc:AlternateContent>
    </w:r>
  </w:p>
  <w:p w14:paraId="031821C6">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A7EFF">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90B4D">
    <w:pPr>
      <w:pStyle w:val="13"/>
      <w:jc w:val="center"/>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352573">
                          <w:pPr>
                            <w:pStyle w:val="13"/>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39352573">
                    <w:pPr>
                      <w:pStyle w:val="13"/>
                    </w:pPr>
                  </w:p>
                </w:txbxContent>
              </v:textbox>
            </v:shape>
          </w:pict>
        </mc:Fallback>
      </mc:AlternateContent>
    </w:r>
  </w:p>
  <w:p w14:paraId="1B59631B">
    <w:pPr>
      <w:pStyle w:val="1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205C8">
    <w:pPr>
      <w:pStyle w:val="13"/>
    </w:pPr>
    <w:r>
      <w:rPr>
        <w:sz w:val="1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18777B">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7518777B">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1A178">
    <w:pPr>
      <w:pStyle w:val="13"/>
      <w:jc w:val="cente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7BCB98">
                          <w:pPr>
                            <w:pStyle w:val="13"/>
                          </w:pPr>
                          <w: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67BCB98">
                    <w:pPr>
                      <w:pStyle w:val="13"/>
                    </w:pPr>
                    <w: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r>
                      <w:t>—</w:t>
                    </w:r>
                  </w:p>
                </w:txbxContent>
              </v:textbox>
            </v:shape>
          </w:pict>
        </mc:Fallback>
      </mc:AlternateContent>
    </w:r>
  </w:p>
  <w:p w14:paraId="5FC367EE">
    <w:pPr>
      <w:pStyle w:val="1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03540">
    <w:pPr>
      <w:pStyle w:val="13"/>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3CF8F3">
                          <w:pPr>
                            <w:pStyle w:val="13"/>
                          </w:pPr>
                          <w: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13CF8F3">
                    <w:pPr>
                      <w:pStyle w:val="13"/>
                    </w:pPr>
                    <w: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31D20">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279950"/>
    <w:multiLevelType w:val="singleLevel"/>
    <w:tmpl w:val="4627995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97072"/>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E5743"/>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820350"/>
    <w:rsid w:val="029C7664"/>
    <w:rsid w:val="02FEBE30"/>
    <w:rsid w:val="03030BB2"/>
    <w:rsid w:val="03BD55AE"/>
    <w:rsid w:val="04784101"/>
    <w:rsid w:val="04904FA7"/>
    <w:rsid w:val="04916F1E"/>
    <w:rsid w:val="04DB26FC"/>
    <w:rsid w:val="04FF212C"/>
    <w:rsid w:val="057228FE"/>
    <w:rsid w:val="061E35DE"/>
    <w:rsid w:val="06523F87"/>
    <w:rsid w:val="066E0107"/>
    <w:rsid w:val="07375BAD"/>
    <w:rsid w:val="07996F6E"/>
    <w:rsid w:val="07B436A2"/>
    <w:rsid w:val="07DFD8BA"/>
    <w:rsid w:val="08294536"/>
    <w:rsid w:val="0841638B"/>
    <w:rsid w:val="08713341"/>
    <w:rsid w:val="088A4403"/>
    <w:rsid w:val="09257549"/>
    <w:rsid w:val="09867E8F"/>
    <w:rsid w:val="098D0417"/>
    <w:rsid w:val="09A00519"/>
    <w:rsid w:val="0A2032A3"/>
    <w:rsid w:val="0A670558"/>
    <w:rsid w:val="0A7E67F5"/>
    <w:rsid w:val="0AE222D4"/>
    <w:rsid w:val="0AFF2E86"/>
    <w:rsid w:val="0B177AFB"/>
    <w:rsid w:val="0B261650"/>
    <w:rsid w:val="0B590243"/>
    <w:rsid w:val="0BA457DB"/>
    <w:rsid w:val="0C120997"/>
    <w:rsid w:val="0C6D3E1F"/>
    <w:rsid w:val="0C7D16A3"/>
    <w:rsid w:val="0C9D4705"/>
    <w:rsid w:val="0CA8290A"/>
    <w:rsid w:val="0CBB28B8"/>
    <w:rsid w:val="0D35B1ED"/>
    <w:rsid w:val="0D961154"/>
    <w:rsid w:val="0DA63A8D"/>
    <w:rsid w:val="0DF54607"/>
    <w:rsid w:val="0E063231"/>
    <w:rsid w:val="0E254B6B"/>
    <w:rsid w:val="0F98263C"/>
    <w:rsid w:val="101860EC"/>
    <w:rsid w:val="101F47CC"/>
    <w:rsid w:val="10C055FF"/>
    <w:rsid w:val="112A6783"/>
    <w:rsid w:val="11694EBD"/>
    <w:rsid w:val="11772AA4"/>
    <w:rsid w:val="118107EC"/>
    <w:rsid w:val="12502219"/>
    <w:rsid w:val="125C0BBE"/>
    <w:rsid w:val="125C6E10"/>
    <w:rsid w:val="12B47E12"/>
    <w:rsid w:val="12E24EE2"/>
    <w:rsid w:val="12F11306"/>
    <w:rsid w:val="13390EFF"/>
    <w:rsid w:val="13433B2C"/>
    <w:rsid w:val="13547AE7"/>
    <w:rsid w:val="139C4BA9"/>
    <w:rsid w:val="13D50BC4"/>
    <w:rsid w:val="143C31E2"/>
    <w:rsid w:val="14885C9A"/>
    <w:rsid w:val="14943E06"/>
    <w:rsid w:val="14B17F78"/>
    <w:rsid w:val="15397A06"/>
    <w:rsid w:val="153A336F"/>
    <w:rsid w:val="161A58F1"/>
    <w:rsid w:val="165E0673"/>
    <w:rsid w:val="166027C2"/>
    <w:rsid w:val="16AB2E5D"/>
    <w:rsid w:val="16B831D5"/>
    <w:rsid w:val="16BB723D"/>
    <w:rsid w:val="16BC7E7D"/>
    <w:rsid w:val="175400B6"/>
    <w:rsid w:val="175B488E"/>
    <w:rsid w:val="17914563"/>
    <w:rsid w:val="17E50567"/>
    <w:rsid w:val="186504BB"/>
    <w:rsid w:val="188744BB"/>
    <w:rsid w:val="18CF5497"/>
    <w:rsid w:val="19173A91"/>
    <w:rsid w:val="19A445FC"/>
    <w:rsid w:val="1B813443"/>
    <w:rsid w:val="1BE8440E"/>
    <w:rsid w:val="1C773E1D"/>
    <w:rsid w:val="1CBF06C7"/>
    <w:rsid w:val="1CC6347C"/>
    <w:rsid w:val="1D057D11"/>
    <w:rsid w:val="1D155CEE"/>
    <w:rsid w:val="1D1638FE"/>
    <w:rsid w:val="1D5E3A3C"/>
    <w:rsid w:val="1D7F5B6D"/>
    <w:rsid w:val="1DEA3522"/>
    <w:rsid w:val="1E312DEB"/>
    <w:rsid w:val="1E4A3FC0"/>
    <w:rsid w:val="1E740ACF"/>
    <w:rsid w:val="1EF210DB"/>
    <w:rsid w:val="1F413615"/>
    <w:rsid w:val="1FE8583F"/>
    <w:rsid w:val="1FF22B62"/>
    <w:rsid w:val="1FF35744"/>
    <w:rsid w:val="1FF6BC77"/>
    <w:rsid w:val="208642F4"/>
    <w:rsid w:val="211C6E33"/>
    <w:rsid w:val="2186353C"/>
    <w:rsid w:val="21DE16AF"/>
    <w:rsid w:val="21FA2523"/>
    <w:rsid w:val="222A213F"/>
    <w:rsid w:val="22791318"/>
    <w:rsid w:val="2339649D"/>
    <w:rsid w:val="23540202"/>
    <w:rsid w:val="23741495"/>
    <w:rsid w:val="23860B96"/>
    <w:rsid w:val="240371BF"/>
    <w:rsid w:val="241E5CD3"/>
    <w:rsid w:val="244F3473"/>
    <w:rsid w:val="24C148B0"/>
    <w:rsid w:val="24C97D99"/>
    <w:rsid w:val="250E6DEB"/>
    <w:rsid w:val="25A10585"/>
    <w:rsid w:val="25A718F0"/>
    <w:rsid w:val="25BB59F6"/>
    <w:rsid w:val="260F557C"/>
    <w:rsid w:val="261E020C"/>
    <w:rsid w:val="26970054"/>
    <w:rsid w:val="27316648"/>
    <w:rsid w:val="277F117F"/>
    <w:rsid w:val="27AA5AD0"/>
    <w:rsid w:val="27FA446F"/>
    <w:rsid w:val="281408E2"/>
    <w:rsid w:val="28620159"/>
    <w:rsid w:val="286640ED"/>
    <w:rsid w:val="2884317E"/>
    <w:rsid w:val="289742A6"/>
    <w:rsid w:val="29656152"/>
    <w:rsid w:val="299E3412"/>
    <w:rsid w:val="29FD04D3"/>
    <w:rsid w:val="2A922F77"/>
    <w:rsid w:val="2A954815"/>
    <w:rsid w:val="2ABD43F8"/>
    <w:rsid w:val="2ADE297A"/>
    <w:rsid w:val="2AFB4FC0"/>
    <w:rsid w:val="2B5244B4"/>
    <w:rsid w:val="2B5621F6"/>
    <w:rsid w:val="2BFF7BC6"/>
    <w:rsid w:val="2C077995"/>
    <w:rsid w:val="2C2E4F21"/>
    <w:rsid w:val="2C4C53A8"/>
    <w:rsid w:val="2C715B69"/>
    <w:rsid w:val="2C7548FE"/>
    <w:rsid w:val="2C8A61B5"/>
    <w:rsid w:val="2CB30463"/>
    <w:rsid w:val="2CE35D0C"/>
    <w:rsid w:val="2D305A3B"/>
    <w:rsid w:val="2D6A0110"/>
    <w:rsid w:val="2D7D7F0E"/>
    <w:rsid w:val="2DA336ED"/>
    <w:rsid w:val="2DA41CE1"/>
    <w:rsid w:val="2DC27430"/>
    <w:rsid w:val="2DF04E50"/>
    <w:rsid w:val="2DF12E9C"/>
    <w:rsid w:val="2E184C68"/>
    <w:rsid w:val="2E586DFA"/>
    <w:rsid w:val="2EF42176"/>
    <w:rsid w:val="2F040D46"/>
    <w:rsid w:val="2F320885"/>
    <w:rsid w:val="2F384495"/>
    <w:rsid w:val="2F5F53F2"/>
    <w:rsid w:val="2F6B035B"/>
    <w:rsid w:val="2FA86D99"/>
    <w:rsid w:val="2FAE5751"/>
    <w:rsid w:val="2FB1A395"/>
    <w:rsid w:val="2FD9A7D8"/>
    <w:rsid w:val="2FDBF714"/>
    <w:rsid w:val="30316D8E"/>
    <w:rsid w:val="306B04F2"/>
    <w:rsid w:val="30AB6865"/>
    <w:rsid w:val="311C359A"/>
    <w:rsid w:val="315C7E3B"/>
    <w:rsid w:val="316B62D0"/>
    <w:rsid w:val="319F7F4E"/>
    <w:rsid w:val="31AB4AC2"/>
    <w:rsid w:val="32554A0D"/>
    <w:rsid w:val="32850967"/>
    <w:rsid w:val="32BD1EF1"/>
    <w:rsid w:val="3304709D"/>
    <w:rsid w:val="33A773CB"/>
    <w:rsid w:val="34390907"/>
    <w:rsid w:val="34665331"/>
    <w:rsid w:val="349D6851"/>
    <w:rsid w:val="349E439C"/>
    <w:rsid w:val="34DA79F4"/>
    <w:rsid w:val="351F2BD0"/>
    <w:rsid w:val="3521172E"/>
    <w:rsid w:val="352E65A7"/>
    <w:rsid w:val="357E0CC8"/>
    <w:rsid w:val="35AB75E3"/>
    <w:rsid w:val="35D755E7"/>
    <w:rsid w:val="36157662"/>
    <w:rsid w:val="36637A9D"/>
    <w:rsid w:val="368F0CB2"/>
    <w:rsid w:val="36AA5135"/>
    <w:rsid w:val="36BE0DA7"/>
    <w:rsid w:val="36DD2F4E"/>
    <w:rsid w:val="376B6AA6"/>
    <w:rsid w:val="376D39B2"/>
    <w:rsid w:val="37C678CF"/>
    <w:rsid w:val="37E16F03"/>
    <w:rsid w:val="37F53A3B"/>
    <w:rsid w:val="388A388B"/>
    <w:rsid w:val="389B6C89"/>
    <w:rsid w:val="38A30A45"/>
    <w:rsid w:val="38D469F0"/>
    <w:rsid w:val="3913458B"/>
    <w:rsid w:val="391F631E"/>
    <w:rsid w:val="393A4D47"/>
    <w:rsid w:val="39627CCD"/>
    <w:rsid w:val="397BAF1F"/>
    <w:rsid w:val="39C80763"/>
    <w:rsid w:val="3AB79AF3"/>
    <w:rsid w:val="3ACF6A49"/>
    <w:rsid w:val="3AD81A2B"/>
    <w:rsid w:val="3AE834C0"/>
    <w:rsid w:val="3AFB2473"/>
    <w:rsid w:val="3B135A0E"/>
    <w:rsid w:val="3B7EF35A"/>
    <w:rsid w:val="3B9FDB6C"/>
    <w:rsid w:val="3BCB62E9"/>
    <w:rsid w:val="3BF5BC2F"/>
    <w:rsid w:val="3CAB7EC8"/>
    <w:rsid w:val="3CEBA265"/>
    <w:rsid w:val="3CFE449C"/>
    <w:rsid w:val="3D311355"/>
    <w:rsid w:val="3D98207C"/>
    <w:rsid w:val="3D982857"/>
    <w:rsid w:val="3DEE7CF3"/>
    <w:rsid w:val="3E4707A5"/>
    <w:rsid w:val="3E740A63"/>
    <w:rsid w:val="3E78745D"/>
    <w:rsid w:val="3EDE0BF0"/>
    <w:rsid w:val="3EE17838"/>
    <w:rsid w:val="3F3441A5"/>
    <w:rsid w:val="3F536D21"/>
    <w:rsid w:val="3F55381A"/>
    <w:rsid w:val="3F7F7599"/>
    <w:rsid w:val="3F9F7AD4"/>
    <w:rsid w:val="3FCB2D5B"/>
    <w:rsid w:val="3FE37CCF"/>
    <w:rsid w:val="3FF4CAE0"/>
    <w:rsid w:val="3FF7B227"/>
    <w:rsid w:val="3FFE5A59"/>
    <w:rsid w:val="40103DBA"/>
    <w:rsid w:val="40416B7A"/>
    <w:rsid w:val="40A47108"/>
    <w:rsid w:val="40C652D1"/>
    <w:rsid w:val="410F0A26"/>
    <w:rsid w:val="412F2E76"/>
    <w:rsid w:val="41424351"/>
    <w:rsid w:val="416F7D53"/>
    <w:rsid w:val="41A970CC"/>
    <w:rsid w:val="41AC14E4"/>
    <w:rsid w:val="41C6300E"/>
    <w:rsid w:val="4262727B"/>
    <w:rsid w:val="42B0448A"/>
    <w:rsid w:val="42EF6D61"/>
    <w:rsid w:val="43164D0D"/>
    <w:rsid w:val="434D1CD9"/>
    <w:rsid w:val="43911BC6"/>
    <w:rsid w:val="44654E01"/>
    <w:rsid w:val="44E268DA"/>
    <w:rsid w:val="450D13D7"/>
    <w:rsid w:val="454C31E3"/>
    <w:rsid w:val="45506656"/>
    <w:rsid w:val="45B7168C"/>
    <w:rsid w:val="45DB35CC"/>
    <w:rsid w:val="463902F3"/>
    <w:rsid w:val="46FC7C9E"/>
    <w:rsid w:val="47174AD8"/>
    <w:rsid w:val="477737C9"/>
    <w:rsid w:val="47E349BA"/>
    <w:rsid w:val="47F250C5"/>
    <w:rsid w:val="48131E90"/>
    <w:rsid w:val="48313923"/>
    <w:rsid w:val="483C5908"/>
    <w:rsid w:val="486A6C7A"/>
    <w:rsid w:val="48896B80"/>
    <w:rsid w:val="48965ED0"/>
    <w:rsid w:val="48EE1869"/>
    <w:rsid w:val="49214975"/>
    <w:rsid w:val="4A4901AB"/>
    <w:rsid w:val="4A627F82"/>
    <w:rsid w:val="4A8E0B63"/>
    <w:rsid w:val="4B0E749A"/>
    <w:rsid w:val="4B1732F9"/>
    <w:rsid w:val="4B2477C4"/>
    <w:rsid w:val="4B4F25DA"/>
    <w:rsid w:val="4BBF526A"/>
    <w:rsid w:val="4BE068DB"/>
    <w:rsid w:val="4C13520C"/>
    <w:rsid w:val="4D1B69A4"/>
    <w:rsid w:val="4D445EFB"/>
    <w:rsid w:val="4D510618"/>
    <w:rsid w:val="4D577224"/>
    <w:rsid w:val="4DB20D60"/>
    <w:rsid w:val="4DBA7040"/>
    <w:rsid w:val="4DBF1CEB"/>
    <w:rsid w:val="4DD059E1"/>
    <w:rsid w:val="4DF0007C"/>
    <w:rsid w:val="4DF74D1B"/>
    <w:rsid w:val="4EAB630A"/>
    <w:rsid w:val="4ECE2238"/>
    <w:rsid w:val="4EFF59B6"/>
    <w:rsid w:val="4F477F24"/>
    <w:rsid w:val="4F833267"/>
    <w:rsid w:val="4FB862CC"/>
    <w:rsid w:val="4FE9BD67"/>
    <w:rsid w:val="4FFB052F"/>
    <w:rsid w:val="50610B72"/>
    <w:rsid w:val="51842D6A"/>
    <w:rsid w:val="51A0391C"/>
    <w:rsid w:val="51A60F32"/>
    <w:rsid w:val="51C27D36"/>
    <w:rsid w:val="51CE66DB"/>
    <w:rsid w:val="52D47D21"/>
    <w:rsid w:val="532F1381"/>
    <w:rsid w:val="533B7DA0"/>
    <w:rsid w:val="537E6D0A"/>
    <w:rsid w:val="53A828E9"/>
    <w:rsid w:val="53AC3A29"/>
    <w:rsid w:val="53F74C96"/>
    <w:rsid w:val="53FD0BB2"/>
    <w:rsid w:val="55170BA8"/>
    <w:rsid w:val="553218C9"/>
    <w:rsid w:val="55772500"/>
    <w:rsid w:val="559A4947"/>
    <w:rsid w:val="55CB540B"/>
    <w:rsid w:val="55DB0099"/>
    <w:rsid w:val="567E1AA5"/>
    <w:rsid w:val="56BC4D54"/>
    <w:rsid w:val="56DA7D27"/>
    <w:rsid w:val="56E47B74"/>
    <w:rsid w:val="57175D52"/>
    <w:rsid w:val="57362D58"/>
    <w:rsid w:val="57906374"/>
    <w:rsid w:val="5797131D"/>
    <w:rsid w:val="57A7338F"/>
    <w:rsid w:val="57BD3DD4"/>
    <w:rsid w:val="584E2B8F"/>
    <w:rsid w:val="59617E35"/>
    <w:rsid w:val="598F4BC6"/>
    <w:rsid w:val="5A0D6898"/>
    <w:rsid w:val="5A3B68D8"/>
    <w:rsid w:val="5A9F6E67"/>
    <w:rsid w:val="5AF92295"/>
    <w:rsid w:val="5B013F5E"/>
    <w:rsid w:val="5B250254"/>
    <w:rsid w:val="5B283178"/>
    <w:rsid w:val="5B516A9C"/>
    <w:rsid w:val="5BDD79E6"/>
    <w:rsid w:val="5BF561CA"/>
    <w:rsid w:val="5BFE7BBD"/>
    <w:rsid w:val="5BFF5DFC"/>
    <w:rsid w:val="5C4F21C6"/>
    <w:rsid w:val="5C7779C1"/>
    <w:rsid w:val="5C8D7611"/>
    <w:rsid w:val="5CB70498"/>
    <w:rsid w:val="5CD32DD4"/>
    <w:rsid w:val="5CD71FC4"/>
    <w:rsid w:val="5D1F11B5"/>
    <w:rsid w:val="5D3D49F6"/>
    <w:rsid w:val="5D695134"/>
    <w:rsid w:val="5D8272F5"/>
    <w:rsid w:val="5DAE1B18"/>
    <w:rsid w:val="5DE7D9E5"/>
    <w:rsid w:val="5E4E5AD0"/>
    <w:rsid w:val="5E4F0730"/>
    <w:rsid w:val="5E5B01BF"/>
    <w:rsid w:val="5ECEC941"/>
    <w:rsid w:val="5ED7545C"/>
    <w:rsid w:val="5FBF9FF3"/>
    <w:rsid w:val="5FCD4E2C"/>
    <w:rsid w:val="5FEF394A"/>
    <w:rsid w:val="5FF67715"/>
    <w:rsid w:val="5FFB68ED"/>
    <w:rsid w:val="6005151A"/>
    <w:rsid w:val="601A0A51"/>
    <w:rsid w:val="60BB7E2A"/>
    <w:rsid w:val="611D2893"/>
    <w:rsid w:val="612E2892"/>
    <w:rsid w:val="615F2EAC"/>
    <w:rsid w:val="6267026A"/>
    <w:rsid w:val="62967E64"/>
    <w:rsid w:val="62BF3928"/>
    <w:rsid w:val="632C3261"/>
    <w:rsid w:val="63B3701E"/>
    <w:rsid w:val="63DC6A36"/>
    <w:rsid w:val="647F5392"/>
    <w:rsid w:val="648C1BEF"/>
    <w:rsid w:val="651951E5"/>
    <w:rsid w:val="653D244C"/>
    <w:rsid w:val="658904F7"/>
    <w:rsid w:val="65D73958"/>
    <w:rsid w:val="65E66580"/>
    <w:rsid w:val="66486604"/>
    <w:rsid w:val="664B1D71"/>
    <w:rsid w:val="664B4E8E"/>
    <w:rsid w:val="66547382"/>
    <w:rsid w:val="66B477F6"/>
    <w:rsid w:val="66D206EE"/>
    <w:rsid w:val="66E71979"/>
    <w:rsid w:val="67277B67"/>
    <w:rsid w:val="674566A0"/>
    <w:rsid w:val="674A63AC"/>
    <w:rsid w:val="675F3C06"/>
    <w:rsid w:val="676A3084"/>
    <w:rsid w:val="678E7ECB"/>
    <w:rsid w:val="67AA3209"/>
    <w:rsid w:val="67E508B5"/>
    <w:rsid w:val="683010FE"/>
    <w:rsid w:val="687E630D"/>
    <w:rsid w:val="698D0931"/>
    <w:rsid w:val="6A6F3CED"/>
    <w:rsid w:val="6A7FE5F3"/>
    <w:rsid w:val="6AD541DF"/>
    <w:rsid w:val="6AF74155"/>
    <w:rsid w:val="6B053271"/>
    <w:rsid w:val="6B555ED8"/>
    <w:rsid w:val="6BAE7BF8"/>
    <w:rsid w:val="6BD149A6"/>
    <w:rsid w:val="6BDD78B3"/>
    <w:rsid w:val="6C4A05C8"/>
    <w:rsid w:val="6C8742B8"/>
    <w:rsid w:val="6CCD7863"/>
    <w:rsid w:val="6D013069"/>
    <w:rsid w:val="6D711AC2"/>
    <w:rsid w:val="6DBD1FDD"/>
    <w:rsid w:val="6DBF5E93"/>
    <w:rsid w:val="6DE5124D"/>
    <w:rsid w:val="6DFF077E"/>
    <w:rsid w:val="6E4628B1"/>
    <w:rsid w:val="6E714EF0"/>
    <w:rsid w:val="6E7E3605"/>
    <w:rsid w:val="6E7FDCC7"/>
    <w:rsid w:val="6EC46A44"/>
    <w:rsid w:val="6ED6A62E"/>
    <w:rsid w:val="6EE00B15"/>
    <w:rsid w:val="6F305E87"/>
    <w:rsid w:val="6F6FB3EB"/>
    <w:rsid w:val="6F8731EA"/>
    <w:rsid w:val="6F9E1043"/>
    <w:rsid w:val="6FCE6052"/>
    <w:rsid w:val="6FD57C00"/>
    <w:rsid w:val="6FDE02B2"/>
    <w:rsid w:val="6FEFFFD8"/>
    <w:rsid w:val="6FF5CC65"/>
    <w:rsid w:val="6FFB47EC"/>
    <w:rsid w:val="6FFF034A"/>
    <w:rsid w:val="701632CF"/>
    <w:rsid w:val="70484440"/>
    <w:rsid w:val="70714F70"/>
    <w:rsid w:val="712A28F1"/>
    <w:rsid w:val="715C0E4B"/>
    <w:rsid w:val="71992E7C"/>
    <w:rsid w:val="721245BB"/>
    <w:rsid w:val="72233669"/>
    <w:rsid w:val="724F0D1A"/>
    <w:rsid w:val="726A16B0"/>
    <w:rsid w:val="72734D90"/>
    <w:rsid w:val="728B1D53"/>
    <w:rsid w:val="72A66B8C"/>
    <w:rsid w:val="73160E6D"/>
    <w:rsid w:val="732144AE"/>
    <w:rsid w:val="7332FE48"/>
    <w:rsid w:val="734E22B4"/>
    <w:rsid w:val="73AB61DA"/>
    <w:rsid w:val="73AD73D5"/>
    <w:rsid w:val="73B6EB34"/>
    <w:rsid w:val="73FA497D"/>
    <w:rsid w:val="74343D24"/>
    <w:rsid w:val="744731E5"/>
    <w:rsid w:val="744F4568"/>
    <w:rsid w:val="74936C9D"/>
    <w:rsid w:val="74BBD01D"/>
    <w:rsid w:val="74E94929"/>
    <w:rsid w:val="74ED5379"/>
    <w:rsid w:val="75471BA4"/>
    <w:rsid w:val="75DEEEC2"/>
    <w:rsid w:val="75E32345"/>
    <w:rsid w:val="75F145C2"/>
    <w:rsid w:val="76E3355F"/>
    <w:rsid w:val="76FF5125"/>
    <w:rsid w:val="776F6FFA"/>
    <w:rsid w:val="778769C8"/>
    <w:rsid w:val="77A75DCA"/>
    <w:rsid w:val="77DC22F5"/>
    <w:rsid w:val="783E271A"/>
    <w:rsid w:val="78616DE9"/>
    <w:rsid w:val="78801C2E"/>
    <w:rsid w:val="78C95383"/>
    <w:rsid w:val="78E35DB2"/>
    <w:rsid w:val="78E875D7"/>
    <w:rsid w:val="79086DAD"/>
    <w:rsid w:val="79D7FD79"/>
    <w:rsid w:val="79EE5BA4"/>
    <w:rsid w:val="7A0174D5"/>
    <w:rsid w:val="7A431165"/>
    <w:rsid w:val="7A5779CE"/>
    <w:rsid w:val="7A894339"/>
    <w:rsid w:val="7AD284E8"/>
    <w:rsid w:val="7AD95625"/>
    <w:rsid w:val="7AFF7572"/>
    <w:rsid w:val="7B264BB7"/>
    <w:rsid w:val="7B6C7DFB"/>
    <w:rsid w:val="7B8C6B3B"/>
    <w:rsid w:val="7BBFBED0"/>
    <w:rsid w:val="7BC3E394"/>
    <w:rsid w:val="7C1F3737"/>
    <w:rsid w:val="7C964821"/>
    <w:rsid w:val="7CBFC87B"/>
    <w:rsid w:val="7CE8640F"/>
    <w:rsid w:val="7CFE0F48"/>
    <w:rsid w:val="7D272ABC"/>
    <w:rsid w:val="7D2B161E"/>
    <w:rsid w:val="7D7EC23E"/>
    <w:rsid w:val="7D902913"/>
    <w:rsid w:val="7DE14F1D"/>
    <w:rsid w:val="7DE70964"/>
    <w:rsid w:val="7DF84014"/>
    <w:rsid w:val="7E8ADEBF"/>
    <w:rsid w:val="7EEF11D3"/>
    <w:rsid w:val="7EFE4840"/>
    <w:rsid w:val="7F0971A6"/>
    <w:rsid w:val="7F1B454B"/>
    <w:rsid w:val="7F1D62E7"/>
    <w:rsid w:val="7F3F679B"/>
    <w:rsid w:val="7F4D213E"/>
    <w:rsid w:val="7F4FC4EF"/>
    <w:rsid w:val="7F5E4D54"/>
    <w:rsid w:val="7F6E0135"/>
    <w:rsid w:val="7F79F205"/>
    <w:rsid w:val="7FA30C79"/>
    <w:rsid w:val="7FA79C44"/>
    <w:rsid w:val="7FAC21CB"/>
    <w:rsid w:val="7FAF4BA7"/>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20">
    <w:name w:val="Default Paragraph Font"/>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Normal Indent"/>
    <w:basedOn w:val="1"/>
    <w:unhideWhenUsed/>
    <w:qFormat/>
    <w:uiPriority w:val="99"/>
    <w:pPr>
      <w:ind w:firstLine="680"/>
    </w:pPr>
  </w:style>
  <w:style w:type="paragraph" w:styleId="7">
    <w:name w:val="index 5"/>
    <w:basedOn w:val="1"/>
    <w:next w:val="1"/>
    <w:qFormat/>
    <w:uiPriority w:val="0"/>
    <w:pPr>
      <w:ind w:left="1680"/>
    </w:pPr>
  </w:style>
  <w:style w:type="paragraph" w:styleId="8">
    <w:name w:val="Body Text"/>
    <w:basedOn w:val="1"/>
    <w:link w:val="28"/>
    <w:qFormat/>
    <w:uiPriority w:val="99"/>
    <w:pPr>
      <w:spacing w:beforeLines="30"/>
    </w:pPr>
    <w:rPr>
      <w:rFonts w:ascii="仿宋_GB2312" w:eastAsia="仿宋_GB2312"/>
      <w:kern w:val="0"/>
      <w:sz w:val="30"/>
    </w:rPr>
  </w:style>
  <w:style w:type="paragraph" w:styleId="9">
    <w:name w:val="Body Text Indent"/>
    <w:basedOn w:val="1"/>
    <w:next w:val="10"/>
    <w:qFormat/>
    <w:uiPriority w:val="0"/>
    <w:pPr>
      <w:spacing w:after="120"/>
      <w:ind w:leftChars="200"/>
    </w:pPr>
    <w:rPr>
      <w:rFonts w:ascii="仿宋_GB2312"/>
      <w:szCs w:val="32"/>
    </w:rPr>
  </w:style>
  <w:style w:type="paragraph" w:styleId="10">
    <w:name w:val="Body Text First Indent 2"/>
    <w:basedOn w:val="9"/>
    <w:unhideWhenUsed/>
    <w:qFormat/>
    <w:uiPriority w:val="99"/>
    <w:pPr>
      <w:ind w:firstLine="420" w:firstLineChars="200"/>
    </w:pPr>
  </w:style>
  <w:style w:type="paragraph" w:styleId="11">
    <w:name w:val="toc 3"/>
    <w:basedOn w:val="1"/>
    <w:next w:val="1"/>
    <w:unhideWhenUsed/>
    <w:qFormat/>
    <w:uiPriority w:val="39"/>
    <w:pPr>
      <w:tabs>
        <w:tab w:val="right" w:leader="dot" w:pos="8296"/>
      </w:tabs>
      <w:ind w:left="840" w:leftChars="400"/>
    </w:pPr>
  </w:style>
  <w:style w:type="paragraph" w:styleId="12">
    <w:name w:val="Balloon Text"/>
    <w:basedOn w:val="1"/>
    <w:link w:val="34"/>
    <w:semiHidden/>
    <w:unhideWhenUsed/>
    <w:qFormat/>
    <w:uiPriority w:val="99"/>
    <w:rPr>
      <w:sz w:val="18"/>
      <w:szCs w:val="18"/>
    </w:rPr>
  </w:style>
  <w:style w:type="paragraph" w:styleId="13">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6">
    <w:name w:val="footnote text"/>
    <w:basedOn w:val="1"/>
    <w:next w:val="10"/>
    <w:semiHidden/>
    <w:qFormat/>
    <w:uiPriority w:val="0"/>
    <w:pPr>
      <w:snapToGrid w:val="0"/>
      <w:jc w:val="left"/>
    </w:pPr>
    <w:rPr>
      <w:sz w:val="18"/>
      <w:szCs w:val="18"/>
    </w:rPr>
  </w:style>
  <w:style w:type="paragraph" w:styleId="17">
    <w:name w:val="toc 2"/>
    <w:basedOn w:val="1"/>
    <w:next w:val="1"/>
    <w:unhideWhenUsed/>
    <w:qFormat/>
    <w:uiPriority w:val="39"/>
    <w:pPr>
      <w:tabs>
        <w:tab w:val="right" w:leader="dot" w:pos="8296"/>
      </w:tabs>
      <w:ind w:left="420" w:leftChars="200"/>
    </w:pPr>
  </w:style>
  <w:style w:type="paragraph" w:styleId="18">
    <w:name w:val="Normal (Web)"/>
    <w:basedOn w:val="1"/>
    <w:qFormat/>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100" w:beforeAutospacing="1" w:after="100" w:afterAutospacing="1" w:line="240" w:lineRule="auto"/>
      <w:ind w:left="0" w:right="0" w:firstLine="0"/>
      <w:jc w:val="left"/>
      <w:textAlignment w:val="auto"/>
      <w:outlineLvl w:val="9"/>
    </w:pPr>
    <w:rPr>
      <w:rFonts w:ascii="宋体" w:eastAsia="宋体"/>
      <w:snapToGrid/>
      <w:color w:val="auto"/>
      <w:spacing w:val="0"/>
      <w:w w:val="100"/>
      <w:kern w:val="0"/>
      <w:position w:val="0"/>
      <w:sz w:val="24"/>
      <w:szCs w:val="21"/>
      <w:u w:val="none" w:color="auto"/>
      <w:vertAlign w:val="baseline"/>
      <w:lang w:val="en-US" w:eastAsia="zh-CN"/>
    </w:r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character" w:customStyle="1" w:styleId="23">
    <w:name w:val="Header Char"/>
    <w:basedOn w:val="20"/>
    <w:semiHidden/>
    <w:qFormat/>
    <w:uiPriority w:val="99"/>
    <w:rPr>
      <w:rFonts w:ascii="Times New Roman" w:hAnsi="Times New Roman"/>
      <w:sz w:val="18"/>
      <w:szCs w:val="18"/>
    </w:rPr>
  </w:style>
  <w:style w:type="character" w:customStyle="1" w:styleId="24">
    <w:name w:val="页眉 Char"/>
    <w:link w:val="14"/>
    <w:semiHidden/>
    <w:qFormat/>
    <w:locked/>
    <w:uiPriority w:val="99"/>
    <w:rPr>
      <w:sz w:val="18"/>
    </w:rPr>
  </w:style>
  <w:style w:type="character" w:customStyle="1" w:styleId="25">
    <w:name w:val="Footer Char"/>
    <w:basedOn w:val="20"/>
    <w:semiHidden/>
    <w:qFormat/>
    <w:uiPriority w:val="99"/>
    <w:rPr>
      <w:rFonts w:ascii="Times New Roman" w:hAnsi="Times New Roman"/>
      <w:sz w:val="18"/>
      <w:szCs w:val="18"/>
    </w:rPr>
  </w:style>
  <w:style w:type="character" w:customStyle="1" w:styleId="26">
    <w:name w:val="页脚 Char"/>
    <w:link w:val="13"/>
    <w:qFormat/>
    <w:locked/>
    <w:uiPriority w:val="99"/>
    <w:rPr>
      <w:sz w:val="18"/>
    </w:rPr>
  </w:style>
  <w:style w:type="character" w:customStyle="1" w:styleId="27">
    <w:name w:val="Body Text Char"/>
    <w:basedOn w:val="20"/>
    <w:semiHidden/>
    <w:qFormat/>
    <w:uiPriority w:val="99"/>
    <w:rPr>
      <w:rFonts w:ascii="Times New Roman" w:hAnsi="Times New Roman"/>
      <w:szCs w:val="24"/>
    </w:rPr>
  </w:style>
  <w:style w:type="character" w:customStyle="1" w:styleId="28">
    <w:name w:val="正文文本 Char"/>
    <w:link w:val="8"/>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20"/>
    <w:link w:val="3"/>
    <w:qFormat/>
    <w:uiPriority w:val="9"/>
    <w:rPr>
      <w:rFonts w:ascii="Times New Roman" w:hAnsi="Times New Roman"/>
      <w:b/>
      <w:bCs/>
      <w:kern w:val="44"/>
      <w:sz w:val="44"/>
      <w:szCs w:val="44"/>
    </w:rPr>
  </w:style>
  <w:style w:type="character" w:customStyle="1" w:styleId="32">
    <w:name w:val="标题 2 Char"/>
    <w:basedOn w:val="20"/>
    <w:link w:val="4"/>
    <w:qFormat/>
    <w:uiPriority w:val="9"/>
    <w:rPr>
      <w:rFonts w:asciiTheme="majorHAnsi" w:hAnsiTheme="majorHAnsi" w:eastAsiaTheme="majorEastAsia" w:cstheme="majorBidi"/>
      <w:b/>
      <w:bCs/>
      <w:kern w:val="2"/>
      <w:sz w:val="32"/>
      <w:szCs w:val="32"/>
    </w:rPr>
  </w:style>
  <w:style w:type="paragraph" w:customStyle="1" w:styleId="33">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20"/>
    <w:link w:val="12"/>
    <w:semiHidden/>
    <w:qFormat/>
    <w:uiPriority w:val="99"/>
    <w:rPr>
      <w:rFonts w:ascii="Times New Roman" w:hAnsi="Times New Roman"/>
      <w:kern w:val="2"/>
      <w:sz w:val="18"/>
      <w:szCs w:val="18"/>
    </w:rPr>
  </w:style>
  <w:style w:type="character" w:customStyle="1" w:styleId="35">
    <w:name w:val="标题 3 Char"/>
    <w:basedOn w:val="20"/>
    <w:link w:val="5"/>
    <w:qFormat/>
    <w:uiPriority w:val="9"/>
    <w:rPr>
      <w:rFonts w:ascii="Times New Roman" w:hAnsi="Times New Roman"/>
      <w:b/>
      <w:bCs/>
      <w:kern w:val="2"/>
      <w:sz w:val="32"/>
      <w:szCs w:val="32"/>
    </w:rPr>
  </w:style>
  <w:style w:type="paragraph" w:customStyle="1" w:styleId="36">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8">
    <w:name w:val="font51"/>
    <w:basedOn w:val="20"/>
    <w:qFormat/>
    <w:uiPriority w:val="0"/>
    <w:rPr>
      <w:rFonts w:hint="eastAsia" w:ascii="微软雅黑" w:hAnsi="微软雅黑" w:eastAsia="微软雅黑" w:cs="微软雅黑"/>
      <w:i/>
      <w:iCs/>
      <w:color w:val="000000"/>
      <w:sz w:val="16"/>
      <w:szCs w:val="16"/>
      <w:u w:val="none"/>
    </w:rPr>
  </w:style>
  <w:style w:type="character" w:customStyle="1" w:styleId="39">
    <w:name w:val="font71"/>
    <w:basedOn w:val="20"/>
    <w:qFormat/>
    <w:uiPriority w:val="0"/>
    <w:rPr>
      <w:rFonts w:hint="default" w:ascii="Times New Roman" w:hAnsi="Times New Roman" w:cs="Times New Roman"/>
      <w:i/>
      <w:iCs/>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7.xml"/><Relationship Id="rId17" Type="http://schemas.openxmlformats.org/officeDocument/2006/relationships/chart" Target="charts/chart6.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7.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收入、支出决算总计变动（万元）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4713.14</c:v>
                </c:pt>
                <c:pt idx="1">
                  <c:v>4738.25</c:v>
                </c:pt>
              </c:numCache>
            </c:numRef>
          </c:val>
        </c:ser>
        <c:dLbls>
          <c:showLegendKey val="0"/>
          <c:showVal val="1"/>
          <c:showCatName val="0"/>
          <c:showSerName val="0"/>
          <c:showPercent val="0"/>
          <c:showBubbleSize val="0"/>
        </c:dLbls>
        <c:gapWidth val="150"/>
        <c:overlap val="-25"/>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extLst>
      <c:ext uri="{0b15fc19-7d7d-44ad-8c2d-2c3a37ce22c3}">
        <chartProps xmlns="https://web.wps.cn/et/2018/main" chartId="{1dcebafc-ba78-4c43-bffe-1d5cdf17d59e}"/>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一般公共预算财政收入</c:v>
                </c:pt>
                <c:pt idx="1">
                  <c:v>政府性基金收入</c:v>
                </c:pt>
              </c:strCache>
            </c:strRef>
          </c:cat>
          <c:val>
            <c:numRef>
              <c:f>Sheet1!$B$2:$B$3</c:f>
              <c:numCache>
                <c:formatCode>General</c:formatCode>
                <c:ptCount val="2"/>
                <c:pt idx="0">
                  <c:v>4738.25</c:v>
                </c:pt>
                <c:pt idx="1">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c056e32-2964-45c7-a869-d26d0f6fa347}"/>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支出决算图（万元）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953.07</c:v>
                </c:pt>
                <c:pt idx="1">
                  <c:v>3785.19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c056e32-2964-45c7-a869-d26d0f6fa347}"/>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财政拨款收、支决算总计变动（万元）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4713.14</c:v>
                </c:pt>
                <c:pt idx="1">
                  <c:v>4738.25</c:v>
                </c:pt>
              </c:numCache>
            </c:numRef>
          </c:val>
        </c:ser>
        <c:dLbls>
          <c:showLegendKey val="0"/>
          <c:showVal val="1"/>
          <c:showCatName val="0"/>
          <c:showSerName val="0"/>
          <c:showPercent val="0"/>
          <c:showBubbleSize val="0"/>
        </c:dLbls>
        <c:gapWidth val="150"/>
        <c:overlap val="-25"/>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extLst>
      <c:ext uri="{0b15fc19-7d7d-44ad-8c2d-2c3a37ce22c3}">
        <chartProps xmlns="https://web.wps.cn/et/2018/main" chartId="{363ae6a0-7dbe-4e07-9fdd-e74f50175fe2}"/>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一般公共预算财政拨款支出（万元）</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4713.14</c:v>
                </c:pt>
                <c:pt idx="1">
                  <c:v>4738.25</c:v>
                </c:pt>
              </c:numCache>
            </c:numRef>
          </c:val>
        </c:ser>
        <c:dLbls>
          <c:showLegendKey val="0"/>
          <c:showVal val="1"/>
          <c:showCatName val="0"/>
          <c:showSerName val="0"/>
          <c:showPercent val="0"/>
          <c:showBubbleSize val="0"/>
        </c:dLbls>
        <c:gapWidth val="150"/>
        <c:overlap val="0"/>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extLst>
      <c:ext uri="{0b15fc19-7d7d-44ad-8c2d-2c3a37ce22c3}">
        <chartProps xmlns="https://web.wps.cn/et/2018/main" chartId="{363ae6a0-7dbe-4e07-9fdd-e74f50175fe2}"/>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ln>
                <a:noFill/>
              </a:ln>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ln>
                      <a:noFill/>
                    </a:ln>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4531.68</c:v>
                </c:pt>
                <c:pt idx="1">
                  <c:v>109.12</c:v>
                </c:pt>
                <c:pt idx="2">
                  <c:v>41.69</c:v>
                </c:pt>
                <c:pt idx="3">
                  <c:v>55.77</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c46a54d-594c-40f2-b5cf-af3b2d5997e8}"/>
      </c:ext>
    </c:extLst>
  </c:chart>
  <c:spPr>
    <a:solidFill>
      <a:schemeClr val="bg1"/>
    </a:solidFill>
    <a:ln w="7620" cap="flat" cmpd="sng" algn="ctr">
      <a:solidFill>
        <a:schemeClr val="tx1"/>
      </a:solidFill>
      <a:round/>
    </a:ln>
    <a:effectLst/>
  </c:spPr>
  <c:txPr>
    <a:bodyPr/>
    <a:lstStyle/>
    <a:p>
      <a:pPr>
        <a:defRPr lang="zh-CN">
          <a:ln>
            <a:noFill/>
          </a:ln>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35.77</c:v>
                </c:pt>
                <c:pt idx="2">
                  <c:v>0.04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5925bff-242a-4b51-a2bb-806cb12a3a27}"/>
      </c:ext>
    </c:extLst>
  </c:chart>
  <c:spPr>
    <a:solidFill>
      <a:schemeClr val="bg1"/>
    </a:solidFill>
    <a:ln w="7620" cap="flat" cmpd="sng" algn="ctr">
      <a:solidFill>
        <a:schemeClr val="tx1"/>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68</Pages>
  <Words>11305</Words>
  <Characters>12896</Characters>
  <Lines>61</Lines>
  <Paragraphs>17</Paragraphs>
  <TotalTime>6</TotalTime>
  <ScaleCrop>false</ScaleCrop>
  <LinksUpToDate>false</LinksUpToDate>
  <CharactersWithSpaces>13026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瑛</cp:lastModifiedBy>
  <cp:lastPrinted>2026-09-15T08:41:00Z</cp:lastPrinted>
  <dcterms:modified xsi:type="dcterms:W3CDTF">2026-09-15T09:05:16Z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116BB00E095B415890A7991837971C56_13</vt:lpwstr>
  </property>
  <property fmtid="{D5CDD505-2E9C-101B-9397-08002B2CF9AE}" pid="4" name="KSOTemplateDocerSaveRecord">
    <vt:lpwstr>eyJoZGlkIjoiNTE5ZDFjMDg1YTg5MTJiYzhhY2U2ZDg5ZDk5MDA1NjIiLCJ1c2VySWQiOiIxMTY3MDkyNDU2In0=</vt:lpwstr>
  </property>
</Properties>
</file>