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8"/>
        <w:rPr>
          <w:rFonts w:hint="eastAsia" w:ascii="Times New Roman" w:hAnsi="Times New Roman" w:eastAsia="微软雅黑" w:cs="Times New Roman"/>
          <w:color w:val="auto"/>
          <w:kern w:val="2"/>
          <w:sz w:val="72"/>
          <w:szCs w:val="72"/>
          <w:highlight w:val="none"/>
          <w:lang w:val="en-US" w:eastAsia="zh-CN" w:bidi="ar-SA"/>
        </w:rPr>
      </w:pPr>
      <w:bookmarkStart w:id="0" w:name="_Toc15396597"/>
      <w:bookmarkStart w:id="1" w:name="_Toc15378441"/>
      <w:bookmarkStart w:id="2" w:name="_Toc15306267"/>
      <w:bookmarkStart w:id="3" w:name="_Toc15396475"/>
      <w:bookmarkStart w:id="4" w:name="_Toc15377425"/>
      <w:bookmarkStart w:id="5" w:name="_Toc15377193"/>
    </w:p>
    <w:p w14:paraId="2B81399B">
      <w:pPr>
        <w:pStyle w:val="8"/>
        <w:rPr>
          <w:rFonts w:hint="eastAsia" w:ascii="Times New Roman" w:hAnsi="Times New Roman" w:eastAsia="微软雅黑" w:cs="Times New Roman"/>
          <w:color w:val="auto"/>
          <w:kern w:val="2"/>
          <w:sz w:val="72"/>
          <w:szCs w:val="72"/>
          <w:highlight w:val="none"/>
          <w:lang w:val="en-US" w:eastAsia="zh-CN" w:bidi="ar-SA"/>
        </w:rPr>
      </w:pPr>
    </w:p>
    <w:p w14:paraId="017D3EFE">
      <w:pPr>
        <w:pStyle w:val="8"/>
        <w:rPr>
          <w:rFonts w:hint="eastAsia" w:ascii="Times New Roman" w:hAnsi="Times New Roman" w:eastAsia="微软雅黑" w:cs="Times New Roman"/>
          <w:color w:val="auto"/>
          <w:kern w:val="2"/>
          <w:sz w:val="72"/>
          <w:szCs w:val="72"/>
          <w:highlight w:val="none"/>
          <w:lang w:val="en-US" w:eastAsia="zh-CN" w:bidi="ar-SA"/>
        </w:rPr>
      </w:pPr>
    </w:p>
    <w:p w14:paraId="21C59E44">
      <w:pPr>
        <w:pStyle w:val="8"/>
        <w:jc w:val="center"/>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eastAsia="微软雅黑" w:cs="Times New Roman"/>
          <w:color w:val="auto"/>
          <w:kern w:val="2"/>
          <w:sz w:val="44"/>
          <w:szCs w:val="44"/>
          <w:highlight w:val="none"/>
          <w:lang w:val="en-US" w:eastAsia="zh-CN" w:bidi="ar-SA"/>
        </w:rPr>
        <w:t>2025</w:t>
      </w:r>
      <w:r>
        <w:rPr>
          <w:rFonts w:hint="eastAsia" w:ascii="Times New Roman" w:hAnsi="Times New Roman" w:eastAsia="微软雅黑" w:cs="Times New Roman"/>
          <w:color w:val="auto"/>
          <w:kern w:val="2"/>
          <w:sz w:val="44"/>
          <w:szCs w:val="44"/>
          <w:highlight w:val="none"/>
          <w:lang w:val="en-US" w:eastAsia="zh-CN" w:bidi="ar-SA"/>
        </w:rPr>
        <w:t>年度</w:t>
      </w:r>
      <w:r>
        <w:rPr>
          <w:rFonts w:hint="eastAsia" w:ascii="Times New Roman" w:eastAsia="微软雅黑" w:cs="Times New Roman"/>
          <w:color w:val="auto"/>
          <w:kern w:val="2"/>
          <w:sz w:val="44"/>
          <w:szCs w:val="44"/>
          <w:highlight w:val="none"/>
          <w:lang w:val="en-US" w:eastAsia="zh-CN" w:bidi="ar-SA"/>
        </w:rPr>
        <w:t>阿坝藏族羌族自治州商务局</w:t>
      </w:r>
    </w:p>
    <w:p w14:paraId="3E179DAE">
      <w:pPr>
        <w:pStyle w:val="8"/>
        <w:jc w:val="center"/>
        <w:rPr>
          <w:rFonts w:hint="default" w:ascii="Times New Roman" w:hAnsi="Times New Roman" w:eastAsia="微软雅黑" w:cs="Times New Roman"/>
          <w:color w:val="auto"/>
          <w:kern w:val="2"/>
          <w:sz w:val="44"/>
          <w:szCs w:val="44"/>
          <w:highlight w:val="none"/>
          <w:lang w:val="en-US" w:eastAsia="zh-CN" w:bidi="ar-SA"/>
        </w:rPr>
      </w:pPr>
      <w:r>
        <w:rPr>
          <w:rFonts w:hint="eastAsia" w:ascii="Times New Roman" w:eastAsia="微软雅黑" w:cs="Times New Roman"/>
          <w:color w:val="auto"/>
          <w:kern w:val="2"/>
          <w:sz w:val="44"/>
          <w:szCs w:val="44"/>
          <w:highlight w:val="none"/>
          <w:lang w:val="en-US" w:eastAsia="zh-CN" w:bidi="ar-SA"/>
        </w:rPr>
        <w:t>单位</w:t>
      </w:r>
      <w:r>
        <w:rPr>
          <w:rFonts w:hint="eastAsia" w:ascii="Times New Roman" w:hAnsi="Times New Roman" w:eastAsia="微软雅黑" w:cs="Times New Roman"/>
          <w:color w:val="auto"/>
          <w:kern w:val="2"/>
          <w:sz w:val="44"/>
          <w:szCs w:val="44"/>
          <w:highlight w:val="none"/>
          <w:lang w:val="en-US" w:eastAsia="zh-CN" w:bidi="ar-SA"/>
        </w:rPr>
        <w:t>决算公开</w:t>
      </w:r>
    </w:p>
    <w:p w14:paraId="4C9B97CC">
      <w:pPr>
        <w:spacing w:line="600" w:lineRule="exact"/>
        <w:jc w:val="center"/>
        <w:outlineLvl w:val="0"/>
        <w:rPr>
          <w:rFonts w:ascii="Times New Roman" w:hAnsi="Times New Roman" w:eastAsia="微软雅黑"/>
          <w:color w:val="auto"/>
          <w:sz w:val="72"/>
          <w:szCs w:val="72"/>
          <w:highlight w:val="none"/>
        </w:rPr>
      </w:pPr>
    </w:p>
    <w:p w14:paraId="2201A393">
      <w:pPr>
        <w:pStyle w:val="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bookmarkStart w:id="97" w:name="_GoBack"/>
      <w:bookmarkEnd w:id="97"/>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5"/>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74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8ECB2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97D48B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74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6"/>
        <w:rPr>
          <w:highlight w:val="none"/>
        </w:rPr>
      </w:pPr>
    </w:p>
    <w:p w14:paraId="4146E5AE">
      <w:pPr>
        <w:pStyle w:val="3"/>
        <w:jc w:val="center"/>
        <w:outlineLvl w:val="0"/>
        <w:rPr>
          <w:rFonts w:hint="eastAsia" w:ascii="方正小标宋_GBK" w:hAnsi="方正小标宋_GBK" w:eastAsia="方正小标宋_GBK" w:cs="方正小标宋_GBK"/>
          <w:b w:val="0"/>
          <w:color w:val="auto"/>
          <w:sz w:val="44"/>
          <w:szCs w:val="44"/>
          <w:highlight w:val="none"/>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bookmarkStart w:id="8" w:name="_Toc1108"/>
    </w:p>
    <w:p w14:paraId="47360B2C">
      <w:pPr>
        <w:pStyle w:val="3"/>
        <w:jc w:val="center"/>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b w:val="0"/>
          <w:color w:val="auto"/>
          <w:sz w:val="44"/>
          <w:szCs w:val="44"/>
          <w:highlight w:val="none"/>
        </w:rPr>
        <w:t>第一部分</w:t>
      </w:r>
      <w:r>
        <w:rPr>
          <w:rFonts w:hint="eastAsia" w:ascii="方正小标宋_GBK" w:hAnsi="方正小标宋_GBK" w:eastAsia="方正小标宋_GBK" w:cs="方正小标宋_GBK"/>
          <w:b w:val="0"/>
          <w:color w:val="auto"/>
          <w:sz w:val="44"/>
          <w:szCs w:val="44"/>
          <w:highlight w:val="none"/>
          <w:lang w:val="en-US" w:eastAsia="zh-CN"/>
        </w:rPr>
        <w:t xml:space="preserve"> </w:t>
      </w:r>
      <w:r>
        <w:rPr>
          <w:rFonts w:hint="eastAsia" w:ascii="方正小标宋_GBK" w:hAnsi="方正小标宋_GBK" w:eastAsia="方正小标宋_GBK" w:cs="方正小标宋_GBK"/>
          <w:b w:val="0"/>
          <w:color w:val="auto"/>
          <w:sz w:val="44"/>
          <w:szCs w:val="44"/>
          <w:highlight w:val="none"/>
        </w:rPr>
        <w:t xml:space="preserve"> </w:t>
      </w:r>
      <w:r>
        <w:rPr>
          <w:rStyle w:val="31"/>
          <w:rFonts w:hint="eastAsia" w:ascii="方正小标宋_GBK" w:hAnsi="方正小标宋_GBK" w:eastAsia="方正小标宋_GBK" w:cs="方正小标宋_GBK"/>
          <w:b w:val="0"/>
          <w:bCs w:val="0"/>
          <w:color w:val="auto"/>
          <w:sz w:val="44"/>
          <w:szCs w:val="44"/>
          <w:highlight w:val="none"/>
          <w:lang w:val="en-US" w:eastAsia="zh-CN"/>
        </w:rPr>
        <w:t>单位</w:t>
      </w:r>
      <w:r>
        <w:rPr>
          <w:rStyle w:val="31"/>
          <w:rFonts w:hint="eastAsia" w:ascii="方正小标宋_GBK" w:hAnsi="方正小标宋_GBK" w:eastAsia="方正小标宋_GBK" w:cs="方正小标宋_GBK"/>
          <w:b w:val="0"/>
          <w:bCs w:val="0"/>
          <w:color w:val="auto"/>
          <w:sz w:val="44"/>
          <w:szCs w:val="44"/>
          <w:highlight w:val="none"/>
        </w:rPr>
        <w:t>概况</w:t>
      </w:r>
      <w:bookmarkEnd w:id="6"/>
      <w:bookmarkEnd w:id="7"/>
      <w:bookmarkEnd w:id="8"/>
    </w:p>
    <w:p w14:paraId="71FFFD2B">
      <w:pPr>
        <w:pStyle w:val="4"/>
        <w:pageBreakBefore w:val="0"/>
        <w:kinsoku/>
        <w:wordWrap/>
        <w:overflowPunct/>
        <w:topLinePunct w:val="0"/>
        <w:autoSpaceDE/>
        <w:autoSpaceDN/>
        <w:bidi w:val="0"/>
        <w:spacing w:before="0" w:after="0" w:line="560" w:lineRule="exact"/>
        <w:ind w:firstLine="640" w:firstLineChars="200"/>
        <w:textAlignment w:val="auto"/>
        <w:outlineLvl w:val="1"/>
        <w:rPr>
          <w:rFonts w:hint="eastAsia" w:ascii="黑体" w:hAnsi="黑体" w:eastAsia="黑体" w:cs="黑体"/>
          <w:b w:val="0"/>
          <w:bCs w:val="0"/>
          <w:kern w:val="0"/>
          <w:sz w:val="32"/>
          <w:szCs w:val="32"/>
          <w:highlight w:val="none"/>
          <w:lang w:val="en-US" w:eastAsia="zh-CN" w:bidi="ar-SA"/>
        </w:rPr>
      </w:pPr>
      <w:bookmarkStart w:id="9" w:name="_Toc15396600"/>
      <w:bookmarkStart w:id="10" w:name="_Toc15377197"/>
      <w:bookmarkStart w:id="11" w:name="_Toc13880"/>
      <w:r>
        <w:rPr>
          <w:rFonts w:hint="eastAsia" w:ascii="黑体" w:hAnsi="黑体" w:eastAsia="黑体" w:cs="黑体"/>
          <w:b w:val="0"/>
          <w:bCs w:val="0"/>
          <w:kern w:val="0"/>
          <w:sz w:val="32"/>
          <w:szCs w:val="32"/>
          <w:highlight w:val="none"/>
          <w:lang w:val="en-US" w:eastAsia="zh-CN" w:bidi="ar-SA"/>
        </w:rPr>
        <w:t>一、</w:t>
      </w:r>
      <w:bookmarkEnd w:id="9"/>
      <w:bookmarkEnd w:id="10"/>
      <w:r>
        <w:rPr>
          <w:rFonts w:hint="eastAsia" w:ascii="黑体" w:hAnsi="黑体" w:eastAsia="黑体" w:cs="黑体"/>
          <w:b w:val="0"/>
          <w:bCs w:val="0"/>
          <w:kern w:val="0"/>
          <w:sz w:val="32"/>
          <w:szCs w:val="32"/>
          <w:highlight w:val="none"/>
          <w:lang w:val="en-US" w:eastAsia="zh-CN" w:bidi="ar-SA"/>
        </w:rPr>
        <w:t>单位职责</w:t>
      </w:r>
      <w:bookmarkEnd w:id="11"/>
    </w:p>
    <w:p w14:paraId="0757DD8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bookmarkStart w:id="12" w:name="_Toc15377200"/>
      <w:bookmarkStart w:id="13" w:name="_Toc1296"/>
      <w:bookmarkStart w:id="14" w:name="_Toc15396601"/>
      <w:r>
        <w:rPr>
          <w:rFonts w:hint="eastAsia" w:ascii="Times New Roman" w:hAnsi="Times New Roman" w:eastAsia="仿宋_GB2312" w:cs="Times New Roman"/>
          <w:b w:val="0"/>
          <w:bCs w:val="0"/>
          <w:kern w:val="0"/>
          <w:sz w:val="32"/>
          <w:szCs w:val="32"/>
          <w:highlight w:val="none"/>
          <w:lang w:val="en-US" w:eastAsia="zh-CN" w:bidi="ar-SA"/>
        </w:rPr>
        <w:t>1.贯彻落实国家、省有关国内外贸易和会展经济有关领域的法律法规和方针政策，组织拟订全州商务领域自治法规和政策，制定全州商务发展规划、年度计划并组织实施。</w:t>
      </w:r>
    </w:p>
    <w:p w14:paraId="59E39BE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2.承担全州服务业发展工作中组织实施的协调职责，推进流通产业结构调整和服务业重大项目建设，推动商贸服务业和社区商业发展，提出促进商贸企业发展的政策建议，推动流通标准化和连锁经营、商业特许经营、物流配送、电子商务等现代流通方式的发展。</w:t>
      </w:r>
    </w:p>
    <w:p w14:paraId="1E65028D">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3.编制大宗产品批发市场规划，指导城市商业网点规划和商业体系建设工作，推进农村市场体系建设，组织实施农村现代流通网络工程，促进城乡市场一体化发展。推动商务领域信用建设，指导商业信用销售，建立市场诚信公共服务平台。</w:t>
      </w:r>
    </w:p>
    <w:p w14:paraId="03DA7EB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4.承担组织实施重要消费品市场调控和重要生产资料流通管理的责任，监测分析市场运行、商品供求状况，调查分析商品价格信息，进行预测预警和信息引导。按职责负责重要消费品的储备管理。</w:t>
      </w:r>
    </w:p>
    <w:p w14:paraId="735948D0">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5.指导对外贸易行业执行国家进出口商品、加工贸易管理办法和进出口管理商品、技术目录，组织实施重要工业品、原材料和重要农产品进出口计划，会同有关部门协调大宗进出口商品和出口加工区的业务工作，指导贸易促进活动和外贸促进体系建设。按职责指导协调州内各经济技术开发区的有关工作。</w:t>
      </w:r>
    </w:p>
    <w:p w14:paraId="7E72ED1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6.依法监督技术引进、设备进口、国家限制出口技术的工作，推进进出口贸易标准化工作，牵头负责发展服务贸易的相关工作，推动服务外包平台建设。</w:t>
      </w:r>
    </w:p>
    <w:p w14:paraId="5B9B4EE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7.承担组织协调反倾销、反补贴、保障措施和技术性贸易壁垒等与进出口公平贸易相关工作的责任，建立进出口公平贸易预警机制，牵头开展对外贸易调查、产业损害调查，指导协调产业安全应对、企业在国外对我州出口商品的反倾销、反补贴、保障措施的应诉工作，负责世界贸易组织涉及我州有关工作。</w:t>
      </w:r>
    </w:p>
    <w:p w14:paraId="512C22E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8.贯彻落实国家、省应对经济全球化、区域经济合作的对策措施。加强与自由贸易区、“一带一路”沿线地区、港澳台地区的商贸合作。推进贸易和投资便利化。</w:t>
      </w:r>
    </w:p>
    <w:p w14:paraId="15FBD12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9.依法管理和监督对外承包工程、对外劳务合作和出境就业等，承担境外投资管理的责任。牵头负责外派劳务和赴境外就业人员的权益维护工作。组织管理多双边对我州的无偿援助和赠款（不含财政合作项目下外国政府及国际金融组织对我州赠款）等发展合作业务。</w:t>
      </w:r>
    </w:p>
    <w:p w14:paraId="10B9785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10.州赴境外举办的各种商品交易和经贸推介活动，指导监督管理以阿坝州名义在境内举办的各种商贸交易会、展览会、展销会等活动。推动全州会展经济发展促进工作，承担州委、州政府交办的会展活动。</w:t>
      </w:r>
    </w:p>
    <w:p w14:paraId="293B55C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11.职责范围内的安全生产、职业健康、生态环境保护、公共机构节能减排、审批服务便民化工作。</w:t>
      </w:r>
    </w:p>
    <w:p w14:paraId="33E5614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12.州委和州政府交办的其他任务。</w:t>
      </w:r>
    </w:p>
    <w:p w14:paraId="25D58AC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20"/>
        <w:textAlignment w:val="auto"/>
        <w:rPr>
          <w:rStyle w:val="32"/>
          <w:rFonts w:ascii="Times New Roman" w:hAnsi="Times New Roman"/>
          <w:b w:val="0"/>
          <w:bCs w:val="0"/>
          <w:color w:val="auto"/>
          <w:sz w:val="32"/>
          <w:szCs w:val="32"/>
          <w:highlight w:val="none"/>
        </w:rPr>
      </w:pPr>
      <w:r>
        <w:rPr>
          <w:rFonts w:hint="eastAsia" w:ascii="Times New Roman" w:hAnsi="Times New Roman" w:eastAsia="黑体"/>
          <w:b w:val="0"/>
          <w:color w:val="auto"/>
          <w:sz w:val="32"/>
          <w:szCs w:val="32"/>
          <w:highlight w:val="none"/>
        </w:rPr>
        <w:t>二、机</w:t>
      </w:r>
      <w:r>
        <w:rPr>
          <w:rStyle w:val="32"/>
          <w:rFonts w:hint="eastAsia" w:ascii="Times New Roman" w:hAnsi="Times New Roman" w:eastAsia="黑体"/>
          <w:b w:val="0"/>
          <w:bCs w:val="0"/>
          <w:color w:val="auto"/>
          <w:sz w:val="32"/>
          <w:szCs w:val="32"/>
          <w:highlight w:val="none"/>
        </w:rPr>
        <w:t>构设置</w:t>
      </w:r>
      <w:bookmarkEnd w:id="12"/>
      <w:bookmarkEnd w:id="13"/>
      <w:bookmarkEnd w:id="14"/>
    </w:p>
    <w:p w14:paraId="3DE87EA1">
      <w:pPr>
        <w:pageBreakBefore w:val="0"/>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Times New Roman"/>
          <w:b w:val="0"/>
          <w:bCs w:val="0"/>
          <w:kern w:val="0"/>
          <w:sz w:val="32"/>
          <w:szCs w:val="32"/>
          <w:highlight w:val="none"/>
          <w:lang w:eastAsia="zh-CN"/>
        </w:rPr>
        <w:t>阿坝州商务局</w:t>
      </w:r>
      <w:r>
        <w:rPr>
          <w:rFonts w:hint="eastAsia" w:eastAsia="仿宋_GB2312" w:cs="Times New Roman"/>
          <w:b w:val="0"/>
          <w:bCs w:val="0"/>
          <w:kern w:val="0"/>
          <w:sz w:val="32"/>
          <w:szCs w:val="32"/>
          <w:highlight w:val="none"/>
          <w:lang w:val="en-US" w:eastAsia="zh-CN"/>
        </w:rPr>
        <w:t>本级</w:t>
      </w:r>
      <w:r>
        <w:rPr>
          <w:rFonts w:hint="eastAsia" w:ascii="Times New Roman" w:hAnsi="Times New Roman" w:eastAsia="仿宋_GB2312" w:cs="仿宋_GB2312"/>
          <w:color w:val="auto"/>
          <w:sz w:val="32"/>
          <w:szCs w:val="32"/>
          <w:highlight w:val="none"/>
        </w:rPr>
        <w:t>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w:t>
      </w:r>
      <w:r>
        <w:rPr>
          <w:rFonts w:hint="eastAsia" w:eastAsia="仿宋_GB2312" w:cs="仿宋_GB2312"/>
          <w:color w:val="auto"/>
          <w:sz w:val="32"/>
          <w:szCs w:val="32"/>
          <w:highlight w:val="none"/>
          <w:lang w:val="en-US" w:eastAsia="zh-CN"/>
        </w:rPr>
        <w:t>社会群团</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49CDDB14">
      <w:pPr>
        <w:pStyle w:val="8"/>
        <w:pageBreakBefore w:val="0"/>
        <w:kinsoku/>
        <w:wordWrap/>
        <w:overflowPunct/>
        <w:topLinePunct w:val="0"/>
        <w:autoSpaceDE/>
        <w:autoSpaceDN/>
        <w:bidi w:val="0"/>
        <w:adjustRightInd w:val="0"/>
        <w:snapToGrid w:val="0"/>
        <w:spacing w:beforeLines="0" w:line="560" w:lineRule="exact"/>
        <w:ind w:firstLine="672" w:firstLineChars="210"/>
        <w:textAlignment w:val="auto"/>
        <w:outlineLvl w:val="9"/>
        <w:rPr>
          <w:rFonts w:hint="default" w:ascii="Times New Roman" w:hAnsi="Times New Roman" w:eastAsia="仿宋_GB2312" w:cs="仿宋_GB2312"/>
          <w:color w:val="auto"/>
          <w:sz w:val="32"/>
          <w:szCs w:val="32"/>
          <w:highlight w:val="none"/>
          <w:lang w:val="en-US"/>
        </w:rPr>
      </w:pPr>
      <w:r>
        <w:rPr>
          <w:rFonts w:hint="eastAsia" w:ascii="Times New Roman" w:cs="仿宋_GB2312"/>
          <w:color w:val="auto"/>
          <w:sz w:val="32"/>
          <w:szCs w:val="32"/>
          <w:highlight w:val="none"/>
          <w:lang w:val="en-US" w:eastAsia="zh-CN"/>
        </w:rPr>
        <w:t>需要说明的情况:2025年下属参公群团机构</w:t>
      </w:r>
      <w:r>
        <w:rPr>
          <w:rFonts w:hint="eastAsia" w:ascii="Times New Roman" w:hAnsi="Times New Roman" w:eastAsia="仿宋_GB2312" w:cs="仿宋_GB2312"/>
          <w:color w:val="auto"/>
          <w:sz w:val="32"/>
          <w:szCs w:val="32"/>
          <w:highlight w:val="none"/>
        </w:rPr>
        <w:t>纳入</w:t>
      </w:r>
      <w:r>
        <w:rPr>
          <w:rFonts w:hint="eastAsia" w:ascii="Times New Roman" w:cs="Times New Roman"/>
          <w:b w:val="0"/>
          <w:bCs w:val="0"/>
          <w:kern w:val="0"/>
          <w:sz w:val="32"/>
          <w:szCs w:val="32"/>
          <w:highlight w:val="none"/>
          <w:lang w:eastAsia="zh-CN"/>
        </w:rPr>
        <w:t>阿坝州商务局</w:t>
      </w:r>
      <w:r>
        <w:rPr>
          <w:rFonts w:hint="eastAsia" w:ascii="Times New Roman" w:cs="Times New Roman"/>
          <w:b w:val="0"/>
          <w:bCs w:val="0"/>
          <w:kern w:val="0"/>
          <w:sz w:val="32"/>
          <w:szCs w:val="32"/>
          <w:highlight w:val="none"/>
          <w:lang w:val="en-US" w:eastAsia="zh-CN"/>
        </w:rPr>
        <w:t>本级核算，下属事业单位2025年无人员，无相关预算。</w:t>
      </w:r>
    </w:p>
    <w:p w14:paraId="24B67860">
      <w:pPr>
        <w:pStyle w:val="3"/>
        <w:pageBreakBefore w:val="0"/>
        <w:widowControl w:val="0"/>
        <w:numPr>
          <w:ilvl w:val="0"/>
          <w:numId w:val="0"/>
        </w:numPr>
        <w:kinsoku/>
        <w:wordWrap/>
        <w:overflowPunct/>
        <w:topLinePunct w:val="0"/>
        <w:autoSpaceDE/>
        <w:autoSpaceDN/>
        <w:bidi w:val="0"/>
        <w:adjustRightInd/>
        <w:snapToGrid/>
        <w:spacing w:before="0" w:after="0" w:line="560" w:lineRule="exact"/>
        <w:ind w:firstLine="880" w:firstLineChars="200"/>
        <w:jc w:val="both"/>
        <w:textAlignment w:val="auto"/>
        <w:outlineLvl w:val="0"/>
        <w:rPr>
          <w:rFonts w:hint="eastAsia" w:ascii="方正小标宋_GBK" w:hAnsi="方正小标宋_GBK" w:eastAsia="方正小标宋_GBK" w:cs="方正小标宋_GBK"/>
          <w:b w:val="0"/>
          <w:color w:val="auto"/>
          <w:highlight w:val="none"/>
        </w:rPr>
      </w:pPr>
      <w:bookmarkStart w:id="15" w:name="_Toc19438"/>
      <w:bookmarkStart w:id="16" w:name="_Toc15396602"/>
      <w:bookmarkStart w:id="17" w:name="_Toc15377204"/>
      <w:r>
        <w:rPr>
          <w:rFonts w:hint="eastAsia" w:ascii="方正小标宋_GBK" w:hAnsi="方正小标宋_GBK" w:eastAsia="方正小标宋_GBK" w:cs="方正小标宋_GBK"/>
          <w:b w:val="0"/>
          <w:color w:val="auto"/>
          <w:highlight w:val="none"/>
          <w:lang w:val="en-US" w:eastAsia="zh-CN"/>
        </w:rPr>
        <w:t>第二部分</w:t>
      </w:r>
      <w:r>
        <w:rPr>
          <w:rFonts w:hint="eastAsia" w:ascii="方正小标宋_GBK" w:hAnsi="方正小标宋_GBK" w:eastAsia="方正小标宋_GBK" w:cs="方正小标宋_GBK"/>
          <w:b w:val="0"/>
          <w:color w:val="auto"/>
          <w:highlight w:val="none"/>
        </w:rPr>
        <w:t xml:space="preserve"> </w:t>
      </w:r>
      <w:r>
        <w:rPr>
          <w:rFonts w:hint="eastAsia" w:ascii="方正小标宋_GBK" w:hAnsi="方正小标宋_GBK" w:eastAsia="方正小标宋_GBK" w:cs="方正小标宋_GBK"/>
          <w:b w:val="0"/>
          <w:color w:val="auto"/>
          <w:highlight w:val="none"/>
          <w:lang w:val="en-US" w:eastAsia="zh-CN"/>
        </w:rPr>
        <w:t>2025年度单位</w:t>
      </w:r>
      <w:r>
        <w:rPr>
          <w:rFonts w:hint="eastAsia" w:ascii="方正小标宋_GBK" w:hAnsi="方正小标宋_GBK" w:eastAsia="方正小标宋_GBK" w:cs="方正小标宋_GBK"/>
          <w:b w:val="0"/>
          <w:color w:val="auto"/>
          <w:highlight w:val="none"/>
        </w:rPr>
        <w:t>决算情况说明</w:t>
      </w:r>
      <w:bookmarkEnd w:id="15"/>
      <w:bookmarkEnd w:id="16"/>
      <w:bookmarkEnd w:id="17"/>
      <w:bookmarkStart w:id="18" w:name="_Toc15377205"/>
      <w:bookmarkStart w:id="19" w:name="_Toc15396603"/>
      <w:bookmarkStart w:id="20" w:name="_Toc31314"/>
    </w:p>
    <w:p w14:paraId="15EAEF13">
      <w:pPr>
        <w:pStyle w:val="3"/>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outlineLvl w:val="0"/>
        <w:rPr>
          <w:rStyle w:val="32"/>
          <w:rFonts w:hint="eastAsia" w:ascii="Times New Roman" w:hAnsi="Times New Roman" w:eastAsia="黑体"/>
          <w:b w:val="0"/>
          <w:bCs/>
          <w:color w:val="auto"/>
          <w:highlight w:val="none"/>
          <w:lang w:eastAsia="zh-CN"/>
        </w:rPr>
      </w:pPr>
    </w:p>
    <w:p w14:paraId="08D37E52">
      <w:pPr>
        <w:pStyle w:val="3"/>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outlineLvl w:val="0"/>
        <w:rPr>
          <w:rStyle w:val="32"/>
          <w:rFonts w:hint="eastAsia" w:ascii="Times New Roman" w:hAnsi="Times New Roman" w:eastAsia="黑体"/>
          <w:b w:val="0"/>
          <w:bCs/>
          <w:color w:val="auto"/>
          <w:highlight w:val="none"/>
        </w:rPr>
      </w:pPr>
      <w:r>
        <w:rPr>
          <w:rStyle w:val="32"/>
          <w:rFonts w:hint="eastAsia" w:ascii="Times New Roman" w:hAnsi="Times New Roman" w:eastAsia="黑体"/>
          <w:b w:val="0"/>
          <w:bCs/>
          <w:color w:val="auto"/>
          <w:highlight w:val="none"/>
          <w:lang w:eastAsia="zh-CN"/>
        </w:rPr>
        <w:t>一、</w:t>
      </w:r>
      <w:r>
        <w:rPr>
          <w:rStyle w:val="32"/>
          <w:rFonts w:hint="eastAsia" w:ascii="Times New Roman" w:hAnsi="Times New Roman" w:eastAsia="黑体"/>
          <w:b w:val="0"/>
          <w:bCs/>
          <w:color w:val="auto"/>
          <w:highlight w:val="none"/>
        </w:rPr>
        <w:t>收入支出决算总体情况说明</w:t>
      </w:r>
      <w:bookmarkEnd w:id="18"/>
      <w:bookmarkEnd w:id="19"/>
      <w:bookmarkEnd w:id="20"/>
    </w:p>
    <w:p w14:paraId="0047674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4738.25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74.74</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1.6</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一是2025年下属参公单位纳入本级核算。二是2025年参加第二十届西博会经费518.27万元，故项目支出总额较2024年增长</w:t>
      </w:r>
      <w:r>
        <w:rPr>
          <w:rFonts w:hint="eastAsia" w:ascii="仿宋_GB2312" w:hAnsi="仿宋_GB2312" w:eastAsia="仿宋_GB2312" w:cs="仿宋_GB2312"/>
          <w:sz w:val="32"/>
          <w:szCs w:val="32"/>
          <w:highlight w:val="none"/>
          <w:lang w:val="en-US" w:eastAsia="zh-CN"/>
        </w:rPr>
        <w:t>。</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20121"/>
      <w:bookmarkStart w:id="23" w:name="_Toc15377206"/>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4" w:name="_Toc15377207"/>
      <w:bookmarkStart w:id="25" w:name="_Toc15396605"/>
      <w:bookmarkStart w:id="26" w:name="_Toc1487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4"/>
      <w:bookmarkEnd w:id="25"/>
      <w:bookmarkEnd w:id="26"/>
    </w:p>
    <w:p w14:paraId="265AC5D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953.07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3785.19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80</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2"/>
          <w:rFonts w:ascii="Times New Roman" w:hAnsi="Times New Roman" w:eastAsia="黑体"/>
          <w:b w:val="0"/>
          <w:color w:val="auto"/>
          <w:highlight w:val="none"/>
        </w:rPr>
      </w:pPr>
      <w:bookmarkStart w:id="27" w:name="_Toc15377208"/>
      <w:bookmarkStart w:id="28" w:name="_Toc27251"/>
      <w:bookmarkStart w:id="2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7"/>
      <w:bookmarkEnd w:id="28"/>
      <w:bookmarkEnd w:id="29"/>
    </w:p>
    <w:p w14:paraId="37C958CF">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4738.25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74.74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1.6</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val="en-US" w:eastAsia="zh-CN"/>
        </w:rPr>
        <w:t>一是2025年下属参公单位纳入本级核算。二是2025年增加“参加第二十届西博会经费”518.27万元，故项目支出总额较2024年增长</w:t>
      </w:r>
      <w:r>
        <w:rPr>
          <w:rFonts w:hint="eastAsia" w:ascii="仿宋_GB2312" w:hAnsi="仿宋_GB2312" w:eastAsia="仿宋_GB2312" w:cs="仿宋_GB2312"/>
          <w:sz w:val="32"/>
          <w:szCs w:val="32"/>
          <w:highlight w:val="none"/>
          <w:lang w:val="en-US" w:eastAsia="zh-CN"/>
        </w:rPr>
        <w:t>。</w:t>
      </w:r>
    </w:p>
    <w:p w14:paraId="47B10279">
      <w:pPr>
        <w:pStyle w:val="16"/>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152390" cy="2474595"/>
            <wp:effectExtent l="4445" t="4445" r="5715" b="1651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2"/>
          <w:rFonts w:ascii="Times New Roman" w:hAnsi="Times New Roman" w:eastAsia="黑体"/>
          <w:b w:val="0"/>
          <w:color w:val="auto"/>
          <w:highlight w:val="none"/>
        </w:rPr>
      </w:pPr>
      <w:bookmarkStart w:id="30" w:name="_Toc15396607"/>
      <w:bookmarkStart w:id="31" w:name="_Toc15614"/>
      <w:bookmarkStart w:id="3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6AE4BCB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74.74</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val="en-US" w:eastAsia="zh-CN"/>
        </w:rPr>
        <w:t>一是2025年下属参公单位纳入本级核算。二是2025年增加“参加第二十届西博会经费”518.27万元，故项目支出总额较2024年增长</w:t>
      </w:r>
      <w:r>
        <w:rPr>
          <w:rFonts w:hint="eastAsia" w:ascii="仿宋_GB2312" w:hAnsi="仿宋_GB2312" w:eastAsia="仿宋_GB2312" w:cs="仿宋_GB2312"/>
          <w:sz w:val="32"/>
          <w:szCs w:val="32"/>
          <w:highlight w:val="none"/>
          <w:lang w:val="en-US" w:eastAsia="zh-CN"/>
        </w:rPr>
        <w:t>。</w:t>
      </w:r>
    </w:p>
    <w:p w14:paraId="5176ACCA">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69D9ADD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2025年度一般公共预算财政拨款支出4738.25万元，主要用于以下方面：一般公共服务支出4531.68万元，占95.6%；社会保障和就业支出109.12万元，占2.3%；卫生健康支出41.69万元，占0.</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%；住房保障支出55.77万元，占1.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p>
    <w:p w14:paraId="1D206B98">
      <w:pPr>
        <w:pStyle w:val="16"/>
        <w:rPr>
          <w:rFonts w:hint="eastAsia"/>
          <w:highlight w:val="none"/>
          <w:lang w:val="en-US" w:eastAsia="zh-CN"/>
        </w:rPr>
      </w:pPr>
    </w:p>
    <w:p w14:paraId="1128E98B">
      <w:pPr>
        <w:pStyle w:val="10"/>
        <w:ind w:left="0" w:leftChars="0" w:firstLine="0" w:firstLineChars="0"/>
        <w:outlineLvl w:val="9"/>
        <w:rPr>
          <w:rFonts w:hint="eastAsia"/>
          <w:highlight w:val="none"/>
          <w:lang w:val="en-US" w:eastAsia="zh-CN"/>
        </w:rPr>
      </w:pPr>
    </w:p>
    <w:p w14:paraId="360E76A0">
      <w:pPr>
        <w:pStyle w:val="10"/>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8460"/>
      <w:bookmarkStart w:id="37" w:name="_Toc15377213"/>
      <w:bookmarkStart w:id="38"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42D5145D">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）行政运行（01）:支出决算为</w:t>
      </w:r>
      <w:r>
        <w:rPr>
          <w:rFonts w:hint="eastAsia" w:eastAsia="仿宋_GB2312" w:cs="仿宋_GB2312"/>
          <w:color w:val="auto"/>
          <w:kern w:val="2"/>
          <w:sz w:val="32"/>
          <w:szCs w:val="32"/>
          <w:highlight w:val="none"/>
          <w:lang w:val="en-US" w:eastAsia="zh-CN" w:bidi="ar-SA"/>
        </w:rPr>
        <w:t>746.49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74FAFDD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）一般行政管理事务（02）:支出决算为</w:t>
      </w:r>
      <w:r>
        <w:rPr>
          <w:rFonts w:hint="eastAsia" w:eastAsia="仿宋_GB2312" w:cs="仿宋_GB2312"/>
          <w:color w:val="auto"/>
          <w:kern w:val="2"/>
          <w:sz w:val="32"/>
          <w:szCs w:val="32"/>
          <w:highlight w:val="none"/>
          <w:lang w:val="en-US" w:eastAsia="zh-CN" w:bidi="ar-SA"/>
        </w:rPr>
        <w:t>258.41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6EF04AF6">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）国内贸易管理（07）:支出决算为</w:t>
      </w:r>
      <w:r>
        <w:rPr>
          <w:rFonts w:hint="eastAsia" w:eastAsia="仿宋_GB2312" w:cs="仿宋_GB2312"/>
          <w:color w:val="auto"/>
          <w:kern w:val="2"/>
          <w:sz w:val="32"/>
          <w:szCs w:val="32"/>
          <w:highlight w:val="none"/>
          <w:lang w:val="en-US" w:eastAsia="zh-CN" w:bidi="ar-SA"/>
        </w:rPr>
        <w:t>19.96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55AC1E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）招商引资（08）:支出决算为</w:t>
      </w:r>
      <w:r>
        <w:rPr>
          <w:rFonts w:hint="eastAsia" w:eastAsia="仿宋_GB2312" w:cs="仿宋_GB2312"/>
          <w:color w:val="auto"/>
          <w:kern w:val="2"/>
          <w:sz w:val="32"/>
          <w:szCs w:val="32"/>
          <w:highlight w:val="none"/>
          <w:lang w:val="en-US" w:eastAsia="zh-CN" w:bidi="ar-SA"/>
        </w:rPr>
        <w:t>50.67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144184B9">
      <w:pPr>
        <w:numPr>
          <w:ilvl w:val="0"/>
          <w:numId w:val="1"/>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）其他商贸事务支出（99）:支出决算为</w:t>
      </w:r>
      <w:r>
        <w:rPr>
          <w:rFonts w:hint="eastAsia" w:eastAsia="仿宋_GB2312" w:cs="仿宋_GB2312"/>
          <w:color w:val="auto"/>
          <w:kern w:val="2"/>
          <w:sz w:val="32"/>
          <w:szCs w:val="32"/>
          <w:highlight w:val="none"/>
          <w:lang w:val="en-US" w:eastAsia="zh-CN" w:bidi="ar-SA"/>
        </w:rPr>
        <w:t>3456.14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FC3AF1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74.84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6C22E9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34.28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3478D8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w:t>
      </w:r>
      <w:r>
        <w:rPr>
          <w:rFonts w:hint="eastAsia" w:eastAsia="仿宋_GB2312" w:cs="仿宋_GB2312"/>
          <w:color w:val="auto"/>
          <w:kern w:val="2"/>
          <w:sz w:val="32"/>
          <w:szCs w:val="32"/>
          <w:highlight w:val="none"/>
          <w:lang w:val="en-US" w:eastAsia="zh-CN" w:bidi="ar-SA"/>
        </w:rPr>
        <w:t>32.90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209C673">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w:t>
      </w:r>
      <w:r>
        <w:rPr>
          <w:rFonts w:hint="eastAsia" w:eastAsia="仿宋_GB2312" w:cs="仿宋_GB2312"/>
          <w:color w:val="auto"/>
          <w:kern w:val="2"/>
          <w:sz w:val="32"/>
          <w:szCs w:val="32"/>
          <w:highlight w:val="none"/>
          <w:lang w:val="en-US" w:eastAsia="zh-CN" w:bidi="ar-SA"/>
        </w:rPr>
        <w:t>8.78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FFAFEC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55.77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2"/>
          <w:rFonts w:ascii="Times New Roman" w:hAnsi="Times New Roman"/>
          <w:color w:val="auto"/>
          <w:highlight w:val="none"/>
        </w:rPr>
      </w:pPr>
      <w:bookmarkStart w:id="39" w:name="_Toc9770"/>
      <w:bookmarkStart w:id="40" w:name="_Toc15396608"/>
      <w:bookmarkStart w:id="4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9"/>
      <w:bookmarkEnd w:id="40"/>
      <w:bookmarkEnd w:id="41"/>
      <w:r>
        <w:rPr>
          <w:rStyle w:val="32"/>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953.07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81D479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843.12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109.95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水费、电费、邮电费、物业管理费、差旅费、维修（护）费、租赁费、会议费、培训费、公务接待费、劳务费、委托业务费、公务用车运行维护费、其他交通费、其他商品和服务支出、办公设备购置、专用设备购置、信息网络及软件购置更新等。</w:t>
      </w:r>
    </w:p>
    <w:p w14:paraId="032232BB">
      <w:pPr>
        <w:spacing w:line="600" w:lineRule="exact"/>
        <w:ind w:firstLine="640"/>
        <w:outlineLvl w:val="1"/>
        <w:rPr>
          <w:rStyle w:val="32"/>
          <w:rFonts w:ascii="Times New Roman" w:hAnsi="Times New Roman" w:eastAsia="黑体"/>
          <w:b w:val="0"/>
          <w:color w:val="auto"/>
          <w:highlight w:val="none"/>
        </w:rPr>
      </w:pPr>
      <w:bookmarkStart w:id="42" w:name="_Toc15377215"/>
      <w:bookmarkStart w:id="43" w:name="_Toc26098"/>
      <w:bookmarkStart w:id="44"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35.81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68.46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65.7</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35.77</w:t>
      </w:r>
      <w:r>
        <w:rPr>
          <w:rFonts w:hint="eastAsia" w:ascii="仿宋_GB2312" w:hAnsi="仿宋_GB2312" w:eastAsia="仿宋_GB2312" w:cs="仿宋_GB2312"/>
          <w:color w:val="auto"/>
          <w:kern w:val="2"/>
          <w:sz w:val="32"/>
          <w:szCs w:val="32"/>
          <w:highlight w:val="none"/>
          <w:lang w:val="en-US" w:eastAsia="zh-CN" w:bidi="ar-SA"/>
        </w:rPr>
        <w:t>万元，占99.9%；公务接待费支出决算</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color w:val="auto"/>
          <w:kern w:val="2"/>
          <w:sz w:val="32"/>
          <w:szCs w:val="32"/>
          <w:highlight w:val="none"/>
          <w:lang w:val="en-US" w:eastAsia="zh-CN" w:bidi="ar-SA"/>
        </w:rPr>
        <w:t>万元，占0.1%。具体情况如下：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EBFD8EE">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35.77</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68.5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65.7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w:t>
      </w:r>
      <w:r>
        <w:rPr>
          <w:rFonts w:hint="eastAsia" w:ascii="Times New Roman" w:hAnsi="Times New Roman" w:eastAsia="仿宋_GB2312" w:cs="仿宋_GB2312"/>
          <w:color w:val="auto"/>
          <w:kern w:val="2"/>
          <w:sz w:val="32"/>
          <w:szCs w:val="32"/>
          <w:highlight w:val="none"/>
          <w:lang w:val="en-US" w:eastAsia="zh-CN" w:bidi="ar-SA"/>
        </w:rPr>
        <w:t>公务用车购置</w:t>
      </w:r>
      <w:r>
        <w:rPr>
          <w:rFonts w:hint="eastAsia" w:eastAsia="仿宋_GB2312" w:cs="仿宋_GB2312"/>
          <w:color w:val="auto"/>
          <w:kern w:val="2"/>
          <w:sz w:val="32"/>
          <w:szCs w:val="32"/>
          <w:highlight w:val="none"/>
          <w:lang w:val="en-US" w:eastAsia="zh-CN" w:bidi="ar-SA"/>
        </w:rPr>
        <w:t>支出较2024年减少65.09万元，下降100%，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本年度较上年度无公车购置</w:t>
      </w:r>
      <w:r>
        <w:rPr>
          <w:rFonts w:hint="eastAsia" w:eastAsia="仿宋_GB2312" w:cs="仿宋_GB2312"/>
          <w:color w:val="auto"/>
          <w:kern w:val="2"/>
          <w:sz w:val="32"/>
          <w:szCs w:val="32"/>
          <w:highlight w:val="none"/>
          <w:lang w:val="en-US" w:eastAsia="zh-CN" w:bidi="ar-SA"/>
        </w:rPr>
        <w:t>；公车</w:t>
      </w:r>
      <w:r>
        <w:rPr>
          <w:rFonts w:hint="eastAsia" w:ascii="Times New Roman" w:hAnsi="Times New Roman" w:eastAsia="仿宋_GB2312" w:cs="仿宋_GB2312"/>
          <w:color w:val="auto"/>
          <w:kern w:val="2"/>
          <w:sz w:val="32"/>
          <w:szCs w:val="32"/>
          <w:highlight w:val="none"/>
          <w:lang w:val="en-US" w:eastAsia="zh-CN" w:bidi="ar-SA"/>
        </w:rPr>
        <w:t>运行维护费支出</w:t>
      </w:r>
      <w:r>
        <w:rPr>
          <w:rFonts w:hint="eastAsia" w:eastAsia="仿宋_GB2312" w:cs="仿宋_GB2312"/>
          <w:color w:val="auto"/>
          <w:kern w:val="2"/>
          <w:sz w:val="32"/>
          <w:szCs w:val="32"/>
          <w:highlight w:val="none"/>
          <w:lang w:val="en-US" w:eastAsia="zh-CN" w:bidi="ar-SA"/>
        </w:rPr>
        <w:t>较2024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3.41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8.7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，主要原因是2025年因机构改革，划转一辆公车。</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35.77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0.04</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pacing w:line="600" w:lineRule="exact"/>
        <w:ind w:firstLine="640"/>
        <w:outlineLvl w:val="1"/>
        <w:rPr>
          <w:rStyle w:val="32"/>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50" w:name="_Toc15396611"/>
      <w:bookmarkStart w:id="51" w:name="_Toc9897"/>
      <w:bookmarkStart w:id="52"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3" w:name="_Toc15396612"/>
      <w:bookmarkStart w:id="54" w:name="_Toc15377221"/>
      <w:bookmarkStart w:id="55" w:name="_Toc8130"/>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109.95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58.99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34.9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本年度较上年度无公车购置。</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484.29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484.29</w:t>
      </w:r>
      <w:r>
        <w:rPr>
          <w:rFonts w:hint="eastAsia" w:ascii="仿宋_GB2312" w:hAnsi="仿宋_GB2312" w:eastAsia="仿宋_GB2312" w:cs="仿宋_GB2312"/>
          <w:color w:val="auto"/>
          <w:kern w:val="2"/>
          <w:sz w:val="32"/>
          <w:szCs w:val="32"/>
          <w:highlight w:val="none"/>
          <w:lang w:val="en-US" w:eastAsia="zh-CN" w:bidi="ar-SA"/>
        </w:rPr>
        <w:t>万元。主要用于日常工作所需的服务支出。授予中小企业合同金额</w:t>
      </w:r>
      <w:r>
        <w:rPr>
          <w:rFonts w:hint="eastAsia" w:ascii="仿宋_GB2312" w:hAnsi="仿宋_GB2312" w:eastAsia="仿宋_GB2312" w:cs="仿宋_GB2312"/>
          <w:sz w:val="32"/>
          <w:szCs w:val="32"/>
          <w:highlight w:val="none"/>
          <w:lang w:val="en-US" w:eastAsia="zh-CN"/>
        </w:rPr>
        <w:t>460.6</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95.1</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6277C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阿坝藏族羌族自治州商务局</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“促进消费恢复发展专项资金”</w:t>
      </w:r>
      <w:r>
        <w:rPr>
          <w:rFonts w:hint="eastAsia" w:ascii="Times New Roman" w:hAnsi="Times New Roman" w:eastAsia="仿宋_GB2312" w:cs="仿宋_GB2312"/>
          <w:color w:val="auto"/>
          <w:kern w:val="2"/>
          <w:sz w:val="32"/>
          <w:szCs w:val="32"/>
          <w:highlight w:val="none"/>
          <w:lang w:val="en-US" w:eastAsia="zh-CN" w:bidi="ar-SA"/>
        </w:rPr>
        <w:t>项目开展了预算事前绩效评估，对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A10F133">
      <w:pPr>
        <w:spacing w:line="600" w:lineRule="exact"/>
        <w:ind w:firstLine="640"/>
        <w:outlineLvl w:val="9"/>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等全面开展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_GB2312" w:hAnsi="仿宋_GB2312" w:eastAsia="仿宋_GB2312" w:cs="仿宋_GB2312"/>
          <w:sz w:val="32"/>
          <w:szCs w:val="32"/>
          <w:highlight w:val="none"/>
          <w:lang w:val="en-US" w:eastAsia="zh-CN"/>
        </w:rPr>
        <w:t>阿坝藏族羌族自治州商务局</w:t>
      </w:r>
      <w:r>
        <w:rPr>
          <w:rFonts w:hint="eastAsia" w:ascii="Times New Roman" w:hAnsi="Times New Roman" w:eastAsia="仿宋_GB2312" w:cs="仿宋_GB2312"/>
          <w:color w:val="auto"/>
          <w:kern w:val="2"/>
          <w:sz w:val="32"/>
          <w:szCs w:val="32"/>
          <w:highlight w:val="none"/>
          <w:lang w:val="en-US" w:eastAsia="zh-CN" w:bidi="ar-SA"/>
        </w:rPr>
        <w:t>部门整体自评报告</w:t>
      </w:r>
      <w:r>
        <w:rPr>
          <w:rFonts w:hint="eastAsia" w:eastAsia="仿宋_GB2312" w:cs="仿宋_GB2312"/>
          <w:color w:val="auto"/>
          <w:kern w:val="2"/>
          <w:sz w:val="32"/>
          <w:szCs w:val="32"/>
          <w:highlight w:val="none"/>
          <w:lang w:val="en-US" w:eastAsia="zh-CN" w:bidi="ar-SA"/>
        </w:rPr>
        <w:t>。组织对“促进消费恢复发展专项资金”等3个专项预算项目开展了绩效自评。部门整体</w:t>
      </w:r>
      <w:r>
        <w:rPr>
          <w:rFonts w:hint="eastAsia" w:ascii="Times New Roman" w:hAnsi="Times New Roman" w:eastAsia="仿宋_GB2312" w:cs="仿宋_GB2312"/>
          <w:color w:val="auto"/>
          <w:kern w:val="2"/>
          <w:sz w:val="32"/>
          <w:szCs w:val="32"/>
          <w:highlight w:val="none"/>
          <w:lang w:val="en-US" w:eastAsia="zh-CN" w:bidi="ar-SA"/>
        </w:rPr>
        <w:t>绩效自评报告</w:t>
      </w:r>
      <w:r>
        <w:rPr>
          <w:rFonts w:hint="eastAsia" w:eastAsia="仿宋_GB2312" w:cs="仿宋_GB2312"/>
          <w:color w:val="auto"/>
          <w:kern w:val="2"/>
          <w:sz w:val="32"/>
          <w:szCs w:val="32"/>
          <w:highlight w:val="none"/>
          <w:lang w:val="en-US" w:eastAsia="zh-CN" w:bidi="ar-SA"/>
        </w:rPr>
        <w:t>及部门特定目标类预算项目自评表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1，专项预算项目自评报告</w:t>
      </w:r>
      <w:r>
        <w:rPr>
          <w:rFonts w:hint="eastAsia" w:ascii="Times New Roman" w:hAnsi="Times New Roman" w:eastAsia="仿宋_GB2312" w:cs="仿宋_GB2312"/>
          <w:color w:val="auto"/>
          <w:kern w:val="2"/>
          <w:sz w:val="32"/>
          <w:szCs w:val="32"/>
          <w:highlight w:val="none"/>
          <w:lang w:val="en-US" w:eastAsia="zh-CN" w:bidi="ar-SA"/>
        </w:rPr>
        <w:t>见附件</w:t>
      </w:r>
      <w:r>
        <w:rPr>
          <w:rFonts w:hint="eastAsia" w:eastAsia="仿宋_GB2312" w:cs="仿宋_GB2312"/>
          <w:color w:val="auto"/>
          <w:kern w:val="2"/>
          <w:sz w:val="32"/>
          <w:szCs w:val="32"/>
          <w:highlight w:val="none"/>
          <w:lang w:val="en-US" w:eastAsia="zh-CN" w:bidi="ar-SA"/>
        </w:rPr>
        <w:t>2。</w:t>
      </w:r>
    </w:p>
    <w:p w14:paraId="7EFDDB9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15377225"/>
      <w:bookmarkStart w:id="60" w:name="_Toc15396613"/>
      <w:bookmarkStart w:id="61" w:name="_Toc190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2B1FDCD5">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p>
    <w:p w14:paraId="6B7BB26E">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D922F47">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7EB7EED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5AF314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232D4C9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38D32DC">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1D74F9F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B56474C">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273AC26F">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)行政运行(</w:t>
      </w:r>
      <w:r>
        <w:rPr>
          <w:rFonts w:hint="eastAsia" w:ascii="Times New Roman" w:hAnsi="Times New Roman" w:eastAsia="仿宋_GB2312" w:cs="Times New Roman"/>
          <w:color w:val="000000"/>
          <w:sz w:val="32"/>
          <w:szCs w:val="32"/>
          <w:lang w:val="en-US" w:eastAsia="zh-CN"/>
        </w:rPr>
        <w:t>01</w:t>
      </w:r>
      <w:r>
        <w:rPr>
          <w:rFonts w:hint="default" w:ascii="Times New Roman" w:hAnsi="Times New Roman" w:eastAsia="仿宋_GB2312" w:cs="Times New Roman"/>
          <w:color w:val="000000"/>
          <w:sz w:val="32"/>
          <w:szCs w:val="32"/>
        </w:rPr>
        <w:t>)：反映单位的基本支出。</w:t>
      </w:r>
    </w:p>
    <w:p w14:paraId="2BEFFA8A">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10.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)一般行政管理事务(</w:t>
      </w:r>
      <w:r>
        <w:rPr>
          <w:rFonts w:hint="eastAsia" w:ascii="Times New Roman" w:hAnsi="Times New Roman" w:eastAsia="仿宋_GB2312" w:cs="Times New Roman"/>
          <w:color w:val="000000"/>
          <w:sz w:val="32"/>
          <w:szCs w:val="32"/>
          <w:lang w:val="en-US" w:eastAsia="zh-CN"/>
        </w:rPr>
        <w:t>02</w:t>
      </w:r>
      <w:r>
        <w:rPr>
          <w:rFonts w:hint="default" w:ascii="Times New Roman" w:hAnsi="Times New Roman" w:eastAsia="仿宋_GB2312" w:cs="Times New Roman"/>
          <w:color w:val="000000"/>
          <w:sz w:val="32"/>
          <w:szCs w:val="32"/>
        </w:rPr>
        <w:t>)：反映未单独设置项级科目的其他项目支出。</w:t>
      </w:r>
    </w:p>
    <w:p w14:paraId="3F8E990C">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)国内贸易管理(</w:t>
      </w:r>
      <w:r>
        <w:rPr>
          <w:rFonts w:hint="eastAsia" w:ascii="Times New Roman" w:hAnsi="Times New Roman" w:eastAsia="仿宋_GB2312" w:cs="Times New Roman"/>
          <w:color w:val="000000"/>
          <w:sz w:val="32"/>
          <w:szCs w:val="32"/>
          <w:lang w:val="en-US" w:eastAsia="zh-CN"/>
        </w:rPr>
        <w:t>07</w:t>
      </w:r>
      <w:r>
        <w:rPr>
          <w:rFonts w:hint="default" w:ascii="Times New Roman" w:hAnsi="Times New Roman" w:eastAsia="仿宋_GB2312" w:cs="Times New Roman"/>
          <w:color w:val="000000"/>
          <w:sz w:val="32"/>
          <w:szCs w:val="32"/>
        </w:rPr>
        <w:t>)：反映开展国内贸易管理方面的支出。</w:t>
      </w:r>
    </w:p>
    <w:p w14:paraId="69C0878E">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)招商引资(</w:t>
      </w:r>
      <w:r>
        <w:rPr>
          <w:rFonts w:hint="eastAsia" w:ascii="Times New Roman" w:hAnsi="Times New Roman" w:eastAsia="仿宋_GB2312" w:cs="Times New Roman"/>
          <w:color w:val="000000"/>
          <w:sz w:val="32"/>
          <w:szCs w:val="32"/>
          <w:lang w:val="en-US" w:eastAsia="zh-CN"/>
        </w:rPr>
        <w:t>08</w:t>
      </w:r>
      <w:r>
        <w:rPr>
          <w:rFonts w:hint="default" w:ascii="Times New Roman" w:hAnsi="Times New Roman" w:eastAsia="仿宋_GB2312" w:cs="Times New Roman"/>
          <w:color w:val="000000"/>
          <w:sz w:val="32"/>
          <w:szCs w:val="32"/>
        </w:rPr>
        <w:t>)：反映开展招商引资方面的支出。</w:t>
      </w:r>
    </w:p>
    <w:p w14:paraId="338A567C">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 xml:space="preserve">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)其他商贸事务支出(</w:t>
      </w:r>
      <w:r>
        <w:rPr>
          <w:rFonts w:hint="eastAsia" w:ascii="Times New Roman" w:hAnsi="Times New Roman" w:eastAsia="仿宋_GB2312" w:cs="Times New Roman"/>
          <w:color w:val="000000"/>
          <w:sz w:val="32"/>
          <w:szCs w:val="32"/>
          <w:lang w:val="en-US" w:eastAsia="zh-CN"/>
        </w:rPr>
        <w:t>99</w:t>
      </w:r>
      <w:r>
        <w:rPr>
          <w:rFonts w:hint="default" w:ascii="Times New Roman" w:hAnsi="Times New Roman" w:eastAsia="仿宋_GB2312" w:cs="Times New Roman"/>
          <w:color w:val="000000"/>
          <w:sz w:val="32"/>
          <w:szCs w:val="32"/>
        </w:rPr>
        <w:t>)：反映用于其他商贸事务方面的支出。</w:t>
      </w:r>
    </w:p>
    <w:p w14:paraId="2B22200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3CE07FF3">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3B97F6C1">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006E5C9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3A49538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423C264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45B073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EC48A33">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BC477E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F142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微软雅黑"/>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p>
    <w:p w14:paraId="1475262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bookmarkStart w:id="65" w:name="_Hlk110546638"/>
      <w:r>
        <w:rPr>
          <w:rFonts w:hint="eastAsia" w:ascii="微软雅黑" w:hAnsi="微软雅黑" w:eastAsia="微软雅黑" w:cs="微软雅黑"/>
          <w:b w:val="0"/>
          <w:bCs/>
          <w:sz w:val="44"/>
          <w:szCs w:val="44"/>
          <w:highlight w:val="none"/>
          <w:shd w:val="clear" w:color="auto" w:fill="FFFFFF"/>
          <w:lang w:val="en-US" w:eastAsia="zh-CN"/>
        </w:rPr>
        <w:t>阿坝州商务局关于报送</w:t>
      </w:r>
    </w:p>
    <w:p w14:paraId="59C46CC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r>
        <w:rPr>
          <w:rFonts w:hint="eastAsia" w:ascii="微软雅黑" w:hAnsi="微软雅黑" w:eastAsia="微软雅黑" w:cs="微软雅黑"/>
          <w:b w:val="0"/>
          <w:bCs/>
          <w:sz w:val="44"/>
          <w:szCs w:val="44"/>
          <w:highlight w:val="none"/>
          <w:shd w:val="clear" w:color="auto" w:fill="FFFFFF"/>
          <w:lang w:val="en-US" w:eastAsia="zh-CN"/>
        </w:rPr>
        <w:t>2025年部门整体绩效自评情况的报告</w:t>
      </w:r>
    </w:p>
    <w:p w14:paraId="675150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880" w:firstLineChars="200"/>
        <w:contextualSpacing/>
        <w:jc w:val="both"/>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p>
    <w:p w14:paraId="7B16D4B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部门基本情况</w:t>
      </w:r>
    </w:p>
    <w:p w14:paraId="0B8F7D5A">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6" w:name="_Toc25457"/>
      <w:r>
        <w:rPr>
          <w:rFonts w:hint="eastAsia" w:ascii="楷体" w:hAnsi="楷体" w:eastAsia="楷体" w:cs="楷体"/>
          <w:b/>
          <w:bCs/>
          <w:color w:val="auto"/>
          <w:kern w:val="0"/>
          <w:position w:val="0"/>
          <w:sz w:val="32"/>
          <w:szCs w:val="32"/>
          <w:highlight w:val="none"/>
          <w:u w:val="none"/>
          <w:lang w:val="zh-CN" w:eastAsia="zh-CN" w:bidi="zh-CN"/>
        </w:rPr>
        <w:t>（一）机构组成</w:t>
      </w:r>
      <w:bookmarkEnd w:id="66"/>
      <w:r>
        <w:rPr>
          <w:rFonts w:hint="eastAsia" w:ascii="楷体" w:hAnsi="楷体" w:eastAsia="楷体" w:cs="楷体"/>
          <w:b/>
          <w:bCs/>
          <w:color w:val="auto"/>
          <w:kern w:val="0"/>
          <w:position w:val="0"/>
          <w:sz w:val="32"/>
          <w:szCs w:val="32"/>
          <w:highlight w:val="none"/>
          <w:u w:val="none"/>
          <w:lang w:val="zh-CN" w:eastAsia="zh-CN" w:bidi="zh-CN"/>
        </w:rPr>
        <w:t>。</w:t>
      </w:r>
    </w:p>
    <w:p w14:paraId="74E7DEF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阿坝州商务局内设办公室、商贸流通服务科、市场建设运行科、市场秩序法规科、外贸科、行政审批科、财务科。</w:t>
      </w:r>
    </w:p>
    <w:p w14:paraId="7D4C1CF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rPr>
      </w:pPr>
      <w:r>
        <w:rPr>
          <w:rFonts w:hint="eastAsia" w:ascii="Times New Roman" w:hAnsi="Times New Roman" w:eastAsia="仿宋_GB2312" w:cs="Times New Roman"/>
          <w:sz w:val="32"/>
          <w:szCs w:val="32"/>
          <w:highlight w:val="none"/>
          <w:lang w:val="en-US" w:eastAsia="zh-CN"/>
        </w:rPr>
        <w:t>阿坝州商务局属于一级预算单位，为行政单位，下属参公群团1个，为中国国际贸易促进委员会四川省阿坝州委员会，下属事业单位1个，为阿坝州商务发展中心。</w:t>
      </w:r>
    </w:p>
    <w:p w14:paraId="1F5CD56C">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7" w:name="_Toc29885"/>
      <w:r>
        <w:rPr>
          <w:rFonts w:hint="eastAsia" w:ascii="楷体" w:hAnsi="楷体" w:eastAsia="楷体" w:cs="楷体"/>
          <w:b/>
          <w:bCs/>
          <w:color w:val="auto"/>
          <w:kern w:val="0"/>
          <w:position w:val="0"/>
          <w:sz w:val="32"/>
          <w:szCs w:val="32"/>
          <w:highlight w:val="none"/>
          <w:u w:val="none"/>
          <w:lang w:val="zh-CN" w:eastAsia="zh-CN" w:bidi="zh-CN"/>
        </w:rPr>
        <w:t>（二）机构职能</w:t>
      </w:r>
      <w:bookmarkEnd w:id="67"/>
      <w:r>
        <w:rPr>
          <w:rFonts w:hint="eastAsia" w:ascii="楷体" w:hAnsi="楷体" w:eastAsia="楷体" w:cs="楷体"/>
          <w:b/>
          <w:bCs/>
          <w:color w:val="auto"/>
          <w:kern w:val="0"/>
          <w:position w:val="0"/>
          <w:sz w:val="32"/>
          <w:szCs w:val="32"/>
          <w:highlight w:val="none"/>
          <w:u w:val="none"/>
          <w:lang w:val="zh-CN" w:eastAsia="zh-CN" w:bidi="zh-CN"/>
        </w:rPr>
        <w:t>。</w:t>
      </w:r>
    </w:p>
    <w:p w14:paraId="0A22988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贯彻落实国家、省有关国内外贸易的法律法规和方针政策，制订全州商务发展规划、年度计划并组织实施；承担全州服务业发展工作中组织实施的协调职责；承担组织实施重要消费品市场调控和重要生产资料流通管理的责任；依法监督技术引进、设备进口、国家限制出口技术的工作，推进进出口贸易标准化工作，牵头负责发展服务贸易的相关工作；承担组织协调反倾销、反补贴、保障措施和技术性贸易壁垒等与进出口公平贸易相关工作的责任；管理我州赴境外举办的各种商品交易和经贸推介活动，指导监督管理以阿坝州名义在境内举办的各种商贸交易会、展览会、展销会等活动；规划全州商务系统电子政务、公共商务信息服务体系建设并组织实施，推动电子商务发展；承担州政府公布的有关行政审批工作。</w:t>
      </w:r>
    </w:p>
    <w:p w14:paraId="1D7E9699">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8" w:name="_Toc21084"/>
      <w:r>
        <w:rPr>
          <w:rFonts w:hint="eastAsia" w:ascii="楷体" w:hAnsi="楷体" w:eastAsia="楷体" w:cs="楷体"/>
          <w:b/>
          <w:bCs/>
          <w:color w:val="auto"/>
          <w:kern w:val="0"/>
          <w:position w:val="0"/>
          <w:sz w:val="32"/>
          <w:szCs w:val="32"/>
          <w:highlight w:val="none"/>
          <w:u w:val="none"/>
          <w:lang w:val="zh-CN" w:eastAsia="zh-CN" w:bidi="zh-CN"/>
        </w:rPr>
        <w:t>（三）人员概况</w:t>
      </w:r>
      <w:bookmarkEnd w:id="68"/>
      <w:r>
        <w:rPr>
          <w:rFonts w:hint="eastAsia" w:ascii="楷体" w:hAnsi="楷体" w:eastAsia="楷体" w:cs="楷体"/>
          <w:b/>
          <w:bCs/>
          <w:color w:val="auto"/>
          <w:kern w:val="0"/>
          <w:position w:val="0"/>
          <w:sz w:val="32"/>
          <w:szCs w:val="32"/>
          <w:highlight w:val="none"/>
          <w:u w:val="none"/>
          <w:lang w:val="zh-CN" w:eastAsia="zh-CN" w:bidi="zh-CN"/>
        </w:rPr>
        <w:t>。</w:t>
      </w:r>
    </w:p>
    <w:p w14:paraId="7C79A09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阿坝州商务局核定行政编制18名。其中：局长1名，副局长3名；正科级领导职数7名，副科级领导职数4名。机关工勤编制4名，事业编制4名。</w:t>
      </w:r>
    </w:p>
    <w:p w14:paraId="61F7FDB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截至202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年末，</w:t>
      </w:r>
      <w:r>
        <w:rPr>
          <w:rFonts w:hint="eastAsia" w:ascii="Times New Roman" w:hAnsi="Times New Roman" w:eastAsia="仿宋_GB2312" w:cs="Times New Roman"/>
          <w:sz w:val="32"/>
          <w:szCs w:val="32"/>
          <w:highlight w:val="none"/>
          <w:lang w:val="en-US" w:eastAsia="zh-CN"/>
        </w:rPr>
        <w:t>阿坝州商务局在编职工22人。其中：行政16名，参公2名，机关工勤人员4名，事业人员4名。</w:t>
      </w:r>
    </w:p>
    <w:p w14:paraId="74C904BE">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1E1D456F">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6DFCB287">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Times New Roman" w:hAnsi="Times New Roman" w:eastAsia="仿宋_GB2312" w:cs="Times New Roman"/>
          <w:sz w:val="32"/>
          <w:szCs w:val="32"/>
          <w:highlight w:val="none"/>
          <w:lang w:val="en-US" w:eastAsia="zh-CN"/>
        </w:rPr>
        <w:t>本部门2025年年初预算收入1292.47万元，其中一般公共预算拨款收入1292.47万元，占比100%。决算收入4738.25万元，其中一般公共预算拨款收入4738.25万元，占比100%。</w:t>
      </w:r>
    </w:p>
    <w:p w14:paraId="40C08E5F">
      <w:pPr>
        <w:keepNext w:val="0"/>
        <w:keepLines w:val="0"/>
        <w:pageBreakBefore w:val="0"/>
        <w:widowControl/>
        <w:numPr>
          <w:ilvl w:val="0"/>
          <w:numId w:val="2"/>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34BF3A4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本部门2025年年初预算支出1292.47万元，其中：</w:t>
      </w:r>
      <w:r>
        <w:rPr>
          <w:rFonts w:hint="default" w:ascii="Times New Roman" w:hAnsi="Times New Roman" w:eastAsia="仿宋_GB2312" w:cs="Times New Roman"/>
          <w:sz w:val="32"/>
          <w:szCs w:val="32"/>
          <w:highlight w:val="none"/>
          <w:lang w:val="en-US" w:eastAsia="zh-CN"/>
        </w:rPr>
        <w:t>基本支出</w:t>
      </w:r>
      <w:r>
        <w:rPr>
          <w:rFonts w:hint="eastAsia" w:ascii="Times New Roman" w:hAnsi="Times New Roman" w:eastAsia="仿宋_GB2312" w:cs="Times New Roman"/>
          <w:sz w:val="32"/>
          <w:szCs w:val="32"/>
          <w:highlight w:val="none"/>
          <w:lang w:val="en-US" w:eastAsia="zh-CN"/>
        </w:rPr>
        <w:t>876.97</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67.85</w:t>
      </w:r>
      <w:r>
        <w:rPr>
          <w:rFonts w:hint="default" w:ascii="Times New Roman" w:hAnsi="Times New Roman" w:eastAsia="仿宋_GB2312" w:cs="Times New Roman"/>
          <w:sz w:val="32"/>
          <w:szCs w:val="32"/>
          <w:highlight w:val="none"/>
          <w:lang w:val="en-US" w:eastAsia="zh-CN"/>
        </w:rPr>
        <w:t>%；项目支出</w:t>
      </w:r>
      <w:r>
        <w:rPr>
          <w:rFonts w:hint="eastAsia" w:ascii="Times New Roman" w:hAnsi="Times New Roman" w:eastAsia="仿宋_GB2312" w:cs="Times New Roman"/>
          <w:sz w:val="32"/>
          <w:szCs w:val="32"/>
          <w:highlight w:val="none"/>
          <w:lang w:val="en-US" w:eastAsia="zh-CN"/>
        </w:rPr>
        <w:t>415.5</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32.15</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2025年决算支出数4738.25万元。</w:t>
      </w:r>
      <w:r>
        <w:rPr>
          <w:rFonts w:hint="default" w:ascii="Times New Roman" w:hAnsi="Times New Roman" w:eastAsia="仿宋_GB2312" w:cs="Times New Roman"/>
          <w:sz w:val="32"/>
          <w:szCs w:val="32"/>
          <w:highlight w:val="none"/>
          <w:lang w:val="en-US" w:eastAsia="zh-CN"/>
        </w:rPr>
        <w:t>其中：基本支出</w:t>
      </w:r>
      <w:r>
        <w:rPr>
          <w:rFonts w:hint="eastAsia" w:ascii="Times New Roman" w:hAnsi="Times New Roman" w:eastAsia="仿宋_GB2312" w:cs="Times New Roman"/>
          <w:sz w:val="32"/>
          <w:szCs w:val="32"/>
          <w:highlight w:val="none"/>
          <w:lang w:val="en-US" w:eastAsia="zh-CN"/>
        </w:rPr>
        <w:t>953.07</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20.11</w:t>
      </w:r>
      <w:r>
        <w:rPr>
          <w:rFonts w:hint="default" w:ascii="Times New Roman" w:hAnsi="Times New Roman" w:eastAsia="仿宋_GB2312" w:cs="Times New Roman"/>
          <w:sz w:val="32"/>
          <w:szCs w:val="32"/>
          <w:highlight w:val="none"/>
          <w:lang w:val="en-US" w:eastAsia="zh-CN"/>
        </w:rPr>
        <w:t>%；项目支出</w:t>
      </w:r>
      <w:r>
        <w:rPr>
          <w:rFonts w:hint="eastAsia" w:ascii="Times New Roman" w:hAnsi="Times New Roman" w:eastAsia="仿宋_GB2312" w:cs="Times New Roman"/>
          <w:sz w:val="32"/>
          <w:szCs w:val="32"/>
          <w:highlight w:val="none"/>
          <w:lang w:val="en-US" w:eastAsia="zh-CN"/>
        </w:rPr>
        <w:t>3785.18</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79.89</w:t>
      </w:r>
      <w:r>
        <w:rPr>
          <w:rFonts w:hint="default" w:ascii="Times New Roman" w:hAnsi="Times New Roman" w:eastAsia="仿宋_GB2312" w:cs="Times New Roman"/>
          <w:sz w:val="32"/>
          <w:szCs w:val="32"/>
          <w:highlight w:val="none"/>
          <w:lang w:val="en-US" w:eastAsia="zh-CN"/>
        </w:rPr>
        <w:t>%。</w:t>
      </w:r>
    </w:p>
    <w:p w14:paraId="2A269CA1">
      <w:pPr>
        <w:keepNext w:val="0"/>
        <w:keepLines w:val="0"/>
        <w:pageBreakBefore w:val="0"/>
        <w:widowControl/>
        <w:numPr>
          <w:ilvl w:val="0"/>
          <w:numId w:val="2"/>
        </w:numPr>
        <w:kinsoku/>
        <w:wordWrap/>
        <w:overflowPunct/>
        <w:topLinePunct w:val="0"/>
        <w:autoSpaceDE/>
        <w:autoSpaceDN/>
        <w:bidi w:val="0"/>
        <w:adjustRightInd w:val="0"/>
        <w:snapToGrid w:val="0"/>
        <w:spacing w:line="480" w:lineRule="exact"/>
        <w:ind w:left="0" w:leftChars="0" w:firstLine="643" w:firstLineChars="200"/>
        <w:contextualSpacing/>
        <w:jc w:val="both"/>
        <w:textAlignment w:val="auto"/>
        <w:outlineLvl w:val="9"/>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sz w:val="32"/>
          <w:szCs w:val="32"/>
          <w:highlight w:val="none"/>
        </w:rPr>
        <w:t>结余分配和结转结余情况</w:t>
      </w:r>
      <w:r>
        <w:rPr>
          <w:rFonts w:hint="eastAsia" w:ascii="Times New Roman" w:hAnsi="Times New Roman" w:eastAsia="楷体_GB2312" w:cs="Times New Roman"/>
          <w:b/>
          <w:sz w:val="32"/>
          <w:szCs w:val="32"/>
          <w:highlight w:val="none"/>
          <w:lang w:eastAsia="zh-CN"/>
        </w:rPr>
        <w:t>。</w:t>
      </w:r>
    </w:p>
    <w:p w14:paraId="7A01483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zh-CN" w:eastAsia="zh-CN"/>
        </w:rPr>
      </w:pPr>
      <w:r>
        <w:rPr>
          <w:rFonts w:hint="eastAsia" w:ascii="Times New Roman" w:hAnsi="Times New Roman" w:eastAsia="仿宋_GB2312" w:cs="Times New Roman"/>
          <w:sz w:val="32"/>
          <w:szCs w:val="32"/>
          <w:highlight w:val="none"/>
          <w:lang w:val="en-US" w:eastAsia="zh-CN"/>
        </w:rPr>
        <w:t>本部门2025年决算</w:t>
      </w:r>
      <w:r>
        <w:rPr>
          <w:rFonts w:hint="default" w:ascii="Times New Roman" w:hAnsi="Times New Roman" w:eastAsia="仿宋_GB2312" w:cs="Times New Roman"/>
          <w:sz w:val="32"/>
          <w:szCs w:val="32"/>
          <w:highlight w:val="none"/>
          <w:lang w:val="en-US" w:eastAsia="zh-CN"/>
        </w:rPr>
        <w:t>结转</w:t>
      </w:r>
      <w:r>
        <w:rPr>
          <w:rFonts w:hint="eastAsia" w:ascii="Times New Roman" w:hAnsi="Times New Roman" w:eastAsia="仿宋_GB2312" w:cs="Times New Roman"/>
          <w:sz w:val="32"/>
          <w:szCs w:val="32"/>
          <w:highlight w:val="none"/>
          <w:lang w:val="en-US" w:eastAsia="zh-CN"/>
        </w:rPr>
        <w:t>结余0.00万元。</w:t>
      </w:r>
    </w:p>
    <w:p w14:paraId="3438E7AA">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2C3506E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DD8E97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履职效能。</w:t>
      </w:r>
      <w:r>
        <w:rPr>
          <w:rFonts w:hint="eastAsia" w:ascii="Times New Roman" w:hAnsi="Times New Roman" w:eastAsia="仿宋_GB2312" w:cs="Times New Roman"/>
          <w:sz w:val="32"/>
          <w:szCs w:val="32"/>
          <w:highlight w:val="none"/>
          <w:lang w:val="en-US" w:eastAsia="zh-CN"/>
        </w:rPr>
        <w:t>本次绩效评价</w:t>
      </w:r>
      <w:r>
        <w:rPr>
          <w:rFonts w:hint="eastAsia" w:ascii="Times New Roman" w:hAnsi="Times New Roman" w:eastAsia="仿宋_GB2312" w:cs="Times New Roman"/>
          <w:sz w:val="32"/>
          <w:szCs w:val="32"/>
          <w:highlight w:val="none"/>
          <w:lang w:val="zh-CN" w:eastAsia="zh-CN"/>
        </w:rPr>
        <w:t>选定</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个核心职能目标，对职能目标完成效果情况</w:t>
      </w:r>
      <w:r>
        <w:rPr>
          <w:rFonts w:hint="eastAsia" w:ascii="Times New Roman" w:hAnsi="Times New Roman" w:eastAsia="仿宋_GB2312" w:cs="Times New Roman"/>
          <w:sz w:val="32"/>
          <w:szCs w:val="32"/>
          <w:highlight w:val="none"/>
          <w:lang w:val="en-US" w:eastAsia="zh-CN"/>
        </w:rPr>
        <w:t>进行</w:t>
      </w:r>
      <w:r>
        <w:rPr>
          <w:rFonts w:hint="eastAsia" w:ascii="Times New Roman" w:hAnsi="Times New Roman" w:eastAsia="仿宋_GB2312" w:cs="Times New Roman"/>
          <w:sz w:val="32"/>
          <w:szCs w:val="32"/>
          <w:highlight w:val="none"/>
          <w:lang w:val="zh-CN" w:eastAsia="zh-CN"/>
        </w:rPr>
        <w:t>绩效分析。</w:t>
      </w:r>
    </w:p>
    <w:p w14:paraId="1FE7D1FF">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sz w:val="32"/>
          <w:szCs w:val="32"/>
          <w:highlight w:val="none"/>
          <w:lang w:val="en-US" w:bidi="ar-SA"/>
        </w:rPr>
      </w:pPr>
      <w:r>
        <w:rPr>
          <w:rFonts w:hint="eastAsia" w:ascii="Times New Roman" w:hAnsi="Times New Roman" w:eastAsia="仿宋_GB2312" w:cs="Times New Roman"/>
          <w:b/>
          <w:bCs/>
          <w:kern w:val="2"/>
          <w:sz w:val="32"/>
          <w:szCs w:val="32"/>
          <w:highlight w:val="none"/>
          <w:lang w:val="en-US" w:eastAsia="zh-CN" w:bidi="ar-SA"/>
        </w:rPr>
        <w:t>目标实现情况：一</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全州社会消费品零售总额实现124.6亿元，同比增长7.4%，高于年度目标（6.5%）0.9个百分点，增速位列全省第1位。二</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sz w:val="32"/>
          <w:szCs w:val="32"/>
          <w:highlight w:val="none"/>
          <w:lang w:eastAsia="zh-CN"/>
        </w:rPr>
        <w:t>实现外贸进出口总额</w:t>
      </w:r>
      <w:r>
        <w:rPr>
          <w:rFonts w:hint="eastAsia" w:ascii="仿宋_GB2312" w:hAnsi="仿宋_GB2312" w:eastAsia="仿宋_GB2312" w:cs="仿宋_GB2312"/>
          <w:b w:val="0"/>
          <w:bCs w:val="0"/>
          <w:sz w:val="32"/>
          <w:szCs w:val="32"/>
          <w:highlight w:val="none"/>
          <w:lang w:val="en-US" w:eastAsia="zh-CN"/>
        </w:rPr>
        <w:t>4.03</w:t>
      </w:r>
      <w:r>
        <w:rPr>
          <w:rFonts w:hint="eastAsia" w:ascii="仿宋_GB2312" w:hAnsi="仿宋_GB2312" w:eastAsia="仿宋_GB2312" w:cs="仿宋_GB2312"/>
          <w:b w:val="0"/>
          <w:bCs w:val="0"/>
          <w:sz w:val="32"/>
          <w:szCs w:val="32"/>
          <w:highlight w:val="none"/>
          <w:lang w:eastAsia="zh-CN"/>
        </w:rPr>
        <w:t>亿元，完成全年目标任务的</w:t>
      </w:r>
      <w:r>
        <w:rPr>
          <w:rFonts w:hint="eastAsia" w:ascii="仿宋_GB2312" w:hAnsi="仿宋_GB2312" w:eastAsia="仿宋_GB2312" w:cs="仿宋_GB2312"/>
          <w:b w:val="0"/>
          <w:bCs w:val="0"/>
          <w:sz w:val="32"/>
          <w:szCs w:val="32"/>
          <w:highlight w:val="none"/>
          <w:lang w:val="en-US" w:eastAsia="zh-CN"/>
        </w:rPr>
        <w:t>112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。三</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sz w:val="32"/>
          <w:szCs w:val="32"/>
          <w:highlight w:val="none"/>
          <w:lang w:eastAsia="zh-CN"/>
        </w:rPr>
        <w:t>新增规上企业</w:t>
      </w:r>
      <w:r>
        <w:rPr>
          <w:rFonts w:hint="eastAsia" w:ascii="仿宋_GB2312" w:hAnsi="仿宋_GB2312" w:eastAsia="仿宋_GB2312" w:cs="仿宋_GB2312"/>
          <w:b w:val="0"/>
          <w:bCs w:val="0"/>
          <w:sz w:val="32"/>
          <w:szCs w:val="32"/>
          <w:highlight w:val="none"/>
          <w:lang w:val="en-US" w:eastAsia="zh-CN"/>
        </w:rPr>
        <w:t>18</w:t>
      </w:r>
      <w:r>
        <w:rPr>
          <w:rFonts w:hint="eastAsia" w:ascii="仿宋_GB2312" w:hAnsi="仿宋_GB2312" w:eastAsia="仿宋_GB2312" w:cs="仿宋_GB2312"/>
          <w:b w:val="0"/>
          <w:bCs w:val="0"/>
          <w:sz w:val="32"/>
          <w:szCs w:val="32"/>
          <w:highlight w:val="none"/>
          <w:lang w:eastAsia="zh-CN"/>
        </w:rPr>
        <w:t>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完成州定目标任务的</w:t>
      </w:r>
      <w:r>
        <w:rPr>
          <w:rFonts w:hint="eastAsia" w:ascii="仿宋_GB2312" w:hAnsi="仿宋_GB2312" w:eastAsia="仿宋_GB2312" w:cs="仿宋_GB2312"/>
          <w:b w:val="0"/>
          <w:bCs w:val="0"/>
          <w:sz w:val="32"/>
          <w:szCs w:val="32"/>
          <w:highlight w:val="none"/>
          <w:lang w:val="en-US" w:eastAsia="zh-CN"/>
        </w:rPr>
        <w:t>180%；</w:t>
      </w:r>
      <w:r>
        <w:rPr>
          <w:rFonts w:hint="eastAsia" w:ascii="仿宋_GB2312" w:hAnsi="仿宋_GB2312" w:eastAsia="仿宋_GB2312" w:cs="仿宋_GB2312"/>
          <w:b w:val="0"/>
          <w:bCs w:val="0"/>
          <w:sz w:val="32"/>
          <w:szCs w:val="32"/>
          <w:highlight w:val="none"/>
          <w:lang w:eastAsia="zh-CN"/>
        </w:rPr>
        <w:t>新增限上商贸主体队伍</w:t>
      </w:r>
      <w:r>
        <w:rPr>
          <w:rFonts w:hint="eastAsia" w:ascii="仿宋_GB2312" w:hAnsi="仿宋_GB2312" w:eastAsia="仿宋_GB2312" w:cs="仿宋_GB2312"/>
          <w:b w:val="0"/>
          <w:bCs w:val="0"/>
          <w:sz w:val="32"/>
          <w:szCs w:val="32"/>
          <w:highlight w:val="none"/>
          <w:lang w:val="en-US" w:eastAsia="zh-CN" w:bidi="ar-SA"/>
        </w:rPr>
        <w:t>67户</w:t>
      </w:r>
      <w:r>
        <w:rPr>
          <w:rFonts w:hint="eastAsia" w:ascii="仿宋_GB2312" w:hAnsi="仿宋_GB2312" w:eastAsia="仿宋_GB2312" w:cs="仿宋_GB2312"/>
          <w:b w:val="0"/>
          <w:bCs w:val="0"/>
          <w:sz w:val="32"/>
          <w:szCs w:val="32"/>
          <w:highlight w:val="none"/>
          <w:lang w:eastAsia="zh-CN"/>
        </w:rPr>
        <w:t>，完成州定目标的</w:t>
      </w:r>
      <w:r>
        <w:rPr>
          <w:rFonts w:hint="eastAsia" w:ascii="仿宋_GB2312" w:hAnsi="仿宋_GB2312" w:eastAsia="仿宋_GB2312" w:cs="仿宋_GB2312"/>
          <w:b w:val="0"/>
          <w:bCs w:val="0"/>
          <w:sz w:val="32"/>
          <w:szCs w:val="32"/>
          <w:highlight w:val="none"/>
          <w:lang w:val="en-US" w:eastAsia="zh-CN"/>
        </w:rPr>
        <w:t>335%；</w:t>
      </w:r>
      <w:r>
        <w:rPr>
          <w:rFonts w:hint="eastAsia" w:ascii="仿宋_GB2312" w:hAnsi="仿宋_GB2312" w:eastAsia="仿宋_GB2312" w:cs="仿宋_GB2312"/>
          <w:b w:val="0"/>
          <w:bCs w:val="0"/>
          <w:sz w:val="32"/>
          <w:szCs w:val="32"/>
          <w:highlight w:val="none"/>
          <w:lang w:eastAsia="zh-CN"/>
        </w:rPr>
        <w:t>新增外贸实绩企业</w:t>
      </w:r>
      <w:r>
        <w:rPr>
          <w:rFonts w:hint="eastAsia" w:ascii="仿宋_GB2312" w:hAnsi="仿宋_GB2312" w:eastAsia="仿宋_GB2312" w:cs="仿宋_GB2312"/>
          <w:b w:val="0"/>
          <w:bCs w:val="0"/>
          <w:sz w:val="32"/>
          <w:szCs w:val="32"/>
          <w:highlight w:val="none"/>
          <w:lang w:val="en-US" w:eastAsia="zh-CN"/>
        </w:rPr>
        <w:t>3家。</w:t>
      </w:r>
    </w:p>
    <w:p w14:paraId="470EEAE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指标得分=年终完成履职效果目标数量÷年初目标设置总数×100%×指标分值</w:t>
      </w:r>
      <w:r>
        <w:rPr>
          <w:rFonts w:hint="eastAsia" w:ascii="Times New Roman" w:hAnsi="Times New Roman" w:eastAsia="仿宋_GB2312" w:cs="Times New Roman"/>
          <w:sz w:val="32"/>
          <w:szCs w:val="32"/>
          <w:highlight w:val="none"/>
          <w:lang w:val="en-US" w:eastAsia="zh-CN"/>
        </w:rPr>
        <w:t>=3÷3×100%×15=15分</w:t>
      </w:r>
      <w:r>
        <w:rPr>
          <w:rFonts w:hint="eastAsia" w:ascii="Times New Roman" w:hAnsi="Times New Roman" w:eastAsia="仿宋_GB2312" w:cs="Times New Roman"/>
          <w:sz w:val="32"/>
          <w:szCs w:val="32"/>
          <w:highlight w:val="none"/>
          <w:lang w:val="zh-CN" w:eastAsia="zh-CN"/>
        </w:rPr>
        <w:t>。</w:t>
      </w:r>
    </w:p>
    <w:p w14:paraId="35818DD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eastAsia" w:ascii="仿宋_GB2312" w:hAnsi="仿宋_GB2312" w:eastAsia="仿宋_GB2312" w:cs="仿宋_GB2312"/>
          <w:b/>
          <w:bCs/>
          <w:color w:val="000000"/>
          <w:kern w:val="0"/>
          <w:sz w:val="32"/>
          <w:szCs w:val="32"/>
          <w:highlight w:val="none"/>
          <w:shd w:val="clear" w:color="auto" w:fill="FFFFFF"/>
          <w:lang w:val="zh-CN" w:eastAsia="zh-CN"/>
        </w:rPr>
        <w:t>预算管理。</w:t>
      </w:r>
    </w:p>
    <w:p w14:paraId="7C95812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预算编制质量。</w:t>
      </w:r>
    </w:p>
    <w:p w14:paraId="10E0CC8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本部门2025年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财政拨款预算执行数</w:t>
      </w:r>
      <w:r>
        <w:rPr>
          <w:rFonts w:hint="eastAsia" w:ascii="仿宋_GB2312" w:hAnsi="仿宋_GB2312" w:eastAsia="仿宋_GB2312" w:cs="仿宋_GB2312"/>
          <w:sz w:val="32"/>
          <w:szCs w:val="32"/>
          <w:highlight w:val="none"/>
          <w:lang w:val="en-US" w:eastAsia="zh-CN"/>
        </w:rPr>
        <w:t>1216.82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万元，2025年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财政拨款年初预算数</w:t>
      </w:r>
      <w:r>
        <w:rPr>
          <w:rFonts w:hint="eastAsia" w:ascii="Times New Roman" w:hAnsi="Times New Roman" w:eastAsia="仿宋_GB2312" w:cs="Times New Roman"/>
          <w:sz w:val="32"/>
          <w:szCs w:val="32"/>
          <w:highlight w:val="none"/>
          <w:lang w:val="en-US" w:eastAsia="zh-CN"/>
        </w:rPr>
        <w:t>1292.47</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财政拨款预算偏离度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-5.85%（</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预算执行数不包含科待资金、结转资金、援建资金，共计3521.43万元）；</w:t>
      </w:r>
    </w:p>
    <w:p w14:paraId="2892DC0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资产配置预算执行数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15.11万元，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资产配置年初预算数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15.11万元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，资产配置预算偏离度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w:t>
      </w:r>
    </w:p>
    <w:p w14:paraId="2166CFE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政府采购预算执行数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484.29万元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政府采购年初预算数484.29万元，政府采购预算偏离度0%；</w:t>
      </w:r>
    </w:p>
    <w:p w14:paraId="73FFBC7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该项指标得分=（1-财政拨款预算偏离度）×100%×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+（1-资产配置预算偏离度）×100%×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+（1-政府采购预算偏离度）×100%×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3=12分。</w:t>
      </w:r>
    </w:p>
    <w:p w14:paraId="3EDF8088">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sz w:val="32"/>
          <w:szCs w:val="32"/>
          <w:highlight w:val="none"/>
          <w:lang w:val="zh-CN" w:eastAsia="zh-CN"/>
        </w:rPr>
      </w:pP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val="zh-CN" w:eastAsia="zh-CN"/>
        </w:rPr>
        <w:t>单位收入统筹。</w:t>
      </w:r>
    </w:p>
    <w:p w14:paraId="6AE08C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本部门2025年无</w:t>
      </w:r>
      <w:r>
        <w:rPr>
          <w:rFonts w:hint="eastAsia" w:ascii="Times New Roman" w:hAnsi="Times New Roman" w:eastAsia="仿宋_GB2312" w:cs="Times New Roman"/>
          <w:sz w:val="32"/>
          <w:szCs w:val="32"/>
          <w:highlight w:val="none"/>
          <w:lang w:val="zh-CN" w:eastAsia="zh-CN"/>
        </w:rPr>
        <w:t>自有收入，</w:t>
      </w:r>
      <w:r>
        <w:rPr>
          <w:rFonts w:hint="eastAsia" w:ascii="Times New Roman" w:hAnsi="Times New Roman" w:eastAsia="仿宋_GB2312" w:cs="Times New Roman"/>
          <w:sz w:val="32"/>
          <w:szCs w:val="32"/>
          <w:highlight w:val="none"/>
          <w:lang w:val="en-US" w:eastAsia="zh-CN"/>
        </w:rPr>
        <w:t>按以往年度年财政重点评价方法，此项分值4分，全部调至预算编制质量分值中。</w:t>
      </w:r>
    </w:p>
    <w:p w14:paraId="1A84DDC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sz w:val="32"/>
          <w:szCs w:val="32"/>
          <w:highlight w:val="none"/>
          <w:lang w:val="zh-CN" w:eastAsia="zh-CN"/>
        </w:rPr>
      </w:pP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val="zh-CN" w:eastAsia="zh-CN"/>
        </w:rPr>
        <w:t>支出执行进度。</w:t>
      </w:r>
    </w:p>
    <w:p w14:paraId="30EFB15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w:t>
      </w:r>
      <w:r>
        <w:rPr>
          <w:rFonts w:hint="eastAsia" w:ascii="Times New Roman" w:hAnsi="Times New Roman" w:eastAsia="仿宋_GB2312" w:cs="Times New Roman"/>
          <w:sz w:val="32"/>
          <w:szCs w:val="32"/>
          <w:highlight w:val="none"/>
          <w:lang w:val="zh-CN" w:eastAsia="zh-CN"/>
        </w:rPr>
        <w:t>部门</w:t>
      </w:r>
      <w:r>
        <w:rPr>
          <w:rFonts w:hint="eastAsia" w:ascii="Times New Roman" w:hAnsi="Times New Roman" w:eastAsia="仿宋_GB2312" w:cs="Times New Roman"/>
          <w:sz w:val="32"/>
          <w:szCs w:val="32"/>
          <w:highlight w:val="none"/>
          <w:lang w:val="en-US" w:eastAsia="zh-CN"/>
        </w:rPr>
        <w:t>全年执行</w:t>
      </w:r>
      <w:r>
        <w:rPr>
          <w:rFonts w:hint="eastAsia" w:ascii="Times New Roman" w:hAnsi="Times New Roman" w:eastAsia="仿宋_GB2312" w:cs="Times New Roman"/>
          <w:sz w:val="32"/>
          <w:szCs w:val="32"/>
          <w:highlight w:val="none"/>
          <w:lang w:val="zh-CN" w:eastAsia="zh-CN"/>
        </w:rPr>
        <w:t>数</w:t>
      </w:r>
      <w:r>
        <w:rPr>
          <w:rFonts w:hint="eastAsia" w:ascii="Times New Roman" w:hAnsi="Times New Roman" w:eastAsia="仿宋_GB2312" w:cs="Times New Roman"/>
          <w:sz w:val="32"/>
          <w:szCs w:val="32"/>
          <w:highlight w:val="none"/>
          <w:lang w:val="en-US" w:eastAsia="zh-CN"/>
        </w:rPr>
        <w:t>4738.25万元。</w:t>
      </w:r>
    </w:p>
    <w:p w14:paraId="26A9990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1至6月预算执行数</w:t>
      </w:r>
      <w:r>
        <w:rPr>
          <w:rFonts w:hint="eastAsia" w:ascii="Times New Roman" w:hAnsi="Times New Roman" w:eastAsia="仿宋_GB2312" w:cs="Times New Roman"/>
          <w:sz w:val="32"/>
          <w:szCs w:val="32"/>
          <w:highlight w:val="none"/>
          <w:lang w:val="en-US" w:eastAsia="zh-CN"/>
        </w:rPr>
        <w:t>2622.51万元，2025年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zh-CN" w:eastAsia="zh-CN"/>
        </w:rPr>
        <w:t>月支出预警金额</w:t>
      </w:r>
      <w:r>
        <w:rPr>
          <w:rFonts w:hint="eastAsia" w:ascii="Times New Roman" w:hAnsi="Times New Roman" w:eastAsia="仿宋_GB2312" w:cs="Times New Roman"/>
          <w:sz w:val="32"/>
          <w:szCs w:val="32"/>
          <w:highlight w:val="none"/>
          <w:lang w:val="en-US" w:eastAsia="zh-CN"/>
        </w:rPr>
        <w:t>1330.02万元（支出预警金额为消费券资金，系统预警规则为单笔支出大于100万元则预警，预警支出已上传相关附件资料，且已通过支付中心审核），2025年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zh-CN" w:eastAsia="zh-CN"/>
        </w:rPr>
        <w:t>月支出总金额</w:t>
      </w:r>
      <w:r>
        <w:rPr>
          <w:rFonts w:hint="eastAsia" w:ascii="Times New Roman" w:hAnsi="Times New Roman" w:eastAsia="仿宋_GB2312" w:cs="Times New Roman"/>
          <w:sz w:val="32"/>
          <w:szCs w:val="32"/>
          <w:highlight w:val="none"/>
          <w:lang w:val="en-US" w:eastAsia="zh-CN"/>
        </w:rPr>
        <w:t>2622.51万元，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1至6月支出预警金额占比</w:t>
      </w:r>
      <w:r>
        <w:rPr>
          <w:rFonts w:hint="eastAsia" w:ascii="Times New Roman" w:hAnsi="Times New Roman" w:eastAsia="仿宋_GB2312" w:cs="Times New Roman"/>
          <w:b/>
          <w:bCs/>
          <w:sz w:val="32"/>
          <w:szCs w:val="32"/>
          <w:highlight w:val="none"/>
          <w:lang w:val="en-US" w:eastAsia="zh-CN"/>
        </w:rPr>
        <w:t>50.71%。</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1至6月支出违规金额</w:t>
      </w:r>
      <w:r>
        <w:rPr>
          <w:rFonts w:hint="eastAsia" w:ascii="Times New Roman" w:hAnsi="Times New Roman" w:eastAsia="仿宋_GB2312" w:cs="Times New Roman"/>
          <w:sz w:val="32"/>
          <w:szCs w:val="32"/>
          <w:highlight w:val="none"/>
          <w:lang w:val="en-US" w:eastAsia="zh-CN"/>
        </w:rPr>
        <w:t>0万元，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1至6月支出违规金额占比</w:t>
      </w:r>
      <w:r>
        <w:rPr>
          <w:rFonts w:hint="eastAsia" w:ascii="Times New Roman" w:hAnsi="Times New Roman" w:eastAsia="仿宋_GB2312" w:cs="Times New Roman"/>
          <w:b/>
          <w:bCs/>
          <w:sz w:val="32"/>
          <w:szCs w:val="32"/>
          <w:highlight w:val="none"/>
          <w:lang w:val="en-US" w:eastAsia="zh-CN"/>
        </w:rPr>
        <w:t>为0。</w:t>
      </w:r>
    </w:p>
    <w:p w14:paraId="5FD43F8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sz w:val="32"/>
          <w:szCs w:val="32"/>
          <w:highlight w:val="none"/>
          <w:lang w:val="en-US" w:eastAsia="zh-CN"/>
        </w:rPr>
        <w:t>2025年</w:t>
      </w:r>
      <w:r>
        <w:rPr>
          <w:rFonts w:hint="eastAsia" w:ascii="Times New Roman" w:hAnsi="Times New Roman" w:eastAsia="仿宋_GB2312" w:cs="Times New Roman"/>
          <w:b w:val="0"/>
          <w:bCs w:val="0"/>
          <w:sz w:val="32"/>
          <w:szCs w:val="32"/>
          <w:highlight w:val="none"/>
          <w:lang w:val="zh-CN" w:eastAsia="zh-CN"/>
        </w:rPr>
        <w:t>1至</w:t>
      </w:r>
      <w:r>
        <w:rPr>
          <w:rFonts w:hint="eastAsia" w:ascii="Times New Roman" w:hAnsi="Times New Roman" w:eastAsia="仿宋_GB2312" w:cs="Times New Roman"/>
          <w:b w:val="0"/>
          <w:bCs w:val="0"/>
          <w:sz w:val="32"/>
          <w:szCs w:val="32"/>
          <w:highlight w:val="none"/>
          <w:lang w:val="en-US" w:eastAsia="zh-CN"/>
        </w:rPr>
        <w:t>10</w:t>
      </w:r>
      <w:r>
        <w:rPr>
          <w:rFonts w:hint="eastAsia" w:ascii="Times New Roman" w:hAnsi="Times New Roman" w:eastAsia="仿宋_GB2312" w:cs="Times New Roman"/>
          <w:b w:val="0"/>
          <w:bCs w:val="0"/>
          <w:sz w:val="32"/>
          <w:szCs w:val="32"/>
          <w:highlight w:val="none"/>
          <w:lang w:val="zh-CN" w:eastAsia="zh-CN"/>
        </w:rPr>
        <w:t>月</w:t>
      </w:r>
      <w:r>
        <w:rPr>
          <w:rFonts w:hint="eastAsia" w:ascii="Times New Roman" w:hAnsi="Times New Roman" w:eastAsia="仿宋_GB2312" w:cs="Times New Roman"/>
          <w:sz w:val="32"/>
          <w:szCs w:val="32"/>
          <w:highlight w:val="none"/>
          <w:lang w:val="zh-CN" w:eastAsia="zh-CN"/>
        </w:rPr>
        <w:t>预算执行数</w:t>
      </w:r>
      <w:r>
        <w:rPr>
          <w:rFonts w:hint="eastAsia" w:ascii="Times New Roman" w:hAnsi="Times New Roman" w:eastAsia="仿宋_GB2312" w:cs="Times New Roman"/>
          <w:sz w:val="32"/>
          <w:szCs w:val="32"/>
          <w:highlight w:val="none"/>
          <w:lang w:val="en-US" w:eastAsia="zh-CN"/>
        </w:rPr>
        <w:t>3370.2万元</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月支出预警金额</w:t>
      </w:r>
      <w:r>
        <w:rPr>
          <w:rFonts w:hint="eastAsia" w:ascii="Times New Roman" w:hAnsi="Times New Roman" w:eastAsia="仿宋_GB2312" w:cs="Times New Roman"/>
          <w:sz w:val="32"/>
          <w:szCs w:val="32"/>
          <w:highlight w:val="none"/>
          <w:lang w:val="en-US" w:eastAsia="zh-CN"/>
        </w:rPr>
        <w:t>1780.02万元（支出预警金额为消费券资金，系统预警规则为单笔支出大于100万元则预警，预警支出已上传相关附件资料，且已通过支付中心审核），2025年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月支出总金额</w:t>
      </w:r>
      <w:r>
        <w:rPr>
          <w:rFonts w:hint="eastAsia" w:ascii="Times New Roman" w:hAnsi="Times New Roman" w:eastAsia="仿宋_GB2312" w:cs="Times New Roman"/>
          <w:sz w:val="32"/>
          <w:szCs w:val="32"/>
          <w:highlight w:val="none"/>
          <w:lang w:val="en-US" w:eastAsia="zh-CN"/>
        </w:rPr>
        <w:t>3370.2万元，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w:t>
      </w:r>
      <w:r>
        <w:rPr>
          <w:rFonts w:hint="eastAsia" w:ascii="Times New Roman" w:hAnsi="Times New Roman" w:eastAsia="仿宋_GB2312" w:cs="Times New Roman"/>
          <w:b/>
          <w:bCs/>
          <w:sz w:val="32"/>
          <w:szCs w:val="32"/>
          <w:highlight w:val="none"/>
          <w:lang w:val="en-US" w:eastAsia="zh-CN"/>
        </w:rPr>
        <w:t>10</w:t>
      </w:r>
      <w:r>
        <w:rPr>
          <w:rFonts w:hint="eastAsia" w:ascii="Times New Roman" w:hAnsi="Times New Roman" w:eastAsia="仿宋_GB2312" w:cs="Times New Roman"/>
          <w:b/>
          <w:bCs/>
          <w:sz w:val="32"/>
          <w:szCs w:val="32"/>
          <w:highlight w:val="none"/>
          <w:lang w:val="zh-CN" w:eastAsia="zh-CN"/>
        </w:rPr>
        <w:t>月支出预警金额占比</w:t>
      </w:r>
      <w:r>
        <w:rPr>
          <w:rFonts w:hint="eastAsia" w:ascii="Times New Roman" w:hAnsi="Times New Roman" w:eastAsia="仿宋_GB2312" w:cs="Times New Roman"/>
          <w:b/>
          <w:bCs/>
          <w:sz w:val="32"/>
          <w:szCs w:val="32"/>
          <w:highlight w:val="none"/>
          <w:lang w:val="en-US" w:eastAsia="zh-CN"/>
        </w:rPr>
        <w:t>52.82%。</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月支出违规金额</w:t>
      </w:r>
      <w:r>
        <w:rPr>
          <w:rFonts w:hint="eastAsia" w:ascii="Times New Roman" w:hAnsi="Times New Roman" w:eastAsia="仿宋_GB2312" w:cs="Times New Roman"/>
          <w:sz w:val="32"/>
          <w:szCs w:val="32"/>
          <w:highlight w:val="none"/>
          <w:lang w:val="en-US" w:eastAsia="zh-CN"/>
        </w:rPr>
        <w:t>0万元，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w:t>
      </w:r>
      <w:r>
        <w:rPr>
          <w:rFonts w:hint="eastAsia" w:ascii="Times New Roman" w:hAnsi="Times New Roman" w:eastAsia="仿宋_GB2312" w:cs="Times New Roman"/>
          <w:b/>
          <w:bCs/>
          <w:sz w:val="32"/>
          <w:szCs w:val="32"/>
          <w:highlight w:val="none"/>
          <w:lang w:val="en-US" w:eastAsia="zh-CN"/>
        </w:rPr>
        <w:t>10</w:t>
      </w:r>
      <w:r>
        <w:rPr>
          <w:rFonts w:hint="eastAsia" w:ascii="Times New Roman" w:hAnsi="Times New Roman" w:eastAsia="仿宋_GB2312" w:cs="Times New Roman"/>
          <w:b/>
          <w:bCs/>
          <w:sz w:val="32"/>
          <w:szCs w:val="32"/>
          <w:highlight w:val="none"/>
          <w:lang w:val="zh-CN" w:eastAsia="zh-CN"/>
        </w:rPr>
        <w:t>月支出违规金额占比</w:t>
      </w:r>
      <w:r>
        <w:rPr>
          <w:rFonts w:hint="eastAsia" w:ascii="Times New Roman" w:hAnsi="Times New Roman" w:eastAsia="仿宋_GB2312" w:cs="Times New Roman"/>
          <w:b/>
          <w:bCs/>
          <w:sz w:val="32"/>
          <w:szCs w:val="32"/>
          <w:highlight w:val="none"/>
          <w:lang w:val="en-US" w:eastAsia="zh-CN"/>
        </w:rPr>
        <w:t>为0。</w:t>
      </w:r>
    </w:p>
    <w:p w14:paraId="431523FB">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1至6月预算执行数÷（部门预算数×50%）×2）+（1-1至6月支出预警金额占比×0.8-1至6月支出违规金额占比×0.2）+（1至10月预算执行数÷（部门预算数×83.33%）×2）+（1-1至10月支出预警金额占比×0.8-1至10月支出违规金额占比×0.2）</w:t>
      </w:r>
      <w:r>
        <w:rPr>
          <w:rFonts w:hint="eastAsia" w:ascii="Times New Roman" w:hAnsi="Times New Roman" w:eastAsia="仿宋_GB2312" w:cs="Times New Roman"/>
          <w:sz w:val="32"/>
          <w:szCs w:val="32"/>
          <w:highlight w:val="none"/>
          <w:lang w:val="en-US" w:eastAsia="zh-CN"/>
        </w:rPr>
        <w:t>=5.12分。</w:t>
      </w:r>
    </w:p>
    <w:p w14:paraId="2D44E1B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zh-CN" w:eastAsia="zh-CN"/>
        </w:rPr>
        <w:t>预算年终结余。</w:t>
      </w:r>
    </w:p>
    <w:p w14:paraId="26AF14C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w:t>
      </w:r>
      <w:r>
        <w:rPr>
          <w:rFonts w:hint="eastAsia" w:ascii="Times New Roman" w:hAnsi="Times New Roman" w:eastAsia="仿宋_GB2312" w:cs="Times New Roman"/>
          <w:sz w:val="32"/>
          <w:szCs w:val="32"/>
          <w:highlight w:val="none"/>
          <w:lang w:val="zh-CN" w:eastAsia="zh-CN"/>
        </w:rPr>
        <w:t>终部门预算注销金额合计</w:t>
      </w:r>
      <w:r>
        <w:rPr>
          <w:rFonts w:hint="eastAsia" w:ascii="Times New Roman" w:hAnsi="Times New Roman" w:eastAsia="仿宋_GB2312" w:cs="Times New Roman"/>
          <w:sz w:val="32"/>
          <w:szCs w:val="32"/>
          <w:highlight w:val="none"/>
          <w:lang w:val="en-US" w:eastAsia="zh-CN"/>
        </w:rPr>
        <w:t>0.00万元、</w:t>
      </w:r>
      <w:r>
        <w:rPr>
          <w:rFonts w:hint="eastAsia" w:ascii="Times New Roman" w:hAnsi="Times New Roman" w:eastAsia="仿宋_GB2312" w:cs="Times New Roman"/>
          <w:sz w:val="32"/>
          <w:szCs w:val="32"/>
          <w:highlight w:val="none"/>
          <w:lang w:val="zh-CN" w:eastAsia="zh-CN"/>
        </w:rPr>
        <w:t>年终部门预算</w:t>
      </w:r>
      <w:r>
        <w:rPr>
          <w:rFonts w:hint="eastAsia" w:ascii="Times New Roman" w:hAnsi="Times New Roman" w:eastAsia="仿宋_GB2312" w:cs="Times New Roman"/>
          <w:sz w:val="32"/>
          <w:szCs w:val="32"/>
          <w:highlight w:val="none"/>
          <w:lang w:val="en-US" w:eastAsia="zh-CN"/>
        </w:rPr>
        <w:t>结余</w:t>
      </w:r>
      <w:r>
        <w:rPr>
          <w:rFonts w:hint="eastAsia" w:ascii="Times New Roman" w:hAnsi="Times New Roman" w:eastAsia="仿宋_GB2312" w:cs="Times New Roman"/>
          <w:sz w:val="32"/>
          <w:szCs w:val="32"/>
          <w:highlight w:val="none"/>
          <w:lang w:val="zh-CN" w:eastAsia="zh-CN"/>
        </w:rPr>
        <w:t>结转金额合计</w:t>
      </w:r>
      <w:r>
        <w:rPr>
          <w:rFonts w:hint="eastAsia" w:ascii="Times New Roman" w:hAnsi="Times New Roman" w:eastAsia="仿宋_GB2312" w:cs="Times New Roman"/>
          <w:sz w:val="32"/>
          <w:szCs w:val="32"/>
          <w:highlight w:val="none"/>
          <w:lang w:val="en-US" w:eastAsia="zh-CN"/>
        </w:rPr>
        <w:t>0.00万元，</w:t>
      </w:r>
      <w:r>
        <w:rPr>
          <w:rFonts w:hint="eastAsia" w:ascii="Times New Roman" w:hAnsi="Times New Roman" w:eastAsia="仿宋_GB2312" w:cs="Times New Roman"/>
          <w:sz w:val="32"/>
          <w:szCs w:val="32"/>
          <w:highlight w:val="none"/>
          <w:lang w:val="zh-CN" w:eastAsia="zh-CN"/>
        </w:rPr>
        <w:t>调整后的年度部门预算数</w:t>
      </w:r>
      <w:r>
        <w:rPr>
          <w:rFonts w:hint="eastAsia" w:ascii="Times New Roman" w:hAnsi="Times New Roman" w:eastAsia="仿宋_GB2312" w:cs="Times New Roman"/>
          <w:sz w:val="32"/>
          <w:szCs w:val="32"/>
          <w:highlight w:val="none"/>
          <w:lang w:val="en-US" w:eastAsia="zh-CN"/>
        </w:rPr>
        <w:t>4738.25万元，</w:t>
      </w:r>
      <w:r>
        <w:rPr>
          <w:rFonts w:hint="eastAsia" w:ascii="Times New Roman" w:hAnsi="Times New Roman" w:eastAsia="仿宋_GB2312" w:cs="Times New Roman"/>
          <w:sz w:val="32"/>
          <w:szCs w:val="32"/>
          <w:highlight w:val="none"/>
          <w:lang w:val="zh-CN" w:eastAsia="zh-CN"/>
        </w:rPr>
        <w:t>部门整体预算结余率</w:t>
      </w:r>
      <w:r>
        <w:rPr>
          <w:rFonts w:hint="eastAsia" w:ascii="Times New Roman" w:hAnsi="Times New Roman" w:eastAsia="仿宋_GB2312" w:cs="Times New Roman"/>
          <w:sz w:val="32"/>
          <w:szCs w:val="32"/>
          <w:highlight w:val="none"/>
          <w:lang w:val="en-US" w:eastAsia="zh-CN"/>
        </w:rPr>
        <w:t>0%。</w:t>
      </w:r>
    </w:p>
    <w:p w14:paraId="0649FEB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该项指标得分=（1-部门整体预算结余率）×100%×2</w:t>
      </w:r>
      <w:r>
        <w:rPr>
          <w:rFonts w:hint="eastAsia" w:ascii="Times New Roman" w:hAnsi="Times New Roman" w:eastAsia="仿宋_GB2312" w:cs="Times New Roman"/>
          <w:sz w:val="32"/>
          <w:szCs w:val="32"/>
          <w:highlight w:val="none"/>
          <w:lang w:val="en-US" w:eastAsia="zh-CN"/>
        </w:rPr>
        <w:t>=2分</w:t>
      </w:r>
      <w:r>
        <w:rPr>
          <w:rFonts w:hint="eastAsia" w:ascii="Times New Roman" w:hAnsi="Times New Roman" w:eastAsia="仿宋_GB2312" w:cs="Times New Roman"/>
          <w:sz w:val="32"/>
          <w:szCs w:val="32"/>
          <w:highlight w:val="none"/>
          <w:lang w:val="zh-CN" w:eastAsia="zh-CN"/>
        </w:rPr>
        <w:t>。</w:t>
      </w:r>
    </w:p>
    <w:p w14:paraId="027D4BC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zh-CN" w:eastAsia="zh-CN"/>
        </w:rPr>
        <w:t>严控一般性支出。</w:t>
      </w:r>
    </w:p>
    <w:p w14:paraId="1EDF3B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基础分值：</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p>
    <w:p w14:paraId="3115034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加分值：</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2024年实现压减，得2分</w:t>
      </w:r>
      <w:r>
        <w:rPr>
          <w:rFonts w:hint="eastAsia" w:ascii="Times New Roman" w:hAnsi="Times New Roman" w:eastAsia="仿宋_GB2312" w:cs="Times New Roman"/>
          <w:sz w:val="32"/>
          <w:szCs w:val="32"/>
          <w:highlight w:val="none"/>
          <w:lang w:val="zh-CN" w:eastAsia="zh-CN"/>
        </w:rPr>
        <w:t>。</w:t>
      </w:r>
    </w:p>
    <w:p w14:paraId="2DF1A859">
      <w:pPr>
        <w:keepNext w:val="0"/>
        <w:keepLines w:val="0"/>
        <w:pageBreakBefore w:val="0"/>
        <w:widowControl w:val="0"/>
        <w:kinsoku/>
        <w:wordWrap/>
        <w:overflowPunct/>
        <w:topLinePunct w:val="0"/>
        <w:bidi w:val="0"/>
        <w:spacing w:line="480" w:lineRule="exact"/>
        <w:ind w:left="0" w:leftChars="0" w:firstLine="0" w:firstLineChars="0"/>
        <w:jc w:val="cente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b/>
          <w:bCs/>
          <w:kern w:val="2"/>
          <w:sz w:val="28"/>
          <w:szCs w:val="28"/>
          <w:highlight w:val="none"/>
          <w:u w:val="single"/>
          <w:lang w:val="en-US" w:eastAsia="zh-CN" w:bidi="ar-SA"/>
        </w:rPr>
        <w:t>表1 一般性收支财政拨款年初预算压减率</w:t>
      </w:r>
    </w:p>
    <w:p w14:paraId="19A8B69E">
      <w:pPr>
        <w:keepNext w:val="0"/>
        <w:keepLines w:val="0"/>
        <w:pageBreakBefore w:val="0"/>
        <w:kinsoku/>
        <w:wordWrap/>
        <w:overflowPunct/>
        <w:topLinePunct w:val="0"/>
        <w:bidi w:val="0"/>
        <w:spacing w:line="480" w:lineRule="exact"/>
        <w:jc w:val="right"/>
        <w:rPr>
          <w:rFonts w:hint="eastAsia" w:ascii="Times New Roman" w:hAnsi="Times New Roman" w:eastAsia="仿宋_GB2312" w:cs="Times New Roman"/>
          <w:color w:val="000000"/>
          <w:kern w:val="0"/>
          <w:sz w:val="21"/>
          <w:szCs w:val="21"/>
          <w:highlight w:val="none"/>
          <w:shd w:val="clear" w:color="auto" w:fill="FFFFFF"/>
          <w:lang w:val="en-US" w:eastAsia="zh-CN"/>
        </w:rPr>
      </w:pPr>
      <w:r>
        <w:rPr>
          <w:rFonts w:hint="eastAsia" w:ascii="Times New Roman" w:hAnsi="Times New Roman" w:eastAsia="仿宋_GB2312" w:cs="Times New Roman"/>
          <w:color w:val="000000"/>
          <w:kern w:val="0"/>
          <w:sz w:val="21"/>
          <w:szCs w:val="21"/>
          <w:highlight w:val="none"/>
          <w:shd w:val="clear" w:color="auto" w:fill="FFFFFF"/>
          <w:lang w:val="en-US" w:eastAsia="zh-CN"/>
        </w:rPr>
        <w:t>单位：万元</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7"/>
        <w:gridCol w:w="1097"/>
        <w:gridCol w:w="1177"/>
        <w:gridCol w:w="1269"/>
        <w:gridCol w:w="1231"/>
        <w:gridCol w:w="1177"/>
        <w:gridCol w:w="1269"/>
      </w:tblGrid>
      <w:tr w14:paraId="4DB6F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6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95B2E1A">
            <w:pPr>
              <w:keepNext w:val="0"/>
              <w:keepLines w:val="0"/>
              <w:pageBreakBefore w:val="0"/>
              <w:widowControl/>
              <w:suppressLineNumbers w:val="0"/>
              <w:kinsoku/>
              <w:wordWrap/>
              <w:overflowPunct/>
              <w:topLinePunct w:val="0"/>
              <w:bidi w:val="0"/>
              <w:spacing w:line="480" w:lineRule="exact"/>
              <w:jc w:val="center"/>
              <w:textAlignment w:val="center"/>
              <w:rPr>
                <w:rFonts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一般性支出</w:t>
            </w:r>
          </w:p>
        </w:tc>
        <w:tc>
          <w:tcPr>
            <w:tcW w:w="6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E6E1A2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default" w:ascii="Times New Roman" w:hAnsi="Times New Roman" w:eastAsia="宋体" w:cs="Times New Roman"/>
                <w:b/>
                <w:bCs/>
                <w:i w:val="0"/>
                <w:iCs w:val="0"/>
                <w:color w:val="000000"/>
                <w:kern w:val="0"/>
                <w:sz w:val="21"/>
                <w:szCs w:val="21"/>
                <w:highlight w:val="none"/>
                <w:u w:val="none"/>
                <w:lang w:val="en-US" w:eastAsia="zh-CN" w:bidi="ar"/>
              </w:rPr>
              <w:t>202</w:t>
            </w:r>
            <w:r>
              <w:rPr>
                <w:rFonts w:hint="eastAsia" w:ascii="Times New Roman" w:hAnsi="Times New Roman" w:eastAsia="宋体" w:cs="Times New Roman"/>
                <w:b/>
                <w:bCs/>
                <w:i w:val="0"/>
                <w:iCs w:val="0"/>
                <w:color w:val="000000"/>
                <w:kern w:val="0"/>
                <w:sz w:val="21"/>
                <w:szCs w:val="21"/>
                <w:highlight w:val="none"/>
                <w:u w:val="none"/>
                <w:lang w:val="en-US" w:eastAsia="zh-CN" w:bidi="ar"/>
              </w:rPr>
              <w:t>4</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年度年初预算</w:t>
            </w:r>
          </w:p>
        </w:tc>
        <w:tc>
          <w:tcPr>
            <w:tcW w:w="690"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38D62F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eastAsia" w:ascii="Times New Roman" w:hAnsi="Times New Roman" w:eastAsia="宋体" w:cs="Times New Roman"/>
                <w:b/>
                <w:bCs/>
                <w:i w:val="0"/>
                <w:iCs w:val="0"/>
                <w:color w:val="000000"/>
                <w:kern w:val="0"/>
                <w:sz w:val="21"/>
                <w:szCs w:val="21"/>
                <w:highlight w:val="none"/>
                <w:u w:val="none"/>
                <w:lang w:val="en-US" w:eastAsia="zh-CN" w:bidi="ar"/>
              </w:rPr>
              <w:t>2025</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年度年初预算</w:t>
            </w:r>
          </w:p>
        </w:tc>
        <w:tc>
          <w:tcPr>
            <w:tcW w:w="7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20356E1">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较</w:t>
            </w:r>
            <w:r>
              <w:rPr>
                <w:rFonts w:hint="default" w:ascii="Times New Roman" w:hAnsi="Times New Roman" w:eastAsia="仿宋_GB2312" w:cs="Times New Roman"/>
                <w:b/>
                <w:bCs/>
                <w:i w:val="0"/>
                <w:iCs w:val="0"/>
                <w:color w:val="000000"/>
                <w:kern w:val="0"/>
                <w:sz w:val="21"/>
                <w:szCs w:val="21"/>
                <w:highlight w:val="none"/>
                <w:u w:val="none"/>
                <w:lang w:val="en-US" w:eastAsia="zh-CN" w:bidi="ar"/>
              </w:rPr>
              <w:t>202</w:t>
            </w:r>
            <w:r>
              <w:rPr>
                <w:rFonts w:hint="eastAsia" w:ascii="Times New Roman" w:hAnsi="Times New Roman" w:eastAsia="仿宋_GB2312" w:cs="Times New Roman"/>
                <w:b/>
                <w:bCs/>
                <w:i w:val="0"/>
                <w:iCs w:val="0"/>
                <w:color w:val="000000"/>
                <w:kern w:val="0"/>
                <w:sz w:val="21"/>
                <w:szCs w:val="21"/>
                <w:highlight w:val="none"/>
                <w:u w:val="none"/>
                <w:lang w:val="en-US" w:eastAsia="zh-CN" w:bidi="ar"/>
              </w:rPr>
              <w:t>4</w:t>
            </w:r>
            <w:r>
              <w:rPr>
                <w:rFonts w:hint="default" w:ascii="仿宋_GB2312" w:hAnsi="宋体" w:eastAsia="仿宋_GB2312" w:cs="仿宋_GB2312"/>
                <w:b/>
                <w:bCs/>
                <w:i w:val="0"/>
                <w:iCs w:val="0"/>
                <w:color w:val="000000"/>
                <w:kern w:val="0"/>
                <w:sz w:val="21"/>
                <w:szCs w:val="21"/>
                <w:highlight w:val="none"/>
                <w:u w:val="none"/>
                <w:lang w:val="en-US" w:eastAsia="zh-CN" w:bidi="ar"/>
              </w:rPr>
              <w:t>年压减率</w:t>
            </w:r>
          </w:p>
        </w:tc>
        <w:tc>
          <w:tcPr>
            <w:tcW w:w="72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A0A185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default" w:ascii="Times New Roman" w:hAnsi="Times New Roman" w:eastAsia="宋体" w:cs="Times New Roman"/>
                <w:b/>
                <w:bCs/>
                <w:i w:val="0"/>
                <w:iCs w:val="0"/>
                <w:color w:val="000000"/>
                <w:kern w:val="0"/>
                <w:sz w:val="21"/>
                <w:szCs w:val="21"/>
                <w:highlight w:val="none"/>
                <w:u w:val="none"/>
                <w:lang w:val="en-US" w:eastAsia="zh-CN" w:bidi="ar"/>
              </w:rPr>
              <w:t>202</w:t>
            </w:r>
            <w:r>
              <w:rPr>
                <w:rFonts w:hint="eastAsia" w:ascii="Times New Roman" w:hAnsi="Times New Roman" w:eastAsia="宋体" w:cs="Times New Roman"/>
                <w:b/>
                <w:bCs/>
                <w:i w:val="0"/>
                <w:iCs w:val="0"/>
                <w:color w:val="000000"/>
                <w:kern w:val="0"/>
                <w:sz w:val="21"/>
                <w:szCs w:val="21"/>
                <w:highlight w:val="none"/>
                <w:u w:val="none"/>
                <w:lang w:val="en-US" w:eastAsia="zh-CN" w:bidi="ar"/>
              </w:rPr>
              <w:t>4</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年度预算执行</w:t>
            </w:r>
          </w:p>
        </w:tc>
        <w:tc>
          <w:tcPr>
            <w:tcW w:w="690"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13A403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eastAsia" w:ascii="Times New Roman" w:hAnsi="Times New Roman" w:eastAsia="宋体" w:cs="Times New Roman"/>
                <w:b/>
                <w:bCs/>
                <w:i w:val="0"/>
                <w:iCs w:val="0"/>
                <w:color w:val="000000"/>
                <w:kern w:val="0"/>
                <w:sz w:val="21"/>
                <w:szCs w:val="21"/>
                <w:highlight w:val="none"/>
                <w:u w:val="none"/>
                <w:lang w:val="en-US" w:eastAsia="zh-CN" w:bidi="ar"/>
              </w:rPr>
              <w:t>2025</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年度预算执行</w:t>
            </w:r>
          </w:p>
        </w:tc>
        <w:tc>
          <w:tcPr>
            <w:tcW w:w="7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8BD1647">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较</w:t>
            </w:r>
            <w:r>
              <w:rPr>
                <w:rFonts w:hint="default" w:ascii="Times New Roman" w:hAnsi="Times New Roman" w:eastAsia="仿宋_GB2312" w:cs="Times New Roman"/>
                <w:b/>
                <w:bCs/>
                <w:i w:val="0"/>
                <w:iCs w:val="0"/>
                <w:color w:val="000000"/>
                <w:kern w:val="0"/>
                <w:sz w:val="21"/>
                <w:szCs w:val="21"/>
                <w:highlight w:val="none"/>
                <w:u w:val="none"/>
                <w:lang w:val="en-US" w:eastAsia="zh-CN" w:bidi="ar"/>
              </w:rPr>
              <w:t>202</w:t>
            </w:r>
            <w:r>
              <w:rPr>
                <w:rFonts w:hint="eastAsia" w:ascii="Times New Roman" w:hAnsi="Times New Roman" w:eastAsia="仿宋_GB2312" w:cs="Times New Roman"/>
                <w:b/>
                <w:bCs/>
                <w:i w:val="0"/>
                <w:iCs w:val="0"/>
                <w:color w:val="000000"/>
                <w:kern w:val="0"/>
                <w:sz w:val="21"/>
                <w:szCs w:val="21"/>
                <w:highlight w:val="none"/>
                <w:u w:val="none"/>
                <w:lang w:val="en-US" w:eastAsia="zh-CN" w:bidi="ar"/>
              </w:rPr>
              <w:t>4</w:t>
            </w:r>
            <w:r>
              <w:rPr>
                <w:rFonts w:hint="default" w:ascii="仿宋_GB2312" w:hAnsi="宋体" w:eastAsia="仿宋_GB2312" w:cs="仿宋_GB2312"/>
                <w:b/>
                <w:bCs/>
                <w:i w:val="0"/>
                <w:iCs w:val="0"/>
                <w:color w:val="000000"/>
                <w:kern w:val="0"/>
                <w:sz w:val="21"/>
                <w:szCs w:val="21"/>
                <w:highlight w:val="none"/>
                <w:u w:val="none"/>
                <w:lang w:val="en-US" w:eastAsia="zh-CN" w:bidi="ar"/>
              </w:rPr>
              <w:t>年压减率</w:t>
            </w:r>
          </w:p>
        </w:tc>
      </w:tr>
      <w:tr w14:paraId="79799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ECF5">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“三公”</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AFD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45.96</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C08D">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37.96</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2C8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17.4%</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F29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39.18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1CC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35.81</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B63D">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8.6%</w:t>
            </w:r>
          </w:p>
        </w:tc>
      </w:tr>
      <w:tr w14:paraId="66A4C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C371">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会议</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66F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58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3464">
            <w:pPr>
              <w:keepNext w:val="0"/>
              <w:keepLines w:val="0"/>
              <w:pageBreakBefore w:val="0"/>
              <w:widowControl/>
              <w:suppressLineNumbers w:val="0"/>
              <w:kinsoku/>
              <w:wordWrap/>
              <w:overflowPunct/>
              <w:topLinePunct w:val="0"/>
              <w:bidi w:val="0"/>
              <w:spacing w:line="480" w:lineRule="exact"/>
              <w:ind w:firstLine="420" w:firstLineChars="2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45</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C09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C699">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92.18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EFB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50.59</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C6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45.12%</w:t>
            </w:r>
          </w:p>
        </w:tc>
      </w:tr>
      <w:tr w14:paraId="2D013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92F4">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培训</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B982">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5.34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3D4A3">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5.67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43E2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71D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6.34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941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0.57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5E4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91%</w:t>
            </w:r>
          </w:p>
        </w:tc>
      </w:tr>
      <w:tr w14:paraId="05B2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4BAB">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差旅</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C9FA">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63.91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DBCC">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65.87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2CF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E4F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69.4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B62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70.78</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42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r>
      <w:tr w14:paraId="1FD33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FA78">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办节办展</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D2E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52BE">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D9DB">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769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8152">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8A30">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r>
      <w:tr w14:paraId="4B2C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E436">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办公设备购置</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6992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330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00AB">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CBE6">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13.29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D6C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15.11</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30CF">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eastAsia" w:ascii="Times New Roman" w:hAnsi="Times New Roman" w:eastAsia="宋体" w:cs="Times New Roman"/>
                <w:i w:val="0"/>
                <w:iCs w:val="0"/>
                <w:color w:val="000000"/>
                <w:kern w:val="0"/>
                <w:sz w:val="21"/>
                <w:szCs w:val="21"/>
                <w:highlight w:val="none"/>
                <w:u w:val="none"/>
                <w:lang w:val="en-US" w:eastAsia="zh-CN" w:bidi="ar"/>
              </w:rPr>
              <w:t>0%</w:t>
            </w:r>
          </w:p>
        </w:tc>
      </w:tr>
      <w:tr w14:paraId="66F07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5AF6">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信息网络及软件购置更新</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1E9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4D3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843C">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E0BA">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1.19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5E6C">
            <w:pPr>
              <w:keepNext w:val="0"/>
              <w:keepLines w:val="0"/>
              <w:pageBreakBefore w:val="0"/>
              <w:widowControl/>
              <w:suppressLineNumbers w:val="0"/>
              <w:kinsoku/>
              <w:wordWrap/>
              <w:overflowPunct/>
              <w:topLinePunct w:val="0"/>
              <w:bidi w:val="0"/>
              <w:spacing w:line="480" w:lineRule="exact"/>
              <w:jc w:val="center"/>
              <w:textAlignment w:val="center"/>
              <w:rPr>
                <w:rFonts w:hint="eastAsia"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8342">
            <w:pPr>
              <w:keepNext w:val="0"/>
              <w:keepLines w:val="0"/>
              <w:pageBreakBefore w:val="0"/>
              <w:kinsoku/>
              <w:wordWrap/>
              <w:overflowPunct/>
              <w:topLinePunct w:val="0"/>
              <w:bidi w:val="0"/>
              <w:spacing w:line="480" w:lineRule="exact"/>
              <w:jc w:val="center"/>
              <w:rPr>
                <w:rFonts w:hint="default" w:ascii="宋体" w:hAnsi="宋体" w:eastAsia="宋体" w:cs="宋体"/>
                <w:i w:val="0"/>
                <w:iCs w:val="0"/>
                <w:color w:val="000000"/>
                <w:sz w:val="22"/>
                <w:szCs w:val="22"/>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100%</w:t>
            </w:r>
          </w:p>
        </w:tc>
      </w:tr>
      <w:tr w14:paraId="791D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B10B">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课题经费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1DE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9881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E027">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3BE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AD87">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C7D2">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r>
      <w:tr w14:paraId="34A5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CB88">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kern w:val="0"/>
                <w:sz w:val="21"/>
                <w:szCs w:val="21"/>
                <w:highlight w:val="none"/>
                <w:u w:val="none"/>
                <w:lang w:val="en-US" w:eastAsia="zh-CN" w:bidi="ar"/>
              </w:rPr>
            </w:pPr>
            <w:r>
              <w:rPr>
                <w:rFonts w:hint="eastAsia" w:ascii="仿宋_GB2312" w:hAnsi="宋体" w:eastAsia="仿宋_GB2312" w:cs="仿宋_GB2312"/>
                <w:i w:val="0"/>
                <w:iCs w:val="0"/>
                <w:color w:val="000000"/>
                <w:kern w:val="0"/>
                <w:sz w:val="21"/>
                <w:szCs w:val="21"/>
                <w:highlight w:val="none"/>
                <w:u w:val="none"/>
                <w:lang w:val="en-US" w:eastAsia="zh-CN"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18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173.21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180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154.5</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5CC5">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10.8%</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384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221.58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15A1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172.86</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CBCD">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21.99%</w:t>
            </w:r>
          </w:p>
        </w:tc>
      </w:tr>
    </w:tbl>
    <w:p w14:paraId="5CD6C10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该项指标得分=</w:t>
      </w:r>
      <w:r>
        <w:rPr>
          <w:rFonts w:hint="eastAsia" w:ascii="Times New Roman" w:hAnsi="Times New Roman" w:eastAsia="仿宋_GB2312" w:cs="Times New Roman"/>
          <w:sz w:val="32"/>
          <w:szCs w:val="32"/>
          <w:highlight w:val="none"/>
          <w:lang w:val="en-US" w:eastAsia="zh-CN"/>
        </w:rPr>
        <w:t>基础分值2分+加分值3分=5分</w:t>
      </w:r>
      <w:r>
        <w:rPr>
          <w:rFonts w:hint="eastAsia" w:ascii="Times New Roman" w:hAnsi="Times New Roman" w:eastAsia="仿宋_GB2312" w:cs="Times New Roman"/>
          <w:sz w:val="32"/>
          <w:szCs w:val="32"/>
          <w:highlight w:val="none"/>
          <w:lang w:val="zh-CN" w:eastAsia="zh-CN"/>
        </w:rPr>
        <w:t>。</w:t>
      </w:r>
    </w:p>
    <w:p w14:paraId="6F4D05C9">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财务管理。</w:t>
      </w:r>
    </w:p>
    <w:p w14:paraId="16BDFEE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本部门已制度内部财务管理制度，并在工作中严格执行各项规章制度。本部门合理设置财务工作岗位，明确了职责权限，严格实行不相容岗位分离制度。本部门资金支出严格遵守财经纪律，内部管理制度等各项规章制度，严格审核各项支出，</w:t>
      </w:r>
      <w:r>
        <w:rPr>
          <w:rFonts w:hint="eastAsia" w:ascii="Times New Roman" w:hAnsi="Times New Roman" w:eastAsia="仿宋_GB2312" w:cs="Times New Roman"/>
          <w:sz w:val="32"/>
          <w:szCs w:val="32"/>
          <w:highlight w:val="none"/>
          <w:lang w:val="zh-CN" w:eastAsia="zh-CN"/>
        </w:rPr>
        <w:t>该项指标得分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14:paraId="6F5DE3BE">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w:t>
      </w:r>
      <w:r>
        <w:rPr>
          <w:rFonts w:hint="eastAsia" w:ascii="仿宋_GB2312" w:hAnsi="仿宋_GB2312" w:eastAsia="仿宋_GB2312" w:cs="仿宋_GB2312"/>
          <w:b/>
          <w:bCs/>
          <w:color w:val="000000"/>
          <w:kern w:val="0"/>
          <w:sz w:val="32"/>
          <w:szCs w:val="32"/>
          <w:highlight w:val="none"/>
          <w:shd w:val="clear" w:color="auto" w:fill="FFFFFF"/>
          <w:lang w:val="zh-CN"/>
        </w:rPr>
        <w:t>资产管理</w:t>
      </w:r>
      <w:r>
        <w:rPr>
          <w:rFonts w:hint="eastAsia" w:ascii="仿宋_GB2312" w:hAnsi="仿宋_GB2312" w:eastAsia="仿宋_GB2312" w:cs="仿宋_GB2312"/>
          <w:color w:val="000000"/>
          <w:kern w:val="0"/>
          <w:sz w:val="32"/>
          <w:szCs w:val="32"/>
          <w:highlight w:val="none"/>
          <w:shd w:val="clear" w:color="auto" w:fill="FFFFFF"/>
          <w:lang w:val="zh-CN"/>
        </w:rPr>
        <w:t>。</w:t>
      </w:r>
    </w:p>
    <w:p w14:paraId="4D91181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zh-CN" w:eastAsia="zh-CN"/>
        </w:rPr>
        <w:t>人均资产变化率。</w:t>
      </w:r>
    </w:p>
    <w:p w14:paraId="6CEEC8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本部门2024年年末固定资产和无形资产净值160.31万元，</w:t>
      </w:r>
      <w:r>
        <w:rPr>
          <w:rFonts w:hint="eastAsia" w:ascii="Times New Roman" w:hAnsi="Times New Roman" w:eastAsia="仿宋_GB2312" w:cs="Times New Roman"/>
          <w:sz w:val="32"/>
          <w:szCs w:val="32"/>
          <w:highlight w:val="none"/>
          <w:lang w:val="zh-CN" w:eastAsia="zh-CN"/>
        </w:rPr>
        <w:t>年末实有人数</w:t>
      </w:r>
      <w:r>
        <w:rPr>
          <w:rFonts w:hint="eastAsia" w:ascii="Times New Roman" w:hAnsi="Times New Roman" w:eastAsia="仿宋_GB2312" w:cs="Times New Roman"/>
          <w:sz w:val="32"/>
          <w:szCs w:val="32"/>
          <w:highlight w:val="none"/>
          <w:lang w:val="en-US" w:eastAsia="zh-CN"/>
        </w:rPr>
        <w:t>27人，</w:t>
      </w:r>
      <w:r>
        <w:rPr>
          <w:rFonts w:hint="eastAsia" w:ascii="Times New Roman" w:hAnsi="Times New Roman" w:eastAsia="仿宋_GB2312" w:cs="Times New Roman"/>
          <w:sz w:val="32"/>
          <w:szCs w:val="32"/>
          <w:highlight w:val="none"/>
          <w:lang w:val="zh-CN" w:eastAsia="zh-CN"/>
        </w:rPr>
        <w:t>单位人均占有资产</w:t>
      </w:r>
      <w:r>
        <w:rPr>
          <w:rFonts w:hint="eastAsia" w:ascii="Times New Roman" w:hAnsi="Times New Roman" w:eastAsia="仿宋_GB2312" w:cs="Times New Roman"/>
          <w:sz w:val="32"/>
          <w:szCs w:val="32"/>
          <w:highlight w:val="none"/>
          <w:lang w:val="en-US" w:eastAsia="zh-CN"/>
        </w:rPr>
        <w:t>5.94万元；2025年年末固定资产和无形资产净值136.1万元，</w:t>
      </w:r>
      <w:r>
        <w:rPr>
          <w:rFonts w:hint="eastAsia" w:ascii="Times New Roman" w:hAnsi="Times New Roman" w:eastAsia="仿宋_GB2312" w:cs="Times New Roman"/>
          <w:sz w:val="32"/>
          <w:szCs w:val="32"/>
          <w:highlight w:val="none"/>
          <w:lang w:val="zh-CN" w:eastAsia="zh-CN"/>
        </w:rPr>
        <w:t>年末实有人数</w:t>
      </w:r>
      <w:r>
        <w:rPr>
          <w:rFonts w:hint="eastAsia" w:ascii="Times New Roman" w:hAnsi="Times New Roman" w:eastAsia="仿宋_GB2312" w:cs="Times New Roman"/>
          <w:sz w:val="32"/>
          <w:szCs w:val="32"/>
          <w:highlight w:val="none"/>
          <w:lang w:val="en-US" w:eastAsia="zh-CN"/>
        </w:rPr>
        <w:t>25人，</w:t>
      </w:r>
      <w:r>
        <w:rPr>
          <w:rFonts w:hint="eastAsia" w:ascii="Times New Roman" w:hAnsi="Times New Roman" w:eastAsia="仿宋_GB2312" w:cs="Times New Roman"/>
          <w:sz w:val="32"/>
          <w:szCs w:val="32"/>
          <w:highlight w:val="none"/>
          <w:lang w:val="zh-CN" w:eastAsia="zh-CN"/>
        </w:rPr>
        <w:t>单位人均占有资产</w:t>
      </w:r>
      <w:r>
        <w:rPr>
          <w:rFonts w:hint="eastAsia" w:ascii="Times New Roman" w:hAnsi="Times New Roman" w:eastAsia="仿宋_GB2312" w:cs="Times New Roman"/>
          <w:sz w:val="32"/>
          <w:szCs w:val="32"/>
          <w:highlight w:val="none"/>
          <w:lang w:val="en-US" w:eastAsia="zh-CN"/>
        </w:rPr>
        <w:t>5.44万元。</w:t>
      </w:r>
    </w:p>
    <w:p w14:paraId="7274528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阿坝州商务局2025年部门</w:t>
      </w:r>
      <w:r>
        <w:rPr>
          <w:rFonts w:hint="eastAsia" w:ascii="Times New Roman" w:hAnsi="Times New Roman" w:eastAsia="仿宋_GB2312" w:cs="Times New Roman"/>
          <w:sz w:val="32"/>
          <w:szCs w:val="32"/>
          <w:highlight w:val="none"/>
          <w:lang w:val="zh-CN" w:eastAsia="zh-CN"/>
        </w:rPr>
        <w:t>人均资产变化率</w:t>
      </w:r>
      <w:r>
        <w:rPr>
          <w:rFonts w:hint="eastAsia" w:ascii="Times New Roman" w:hAnsi="Times New Roman" w:eastAsia="仿宋_GB2312" w:cs="Times New Roman"/>
          <w:sz w:val="32"/>
          <w:szCs w:val="32"/>
          <w:highlight w:val="none"/>
          <w:lang w:val="en-US" w:eastAsia="zh-CN"/>
        </w:rPr>
        <w:t>-8.42%，高于</w:t>
      </w:r>
      <w:r>
        <w:rPr>
          <w:rFonts w:hint="eastAsia" w:ascii="Times New Roman" w:hAnsi="Times New Roman" w:eastAsia="仿宋_GB2312" w:cs="Times New Roman"/>
          <w:sz w:val="32"/>
          <w:szCs w:val="32"/>
          <w:highlight w:val="none"/>
          <w:lang w:val="zh-CN" w:eastAsia="zh-CN"/>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zh-CN" w:eastAsia="zh-CN"/>
        </w:rPr>
        <w:t>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行政事业单位人均资产变化率</w:t>
      </w:r>
      <w:r>
        <w:rPr>
          <w:rFonts w:hint="eastAsia" w:ascii="Times New Roman" w:hAnsi="Times New Roman" w:eastAsia="仿宋_GB2312" w:cs="Times New Roman"/>
          <w:sz w:val="32"/>
          <w:szCs w:val="32"/>
          <w:highlight w:val="none"/>
          <w:lang w:val="en-US" w:eastAsia="zh-CN"/>
        </w:rPr>
        <w:t>-3.49%</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r>
        <w:rPr>
          <w:rFonts w:hint="eastAsia" w:ascii="Times New Roman" w:hAnsi="Times New Roman" w:eastAsia="仿宋_GB2312" w:cs="Times New Roman"/>
          <w:sz w:val="32"/>
          <w:szCs w:val="32"/>
          <w:highlight w:val="none"/>
          <w:lang w:val="zh-CN" w:eastAsia="zh-CN"/>
        </w:rPr>
        <w:t>202</w:t>
      </w:r>
      <w:r>
        <w:rPr>
          <w:rFonts w:hint="eastAsia" w:ascii="Times New Roman" w:hAnsi="Times New Roman" w:eastAsia="仿宋_GB2312" w:cs="Times New Roman"/>
          <w:sz w:val="32"/>
          <w:szCs w:val="32"/>
          <w:highlight w:val="none"/>
          <w:lang w:val="en-US" w:eastAsia="zh-CN"/>
        </w:rPr>
        <w:t>5部门</w:t>
      </w:r>
      <w:r>
        <w:rPr>
          <w:rFonts w:hint="eastAsia" w:ascii="Times New Roman" w:hAnsi="Times New Roman" w:eastAsia="仿宋_GB2312" w:cs="Times New Roman"/>
          <w:sz w:val="32"/>
          <w:szCs w:val="32"/>
          <w:highlight w:val="none"/>
          <w:lang w:val="zh-CN" w:eastAsia="zh-CN"/>
        </w:rPr>
        <w:t>人均资产</w:t>
      </w:r>
      <w:r>
        <w:rPr>
          <w:rFonts w:hint="eastAsia" w:ascii="Times New Roman" w:hAnsi="Times New Roman" w:eastAsia="仿宋_GB2312" w:cs="Times New Roman"/>
          <w:sz w:val="32"/>
          <w:szCs w:val="32"/>
          <w:highlight w:val="none"/>
          <w:lang w:val="en-US" w:eastAsia="zh-CN"/>
        </w:rPr>
        <w:t>增长</w:t>
      </w:r>
      <w:r>
        <w:rPr>
          <w:rFonts w:hint="eastAsia" w:ascii="Times New Roman" w:hAnsi="Times New Roman" w:eastAsia="仿宋_GB2312" w:cs="Times New Roman"/>
          <w:sz w:val="32"/>
          <w:szCs w:val="32"/>
          <w:highlight w:val="none"/>
          <w:lang w:val="zh-CN" w:eastAsia="zh-CN"/>
        </w:rPr>
        <w:t>率</w:t>
      </w:r>
      <w:r>
        <w:rPr>
          <w:rFonts w:hint="eastAsia" w:ascii="Times New Roman" w:hAnsi="Times New Roman" w:eastAsia="仿宋_GB2312" w:cs="Times New Roman"/>
          <w:sz w:val="32"/>
          <w:szCs w:val="32"/>
          <w:highlight w:val="none"/>
          <w:lang w:val="en-US" w:eastAsia="zh-CN"/>
        </w:rPr>
        <w:t>-8.42%，低于同期州</w:t>
      </w:r>
      <w:r>
        <w:rPr>
          <w:rFonts w:hint="eastAsia" w:ascii="Times New Roman" w:hAnsi="Times New Roman" w:eastAsia="仿宋_GB2312" w:cs="Times New Roman"/>
          <w:sz w:val="32"/>
          <w:szCs w:val="32"/>
          <w:highlight w:val="none"/>
          <w:lang w:val="zh-CN" w:eastAsia="zh-CN"/>
        </w:rPr>
        <w:t>级财政收入增长率</w:t>
      </w:r>
      <w:r>
        <w:rPr>
          <w:rFonts w:hint="eastAsia" w:ascii="Times New Roman" w:hAnsi="Times New Roman" w:eastAsia="仿宋_GB2312" w:cs="Times New Roman"/>
          <w:sz w:val="32"/>
          <w:szCs w:val="32"/>
          <w:highlight w:val="none"/>
          <w:lang w:val="en-US" w:eastAsia="zh-CN"/>
        </w:rPr>
        <w:t>17.1%</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p>
    <w:p w14:paraId="4D57AAA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zh-CN" w:eastAsia="zh-CN"/>
        </w:rPr>
        <w:t>资产利用率。</w:t>
      </w:r>
    </w:p>
    <w:p w14:paraId="46C2D05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办公家具方面，</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办公家具账面价值</w:t>
      </w:r>
      <w:r>
        <w:rPr>
          <w:rFonts w:hint="eastAsia" w:ascii="Times New Roman" w:hAnsi="Times New Roman" w:eastAsia="仿宋_GB2312" w:cs="Times New Roman"/>
          <w:sz w:val="32"/>
          <w:szCs w:val="32"/>
          <w:highlight w:val="none"/>
          <w:lang w:val="en-US" w:eastAsia="zh-CN"/>
        </w:rPr>
        <w:t>41.93万元</w:t>
      </w:r>
      <w:r>
        <w:rPr>
          <w:rFonts w:hint="eastAsia" w:ascii="Times New Roman" w:hAnsi="Times New Roman" w:eastAsia="仿宋_GB2312" w:cs="Times New Roman"/>
          <w:sz w:val="32"/>
          <w:szCs w:val="32"/>
          <w:highlight w:val="none"/>
          <w:lang w:val="zh-CN" w:eastAsia="zh-CN"/>
        </w:rPr>
        <w:t>、超最低使用年限的办公家具账面价值</w:t>
      </w:r>
      <w:r>
        <w:rPr>
          <w:rFonts w:hint="eastAsia" w:ascii="Times New Roman" w:hAnsi="Times New Roman" w:eastAsia="仿宋_GB2312" w:cs="Times New Roman"/>
          <w:sz w:val="32"/>
          <w:szCs w:val="32"/>
          <w:highlight w:val="none"/>
          <w:lang w:val="en-US" w:eastAsia="zh-CN"/>
        </w:rPr>
        <w:t>4.64万元</w:t>
      </w:r>
      <w:r>
        <w:rPr>
          <w:rFonts w:hint="eastAsia" w:ascii="Times New Roman" w:hAnsi="Times New Roman" w:eastAsia="仿宋_GB2312" w:cs="Times New Roman"/>
          <w:sz w:val="32"/>
          <w:szCs w:val="32"/>
          <w:highlight w:val="none"/>
          <w:lang w:val="zh-CN" w:eastAsia="zh-CN"/>
        </w:rPr>
        <w:t>。部门办公家具超最低使用年限资产利用率</w:t>
      </w:r>
      <w:r>
        <w:rPr>
          <w:rFonts w:hint="eastAsia" w:ascii="Times New Roman" w:hAnsi="Times New Roman" w:eastAsia="仿宋_GB2312" w:cs="Times New Roman"/>
          <w:sz w:val="32"/>
          <w:szCs w:val="32"/>
          <w:highlight w:val="none"/>
          <w:lang w:val="en-US" w:eastAsia="zh-CN"/>
        </w:rPr>
        <w:t>11.07%，低于</w:t>
      </w:r>
      <w:r>
        <w:rPr>
          <w:rFonts w:hint="eastAsia" w:ascii="Times New Roman" w:hAnsi="Times New Roman" w:eastAsia="仿宋_GB2312" w:cs="Times New Roman"/>
          <w:sz w:val="32"/>
          <w:szCs w:val="32"/>
          <w:highlight w:val="none"/>
          <w:lang w:val="zh-CN" w:eastAsia="zh-CN"/>
        </w:rPr>
        <w:t>2025年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行政事业单位平均值（办公家具）</w:t>
      </w:r>
      <w:r>
        <w:rPr>
          <w:rFonts w:hint="eastAsia" w:ascii="Times New Roman" w:hAnsi="Times New Roman" w:eastAsia="仿宋_GB2312" w:cs="Times New Roman"/>
          <w:sz w:val="32"/>
          <w:szCs w:val="32"/>
          <w:highlight w:val="none"/>
          <w:lang w:val="en-US" w:eastAsia="zh-CN"/>
        </w:rPr>
        <w:t>12.93</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该小项得0分。</w:t>
      </w:r>
    </w:p>
    <w:p w14:paraId="20EA2D6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en-US" w:eastAsia="zh-CN"/>
        </w:rPr>
        <w:t>办公设备方面，</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账面价值</w:t>
      </w:r>
      <w:r>
        <w:rPr>
          <w:rFonts w:hint="eastAsia" w:ascii="Times New Roman" w:hAnsi="Times New Roman" w:eastAsia="仿宋_GB2312" w:cs="Times New Roman"/>
          <w:sz w:val="32"/>
          <w:szCs w:val="32"/>
          <w:highlight w:val="none"/>
          <w:lang w:val="en-US" w:eastAsia="zh-CN"/>
        </w:rPr>
        <w:t>356.68万元</w:t>
      </w:r>
      <w:r>
        <w:rPr>
          <w:rFonts w:hint="eastAsia" w:ascii="Times New Roman" w:hAnsi="Times New Roman" w:eastAsia="仿宋_GB2312" w:cs="Times New Roman"/>
          <w:sz w:val="32"/>
          <w:szCs w:val="32"/>
          <w:highlight w:val="none"/>
          <w:lang w:val="zh-CN" w:eastAsia="zh-CN"/>
        </w:rPr>
        <w:t>、超最低使用年限的办公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账面价值</w:t>
      </w:r>
      <w:r>
        <w:rPr>
          <w:rFonts w:hint="eastAsia" w:ascii="Times New Roman" w:hAnsi="Times New Roman" w:eastAsia="仿宋_GB2312" w:cs="Times New Roman"/>
          <w:sz w:val="32"/>
          <w:szCs w:val="32"/>
          <w:highlight w:val="none"/>
          <w:lang w:val="en-US" w:eastAsia="zh-CN"/>
        </w:rPr>
        <w:t>191.1万元</w:t>
      </w:r>
      <w:r>
        <w:rPr>
          <w:rFonts w:hint="eastAsia" w:ascii="Times New Roman" w:hAnsi="Times New Roman" w:eastAsia="仿宋_GB2312" w:cs="Times New Roman"/>
          <w:sz w:val="32"/>
          <w:szCs w:val="32"/>
          <w:highlight w:val="none"/>
          <w:lang w:val="zh-CN" w:eastAsia="zh-CN"/>
        </w:rPr>
        <w:t>。部门办公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超最低使用年限资产利用率</w:t>
      </w:r>
      <w:r>
        <w:rPr>
          <w:rFonts w:hint="eastAsia" w:ascii="Times New Roman" w:hAnsi="Times New Roman" w:eastAsia="仿宋_GB2312" w:cs="Times New Roman"/>
          <w:sz w:val="32"/>
          <w:szCs w:val="32"/>
          <w:highlight w:val="none"/>
          <w:lang w:val="en-US" w:eastAsia="zh-CN"/>
        </w:rPr>
        <w:t>53.58%，高于</w:t>
      </w:r>
      <w:r>
        <w:rPr>
          <w:rFonts w:hint="eastAsia" w:ascii="Times New Roman" w:hAnsi="Times New Roman" w:eastAsia="仿宋_GB2312" w:cs="Times New Roman"/>
          <w:sz w:val="32"/>
          <w:szCs w:val="32"/>
          <w:highlight w:val="none"/>
          <w:lang w:val="zh-CN" w:eastAsia="zh-CN"/>
        </w:rPr>
        <w:t>2025年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行政事业单位平均值（办公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53.14</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p>
    <w:p w14:paraId="740C67CA">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资产盘活率。</w:t>
      </w:r>
    </w:p>
    <w:p w14:paraId="2817F03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阿坝州商务局2024年</w:t>
      </w:r>
      <w:r>
        <w:rPr>
          <w:rFonts w:hint="eastAsia" w:ascii="Times New Roman" w:hAnsi="Times New Roman" w:eastAsia="仿宋_GB2312" w:cs="Times New Roman"/>
          <w:sz w:val="32"/>
          <w:szCs w:val="32"/>
          <w:highlight w:val="none"/>
          <w:lang w:val="zh-CN" w:eastAsia="zh-CN"/>
        </w:rPr>
        <w:t>总资产原值</w:t>
      </w:r>
      <w:r>
        <w:rPr>
          <w:rFonts w:hint="eastAsia" w:ascii="Times New Roman" w:hAnsi="Times New Roman" w:eastAsia="仿宋_GB2312" w:cs="Times New Roman"/>
          <w:sz w:val="32"/>
          <w:szCs w:val="32"/>
          <w:highlight w:val="none"/>
          <w:lang w:val="en-US" w:eastAsia="zh-CN"/>
        </w:rPr>
        <w:t>504.54万元，2024年</w:t>
      </w:r>
      <w:r>
        <w:rPr>
          <w:rFonts w:hint="eastAsia" w:ascii="Times New Roman" w:hAnsi="Times New Roman" w:eastAsia="仿宋_GB2312" w:cs="Times New Roman"/>
          <w:sz w:val="32"/>
          <w:szCs w:val="32"/>
          <w:highlight w:val="none"/>
          <w:lang w:val="zh-CN" w:eastAsia="zh-CN"/>
        </w:rPr>
        <w:t>闲置资产原值</w:t>
      </w:r>
      <w:r>
        <w:rPr>
          <w:rFonts w:hint="eastAsia" w:ascii="Times New Roman" w:hAnsi="Times New Roman" w:eastAsia="仿宋_GB2312" w:cs="Times New Roman"/>
          <w:sz w:val="32"/>
          <w:szCs w:val="32"/>
          <w:highlight w:val="none"/>
          <w:lang w:val="en-US" w:eastAsia="zh-CN"/>
        </w:rPr>
        <w:t>0.00万元；2025年</w:t>
      </w:r>
      <w:r>
        <w:rPr>
          <w:rFonts w:hint="eastAsia" w:ascii="Times New Roman" w:hAnsi="Times New Roman" w:eastAsia="仿宋_GB2312" w:cs="Times New Roman"/>
          <w:sz w:val="32"/>
          <w:szCs w:val="32"/>
          <w:highlight w:val="none"/>
          <w:lang w:val="zh-CN" w:eastAsia="zh-CN"/>
        </w:rPr>
        <w:t>总资产原值</w:t>
      </w:r>
      <w:r>
        <w:rPr>
          <w:rFonts w:hint="eastAsia" w:ascii="Times New Roman" w:hAnsi="Times New Roman" w:eastAsia="仿宋_GB2312" w:cs="Times New Roman"/>
          <w:sz w:val="32"/>
          <w:szCs w:val="32"/>
          <w:highlight w:val="none"/>
          <w:lang w:val="en-US" w:eastAsia="zh-CN"/>
        </w:rPr>
        <w:t>408.88万元，2025年</w:t>
      </w:r>
      <w:r>
        <w:rPr>
          <w:rFonts w:hint="eastAsia" w:ascii="Times New Roman" w:hAnsi="Times New Roman" w:eastAsia="仿宋_GB2312" w:cs="Times New Roman"/>
          <w:sz w:val="32"/>
          <w:szCs w:val="32"/>
          <w:highlight w:val="none"/>
          <w:lang w:val="zh-CN" w:eastAsia="zh-CN"/>
        </w:rPr>
        <w:t>闲置资产原值</w:t>
      </w:r>
      <w:r>
        <w:rPr>
          <w:rFonts w:hint="eastAsia" w:ascii="Times New Roman" w:hAnsi="Times New Roman" w:eastAsia="仿宋_GB2312" w:cs="Times New Roman"/>
          <w:sz w:val="32"/>
          <w:szCs w:val="32"/>
          <w:highlight w:val="none"/>
          <w:lang w:val="en-US" w:eastAsia="zh-CN"/>
        </w:rPr>
        <w:t>0.00万元。</w:t>
      </w:r>
    </w:p>
    <w:p w14:paraId="2066DB6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部门闲置资产占比变化率</w:t>
      </w:r>
      <w:r>
        <w:rPr>
          <w:rFonts w:hint="eastAsia" w:ascii="Times New Roman" w:hAnsi="Times New Roman" w:eastAsia="仿宋_GB2312" w:cs="Times New Roman"/>
          <w:sz w:val="32"/>
          <w:szCs w:val="32"/>
          <w:highlight w:val="none"/>
          <w:lang w:val="en-US" w:eastAsia="zh-CN"/>
        </w:rPr>
        <w:t>为0，阿坝州商务局2024年和2025年均无闲置资产，得分3分。</w:t>
      </w:r>
    </w:p>
    <w:p w14:paraId="2686479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w:t>
      </w:r>
      <w:r>
        <w:rPr>
          <w:rFonts w:hint="eastAsia" w:ascii="仿宋_GB2312" w:hAnsi="仿宋_GB2312" w:eastAsia="仿宋_GB2312" w:cs="仿宋_GB2312"/>
          <w:b/>
          <w:bCs/>
          <w:color w:val="000000"/>
          <w:kern w:val="0"/>
          <w:sz w:val="32"/>
          <w:szCs w:val="32"/>
          <w:highlight w:val="none"/>
          <w:shd w:val="clear" w:color="auto" w:fill="FFFFFF"/>
          <w:lang w:val="zh-CN"/>
        </w:rPr>
        <w:t>采购管理。</w:t>
      </w:r>
    </w:p>
    <w:p w14:paraId="03B1B0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（1）支持中小企业发展。</w:t>
      </w:r>
    </w:p>
    <w:p w14:paraId="3B13E8F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楷体_GB2312" w:hAnsi="楷体_GB2312" w:eastAsia="仿宋_GB2312" w:cs="楷体_GB2312"/>
          <w:color w:val="000000"/>
          <w:kern w:val="0"/>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lang w:val="en-US" w:eastAsia="zh-CN"/>
        </w:rPr>
        <w:t>本部门2025年涉及27个政府采购项目，主要为西博会展馆搭建、展馆租赁及品牌推广、公车维修保养、购买保险等，均按政府采购要求，对适宜中小企业的预留采购份额面向中小企业采购，该项</w:t>
      </w:r>
      <w:r>
        <w:rPr>
          <w:rFonts w:hint="eastAsia" w:ascii="Times New Roman" w:hAnsi="Times New Roman" w:eastAsia="仿宋_GB2312" w:cs="Times New Roman"/>
          <w:color w:val="000000"/>
          <w:kern w:val="0"/>
          <w:sz w:val="32"/>
          <w:szCs w:val="32"/>
          <w:highlight w:val="none"/>
          <w:shd w:val="clear" w:color="auto" w:fill="FFFFFF"/>
          <w:lang w:val="en-US" w:eastAsia="zh-CN"/>
        </w:rPr>
        <w:t>得分3分</w:t>
      </w:r>
      <w:r>
        <w:rPr>
          <w:rFonts w:hint="eastAsia" w:ascii="Times New Roman" w:hAnsi="Times New Roman" w:eastAsia="仿宋_GB2312" w:cs="Times New Roman"/>
          <w:color w:val="000000"/>
          <w:kern w:val="0"/>
          <w:sz w:val="32"/>
          <w:szCs w:val="32"/>
          <w:highlight w:val="none"/>
          <w:shd w:val="clear" w:color="auto" w:fill="FFFFFF"/>
          <w:lang w:val="zh-CN"/>
        </w:rPr>
        <w:t>。</w:t>
      </w:r>
    </w:p>
    <w:p w14:paraId="202C995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采购执行率。</w:t>
      </w:r>
    </w:p>
    <w:p w14:paraId="209A993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本部门2025年涉及27个政府采购项目，项目实际支付总金额484.29万元，实际中标（签约）金额484.29万元。2025年政府采购总预算数484.29万元，2025年已完成采购项目节约金额0万元。</w:t>
      </w:r>
    </w:p>
    <w:p w14:paraId="1D39A73A">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政府采购实际支付总金额÷（</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政府采购总预算数-</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已完成采购项目节约金额）×100%×3</w:t>
      </w:r>
      <w:r>
        <w:rPr>
          <w:rFonts w:hint="eastAsia" w:ascii="Times New Roman" w:hAnsi="Times New Roman" w:eastAsia="仿宋_GB2312" w:cs="Times New Roman"/>
          <w:sz w:val="32"/>
          <w:szCs w:val="32"/>
          <w:highlight w:val="none"/>
          <w:lang w:val="en-US" w:eastAsia="zh-CN"/>
        </w:rPr>
        <w:t>=3分</w:t>
      </w:r>
      <w:r>
        <w:rPr>
          <w:rFonts w:hint="eastAsia" w:ascii="Times New Roman" w:hAnsi="Times New Roman" w:eastAsia="仿宋_GB2312" w:cs="Times New Roman"/>
          <w:sz w:val="32"/>
          <w:szCs w:val="32"/>
          <w:highlight w:val="none"/>
          <w:lang w:val="zh-CN" w:eastAsia="zh-CN"/>
        </w:rPr>
        <w:t>。</w:t>
      </w:r>
    </w:p>
    <w:p w14:paraId="5D07BD2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w:t>
      </w:r>
      <w:r>
        <w:rPr>
          <w:rFonts w:hint="eastAsia" w:ascii="楷体" w:hAnsi="楷体" w:eastAsia="楷体" w:cs="楷体"/>
          <w:b/>
          <w:bCs/>
          <w:color w:val="000000"/>
          <w:kern w:val="0"/>
          <w:sz w:val="32"/>
          <w:szCs w:val="32"/>
          <w:highlight w:val="none"/>
          <w:shd w:val="clear" w:color="auto" w:fill="FFFFFF"/>
          <w:lang w:val="en-US" w:eastAsia="zh-CN"/>
        </w:rPr>
        <w:t>二</w:t>
      </w:r>
      <w:r>
        <w:rPr>
          <w:rFonts w:hint="eastAsia" w:ascii="楷体" w:hAnsi="楷体" w:eastAsia="楷体" w:cs="楷体"/>
          <w:b/>
          <w:bCs/>
          <w:color w:val="000000"/>
          <w:kern w:val="0"/>
          <w:sz w:val="32"/>
          <w:szCs w:val="32"/>
          <w:highlight w:val="none"/>
          <w:shd w:val="clear" w:color="auto" w:fill="FFFFFF"/>
          <w:lang w:val="zh-CN"/>
        </w:rPr>
        <w:t>）部门预算项目绩效分析。</w:t>
      </w:r>
    </w:p>
    <w:p w14:paraId="04E431E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本</w:t>
      </w:r>
      <w:r>
        <w:rPr>
          <w:rFonts w:hint="default" w:ascii="Times New Roman" w:hAnsi="Times New Roman" w:eastAsia="仿宋_GB2312" w:cs="Times New Roman"/>
          <w:color w:val="000000"/>
          <w:kern w:val="0"/>
          <w:sz w:val="32"/>
          <w:szCs w:val="32"/>
          <w:highlight w:val="none"/>
          <w:shd w:val="clear" w:color="auto" w:fill="FFFFFF"/>
          <w:lang w:val="zh-CN"/>
        </w:rPr>
        <w:t>部门预算绩效评价指标体系“项目绩效”涉及</w:t>
      </w:r>
      <w:r>
        <w:rPr>
          <w:rFonts w:hint="eastAsia" w:ascii="Times New Roman" w:hAnsi="Times New Roman" w:eastAsia="仿宋_GB2312" w:cs="Times New Roman"/>
          <w:color w:val="000000"/>
          <w:kern w:val="0"/>
          <w:sz w:val="32"/>
          <w:szCs w:val="32"/>
          <w:highlight w:val="none"/>
          <w:shd w:val="clear" w:color="auto" w:fill="FFFFFF"/>
          <w:lang w:val="zh-CN"/>
        </w:rPr>
        <w:t>二、三级</w:t>
      </w:r>
      <w:r>
        <w:rPr>
          <w:rFonts w:hint="default" w:ascii="Times New Roman" w:hAnsi="Times New Roman" w:eastAsia="仿宋_GB2312" w:cs="Times New Roman"/>
          <w:color w:val="000000"/>
          <w:kern w:val="0"/>
          <w:sz w:val="32"/>
          <w:szCs w:val="32"/>
          <w:highlight w:val="none"/>
          <w:shd w:val="clear" w:color="auto" w:fill="FFFFFF"/>
          <w:lang w:val="zh-CN"/>
        </w:rPr>
        <w:t>指标绩效分析</w:t>
      </w:r>
      <w:r>
        <w:rPr>
          <w:rFonts w:hint="eastAsia" w:ascii="Times New Roman" w:hAnsi="Times New Roman" w:eastAsia="仿宋_GB2312" w:cs="Times New Roman"/>
          <w:color w:val="000000"/>
          <w:kern w:val="0"/>
          <w:sz w:val="32"/>
          <w:szCs w:val="32"/>
          <w:highlight w:val="none"/>
          <w:shd w:val="clear" w:color="auto" w:fill="FFFFFF"/>
          <w:lang w:val="en-US" w:eastAsia="zh-CN"/>
        </w:rPr>
        <w:t>及</w:t>
      </w:r>
      <w:r>
        <w:rPr>
          <w:rFonts w:hint="eastAsia" w:ascii="Times New Roman" w:hAnsi="Times New Roman" w:eastAsia="仿宋_GB2312" w:cs="Times New Roman"/>
          <w:color w:val="000000"/>
          <w:kern w:val="0"/>
          <w:sz w:val="32"/>
          <w:szCs w:val="32"/>
          <w:highlight w:val="none"/>
          <w:shd w:val="clear" w:color="auto" w:fill="FFFFFF"/>
          <w:lang w:val="zh-CN"/>
        </w:rPr>
        <w:t>评分</w:t>
      </w:r>
      <w:r>
        <w:rPr>
          <w:rFonts w:hint="eastAsia" w:ascii="Times New Roman" w:hAnsi="Times New Roman" w:eastAsia="仿宋_GB2312" w:cs="Times New Roman"/>
          <w:color w:val="000000"/>
          <w:kern w:val="0"/>
          <w:sz w:val="32"/>
          <w:szCs w:val="32"/>
          <w:highlight w:val="none"/>
          <w:shd w:val="clear" w:color="auto" w:fill="FFFFFF"/>
          <w:lang w:val="en-US" w:eastAsia="zh-CN"/>
        </w:rPr>
        <w:t>情况</w:t>
      </w:r>
      <w:r>
        <w:rPr>
          <w:rFonts w:hint="default" w:ascii="Times New Roman" w:hAnsi="Times New Roman" w:eastAsia="仿宋_GB2312" w:cs="Times New Roman"/>
          <w:color w:val="000000"/>
          <w:kern w:val="0"/>
          <w:sz w:val="32"/>
          <w:szCs w:val="32"/>
          <w:highlight w:val="none"/>
          <w:shd w:val="clear" w:color="auto" w:fill="FFFFFF"/>
          <w:lang w:val="zh-CN"/>
        </w:rPr>
        <w:t>，依次包括项目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14:paraId="63B17A9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000000"/>
          <w:kern w:val="0"/>
          <w:sz w:val="32"/>
          <w:szCs w:val="32"/>
          <w:highlight w:val="none"/>
          <w:shd w:val="clear" w:color="auto" w:fill="FFFFFF"/>
          <w:lang w:val="en-US" w:eastAsia="zh-CN"/>
        </w:rPr>
        <w:t>193.82</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4D0B09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一次性</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3591.37</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39791E2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项目决策。本部门严格按预算工作要求，开展项目事前评估，本部门</w:t>
      </w:r>
      <w:r>
        <w:rPr>
          <w:rFonts w:hint="eastAsia" w:ascii="仿宋_GB2312" w:hAnsi="仿宋_GB2312" w:eastAsia="仿宋_GB2312" w:cs="仿宋_GB2312"/>
          <w:color w:val="000000"/>
          <w:kern w:val="0"/>
          <w:sz w:val="32"/>
          <w:szCs w:val="32"/>
          <w:highlight w:val="none"/>
          <w:shd w:val="clear" w:color="auto" w:fill="FFFFFF"/>
          <w:lang w:val="en-US" w:eastAsia="zh-CN"/>
        </w:rPr>
        <w:t>共11</w:t>
      </w:r>
      <w:r>
        <w:rPr>
          <w:rFonts w:hint="eastAsia" w:ascii="仿宋_GB2312" w:hAnsi="仿宋_GB2312" w:eastAsia="仿宋_GB2312" w:cs="仿宋_GB2312"/>
          <w:color w:val="000000"/>
          <w:kern w:val="0"/>
          <w:sz w:val="32"/>
          <w:szCs w:val="32"/>
          <w:highlight w:val="none"/>
          <w:shd w:val="clear" w:color="auto" w:fill="FFFFFF"/>
          <w:lang w:val="zh-CN"/>
        </w:rPr>
        <w:t>个项目，无绩效目标与计划期内的任务量、预算安排不相匹配的部门预算阶段项目（含一次性项目），绩效目标设置科学合理、规范完整，严格按财政规定时间完成项目入库，</w:t>
      </w:r>
      <w:r>
        <w:rPr>
          <w:rFonts w:hint="eastAsia" w:ascii="仿宋_GB2312" w:hAnsi="仿宋_GB2312" w:eastAsia="仿宋_GB2312" w:cs="仿宋_GB2312"/>
          <w:color w:val="000000"/>
          <w:kern w:val="0"/>
          <w:sz w:val="32"/>
          <w:szCs w:val="32"/>
          <w:highlight w:val="none"/>
          <w:shd w:val="clear" w:color="auto" w:fill="FFFFFF"/>
          <w:lang w:val="en-US" w:eastAsia="zh-CN"/>
        </w:rPr>
        <w:t>该项得分12分。</w:t>
      </w:r>
    </w:p>
    <w:p w14:paraId="7023FEB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2.项目执行</w:t>
      </w:r>
      <w:r>
        <w:rPr>
          <w:rFonts w:hint="eastAsia" w:ascii="仿宋_GB2312" w:hAnsi="仿宋_GB2312" w:eastAsia="仿宋_GB2312" w:cs="仿宋_GB2312"/>
          <w:color w:val="000000"/>
          <w:kern w:val="0"/>
          <w:sz w:val="32"/>
          <w:szCs w:val="32"/>
          <w:highlight w:val="none"/>
          <w:shd w:val="clear" w:color="auto" w:fill="FFFFFF"/>
          <w:lang w:val="zh-CN"/>
        </w:rPr>
        <w:t>。本部门预算项目实际列支内容与绩效目标设置方向相符，</w:t>
      </w:r>
      <w:r>
        <w:rPr>
          <w:rFonts w:hint="eastAsia" w:ascii="仿宋_GB2312" w:hAnsi="仿宋_GB2312" w:eastAsia="仿宋_GB2312" w:cs="仿宋_GB2312"/>
          <w:color w:val="000000"/>
          <w:kern w:val="0"/>
          <w:sz w:val="32"/>
          <w:szCs w:val="32"/>
          <w:highlight w:val="none"/>
          <w:shd w:val="clear" w:color="auto" w:fill="FFFFFF"/>
          <w:lang w:val="en-US" w:eastAsia="zh-CN"/>
        </w:rPr>
        <w:t>本部门共11个项目，</w:t>
      </w:r>
      <w:r>
        <w:rPr>
          <w:rFonts w:hint="eastAsia" w:ascii="仿宋_GB2312" w:hAnsi="仿宋_GB2312" w:eastAsia="仿宋_GB2312" w:cs="仿宋_GB2312"/>
          <w:color w:val="000000"/>
          <w:kern w:val="0"/>
          <w:sz w:val="32"/>
          <w:szCs w:val="32"/>
          <w:highlight w:val="none"/>
          <w:shd w:val="clear" w:color="auto" w:fill="FFFFFF"/>
          <w:lang w:val="zh-CN"/>
        </w:rPr>
        <w:t>预算结余率小于10%的常年项目数量</w:t>
      </w:r>
      <w:r>
        <w:rPr>
          <w:rFonts w:hint="eastAsia" w:ascii="仿宋_GB2312" w:hAnsi="仿宋_GB2312" w:eastAsia="仿宋_GB2312" w:cs="仿宋_GB2312"/>
          <w:color w:val="000000"/>
          <w:kern w:val="0"/>
          <w:sz w:val="32"/>
          <w:szCs w:val="32"/>
          <w:highlight w:val="none"/>
          <w:shd w:val="clear" w:color="auto" w:fill="FFFFFF"/>
          <w:lang w:val="en-US" w:eastAsia="zh-CN"/>
        </w:rPr>
        <w:t>6个</w:t>
      </w:r>
      <w:r>
        <w:rPr>
          <w:rFonts w:hint="eastAsia" w:ascii="仿宋_GB2312" w:hAnsi="仿宋_GB2312" w:eastAsia="仿宋_GB2312" w:cs="仿宋_GB2312"/>
          <w:color w:val="000000"/>
          <w:kern w:val="0"/>
          <w:sz w:val="32"/>
          <w:szCs w:val="32"/>
          <w:highlight w:val="none"/>
          <w:shd w:val="clear" w:color="auto" w:fill="FFFFFF"/>
          <w:lang w:val="zh-CN"/>
        </w:rPr>
        <w:t>，预算结余率小于10%的一次性项目和阶段项目数量</w:t>
      </w:r>
      <w:r>
        <w:rPr>
          <w:rFonts w:hint="eastAsia" w:ascii="仿宋_GB2312" w:hAnsi="仿宋_GB2312" w:eastAsia="仿宋_GB2312" w:cs="仿宋_GB2312"/>
          <w:color w:val="000000"/>
          <w:kern w:val="0"/>
          <w:sz w:val="32"/>
          <w:szCs w:val="32"/>
          <w:highlight w:val="none"/>
          <w:shd w:val="clear" w:color="auto" w:fill="FFFFFF"/>
          <w:lang w:val="en-US" w:eastAsia="zh-CN"/>
        </w:rPr>
        <w:t>5个，该项得分12分。</w:t>
      </w:r>
    </w:p>
    <w:p w14:paraId="43D9B74D">
      <w:pPr>
        <w:keepNext w:val="0"/>
        <w:keepLines w:val="0"/>
        <w:pageBreakBefore w:val="0"/>
        <w:widowControl w:val="0"/>
        <w:tabs>
          <w:tab w:val="left" w:pos="3400"/>
        </w:tabs>
        <w:kinsoku/>
        <w:wordWrap/>
        <w:overflowPunct/>
        <w:topLinePunct w:val="0"/>
        <w:autoSpaceDE/>
        <w:autoSpaceDN/>
        <w:bidi w:val="0"/>
        <w:adjustRightInd/>
        <w:snapToGrid/>
        <w:spacing w:line="480" w:lineRule="exact"/>
        <w:ind w:left="0" w:firstLine="640"/>
        <w:rPr>
          <w:rFonts w:hint="eastAsia" w:ascii="仿宋_GB2312" w:hAnsi="仿宋_GB2312" w:eastAsia="仿宋_GB2312" w:cs="仿宋_GB2312"/>
          <w:b/>
          <w:bCs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en-US" w:eastAsia="zh-CN"/>
        </w:rPr>
        <w:t>本部门设置</w:t>
      </w:r>
      <w:r>
        <w:rPr>
          <w:rFonts w:hint="eastAsia" w:ascii="仿宋_GB2312" w:hAnsi="仿宋_GB2312" w:eastAsia="仿宋_GB2312" w:cs="仿宋_GB2312"/>
          <w:color w:val="000000"/>
          <w:kern w:val="0"/>
          <w:sz w:val="32"/>
          <w:szCs w:val="32"/>
          <w:highlight w:val="none"/>
          <w:shd w:val="clear" w:color="auto" w:fill="FFFFFF"/>
          <w:lang w:val="zh-CN"/>
        </w:rPr>
        <w:t>绩效目标数量指标</w:t>
      </w:r>
      <w:r>
        <w:rPr>
          <w:rFonts w:hint="eastAsia" w:ascii="仿宋_GB2312" w:hAnsi="仿宋_GB2312" w:eastAsia="仿宋_GB2312" w:cs="仿宋_GB2312"/>
          <w:color w:val="000000"/>
          <w:kern w:val="0"/>
          <w:sz w:val="32"/>
          <w:szCs w:val="32"/>
          <w:highlight w:val="none"/>
          <w:shd w:val="clear" w:color="auto" w:fill="FFFFFF"/>
          <w:lang w:val="en-US" w:eastAsia="zh-CN"/>
        </w:rPr>
        <w:t>项目11个，</w:t>
      </w:r>
      <w:r>
        <w:rPr>
          <w:rFonts w:hint="eastAsia" w:ascii="仿宋_GB2312" w:hAnsi="仿宋_GB2312" w:eastAsia="仿宋_GB2312" w:cs="仿宋_GB2312"/>
          <w:color w:val="000000"/>
          <w:kern w:val="0"/>
          <w:sz w:val="32"/>
          <w:szCs w:val="32"/>
          <w:highlight w:val="none"/>
          <w:shd w:val="clear" w:color="auto" w:fill="FFFFFF"/>
          <w:lang w:val="zh-CN"/>
        </w:rPr>
        <w:t>完成绩效目标数量指标数量</w:t>
      </w:r>
      <w:r>
        <w:rPr>
          <w:rFonts w:hint="eastAsia" w:ascii="仿宋_GB2312" w:hAnsi="仿宋_GB2312" w:eastAsia="仿宋_GB2312" w:cs="仿宋_GB2312"/>
          <w:color w:val="000000"/>
          <w:kern w:val="0"/>
          <w:sz w:val="32"/>
          <w:szCs w:val="32"/>
          <w:highlight w:val="none"/>
          <w:shd w:val="clear" w:color="auto" w:fill="FFFFFF"/>
          <w:lang w:val="en-US" w:eastAsia="zh-CN"/>
        </w:rPr>
        <w:t>的项目11个，本部门设置绩效目标效益指标的部门预算阶段项目（含一次性项目）11个，完成绩效目标效益指标的部门预算阶段项目（含一次性项目）11个，</w:t>
      </w:r>
      <w:r>
        <w:rPr>
          <w:rFonts w:hint="eastAsia" w:ascii="Times New Roman" w:hAnsi="Times New Roman" w:eastAsia="仿宋_GB2312" w:cs="Times New Roman"/>
          <w:sz w:val="32"/>
          <w:szCs w:val="32"/>
          <w:highlight w:val="none"/>
          <w:lang w:val="en-US" w:eastAsia="zh-CN"/>
        </w:rPr>
        <w:t>本部门预算项目绩效目标数量指标实现程度与预期目标未偏离，</w:t>
      </w:r>
      <w:r>
        <w:rPr>
          <w:rFonts w:hint="eastAsia" w:ascii="仿宋_GB2312" w:hAnsi="仿宋_GB2312" w:eastAsia="仿宋_GB2312" w:cs="仿宋_GB2312"/>
          <w:color w:val="000000"/>
          <w:kern w:val="0"/>
          <w:sz w:val="32"/>
          <w:szCs w:val="32"/>
          <w:highlight w:val="none"/>
          <w:shd w:val="clear" w:color="auto" w:fill="FFFFFF"/>
          <w:lang w:val="en-US" w:eastAsia="zh-CN"/>
        </w:rPr>
        <w:t>该项得分11分</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b/>
          <w:bCs w:val="0"/>
          <w:sz w:val="32"/>
          <w:szCs w:val="32"/>
          <w:highlight w:val="none"/>
          <w:lang w:val="en-US" w:eastAsia="zh-CN" w:bidi="ar-SA"/>
        </w:rPr>
        <w:t>绩效目标实现情况如下：</w:t>
      </w:r>
    </w:p>
    <w:p w14:paraId="37CCCE59">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bidi="ar-SA"/>
        </w:rPr>
        <w:t>（1）大力开展提振消费。</w:t>
      </w:r>
      <w:r>
        <w:rPr>
          <w:rFonts w:hint="eastAsia" w:ascii="仿宋_GB2312" w:hAnsi="仿宋_GB2312" w:eastAsia="仿宋_GB2312" w:cs="仿宋_GB2312"/>
          <w:b w:val="0"/>
          <w:bCs w:val="0"/>
          <w:sz w:val="32"/>
          <w:szCs w:val="32"/>
          <w:highlight w:val="none"/>
          <w:lang w:val="en-US" w:eastAsia="zh-CN"/>
        </w:rPr>
        <w:t>2025年</w:t>
      </w:r>
      <w:r>
        <w:rPr>
          <w:rFonts w:hint="eastAsia" w:ascii="仿宋_GB2312" w:hAnsi="仿宋_GB2312" w:eastAsia="仿宋_GB2312" w:cs="仿宋_GB2312"/>
          <w:b w:val="0"/>
          <w:bCs w:val="0"/>
          <w:sz w:val="32"/>
          <w:szCs w:val="32"/>
          <w:highlight w:val="none"/>
          <w:lang w:eastAsia="zh-CN"/>
        </w:rPr>
        <w:t>以来，累计安排资金</w:t>
      </w:r>
      <w:r>
        <w:rPr>
          <w:rFonts w:hint="eastAsia" w:ascii="仿宋_GB2312" w:hAnsi="仿宋_GB2312" w:eastAsia="仿宋_GB2312" w:cs="仿宋_GB2312"/>
          <w:b w:val="0"/>
          <w:bCs w:val="0"/>
          <w:sz w:val="32"/>
          <w:szCs w:val="32"/>
          <w:highlight w:val="none"/>
          <w:lang w:val="en-US" w:eastAsia="zh-CN"/>
        </w:rPr>
        <w:t>4000</w:t>
      </w:r>
      <w:r>
        <w:rPr>
          <w:rFonts w:hint="eastAsia" w:ascii="仿宋_GB2312" w:hAnsi="仿宋_GB2312" w:eastAsia="仿宋_GB2312" w:cs="仿宋_GB2312"/>
          <w:b w:val="0"/>
          <w:bCs w:val="0"/>
          <w:sz w:val="32"/>
          <w:szCs w:val="32"/>
          <w:highlight w:val="none"/>
          <w:lang w:eastAsia="zh-CN"/>
        </w:rPr>
        <w:t>万元，发放消费券1</w:t>
      </w: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lang w:eastAsia="zh-CN"/>
        </w:rPr>
        <w:t>期，带动消费超</w:t>
      </w:r>
      <w:r>
        <w:rPr>
          <w:rFonts w:hint="eastAsia" w:ascii="仿宋_GB2312" w:hAnsi="仿宋_GB2312" w:eastAsia="仿宋_GB2312" w:cs="仿宋_GB2312"/>
          <w:b w:val="0"/>
          <w:bCs w:val="0"/>
          <w:sz w:val="32"/>
          <w:szCs w:val="32"/>
          <w:highlight w:val="none"/>
          <w:lang w:val="en-US" w:eastAsia="zh-CN"/>
        </w:rPr>
        <w:t>3.2</w:t>
      </w:r>
      <w:r>
        <w:rPr>
          <w:rFonts w:hint="eastAsia" w:ascii="仿宋_GB2312" w:hAnsi="仿宋_GB2312" w:eastAsia="仿宋_GB2312" w:cs="仿宋_GB2312"/>
          <w:b w:val="0"/>
          <w:bCs w:val="0"/>
          <w:sz w:val="32"/>
          <w:szCs w:val="32"/>
          <w:highlight w:val="none"/>
          <w:lang w:eastAsia="zh-CN"/>
        </w:rPr>
        <w:t>亿元（其中：安排资金</w:t>
      </w:r>
      <w:r>
        <w:rPr>
          <w:rFonts w:hint="eastAsia" w:ascii="仿宋_GB2312" w:hAnsi="仿宋_GB2312" w:eastAsia="仿宋_GB2312" w:cs="仿宋_GB2312"/>
          <w:b w:val="0"/>
          <w:bCs w:val="0"/>
          <w:sz w:val="32"/>
          <w:szCs w:val="32"/>
          <w:highlight w:val="none"/>
          <w:lang w:val="en-US" w:eastAsia="zh-CN"/>
        </w:rPr>
        <w:t>2065</w:t>
      </w:r>
      <w:r>
        <w:rPr>
          <w:rFonts w:hint="eastAsia" w:ascii="仿宋_GB2312" w:hAnsi="仿宋_GB2312" w:eastAsia="仿宋_GB2312" w:cs="仿宋_GB2312"/>
          <w:b w:val="0"/>
          <w:bCs w:val="0"/>
          <w:sz w:val="32"/>
          <w:szCs w:val="32"/>
          <w:highlight w:val="none"/>
          <w:lang w:eastAsia="zh-CN"/>
        </w:rPr>
        <w:t>万元，发放“汽车消费券”</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lang w:eastAsia="zh-CN"/>
        </w:rPr>
        <w:t>期，销售各类车辆</w:t>
      </w:r>
      <w:r>
        <w:rPr>
          <w:rFonts w:hint="eastAsia" w:ascii="仿宋_GB2312" w:hAnsi="仿宋_GB2312" w:eastAsia="仿宋_GB2312" w:cs="仿宋_GB2312"/>
          <w:b w:val="0"/>
          <w:bCs w:val="0"/>
          <w:sz w:val="32"/>
          <w:szCs w:val="32"/>
          <w:highlight w:val="none"/>
          <w:lang w:val="en-US" w:eastAsia="zh-CN"/>
        </w:rPr>
        <w:t>2787</w:t>
      </w:r>
      <w:r>
        <w:rPr>
          <w:rFonts w:hint="eastAsia" w:ascii="仿宋_GB2312" w:hAnsi="仿宋_GB2312" w:eastAsia="仿宋_GB2312" w:cs="仿宋_GB2312"/>
          <w:b w:val="0"/>
          <w:bCs w:val="0"/>
          <w:sz w:val="32"/>
          <w:szCs w:val="32"/>
          <w:highlight w:val="none"/>
          <w:lang w:eastAsia="zh-CN"/>
        </w:rPr>
        <w:t>辆，带动消费超</w:t>
      </w:r>
      <w:r>
        <w:rPr>
          <w:rFonts w:hint="eastAsia" w:ascii="仿宋_GB2312" w:hAnsi="仿宋_GB2312" w:eastAsia="仿宋_GB2312" w:cs="仿宋_GB2312"/>
          <w:b w:val="0"/>
          <w:bCs w:val="0"/>
          <w:sz w:val="32"/>
          <w:szCs w:val="32"/>
          <w:highlight w:val="none"/>
          <w:lang w:val="en-US" w:eastAsia="zh-CN"/>
        </w:rPr>
        <w:t>2.6</w:t>
      </w:r>
      <w:r>
        <w:rPr>
          <w:rFonts w:hint="eastAsia" w:ascii="仿宋_GB2312" w:hAnsi="仿宋_GB2312" w:eastAsia="仿宋_GB2312" w:cs="仿宋_GB2312"/>
          <w:b w:val="0"/>
          <w:bCs w:val="0"/>
          <w:sz w:val="32"/>
          <w:szCs w:val="32"/>
          <w:highlight w:val="none"/>
          <w:lang w:eastAsia="zh-CN"/>
        </w:rPr>
        <w:t>亿元）；以旧换新申请量达</w:t>
      </w:r>
      <w:r>
        <w:rPr>
          <w:rFonts w:hint="eastAsia" w:ascii="仿宋_GB2312" w:hAnsi="仿宋_GB2312" w:eastAsia="仿宋_GB2312" w:cs="仿宋_GB2312"/>
          <w:b w:val="0"/>
          <w:bCs w:val="0"/>
          <w:sz w:val="32"/>
          <w:szCs w:val="32"/>
          <w:highlight w:val="none"/>
          <w:lang w:val="en-US" w:eastAsia="zh-CN"/>
        </w:rPr>
        <w:t>22070</w:t>
      </w:r>
      <w:r>
        <w:rPr>
          <w:rFonts w:hint="eastAsia" w:ascii="仿宋_GB2312" w:hAnsi="仿宋_GB2312" w:eastAsia="仿宋_GB2312" w:cs="仿宋_GB2312"/>
          <w:b w:val="0"/>
          <w:bCs w:val="0"/>
          <w:sz w:val="32"/>
          <w:szCs w:val="32"/>
          <w:highlight w:val="none"/>
          <w:lang w:eastAsia="zh-CN"/>
        </w:rPr>
        <w:t>件，带动消费2.</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eastAsia="zh-CN"/>
        </w:rPr>
        <w:t>亿元；安排资金</w:t>
      </w:r>
      <w:r>
        <w:rPr>
          <w:rFonts w:hint="eastAsia" w:ascii="仿宋_GB2312" w:hAnsi="仿宋_GB2312" w:eastAsia="仿宋_GB2312" w:cs="仿宋_GB2312"/>
          <w:b w:val="0"/>
          <w:bCs w:val="0"/>
          <w:sz w:val="32"/>
          <w:szCs w:val="32"/>
          <w:highlight w:val="none"/>
          <w:lang w:val="en-US" w:eastAsia="zh-CN"/>
        </w:rPr>
        <w:t>320余万元，支持</w:t>
      </w:r>
      <w:r>
        <w:rPr>
          <w:rFonts w:hint="eastAsia" w:ascii="仿宋_GB2312" w:hAnsi="仿宋_GB2312" w:eastAsia="仿宋_GB2312" w:cs="仿宋_GB2312"/>
          <w:b w:val="0"/>
          <w:bCs w:val="0"/>
          <w:sz w:val="32"/>
          <w:szCs w:val="32"/>
          <w:highlight w:val="none"/>
          <w:lang w:eastAsia="zh-CN"/>
        </w:rPr>
        <w:t>川超“赛事”，带动消费超2000万元；组织企业（单位）200家次，参加进博会、“阿坝-成都”农商对接等活动，共达成意向购销合作协议5个，协议金额超1.1亿元。</w:t>
      </w:r>
      <w:r>
        <w:rPr>
          <w:rFonts w:hint="eastAsia" w:ascii="仿宋_GB2312" w:hAnsi="仿宋_GB2312" w:eastAsia="仿宋_GB2312" w:cs="仿宋_GB2312"/>
          <w:b w:val="0"/>
          <w:bCs w:val="0"/>
          <w:sz w:val="32"/>
          <w:szCs w:val="32"/>
          <w:highlight w:val="none"/>
          <w:lang w:val="en-US" w:eastAsia="zh-CN"/>
        </w:rPr>
        <w:t xml:space="preserve">   </w:t>
      </w:r>
    </w:p>
    <w:p w14:paraId="042348A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kern w:val="2"/>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（2）加快各类项目推进。</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lang w:eastAsia="zh-CN"/>
        </w:rPr>
        <w:t>申报成功专项债券项目</w:t>
      </w:r>
      <w:r>
        <w:rPr>
          <w:rFonts w:hint="eastAsia" w:ascii="仿宋_GB2312" w:hAnsi="仿宋_GB2312" w:eastAsia="仿宋_GB2312" w:cs="仿宋_GB2312"/>
          <w:b w:val="0"/>
          <w:bCs w:val="0"/>
          <w:sz w:val="32"/>
          <w:szCs w:val="32"/>
          <w:highlight w:val="none"/>
          <w:lang w:val="en-US" w:eastAsia="zh-CN"/>
        </w:rPr>
        <w:t>3个，</w:t>
      </w:r>
      <w:r>
        <w:rPr>
          <w:rFonts w:hint="eastAsia" w:ascii="仿宋_GB2312" w:hAnsi="仿宋_GB2312" w:eastAsia="仿宋_GB2312" w:cs="仿宋_GB2312"/>
          <w:b w:val="0"/>
          <w:bCs w:val="0"/>
          <w:sz w:val="32"/>
          <w:szCs w:val="32"/>
          <w:highlight w:val="none"/>
          <w:lang w:eastAsia="zh-CN"/>
        </w:rPr>
        <w:t>到位专项债券资金1.412亿元；</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积极申报2026年第一批专项债券项目，通过省级联审项目4个</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b w:val="0"/>
          <w:bCs w:val="0"/>
          <w:sz w:val="32"/>
          <w:szCs w:val="32"/>
          <w:highlight w:val="none"/>
          <w:lang w:eastAsia="zh-CN"/>
        </w:rPr>
        <w:t>积极争取县域商业建设行动项目资金</w:t>
      </w:r>
      <w:r>
        <w:rPr>
          <w:rFonts w:hint="eastAsia" w:ascii="仿宋_GB2312" w:hAnsi="仿宋_GB2312" w:eastAsia="仿宋_GB2312" w:cs="仿宋_GB2312"/>
          <w:b w:val="0"/>
          <w:bCs w:val="0"/>
          <w:sz w:val="32"/>
          <w:szCs w:val="32"/>
          <w:highlight w:val="none"/>
          <w:lang w:val="en-US" w:eastAsia="zh-CN"/>
        </w:rPr>
        <w:t>433万元，支持5个县（市）补齐商业体系短板。</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成功申报小金县、红原县、黑水县3县为全省第三批县域商业建设行动激励县支持县，落地补贴资金1696.2万元。</w:t>
      </w:r>
      <w:r>
        <w:rPr>
          <w:rFonts w:hint="eastAsia" w:ascii="仿宋_GB2312" w:hAnsi="仿宋_GB2312" w:eastAsia="仿宋_GB2312" w:cs="仿宋_GB2312"/>
          <w:b/>
          <w:bCs/>
          <w:sz w:val="32"/>
          <w:szCs w:val="32"/>
          <w:highlight w:val="none"/>
          <w:lang w:val="en-US" w:eastAsia="zh-CN"/>
        </w:rPr>
        <w:t>四是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成功申报小金县斯古拉文旅城—乐游蜀地项目为2025年度四川省“蜀里安逸”消费新场景支持项目，落地补贴资金200万元。</w:t>
      </w:r>
      <w:r>
        <w:rPr>
          <w:rFonts w:hint="eastAsia" w:ascii="仿宋_GB2312" w:hAnsi="仿宋_GB2312" w:eastAsia="仿宋_GB2312" w:cs="仿宋_GB2312"/>
          <w:b/>
          <w:bCs/>
          <w:sz w:val="32"/>
          <w:szCs w:val="32"/>
          <w:highlight w:val="none"/>
          <w:lang w:val="en-US" w:eastAsia="zh-CN"/>
        </w:rPr>
        <w:t>五是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完成小金县美诺特色商业街、茂县古羌城商业街、松潘县“大唐神韵”商贸集聚区、九寨沟卓玛雅集夜市、汶川县水磨镇禅寿老街5个特色商业街区风貌提升、配套设施建设等工作，新增入驻商户超150户，带动县域消费持续升温。</w:t>
      </w:r>
      <w:r>
        <w:rPr>
          <w:rFonts w:hint="eastAsia" w:ascii="仿宋_GB2312" w:hAnsi="仿宋_GB2312" w:eastAsia="仿宋_GB2312" w:cs="仿宋_GB2312"/>
          <w:b/>
          <w:bCs/>
          <w:caps w:val="0"/>
          <w:color w:val="auto"/>
          <w:kern w:val="2"/>
          <w:sz w:val="32"/>
          <w:szCs w:val="32"/>
          <w:highlight w:val="none"/>
          <w:vertAlign w:val="baseline"/>
          <w:lang w:val="en-US" w:eastAsia="zh-CN" w:bidi="ar"/>
        </w:rPr>
        <w:t>六是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积极筹备“十五五”服务业发展规划编制，收集项目50个，总投资达127.86亿元。</w:t>
      </w:r>
      <w:r>
        <w:rPr>
          <w:rFonts w:hint="eastAsia" w:ascii="仿宋_GB2312" w:hAnsi="仿宋_GB2312" w:eastAsia="仿宋_GB2312" w:cs="仿宋_GB2312"/>
          <w:b/>
          <w:bCs/>
          <w:caps w:val="0"/>
          <w:color w:val="auto"/>
          <w:kern w:val="2"/>
          <w:sz w:val="32"/>
          <w:szCs w:val="32"/>
          <w:highlight w:val="none"/>
          <w:vertAlign w:val="baseline"/>
          <w:lang w:val="en-US" w:eastAsia="zh-CN" w:bidi="ar"/>
        </w:rPr>
        <w:t>七是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申报成功服务业集聚区项目1个，获省级奖励资金1500万元。</w:t>
      </w:r>
      <w:r>
        <w:rPr>
          <w:rFonts w:hint="eastAsia" w:ascii="仿宋_GB2312" w:hAnsi="仿宋_GB2312" w:eastAsia="仿宋_GB2312" w:cs="仿宋_GB2312"/>
          <w:b/>
          <w:bCs/>
          <w:caps w:val="0"/>
          <w:color w:val="auto"/>
          <w:kern w:val="2"/>
          <w:sz w:val="32"/>
          <w:szCs w:val="32"/>
          <w:highlight w:val="none"/>
          <w:vertAlign w:val="baseline"/>
          <w:lang w:val="en-US" w:eastAsia="zh-CN" w:bidi="ar"/>
        </w:rPr>
        <w:t>八是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上报14个具有阿坝特色的“烟火小店”典型案例。</w:t>
      </w:r>
    </w:p>
    <w:p w14:paraId="426E901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（3）积极助企纾困。</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lang w:eastAsia="zh-CN"/>
        </w:rPr>
        <w:t>积极兑现“升规上限”奖励资金</w:t>
      </w:r>
      <w:r>
        <w:rPr>
          <w:rFonts w:hint="eastAsia" w:ascii="仿宋_GB2312" w:hAnsi="仿宋_GB2312" w:eastAsia="仿宋_GB2312" w:cs="仿宋_GB2312"/>
          <w:b w:val="0"/>
          <w:bCs w:val="0"/>
          <w:sz w:val="32"/>
          <w:szCs w:val="32"/>
          <w:highlight w:val="none"/>
          <w:lang w:val="en-US" w:eastAsia="zh-CN"/>
        </w:rPr>
        <w:t>391余万元。</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b w:val="0"/>
          <w:bCs w:val="0"/>
          <w:sz w:val="32"/>
          <w:szCs w:val="32"/>
          <w:highlight w:val="none"/>
          <w:lang w:val="en-US" w:eastAsia="zh-CN"/>
        </w:rPr>
        <w:t>争取全州</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74户规上服务业企业纳入省级“服保贷”支持范围，切实缓解企业融资难题。</w:t>
      </w:r>
      <w:r>
        <w:rPr>
          <w:rFonts w:hint="eastAsia" w:ascii="仿宋_GB2312" w:hAnsi="仿宋_GB2312" w:eastAsia="仿宋_GB2312" w:cs="仿宋_GB2312"/>
          <w:b/>
          <w:bCs/>
          <w:caps w:val="0"/>
          <w:color w:val="auto"/>
          <w:kern w:val="2"/>
          <w:sz w:val="32"/>
          <w:szCs w:val="32"/>
          <w:highlight w:val="none"/>
          <w:vertAlign w:val="baseline"/>
          <w:lang w:val="en-US" w:eastAsia="zh-CN" w:bidi="ar"/>
        </w:rPr>
        <w:t>三是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推动党建引领电商行业发展，开展阿坝州电子商务协会换届并成立阿坝州电子商务行业委员会；成功举办第三届阿坝州电商直播大赛，实现网络销售额100余万元；全年全州网络交易额达171.87亿元，同比增长18%；农产品网络零售额3.5亿元，同比增长16.4%；5名电商指导员成功获批省厅支持。</w:t>
      </w:r>
      <w:r>
        <w:rPr>
          <w:rFonts w:hint="eastAsia" w:ascii="仿宋_GB2312" w:hAnsi="仿宋_GB2312" w:eastAsia="仿宋_GB2312" w:cs="仿宋_GB2312"/>
          <w:b/>
          <w:bCs/>
          <w:caps w:val="0"/>
          <w:color w:val="auto"/>
          <w:kern w:val="2"/>
          <w:sz w:val="32"/>
          <w:szCs w:val="32"/>
          <w:highlight w:val="none"/>
          <w:vertAlign w:val="baseline"/>
          <w:lang w:val="en-US" w:eastAsia="zh-CN" w:bidi="ar"/>
        </w:rPr>
        <w:t>四是</w:t>
      </w:r>
      <w:r>
        <w:rPr>
          <w:rFonts w:hint="eastAsia" w:ascii="仿宋_GB2312" w:hAnsi="仿宋_GB2312" w:eastAsia="仿宋_GB2312" w:cs="仿宋_GB2312"/>
          <w:b w:val="0"/>
          <w:bCs w:val="0"/>
          <w:caps w:val="0"/>
          <w:color w:val="auto"/>
          <w:sz w:val="32"/>
          <w:szCs w:val="32"/>
          <w:highlight w:val="none"/>
          <w:vertAlign w:val="baseline"/>
          <w:lang w:val="en-US" w:eastAsia="zh-CN"/>
        </w:rPr>
        <w:t>走访外贸企业20家（次），协调解决</w:t>
      </w:r>
      <w:r>
        <w:rPr>
          <w:rFonts w:hint="eastAsia" w:ascii="仿宋_GB2312" w:hAnsi="仿宋_GB2312" w:eastAsia="仿宋_GB2312" w:cs="仿宋_GB2312"/>
          <w:b w:val="0"/>
          <w:bCs w:val="0"/>
          <w:caps w:val="0"/>
          <w:color w:val="auto"/>
          <w:sz w:val="32"/>
          <w:szCs w:val="32"/>
          <w:highlight w:val="none"/>
          <w:vertAlign w:val="baseline"/>
        </w:rPr>
        <w:t>政策</w:t>
      </w:r>
      <w:r>
        <w:rPr>
          <w:rFonts w:hint="eastAsia" w:ascii="仿宋_GB2312" w:hAnsi="仿宋_GB2312" w:eastAsia="仿宋_GB2312" w:cs="仿宋_GB2312"/>
          <w:b w:val="0"/>
          <w:bCs w:val="0"/>
          <w:caps w:val="0"/>
          <w:color w:val="auto"/>
          <w:sz w:val="32"/>
          <w:szCs w:val="32"/>
          <w:highlight w:val="none"/>
          <w:vertAlign w:val="baseline"/>
          <w:lang w:val="en-US" w:eastAsia="zh-CN"/>
        </w:rPr>
        <w:t>申报、资金</w:t>
      </w:r>
      <w:r>
        <w:rPr>
          <w:rFonts w:hint="eastAsia" w:ascii="仿宋_GB2312" w:hAnsi="仿宋_GB2312" w:eastAsia="仿宋_GB2312" w:cs="仿宋_GB2312"/>
          <w:b w:val="0"/>
          <w:bCs w:val="0"/>
          <w:caps w:val="0"/>
          <w:color w:val="auto"/>
          <w:sz w:val="32"/>
          <w:szCs w:val="32"/>
          <w:highlight w:val="none"/>
          <w:vertAlign w:val="baseline"/>
        </w:rPr>
        <w:t>兑现</w:t>
      </w:r>
      <w:r>
        <w:rPr>
          <w:rFonts w:hint="eastAsia" w:ascii="仿宋_GB2312" w:hAnsi="仿宋_GB2312" w:eastAsia="仿宋_GB2312" w:cs="仿宋_GB2312"/>
          <w:b w:val="0"/>
          <w:bCs w:val="0"/>
          <w:caps w:val="0"/>
          <w:color w:val="auto"/>
          <w:sz w:val="32"/>
          <w:szCs w:val="32"/>
          <w:highlight w:val="none"/>
          <w:vertAlign w:val="baseline"/>
          <w:lang w:eastAsia="zh-CN"/>
        </w:rPr>
        <w:t>、</w:t>
      </w:r>
      <w:r>
        <w:rPr>
          <w:rFonts w:hint="eastAsia" w:ascii="仿宋_GB2312" w:hAnsi="仿宋_GB2312" w:eastAsia="仿宋_GB2312" w:cs="仿宋_GB2312"/>
          <w:b w:val="0"/>
          <w:bCs w:val="0"/>
          <w:caps w:val="0"/>
          <w:color w:val="auto"/>
          <w:sz w:val="32"/>
          <w:szCs w:val="32"/>
          <w:highlight w:val="none"/>
          <w:vertAlign w:val="baseline"/>
          <w:lang w:val="en-US" w:eastAsia="zh-CN"/>
        </w:rPr>
        <w:t>出口退税等方面问题5起；</w:t>
      </w:r>
      <w:r>
        <w:rPr>
          <w:rFonts w:hint="eastAsia" w:ascii="仿宋_GB2312" w:hAnsi="仿宋_GB2312" w:eastAsia="仿宋_GB2312" w:cs="仿宋_GB2312"/>
          <w:b w:val="0"/>
          <w:bCs w:val="0"/>
          <w:caps w:val="0"/>
          <w:color w:val="auto"/>
          <w:sz w:val="32"/>
          <w:szCs w:val="32"/>
          <w:highlight w:val="none"/>
          <w:vertAlign w:val="baseline"/>
          <w:lang w:eastAsia="zh-CN"/>
        </w:rPr>
        <w:t>组织</w:t>
      </w:r>
      <w:r>
        <w:rPr>
          <w:rFonts w:hint="eastAsia" w:ascii="仿宋_GB2312" w:hAnsi="仿宋_GB2312" w:eastAsia="仿宋_GB2312" w:cs="仿宋_GB2312"/>
          <w:b w:val="0"/>
          <w:bCs w:val="0"/>
          <w:caps w:val="0"/>
          <w:color w:val="auto"/>
          <w:sz w:val="32"/>
          <w:szCs w:val="32"/>
          <w:highlight w:val="none"/>
          <w:vertAlign w:val="baseline"/>
          <w:lang w:val="en-US" w:eastAsia="zh-CN"/>
        </w:rPr>
        <w:t>15家（次）外贸企业参加全省“单一窗口”和省级外贸业务专题培训；</w:t>
      </w:r>
      <w:r>
        <w:rPr>
          <w:rFonts w:hint="eastAsia" w:ascii="仿宋_GB2312" w:hAnsi="仿宋_GB2312" w:eastAsia="仿宋_GB2312" w:cs="仿宋_GB2312"/>
          <w:b w:val="0"/>
          <w:bCs w:val="0"/>
          <w:caps w:val="0"/>
          <w:color w:val="auto"/>
          <w:sz w:val="32"/>
          <w:szCs w:val="32"/>
          <w:highlight w:val="none"/>
          <w:vertAlign w:val="baseline"/>
          <w:lang w:val="zh-TW" w:eastAsia="zh-CN"/>
        </w:rPr>
        <w:t>兑现</w:t>
      </w:r>
      <w:r>
        <w:rPr>
          <w:rFonts w:hint="eastAsia" w:ascii="仿宋_GB2312" w:hAnsi="仿宋_GB2312" w:eastAsia="仿宋_GB2312" w:cs="仿宋_GB2312"/>
          <w:b w:val="0"/>
          <w:bCs w:val="0"/>
          <w:caps w:val="0"/>
          <w:color w:val="auto"/>
          <w:sz w:val="32"/>
          <w:szCs w:val="32"/>
          <w:highlight w:val="none"/>
          <w:vertAlign w:val="baseline"/>
        </w:rPr>
        <w:t>中央外经贸资金</w:t>
      </w:r>
      <w:r>
        <w:rPr>
          <w:rFonts w:hint="eastAsia" w:ascii="仿宋_GB2312" w:hAnsi="仿宋_GB2312" w:eastAsia="仿宋_GB2312" w:cs="仿宋_GB2312"/>
          <w:b w:val="0"/>
          <w:bCs w:val="0"/>
          <w:caps w:val="0"/>
          <w:color w:val="auto"/>
          <w:sz w:val="32"/>
          <w:szCs w:val="32"/>
          <w:highlight w:val="none"/>
          <w:vertAlign w:val="baseline"/>
          <w:lang w:val="en-US" w:eastAsia="zh-CN"/>
        </w:rPr>
        <w:t>324</w:t>
      </w:r>
      <w:r>
        <w:rPr>
          <w:rFonts w:hint="eastAsia" w:ascii="仿宋_GB2312" w:hAnsi="仿宋_GB2312" w:eastAsia="仿宋_GB2312" w:cs="仿宋_GB2312"/>
          <w:b w:val="0"/>
          <w:bCs w:val="0"/>
          <w:caps w:val="0"/>
          <w:color w:val="auto"/>
          <w:sz w:val="32"/>
          <w:szCs w:val="32"/>
          <w:highlight w:val="none"/>
          <w:vertAlign w:val="baseline"/>
        </w:rPr>
        <w:t>万元，惠及</w:t>
      </w:r>
      <w:r>
        <w:rPr>
          <w:rFonts w:hint="eastAsia" w:ascii="仿宋_GB2312" w:hAnsi="仿宋_GB2312" w:eastAsia="仿宋_GB2312" w:cs="仿宋_GB2312"/>
          <w:b w:val="0"/>
          <w:bCs w:val="0"/>
          <w:caps w:val="0"/>
          <w:color w:val="auto"/>
          <w:sz w:val="32"/>
          <w:szCs w:val="32"/>
          <w:highlight w:val="none"/>
          <w:vertAlign w:val="baseline"/>
          <w:lang w:eastAsia="zh-CN"/>
        </w:rPr>
        <w:t>外贸</w:t>
      </w:r>
      <w:r>
        <w:rPr>
          <w:rFonts w:hint="eastAsia" w:ascii="仿宋_GB2312" w:hAnsi="仿宋_GB2312" w:eastAsia="仿宋_GB2312" w:cs="仿宋_GB2312"/>
          <w:b w:val="0"/>
          <w:bCs w:val="0"/>
          <w:caps w:val="0"/>
          <w:color w:val="auto"/>
          <w:sz w:val="32"/>
          <w:szCs w:val="32"/>
          <w:highlight w:val="none"/>
          <w:vertAlign w:val="baseline"/>
        </w:rPr>
        <w:t>企业</w:t>
      </w:r>
      <w:r>
        <w:rPr>
          <w:rFonts w:hint="eastAsia" w:ascii="仿宋_GB2312" w:hAnsi="仿宋_GB2312" w:eastAsia="仿宋_GB2312" w:cs="仿宋_GB2312"/>
          <w:b w:val="0"/>
          <w:bCs w:val="0"/>
          <w:caps w:val="0"/>
          <w:color w:val="auto"/>
          <w:sz w:val="32"/>
          <w:szCs w:val="32"/>
          <w:highlight w:val="none"/>
          <w:vertAlign w:val="baseline"/>
          <w:lang w:val="en-US" w:eastAsia="zh-CN"/>
        </w:rPr>
        <w:t>6</w:t>
      </w:r>
      <w:r>
        <w:rPr>
          <w:rFonts w:hint="eastAsia" w:ascii="仿宋_GB2312" w:hAnsi="仿宋_GB2312" w:eastAsia="仿宋_GB2312" w:cs="仿宋_GB2312"/>
          <w:b w:val="0"/>
          <w:bCs w:val="0"/>
          <w:caps w:val="0"/>
          <w:color w:val="auto"/>
          <w:sz w:val="32"/>
          <w:szCs w:val="32"/>
          <w:highlight w:val="none"/>
          <w:vertAlign w:val="baseline"/>
        </w:rPr>
        <w:t>家</w:t>
      </w:r>
      <w:r>
        <w:rPr>
          <w:rFonts w:hint="eastAsia" w:ascii="仿宋_GB2312" w:hAnsi="仿宋_GB2312" w:eastAsia="仿宋_GB2312" w:cs="仿宋_GB2312"/>
          <w:b w:val="0"/>
          <w:bCs w:val="0"/>
          <w:caps w:val="0"/>
          <w:color w:val="auto"/>
          <w:sz w:val="32"/>
          <w:szCs w:val="32"/>
          <w:highlight w:val="none"/>
          <w:vertAlign w:val="baseline"/>
          <w:lang w:eastAsia="zh-CN"/>
        </w:rPr>
        <w:t>，</w:t>
      </w:r>
      <w:r>
        <w:rPr>
          <w:rFonts w:hint="eastAsia" w:ascii="仿宋_GB2312" w:hAnsi="仿宋_GB2312" w:eastAsia="仿宋_GB2312" w:cs="仿宋_GB2312"/>
          <w:b w:val="0"/>
          <w:bCs w:val="0"/>
          <w:caps w:val="0"/>
          <w:color w:val="auto"/>
          <w:sz w:val="32"/>
          <w:szCs w:val="32"/>
          <w:highlight w:val="none"/>
          <w:vertAlign w:val="baseline"/>
          <w:lang w:val="en-US" w:eastAsia="zh-CN"/>
        </w:rPr>
        <w:t>拉动货物进出口3.5亿元；推动</w:t>
      </w:r>
      <w:r>
        <w:rPr>
          <w:rFonts w:hint="eastAsia" w:ascii="仿宋_GB2312" w:hAnsi="仿宋_GB2312" w:eastAsia="仿宋_GB2312" w:cs="仿宋_GB2312"/>
          <w:b w:val="0"/>
          <w:bCs w:val="0"/>
          <w:caps w:val="0"/>
          <w:color w:val="auto"/>
          <w:sz w:val="32"/>
          <w:szCs w:val="32"/>
          <w:highlight w:val="none"/>
          <w:vertAlign w:val="baseline"/>
          <w:lang w:eastAsia="zh-CN"/>
        </w:rPr>
        <w:t>黑水县丰淼商贸公司</w:t>
      </w:r>
      <w:r>
        <w:rPr>
          <w:rFonts w:hint="eastAsia" w:ascii="仿宋_GB2312" w:hAnsi="仿宋_GB2312" w:eastAsia="仿宋_GB2312" w:cs="仿宋_GB2312"/>
          <w:b w:val="0"/>
          <w:bCs w:val="0"/>
          <w:caps w:val="0"/>
          <w:color w:val="auto"/>
          <w:sz w:val="32"/>
          <w:szCs w:val="32"/>
          <w:highlight w:val="none"/>
          <w:vertAlign w:val="baseline"/>
          <w:lang w:val="en-US" w:eastAsia="zh-CN" w:bidi="ar"/>
        </w:rPr>
        <w:t>冷冻藏香乳猪实现</w:t>
      </w:r>
      <w:r>
        <w:rPr>
          <w:rFonts w:hint="eastAsia" w:ascii="仿宋_GB2312" w:hAnsi="仿宋_GB2312" w:eastAsia="仿宋_GB2312" w:cs="仿宋_GB2312"/>
          <w:b w:val="0"/>
          <w:bCs w:val="0"/>
          <w:caps w:val="0"/>
          <w:color w:val="auto"/>
          <w:sz w:val="32"/>
          <w:szCs w:val="32"/>
          <w:highlight w:val="none"/>
          <w:vertAlign w:val="baseline"/>
          <w:lang w:val="en-US" w:eastAsia="zh-CN"/>
        </w:rPr>
        <w:t>出口香港，出口额达200万元，小金</w:t>
      </w:r>
      <w:r>
        <w:rPr>
          <w:rFonts w:hint="eastAsia" w:ascii="仿宋_GB2312" w:hAnsi="仿宋_GB2312" w:eastAsia="仿宋_GB2312" w:cs="仿宋_GB2312"/>
          <w:b w:val="0"/>
          <w:bCs w:val="0"/>
          <w:caps w:val="0"/>
          <w:color w:val="auto"/>
          <w:sz w:val="32"/>
          <w:szCs w:val="32"/>
          <w:highlight w:val="none"/>
          <w:vertAlign w:val="baseline"/>
          <w:lang w:eastAsia="zh-CN"/>
        </w:rPr>
        <w:t>善作农业实现</w:t>
      </w:r>
      <w:r>
        <w:rPr>
          <w:rFonts w:hint="eastAsia" w:ascii="仿宋_GB2312" w:hAnsi="仿宋_GB2312" w:eastAsia="仿宋_GB2312" w:cs="仿宋_GB2312"/>
          <w:b w:val="0"/>
          <w:bCs w:val="0"/>
          <w:caps w:val="0"/>
          <w:color w:val="auto"/>
          <w:sz w:val="32"/>
          <w:szCs w:val="32"/>
          <w:highlight w:val="none"/>
          <w:vertAlign w:val="baseline"/>
          <w:lang w:val="en-US" w:eastAsia="zh-CN"/>
        </w:rPr>
        <w:t>首次出口50吨苹果到俄罗斯；</w:t>
      </w:r>
      <w:r>
        <w:rPr>
          <w:rFonts w:hint="eastAsia" w:ascii="仿宋_GB2312" w:hAnsi="仿宋_GB2312" w:eastAsia="仿宋_GB2312" w:cs="仿宋_GB2312"/>
          <w:b w:val="0"/>
          <w:bCs w:val="0"/>
          <w:caps w:val="0"/>
          <w:color w:val="auto"/>
          <w:sz w:val="32"/>
          <w:szCs w:val="32"/>
          <w:highlight w:val="none"/>
          <w:vertAlign w:val="baseline"/>
        </w:rPr>
        <w:t>组织</w:t>
      </w:r>
      <w:r>
        <w:rPr>
          <w:rFonts w:hint="eastAsia" w:ascii="仿宋_GB2312" w:hAnsi="仿宋_GB2312" w:eastAsia="仿宋_GB2312" w:cs="仿宋_GB2312"/>
          <w:b w:val="0"/>
          <w:bCs w:val="0"/>
          <w:caps w:val="0"/>
          <w:color w:val="auto"/>
          <w:sz w:val="32"/>
          <w:szCs w:val="32"/>
          <w:highlight w:val="none"/>
          <w:vertAlign w:val="baseline"/>
          <w:lang w:val="en-US" w:eastAsia="zh-CN"/>
        </w:rPr>
        <w:t>15家（次）企业参加消博会、广交会、“四川外贸优品产销对接会”等展会6场（次），累计达成意向性合作协议1000余万元；推荐黑水睿禾亮农业公司参加“川港澳合作周·走进澳门”推介活动，拟与澳门南粤食品水产公司签订2万头/年的活猪订单。组织泽禾农业、金山玫瑰赴新加坡、日本、意大利开展经贸交流活动，助力企业开拓“一带一路”国际市场。</w:t>
      </w:r>
    </w:p>
    <w:p w14:paraId="06E58E43">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（4）招商成效显著。</w:t>
      </w:r>
      <w:r>
        <w:rPr>
          <w:rFonts w:hint="eastAsia" w:ascii="仿宋_GB2312" w:hAnsi="仿宋_GB2312" w:eastAsia="仿宋_GB2312" w:cs="仿宋_GB2312"/>
          <w:b w:val="0"/>
          <w:bCs w:val="0"/>
          <w:caps w:val="0"/>
          <w:color w:val="auto"/>
          <w:sz w:val="32"/>
          <w:szCs w:val="32"/>
          <w:highlight w:val="none"/>
          <w:vertAlign w:val="baseline"/>
          <w:lang w:val="en-US" w:eastAsia="zh-CN"/>
        </w:rPr>
        <w:t>上半年，编制发布阿坝州投资机遇、资源、政策“三张清单”，论证推出2025年州级重点招商引资项目120个，总投资693亿元;成功筹办第二十届西博会阿坝系列活动、“天下九寨沟·大美阿坝州”北京站投资合作推介会、川商总会天府新区商会阿坝行等活动，印发《投资机遇信息》20余期，组织县（市）主要领导外出小分队招商34批次;开展招商引资优惠政策清理，排查169个2024年5月前签约项目并督促政策兑现；举办全州招商引资专题培训，并将招商引资相关指标纳入2025年州对县市综合目标考核，将2023-2024年签约项目履约督查纳入全州督监考计划。</w:t>
      </w:r>
    </w:p>
    <w:p w14:paraId="7F86DE92">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highlight w:val="none"/>
          <w:lang w:val="en-US" w:bidi="ar-SA"/>
        </w:rPr>
      </w:pPr>
      <w:r>
        <w:rPr>
          <w:rFonts w:hint="eastAsia" w:ascii="仿宋_GB2312" w:hAnsi="仿宋_GB2312" w:eastAsia="仿宋_GB2312" w:cs="仿宋_GB2312"/>
          <w:b/>
          <w:bCs w:val="0"/>
          <w:sz w:val="32"/>
          <w:szCs w:val="32"/>
          <w:highlight w:val="none"/>
          <w:lang w:val="en-US" w:eastAsia="zh-CN" w:bidi="ar-SA"/>
        </w:rPr>
        <w:t>（5）完成年度工作目标任务的情况。</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rPr>
        <w:t>全州服务业保持稳中有进发展态势，实现服务业增加值</w:t>
      </w:r>
      <w:r>
        <w:rPr>
          <w:rFonts w:hint="eastAsia" w:ascii="仿宋_GB2312" w:hAnsi="仿宋_GB2312" w:eastAsia="仿宋_GB2312" w:cs="仿宋_GB2312"/>
          <w:b w:val="0"/>
          <w:bCs w:val="0"/>
          <w:sz w:val="32"/>
          <w:szCs w:val="32"/>
          <w:highlight w:val="none"/>
          <w:lang w:val="en-US" w:eastAsia="zh-CN"/>
        </w:rPr>
        <w:t>343.16</w:t>
      </w:r>
      <w:r>
        <w:rPr>
          <w:rFonts w:hint="eastAsia" w:ascii="仿宋_GB2312" w:hAnsi="仿宋_GB2312" w:eastAsia="仿宋_GB2312" w:cs="仿宋_GB2312"/>
          <w:b w:val="0"/>
          <w:bCs w:val="0"/>
          <w:sz w:val="32"/>
          <w:szCs w:val="32"/>
          <w:highlight w:val="none"/>
        </w:rPr>
        <w:t>亿元，</w:t>
      </w:r>
      <w:r>
        <w:rPr>
          <w:rFonts w:hint="eastAsia" w:ascii="仿宋_GB2312" w:hAnsi="仿宋_GB2312" w:eastAsia="仿宋_GB2312" w:cs="仿宋_GB2312"/>
          <w:b w:val="0"/>
          <w:bCs w:val="0"/>
          <w:sz w:val="32"/>
          <w:szCs w:val="32"/>
          <w:highlight w:val="none"/>
          <w:lang w:eastAsia="zh-CN"/>
        </w:rPr>
        <w:t>占</w:t>
      </w:r>
      <w:r>
        <w:rPr>
          <w:rFonts w:hint="eastAsia" w:ascii="仿宋_GB2312" w:hAnsi="仿宋_GB2312" w:eastAsia="仿宋_GB2312" w:cs="仿宋_GB2312"/>
          <w:b w:val="0"/>
          <w:bCs w:val="0"/>
          <w:sz w:val="32"/>
          <w:szCs w:val="32"/>
          <w:highlight w:val="none"/>
          <w:lang w:val="en-US" w:eastAsia="zh-CN"/>
        </w:rPr>
        <w:t>GDP比重57%，</w:t>
      </w:r>
      <w:r>
        <w:rPr>
          <w:rFonts w:hint="eastAsia" w:ascii="仿宋_GB2312" w:hAnsi="仿宋_GB2312" w:eastAsia="仿宋_GB2312" w:cs="仿宋_GB2312"/>
          <w:b w:val="0"/>
          <w:bCs w:val="0"/>
          <w:sz w:val="32"/>
          <w:szCs w:val="32"/>
          <w:highlight w:val="none"/>
        </w:rPr>
        <w:t>同比增长</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eastAsia="zh-CN"/>
        </w:rPr>
        <w:t>，拉动</w:t>
      </w:r>
      <w:r>
        <w:rPr>
          <w:rFonts w:hint="eastAsia" w:ascii="仿宋_GB2312" w:hAnsi="仿宋_GB2312" w:eastAsia="仿宋_GB2312" w:cs="仿宋_GB2312"/>
          <w:b w:val="0"/>
          <w:bCs w:val="0"/>
          <w:sz w:val="32"/>
          <w:szCs w:val="32"/>
          <w:highlight w:val="none"/>
          <w:lang w:val="en-US" w:eastAsia="zh-CN"/>
        </w:rPr>
        <w:t>GDP增长3.4个百分点。</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全州社会消费品零售总额实现124.6亿元，同比增长7.4%，高于年度目标（6.5%）0.9个百分点，增速位列全省第1位。</w:t>
      </w:r>
      <w:r>
        <w:rPr>
          <w:rFonts w:hint="eastAsia" w:ascii="仿宋_GB2312" w:hAnsi="仿宋_GB2312" w:eastAsia="仿宋_GB2312" w:cs="仿宋_GB2312"/>
          <w:b/>
          <w:bCs/>
          <w:sz w:val="32"/>
          <w:szCs w:val="32"/>
          <w:highlight w:val="none"/>
          <w:lang w:eastAsia="zh-CN"/>
        </w:rPr>
        <w:t>三是</w:t>
      </w:r>
      <w:r>
        <w:rPr>
          <w:rFonts w:hint="eastAsia" w:ascii="仿宋_GB2312" w:hAnsi="仿宋_GB2312" w:eastAsia="仿宋_GB2312" w:cs="仿宋_GB2312"/>
          <w:b w:val="0"/>
          <w:bCs w:val="0"/>
          <w:sz w:val="32"/>
          <w:szCs w:val="32"/>
          <w:highlight w:val="none"/>
          <w:lang w:eastAsia="zh-CN"/>
        </w:rPr>
        <w:t>实现外贸进出口总额</w:t>
      </w:r>
      <w:r>
        <w:rPr>
          <w:rFonts w:hint="eastAsia" w:ascii="仿宋_GB2312" w:hAnsi="仿宋_GB2312" w:eastAsia="仿宋_GB2312" w:cs="仿宋_GB2312"/>
          <w:b w:val="0"/>
          <w:bCs w:val="0"/>
          <w:sz w:val="32"/>
          <w:szCs w:val="32"/>
          <w:highlight w:val="none"/>
          <w:lang w:val="en-US" w:eastAsia="zh-CN"/>
        </w:rPr>
        <w:t>4.03</w:t>
      </w:r>
      <w:r>
        <w:rPr>
          <w:rFonts w:hint="eastAsia" w:ascii="仿宋_GB2312" w:hAnsi="仿宋_GB2312" w:eastAsia="仿宋_GB2312" w:cs="仿宋_GB2312"/>
          <w:b w:val="0"/>
          <w:bCs w:val="0"/>
          <w:sz w:val="32"/>
          <w:szCs w:val="32"/>
          <w:highlight w:val="none"/>
          <w:lang w:eastAsia="zh-CN"/>
        </w:rPr>
        <w:t>亿元，完成全年目标任务的</w:t>
      </w:r>
      <w:r>
        <w:rPr>
          <w:rFonts w:hint="eastAsia" w:ascii="仿宋_GB2312" w:hAnsi="仿宋_GB2312" w:eastAsia="仿宋_GB2312" w:cs="仿宋_GB2312"/>
          <w:b w:val="0"/>
          <w:bCs w:val="0"/>
          <w:sz w:val="32"/>
          <w:szCs w:val="32"/>
          <w:highlight w:val="none"/>
          <w:lang w:val="en-US" w:eastAsia="zh-CN"/>
        </w:rPr>
        <w:t>112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w:t>
      </w:r>
      <w:r>
        <w:rPr>
          <w:rFonts w:hint="eastAsia" w:ascii="仿宋_GB2312" w:hAnsi="仿宋_GB2312" w:eastAsia="仿宋_GB2312" w:cs="仿宋_GB2312"/>
          <w:b/>
          <w:bCs/>
          <w:sz w:val="32"/>
          <w:szCs w:val="32"/>
          <w:highlight w:val="none"/>
          <w:lang w:eastAsia="zh-CN"/>
        </w:rPr>
        <w:t>四是</w:t>
      </w:r>
      <w:r>
        <w:rPr>
          <w:rFonts w:hint="eastAsia" w:ascii="仿宋_GB2312" w:hAnsi="仿宋_GB2312" w:eastAsia="仿宋_GB2312" w:cs="仿宋_GB2312"/>
          <w:b w:val="0"/>
          <w:bCs w:val="0"/>
          <w:sz w:val="32"/>
          <w:szCs w:val="32"/>
          <w:highlight w:val="none"/>
          <w:lang w:eastAsia="zh-CN"/>
        </w:rPr>
        <w:t>新增规上企业</w:t>
      </w:r>
      <w:r>
        <w:rPr>
          <w:rFonts w:hint="eastAsia" w:ascii="仿宋_GB2312" w:hAnsi="仿宋_GB2312" w:eastAsia="仿宋_GB2312" w:cs="仿宋_GB2312"/>
          <w:b w:val="0"/>
          <w:bCs w:val="0"/>
          <w:sz w:val="32"/>
          <w:szCs w:val="32"/>
          <w:highlight w:val="none"/>
          <w:lang w:val="en-US" w:eastAsia="zh-CN"/>
        </w:rPr>
        <w:t>18</w:t>
      </w:r>
      <w:r>
        <w:rPr>
          <w:rFonts w:hint="eastAsia" w:ascii="仿宋_GB2312" w:hAnsi="仿宋_GB2312" w:eastAsia="仿宋_GB2312" w:cs="仿宋_GB2312"/>
          <w:b w:val="0"/>
          <w:bCs w:val="0"/>
          <w:sz w:val="32"/>
          <w:szCs w:val="32"/>
          <w:highlight w:val="none"/>
          <w:lang w:eastAsia="zh-CN"/>
        </w:rPr>
        <w:t>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完成州定目标任务的</w:t>
      </w:r>
      <w:r>
        <w:rPr>
          <w:rFonts w:hint="eastAsia" w:ascii="仿宋_GB2312" w:hAnsi="仿宋_GB2312" w:eastAsia="仿宋_GB2312" w:cs="仿宋_GB2312"/>
          <w:b w:val="0"/>
          <w:bCs w:val="0"/>
          <w:sz w:val="32"/>
          <w:szCs w:val="32"/>
          <w:highlight w:val="none"/>
          <w:lang w:val="en-US" w:eastAsia="zh-CN"/>
        </w:rPr>
        <w:t>180%；</w:t>
      </w:r>
      <w:r>
        <w:rPr>
          <w:rFonts w:hint="eastAsia" w:ascii="仿宋_GB2312" w:hAnsi="仿宋_GB2312" w:eastAsia="仿宋_GB2312" w:cs="仿宋_GB2312"/>
          <w:b w:val="0"/>
          <w:bCs w:val="0"/>
          <w:sz w:val="32"/>
          <w:szCs w:val="32"/>
          <w:highlight w:val="none"/>
          <w:lang w:eastAsia="zh-CN"/>
        </w:rPr>
        <w:t>新增限上商贸主体队伍</w:t>
      </w:r>
      <w:r>
        <w:rPr>
          <w:rFonts w:hint="eastAsia" w:ascii="仿宋_GB2312" w:hAnsi="仿宋_GB2312" w:eastAsia="仿宋_GB2312" w:cs="仿宋_GB2312"/>
          <w:b w:val="0"/>
          <w:bCs w:val="0"/>
          <w:sz w:val="32"/>
          <w:szCs w:val="32"/>
          <w:highlight w:val="none"/>
          <w:lang w:val="en-US" w:eastAsia="zh-CN" w:bidi="ar-SA"/>
        </w:rPr>
        <w:t>67户</w:t>
      </w:r>
      <w:r>
        <w:rPr>
          <w:rFonts w:hint="eastAsia" w:ascii="仿宋_GB2312" w:hAnsi="仿宋_GB2312" w:eastAsia="仿宋_GB2312" w:cs="仿宋_GB2312"/>
          <w:b w:val="0"/>
          <w:bCs w:val="0"/>
          <w:sz w:val="32"/>
          <w:szCs w:val="32"/>
          <w:highlight w:val="none"/>
          <w:lang w:eastAsia="zh-CN"/>
        </w:rPr>
        <w:t>，完成州定目标的</w:t>
      </w:r>
      <w:r>
        <w:rPr>
          <w:rFonts w:hint="eastAsia" w:ascii="仿宋_GB2312" w:hAnsi="仿宋_GB2312" w:eastAsia="仿宋_GB2312" w:cs="仿宋_GB2312"/>
          <w:b w:val="0"/>
          <w:bCs w:val="0"/>
          <w:sz w:val="32"/>
          <w:szCs w:val="32"/>
          <w:highlight w:val="none"/>
          <w:lang w:val="en-US" w:eastAsia="zh-CN"/>
        </w:rPr>
        <w:t>335%；</w:t>
      </w:r>
      <w:r>
        <w:rPr>
          <w:rFonts w:hint="eastAsia" w:ascii="仿宋_GB2312" w:hAnsi="仿宋_GB2312" w:eastAsia="仿宋_GB2312" w:cs="仿宋_GB2312"/>
          <w:b w:val="0"/>
          <w:bCs w:val="0"/>
          <w:sz w:val="32"/>
          <w:szCs w:val="32"/>
          <w:highlight w:val="none"/>
          <w:lang w:eastAsia="zh-CN"/>
        </w:rPr>
        <w:t>新增外贸实绩企业</w:t>
      </w:r>
      <w:r>
        <w:rPr>
          <w:rFonts w:hint="eastAsia" w:ascii="仿宋_GB2312" w:hAnsi="仿宋_GB2312" w:eastAsia="仿宋_GB2312" w:cs="仿宋_GB2312"/>
          <w:b w:val="0"/>
          <w:bCs w:val="0"/>
          <w:sz w:val="32"/>
          <w:szCs w:val="32"/>
          <w:highlight w:val="none"/>
          <w:lang w:val="en-US" w:eastAsia="zh-CN"/>
        </w:rPr>
        <w:t>3家。</w:t>
      </w:r>
    </w:p>
    <w:p w14:paraId="20FEFA07">
      <w:pPr>
        <w:keepNext w:val="0"/>
        <w:keepLines w:val="0"/>
        <w:pageBreakBefore w:val="0"/>
        <w:widowControl w:val="0"/>
        <w:kinsoku/>
        <w:wordWrap/>
        <w:overflowPunct/>
        <w:topLinePunct w:val="0"/>
        <w:autoSpaceDE/>
        <w:autoSpaceDN/>
        <w:bidi w:val="0"/>
        <w:snapToGrid w:val="0"/>
        <w:spacing w:line="480" w:lineRule="exact"/>
        <w:ind w:firstLine="643" w:firstLineChars="200"/>
        <w:textAlignment w:val="auto"/>
        <w:rPr>
          <w:rFonts w:hint="eastAsia" w:ascii="仿宋_GB2312" w:hAnsi="仿宋_GB2312" w:eastAsia="仿宋_GB2312" w:cs="仿宋_GB2312"/>
          <w:b/>
          <w:bCs w:val="0"/>
          <w:sz w:val="32"/>
          <w:szCs w:val="32"/>
          <w:highlight w:val="none"/>
        </w:rPr>
      </w:pPr>
      <w:r>
        <w:rPr>
          <w:rFonts w:hint="default" w:ascii="Times New Roman" w:hAnsi="Times New Roman" w:eastAsia="楷体_GB2312" w:cs="Times New Roman"/>
          <w:b/>
          <w:bCs/>
          <w:sz w:val="32"/>
          <w:szCs w:val="32"/>
          <w:highlight w:val="none"/>
          <w:lang w:val="zh-CN"/>
        </w:rPr>
        <w:t>（</w:t>
      </w:r>
      <w:r>
        <w:rPr>
          <w:rFonts w:hint="eastAsia" w:ascii="Times New Roman" w:hAnsi="Times New Roman" w:eastAsia="楷体_GB2312" w:cs="Times New Roman"/>
          <w:b/>
          <w:bCs/>
          <w:sz w:val="32"/>
          <w:szCs w:val="32"/>
          <w:highlight w:val="none"/>
          <w:lang w:val="en-US" w:eastAsia="zh-CN"/>
        </w:rPr>
        <w:t>三</w:t>
      </w:r>
      <w:r>
        <w:rPr>
          <w:rFonts w:hint="default" w:ascii="Times New Roman" w:hAnsi="Times New Roman" w:eastAsia="楷体_GB2312" w:cs="Times New Roman"/>
          <w:b/>
          <w:bCs/>
          <w:sz w:val="32"/>
          <w:szCs w:val="32"/>
          <w:highlight w:val="none"/>
          <w:lang w:val="zh-CN"/>
        </w:rPr>
        <w:t>）绩效结果应用情况</w:t>
      </w:r>
      <w:r>
        <w:rPr>
          <w:rFonts w:hint="eastAsia" w:ascii="Times New Roman" w:hAnsi="Times New Roman" w:eastAsia="楷体_GB2312" w:cs="Times New Roman"/>
          <w:b/>
          <w:bCs/>
          <w:sz w:val="32"/>
          <w:szCs w:val="32"/>
          <w:highlight w:val="none"/>
          <w:lang w:val="zh-CN"/>
        </w:rPr>
        <w:t>。</w:t>
      </w:r>
      <w:r>
        <w:rPr>
          <w:rFonts w:hint="eastAsia" w:ascii="仿宋_GB2312" w:hAnsi="仿宋_GB2312" w:eastAsia="仿宋_GB2312" w:cs="仿宋_GB2312"/>
          <w:color w:val="000000"/>
          <w:kern w:val="0"/>
          <w:sz w:val="32"/>
          <w:highlight w:val="none"/>
          <w:lang w:val="en-US" w:eastAsia="zh-CN"/>
        </w:rPr>
        <w:t>本部门预决算、绩效目标设置情况、绩效目标完成情况均在规定时间内在门户网站公开，绩效结果作为项目申报预算的重要依据</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3B8D7C3F">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1BD283C9">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_GB2312" w:eastAsia="仿宋_GB2312" w:cs="仿宋_GB2312"/>
          <w:b w:val="0"/>
          <w:bCs w:val="0"/>
          <w:kern w:val="0"/>
          <w:position w:val="0"/>
          <w:sz w:val="32"/>
          <w:szCs w:val="32"/>
          <w:highlight w:val="none"/>
          <w:lang w:val="en-US" w:eastAsia="zh-CN" w:bidi="ar-SA"/>
        </w:rPr>
        <w:t>本部门积极开展预算绩效评价工作，部门整体自评得分97.62分。</w:t>
      </w:r>
    </w:p>
    <w:p w14:paraId="77C86540">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highlight w:val="none"/>
          <w:lang w:val="en-US" w:eastAsia="zh-CN"/>
        </w:rPr>
        <w:t>部分</w:t>
      </w:r>
      <w:r>
        <w:rPr>
          <w:rFonts w:hint="default" w:ascii="Times New Roman" w:hAnsi="Times New Roman" w:eastAsia="仿宋_GB2312" w:cs="Times New Roman"/>
          <w:sz w:val="32"/>
          <w:szCs w:val="32"/>
          <w:highlight w:val="none"/>
          <w:lang w:val="en-US" w:eastAsia="zh-CN"/>
        </w:rPr>
        <w:t>项目执行率较低，主要是部分项目前期工作有待加强，预算绩效管理意识还需提升，执行过程中对项目执行追踪力度不够，财务部门与业务部门的协作配合有待加强。</w:t>
      </w:r>
    </w:p>
    <w:p w14:paraId="4C7EEE8C">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left="0" w:leftChars="0" w:right="0" w:firstLine="643" w:firstLineChars="200"/>
        <w:jc w:val="both"/>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w:t>
      </w:r>
      <w:r>
        <w:rPr>
          <w:rFonts w:hint="eastAsia" w:ascii="Times New Roman" w:hAnsi="Times New Roman" w:eastAsia="楷体_GB2312" w:cs="Times New Roman"/>
          <w:b/>
          <w:bCs/>
          <w:color w:val="000000"/>
          <w:kern w:val="0"/>
          <w:sz w:val="32"/>
          <w:szCs w:val="32"/>
          <w:highlight w:val="none"/>
          <w:shd w:val="clear" w:color="auto" w:fill="FFFFFF"/>
          <w:lang w:val="en-US" w:eastAsia="zh-CN"/>
        </w:rPr>
        <w:t>措施</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7BC82EED">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sz w:val="32"/>
          <w:szCs w:val="32"/>
          <w:highlight w:val="none"/>
          <w:lang w:val="en-US" w:eastAsia="zh-CN"/>
        </w:rPr>
        <w:t>提高部门预算编制的科学性。通过对单位预决算情况分析，检验预算编制的科学程度，了解财政资金的实际使用方向是否和预算一致，查找差异产生的原因，为下年度部门预算编制提供依据，提高预算编制的科学性。</w:t>
      </w:r>
    </w:p>
    <w:p w14:paraId="2DD3D8E4">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val="en-US" w:eastAsia="zh-CN"/>
        </w:rPr>
        <w:t>加强绩效管理意识，提高资金使用率。提高部门全面实施预算绩效的自觉性，把绩效管理应用于管理工作的各个环节中，实现对财政资金申报、分配、管理等各个环节的优化，督促各项目科室抓好预算绩效管理工作，加强执行力度的监管，提高资金使用率。</w:t>
      </w:r>
    </w:p>
    <w:p w14:paraId="12ABF7D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10" w:type="first"/>
          <w:footerReference r:id="rId9"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Times New Roman"/>
          <w:b/>
          <w:bCs/>
          <w:sz w:val="32"/>
          <w:szCs w:val="32"/>
          <w:highlight w:val="none"/>
          <w:lang w:val="en-US" w:eastAsia="zh-CN"/>
        </w:rPr>
        <w:t>三是</w:t>
      </w:r>
      <w:r>
        <w:rPr>
          <w:rFonts w:hint="eastAsia" w:ascii="Times New Roman" w:hAnsi="Times New Roman" w:eastAsia="仿宋_GB2312" w:cs="Times New Roman"/>
          <w:sz w:val="32"/>
          <w:szCs w:val="32"/>
          <w:highlight w:val="none"/>
          <w:lang w:val="en-US" w:eastAsia="zh-CN"/>
        </w:rPr>
        <w:t>严格把控财务制度、加强审核力度。全面审核各类单据，重点审核单据来源是否合法，内容是否真实、完整，使用是否准确，是否符合预算，审批手续是否齐全。</w:t>
      </w:r>
      <w:r>
        <w:rPr>
          <w:rFonts w:hint="default" w:ascii="Times New Roman" w:hAnsi="Times New Roman" w:eastAsia="仿宋_GB2312" w:cs="Times New Roman"/>
          <w:sz w:val="32"/>
          <w:szCs w:val="32"/>
          <w:highlight w:val="none"/>
          <w:lang w:val="en-US" w:eastAsia="zh-CN"/>
        </w:rPr>
        <w:t>对审批程序不完整、附件要素不齐全的加强审核把关，加强对项目工作人员提交的报账资料原始单据审批，对记载不明确、不完整的原始凭证，予以退回，要求经办人员更正、补充</w:t>
      </w:r>
      <w:r>
        <w:rPr>
          <w:rFonts w:hint="eastAsia" w:ascii="Times New Roman" w:hAnsi="Times New Roman" w:eastAsia="仿宋_GB2312" w:cs="Times New Roman"/>
          <w:sz w:val="32"/>
          <w:szCs w:val="32"/>
          <w:highlight w:val="none"/>
          <w:u w:val="none"/>
          <w:lang w:val="en-US" w:eastAsia="zh-CN" w:bidi="ar"/>
        </w:rPr>
        <w:t>。</w:t>
      </w:r>
    </w:p>
    <w:bookmarkEnd w:id="65"/>
    <w:p w14:paraId="388ED93E">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tbl>
      <w:tblPr>
        <w:tblStyle w:val="1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46"/>
        <w:gridCol w:w="1769"/>
        <w:gridCol w:w="2258"/>
        <w:gridCol w:w="520"/>
        <w:gridCol w:w="1673"/>
        <w:gridCol w:w="520"/>
        <w:gridCol w:w="1090"/>
        <w:gridCol w:w="504"/>
        <w:gridCol w:w="486"/>
        <w:gridCol w:w="2550"/>
      </w:tblGrid>
      <w:tr w14:paraId="52FA8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45C761">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C06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8B3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613F6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51320021T000000047136-对外联络处工作经费(深圳+成都)</w:t>
            </w:r>
          </w:p>
        </w:tc>
      </w:tr>
      <w:tr w14:paraId="6185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60D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9C30C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670734FB">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2A1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37C3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935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B77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D8F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FD7CC">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A258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A0250">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AC5A">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1A74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一是深圳对外联络处是根据十二届州人民政府第28次常务会议、十一届州委常委会第74次会议审定,同意设立阿坝州驻深圳联络处，主要承担招商引资的对外业务联系，综合协调服务及与省外相关部门的联络协调，参与投资促进项目的对接、洽谈和跟踪服务；接待来州投资和经贸客商在州外、内地的接洽、咨询、联络服务等工作，充分发挥着“窗口”和“桥梁”的作用，有效带动港珠澳企业投资阿坝。2025年计划与1-2家珠三角500强企业达成合作意向。二是成都对外联络处主要承担了外经、外贸、招商引资和商贸流通的对外业务联系，综合协调服务及与省相关部门的联络协调，参与投资促进项目的对接、洽谈和跟踪服务；接待来州投资和经贸客商在州外、内地的接洽、咨询、联络服务等工作，充分发挥着“窗口”和“桥梁”的作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65DEE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承担深圳办及外联科所有职能职责，圆满完成所有工作任务。</w:t>
            </w:r>
          </w:p>
        </w:tc>
      </w:tr>
      <w:tr w14:paraId="63068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FDD2E">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65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5C53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日常同省级相关部门、投资意向企业和商协会对接联络，充分发挥驻地企业的本土优势开展工作打造外宣形象，筹备开展第二十届西部国际博览会阿坝州投资推介会、特色商品展等活动，达成多个项目对接和跟进，成效显著。</w:t>
            </w:r>
          </w:p>
        </w:tc>
      </w:tr>
      <w:tr w14:paraId="7CB7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39F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04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3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2B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234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2B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F7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44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4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CC3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60CE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EF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41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8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48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B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8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79CD">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0023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079A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4072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3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4D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C5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08A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9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B9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C6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C7AA4">
            <w:pPr>
              <w:rPr>
                <w:rFonts w:hint="eastAsia" w:ascii="黑体" w:hAnsi="黑体" w:eastAsia="黑体" w:cs="黑体"/>
                <w:i/>
                <w:iCs/>
                <w:color w:val="000000"/>
                <w:sz w:val="18"/>
                <w:szCs w:val="18"/>
                <w:highlight w:val="none"/>
                <w:u w:val="none"/>
              </w:rPr>
            </w:pPr>
          </w:p>
        </w:tc>
      </w:tr>
      <w:tr w14:paraId="5EC7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DAF3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1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EF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5D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92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2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5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D0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55426">
            <w:pPr>
              <w:rPr>
                <w:rFonts w:hint="eastAsia" w:ascii="黑体" w:hAnsi="黑体" w:eastAsia="黑体" w:cs="黑体"/>
                <w:i/>
                <w:iCs/>
                <w:color w:val="000000"/>
                <w:sz w:val="18"/>
                <w:szCs w:val="18"/>
                <w:highlight w:val="none"/>
                <w:u w:val="none"/>
              </w:rPr>
            </w:pPr>
          </w:p>
        </w:tc>
      </w:tr>
      <w:tr w14:paraId="3EF0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748F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E6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FD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8C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7FB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C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B6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D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4BBE3">
            <w:pPr>
              <w:rPr>
                <w:rFonts w:hint="eastAsia" w:ascii="黑体" w:hAnsi="黑体" w:eastAsia="黑体" w:cs="黑体"/>
                <w:i/>
                <w:iCs/>
                <w:color w:val="000000"/>
                <w:sz w:val="18"/>
                <w:szCs w:val="18"/>
                <w:highlight w:val="none"/>
                <w:u w:val="none"/>
              </w:rPr>
            </w:pPr>
          </w:p>
        </w:tc>
      </w:tr>
      <w:tr w14:paraId="361C2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5D0D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0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1E17">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0AD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2833D">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79DB">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08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07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AFD1D">
            <w:pPr>
              <w:rPr>
                <w:rFonts w:hint="eastAsia" w:ascii="黑体" w:hAnsi="黑体" w:eastAsia="黑体" w:cs="黑体"/>
                <w:i/>
                <w:iCs/>
                <w:color w:val="000000"/>
                <w:sz w:val="18"/>
                <w:szCs w:val="18"/>
                <w:highlight w:val="none"/>
                <w:u w:val="none"/>
              </w:rPr>
            </w:pPr>
          </w:p>
        </w:tc>
      </w:tr>
      <w:tr w14:paraId="020F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02F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ED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D4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2B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D1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33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C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9C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6D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2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B2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28D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105A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8B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C54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2A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达成合作意向企业数量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9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E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5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家</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682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C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7D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B377">
            <w:pPr>
              <w:jc w:val="center"/>
              <w:rPr>
                <w:rFonts w:hint="eastAsia" w:ascii="微软雅黑" w:hAnsi="微软雅黑" w:eastAsia="微软雅黑" w:cs="微软雅黑"/>
                <w:i/>
                <w:iCs/>
                <w:color w:val="000000"/>
                <w:sz w:val="16"/>
                <w:szCs w:val="16"/>
                <w:highlight w:val="none"/>
                <w:u w:val="none"/>
              </w:rPr>
            </w:pPr>
          </w:p>
        </w:tc>
      </w:tr>
      <w:tr w14:paraId="67E9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A7F29">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D4A0">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E89C9">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84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保障对外联络机构数量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96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A1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C1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E6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0B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83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BD0A">
            <w:pPr>
              <w:jc w:val="center"/>
              <w:rPr>
                <w:rFonts w:hint="eastAsia" w:ascii="微软雅黑" w:hAnsi="微软雅黑" w:eastAsia="微软雅黑" w:cs="微软雅黑"/>
                <w:i/>
                <w:iCs/>
                <w:color w:val="000000"/>
                <w:sz w:val="16"/>
                <w:szCs w:val="16"/>
                <w:highlight w:val="none"/>
                <w:u w:val="none"/>
              </w:rPr>
            </w:pPr>
          </w:p>
        </w:tc>
      </w:tr>
      <w:tr w14:paraId="43570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EF5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F02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F5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7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联络处服务规范率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D2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40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BB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C90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55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5B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0D9A">
            <w:pPr>
              <w:jc w:val="center"/>
              <w:rPr>
                <w:rFonts w:hint="eastAsia" w:ascii="微软雅黑" w:hAnsi="微软雅黑" w:eastAsia="微软雅黑" w:cs="微软雅黑"/>
                <w:i/>
                <w:iCs/>
                <w:color w:val="000000"/>
                <w:sz w:val="16"/>
                <w:szCs w:val="16"/>
                <w:highlight w:val="none"/>
                <w:u w:val="none"/>
              </w:rPr>
            </w:pPr>
          </w:p>
        </w:tc>
      </w:tr>
      <w:tr w14:paraId="552C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37A1">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1C62C">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F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B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及时保障周期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1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4D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FB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BF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90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70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90E0">
            <w:pPr>
              <w:jc w:val="center"/>
              <w:rPr>
                <w:rFonts w:hint="eastAsia" w:ascii="微软雅黑" w:hAnsi="微软雅黑" w:eastAsia="微软雅黑" w:cs="微软雅黑"/>
                <w:i/>
                <w:iCs/>
                <w:color w:val="000000"/>
                <w:sz w:val="16"/>
                <w:szCs w:val="16"/>
                <w:highlight w:val="none"/>
                <w:u w:val="none"/>
              </w:rPr>
            </w:pPr>
          </w:p>
        </w:tc>
      </w:tr>
      <w:tr w14:paraId="6279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C7291">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FFE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7C4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F4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港珠澳企业投资阿坝情况</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21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1F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0F63">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84B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A3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D4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534C">
            <w:pPr>
              <w:jc w:val="center"/>
              <w:rPr>
                <w:rFonts w:hint="eastAsia" w:ascii="微软雅黑" w:hAnsi="微软雅黑" w:eastAsia="微软雅黑" w:cs="微软雅黑"/>
                <w:i/>
                <w:iCs/>
                <w:color w:val="000000"/>
                <w:sz w:val="16"/>
                <w:szCs w:val="16"/>
                <w:highlight w:val="none"/>
                <w:u w:val="none"/>
              </w:rPr>
            </w:pPr>
          </w:p>
        </w:tc>
      </w:tr>
      <w:tr w14:paraId="1534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BB6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99BE2">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12910">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F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与珠三角办事处合作情况</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7F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3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合作关系显著增强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34D8">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170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显著增强</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3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62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7A02">
            <w:pPr>
              <w:jc w:val="center"/>
              <w:rPr>
                <w:rFonts w:hint="eastAsia" w:ascii="微软雅黑" w:hAnsi="微软雅黑" w:eastAsia="微软雅黑" w:cs="微软雅黑"/>
                <w:i/>
                <w:iCs/>
                <w:color w:val="000000"/>
                <w:sz w:val="16"/>
                <w:szCs w:val="16"/>
                <w:highlight w:val="none"/>
                <w:u w:val="none"/>
              </w:rPr>
            </w:pPr>
          </w:p>
        </w:tc>
      </w:tr>
      <w:tr w14:paraId="54BA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32C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A5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18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B2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相关单位对工作满意度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0B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52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A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E5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8F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FF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9F3">
            <w:pPr>
              <w:jc w:val="center"/>
              <w:rPr>
                <w:rFonts w:hint="eastAsia" w:ascii="微软雅黑" w:hAnsi="微软雅黑" w:eastAsia="微软雅黑" w:cs="微软雅黑"/>
                <w:i/>
                <w:iCs/>
                <w:color w:val="000000"/>
                <w:sz w:val="16"/>
                <w:szCs w:val="16"/>
                <w:highlight w:val="none"/>
                <w:u w:val="none"/>
              </w:rPr>
            </w:pPr>
          </w:p>
        </w:tc>
      </w:tr>
      <w:tr w14:paraId="6E755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E2A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AE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9D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C4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B7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C4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A3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5C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45.16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1B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4A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B2F3">
            <w:pPr>
              <w:jc w:val="center"/>
              <w:rPr>
                <w:rFonts w:hint="eastAsia" w:ascii="微软雅黑" w:hAnsi="微软雅黑" w:eastAsia="微软雅黑" w:cs="微软雅黑"/>
                <w:i/>
                <w:iCs/>
                <w:color w:val="000000"/>
                <w:sz w:val="16"/>
                <w:szCs w:val="16"/>
                <w:highlight w:val="none"/>
                <w:u w:val="none"/>
              </w:rPr>
            </w:pPr>
          </w:p>
        </w:tc>
      </w:tr>
      <w:tr w14:paraId="7BB8C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A606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7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C6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BD29">
            <w:pPr>
              <w:rPr>
                <w:rFonts w:hint="eastAsia" w:ascii="宋体" w:hAnsi="宋体" w:eastAsia="宋体" w:cs="宋体"/>
                <w:i w:val="0"/>
                <w:iCs w:val="0"/>
                <w:color w:val="000000"/>
                <w:sz w:val="18"/>
                <w:szCs w:val="18"/>
                <w:highlight w:val="none"/>
                <w:u w:val="none"/>
              </w:rPr>
            </w:pPr>
          </w:p>
        </w:tc>
      </w:tr>
      <w:tr w14:paraId="511D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B2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4C10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得分100分，加强了同省政府驻外机构的沟通联络和项目推送承接；筹备组织实施第第二十届届西博会阿坝州投资推介会、特色商品展等活动，达成多个项目对接和跟进，成效显著。下半年因机构改革，职能职责划转至州经济合作外事局，相关经费一并划转。</w:t>
            </w:r>
          </w:p>
        </w:tc>
      </w:tr>
      <w:tr w14:paraId="2E8E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D7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20FC5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4C99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E8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49B5A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204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40C7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项目负责人：熊焕玉</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8097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D6E3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961422C">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70D3CC43">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E2DC08B">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26CF6731">
            <w:pPr>
              <w:rPr>
                <w:rFonts w:hint="eastAsia" w:ascii="宋体" w:hAnsi="宋体" w:eastAsia="宋体" w:cs="宋体"/>
                <w:i w:val="0"/>
                <w:iCs w:val="0"/>
                <w:color w:val="000000"/>
                <w:sz w:val="18"/>
                <w:szCs w:val="18"/>
                <w:highlight w:val="none"/>
                <w:u w:val="none"/>
              </w:rPr>
            </w:pPr>
          </w:p>
          <w:p w14:paraId="7D8AAC0D">
            <w:pPr>
              <w:rPr>
                <w:rFonts w:hint="eastAsia" w:ascii="宋体" w:hAnsi="宋体" w:eastAsia="宋体" w:cs="宋体"/>
                <w:i w:val="0"/>
                <w:iCs w:val="0"/>
                <w:color w:val="000000"/>
                <w:sz w:val="18"/>
                <w:szCs w:val="18"/>
                <w:highlight w:val="none"/>
                <w:u w:val="none"/>
              </w:rPr>
            </w:pPr>
          </w:p>
          <w:p w14:paraId="286B635B">
            <w:pPr>
              <w:rPr>
                <w:rFonts w:hint="eastAsia" w:ascii="宋体" w:hAnsi="宋体" w:eastAsia="宋体" w:cs="宋体"/>
                <w:i w:val="0"/>
                <w:iCs w:val="0"/>
                <w:color w:val="000000"/>
                <w:sz w:val="18"/>
                <w:szCs w:val="18"/>
                <w:highlight w:val="none"/>
                <w:u w:val="none"/>
              </w:rPr>
            </w:pPr>
          </w:p>
          <w:p w14:paraId="02363A7D">
            <w:pPr>
              <w:rPr>
                <w:rFonts w:hint="eastAsia" w:ascii="宋体" w:hAnsi="宋体" w:eastAsia="宋体" w:cs="宋体"/>
                <w:i w:val="0"/>
                <w:iCs w:val="0"/>
                <w:color w:val="000000"/>
                <w:sz w:val="18"/>
                <w:szCs w:val="18"/>
                <w:highlight w:val="none"/>
                <w:u w:val="none"/>
              </w:rPr>
            </w:pPr>
          </w:p>
          <w:p w14:paraId="2CD2A1F0">
            <w:pPr>
              <w:rPr>
                <w:rFonts w:hint="eastAsia" w:ascii="宋体" w:hAnsi="宋体" w:eastAsia="宋体" w:cs="宋体"/>
                <w:i w:val="0"/>
                <w:iCs w:val="0"/>
                <w:color w:val="000000"/>
                <w:sz w:val="18"/>
                <w:szCs w:val="18"/>
                <w:highlight w:val="none"/>
                <w:u w:val="none"/>
              </w:rPr>
            </w:pPr>
          </w:p>
          <w:p w14:paraId="00AB3D34">
            <w:pPr>
              <w:rPr>
                <w:rFonts w:hint="eastAsia" w:ascii="宋体" w:hAnsi="宋体" w:eastAsia="宋体" w:cs="宋体"/>
                <w:i w:val="0"/>
                <w:iCs w:val="0"/>
                <w:color w:val="000000"/>
                <w:sz w:val="18"/>
                <w:szCs w:val="18"/>
                <w:highlight w:val="none"/>
                <w:u w:val="none"/>
              </w:rPr>
            </w:pPr>
          </w:p>
          <w:p w14:paraId="163DE28F">
            <w:pPr>
              <w:rPr>
                <w:rFonts w:hint="eastAsia" w:ascii="宋体" w:hAnsi="宋体" w:eastAsia="宋体" w:cs="宋体"/>
                <w:i w:val="0"/>
                <w:iCs w:val="0"/>
                <w:color w:val="000000"/>
                <w:sz w:val="18"/>
                <w:szCs w:val="18"/>
                <w:highlight w:val="none"/>
                <w:u w:val="none"/>
              </w:rPr>
            </w:pPr>
          </w:p>
          <w:p w14:paraId="7C82DC7A">
            <w:pPr>
              <w:rPr>
                <w:rFonts w:hint="eastAsia" w:ascii="宋体" w:hAnsi="宋体" w:eastAsia="宋体" w:cs="宋体"/>
                <w:i w:val="0"/>
                <w:iCs w:val="0"/>
                <w:color w:val="000000"/>
                <w:sz w:val="18"/>
                <w:szCs w:val="18"/>
                <w:highlight w:val="none"/>
                <w:u w:val="none"/>
              </w:rPr>
            </w:pPr>
          </w:p>
          <w:p w14:paraId="585B178E">
            <w:pPr>
              <w:rPr>
                <w:rFonts w:hint="eastAsia" w:ascii="宋体" w:hAnsi="宋体" w:eastAsia="宋体" w:cs="宋体"/>
                <w:i w:val="0"/>
                <w:iCs w:val="0"/>
                <w:color w:val="000000"/>
                <w:sz w:val="18"/>
                <w:szCs w:val="18"/>
                <w:highlight w:val="none"/>
                <w:u w:val="none"/>
              </w:rPr>
            </w:pPr>
          </w:p>
          <w:p w14:paraId="102C07A8">
            <w:pPr>
              <w:rPr>
                <w:rFonts w:hint="eastAsia" w:ascii="宋体" w:hAnsi="宋体" w:eastAsia="宋体" w:cs="宋体"/>
                <w:i w:val="0"/>
                <w:iCs w:val="0"/>
                <w:color w:val="000000"/>
                <w:sz w:val="18"/>
                <w:szCs w:val="18"/>
                <w:highlight w:val="none"/>
                <w:u w:val="none"/>
              </w:rPr>
            </w:pPr>
          </w:p>
          <w:p w14:paraId="3536DFAA">
            <w:pPr>
              <w:rPr>
                <w:rFonts w:hint="eastAsia" w:ascii="宋体" w:hAnsi="宋体" w:eastAsia="宋体" w:cs="宋体"/>
                <w:i w:val="0"/>
                <w:iCs w:val="0"/>
                <w:color w:val="000000"/>
                <w:sz w:val="18"/>
                <w:szCs w:val="18"/>
                <w:highlight w:val="none"/>
                <w:u w:val="none"/>
              </w:rPr>
            </w:pPr>
          </w:p>
          <w:p w14:paraId="322C4518">
            <w:pPr>
              <w:rPr>
                <w:rFonts w:hint="eastAsia" w:ascii="宋体" w:hAnsi="宋体" w:eastAsia="宋体" w:cs="宋体"/>
                <w:i w:val="0"/>
                <w:iCs w:val="0"/>
                <w:color w:val="000000"/>
                <w:sz w:val="18"/>
                <w:szCs w:val="18"/>
                <w:highlight w:val="none"/>
                <w:u w:val="none"/>
              </w:rPr>
            </w:pPr>
          </w:p>
          <w:p w14:paraId="7F21FD50">
            <w:pPr>
              <w:rPr>
                <w:rFonts w:hint="eastAsia" w:ascii="宋体" w:hAnsi="宋体" w:eastAsia="宋体" w:cs="宋体"/>
                <w:i w:val="0"/>
                <w:iCs w:val="0"/>
                <w:color w:val="000000"/>
                <w:sz w:val="18"/>
                <w:szCs w:val="18"/>
                <w:highlight w:val="none"/>
                <w:u w:val="none"/>
              </w:rPr>
            </w:pPr>
          </w:p>
          <w:p w14:paraId="4F161BC7">
            <w:pPr>
              <w:rPr>
                <w:rFonts w:hint="eastAsia" w:ascii="宋体" w:hAnsi="宋体" w:eastAsia="宋体" w:cs="宋体"/>
                <w:i w:val="0"/>
                <w:iCs w:val="0"/>
                <w:color w:val="000000"/>
                <w:sz w:val="18"/>
                <w:szCs w:val="18"/>
                <w:highlight w:val="none"/>
                <w:u w:val="none"/>
              </w:rPr>
            </w:pPr>
          </w:p>
          <w:p w14:paraId="1709365D">
            <w:pPr>
              <w:rPr>
                <w:rFonts w:hint="eastAsia" w:ascii="宋体" w:hAnsi="宋体" w:eastAsia="宋体" w:cs="宋体"/>
                <w:i w:val="0"/>
                <w:iCs w:val="0"/>
                <w:color w:val="000000"/>
                <w:sz w:val="18"/>
                <w:szCs w:val="18"/>
                <w:highlight w:val="none"/>
                <w:u w:val="none"/>
              </w:rPr>
            </w:pPr>
          </w:p>
          <w:p w14:paraId="0EC8B58D">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56C2FB8">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108A8E75">
            <w:pPr>
              <w:rPr>
                <w:rFonts w:hint="eastAsia" w:ascii="宋体" w:hAnsi="宋体" w:eastAsia="宋体" w:cs="宋体"/>
                <w:i w:val="0"/>
                <w:iCs w:val="0"/>
                <w:color w:val="000000"/>
                <w:sz w:val="18"/>
                <w:szCs w:val="18"/>
                <w:highlight w:val="none"/>
                <w:u w:val="none"/>
              </w:rPr>
            </w:pPr>
          </w:p>
          <w:p w14:paraId="7A4A82AA">
            <w:pPr>
              <w:rPr>
                <w:rFonts w:hint="eastAsia" w:ascii="宋体" w:hAnsi="宋体" w:eastAsia="宋体" w:cs="宋体"/>
                <w:i w:val="0"/>
                <w:iCs w:val="0"/>
                <w:color w:val="000000"/>
                <w:sz w:val="18"/>
                <w:szCs w:val="18"/>
                <w:highlight w:val="none"/>
                <w:u w:val="none"/>
              </w:rPr>
            </w:pPr>
          </w:p>
          <w:p w14:paraId="20BACFCF">
            <w:pPr>
              <w:rPr>
                <w:rFonts w:hint="eastAsia" w:ascii="宋体" w:hAnsi="宋体" w:eastAsia="宋体" w:cs="宋体"/>
                <w:i w:val="0"/>
                <w:iCs w:val="0"/>
                <w:color w:val="000000"/>
                <w:sz w:val="18"/>
                <w:szCs w:val="18"/>
                <w:highlight w:val="none"/>
                <w:u w:val="none"/>
              </w:rPr>
            </w:pPr>
          </w:p>
          <w:p w14:paraId="6929092F">
            <w:pPr>
              <w:rPr>
                <w:rFonts w:hint="eastAsia" w:ascii="宋体" w:hAnsi="宋体" w:eastAsia="宋体" w:cs="宋体"/>
                <w:i w:val="0"/>
                <w:iCs w:val="0"/>
                <w:color w:val="000000"/>
                <w:sz w:val="18"/>
                <w:szCs w:val="18"/>
                <w:highlight w:val="none"/>
                <w:u w:val="none"/>
              </w:rPr>
            </w:pPr>
          </w:p>
          <w:p w14:paraId="7274BA0B">
            <w:pPr>
              <w:rPr>
                <w:rFonts w:hint="eastAsia" w:ascii="宋体" w:hAnsi="宋体" w:eastAsia="宋体" w:cs="宋体"/>
                <w:i w:val="0"/>
                <w:iCs w:val="0"/>
                <w:color w:val="000000"/>
                <w:sz w:val="18"/>
                <w:szCs w:val="18"/>
                <w:highlight w:val="none"/>
                <w:u w:val="none"/>
              </w:rPr>
            </w:pPr>
          </w:p>
          <w:p w14:paraId="7142A8B6">
            <w:pPr>
              <w:rPr>
                <w:rFonts w:hint="eastAsia" w:ascii="宋体" w:hAnsi="宋体" w:eastAsia="宋体" w:cs="宋体"/>
                <w:i w:val="0"/>
                <w:iCs w:val="0"/>
                <w:color w:val="000000"/>
                <w:sz w:val="18"/>
                <w:szCs w:val="18"/>
                <w:highlight w:val="none"/>
                <w:u w:val="none"/>
              </w:rPr>
            </w:pPr>
          </w:p>
          <w:p w14:paraId="4A65CCD3">
            <w:pPr>
              <w:rPr>
                <w:rFonts w:hint="eastAsia" w:ascii="宋体" w:hAnsi="宋体" w:eastAsia="宋体" w:cs="宋体"/>
                <w:i w:val="0"/>
                <w:iCs w:val="0"/>
                <w:color w:val="000000"/>
                <w:sz w:val="18"/>
                <w:szCs w:val="18"/>
                <w:highlight w:val="none"/>
                <w:u w:val="none"/>
              </w:rPr>
            </w:pPr>
          </w:p>
          <w:p w14:paraId="4F1F3CE2">
            <w:pPr>
              <w:rPr>
                <w:rFonts w:hint="eastAsia" w:ascii="宋体" w:hAnsi="宋体" w:eastAsia="宋体" w:cs="宋体"/>
                <w:i w:val="0"/>
                <w:iCs w:val="0"/>
                <w:color w:val="000000"/>
                <w:sz w:val="18"/>
                <w:szCs w:val="18"/>
                <w:highlight w:val="none"/>
                <w:u w:val="none"/>
              </w:rPr>
            </w:pPr>
          </w:p>
          <w:p w14:paraId="123FE004">
            <w:pPr>
              <w:rPr>
                <w:rFonts w:hint="eastAsia" w:ascii="宋体" w:hAnsi="宋体" w:eastAsia="宋体" w:cs="宋体"/>
                <w:i w:val="0"/>
                <w:iCs w:val="0"/>
                <w:color w:val="000000"/>
                <w:sz w:val="18"/>
                <w:szCs w:val="18"/>
                <w:highlight w:val="none"/>
                <w:u w:val="none"/>
              </w:rPr>
            </w:pPr>
          </w:p>
          <w:p w14:paraId="33B80A76">
            <w:pPr>
              <w:rPr>
                <w:rFonts w:hint="eastAsia" w:ascii="宋体" w:hAnsi="宋体" w:eastAsia="宋体" w:cs="宋体"/>
                <w:i w:val="0"/>
                <w:iCs w:val="0"/>
                <w:color w:val="000000"/>
                <w:sz w:val="18"/>
                <w:szCs w:val="18"/>
                <w:highlight w:val="none"/>
                <w:u w:val="none"/>
              </w:rPr>
            </w:pPr>
          </w:p>
          <w:p w14:paraId="05B6D391">
            <w:pPr>
              <w:rPr>
                <w:rFonts w:hint="eastAsia" w:ascii="宋体" w:hAnsi="宋体" w:eastAsia="宋体" w:cs="宋体"/>
                <w:i w:val="0"/>
                <w:iCs w:val="0"/>
                <w:color w:val="000000"/>
                <w:sz w:val="18"/>
                <w:szCs w:val="18"/>
                <w:highlight w:val="none"/>
                <w:u w:val="none"/>
              </w:rPr>
            </w:pPr>
          </w:p>
          <w:p w14:paraId="3E1BF60A">
            <w:pPr>
              <w:rPr>
                <w:rFonts w:hint="eastAsia" w:ascii="宋体" w:hAnsi="宋体" w:eastAsia="宋体" w:cs="宋体"/>
                <w:i w:val="0"/>
                <w:iCs w:val="0"/>
                <w:color w:val="000000"/>
                <w:sz w:val="18"/>
                <w:szCs w:val="18"/>
                <w:highlight w:val="none"/>
                <w:u w:val="none"/>
              </w:rPr>
            </w:pPr>
          </w:p>
          <w:p w14:paraId="5920E28C">
            <w:pPr>
              <w:rPr>
                <w:rFonts w:hint="eastAsia" w:ascii="宋体" w:hAnsi="宋体" w:eastAsia="宋体" w:cs="宋体"/>
                <w:i w:val="0"/>
                <w:iCs w:val="0"/>
                <w:color w:val="000000"/>
                <w:sz w:val="18"/>
                <w:szCs w:val="18"/>
                <w:highlight w:val="none"/>
                <w:u w:val="none"/>
              </w:rPr>
            </w:pPr>
          </w:p>
          <w:p w14:paraId="06BC35A1">
            <w:pPr>
              <w:rPr>
                <w:rFonts w:hint="eastAsia" w:ascii="宋体" w:hAnsi="宋体" w:eastAsia="宋体" w:cs="宋体"/>
                <w:i w:val="0"/>
                <w:iCs w:val="0"/>
                <w:color w:val="000000"/>
                <w:sz w:val="18"/>
                <w:szCs w:val="18"/>
                <w:highlight w:val="none"/>
                <w:u w:val="none"/>
              </w:rPr>
            </w:pPr>
          </w:p>
          <w:p w14:paraId="1B9B04A3">
            <w:pPr>
              <w:rPr>
                <w:rFonts w:hint="eastAsia" w:ascii="宋体" w:hAnsi="宋体" w:eastAsia="宋体" w:cs="宋体"/>
                <w:i w:val="0"/>
                <w:iCs w:val="0"/>
                <w:color w:val="000000"/>
                <w:sz w:val="18"/>
                <w:szCs w:val="18"/>
                <w:highlight w:val="none"/>
                <w:u w:val="none"/>
              </w:rPr>
            </w:pPr>
          </w:p>
          <w:p w14:paraId="3AF4D4EF">
            <w:pPr>
              <w:rPr>
                <w:rFonts w:hint="eastAsia" w:ascii="宋体" w:hAnsi="宋体" w:eastAsia="宋体" w:cs="宋体"/>
                <w:i w:val="0"/>
                <w:iCs w:val="0"/>
                <w:color w:val="000000"/>
                <w:sz w:val="18"/>
                <w:szCs w:val="18"/>
                <w:highlight w:val="none"/>
                <w:u w:val="none"/>
              </w:rPr>
            </w:pPr>
          </w:p>
          <w:p w14:paraId="0BA03D82">
            <w:pPr>
              <w:rPr>
                <w:rFonts w:hint="eastAsia" w:ascii="宋体" w:hAnsi="宋体" w:eastAsia="宋体" w:cs="宋体"/>
                <w:i w:val="0"/>
                <w:iCs w:val="0"/>
                <w:color w:val="000000"/>
                <w:sz w:val="18"/>
                <w:szCs w:val="18"/>
                <w:highlight w:val="none"/>
                <w:u w:val="none"/>
              </w:rPr>
            </w:pPr>
          </w:p>
          <w:p w14:paraId="0F3C3699">
            <w:pPr>
              <w:rPr>
                <w:rFonts w:hint="eastAsia" w:ascii="宋体" w:hAnsi="宋体" w:eastAsia="宋体" w:cs="宋体"/>
                <w:i w:val="0"/>
                <w:iCs w:val="0"/>
                <w:color w:val="000000"/>
                <w:sz w:val="18"/>
                <w:szCs w:val="18"/>
                <w:highlight w:val="none"/>
                <w:u w:val="none"/>
              </w:rPr>
            </w:pPr>
          </w:p>
          <w:p w14:paraId="0D317F3A">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DA62E62">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0234ECDC">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16BD8FCD">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1C1360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39B2A0D8">
            <w:pPr>
              <w:rPr>
                <w:rFonts w:hint="eastAsia" w:ascii="宋体" w:hAnsi="宋体" w:eastAsia="宋体" w:cs="宋体"/>
                <w:i w:val="0"/>
                <w:iCs w:val="0"/>
                <w:color w:val="000000"/>
                <w:sz w:val="18"/>
                <w:szCs w:val="18"/>
                <w:highlight w:val="none"/>
                <w:u w:val="none"/>
              </w:rPr>
            </w:pPr>
          </w:p>
        </w:tc>
      </w:tr>
      <w:tr w14:paraId="0472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39F60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F625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1458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BE83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51320021T000000047138-专题精准小分队招商、开放合作活动及项目册投资指南制作等项目经费</w:t>
            </w:r>
          </w:p>
        </w:tc>
      </w:tr>
      <w:tr w14:paraId="6483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4C9A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10931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3338878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174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4285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8864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93B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6EE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E1BE2">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D75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32FB">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AACC">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5D7B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一是为充分展示我州良好的投资环境和对外开放形象，利用专题招商引资活动、小分队招商引资活动、精准招商引资活动、各类经贸活动等，赴省内外发达地区宣传推介阿坝州五大产业：全域旅游、特色农牧、清洁能源、民族文化、‘飞地’经济、优良投资环境和良好的营商环境，加快构建“三地共建、五业同优”“四向拓展、全域开放”区域发展新格局，加快“一州两区三家园”建设，着力打造全域旅游“九大品牌”和“净土阿坝”农牧产品金字招牌贡献力量。二是使我州干部拓展视野、创新思路、激发干劲，借鉴先进经验，把学习考察成果转化为本地本部门创新发展、绿色发展、高质量发展的新思路、新举措、新成效，进一步促进我州在项目洽谈、签约、落地、开工、服务等方面的快速高效，确保项目谈得成、留得住、建得成。三是通过招商引资项目册、投资指南、手提袋的印制，在省、市（州）各大会议活动、展览会、外出招商活动中的发放，让更多人从文字、图片等信息更加形象的了解知晓阿坝州总体概况、资源禀赋、资源分布、机构设立及联系方式、产业定位及发展方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CD01B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编制发布阿坝州投资机遇、资源、政策“三张清单”，论证推出2025年州级重点招商引资项目120个，总投资693亿元，成功筹办第二十届西博会阿坝系列活动、“天下九寨沟·大美阿坝州”北京站投资合作推介会、川商总会天府新区商会阿坝行等活动，印发《投资机遇信息》20余期，组织县（市）主要领导外出小分队招商34批次。</w:t>
            </w:r>
          </w:p>
        </w:tc>
      </w:tr>
      <w:tr w14:paraId="0382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2A95C">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DA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AD12D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招商引资优惠政策清理，排查169个2024年5月前签约项目并督促政策兑现；举办全州招商引资专题培训，并将招商引资相关指标纳入2025年州对县市综合目标考核，将2023-2024年签约项目履约督查纳入全州督监考计划。</w:t>
            </w:r>
          </w:p>
        </w:tc>
      </w:tr>
      <w:tr w14:paraId="2AE2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D3A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7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4B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44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83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26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83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B8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00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77E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B371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EE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8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43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022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D2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2D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9191">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4D6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6F81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6AA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4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58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2D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FD3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9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5C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DE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1A9D">
            <w:pPr>
              <w:rPr>
                <w:rFonts w:hint="eastAsia" w:ascii="黑体" w:hAnsi="黑体" w:eastAsia="黑体" w:cs="黑体"/>
                <w:i/>
                <w:iCs/>
                <w:color w:val="000000"/>
                <w:sz w:val="18"/>
                <w:szCs w:val="18"/>
                <w:highlight w:val="none"/>
                <w:u w:val="none"/>
              </w:rPr>
            </w:pPr>
          </w:p>
        </w:tc>
      </w:tr>
      <w:tr w14:paraId="7870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DE6C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89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2E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B2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8C5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60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81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F9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10D23">
            <w:pPr>
              <w:rPr>
                <w:rFonts w:hint="eastAsia" w:ascii="黑体" w:hAnsi="黑体" w:eastAsia="黑体" w:cs="黑体"/>
                <w:i/>
                <w:iCs/>
                <w:color w:val="000000"/>
                <w:sz w:val="18"/>
                <w:szCs w:val="18"/>
                <w:highlight w:val="none"/>
                <w:u w:val="none"/>
              </w:rPr>
            </w:pPr>
          </w:p>
        </w:tc>
      </w:tr>
      <w:tr w14:paraId="61EF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9D70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D9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FE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11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D25D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B6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7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10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08F63">
            <w:pPr>
              <w:rPr>
                <w:rFonts w:hint="eastAsia" w:ascii="黑体" w:hAnsi="黑体" w:eastAsia="黑体" w:cs="黑体"/>
                <w:i/>
                <w:iCs/>
                <w:color w:val="000000"/>
                <w:sz w:val="18"/>
                <w:szCs w:val="18"/>
                <w:highlight w:val="none"/>
                <w:u w:val="none"/>
              </w:rPr>
            </w:pPr>
          </w:p>
        </w:tc>
      </w:tr>
      <w:tr w14:paraId="092A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246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8B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D585">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0432">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4F90D">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FFB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C3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0F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E58B2">
            <w:pPr>
              <w:rPr>
                <w:rFonts w:hint="eastAsia" w:ascii="黑体" w:hAnsi="黑体" w:eastAsia="黑体" w:cs="黑体"/>
                <w:i/>
                <w:iCs/>
                <w:color w:val="000000"/>
                <w:sz w:val="18"/>
                <w:szCs w:val="18"/>
                <w:highlight w:val="none"/>
                <w:u w:val="none"/>
              </w:rPr>
            </w:pPr>
          </w:p>
        </w:tc>
      </w:tr>
      <w:tr w14:paraId="6266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98B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02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A4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33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DD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6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F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40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CA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F9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0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6A1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4AA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2F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A0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49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印制投资机遇清单数量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A1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93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30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册</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289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C8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93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6B5">
            <w:pPr>
              <w:jc w:val="center"/>
              <w:rPr>
                <w:rFonts w:hint="eastAsia" w:ascii="微软雅黑" w:hAnsi="微软雅黑" w:eastAsia="微软雅黑" w:cs="微软雅黑"/>
                <w:i/>
                <w:iCs/>
                <w:color w:val="000000"/>
                <w:sz w:val="16"/>
                <w:szCs w:val="16"/>
                <w:highlight w:val="none"/>
                <w:u w:val="none"/>
              </w:rPr>
            </w:pPr>
          </w:p>
        </w:tc>
      </w:tr>
      <w:tr w14:paraId="51DF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5C0D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6630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3082B">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14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开展招商引资系列活动数量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B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22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C0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E3A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4A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A2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8A01">
            <w:pPr>
              <w:jc w:val="center"/>
              <w:rPr>
                <w:rFonts w:hint="eastAsia" w:ascii="微软雅黑" w:hAnsi="微软雅黑" w:eastAsia="微软雅黑" w:cs="微软雅黑"/>
                <w:i/>
                <w:iCs/>
                <w:color w:val="000000"/>
                <w:sz w:val="16"/>
                <w:szCs w:val="16"/>
                <w:highlight w:val="none"/>
                <w:u w:val="none"/>
              </w:rPr>
            </w:pPr>
          </w:p>
        </w:tc>
      </w:tr>
      <w:tr w14:paraId="3F166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9BE4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2364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B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D0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印刷品验收合格率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5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E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4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4F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F5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88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4A7E">
            <w:pPr>
              <w:jc w:val="center"/>
              <w:rPr>
                <w:rFonts w:hint="eastAsia" w:ascii="微软雅黑" w:hAnsi="微软雅黑" w:eastAsia="微软雅黑" w:cs="微软雅黑"/>
                <w:i/>
                <w:iCs/>
                <w:color w:val="000000"/>
                <w:sz w:val="16"/>
                <w:szCs w:val="16"/>
                <w:highlight w:val="none"/>
                <w:u w:val="none"/>
              </w:rPr>
            </w:pPr>
          </w:p>
        </w:tc>
      </w:tr>
      <w:tr w14:paraId="13D2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98AF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E48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08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D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3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33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C5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A7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99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57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1F58">
            <w:pPr>
              <w:jc w:val="center"/>
              <w:rPr>
                <w:rFonts w:hint="eastAsia" w:ascii="微软雅黑" w:hAnsi="微软雅黑" w:eastAsia="微软雅黑" w:cs="微软雅黑"/>
                <w:i/>
                <w:iCs/>
                <w:color w:val="000000"/>
                <w:sz w:val="16"/>
                <w:szCs w:val="16"/>
                <w:highlight w:val="none"/>
                <w:u w:val="none"/>
              </w:rPr>
            </w:pPr>
          </w:p>
        </w:tc>
      </w:tr>
      <w:tr w14:paraId="072F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C87B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6F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D5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A0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新签约项目数量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E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F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D3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FDA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EF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19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1BEC">
            <w:pPr>
              <w:jc w:val="center"/>
              <w:rPr>
                <w:rFonts w:hint="eastAsia" w:ascii="微软雅黑" w:hAnsi="微软雅黑" w:eastAsia="微软雅黑" w:cs="微软雅黑"/>
                <w:i/>
                <w:iCs/>
                <w:color w:val="000000"/>
                <w:sz w:val="16"/>
                <w:szCs w:val="16"/>
                <w:highlight w:val="none"/>
                <w:u w:val="none"/>
              </w:rPr>
            </w:pPr>
          </w:p>
        </w:tc>
      </w:tr>
      <w:tr w14:paraId="35C4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BCA7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4D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B9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86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客商对推介会等工作满意度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06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0E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57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FCF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54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4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5323">
            <w:pPr>
              <w:jc w:val="center"/>
              <w:rPr>
                <w:rFonts w:hint="eastAsia" w:ascii="微软雅黑" w:hAnsi="微软雅黑" w:eastAsia="微软雅黑" w:cs="微软雅黑"/>
                <w:i/>
                <w:iCs/>
                <w:color w:val="000000"/>
                <w:sz w:val="16"/>
                <w:szCs w:val="16"/>
                <w:highlight w:val="none"/>
                <w:u w:val="none"/>
              </w:rPr>
            </w:pPr>
          </w:p>
        </w:tc>
      </w:tr>
      <w:tr w14:paraId="2FBC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72C9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E3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7B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3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项目成本控制金额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E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D0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53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773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19.63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14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5A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3444">
            <w:pPr>
              <w:jc w:val="center"/>
              <w:rPr>
                <w:rFonts w:hint="eastAsia" w:ascii="微软雅黑" w:hAnsi="微软雅黑" w:eastAsia="微软雅黑" w:cs="微软雅黑"/>
                <w:i/>
                <w:iCs/>
                <w:color w:val="000000"/>
                <w:sz w:val="16"/>
                <w:szCs w:val="16"/>
                <w:highlight w:val="none"/>
                <w:u w:val="none"/>
              </w:rPr>
            </w:pPr>
          </w:p>
        </w:tc>
      </w:tr>
      <w:tr w14:paraId="338AA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9D80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70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B4A7">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DE7C">
            <w:pPr>
              <w:rPr>
                <w:rFonts w:hint="eastAsia" w:ascii="宋体" w:hAnsi="宋体" w:eastAsia="宋体" w:cs="宋体"/>
                <w:i w:val="0"/>
                <w:iCs w:val="0"/>
                <w:color w:val="000000"/>
                <w:sz w:val="18"/>
                <w:szCs w:val="18"/>
                <w:highlight w:val="none"/>
                <w:u w:val="none"/>
              </w:rPr>
            </w:pPr>
          </w:p>
        </w:tc>
      </w:tr>
      <w:tr w14:paraId="760F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45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55F74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项目自评总分100分，项目实施取得的成效显著，下半年因机构改革，职能职责划转至州经济合作外事局，相关经费一并划转。</w:t>
            </w:r>
          </w:p>
        </w:tc>
      </w:tr>
      <w:tr w14:paraId="1FCA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3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952B8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23F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24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0E531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3DC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8532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项目负责人：柯正刚</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21C7B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01BB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8B11884">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0D753733">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7C6F0F08">
            <w:pPr>
              <w:rPr>
                <w:rFonts w:hint="eastAsia" w:ascii="宋体" w:hAnsi="宋体" w:eastAsia="宋体" w:cs="宋体"/>
                <w:i w:val="0"/>
                <w:iCs w:val="0"/>
                <w:color w:val="000000"/>
                <w:sz w:val="18"/>
                <w:szCs w:val="18"/>
                <w:highlight w:val="none"/>
                <w:u w:val="none"/>
              </w:rPr>
            </w:pPr>
          </w:p>
          <w:p w14:paraId="01BCAC4F">
            <w:pPr>
              <w:rPr>
                <w:rFonts w:hint="eastAsia" w:ascii="宋体" w:hAnsi="宋体" w:eastAsia="宋体" w:cs="宋体"/>
                <w:i w:val="0"/>
                <w:iCs w:val="0"/>
                <w:color w:val="000000"/>
                <w:sz w:val="18"/>
                <w:szCs w:val="18"/>
                <w:highlight w:val="none"/>
                <w:u w:val="none"/>
              </w:rPr>
            </w:pPr>
          </w:p>
          <w:p w14:paraId="135DF716">
            <w:pPr>
              <w:rPr>
                <w:rFonts w:hint="eastAsia" w:ascii="宋体" w:hAnsi="宋体" w:eastAsia="宋体" w:cs="宋体"/>
                <w:i w:val="0"/>
                <w:iCs w:val="0"/>
                <w:color w:val="000000"/>
                <w:sz w:val="18"/>
                <w:szCs w:val="18"/>
                <w:highlight w:val="none"/>
                <w:u w:val="none"/>
              </w:rPr>
            </w:pPr>
          </w:p>
          <w:p w14:paraId="54A8B63F">
            <w:pPr>
              <w:rPr>
                <w:rFonts w:hint="eastAsia" w:ascii="宋体" w:hAnsi="宋体" w:eastAsia="宋体" w:cs="宋体"/>
                <w:i w:val="0"/>
                <w:iCs w:val="0"/>
                <w:color w:val="000000"/>
                <w:sz w:val="18"/>
                <w:szCs w:val="18"/>
                <w:highlight w:val="none"/>
                <w:u w:val="none"/>
              </w:rPr>
            </w:pPr>
          </w:p>
          <w:p w14:paraId="7D04FEFA">
            <w:pPr>
              <w:rPr>
                <w:rFonts w:hint="eastAsia" w:ascii="宋体" w:hAnsi="宋体" w:eastAsia="宋体" w:cs="宋体"/>
                <w:i w:val="0"/>
                <w:iCs w:val="0"/>
                <w:color w:val="000000"/>
                <w:sz w:val="18"/>
                <w:szCs w:val="18"/>
                <w:highlight w:val="none"/>
                <w:u w:val="none"/>
              </w:rPr>
            </w:pPr>
          </w:p>
          <w:p w14:paraId="3768A7FB">
            <w:pPr>
              <w:rPr>
                <w:rFonts w:hint="eastAsia" w:ascii="宋体" w:hAnsi="宋体" w:eastAsia="宋体" w:cs="宋体"/>
                <w:i w:val="0"/>
                <w:iCs w:val="0"/>
                <w:color w:val="000000"/>
                <w:sz w:val="18"/>
                <w:szCs w:val="18"/>
                <w:highlight w:val="none"/>
                <w:u w:val="none"/>
              </w:rPr>
            </w:pPr>
          </w:p>
          <w:p w14:paraId="2207A39B">
            <w:pPr>
              <w:rPr>
                <w:rFonts w:hint="eastAsia" w:ascii="宋体" w:hAnsi="宋体" w:eastAsia="宋体" w:cs="宋体"/>
                <w:i w:val="0"/>
                <w:iCs w:val="0"/>
                <w:color w:val="000000"/>
                <w:sz w:val="18"/>
                <w:szCs w:val="18"/>
                <w:highlight w:val="none"/>
                <w:u w:val="none"/>
              </w:rPr>
            </w:pPr>
          </w:p>
          <w:p w14:paraId="6312E178">
            <w:pPr>
              <w:rPr>
                <w:rFonts w:hint="eastAsia" w:ascii="宋体" w:hAnsi="宋体" w:eastAsia="宋体" w:cs="宋体"/>
                <w:i w:val="0"/>
                <w:iCs w:val="0"/>
                <w:color w:val="000000"/>
                <w:sz w:val="18"/>
                <w:szCs w:val="18"/>
                <w:highlight w:val="none"/>
                <w:u w:val="none"/>
              </w:rPr>
            </w:pPr>
          </w:p>
          <w:p w14:paraId="64DE8E34">
            <w:pPr>
              <w:rPr>
                <w:rFonts w:hint="eastAsia" w:ascii="宋体" w:hAnsi="宋体" w:eastAsia="宋体" w:cs="宋体"/>
                <w:i w:val="0"/>
                <w:iCs w:val="0"/>
                <w:color w:val="000000"/>
                <w:sz w:val="18"/>
                <w:szCs w:val="18"/>
                <w:highlight w:val="none"/>
                <w:u w:val="none"/>
              </w:rPr>
            </w:pPr>
          </w:p>
          <w:p w14:paraId="38F57365">
            <w:pPr>
              <w:rPr>
                <w:rFonts w:hint="eastAsia" w:ascii="宋体" w:hAnsi="宋体" w:eastAsia="宋体" w:cs="宋体"/>
                <w:i w:val="0"/>
                <w:iCs w:val="0"/>
                <w:color w:val="000000"/>
                <w:sz w:val="18"/>
                <w:szCs w:val="18"/>
                <w:highlight w:val="none"/>
                <w:u w:val="none"/>
              </w:rPr>
            </w:pPr>
          </w:p>
          <w:p w14:paraId="08E917AA">
            <w:pPr>
              <w:rPr>
                <w:rFonts w:hint="eastAsia" w:ascii="宋体" w:hAnsi="宋体" w:eastAsia="宋体" w:cs="宋体"/>
                <w:i w:val="0"/>
                <w:iCs w:val="0"/>
                <w:color w:val="000000"/>
                <w:sz w:val="18"/>
                <w:szCs w:val="18"/>
                <w:highlight w:val="none"/>
                <w:u w:val="none"/>
              </w:rPr>
            </w:pPr>
          </w:p>
          <w:p w14:paraId="12C549B8">
            <w:pPr>
              <w:rPr>
                <w:rFonts w:hint="eastAsia" w:ascii="宋体" w:hAnsi="宋体" w:eastAsia="宋体" w:cs="宋体"/>
                <w:i w:val="0"/>
                <w:iCs w:val="0"/>
                <w:color w:val="000000"/>
                <w:sz w:val="18"/>
                <w:szCs w:val="18"/>
                <w:highlight w:val="none"/>
                <w:u w:val="none"/>
              </w:rPr>
            </w:pPr>
          </w:p>
          <w:p w14:paraId="7B01FB94">
            <w:pPr>
              <w:rPr>
                <w:rFonts w:hint="eastAsia" w:ascii="宋体" w:hAnsi="宋体" w:eastAsia="宋体" w:cs="宋体"/>
                <w:i w:val="0"/>
                <w:iCs w:val="0"/>
                <w:color w:val="000000"/>
                <w:sz w:val="18"/>
                <w:szCs w:val="18"/>
                <w:highlight w:val="none"/>
                <w:u w:val="none"/>
              </w:rPr>
            </w:pPr>
          </w:p>
          <w:p w14:paraId="2671BC1F">
            <w:pPr>
              <w:rPr>
                <w:rFonts w:hint="eastAsia" w:ascii="宋体" w:hAnsi="宋体" w:eastAsia="宋体" w:cs="宋体"/>
                <w:i w:val="0"/>
                <w:iCs w:val="0"/>
                <w:color w:val="000000"/>
                <w:sz w:val="18"/>
                <w:szCs w:val="18"/>
                <w:highlight w:val="none"/>
                <w:u w:val="none"/>
              </w:rPr>
            </w:pPr>
          </w:p>
          <w:p w14:paraId="43FC3678">
            <w:pPr>
              <w:rPr>
                <w:rFonts w:hint="eastAsia" w:ascii="宋体" w:hAnsi="宋体" w:eastAsia="宋体" w:cs="宋体"/>
                <w:i w:val="0"/>
                <w:iCs w:val="0"/>
                <w:color w:val="000000"/>
                <w:sz w:val="18"/>
                <w:szCs w:val="18"/>
                <w:highlight w:val="none"/>
                <w:u w:val="none"/>
              </w:rPr>
            </w:pPr>
          </w:p>
          <w:p w14:paraId="7EACEEC2">
            <w:pPr>
              <w:rPr>
                <w:rFonts w:hint="eastAsia" w:ascii="宋体" w:hAnsi="宋体" w:eastAsia="宋体" w:cs="宋体"/>
                <w:i w:val="0"/>
                <w:iCs w:val="0"/>
                <w:color w:val="000000"/>
                <w:sz w:val="18"/>
                <w:szCs w:val="18"/>
                <w:highlight w:val="none"/>
                <w:u w:val="none"/>
              </w:rPr>
            </w:pPr>
          </w:p>
          <w:p w14:paraId="4C957088">
            <w:pPr>
              <w:rPr>
                <w:rFonts w:hint="eastAsia" w:ascii="宋体" w:hAnsi="宋体" w:eastAsia="宋体" w:cs="宋体"/>
                <w:i w:val="0"/>
                <w:iCs w:val="0"/>
                <w:color w:val="000000"/>
                <w:sz w:val="18"/>
                <w:szCs w:val="18"/>
                <w:highlight w:val="none"/>
                <w:u w:val="none"/>
              </w:rPr>
            </w:pPr>
          </w:p>
          <w:p w14:paraId="19CB4000">
            <w:pPr>
              <w:rPr>
                <w:rFonts w:hint="eastAsia" w:ascii="宋体" w:hAnsi="宋体" w:eastAsia="宋体" w:cs="宋体"/>
                <w:i w:val="0"/>
                <w:iCs w:val="0"/>
                <w:color w:val="000000"/>
                <w:sz w:val="18"/>
                <w:szCs w:val="18"/>
                <w:highlight w:val="none"/>
                <w:u w:val="none"/>
              </w:rPr>
            </w:pPr>
          </w:p>
          <w:p w14:paraId="074EE74C">
            <w:pPr>
              <w:rPr>
                <w:rFonts w:hint="eastAsia" w:ascii="宋体" w:hAnsi="宋体" w:eastAsia="宋体" w:cs="宋体"/>
                <w:i w:val="0"/>
                <w:iCs w:val="0"/>
                <w:color w:val="000000"/>
                <w:sz w:val="18"/>
                <w:szCs w:val="18"/>
                <w:highlight w:val="none"/>
                <w:u w:val="none"/>
              </w:rPr>
            </w:pPr>
          </w:p>
          <w:p w14:paraId="2B590E6A">
            <w:pPr>
              <w:rPr>
                <w:rFonts w:hint="eastAsia" w:ascii="宋体" w:hAnsi="宋体" w:eastAsia="宋体" w:cs="宋体"/>
                <w:i w:val="0"/>
                <w:iCs w:val="0"/>
                <w:color w:val="000000"/>
                <w:sz w:val="18"/>
                <w:szCs w:val="18"/>
                <w:highlight w:val="none"/>
                <w:u w:val="none"/>
              </w:rPr>
            </w:pPr>
          </w:p>
          <w:p w14:paraId="3A440560">
            <w:pPr>
              <w:rPr>
                <w:rFonts w:hint="eastAsia" w:ascii="宋体" w:hAnsi="宋体" w:eastAsia="宋体" w:cs="宋体"/>
                <w:i w:val="0"/>
                <w:iCs w:val="0"/>
                <w:color w:val="000000"/>
                <w:sz w:val="18"/>
                <w:szCs w:val="18"/>
                <w:highlight w:val="none"/>
                <w:u w:val="none"/>
              </w:rPr>
            </w:pPr>
          </w:p>
          <w:p w14:paraId="48A9E200">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03DE3A43">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3F6545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395479DB">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B2B2F96">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3E62E027">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449AED66">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7E0A3B34">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50557132">
            <w:pPr>
              <w:rPr>
                <w:rFonts w:hint="eastAsia" w:ascii="宋体" w:hAnsi="宋体" w:eastAsia="宋体" w:cs="宋体"/>
                <w:i w:val="0"/>
                <w:iCs w:val="0"/>
                <w:color w:val="000000"/>
                <w:sz w:val="18"/>
                <w:szCs w:val="18"/>
                <w:highlight w:val="none"/>
                <w:u w:val="none"/>
              </w:rPr>
            </w:pPr>
          </w:p>
        </w:tc>
      </w:tr>
      <w:tr w14:paraId="79A1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F79C1F5">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A2A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A23C3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D744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51320021T000000047139-服务业电商发展及维护市场秩序等工作经费</w:t>
            </w:r>
          </w:p>
        </w:tc>
      </w:tr>
      <w:tr w14:paraId="5B1F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54882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D2BCD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7770B1E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E575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B8D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9BD8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56564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14687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89E04C2">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2F3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5CCC6">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FC17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69EED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落实州委州政府、商务厅工作安排，结合工作需要对全州服务业、电子商务等开展考察学习、培训、调研、综合督导、购买大数据报告、开展餐饮、再生资源回收相关活动等工作。通过开展各项工作，促进全州服务业稳定发展。</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D7D21D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对全州服务业、电子商务等开展考察学习、培训、调研、综合督导、购买大数据报告、开展餐饮、再生资源回收相关活动等工作。通过开展各项工作，促进全州服务业稳定发展。</w:t>
            </w:r>
          </w:p>
        </w:tc>
      </w:tr>
      <w:tr w14:paraId="1DDD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03AE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A842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27615AC">
            <w:pPr>
              <w:rPr>
                <w:rFonts w:hint="eastAsia" w:ascii="宋体" w:hAnsi="宋体" w:eastAsia="宋体" w:cs="宋体"/>
                <w:i w:val="0"/>
                <w:iCs w:val="0"/>
                <w:color w:val="000000"/>
                <w:sz w:val="18"/>
                <w:szCs w:val="18"/>
                <w:highlight w:val="none"/>
                <w:u w:val="none"/>
              </w:rPr>
            </w:pPr>
          </w:p>
        </w:tc>
      </w:tr>
      <w:tr w14:paraId="084F7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2A0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DA9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B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E3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1EF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12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5DB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121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28E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A3C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7427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E6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92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49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F32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C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270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29B8E">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FB95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EA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3916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F6D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E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282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47A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6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58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D4F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67618">
            <w:pPr>
              <w:rPr>
                <w:rFonts w:hint="eastAsia" w:ascii="黑体" w:hAnsi="黑体" w:eastAsia="黑体" w:cs="黑体"/>
                <w:i/>
                <w:iCs/>
                <w:color w:val="000000"/>
                <w:sz w:val="18"/>
                <w:szCs w:val="18"/>
                <w:highlight w:val="none"/>
                <w:u w:val="none"/>
              </w:rPr>
            </w:pPr>
          </w:p>
        </w:tc>
      </w:tr>
      <w:tr w14:paraId="118B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10D2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EF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5D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EE0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9AE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0F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AC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F49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0F147">
            <w:pPr>
              <w:rPr>
                <w:rFonts w:hint="eastAsia" w:ascii="黑体" w:hAnsi="黑体" w:eastAsia="黑体" w:cs="黑体"/>
                <w:i/>
                <w:iCs/>
                <w:color w:val="000000"/>
                <w:sz w:val="18"/>
                <w:szCs w:val="18"/>
                <w:highlight w:val="none"/>
                <w:u w:val="none"/>
              </w:rPr>
            </w:pPr>
          </w:p>
        </w:tc>
      </w:tr>
      <w:tr w14:paraId="4C783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DD94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2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36F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6C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CE5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A9E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8D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10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4E000">
            <w:pPr>
              <w:rPr>
                <w:rFonts w:hint="eastAsia" w:ascii="黑体" w:hAnsi="黑体" w:eastAsia="黑体" w:cs="黑体"/>
                <w:i/>
                <w:iCs/>
                <w:color w:val="000000"/>
                <w:sz w:val="18"/>
                <w:szCs w:val="18"/>
                <w:highlight w:val="none"/>
                <w:u w:val="none"/>
              </w:rPr>
            </w:pPr>
          </w:p>
        </w:tc>
      </w:tr>
      <w:tr w14:paraId="7391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62A0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B24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861C4">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C4F00">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C4E59C">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137A">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B37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CA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0FDFF">
            <w:pPr>
              <w:rPr>
                <w:rFonts w:hint="eastAsia" w:ascii="黑体" w:hAnsi="黑体" w:eastAsia="黑体" w:cs="黑体"/>
                <w:i/>
                <w:iCs/>
                <w:color w:val="000000"/>
                <w:sz w:val="18"/>
                <w:szCs w:val="18"/>
                <w:highlight w:val="none"/>
                <w:u w:val="none"/>
              </w:rPr>
            </w:pPr>
          </w:p>
        </w:tc>
      </w:tr>
      <w:tr w14:paraId="6EED3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C6E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347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117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13C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786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AF2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B6B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DC3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D3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A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863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C1B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E7FF3">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3021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8ED5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7C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服务业电商工作培训次数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5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DA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61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5AA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9AD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D5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6131E">
            <w:pPr>
              <w:jc w:val="center"/>
              <w:rPr>
                <w:rFonts w:hint="eastAsia" w:ascii="微软雅黑" w:hAnsi="微软雅黑" w:eastAsia="微软雅黑" w:cs="微软雅黑"/>
                <w:i/>
                <w:iCs/>
                <w:color w:val="000000"/>
                <w:sz w:val="16"/>
                <w:szCs w:val="16"/>
                <w:highlight w:val="none"/>
                <w:u w:val="none"/>
              </w:rPr>
            </w:pPr>
          </w:p>
        </w:tc>
      </w:tr>
      <w:tr w14:paraId="367DF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D893C">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6360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36B5A">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60E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提供电商分析数据次数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D68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52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715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头次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C3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83D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84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2483D">
            <w:pPr>
              <w:jc w:val="center"/>
              <w:rPr>
                <w:rFonts w:hint="eastAsia" w:ascii="微软雅黑" w:hAnsi="微软雅黑" w:eastAsia="微软雅黑" w:cs="微软雅黑"/>
                <w:i/>
                <w:iCs/>
                <w:color w:val="000000"/>
                <w:sz w:val="16"/>
                <w:szCs w:val="16"/>
                <w:highlight w:val="none"/>
                <w:u w:val="none"/>
              </w:rPr>
            </w:pPr>
          </w:p>
        </w:tc>
      </w:tr>
      <w:tr w14:paraId="7EB2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A35FE">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7FB93">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6E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2F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服务业电商工作培训率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438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857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49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4A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5DC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532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806B">
            <w:pPr>
              <w:jc w:val="center"/>
              <w:rPr>
                <w:rFonts w:hint="eastAsia" w:ascii="微软雅黑" w:hAnsi="微软雅黑" w:eastAsia="微软雅黑" w:cs="微软雅黑"/>
                <w:i/>
                <w:iCs/>
                <w:color w:val="000000"/>
                <w:sz w:val="16"/>
                <w:szCs w:val="16"/>
                <w:highlight w:val="none"/>
                <w:u w:val="none"/>
              </w:rPr>
            </w:pPr>
          </w:p>
        </w:tc>
      </w:tr>
      <w:tr w14:paraId="1C38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C045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63451">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5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9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培训计划完成及时率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3D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A92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AA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60E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67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815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2AECA">
            <w:pPr>
              <w:jc w:val="center"/>
              <w:rPr>
                <w:rFonts w:hint="eastAsia" w:ascii="微软雅黑" w:hAnsi="微软雅黑" w:eastAsia="微软雅黑" w:cs="微软雅黑"/>
                <w:i/>
                <w:iCs/>
                <w:color w:val="000000"/>
                <w:sz w:val="16"/>
                <w:szCs w:val="16"/>
                <w:highlight w:val="none"/>
                <w:u w:val="none"/>
              </w:rPr>
            </w:pPr>
          </w:p>
        </w:tc>
      </w:tr>
      <w:tr w14:paraId="6B61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43B76">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452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ADC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901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服务业增加值增长率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F2C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A6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65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3F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38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B6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2950">
            <w:pPr>
              <w:jc w:val="center"/>
              <w:rPr>
                <w:rFonts w:hint="eastAsia" w:ascii="微软雅黑" w:hAnsi="微软雅黑" w:eastAsia="微软雅黑" w:cs="微软雅黑"/>
                <w:i/>
                <w:iCs/>
                <w:color w:val="000000"/>
                <w:sz w:val="16"/>
                <w:szCs w:val="16"/>
                <w:highlight w:val="none"/>
                <w:u w:val="none"/>
              </w:rPr>
            </w:pPr>
          </w:p>
        </w:tc>
      </w:tr>
      <w:tr w14:paraId="127D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9E16D">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1F80E">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03ADB">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18D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电子商务网络交易额增长率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A7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BA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B5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FE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FA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50C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D23E1">
            <w:pPr>
              <w:jc w:val="center"/>
              <w:rPr>
                <w:rFonts w:hint="eastAsia" w:ascii="微软雅黑" w:hAnsi="微软雅黑" w:eastAsia="微软雅黑" w:cs="微软雅黑"/>
                <w:i/>
                <w:iCs/>
                <w:color w:val="000000"/>
                <w:sz w:val="16"/>
                <w:szCs w:val="16"/>
                <w:highlight w:val="none"/>
                <w:u w:val="none"/>
              </w:rPr>
            </w:pPr>
          </w:p>
        </w:tc>
      </w:tr>
      <w:tr w14:paraId="7FBB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0A55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7C5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13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10A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AF0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71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031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948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EE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86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0947">
            <w:pPr>
              <w:jc w:val="center"/>
              <w:rPr>
                <w:rFonts w:hint="eastAsia" w:ascii="微软雅黑" w:hAnsi="微软雅黑" w:eastAsia="微软雅黑" w:cs="微软雅黑"/>
                <w:i/>
                <w:iCs/>
                <w:color w:val="000000"/>
                <w:sz w:val="16"/>
                <w:szCs w:val="16"/>
                <w:highlight w:val="none"/>
                <w:u w:val="none"/>
              </w:rPr>
            </w:pPr>
          </w:p>
        </w:tc>
      </w:tr>
      <w:tr w14:paraId="09D61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7A30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03F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E9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FE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C69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73D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021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C3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4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E64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B157A">
            <w:pPr>
              <w:jc w:val="center"/>
              <w:rPr>
                <w:rFonts w:hint="eastAsia" w:ascii="微软雅黑" w:hAnsi="微软雅黑" w:eastAsia="微软雅黑" w:cs="微软雅黑"/>
                <w:i/>
                <w:iCs/>
                <w:color w:val="000000"/>
                <w:sz w:val="16"/>
                <w:szCs w:val="16"/>
                <w:highlight w:val="none"/>
                <w:u w:val="none"/>
              </w:rPr>
            </w:pPr>
          </w:p>
        </w:tc>
      </w:tr>
      <w:tr w14:paraId="4BC24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EC63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447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1EE8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B3593">
            <w:pPr>
              <w:rPr>
                <w:rFonts w:hint="eastAsia" w:ascii="宋体" w:hAnsi="宋体" w:eastAsia="宋体" w:cs="宋体"/>
                <w:i w:val="0"/>
                <w:iCs w:val="0"/>
                <w:color w:val="000000"/>
                <w:sz w:val="18"/>
                <w:szCs w:val="18"/>
                <w:highlight w:val="none"/>
                <w:u w:val="none"/>
              </w:rPr>
            </w:pPr>
          </w:p>
        </w:tc>
      </w:tr>
      <w:tr w14:paraId="73DE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80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86170A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经自评总分100分，按照年度目标有序推进，促进行业稳定发展。</w:t>
            </w:r>
          </w:p>
        </w:tc>
      </w:tr>
      <w:tr w14:paraId="423A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6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34D470A">
            <w:pPr>
              <w:rPr>
                <w:rFonts w:hint="eastAsia" w:ascii="微软雅黑" w:hAnsi="微软雅黑" w:eastAsia="微软雅黑" w:cs="微软雅黑"/>
                <w:i/>
                <w:iCs/>
                <w:color w:val="000000"/>
                <w:sz w:val="16"/>
                <w:szCs w:val="16"/>
                <w:highlight w:val="none"/>
                <w:u w:val="none"/>
              </w:rPr>
            </w:pPr>
          </w:p>
        </w:tc>
      </w:tr>
      <w:tr w14:paraId="778E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18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4C6A8B1">
            <w:pPr>
              <w:rPr>
                <w:rFonts w:hint="eastAsia" w:ascii="微软雅黑" w:hAnsi="微软雅黑" w:eastAsia="微软雅黑" w:cs="微软雅黑"/>
                <w:i/>
                <w:iCs/>
                <w:color w:val="000000"/>
                <w:sz w:val="16"/>
                <w:szCs w:val="16"/>
                <w:highlight w:val="none"/>
                <w:u w:val="none"/>
              </w:rPr>
            </w:pPr>
          </w:p>
        </w:tc>
      </w:tr>
      <w:tr w14:paraId="6891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F51A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项目负责人：刘利增</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6B7CC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1CD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101053B">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35C05B96">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1873C0A2">
            <w:pPr>
              <w:rPr>
                <w:rFonts w:hint="eastAsia" w:ascii="宋体" w:hAnsi="宋体" w:eastAsia="宋体" w:cs="宋体"/>
                <w:i w:val="0"/>
                <w:iCs w:val="0"/>
                <w:color w:val="000000"/>
                <w:sz w:val="18"/>
                <w:szCs w:val="18"/>
                <w:highlight w:val="none"/>
                <w:u w:val="none"/>
              </w:rPr>
            </w:pPr>
          </w:p>
          <w:p w14:paraId="0C624E69">
            <w:pPr>
              <w:rPr>
                <w:rFonts w:hint="eastAsia" w:ascii="宋体" w:hAnsi="宋体" w:eastAsia="宋体" w:cs="宋体"/>
                <w:i w:val="0"/>
                <w:iCs w:val="0"/>
                <w:color w:val="000000"/>
                <w:sz w:val="18"/>
                <w:szCs w:val="18"/>
                <w:highlight w:val="none"/>
                <w:u w:val="none"/>
              </w:rPr>
            </w:pPr>
          </w:p>
          <w:p w14:paraId="604C2403">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6557203C">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B686E11">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55E92142">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72526A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43EFA2CB">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448A0ADB">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ACD48FA">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4230EDA">
            <w:pPr>
              <w:rPr>
                <w:rFonts w:hint="eastAsia" w:ascii="宋体" w:hAnsi="宋体" w:eastAsia="宋体" w:cs="宋体"/>
                <w:i w:val="0"/>
                <w:iCs w:val="0"/>
                <w:color w:val="000000"/>
                <w:sz w:val="18"/>
                <w:szCs w:val="18"/>
                <w:highlight w:val="none"/>
                <w:u w:val="none"/>
              </w:rPr>
            </w:pPr>
          </w:p>
        </w:tc>
      </w:tr>
      <w:tr w14:paraId="3747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FC17F13">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682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9D6AC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58725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51320021T000000047140-组织参加各类贸易活动（展洽会）和农商对接活动经费</w:t>
            </w:r>
          </w:p>
        </w:tc>
      </w:tr>
      <w:tr w14:paraId="29D4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D16C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06F43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1E32ABD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8C2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7926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313CA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A143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B8CF2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A9350E6">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4174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D024A">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2D456">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1DFCC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我州将按四川省商务厅的年度计划，有针对性地组织带领我州“净土阿坝”的特色农产品企业，参加省商务厅组织的各类展洽会活动。组织州农业农村局等有关单位、各县（市）经济商务和信息化局及农业农村局、“净土阿坝”农特产品企业，会同成都、重庆、海口市商务局以及周边地区市（县）农产品批发市场、大中型超市、电子商务企业，采取产需见面、供需对接、展销展示、现场考察等多种形式开展“农商对接”活动。积极为供需双方创造见面与沟通的机会，为阿坝州“名优特新”农产品不断进入成都及周边市（县）的各大批发市场和超市创造条件。</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F91E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组织企业（单位）200家次，参加进博会、“阿坝-成都”农商对接等活动，共达成意向购销合作协议5个，协议金额超1.1亿元。</w:t>
            </w:r>
          </w:p>
        </w:tc>
      </w:tr>
      <w:tr w14:paraId="7BD9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061E2">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F137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B2348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先后组织参加“新春购物月”、“消博会”、“西博会”“进博会”、地理标志产品博览会、浙江消费帮扶等重要活动。于5月21日，会同成都市商务局组织州内大型农民专业合作社、农牧业龙头企业与成都市的批发市场、流通企业、连锁超市、农产品直销等企业在小金县开展第十一届“阿坝-成都”农商对接活动</w:t>
            </w:r>
          </w:p>
        </w:tc>
      </w:tr>
      <w:tr w14:paraId="1BE33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99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D22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B9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FCB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76D7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C77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A9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5EE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8AF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C68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C16F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D5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673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D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722F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24C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EE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5FDC4">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C3069">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F3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6FCC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2D3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76C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858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CE18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EC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AE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332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DE1CF">
            <w:pPr>
              <w:rPr>
                <w:rFonts w:hint="eastAsia" w:ascii="黑体" w:hAnsi="黑体" w:eastAsia="黑体" w:cs="黑体"/>
                <w:i/>
                <w:iCs/>
                <w:color w:val="000000"/>
                <w:sz w:val="18"/>
                <w:szCs w:val="18"/>
                <w:highlight w:val="none"/>
                <w:u w:val="none"/>
              </w:rPr>
            </w:pPr>
          </w:p>
        </w:tc>
      </w:tr>
      <w:tr w14:paraId="5CA45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5425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33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068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C91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20A9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3A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C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2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72770">
            <w:pPr>
              <w:rPr>
                <w:rFonts w:hint="eastAsia" w:ascii="黑体" w:hAnsi="黑体" w:eastAsia="黑体" w:cs="黑体"/>
                <w:i/>
                <w:iCs/>
                <w:color w:val="000000"/>
                <w:sz w:val="18"/>
                <w:szCs w:val="18"/>
                <w:highlight w:val="none"/>
                <w:u w:val="none"/>
              </w:rPr>
            </w:pPr>
          </w:p>
        </w:tc>
      </w:tr>
      <w:tr w14:paraId="5F9F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37C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72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199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6A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295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557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FE7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131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C9606">
            <w:pPr>
              <w:rPr>
                <w:rFonts w:hint="eastAsia" w:ascii="黑体" w:hAnsi="黑体" w:eastAsia="黑体" w:cs="黑体"/>
                <w:i/>
                <w:iCs/>
                <w:color w:val="000000"/>
                <w:sz w:val="18"/>
                <w:szCs w:val="18"/>
                <w:highlight w:val="none"/>
                <w:u w:val="none"/>
              </w:rPr>
            </w:pPr>
          </w:p>
        </w:tc>
      </w:tr>
      <w:tr w14:paraId="62FC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F8AB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4D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1E699">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30C6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87743B">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0F6C5">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68A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EB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05B5E">
            <w:pPr>
              <w:rPr>
                <w:rFonts w:hint="eastAsia" w:ascii="黑体" w:hAnsi="黑体" w:eastAsia="黑体" w:cs="黑体"/>
                <w:i/>
                <w:iCs/>
                <w:color w:val="000000"/>
                <w:sz w:val="18"/>
                <w:szCs w:val="18"/>
                <w:highlight w:val="none"/>
                <w:u w:val="none"/>
              </w:rPr>
            </w:pPr>
          </w:p>
        </w:tc>
      </w:tr>
      <w:tr w14:paraId="6F40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E70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18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203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96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D89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76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15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F1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EE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00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554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449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30759">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EA18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1345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4DE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组织参加'进博会'系列活动数量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9BC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2E4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A0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1833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C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33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687E5">
            <w:pPr>
              <w:jc w:val="center"/>
              <w:rPr>
                <w:rFonts w:hint="eastAsia" w:ascii="微软雅黑" w:hAnsi="微软雅黑" w:eastAsia="微软雅黑" w:cs="微软雅黑"/>
                <w:i/>
                <w:iCs/>
                <w:color w:val="000000"/>
                <w:sz w:val="16"/>
                <w:szCs w:val="16"/>
                <w:highlight w:val="none"/>
                <w:u w:val="none"/>
              </w:rPr>
            </w:pPr>
          </w:p>
        </w:tc>
      </w:tr>
      <w:tr w14:paraId="01EF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1F82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E4600">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04316">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F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组织参会参展企业数量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5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CA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25A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家</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3E00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9E1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4DD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5FF8A">
            <w:pPr>
              <w:jc w:val="center"/>
              <w:rPr>
                <w:rFonts w:hint="eastAsia" w:ascii="微软雅黑" w:hAnsi="微软雅黑" w:eastAsia="微软雅黑" w:cs="微软雅黑"/>
                <w:i/>
                <w:iCs/>
                <w:color w:val="000000"/>
                <w:sz w:val="16"/>
                <w:szCs w:val="16"/>
                <w:highlight w:val="none"/>
                <w:u w:val="none"/>
              </w:rPr>
            </w:pPr>
          </w:p>
        </w:tc>
      </w:tr>
      <w:tr w14:paraId="72A4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7BF5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8F4D8">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45867">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C67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农商对接活动次数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55B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1C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81A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F42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BF4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F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80EB9">
            <w:pPr>
              <w:jc w:val="center"/>
              <w:rPr>
                <w:rFonts w:hint="eastAsia" w:ascii="微软雅黑" w:hAnsi="微软雅黑" w:eastAsia="微软雅黑" w:cs="微软雅黑"/>
                <w:i/>
                <w:iCs/>
                <w:color w:val="000000"/>
                <w:sz w:val="16"/>
                <w:szCs w:val="16"/>
                <w:highlight w:val="none"/>
                <w:u w:val="none"/>
              </w:rPr>
            </w:pPr>
          </w:p>
        </w:tc>
      </w:tr>
      <w:tr w14:paraId="21A0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3C64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77452">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67540">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414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组织特色农产品企业参展次数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4E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EA1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7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72CC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AE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A0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F7E8">
            <w:pPr>
              <w:jc w:val="center"/>
              <w:rPr>
                <w:rFonts w:hint="eastAsia" w:ascii="微软雅黑" w:hAnsi="微软雅黑" w:eastAsia="微软雅黑" w:cs="微软雅黑"/>
                <w:i/>
                <w:iCs/>
                <w:color w:val="000000"/>
                <w:sz w:val="16"/>
                <w:szCs w:val="16"/>
                <w:highlight w:val="none"/>
                <w:u w:val="none"/>
              </w:rPr>
            </w:pPr>
          </w:p>
        </w:tc>
      </w:tr>
      <w:tr w14:paraId="67A7B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6CDE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24E50">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AB4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98F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农商对接活动成交率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9E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FF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0B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D15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61C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ED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49E99">
            <w:pPr>
              <w:jc w:val="center"/>
              <w:rPr>
                <w:rFonts w:hint="eastAsia" w:ascii="微软雅黑" w:hAnsi="微软雅黑" w:eastAsia="微软雅黑" w:cs="微软雅黑"/>
                <w:i/>
                <w:iCs/>
                <w:color w:val="000000"/>
                <w:sz w:val="16"/>
                <w:szCs w:val="16"/>
                <w:highlight w:val="none"/>
                <w:u w:val="none"/>
              </w:rPr>
            </w:pPr>
          </w:p>
        </w:tc>
      </w:tr>
      <w:tr w14:paraId="76DF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893BC">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6091D">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EC0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1B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展会活动按期完成率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CB8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E73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97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A6D9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02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4C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B84F5">
            <w:pPr>
              <w:jc w:val="center"/>
              <w:rPr>
                <w:rFonts w:hint="eastAsia" w:ascii="微软雅黑" w:hAnsi="微软雅黑" w:eastAsia="微软雅黑" w:cs="微软雅黑"/>
                <w:i/>
                <w:iCs/>
                <w:color w:val="000000"/>
                <w:sz w:val="16"/>
                <w:szCs w:val="16"/>
                <w:highlight w:val="none"/>
                <w:u w:val="none"/>
              </w:rPr>
            </w:pPr>
          </w:p>
        </w:tc>
      </w:tr>
      <w:tr w14:paraId="773A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043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4B3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178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902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拓展"净土阿坝"特色农产品省外销售覆盖范围</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73E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C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有效拓展我州农特产品销售渠道</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C1040">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299F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有效拓展</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1D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7D3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9A194">
            <w:pPr>
              <w:jc w:val="center"/>
              <w:rPr>
                <w:rFonts w:hint="eastAsia" w:ascii="微软雅黑" w:hAnsi="微软雅黑" w:eastAsia="微软雅黑" w:cs="微软雅黑"/>
                <w:i/>
                <w:iCs/>
                <w:color w:val="000000"/>
                <w:sz w:val="16"/>
                <w:szCs w:val="16"/>
                <w:highlight w:val="none"/>
                <w:u w:val="none"/>
              </w:rPr>
            </w:pPr>
          </w:p>
        </w:tc>
      </w:tr>
      <w:tr w14:paraId="2F2B0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A2A4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9A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8CA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F4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0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CE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E1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13F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97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4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DE42">
            <w:pPr>
              <w:jc w:val="center"/>
              <w:rPr>
                <w:rFonts w:hint="eastAsia" w:ascii="微软雅黑" w:hAnsi="微软雅黑" w:eastAsia="微软雅黑" w:cs="微软雅黑"/>
                <w:i/>
                <w:iCs/>
                <w:color w:val="000000"/>
                <w:sz w:val="16"/>
                <w:szCs w:val="16"/>
                <w:highlight w:val="none"/>
                <w:u w:val="none"/>
              </w:rPr>
            </w:pPr>
          </w:p>
        </w:tc>
      </w:tr>
      <w:tr w14:paraId="73BC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0C4BE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B3B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A9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AB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68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FB0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BC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68E2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B8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C64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4E6AC">
            <w:pPr>
              <w:jc w:val="center"/>
              <w:rPr>
                <w:rFonts w:hint="eastAsia" w:ascii="微软雅黑" w:hAnsi="微软雅黑" w:eastAsia="微软雅黑" w:cs="微软雅黑"/>
                <w:i/>
                <w:iCs/>
                <w:color w:val="000000"/>
                <w:sz w:val="16"/>
                <w:szCs w:val="16"/>
                <w:highlight w:val="none"/>
                <w:u w:val="none"/>
              </w:rPr>
            </w:pPr>
          </w:p>
        </w:tc>
      </w:tr>
      <w:tr w14:paraId="0AB2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0B00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C5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2BE1C">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96013">
            <w:pPr>
              <w:rPr>
                <w:rFonts w:hint="eastAsia" w:ascii="宋体" w:hAnsi="宋体" w:eastAsia="宋体" w:cs="宋体"/>
                <w:i w:val="0"/>
                <w:iCs w:val="0"/>
                <w:color w:val="000000"/>
                <w:sz w:val="18"/>
                <w:szCs w:val="18"/>
                <w:highlight w:val="none"/>
                <w:u w:val="none"/>
              </w:rPr>
            </w:pPr>
          </w:p>
        </w:tc>
      </w:tr>
      <w:tr w14:paraId="29F6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CD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4C057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组织参加各类贸易活动（展洽会）和农商对接活动经费严格按照每个项目的执行都制定实施方案或计划，组织机构健全，职责分工明确，有具体的实施时间，有明确的工作程序，基础工作推进能够有效保障，资金能足额保证。</w:t>
            </w:r>
          </w:p>
        </w:tc>
      </w:tr>
      <w:tr w14:paraId="1744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AA4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01038F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023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4E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2DB2C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DA9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6F9B27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C77BE4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3D03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DF5039A">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62DCDF7F">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1324069C">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536582FC">
            <w:pPr>
              <w:rPr>
                <w:rFonts w:hint="eastAsia" w:ascii="宋体" w:hAnsi="宋体" w:eastAsia="宋体" w:cs="宋体"/>
                <w:i w:val="0"/>
                <w:iCs w:val="0"/>
                <w:color w:val="000000"/>
                <w:sz w:val="18"/>
                <w:szCs w:val="18"/>
                <w:highlight w:val="none"/>
                <w:u w:val="none"/>
              </w:rPr>
            </w:pPr>
          </w:p>
          <w:p w14:paraId="5C849121">
            <w:pPr>
              <w:rPr>
                <w:rFonts w:hint="eastAsia" w:ascii="宋体" w:hAnsi="宋体" w:eastAsia="宋体" w:cs="宋体"/>
                <w:i w:val="0"/>
                <w:iCs w:val="0"/>
                <w:color w:val="000000"/>
                <w:sz w:val="18"/>
                <w:szCs w:val="18"/>
                <w:highlight w:val="none"/>
                <w:u w:val="none"/>
              </w:rPr>
            </w:pPr>
          </w:p>
          <w:p w14:paraId="0E843829">
            <w:pPr>
              <w:rPr>
                <w:rFonts w:hint="eastAsia" w:ascii="宋体" w:hAnsi="宋体" w:eastAsia="宋体" w:cs="宋体"/>
                <w:i w:val="0"/>
                <w:iCs w:val="0"/>
                <w:color w:val="000000"/>
                <w:sz w:val="18"/>
                <w:szCs w:val="18"/>
                <w:highlight w:val="none"/>
                <w:u w:val="none"/>
              </w:rPr>
            </w:pPr>
          </w:p>
          <w:p w14:paraId="3E9AB958">
            <w:pPr>
              <w:rPr>
                <w:rFonts w:hint="eastAsia" w:ascii="宋体" w:hAnsi="宋体" w:eastAsia="宋体" w:cs="宋体"/>
                <w:i w:val="0"/>
                <w:iCs w:val="0"/>
                <w:color w:val="000000"/>
                <w:sz w:val="18"/>
                <w:szCs w:val="18"/>
                <w:highlight w:val="none"/>
                <w:u w:val="none"/>
              </w:rPr>
            </w:pPr>
          </w:p>
          <w:p w14:paraId="1902F394">
            <w:pPr>
              <w:rPr>
                <w:rFonts w:hint="eastAsia" w:ascii="宋体" w:hAnsi="宋体" w:eastAsia="宋体" w:cs="宋体"/>
                <w:i w:val="0"/>
                <w:iCs w:val="0"/>
                <w:color w:val="000000"/>
                <w:sz w:val="18"/>
                <w:szCs w:val="18"/>
                <w:highlight w:val="none"/>
                <w:u w:val="none"/>
              </w:rPr>
            </w:pPr>
          </w:p>
          <w:p w14:paraId="5C4BF4F3">
            <w:pPr>
              <w:rPr>
                <w:rFonts w:hint="eastAsia" w:ascii="宋体" w:hAnsi="宋体" w:eastAsia="宋体" w:cs="宋体"/>
                <w:i w:val="0"/>
                <w:iCs w:val="0"/>
                <w:color w:val="000000"/>
                <w:sz w:val="18"/>
                <w:szCs w:val="18"/>
                <w:highlight w:val="none"/>
                <w:u w:val="none"/>
              </w:rPr>
            </w:pPr>
          </w:p>
          <w:p w14:paraId="17D47448">
            <w:pPr>
              <w:rPr>
                <w:rFonts w:hint="eastAsia" w:ascii="宋体" w:hAnsi="宋体" w:eastAsia="宋体" w:cs="宋体"/>
                <w:i w:val="0"/>
                <w:iCs w:val="0"/>
                <w:color w:val="000000"/>
                <w:sz w:val="18"/>
                <w:szCs w:val="18"/>
                <w:highlight w:val="none"/>
                <w:u w:val="none"/>
              </w:rPr>
            </w:pPr>
          </w:p>
          <w:p w14:paraId="09C6CB02">
            <w:pPr>
              <w:rPr>
                <w:rFonts w:hint="eastAsia" w:ascii="宋体" w:hAnsi="宋体" w:eastAsia="宋体" w:cs="宋体"/>
                <w:i w:val="0"/>
                <w:iCs w:val="0"/>
                <w:color w:val="000000"/>
                <w:sz w:val="18"/>
                <w:szCs w:val="18"/>
                <w:highlight w:val="none"/>
                <w:u w:val="none"/>
              </w:rPr>
            </w:pPr>
          </w:p>
          <w:p w14:paraId="0723F536">
            <w:pPr>
              <w:rPr>
                <w:rFonts w:hint="eastAsia" w:ascii="宋体" w:hAnsi="宋体" w:eastAsia="宋体" w:cs="宋体"/>
                <w:i w:val="0"/>
                <w:iCs w:val="0"/>
                <w:color w:val="000000"/>
                <w:sz w:val="18"/>
                <w:szCs w:val="18"/>
                <w:highlight w:val="none"/>
                <w:u w:val="none"/>
              </w:rPr>
            </w:pPr>
          </w:p>
          <w:p w14:paraId="5642A54C">
            <w:pPr>
              <w:rPr>
                <w:rFonts w:hint="eastAsia" w:ascii="宋体" w:hAnsi="宋体" w:eastAsia="宋体" w:cs="宋体"/>
                <w:i w:val="0"/>
                <w:iCs w:val="0"/>
                <w:color w:val="000000"/>
                <w:sz w:val="18"/>
                <w:szCs w:val="18"/>
                <w:highlight w:val="none"/>
                <w:u w:val="none"/>
              </w:rPr>
            </w:pPr>
          </w:p>
          <w:p w14:paraId="7F932CBD">
            <w:pPr>
              <w:rPr>
                <w:rFonts w:hint="eastAsia" w:ascii="宋体" w:hAnsi="宋体" w:eastAsia="宋体" w:cs="宋体"/>
                <w:i w:val="0"/>
                <w:iCs w:val="0"/>
                <w:color w:val="000000"/>
                <w:sz w:val="18"/>
                <w:szCs w:val="18"/>
                <w:highlight w:val="none"/>
                <w:u w:val="none"/>
              </w:rPr>
            </w:pPr>
          </w:p>
          <w:p w14:paraId="2DC01DCE">
            <w:pPr>
              <w:rPr>
                <w:rFonts w:hint="eastAsia" w:ascii="宋体" w:hAnsi="宋体" w:eastAsia="宋体" w:cs="宋体"/>
                <w:i w:val="0"/>
                <w:iCs w:val="0"/>
                <w:color w:val="000000"/>
                <w:sz w:val="18"/>
                <w:szCs w:val="18"/>
                <w:highlight w:val="none"/>
                <w:u w:val="none"/>
              </w:rPr>
            </w:pPr>
          </w:p>
          <w:p w14:paraId="4298E2ED">
            <w:pPr>
              <w:rPr>
                <w:rFonts w:hint="eastAsia" w:ascii="宋体" w:hAnsi="宋体" w:eastAsia="宋体" w:cs="宋体"/>
                <w:i w:val="0"/>
                <w:iCs w:val="0"/>
                <w:color w:val="000000"/>
                <w:sz w:val="18"/>
                <w:szCs w:val="18"/>
                <w:highlight w:val="none"/>
                <w:u w:val="none"/>
              </w:rPr>
            </w:pPr>
          </w:p>
          <w:p w14:paraId="02647551">
            <w:pPr>
              <w:rPr>
                <w:rFonts w:hint="eastAsia" w:ascii="宋体" w:hAnsi="宋体" w:eastAsia="宋体" w:cs="宋体"/>
                <w:i w:val="0"/>
                <w:iCs w:val="0"/>
                <w:color w:val="000000"/>
                <w:sz w:val="18"/>
                <w:szCs w:val="18"/>
                <w:highlight w:val="none"/>
                <w:u w:val="none"/>
              </w:rPr>
            </w:pPr>
          </w:p>
          <w:p w14:paraId="6DED1189">
            <w:pPr>
              <w:rPr>
                <w:rFonts w:hint="eastAsia" w:ascii="宋体" w:hAnsi="宋体" w:eastAsia="宋体" w:cs="宋体"/>
                <w:i w:val="0"/>
                <w:iCs w:val="0"/>
                <w:color w:val="000000"/>
                <w:sz w:val="18"/>
                <w:szCs w:val="18"/>
                <w:highlight w:val="none"/>
                <w:u w:val="none"/>
              </w:rPr>
            </w:pPr>
          </w:p>
          <w:p w14:paraId="542B8C47">
            <w:pPr>
              <w:rPr>
                <w:rFonts w:hint="eastAsia" w:ascii="宋体" w:hAnsi="宋体" w:eastAsia="宋体" w:cs="宋体"/>
                <w:i w:val="0"/>
                <w:iCs w:val="0"/>
                <w:color w:val="000000"/>
                <w:sz w:val="18"/>
                <w:szCs w:val="18"/>
                <w:highlight w:val="none"/>
                <w:u w:val="none"/>
              </w:rPr>
            </w:pPr>
          </w:p>
          <w:p w14:paraId="6EA0B17F">
            <w:pPr>
              <w:rPr>
                <w:rFonts w:hint="eastAsia" w:ascii="宋体" w:hAnsi="宋体" w:eastAsia="宋体" w:cs="宋体"/>
                <w:i w:val="0"/>
                <w:iCs w:val="0"/>
                <w:color w:val="000000"/>
                <w:sz w:val="18"/>
                <w:szCs w:val="18"/>
                <w:highlight w:val="none"/>
                <w:u w:val="none"/>
              </w:rPr>
            </w:pPr>
          </w:p>
          <w:p w14:paraId="51F26C76">
            <w:pPr>
              <w:rPr>
                <w:rFonts w:hint="eastAsia" w:ascii="宋体" w:hAnsi="宋体" w:eastAsia="宋体" w:cs="宋体"/>
                <w:i w:val="0"/>
                <w:iCs w:val="0"/>
                <w:color w:val="000000"/>
                <w:sz w:val="18"/>
                <w:szCs w:val="18"/>
                <w:highlight w:val="none"/>
                <w:u w:val="none"/>
              </w:rPr>
            </w:pPr>
          </w:p>
          <w:p w14:paraId="589286FF">
            <w:pPr>
              <w:rPr>
                <w:rFonts w:hint="eastAsia" w:ascii="宋体" w:hAnsi="宋体" w:eastAsia="宋体" w:cs="宋体"/>
                <w:i w:val="0"/>
                <w:iCs w:val="0"/>
                <w:color w:val="000000"/>
                <w:sz w:val="18"/>
                <w:szCs w:val="18"/>
                <w:highlight w:val="none"/>
                <w:u w:val="none"/>
              </w:rPr>
            </w:pPr>
          </w:p>
          <w:p w14:paraId="07379DEE">
            <w:pPr>
              <w:rPr>
                <w:rFonts w:hint="eastAsia" w:ascii="宋体" w:hAnsi="宋体" w:eastAsia="宋体" w:cs="宋体"/>
                <w:i w:val="0"/>
                <w:iCs w:val="0"/>
                <w:color w:val="000000"/>
                <w:sz w:val="18"/>
                <w:szCs w:val="18"/>
                <w:highlight w:val="none"/>
                <w:u w:val="none"/>
              </w:rPr>
            </w:pPr>
          </w:p>
          <w:p w14:paraId="3CB0A45E">
            <w:pPr>
              <w:rPr>
                <w:rFonts w:hint="eastAsia" w:ascii="宋体" w:hAnsi="宋体" w:eastAsia="宋体" w:cs="宋体"/>
                <w:i w:val="0"/>
                <w:iCs w:val="0"/>
                <w:color w:val="000000"/>
                <w:sz w:val="18"/>
                <w:szCs w:val="18"/>
                <w:highlight w:val="none"/>
                <w:u w:val="none"/>
              </w:rPr>
            </w:pPr>
          </w:p>
          <w:p w14:paraId="5B283479">
            <w:pPr>
              <w:rPr>
                <w:rFonts w:hint="eastAsia" w:ascii="宋体" w:hAnsi="宋体" w:eastAsia="宋体" w:cs="宋体"/>
                <w:i w:val="0"/>
                <w:iCs w:val="0"/>
                <w:color w:val="000000"/>
                <w:sz w:val="18"/>
                <w:szCs w:val="18"/>
                <w:highlight w:val="none"/>
                <w:u w:val="none"/>
              </w:rPr>
            </w:pPr>
          </w:p>
          <w:p w14:paraId="72749B8E">
            <w:pPr>
              <w:rPr>
                <w:rFonts w:hint="eastAsia" w:ascii="宋体" w:hAnsi="宋体" w:eastAsia="宋体" w:cs="宋体"/>
                <w:i w:val="0"/>
                <w:iCs w:val="0"/>
                <w:color w:val="000000"/>
                <w:sz w:val="18"/>
                <w:szCs w:val="18"/>
                <w:highlight w:val="none"/>
                <w:u w:val="none"/>
              </w:rPr>
            </w:pPr>
          </w:p>
          <w:p w14:paraId="71350B15">
            <w:pPr>
              <w:rPr>
                <w:rFonts w:hint="eastAsia" w:ascii="宋体" w:hAnsi="宋体" w:eastAsia="宋体" w:cs="宋体"/>
                <w:i w:val="0"/>
                <w:iCs w:val="0"/>
                <w:color w:val="000000"/>
                <w:sz w:val="18"/>
                <w:szCs w:val="18"/>
                <w:highlight w:val="none"/>
                <w:u w:val="none"/>
              </w:rPr>
            </w:pPr>
          </w:p>
          <w:p w14:paraId="74E3B741">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FCDFF6F">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649EA80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A583E7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B68AE58">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6D2DF615">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CF60D4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BCC4F65">
            <w:pPr>
              <w:rPr>
                <w:rFonts w:hint="eastAsia" w:ascii="宋体" w:hAnsi="宋体" w:eastAsia="宋体" w:cs="宋体"/>
                <w:i w:val="0"/>
                <w:iCs w:val="0"/>
                <w:color w:val="000000"/>
                <w:sz w:val="18"/>
                <w:szCs w:val="18"/>
                <w:highlight w:val="none"/>
                <w:u w:val="none"/>
              </w:rPr>
            </w:pPr>
          </w:p>
        </w:tc>
      </w:tr>
      <w:tr w14:paraId="282C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409EBD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0C5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8060F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9166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51320022T000007219483-促进消费恢复发展专项资金</w:t>
            </w:r>
          </w:p>
        </w:tc>
      </w:tr>
      <w:tr w14:paraId="73584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F7A0E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A96074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2ED141F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69EA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0BDF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FB091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D001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10E52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452B0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31D7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F490A">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6782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0AEE5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为推动消费恢复回升，释放消费潜力，更好发挥消费对经济循环的牵引带动作用。积极组织开展促销工作，以有力的举措推动省、州政策落实，带动消费恢复提升。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B05652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深入贯彻落实中共中央办公厅、国务院办公厅《提振消费专项行动方案》部署要求，紧扣省委省政府、州委州政府“大力提振消费”工作安排，重点围绕汽车、家电、批零住餐、文旅加油等领域开展促消费工作。阿坝州消费券吸引全州12家景区及220余家市场主体参与受理消费券核销，累计带动消费3.2亿元，撬动比实现1:8，拉动了经济复苏。</w:t>
            </w:r>
          </w:p>
        </w:tc>
      </w:tr>
      <w:tr w14:paraId="56FF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AD56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76D7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7D606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为全面落实国家《提振消费专项行动方案》及四川省促消费工作部署，围绕中央 “大宗消费更新升级、服务消费提质惠民” 核心要求，立足阿坝州产业特色，以发放消费券为抓手，重点围绕汽车、家电、批零住餐、文旅加油等领域分批次开展促消费工作。</w:t>
            </w:r>
          </w:p>
        </w:tc>
      </w:tr>
      <w:tr w14:paraId="549C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0C0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A1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2C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71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D04F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C1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7C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8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54F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36C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F225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11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A6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FD0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00C8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DA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2D7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1C651">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140E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BE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955C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F3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34A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281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F2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C9E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2B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93F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3EAE7">
            <w:pPr>
              <w:rPr>
                <w:rFonts w:hint="eastAsia" w:ascii="黑体" w:hAnsi="黑体" w:eastAsia="黑体" w:cs="黑体"/>
                <w:i/>
                <w:iCs/>
                <w:color w:val="000000"/>
                <w:sz w:val="18"/>
                <w:szCs w:val="18"/>
                <w:highlight w:val="none"/>
                <w:u w:val="none"/>
              </w:rPr>
            </w:pPr>
          </w:p>
        </w:tc>
      </w:tr>
      <w:tr w14:paraId="78B1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744F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34E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6C1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0B2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037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EE0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6F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0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31295">
            <w:pPr>
              <w:rPr>
                <w:rFonts w:hint="eastAsia" w:ascii="黑体" w:hAnsi="黑体" w:eastAsia="黑体" w:cs="黑体"/>
                <w:i/>
                <w:iCs/>
                <w:color w:val="000000"/>
                <w:sz w:val="18"/>
                <w:szCs w:val="18"/>
                <w:highlight w:val="none"/>
                <w:u w:val="none"/>
              </w:rPr>
            </w:pPr>
          </w:p>
        </w:tc>
      </w:tr>
      <w:tr w14:paraId="05804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11FF9">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2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B4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33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C50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6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09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693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82EBB">
            <w:pPr>
              <w:rPr>
                <w:rFonts w:hint="eastAsia" w:ascii="黑体" w:hAnsi="黑体" w:eastAsia="黑体" w:cs="黑体"/>
                <w:i/>
                <w:iCs/>
                <w:color w:val="000000"/>
                <w:sz w:val="18"/>
                <w:szCs w:val="18"/>
                <w:highlight w:val="none"/>
                <w:u w:val="none"/>
              </w:rPr>
            </w:pPr>
          </w:p>
        </w:tc>
      </w:tr>
      <w:tr w14:paraId="7033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7A0F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BCF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FFF0">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A4B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A5FF01">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4FFB5">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2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C84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336E6">
            <w:pPr>
              <w:rPr>
                <w:rFonts w:hint="eastAsia" w:ascii="黑体" w:hAnsi="黑体" w:eastAsia="黑体" w:cs="黑体"/>
                <w:i/>
                <w:iCs/>
                <w:color w:val="000000"/>
                <w:sz w:val="18"/>
                <w:szCs w:val="18"/>
                <w:highlight w:val="none"/>
                <w:u w:val="none"/>
              </w:rPr>
            </w:pPr>
          </w:p>
        </w:tc>
      </w:tr>
      <w:tr w14:paraId="097A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729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62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9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D2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B70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86B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65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2B5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DA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CE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506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2FE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21DAC">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B5C3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AB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7D4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年发放次数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30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D2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75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C931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7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5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873A6">
            <w:pPr>
              <w:jc w:val="center"/>
              <w:rPr>
                <w:rFonts w:hint="eastAsia" w:ascii="微软雅黑" w:hAnsi="微软雅黑" w:eastAsia="微软雅黑" w:cs="微软雅黑"/>
                <w:i/>
                <w:iCs/>
                <w:color w:val="000000"/>
                <w:sz w:val="16"/>
                <w:szCs w:val="16"/>
                <w:highlight w:val="none"/>
                <w:u w:val="none"/>
              </w:rPr>
            </w:pPr>
          </w:p>
        </w:tc>
      </w:tr>
      <w:tr w14:paraId="50382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9951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4F39A">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BD3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F65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活动覆盖率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DF6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2A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3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C2DE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06A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B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2307">
            <w:pPr>
              <w:jc w:val="center"/>
              <w:rPr>
                <w:rFonts w:hint="eastAsia" w:ascii="微软雅黑" w:hAnsi="微软雅黑" w:eastAsia="微软雅黑" w:cs="微软雅黑"/>
                <w:i/>
                <w:iCs/>
                <w:color w:val="000000"/>
                <w:sz w:val="16"/>
                <w:szCs w:val="16"/>
                <w:highlight w:val="none"/>
                <w:u w:val="none"/>
              </w:rPr>
            </w:pPr>
          </w:p>
        </w:tc>
      </w:tr>
      <w:tr w14:paraId="6DBB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6396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D019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A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E9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发放及时率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4DE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3F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DCE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F53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C97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47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703C6">
            <w:pPr>
              <w:jc w:val="center"/>
              <w:rPr>
                <w:rFonts w:hint="eastAsia" w:ascii="微软雅黑" w:hAnsi="微软雅黑" w:eastAsia="微软雅黑" w:cs="微软雅黑"/>
                <w:i/>
                <w:iCs/>
                <w:color w:val="000000"/>
                <w:sz w:val="16"/>
                <w:szCs w:val="16"/>
                <w:highlight w:val="none"/>
                <w:u w:val="none"/>
              </w:rPr>
            </w:pPr>
          </w:p>
        </w:tc>
      </w:tr>
      <w:tr w14:paraId="4872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4B4B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1D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8A8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BAD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促进消费者消费意愿回升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534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2F0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有效促进消费</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707D4">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9388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有效促进消费</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A31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8DE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2CE4A">
            <w:pPr>
              <w:jc w:val="center"/>
              <w:rPr>
                <w:rFonts w:hint="eastAsia" w:ascii="微软雅黑" w:hAnsi="微软雅黑" w:eastAsia="微软雅黑" w:cs="微软雅黑"/>
                <w:i/>
                <w:iCs/>
                <w:color w:val="000000"/>
                <w:sz w:val="16"/>
                <w:szCs w:val="16"/>
                <w:highlight w:val="none"/>
                <w:u w:val="none"/>
              </w:rPr>
            </w:pPr>
          </w:p>
        </w:tc>
      </w:tr>
      <w:tr w14:paraId="5E03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1C3D7">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B665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1F09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B65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77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AC5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C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A46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137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9A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A26F3">
            <w:pPr>
              <w:jc w:val="center"/>
              <w:rPr>
                <w:rFonts w:hint="eastAsia" w:ascii="微软雅黑" w:hAnsi="微软雅黑" w:eastAsia="微软雅黑" w:cs="微软雅黑"/>
                <w:i/>
                <w:iCs/>
                <w:color w:val="000000"/>
                <w:sz w:val="16"/>
                <w:szCs w:val="16"/>
                <w:highlight w:val="none"/>
                <w:u w:val="none"/>
              </w:rPr>
            </w:pPr>
          </w:p>
        </w:tc>
      </w:tr>
      <w:tr w14:paraId="679E5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4703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186D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38C71">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F89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消费者满意度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250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3F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6B7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900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839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A3A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50E7">
            <w:pPr>
              <w:jc w:val="center"/>
              <w:rPr>
                <w:rFonts w:hint="eastAsia" w:ascii="微软雅黑" w:hAnsi="微软雅黑" w:eastAsia="微软雅黑" w:cs="微软雅黑"/>
                <w:i/>
                <w:iCs/>
                <w:color w:val="000000"/>
                <w:sz w:val="16"/>
                <w:szCs w:val="16"/>
                <w:highlight w:val="none"/>
                <w:u w:val="none"/>
              </w:rPr>
            </w:pPr>
          </w:p>
        </w:tc>
      </w:tr>
      <w:tr w14:paraId="65D3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0223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06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74A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211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控制预算</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48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969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59B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亿元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A451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0.4</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6E0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A6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BF4E8">
            <w:pPr>
              <w:jc w:val="center"/>
              <w:rPr>
                <w:rFonts w:hint="eastAsia" w:ascii="微软雅黑" w:hAnsi="微软雅黑" w:eastAsia="微软雅黑" w:cs="微软雅黑"/>
                <w:i/>
                <w:iCs/>
                <w:color w:val="000000"/>
                <w:sz w:val="16"/>
                <w:szCs w:val="16"/>
                <w:highlight w:val="none"/>
                <w:u w:val="none"/>
              </w:rPr>
            </w:pPr>
          </w:p>
        </w:tc>
      </w:tr>
      <w:tr w14:paraId="0E5E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DB75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7EA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DF20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3559">
            <w:pPr>
              <w:rPr>
                <w:rFonts w:hint="eastAsia" w:ascii="宋体" w:hAnsi="宋体" w:eastAsia="宋体" w:cs="宋体"/>
                <w:i w:val="0"/>
                <w:iCs w:val="0"/>
                <w:color w:val="000000"/>
                <w:sz w:val="18"/>
                <w:szCs w:val="18"/>
                <w:highlight w:val="none"/>
                <w:u w:val="none"/>
              </w:rPr>
            </w:pPr>
          </w:p>
        </w:tc>
      </w:tr>
      <w:tr w14:paraId="54AAE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826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E12B22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阿坝州消费券促消费活动通过发放政府消费券，逐步构建了“政府引导、市场为主、消费者广泛参与”的消费生态，为消费市场持续回升向好按下了加速键。很多参与商家反映消费券活动对提升客流量起到了显著效果。汽车促消费活动成效显著，通过6期的汽车促消费活动，销售汽车2787台，产生的直接消费总额2.6亿元，撬动比达1：12，经济效益、社会效益和带动效益明显增强。</w:t>
            </w:r>
          </w:p>
        </w:tc>
      </w:tr>
      <w:tr w14:paraId="5E31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F1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BFD6B0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985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74D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40A115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63A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AFE5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9B12A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6051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DF5AAD4">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201CF9EE">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55B92D9">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6F9C417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638083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21987115">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067489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2D5CA581">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34270C94">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8EB98F1">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9B7FFDE">
            <w:pPr>
              <w:rPr>
                <w:rFonts w:hint="eastAsia" w:ascii="宋体" w:hAnsi="宋体" w:eastAsia="宋体" w:cs="宋体"/>
                <w:i w:val="0"/>
                <w:iCs w:val="0"/>
                <w:color w:val="000000"/>
                <w:sz w:val="18"/>
                <w:szCs w:val="18"/>
                <w:highlight w:val="none"/>
                <w:u w:val="none"/>
              </w:rPr>
            </w:pPr>
          </w:p>
        </w:tc>
      </w:tr>
      <w:tr w14:paraId="1BDA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FE4499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FDB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6CE0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DE0A1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51320023T000007985085-州级政府冻猪肉承储费</w:t>
            </w:r>
          </w:p>
        </w:tc>
      </w:tr>
      <w:tr w14:paraId="153EA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06D3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ECC0F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1EF8E66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A8F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C71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30B07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8507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1F12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22A6DF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A834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62C55">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977B5">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1007A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四川省发展改革委、财政厅、农业农村厅、商务厅、市场监管局关于印发〈四川省生猪猪肉市场价格调控预案〉的通知》（川发改价格﹝2021﹞330号）文件精神，确保州级政府冻猪肉承储量不低于102吨，有效保障紧急情况下城乡居民对猪肉的需求。</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5DDB9F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完成2025年度州级政府冻猪肉收储企业招标工作，并按要求完成102吨收储任务。</w:t>
            </w:r>
          </w:p>
        </w:tc>
      </w:tr>
      <w:tr w14:paraId="1E295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B6D75">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5C3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6F3A1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根据《政府冻猪肉收储工作实施方案》，2025年公开招标确定红原县金松牦牛食品有限公司完成2025年102吨的收储任务。</w:t>
            </w:r>
          </w:p>
        </w:tc>
      </w:tr>
      <w:tr w14:paraId="40191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C08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2B9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87F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D3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9CC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3A6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28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99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AD6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0B1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CFBA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6DB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D1B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38C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3CD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13.91</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F0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19.87%</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CB9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E1BAC">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4DA4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于2025年3月公开征选2次流标。后多部门联合调研，全州冻库有限等原因，导致未能及时确定承储单位。</w:t>
            </w:r>
          </w:p>
        </w:tc>
      </w:tr>
      <w:tr w14:paraId="7924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D951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C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51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56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D27A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13.91</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ED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19.87%</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24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26A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93253">
            <w:pPr>
              <w:rPr>
                <w:rFonts w:hint="eastAsia" w:ascii="黑体" w:hAnsi="黑体" w:eastAsia="黑体" w:cs="黑体"/>
                <w:i/>
                <w:iCs/>
                <w:color w:val="000000"/>
                <w:sz w:val="18"/>
                <w:szCs w:val="18"/>
                <w:highlight w:val="none"/>
                <w:u w:val="none"/>
              </w:rPr>
            </w:pPr>
          </w:p>
        </w:tc>
      </w:tr>
      <w:tr w14:paraId="0F06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98E9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37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93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AA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2AD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2A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2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98E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08C1C">
            <w:pPr>
              <w:rPr>
                <w:rFonts w:hint="eastAsia" w:ascii="黑体" w:hAnsi="黑体" w:eastAsia="黑体" w:cs="黑体"/>
                <w:i/>
                <w:iCs/>
                <w:color w:val="000000"/>
                <w:sz w:val="18"/>
                <w:szCs w:val="18"/>
                <w:highlight w:val="none"/>
                <w:u w:val="none"/>
              </w:rPr>
            </w:pPr>
          </w:p>
        </w:tc>
      </w:tr>
      <w:tr w14:paraId="0960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229B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624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45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56F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07A3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8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A12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872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44C43">
            <w:pPr>
              <w:rPr>
                <w:rFonts w:hint="eastAsia" w:ascii="黑体" w:hAnsi="黑体" w:eastAsia="黑体" w:cs="黑体"/>
                <w:i/>
                <w:iCs/>
                <w:color w:val="000000"/>
                <w:sz w:val="18"/>
                <w:szCs w:val="18"/>
                <w:highlight w:val="none"/>
                <w:u w:val="none"/>
              </w:rPr>
            </w:pPr>
          </w:p>
        </w:tc>
      </w:tr>
      <w:tr w14:paraId="15F7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1EF4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790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B80F">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C7AB">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696777">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3BF0F">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28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33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EF32F">
            <w:pPr>
              <w:rPr>
                <w:rFonts w:hint="eastAsia" w:ascii="黑体" w:hAnsi="黑体" w:eastAsia="黑体" w:cs="黑体"/>
                <w:i/>
                <w:iCs/>
                <w:color w:val="000000"/>
                <w:sz w:val="18"/>
                <w:szCs w:val="18"/>
                <w:highlight w:val="none"/>
                <w:u w:val="none"/>
              </w:rPr>
            </w:pPr>
          </w:p>
        </w:tc>
      </w:tr>
      <w:tr w14:paraId="4729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4E4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3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5A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26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594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E35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824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04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2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7E2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99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6D8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24BFC">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327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2FA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C7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州级政府冻猪肉承储量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C13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F9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8DB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吨</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B5CC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BD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192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E68FC">
            <w:pPr>
              <w:jc w:val="center"/>
              <w:rPr>
                <w:rFonts w:hint="eastAsia" w:ascii="微软雅黑" w:hAnsi="微软雅黑" w:eastAsia="微软雅黑" w:cs="微软雅黑"/>
                <w:i/>
                <w:iCs/>
                <w:color w:val="000000"/>
                <w:sz w:val="16"/>
                <w:szCs w:val="16"/>
                <w:highlight w:val="none"/>
                <w:u w:val="none"/>
              </w:rPr>
            </w:pPr>
          </w:p>
        </w:tc>
      </w:tr>
      <w:tr w14:paraId="2C47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49FC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A7DC1">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8B2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A6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猪肉承储率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159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6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70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6095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A81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2DF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D9AB">
            <w:pPr>
              <w:jc w:val="center"/>
              <w:rPr>
                <w:rFonts w:hint="eastAsia" w:ascii="微软雅黑" w:hAnsi="微软雅黑" w:eastAsia="微软雅黑" w:cs="微软雅黑"/>
                <w:i/>
                <w:iCs/>
                <w:color w:val="000000"/>
                <w:sz w:val="16"/>
                <w:szCs w:val="16"/>
                <w:highlight w:val="none"/>
                <w:u w:val="none"/>
              </w:rPr>
            </w:pPr>
          </w:p>
        </w:tc>
      </w:tr>
      <w:tr w14:paraId="0081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BE51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C625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4F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B4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及时保障时间</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6FF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9C4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906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9AF8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F34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5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82DBD">
            <w:pPr>
              <w:jc w:val="center"/>
              <w:rPr>
                <w:rFonts w:hint="eastAsia" w:ascii="微软雅黑" w:hAnsi="微软雅黑" w:eastAsia="微软雅黑" w:cs="微软雅黑"/>
                <w:i/>
                <w:iCs/>
                <w:color w:val="000000"/>
                <w:sz w:val="16"/>
                <w:szCs w:val="16"/>
                <w:highlight w:val="none"/>
                <w:u w:val="none"/>
              </w:rPr>
            </w:pPr>
          </w:p>
        </w:tc>
      </w:tr>
      <w:tr w14:paraId="5B2D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6811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CD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40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68C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群众猪肉保障情况</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064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8F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0252B">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2AAD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及时保障</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16D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7D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225E">
            <w:pPr>
              <w:jc w:val="center"/>
              <w:rPr>
                <w:rFonts w:hint="eastAsia" w:ascii="微软雅黑" w:hAnsi="微软雅黑" w:eastAsia="微软雅黑" w:cs="微软雅黑"/>
                <w:i/>
                <w:iCs/>
                <w:color w:val="000000"/>
                <w:sz w:val="16"/>
                <w:szCs w:val="16"/>
                <w:highlight w:val="none"/>
                <w:u w:val="none"/>
              </w:rPr>
            </w:pPr>
          </w:p>
        </w:tc>
      </w:tr>
      <w:tr w14:paraId="33E55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8576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43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9A3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CC1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受益群众满意度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DD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B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2B3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E9BC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CF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E6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28ECB">
            <w:pPr>
              <w:jc w:val="center"/>
              <w:rPr>
                <w:rFonts w:hint="eastAsia" w:ascii="微软雅黑" w:hAnsi="微软雅黑" w:eastAsia="微软雅黑" w:cs="微软雅黑"/>
                <w:i/>
                <w:iCs/>
                <w:color w:val="000000"/>
                <w:sz w:val="16"/>
                <w:szCs w:val="16"/>
                <w:highlight w:val="none"/>
                <w:u w:val="none"/>
              </w:rPr>
            </w:pPr>
          </w:p>
        </w:tc>
      </w:tr>
      <w:tr w14:paraId="05078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148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CA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ADF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33A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6C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A21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A83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C481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13.91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3A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C2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116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于2025年11月28日与承储协议</w:t>
            </w:r>
          </w:p>
        </w:tc>
      </w:tr>
      <w:tr w14:paraId="6944A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0EF0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EA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34EF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1B66">
            <w:pPr>
              <w:rPr>
                <w:rFonts w:hint="eastAsia" w:ascii="宋体" w:hAnsi="宋体" w:eastAsia="宋体" w:cs="宋体"/>
                <w:i w:val="0"/>
                <w:iCs w:val="0"/>
                <w:color w:val="000000"/>
                <w:sz w:val="18"/>
                <w:szCs w:val="18"/>
                <w:highlight w:val="none"/>
                <w:u w:val="none"/>
              </w:rPr>
            </w:pPr>
          </w:p>
        </w:tc>
      </w:tr>
      <w:tr w14:paraId="4FF7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1B7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332A95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完成州级政府冻猪肉收102吨收储任务。</w:t>
            </w:r>
          </w:p>
        </w:tc>
      </w:tr>
      <w:tr w14:paraId="5876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F21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01969F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0E2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DFE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2971FB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641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49FC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BE0EC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11BF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41FD4743">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5F46BB8D">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2C081AE1">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1DC85864">
            <w:pPr>
              <w:rPr>
                <w:rFonts w:hint="eastAsia" w:ascii="宋体" w:hAnsi="宋体" w:eastAsia="宋体" w:cs="宋体"/>
                <w:i w:val="0"/>
                <w:iCs w:val="0"/>
                <w:color w:val="000000"/>
                <w:sz w:val="18"/>
                <w:szCs w:val="18"/>
                <w:highlight w:val="none"/>
                <w:u w:val="none"/>
              </w:rPr>
            </w:pPr>
          </w:p>
          <w:p w14:paraId="3F3D548D">
            <w:pPr>
              <w:rPr>
                <w:rFonts w:hint="eastAsia" w:ascii="宋体" w:hAnsi="宋体" w:eastAsia="宋体" w:cs="宋体"/>
                <w:i w:val="0"/>
                <w:iCs w:val="0"/>
                <w:color w:val="000000"/>
                <w:sz w:val="18"/>
                <w:szCs w:val="18"/>
                <w:highlight w:val="none"/>
                <w:u w:val="none"/>
              </w:rPr>
            </w:pPr>
          </w:p>
          <w:p w14:paraId="1516C5C2">
            <w:pPr>
              <w:rPr>
                <w:rFonts w:hint="eastAsia" w:ascii="宋体" w:hAnsi="宋体" w:eastAsia="宋体" w:cs="宋体"/>
                <w:i w:val="0"/>
                <w:iCs w:val="0"/>
                <w:color w:val="000000"/>
                <w:sz w:val="18"/>
                <w:szCs w:val="18"/>
                <w:highlight w:val="none"/>
                <w:u w:val="none"/>
              </w:rPr>
            </w:pPr>
          </w:p>
          <w:p w14:paraId="065E9568">
            <w:pPr>
              <w:rPr>
                <w:rFonts w:hint="eastAsia" w:ascii="宋体" w:hAnsi="宋体" w:eastAsia="宋体" w:cs="宋体"/>
                <w:i w:val="0"/>
                <w:iCs w:val="0"/>
                <w:color w:val="000000"/>
                <w:sz w:val="18"/>
                <w:szCs w:val="18"/>
                <w:highlight w:val="none"/>
                <w:u w:val="none"/>
              </w:rPr>
            </w:pPr>
          </w:p>
          <w:p w14:paraId="2FBE8CFA">
            <w:pPr>
              <w:rPr>
                <w:rFonts w:hint="eastAsia" w:ascii="宋体" w:hAnsi="宋体" w:eastAsia="宋体" w:cs="宋体"/>
                <w:i w:val="0"/>
                <w:iCs w:val="0"/>
                <w:color w:val="000000"/>
                <w:sz w:val="18"/>
                <w:szCs w:val="18"/>
                <w:highlight w:val="none"/>
                <w:u w:val="none"/>
              </w:rPr>
            </w:pPr>
          </w:p>
          <w:p w14:paraId="5A02630F">
            <w:pPr>
              <w:rPr>
                <w:rFonts w:hint="eastAsia" w:ascii="宋体" w:hAnsi="宋体" w:eastAsia="宋体" w:cs="宋体"/>
                <w:i w:val="0"/>
                <w:iCs w:val="0"/>
                <w:color w:val="000000"/>
                <w:sz w:val="18"/>
                <w:szCs w:val="18"/>
                <w:highlight w:val="none"/>
                <w:u w:val="none"/>
              </w:rPr>
            </w:pPr>
          </w:p>
          <w:p w14:paraId="7AE7D638">
            <w:pPr>
              <w:rPr>
                <w:rFonts w:hint="eastAsia" w:ascii="宋体" w:hAnsi="宋体" w:eastAsia="宋体" w:cs="宋体"/>
                <w:i w:val="0"/>
                <w:iCs w:val="0"/>
                <w:color w:val="000000"/>
                <w:sz w:val="18"/>
                <w:szCs w:val="18"/>
                <w:highlight w:val="none"/>
                <w:u w:val="none"/>
              </w:rPr>
            </w:pPr>
          </w:p>
          <w:p w14:paraId="5CEA6BF4">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DD8C099">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7B5AFA23">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47310C3A">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54450DB2">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5DDCC016">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26C1464">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7BF25E7B">
            <w:pPr>
              <w:rPr>
                <w:rFonts w:hint="eastAsia" w:ascii="宋体" w:hAnsi="宋体" w:eastAsia="宋体" w:cs="宋体"/>
                <w:i w:val="0"/>
                <w:iCs w:val="0"/>
                <w:color w:val="000000"/>
                <w:sz w:val="18"/>
                <w:szCs w:val="18"/>
                <w:highlight w:val="none"/>
                <w:u w:val="none"/>
              </w:rPr>
            </w:pPr>
          </w:p>
        </w:tc>
      </w:tr>
      <w:tr w14:paraId="30EB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7D249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CA6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784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1B5CA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51320024T000010451079-局机关食堂及办公室会议室修缮</w:t>
            </w:r>
          </w:p>
        </w:tc>
      </w:tr>
      <w:tr w14:paraId="59ED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696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49F4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14505B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36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74D32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5FC6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2A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6AE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FB81EE">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3C3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FD64C">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294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198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2025年完成局机关食堂62平方米及12间办公室及会议室的修缮工作，进一步改善办公环境。</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1FE12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36B9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4A49">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EF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6597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严格按预算及采购相关要求执行。</w:t>
            </w:r>
          </w:p>
        </w:tc>
      </w:tr>
      <w:tr w14:paraId="2B034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C12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32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36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A7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A0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DE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E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03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8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EC2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6B8C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8C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A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5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83C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69.98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2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99.27%</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5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1858">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DF62A">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6E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A838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1A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2A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2D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77C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69.98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C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99.27%</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8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D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1DA96">
            <w:pPr>
              <w:rPr>
                <w:rFonts w:hint="eastAsia" w:ascii="黑体" w:hAnsi="黑体" w:eastAsia="黑体" w:cs="黑体"/>
                <w:i/>
                <w:iCs/>
                <w:color w:val="000000"/>
                <w:sz w:val="18"/>
                <w:szCs w:val="18"/>
                <w:highlight w:val="none"/>
                <w:u w:val="none"/>
              </w:rPr>
            </w:pPr>
          </w:p>
        </w:tc>
      </w:tr>
      <w:tr w14:paraId="5D60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7F32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55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0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7D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24D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2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5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A6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910C">
            <w:pPr>
              <w:rPr>
                <w:rFonts w:hint="eastAsia" w:ascii="黑体" w:hAnsi="黑体" w:eastAsia="黑体" w:cs="黑体"/>
                <w:i/>
                <w:iCs/>
                <w:color w:val="000000"/>
                <w:sz w:val="18"/>
                <w:szCs w:val="18"/>
                <w:highlight w:val="none"/>
                <w:u w:val="none"/>
              </w:rPr>
            </w:pPr>
          </w:p>
        </w:tc>
      </w:tr>
      <w:tr w14:paraId="7883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99A7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1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BF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23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A58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75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89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00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538C0">
            <w:pPr>
              <w:rPr>
                <w:rFonts w:hint="eastAsia" w:ascii="黑体" w:hAnsi="黑体" w:eastAsia="黑体" w:cs="黑体"/>
                <w:i/>
                <w:iCs/>
                <w:color w:val="000000"/>
                <w:sz w:val="18"/>
                <w:szCs w:val="18"/>
                <w:highlight w:val="none"/>
                <w:u w:val="none"/>
              </w:rPr>
            </w:pPr>
          </w:p>
        </w:tc>
      </w:tr>
      <w:tr w14:paraId="3ED1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7EC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76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525E">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E29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BA279">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D768">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2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E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4146D">
            <w:pPr>
              <w:rPr>
                <w:rFonts w:hint="eastAsia" w:ascii="黑体" w:hAnsi="黑体" w:eastAsia="黑体" w:cs="黑体"/>
                <w:i/>
                <w:iCs/>
                <w:color w:val="000000"/>
                <w:sz w:val="18"/>
                <w:szCs w:val="18"/>
                <w:highlight w:val="none"/>
                <w:u w:val="none"/>
              </w:rPr>
            </w:pPr>
          </w:p>
        </w:tc>
      </w:tr>
      <w:tr w14:paraId="1957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40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6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2D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6C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53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50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62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EF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A9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39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E7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4AA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AA7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464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0BC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65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办公室会议室修缮数量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C8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F8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AF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1A0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51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9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6835">
            <w:pPr>
              <w:jc w:val="center"/>
              <w:rPr>
                <w:rFonts w:hint="eastAsia" w:ascii="微软雅黑" w:hAnsi="微软雅黑" w:eastAsia="微软雅黑" w:cs="微软雅黑"/>
                <w:i/>
                <w:iCs/>
                <w:color w:val="000000"/>
                <w:sz w:val="16"/>
                <w:szCs w:val="16"/>
                <w:highlight w:val="none"/>
                <w:u w:val="none"/>
              </w:rPr>
            </w:pPr>
          </w:p>
        </w:tc>
      </w:tr>
      <w:tr w14:paraId="2941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BAE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F3428">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B6B3">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32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食堂修缮面积</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D0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4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8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E9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A7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1E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D693">
            <w:pPr>
              <w:jc w:val="center"/>
              <w:rPr>
                <w:rFonts w:hint="eastAsia" w:ascii="微软雅黑" w:hAnsi="微软雅黑" w:eastAsia="微软雅黑" w:cs="微软雅黑"/>
                <w:i/>
                <w:iCs/>
                <w:color w:val="000000"/>
                <w:sz w:val="16"/>
                <w:szCs w:val="16"/>
                <w:highlight w:val="none"/>
                <w:u w:val="none"/>
              </w:rPr>
            </w:pPr>
          </w:p>
        </w:tc>
      </w:tr>
      <w:tr w14:paraId="2EA4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72A5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50AC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8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7C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房屋修缮改造率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BB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FE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0D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86A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7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71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7811">
            <w:pPr>
              <w:jc w:val="center"/>
              <w:rPr>
                <w:rFonts w:hint="eastAsia" w:ascii="微软雅黑" w:hAnsi="微软雅黑" w:eastAsia="微软雅黑" w:cs="微软雅黑"/>
                <w:i/>
                <w:iCs/>
                <w:color w:val="000000"/>
                <w:sz w:val="16"/>
                <w:szCs w:val="16"/>
                <w:highlight w:val="none"/>
                <w:u w:val="none"/>
              </w:rPr>
            </w:pPr>
          </w:p>
        </w:tc>
      </w:tr>
      <w:tr w14:paraId="4F8A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0EB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EFD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5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E7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及时执行时长</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90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D7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B0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A9D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4B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B0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873E">
            <w:pPr>
              <w:jc w:val="center"/>
              <w:rPr>
                <w:rFonts w:hint="eastAsia" w:ascii="微软雅黑" w:hAnsi="微软雅黑" w:eastAsia="微软雅黑" w:cs="微软雅黑"/>
                <w:i/>
                <w:iCs/>
                <w:color w:val="000000"/>
                <w:sz w:val="16"/>
                <w:szCs w:val="16"/>
                <w:highlight w:val="none"/>
                <w:u w:val="none"/>
              </w:rPr>
            </w:pPr>
          </w:p>
        </w:tc>
      </w:tr>
      <w:tr w14:paraId="3FC5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908B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FA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3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E3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办公环境改善程度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9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5A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D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7C8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45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2B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D606">
            <w:pPr>
              <w:jc w:val="center"/>
              <w:rPr>
                <w:rFonts w:hint="eastAsia" w:ascii="微软雅黑" w:hAnsi="微软雅黑" w:eastAsia="微软雅黑" w:cs="微软雅黑"/>
                <w:i/>
                <w:iCs/>
                <w:color w:val="000000"/>
                <w:sz w:val="16"/>
                <w:szCs w:val="16"/>
                <w:highlight w:val="none"/>
                <w:u w:val="none"/>
              </w:rPr>
            </w:pPr>
          </w:p>
        </w:tc>
      </w:tr>
      <w:tr w14:paraId="0B522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99AE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EC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23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0E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职工满意度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F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74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B8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CAA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6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62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8946">
            <w:pPr>
              <w:jc w:val="center"/>
              <w:rPr>
                <w:rFonts w:hint="eastAsia" w:ascii="微软雅黑" w:hAnsi="微软雅黑" w:eastAsia="微软雅黑" w:cs="微软雅黑"/>
                <w:i/>
                <w:iCs/>
                <w:color w:val="000000"/>
                <w:sz w:val="16"/>
                <w:szCs w:val="16"/>
                <w:highlight w:val="none"/>
                <w:u w:val="none"/>
              </w:rPr>
            </w:pPr>
          </w:p>
        </w:tc>
      </w:tr>
      <w:tr w14:paraId="1248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A680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79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87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E8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82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92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2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ADB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69.98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FC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9E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A304">
            <w:pPr>
              <w:jc w:val="center"/>
              <w:rPr>
                <w:rFonts w:hint="eastAsia" w:ascii="微软雅黑" w:hAnsi="微软雅黑" w:eastAsia="微软雅黑" w:cs="微软雅黑"/>
                <w:i/>
                <w:iCs/>
                <w:color w:val="000000"/>
                <w:sz w:val="16"/>
                <w:szCs w:val="16"/>
                <w:highlight w:val="none"/>
                <w:u w:val="none"/>
              </w:rPr>
            </w:pPr>
          </w:p>
        </w:tc>
      </w:tr>
      <w:tr w14:paraId="48AF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7590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3F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E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2325">
            <w:pPr>
              <w:rPr>
                <w:rFonts w:hint="eastAsia" w:ascii="宋体" w:hAnsi="宋体" w:eastAsia="宋体" w:cs="宋体"/>
                <w:i w:val="0"/>
                <w:iCs w:val="0"/>
                <w:color w:val="000000"/>
                <w:sz w:val="18"/>
                <w:szCs w:val="18"/>
                <w:highlight w:val="none"/>
                <w:u w:val="none"/>
              </w:rPr>
            </w:pPr>
          </w:p>
        </w:tc>
      </w:tr>
      <w:tr w14:paraId="18AF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A8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A5F27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项目自评得分100分，项目执行严格批复的预算执行，相关采购严格按政府采购采购及内控执行。项目已全面完成，延长了房屋使用寿命，有效提升了办公、用餐环境。</w:t>
            </w:r>
          </w:p>
        </w:tc>
      </w:tr>
      <w:tr w14:paraId="4863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3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5BCB6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AD6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2B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45BD9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513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AE15A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项目负责人：顺云梅</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CBEE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6862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3A52569">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2CA81CB6">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4F7DDA2F">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720C161B">
            <w:pPr>
              <w:rPr>
                <w:rFonts w:hint="eastAsia" w:ascii="宋体" w:hAnsi="宋体" w:eastAsia="宋体" w:cs="宋体"/>
                <w:i w:val="0"/>
                <w:iCs w:val="0"/>
                <w:color w:val="000000"/>
                <w:sz w:val="18"/>
                <w:szCs w:val="18"/>
                <w:highlight w:val="none"/>
                <w:u w:val="none"/>
              </w:rPr>
            </w:pPr>
          </w:p>
          <w:p w14:paraId="4AE6FF4E">
            <w:pPr>
              <w:rPr>
                <w:rFonts w:hint="eastAsia" w:ascii="宋体" w:hAnsi="宋体" w:eastAsia="宋体" w:cs="宋体"/>
                <w:i w:val="0"/>
                <w:iCs w:val="0"/>
                <w:color w:val="000000"/>
                <w:sz w:val="18"/>
                <w:szCs w:val="18"/>
                <w:highlight w:val="none"/>
                <w:u w:val="none"/>
              </w:rPr>
            </w:pPr>
          </w:p>
          <w:p w14:paraId="4597E043">
            <w:pPr>
              <w:rPr>
                <w:rFonts w:hint="eastAsia" w:ascii="宋体" w:hAnsi="宋体" w:eastAsia="宋体" w:cs="宋体"/>
                <w:i w:val="0"/>
                <w:iCs w:val="0"/>
                <w:color w:val="000000"/>
                <w:sz w:val="18"/>
                <w:szCs w:val="18"/>
                <w:highlight w:val="none"/>
                <w:u w:val="none"/>
              </w:rPr>
            </w:pPr>
          </w:p>
          <w:p w14:paraId="66EA81AA">
            <w:pPr>
              <w:rPr>
                <w:rFonts w:hint="eastAsia" w:ascii="宋体" w:hAnsi="宋体" w:eastAsia="宋体" w:cs="宋体"/>
                <w:i w:val="0"/>
                <w:iCs w:val="0"/>
                <w:color w:val="000000"/>
                <w:sz w:val="18"/>
                <w:szCs w:val="18"/>
                <w:highlight w:val="none"/>
                <w:u w:val="none"/>
              </w:rPr>
            </w:pPr>
          </w:p>
          <w:p w14:paraId="7794052B">
            <w:pPr>
              <w:rPr>
                <w:rFonts w:hint="eastAsia" w:ascii="宋体" w:hAnsi="宋体" w:eastAsia="宋体" w:cs="宋体"/>
                <w:i w:val="0"/>
                <w:iCs w:val="0"/>
                <w:color w:val="000000"/>
                <w:sz w:val="18"/>
                <w:szCs w:val="18"/>
                <w:highlight w:val="none"/>
                <w:u w:val="none"/>
              </w:rPr>
            </w:pPr>
          </w:p>
          <w:p w14:paraId="611E04E0">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056BCC66">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2BDF571C">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9561A1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38419905">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373A0BEF">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001BC583">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4DFC112">
            <w:pPr>
              <w:rPr>
                <w:rFonts w:hint="eastAsia" w:ascii="宋体" w:hAnsi="宋体" w:eastAsia="宋体" w:cs="宋体"/>
                <w:i w:val="0"/>
                <w:iCs w:val="0"/>
                <w:color w:val="000000"/>
                <w:sz w:val="18"/>
                <w:szCs w:val="18"/>
                <w:highlight w:val="none"/>
                <w:u w:val="none"/>
              </w:rPr>
            </w:pPr>
          </w:p>
        </w:tc>
      </w:tr>
      <w:tr w14:paraId="707F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60600A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08AC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1F27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C344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51320024T000011948449-“净土阿坝”品牌培育及净土阿坝馆运营项目</w:t>
            </w:r>
          </w:p>
        </w:tc>
      </w:tr>
      <w:tr w14:paraId="1C188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39799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3F5643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0E0F347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632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30282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0C5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39C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5D323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0848FF6">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BD0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7D896">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0F20E1">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D35D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东部阿坝馆以“净土阿坝”农特产品品牌为核心，立足温州城市区位优势，作为阿坝州东西部协作成果展示平台。面向温州消费市场，满足消费群体对高原纯净臻品的消费需求，依托浙江发达的电商技术优势，结合当地旅游资源，通过新经济、新零售手段，全方位宣传展示阿坝州特色产品。开展1次净土阿坝”产品消费帮扶推介会，邀请各县（市）农特产品企业30余家参会参展。</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AF159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通过“走出去”“引进来”组织开展了2025年“净土阿坝”产品消费帮扶推介会-温州站、杭州站、茂县站活动，推动阿坝州中药材、生鲜果蔬、手工艺品等特色产品进入浙江主流销售渠道，建立长期供货机制。</w:t>
            </w:r>
          </w:p>
        </w:tc>
      </w:tr>
      <w:tr w14:paraId="7688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2053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F71A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14C8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w:t>
            </w:r>
          </w:p>
        </w:tc>
      </w:tr>
      <w:tr w14:paraId="5540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22B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940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74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943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89D7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5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D7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451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EAC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775E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99F8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9EE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13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0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8.10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F89B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CCC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D7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63243">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BE41A2">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0CC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DC95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15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423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749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8.10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9C2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2FD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BB8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F8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8AE80">
            <w:pPr>
              <w:rPr>
                <w:rFonts w:hint="eastAsia" w:ascii="黑体" w:hAnsi="黑体" w:eastAsia="黑体" w:cs="黑体"/>
                <w:i/>
                <w:iCs/>
                <w:color w:val="000000"/>
                <w:sz w:val="18"/>
                <w:szCs w:val="18"/>
                <w:highlight w:val="none"/>
                <w:u w:val="none"/>
              </w:rPr>
            </w:pPr>
          </w:p>
        </w:tc>
      </w:tr>
      <w:tr w14:paraId="70FE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5478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742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3B5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DA2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AF81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C81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7F7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E64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E9129">
            <w:pPr>
              <w:rPr>
                <w:rFonts w:hint="eastAsia" w:ascii="黑体" w:hAnsi="黑体" w:eastAsia="黑体" w:cs="黑体"/>
                <w:i/>
                <w:iCs/>
                <w:color w:val="000000"/>
                <w:sz w:val="18"/>
                <w:szCs w:val="18"/>
                <w:highlight w:val="none"/>
                <w:u w:val="none"/>
              </w:rPr>
            </w:pPr>
          </w:p>
        </w:tc>
      </w:tr>
      <w:tr w14:paraId="16E7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133A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B53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D3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85A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C412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74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CD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354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CE9DA">
            <w:pPr>
              <w:rPr>
                <w:rFonts w:hint="eastAsia" w:ascii="黑体" w:hAnsi="黑体" w:eastAsia="黑体" w:cs="黑体"/>
                <w:i/>
                <w:iCs/>
                <w:color w:val="000000"/>
                <w:sz w:val="18"/>
                <w:szCs w:val="18"/>
                <w:highlight w:val="none"/>
                <w:u w:val="none"/>
              </w:rPr>
            </w:pPr>
          </w:p>
        </w:tc>
      </w:tr>
      <w:tr w14:paraId="2022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3B33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E0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02E1E">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2F42">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815C57">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C3781">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854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328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AD31C">
            <w:pPr>
              <w:rPr>
                <w:rFonts w:hint="eastAsia" w:ascii="黑体" w:hAnsi="黑体" w:eastAsia="黑体" w:cs="黑体"/>
                <w:i/>
                <w:iCs/>
                <w:color w:val="000000"/>
                <w:sz w:val="18"/>
                <w:szCs w:val="18"/>
                <w:highlight w:val="none"/>
                <w:u w:val="none"/>
              </w:rPr>
            </w:pPr>
          </w:p>
        </w:tc>
      </w:tr>
      <w:tr w14:paraId="43C3B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A1A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E6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B8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CEF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518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8D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71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D2E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605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A96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93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E98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BDF80">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D9F0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2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995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组织消费帮扶推介会次数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BF8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C5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A4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988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DB5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12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C744">
            <w:pPr>
              <w:jc w:val="center"/>
              <w:rPr>
                <w:rFonts w:hint="eastAsia" w:ascii="微软雅黑" w:hAnsi="微软雅黑" w:eastAsia="微软雅黑" w:cs="微软雅黑"/>
                <w:i/>
                <w:iCs/>
                <w:color w:val="000000"/>
                <w:sz w:val="16"/>
                <w:szCs w:val="16"/>
                <w:highlight w:val="none"/>
                <w:u w:val="none"/>
              </w:rPr>
            </w:pPr>
          </w:p>
        </w:tc>
      </w:tr>
      <w:tr w14:paraId="7745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16584">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9F083">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747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D3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年度内及时开展</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5A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6D7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77F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9302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D34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6C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01E90">
            <w:pPr>
              <w:jc w:val="center"/>
              <w:rPr>
                <w:rFonts w:hint="eastAsia" w:ascii="微软雅黑" w:hAnsi="微软雅黑" w:eastAsia="微软雅黑" w:cs="微软雅黑"/>
                <w:i/>
                <w:iCs/>
                <w:color w:val="000000"/>
                <w:sz w:val="16"/>
                <w:szCs w:val="16"/>
                <w:highlight w:val="none"/>
                <w:u w:val="none"/>
              </w:rPr>
            </w:pPr>
          </w:p>
        </w:tc>
      </w:tr>
      <w:tr w14:paraId="7D5E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1758B">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B918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17F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A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提高我州农产品销售额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B6F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C5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F12F">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BE1B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19E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AA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F9E4F">
            <w:pPr>
              <w:jc w:val="center"/>
              <w:rPr>
                <w:rFonts w:hint="eastAsia" w:ascii="微软雅黑" w:hAnsi="微软雅黑" w:eastAsia="微软雅黑" w:cs="微软雅黑"/>
                <w:i/>
                <w:iCs/>
                <w:color w:val="000000"/>
                <w:sz w:val="16"/>
                <w:szCs w:val="16"/>
                <w:highlight w:val="none"/>
                <w:u w:val="none"/>
              </w:rPr>
            </w:pPr>
          </w:p>
        </w:tc>
      </w:tr>
      <w:tr w14:paraId="5D86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384F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462E4">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CFA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0A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提高我州农特产品知名度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FB4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D54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7A9C">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E65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DA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31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73BF3">
            <w:pPr>
              <w:jc w:val="center"/>
              <w:rPr>
                <w:rFonts w:hint="eastAsia" w:ascii="微软雅黑" w:hAnsi="微软雅黑" w:eastAsia="微软雅黑" w:cs="微软雅黑"/>
                <w:i/>
                <w:iCs/>
                <w:color w:val="000000"/>
                <w:sz w:val="16"/>
                <w:szCs w:val="16"/>
                <w:highlight w:val="none"/>
                <w:u w:val="none"/>
              </w:rPr>
            </w:pPr>
          </w:p>
        </w:tc>
      </w:tr>
      <w:tr w14:paraId="7D23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C415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5D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C7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帮扶对象满意度指标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EE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参会参展企业满意度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45A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D1D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3C4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0B1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9D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7E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972F3">
            <w:pPr>
              <w:jc w:val="center"/>
              <w:rPr>
                <w:rFonts w:hint="eastAsia" w:ascii="微软雅黑" w:hAnsi="微软雅黑" w:eastAsia="微软雅黑" w:cs="微软雅黑"/>
                <w:i/>
                <w:iCs/>
                <w:color w:val="000000"/>
                <w:sz w:val="16"/>
                <w:szCs w:val="16"/>
                <w:highlight w:val="none"/>
                <w:u w:val="none"/>
              </w:rPr>
            </w:pPr>
          </w:p>
        </w:tc>
      </w:tr>
      <w:tr w14:paraId="43D4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53A2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CD6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B5A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1E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控制在预算内</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37A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C4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3E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万元/每项目</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F429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C93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16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D7830">
            <w:pPr>
              <w:jc w:val="center"/>
              <w:rPr>
                <w:rFonts w:hint="eastAsia" w:ascii="微软雅黑" w:hAnsi="微软雅黑" w:eastAsia="微软雅黑" w:cs="微软雅黑"/>
                <w:i/>
                <w:iCs/>
                <w:color w:val="000000"/>
                <w:sz w:val="16"/>
                <w:szCs w:val="16"/>
                <w:highlight w:val="none"/>
                <w:u w:val="none"/>
              </w:rPr>
            </w:pPr>
          </w:p>
        </w:tc>
      </w:tr>
      <w:tr w14:paraId="5D65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C5A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C8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4FA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796C8">
            <w:pPr>
              <w:rPr>
                <w:rFonts w:hint="eastAsia" w:ascii="宋体" w:hAnsi="宋体" w:eastAsia="宋体" w:cs="宋体"/>
                <w:i w:val="0"/>
                <w:iCs w:val="0"/>
                <w:color w:val="000000"/>
                <w:sz w:val="18"/>
                <w:szCs w:val="18"/>
                <w:highlight w:val="none"/>
                <w:u w:val="none"/>
              </w:rPr>
            </w:pPr>
          </w:p>
        </w:tc>
      </w:tr>
      <w:tr w14:paraId="62B46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0E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842C69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深入落实对口支援工作，深化了浙阿两地交流合作，拓展阿坝州农副产品销售渠道，提升“净土阿坝”品牌知名度，通过“走出去”“引进来”的方式多方位的推介宣传我州农特产品</w:t>
            </w:r>
          </w:p>
        </w:tc>
      </w:tr>
      <w:tr w14:paraId="658A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4EC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80FD4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188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C85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60B6D9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413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AED08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0A0D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4AC5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0A09E17">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0B0DE194">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4087D77">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46F4C415">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4F751E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72FFAAAE">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2D259377">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D7B5AD1">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07EC9BA8">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5B8925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1CAF44F7">
            <w:pPr>
              <w:rPr>
                <w:rFonts w:hint="eastAsia" w:ascii="宋体" w:hAnsi="宋体" w:eastAsia="宋体" w:cs="宋体"/>
                <w:i w:val="0"/>
                <w:iCs w:val="0"/>
                <w:color w:val="000000"/>
                <w:sz w:val="18"/>
                <w:szCs w:val="18"/>
                <w:highlight w:val="none"/>
                <w:u w:val="none"/>
              </w:rPr>
            </w:pPr>
          </w:p>
        </w:tc>
      </w:tr>
      <w:tr w14:paraId="0D20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1BE358">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FFB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78D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40972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51320025T000012613823-对外交流合作中心工作经费</w:t>
            </w:r>
          </w:p>
        </w:tc>
      </w:tr>
      <w:tr w14:paraId="7A2AA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18D0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A444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40D24A5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DBB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F4A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B8CE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DFB3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300C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BB19C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7DB9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5061">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76AF8">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F20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通过在成都建立办公场所延伸工作触角，及时跟进项目，更好服务地方经济发展，2025年，力争实现招商引资到位资金110亿元以上。</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45BA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办公场地已入驻</w:t>
            </w:r>
          </w:p>
        </w:tc>
      </w:tr>
      <w:tr w14:paraId="10B5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DB23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BA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9C8F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办公场地已入驻</w:t>
            </w:r>
          </w:p>
        </w:tc>
      </w:tr>
      <w:tr w14:paraId="55D5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B8B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F7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4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27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1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5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3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34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75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C0E3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79BD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5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02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0F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A5B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DE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BE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F055">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2BD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557AE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A316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CD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BD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96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774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1B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A9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99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DF66F">
            <w:pPr>
              <w:rPr>
                <w:rFonts w:hint="eastAsia" w:ascii="黑体" w:hAnsi="黑体" w:eastAsia="黑体" w:cs="黑体"/>
                <w:i/>
                <w:iCs/>
                <w:color w:val="000000"/>
                <w:sz w:val="18"/>
                <w:szCs w:val="18"/>
                <w:highlight w:val="none"/>
                <w:u w:val="none"/>
              </w:rPr>
            </w:pPr>
          </w:p>
        </w:tc>
      </w:tr>
      <w:tr w14:paraId="7E11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811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F8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1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35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FC0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44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42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81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B93A7">
            <w:pPr>
              <w:rPr>
                <w:rFonts w:hint="eastAsia" w:ascii="黑体" w:hAnsi="黑体" w:eastAsia="黑体" w:cs="黑体"/>
                <w:i/>
                <w:iCs/>
                <w:color w:val="000000"/>
                <w:sz w:val="18"/>
                <w:szCs w:val="18"/>
                <w:highlight w:val="none"/>
                <w:u w:val="none"/>
              </w:rPr>
            </w:pPr>
          </w:p>
        </w:tc>
      </w:tr>
      <w:tr w14:paraId="30C3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ADA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A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6A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DA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87A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8C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4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41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71BA7">
            <w:pPr>
              <w:rPr>
                <w:rFonts w:hint="eastAsia" w:ascii="黑体" w:hAnsi="黑体" w:eastAsia="黑体" w:cs="黑体"/>
                <w:i/>
                <w:iCs/>
                <w:color w:val="000000"/>
                <w:sz w:val="18"/>
                <w:szCs w:val="18"/>
                <w:highlight w:val="none"/>
                <w:u w:val="none"/>
              </w:rPr>
            </w:pPr>
          </w:p>
        </w:tc>
      </w:tr>
      <w:tr w14:paraId="1887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6BA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1D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9C44">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7E8C">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DD8B5">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C6A8">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B9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06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7D36">
            <w:pPr>
              <w:rPr>
                <w:rFonts w:hint="eastAsia" w:ascii="黑体" w:hAnsi="黑体" w:eastAsia="黑体" w:cs="黑体"/>
                <w:i/>
                <w:iCs/>
                <w:color w:val="000000"/>
                <w:sz w:val="18"/>
                <w:szCs w:val="18"/>
                <w:highlight w:val="none"/>
                <w:u w:val="none"/>
              </w:rPr>
            </w:pPr>
          </w:p>
        </w:tc>
      </w:tr>
      <w:tr w14:paraId="5DAF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E2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03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6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1E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1F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68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EB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20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10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8A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298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29708">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70B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38B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8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与企业座谈交流次数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0F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F4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B1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4E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AA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09C3">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6299">
            <w:pPr>
              <w:jc w:val="center"/>
              <w:rPr>
                <w:rFonts w:hint="eastAsia" w:ascii="微软雅黑" w:hAnsi="微软雅黑" w:eastAsia="微软雅黑" w:cs="微软雅黑"/>
                <w:i/>
                <w:iCs/>
                <w:color w:val="000000"/>
                <w:sz w:val="16"/>
                <w:szCs w:val="16"/>
                <w:highlight w:val="none"/>
                <w:u w:val="none"/>
              </w:rPr>
            </w:pPr>
          </w:p>
        </w:tc>
      </w:tr>
      <w:tr w14:paraId="5F1B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22A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1BAA5">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AE023">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2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引进企业考察次数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6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F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BA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6DD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EC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D8FD">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E6C6">
            <w:pPr>
              <w:jc w:val="center"/>
              <w:rPr>
                <w:rFonts w:hint="eastAsia" w:ascii="微软雅黑" w:hAnsi="微软雅黑" w:eastAsia="微软雅黑" w:cs="微软雅黑"/>
                <w:i/>
                <w:iCs/>
                <w:color w:val="000000"/>
                <w:sz w:val="16"/>
                <w:szCs w:val="16"/>
                <w:highlight w:val="none"/>
                <w:u w:val="none"/>
              </w:rPr>
            </w:pPr>
          </w:p>
        </w:tc>
      </w:tr>
      <w:tr w14:paraId="42F0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7E58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18896">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99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43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政策咨询准确率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F4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95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55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9B3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C4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421C">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01D4">
            <w:pPr>
              <w:jc w:val="center"/>
              <w:rPr>
                <w:rFonts w:hint="eastAsia" w:ascii="微软雅黑" w:hAnsi="微软雅黑" w:eastAsia="微软雅黑" w:cs="微软雅黑"/>
                <w:i/>
                <w:iCs/>
                <w:color w:val="000000"/>
                <w:sz w:val="16"/>
                <w:szCs w:val="16"/>
                <w:highlight w:val="none"/>
                <w:u w:val="none"/>
              </w:rPr>
            </w:pPr>
          </w:p>
        </w:tc>
      </w:tr>
      <w:tr w14:paraId="5CE6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BFA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509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7C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CD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项目入驻时长</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94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30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63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A64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AB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5EB7">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9D22">
            <w:pPr>
              <w:jc w:val="center"/>
              <w:rPr>
                <w:rFonts w:hint="eastAsia" w:ascii="微软雅黑" w:hAnsi="微软雅黑" w:eastAsia="微软雅黑" w:cs="微软雅黑"/>
                <w:i/>
                <w:iCs/>
                <w:color w:val="000000"/>
                <w:sz w:val="16"/>
                <w:szCs w:val="16"/>
                <w:highlight w:val="none"/>
                <w:u w:val="none"/>
              </w:rPr>
            </w:pPr>
          </w:p>
        </w:tc>
      </w:tr>
      <w:tr w14:paraId="6191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902C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57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57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6D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提供政策解答与企业咨询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12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1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政策解答情况良好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C49F">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2BD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良好</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91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64B0">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E069">
            <w:pPr>
              <w:jc w:val="center"/>
              <w:rPr>
                <w:rFonts w:hint="eastAsia" w:ascii="微软雅黑" w:hAnsi="微软雅黑" w:eastAsia="微软雅黑" w:cs="微软雅黑"/>
                <w:i/>
                <w:iCs/>
                <w:color w:val="000000"/>
                <w:sz w:val="16"/>
                <w:szCs w:val="16"/>
                <w:highlight w:val="none"/>
                <w:u w:val="none"/>
              </w:rPr>
            </w:pPr>
          </w:p>
        </w:tc>
      </w:tr>
      <w:tr w14:paraId="40DF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9A6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E5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9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7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E5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9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CB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0AE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A3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5E80">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6FE2">
            <w:pPr>
              <w:jc w:val="center"/>
              <w:rPr>
                <w:rFonts w:hint="eastAsia" w:ascii="微软雅黑" w:hAnsi="微软雅黑" w:eastAsia="微软雅黑" w:cs="微软雅黑"/>
                <w:i/>
                <w:iCs/>
                <w:color w:val="000000"/>
                <w:sz w:val="16"/>
                <w:szCs w:val="16"/>
                <w:highlight w:val="none"/>
                <w:u w:val="none"/>
              </w:rPr>
            </w:pPr>
          </w:p>
        </w:tc>
      </w:tr>
      <w:tr w14:paraId="2F2D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9EDC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09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22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F0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CE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8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7A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D23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6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FD7D">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FA26">
            <w:pPr>
              <w:jc w:val="center"/>
              <w:rPr>
                <w:rFonts w:hint="eastAsia" w:ascii="微软雅黑" w:hAnsi="微软雅黑" w:eastAsia="微软雅黑" w:cs="微软雅黑"/>
                <w:i/>
                <w:iCs/>
                <w:color w:val="000000"/>
                <w:sz w:val="16"/>
                <w:szCs w:val="16"/>
                <w:highlight w:val="none"/>
                <w:u w:val="none"/>
              </w:rPr>
            </w:pPr>
          </w:p>
        </w:tc>
      </w:tr>
      <w:tr w14:paraId="74E4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9003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EB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0C2E">
            <w:pP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9EBA">
            <w:pPr>
              <w:rPr>
                <w:rFonts w:hint="eastAsia" w:ascii="宋体" w:hAnsi="宋体" w:eastAsia="宋体" w:cs="宋体"/>
                <w:i w:val="0"/>
                <w:iCs w:val="0"/>
                <w:color w:val="000000"/>
                <w:sz w:val="18"/>
                <w:szCs w:val="18"/>
                <w:highlight w:val="none"/>
                <w:u w:val="none"/>
              </w:rPr>
            </w:pPr>
          </w:p>
        </w:tc>
      </w:tr>
      <w:tr w14:paraId="50B8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84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613C3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该项目自评得分100分，上半年已拨付房租70.12万元，下半年因机构改革，职能职责划转至州经济合作外事局，相关经费一并划转。</w:t>
            </w:r>
          </w:p>
        </w:tc>
      </w:tr>
      <w:tr w14:paraId="25E4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AEAC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8FD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4C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2B229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699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2107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项目负责人：熊焕玉</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6E6F2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24AC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2C99C3B">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4B07638C">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4F00321C">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5A4FF365">
            <w:pPr>
              <w:rPr>
                <w:rFonts w:hint="eastAsia" w:ascii="宋体" w:hAnsi="宋体" w:eastAsia="宋体" w:cs="宋体"/>
                <w:i w:val="0"/>
                <w:iCs w:val="0"/>
                <w:color w:val="000000"/>
                <w:sz w:val="18"/>
                <w:szCs w:val="18"/>
                <w:highlight w:val="none"/>
                <w:u w:val="none"/>
              </w:rPr>
            </w:pPr>
          </w:p>
          <w:p w14:paraId="759D9D5B">
            <w:pPr>
              <w:rPr>
                <w:rFonts w:hint="eastAsia" w:ascii="宋体" w:hAnsi="宋体" w:eastAsia="宋体" w:cs="宋体"/>
                <w:i w:val="0"/>
                <w:iCs w:val="0"/>
                <w:color w:val="000000"/>
                <w:sz w:val="18"/>
                <w:szCs w:val="18"/>
                <w:highlight w:val="none"/>
                <w:u w:val="none"/>
              </w:rPr>
            </w:pPr>
          </w:p>
          <w:p w14:paraId="46FD43E3">
            <w:pPr>
              <w:rPr>
                <w:rFonts w:hint="eastAsia" w:ascii="宋体" w:hAnsi="宋体" w:eastAsia="宋体" w:cs="宋体"/>
                <w:i w:val="0"/>
                <w:iCs w:val="0"/>
                <w:color w:val="000000"/>
                <w:sz w:val="18"/>
                <w:szCs w:val="18"/>
                <w:highlight w:val="none"/>
                <w:u w:val="none"/>
              </w:rPr>
            </w:pPr>
          </w:p>
          <w:p w14:paraId="329FFB93">
            <w:pPr>
              <w:rPr>
                <w:rFonts w:hint="eastAsia" w:ascii="宋体" w:hAnsi="宋体" w:eastAsia="宋体" w:cs="宋体"/>
                <w:i w:val="0"/>
                <w:iCs w:val="0"/>
                <w:color w:val="000000"/>
                <w:sz w:val="18"/>
                <w:szCs w:val="18"/>
                <w:highlight w:val="none"/>
                <w:u w:val="none"/>
              </w:rPr>
            </w:pPr>
          </w:p>
          <w:p w14:paraId="00D1EDD1">
            <w:pPr>
              <w:rPr>
                <w:rFonts w:hint="eastAsia" w:ascii="宋体" w:hAnsi="宋体" w:eastAsia="宋体" w:cs="宋体"/>
                <w:i w:val="0"/>
                <w:iCs w:val="0"/>
                <w:color w:val="000000"/>
                <w:sz w:val="18"/>
                <w:szCs w:val="18"/>
                <w:highlight w:val="none"/>
                <w:u w:val="none"/>
              </w:rPr>
            </w:pPr>
          </w:p>
          <w:p w14:paraId="22D77B6C">
            <w:pPr>
              <w:rPr>
                <w:rFonts w:hint="eastAsia" w:ascii="宋体" w:hAnsi="宋体" w:eastAsia="宋体" w:cs="宋体"/>
                <w:i w:val="0"/>
                <w:iCs w:val="0"/>
                <w:color w:val="000000"/>
                <w:sz w:val="18"/>
                <w:szCs w:val="18"/>
                <w:highlight w:val="none"/>
                <w:u w:val="none"/>
              </w:rPr>
            </w:pPr>
          </w:p>
          <w:p w14:paraId="2D7B1B5F">
            <w:pPr>
              <w:rPr>
                <w:rFonts w:hint="eastAsia" w:ascii="宋体" w:hAnsi="宋体" w:eastAsia="宋体" w:cs="宋体"/>
                <w:i w:val="0"/>
                <w:iCs w:val="0"/>
                <w:color w:val="000000"/>
                <w:sz w:val="18"/>
                <w:szCs w:val="18"/>
                <w:highlight w:val="none"/>
                <w:u w:val="none"/>
              </w:rPr>
            </w:pPr>
          </w:p>
          <w:p w14:paraId="1E7C1404">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9657718">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52DF142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40884522">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F0CD84A">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7549F353">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3EC80670">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F7F9195">
            <w:pPr>
              <w:rPr>
                <w:rFonts w:hint="eastAsia" w:ascii="宋体" w:hAnsi="宋体" w:eastAsia="宋体" w:cs="宋体"/>
                <w:i w:val="0"/>
                <w:iCs w:val="0"/>
                <w:color w:val="000000"/>
                <w:sz w:val="18"/>
                <w:szCs w:val="18"/>
                <w:highlight w:val="none"/>
                <w:u w:val="none"/>
              </w:rPr>
            </w:pPr>
          </w:p>
        </w:tc>
      </w:tr>
      <w:tr w14:paraId="5BC59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CB346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4E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AE64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A1EF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51320025T000013635049-参加第二十届西部国际博览会阿坝州活动经费</w:t>
            </w:r>
          </w:p>
        </w:tc>
      </w:tr>
      <w:tr w14:paraId="2356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37C9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25E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477457E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5C8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811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1EB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1D1B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B063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D0611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DE4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F715">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C357A">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C8C61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参展布展，充分展示我州产业发展成果、资源优势和发展潜力。通过举办投资合作推介会，架起我州与外界经济合作和交流的桥梁，让国内外客商了解阿坝、走进阿坝、投资阿坝，对支持我州经济社会高质量发展具有重要意义。</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533BD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第二十届中国西部国际博览会（以下简称“西博会”）于2025年5月25日至29日在成都西博城举行，我州以“天下九寨沟·大美阿坝州”为主题开展综合展览展示，举办了第二十届西博会“天下九寨沟·大美阿坝州”投资合作推介会暨项目签约仪式、第11届成都-阿坝农商互联联保联供对接活动等，参会参展工作取得圆满成功。</w:t>
            </w:r>
          </w:p>
        </w:tc>
      </w:tr>
      <w:tr w14:paraId="021B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C9D25">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A3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873C6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项目实施过程中严格控制预算，相关采购严格按政府采购要求执行。</w:t>
            </w:r>
          </w:p>
        </w:tc>
      </w:tr>
      <w:tr w14:paraId="1854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FCF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F9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B0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2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BC8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8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0A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59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3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3EB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E7F8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9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9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AC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06B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D3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56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FA87">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75BE2">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454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2026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57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7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DC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44B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0B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C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28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ECFD2">
            <w:pPr>
              <w:rPr>
                <w:rFonts w:hint="eastAsia" w:ascii="黑体" w:hAnsi="黑体" w:eastAsia="黑体" w:cs="黑体"/>
                <w:i/>
                <w:iCs/>
                <w:color w:val="000000"/>
                <w:sz w:val="18"/>
                <w:szCs w:val="18"/>
                <w:highlight w:val="none"/>
                <w:u w:val="none"/>
              </w:rPr>
            </w:pPr>
          </w:p>
        </w:tc>
      </w:tr>
      <w:tr w14:paraId="4D74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BF2E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03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4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D59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57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40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B1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73F6">
            <w:pPr>
              <w:rPr>
                <w:rFonts w:hint="eastAsia" w:ascii="黑体" w:hAnsi="黑体" w:eastAsia="黑体" w:cs="黑体"/>
                <w:i/>
                <w:iCs/>
                <w:color w:val="000000"/>
                <w:sz w:val="18"/>
                <w:szCs w:val="18"/>
                <w:highlight w:val="none"/>
                <w:u w:val="none"/>
              </w:rPr>
            </w:pPr>
          </w:p>
        </w:tc>
      </w:tr>
      <w:tr w14:paraId="54332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49A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DC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35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6A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824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4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B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54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BB7C">
            <w:pPr>
              <w:rPr>
                <w:rFonts w:hint="eastAsia" w:ascii="黑体" w:hAnsi="黑体" w:eastAsia="黑体" w:cs="黑体"/>
                <w:i/>
                <w:iCs/>
                <w:color w:val="000000"/>
                <w:sz w:val="18"/>
                <w:szCs w:val="18"/>
                <w:highlight w:val="none"/>
                <w:u w:val="none"/>
              </w:rPr>
            </w:pPr>
          </w:p>
        </w:tc>
      </w:tr>
      <w:tr w14:paraId="5D4F5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C94C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42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9E5">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5356">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1B0F2">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DCFC">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1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8BA48">
            <w:pPr>
              <w:rPr>
                <w:rFonts w:hint="eastAsia" w:ascii="黑体" w:hAnsi="黑体" w:eastAsia="黑体" w:cs="黑体"/>
                <w:i/>
                <w:iCs/>
                <w:color w:val="000000"/>
                <w:sz w:val="18"/>
                <w:szCs w:val="18"/>
                <w:highlight w:val="none"/>
                <w:u w:val="none"/>
              </w:rPr>
            </w:pPr>
          </w:p>
        </w:tc>
      </w:tr>
      <w:tr w14:paraId="0E12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EF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6E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36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7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54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A8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A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FF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46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68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A0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4C9C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FDED">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FE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08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A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推介会举办次数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56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23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92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D37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01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F355">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E9CB">
            <w:pPr>
              <w:jc w:val="center"/>
              <w:rPr>
                <w:rFonts w:hint="eastAsia" w:ascii="微软雅黑" w:hAnsi="微软雅黑" w:eastAsia="微软雅黑" w:cs="微软雅黑"/>
                <w:i/>
                <w:iCs/>
                <w:color w:val="000000"/>
                <w:sz w:val="16"/>
                <w:szCs w:val="16"/>
                <w:highlight w:val="none"/>
                <w:u w:val="none"/>
              </w:rPr>
            </w:pPr>
          </w:p>
        </w:tc>
      </w:tr>
      <w:tr w14:paraId="14B4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F465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175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C9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26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活动按时完成率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54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2C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4F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3441">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FD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1ACE">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F378">
            <w:pPr>
              <w:jc w:val="center"/>
              <w:rPr>
                <w:rFonts w:hint="eastAsia" w:ascii="微软雅黑" w:hAnsi="微软雅黑" w:eastAsia="微软雅黑" w:cs="微软雅黑"/>
                <w:i/>
                <w:iCs/>
                <w:color w:val="000000"/>
                <w:sz w:val="16"/>
                <w:szCs w:val="16"/>
                <w:highlight w:val="none"/>
                <w:u w:val="none"/>
              </w:rPr>
            </w:pPr>
          </w:p>
        </w:tc>
      </w:tr>
      <w:tr w14:paraId="7474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E95E1">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5D5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41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3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扩大对外交流合作，助推我州经济发展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C6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16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25B">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9353">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5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46B">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F8F0">
            <w:pPr>
              <w:jc w:val="center"/>
              <w:rPr>
                <w:rFonts w:hint="eastAsia" w:ascii="微软雅黑" w:hAnsi="微软雅黑" w:eastAsia="微软雅黑" w:cs="微软雅黑"/>
                <w:i/>
                <w:iCs/>
                <w:color w:val="000000"/>
                <w:sz w:val="16"/>
                <w:szCs w:val="16"/>
                <w:highlight w:val="none"/>
                <w:u w:val="none"/>
              </w:rPr>
            </w:pPr>
          </w:p>
        </w:tc>
      </w:tr>
      <w:tr w14:paraId="2B75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D6B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63786">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8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9B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宣传阿坝州，吸引客商投资阿坝州</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7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0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4B41">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8F52">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C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7796">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3F82">
            <w:pPr>
              <w:jc w:val="center"/>
              <w:rPr>
                <w:rFonts w:hint="eastAsia" w:ascii="微软雅黑" w:hAnsi="微软雅黑" w:eastAsia="微软雅黑" w:cs="微软雅黑"/>
                <w:i/>
                <w:iCs/>
                <w:color w:val="000000"/>
                <w:sz w:val="16"/>
                <w:szCs w:val="16"/>
                <w:highlight w:val="none"/>
                <w:u w:val="none"/>
              </w:rPr>
            </w:pPr>
          </w:p>
        </w:tc>
      </w:tr>
      <w:tr w14:paraId="74575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4D4F">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18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F99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37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参会参展企业满意度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06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22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DA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2B4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36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F9C5">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D2FB">
            <w:pPr>
              <w:jc w:val="center"/>
              <w:rPr>
                <w:rFonts w:hint="eastAsia" w:ascii="微软雅黑" w:hAnsi="微软雅黑" w:eastAsia="微软雅黑" w:cs="微软雅黑"/>
                <w:i/>
                <w:iCs/>
                <w:color w:val="000000"/>
                <w:sz w:val="16"/>
                <w:szCs w:val="16"/>
                <w:highlight w:val="none"/>
                <w:u w:val="none"/>
              </w:rPr>
            </w:pPr>
          </w:p>
        </w:tc>
      </w:tr>
      <w:tr w14:paraId="5883D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BB3D0">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AE12B">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C153D">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DE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客商满意度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C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1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4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40F0">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E0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295C">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7402">
            <w:pPr>
              <w:jc w:val="center"/>
              <w:rPr>
                <w:rFonts w:hint="eastAsia" w:ascii="微软雅黑" w:hAnsi="微软雅黑" w:eastAsia="微软雅黑" w:cs="微软雅黑"/>
                <w:i/>
                <w:iCs/>
                <w:color w:val="000000"/>
                <w:sz w:val="16"/>
                <w:szCs w:val="16"/>
                <w:highlight w:val="none"/>
                <w:u w:val="none"/>
              </w:rPr>
            </w:pPr>
          </w:p>
        </w:tc>
      </w:tr>
      <w:tr w14:paraId="16B2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2F51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05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C4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1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控制预算</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50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BB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572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0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E5A0">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AB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7044">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7CCE">
            <w:pPr>
              <w:jc w:val="center"/>
              <w:rPr>
                <w:rFonts w:hint="eastAsia" w:ascii="微软雅黑" w:hAnsi="微软雅黑" w:eastAsia="微软雅黑" w:cs="微软雅黑"/>
                <w:i/>
                <w:iCs/>
                <w:color w:val="000000"/>
                <w:sz w:val="16"/>
                <w:szCs w:val="16"/>
                <w:highlight w:val="none"/>
                <w:u w:val="none"/>
              </w:rPr>
            </w:pPr>
          </w:p>
        </w:tc>
      </w:tr>
      <w:tr w14:paraId="5AC7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F6AD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57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16C6">
            <w:pP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6677">
            <w:pPr>
              <w:rPr>
                <w:rFonts w:hint="eastAsia" w:ascii="宋体" w:hAnsi="宋体" w:eastAsia="宋体" w:cs="宋体"/>
                <w:i w:val="0"/>
                <w:iCs w:val="0"/>
                <w:color w:val="000000"/>
                <w:sz w:val="18"/>
                <w:szCs w:val="18"/>
                <w:highlight w:val="none"/>
                <w:u w:val="none"/>
              </w:rPr>
            </w:pPr>
          </w:p>
        </w:tc>
      </w:tr>
      <w:tr w14:paraId="40AE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88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45723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Style w:val="38"/>
                <w:highlight w:val="none"/>
                <w:lang w:val="en-US" w:eastAsia="zh-CN" w:bidi="ar"/>
              </w:rPr>
              <w:t>项目自评得分100分，成功举办第二十届西博会“天下九寨沟·大美阿坝州”投资合作推介会暨项目签约仪式，签订了商业综合体等产业领域项目21个，协议引资额138亿元，四川省低空经济智算中心（一期）项目在中国西部投资说明会暨经济合作项目签约仪式上成功签约，协议引资总额13.8亿元，茂县新能源高端装备制造（一期）项目纳入省级签约活动成果统计，较上届西博会相比实现省级平台签约项目“零突破”。西博会期间，阿坝州综合展馆参展企业实现销售额152.3万元，较上届西博会（53.7万元）增长183.6%，达成意向购销合作58个。借西博会平台，我局与成都、德阳、眉山、资阳商务局五地联动，在成都开展“四川好物</w:t>
            </w:r>
            <w:r>
              <w:rPr>
                <w:rStyle w:val="39"/>
                <w:rFonts w:eastAsia="微软雅黑"/>
                <w:highlight w:val="none"/>
                <w:lang w:val="en-US" w:eastAsia="zh-CN" w:bidi="ar"/>
              </w:rPr>
              <w:t> </w:t>
            </w:r>
            <w:r>
              <w:rPr>
                <w:rStyle w:val="38"/>
                <w:highlight w:val="none"/>
                <w:lang w:val="en-US" w:eastAsia="zh-CN" w:bidi="ar"/>
              </w:rPr>
              <w:t>联动出川”系列活动，60余家成德眉资和我州企业参加，活动通过走进西博会阿坝展馆现场选品、企业推介和座谈交流、实地考察供应链企业等形式开展，第11届成都-阿坝农商互联联保联供对接活动同步举行，达成购销合作协议5个，协议金额1.1亿元，涵盖牦牛肉制品、牦牛乳系列产品、高原果蔬等。</w:t>
            </w:r>
          </w:p>
        </w:tc>
      </w:tr>
      <w:tr w14:paraId="79F2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75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71198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ECD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E0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76A1C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3FD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AF2E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项目负责人：柯正刚</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3AA4F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E7E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39E0C948">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612341FB">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5CD0B747">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3C781E6D">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1FB1556A">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194978D2">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A767BEA">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0D8A366D">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71017CEC">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344EE3AA">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18A6B12">
            <w:pPr>
              <w:rPr>
                <w:rFonts w:hint="eastAsia" w:ascii="宋体" w:hAnsi="宋体" w:eastAsia="宋体" w:cs="宋体"/>
                <w:i w:val="0"/>
                <w:iCs w:val="0"/>
                <w:color w:val="000000"/>
                <w:sz w:val="18"/>
                <w:szCs w:val="18"/>
                <w:highlight w:val="none"/>
                <w:u w:val="none"/>
              </w:rPr>
            </w:pPr>
          </w:p>
        </w:tc>
      </w:tr>
      <w:tr w14:paraId="48C1B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7D9A05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D30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726C4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8994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51320025T000013760432-2025年浙江援建资金-净土阿坝品牌培育及净土阿坝馆运维项目</w:t>
            </w:r>
          </w:p>
        </w:tc>
      </w:tr>
      <w:tr w14:paraId="47532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62F8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8945B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0DBCDD2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A4F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4073C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2D64B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76248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0E7E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07BD3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FD5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2DDE9">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7FFA4">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1A00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依托浙江市场优势，提升“净土阿坝”品牌知名度，推动净土阿坝产品的准入体系、品控体系、营销体系、和服务体系打造，运维好东部净土阿坝馆和净土阿坝旗舰店。</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8194F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通过“走出去”“引进来”组织开展了2025年“净土阿坝”产品消费帮扶推介会-温州站、杭州站、茂县站活动，推动阿坝州中药材、生鲜果蔬、手工艺品等特色产品进入浙江主流销售渠道，建立长期供货机制。</w:t>
            </w:r>
          </w:p>
        </w:tc>
      </w:tr>
      <w:tr w14:paraId="426C1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6C661D">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3A8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9336C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w:t>
            </w:r>
          </w:p>
        </w:tc>
      </w:tr>
      <w:tr w14:paraId="5F822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E92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D4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BE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0C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A85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224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54C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C4C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46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2C6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8ECC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274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78B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FFD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642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48.16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CBE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96.31%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76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7256E">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44E48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DB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D2A3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89B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107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E8C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980B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48.16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F7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96.31%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F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AA6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225FB">
            <w:pPr>
              <w:rPr>
                <w:rFonts w:hint="eastAsia" w:ascii="黑体" w:hAnsi="黑体" w:eastAsia="黑体" w:cs="黑体"/>
                <w:i/>
                <w:iCs/>
                <w:color w:val="000000"/>
                <w:sz w:val="18"/>
                <w:szCs w:val="18"/>
                <w:highlight w:val="none"/>
                <w:u w:val="none"/>
              </w:rPr>
            </w:pPr>
          </w:p>
        </w:tc>
      </w:tr>
      <w:tr w14:paraId="7183F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C257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57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FE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713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5D9B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A0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B9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B56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263A4">
            <w:pPr>
              <w:rPr>
                <w:rFonts w:hint="eastAsia" w:ascii="黑体" w:hAnsi="黑体" w:eastAsia="黑体" w:cs="黑体"/>
                <w:i/>
                <w:iCs/>
                <w:color w:val="000000"/>
                <w:sz w:val="18"/>
                <w:szCs w:val="18"/>
                <w:highlight w:val="none"/>
                <w:u w:val="none"/>
              </w:rPr>
            </w:pPr>
          </w:p>
        </w:tc>
      </w:tr>
      <w:tr w14:paraId="31EB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8765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7E2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72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8FF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BCA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335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A1B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02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B1257">
            <w:pPr>
              <w:rPr>
                <w:rFonts w:hint="eastAsia" w:ascii="黑体" w:hAnsi="黑体" w:eastAsia="黑体" w:cs="黑体"/>
                <w:i/>
                <w:iCs/>
                <w:color w:val="000000"/>
                <w:sz w:val="18"/>
                <w:szCs w:val="18"/>
                <w:highlight w:val="none"/>
                <w:u w:val="none"/>
              </w:rPr>
            </w:pPr>
          </w:p>
        </w:tc>
      </w:tr>
      <w:tr w14:paraId="729C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CAF5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88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C71AB">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B1855">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3BD055">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C64C">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55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C4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21EFE">
            <w:pPr>
              <w:rPr>
                <w:rFonts w:hint="eastAsia" w:ascii="黑体" w:hAnsi="黑体" w:eastAsia="黑体" w:cs="黑体"/>
                <w:i/>
                <w:iCs/>
                <w:color w:val="000000"/>
                <w:sz w:val="18"/>
                <w:szCs w:val="18"/>
                <w:highlight w:val="none"/>
                <w:u w:val="none"/>
              </w:rPr>
            </w:pPr>
          </w:p>
        </w:tc>
      </w:tr>
      <w:tr w14:paraId="0272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5541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FD5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0C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757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BD0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CA2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4C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E8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5BF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23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E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246A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543E">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FFBD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3DD9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903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开展产销对接活动</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FD7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B5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3B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8DB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AB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7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5C8A8">
            <w:pPr>
              <w:jc w:val="center"/>
              <w:rPr>
                <w:rFonts w:hint="eastAsia" w:ascii="微软雅黑" w:hAnsi="微软雅黑" w:eastAsia="微软雅黑" w:cs="微软雅黑"/>
                <w:i/>
                <w:iCs/>
                <w:color w:val="000000"/>
                <w:sz w:val="16"/>
                <w:szCs w:val="16"/>
                <w:highlight w:val="none"/>
                <w:u w:val="none"/>
              </w:rPr>
            </w:pPr>
          </w:p>
        </w:tc>
      </w:tr>
      <w:tr w14:paraId="7167B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3E09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E1234">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7CF1C">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7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组织企业参会参展</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AC8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38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8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7D5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414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A32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2AD39">
            <w:pPr>
              <w:jc w:val="center"/>
              <w:rPr>
                <w:rFonts w:hint="eastAsia" w:ascii="微软雅黑" w:hAnsi="微软雅黑" w:eastAsia="微软雅黑" w:cs="微软雅黑"/>
                <w:i/>
                <w:iCs/>
                <w:color w:val="000000"/>
                <w:sz w:val="16"/>
                <w:szCs w:val="16"/>
                <w:highlight w:val="none"/>
                <w:u w:val="none"/>
              </w:rPr>
            </w:pPr>
          </w:p>
        </w:tc>
      </w:tr>
      <w:tr w14:paraId="43B8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912B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02F6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41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22E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活动开展率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87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EBF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EE9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3BA1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F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7C8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0F8E">
            <w:pPr>
              <w:jc w:val="center"/>
              <w:rPr>
                <w:rFonts w:hint="eastAsia" w:ascii="微软雅黑" w:hAnsi="微软雅黑" w:eastAsia="微软雅黑" w:cs="微软雅黑"/>
                <w:i/>
                <w:iCs/>
                <w:color w:val="000000"/>
                <w:sz w:val="16"/>
                <w:szCs w:val="16"/>
                <w:highlight w:val="none"/>
                <w:u w:val="none"/>
              </w:rPr>
            </w:pPr>
          </w:p>
        </w:tc>
      </w:tr>
      <w:tr w14:paraId="203F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CD76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6BBD4">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FE6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882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项目开展及时率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6F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80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21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21B7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3FB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0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F9514">
            <w:pPr>
              <w:jc w:val="center"/>
              <w:rPr>
                <w:rFonts w:hint="eastAsia" w:ascii="微软雅黑" w:hAnsi="微软雅黑" w:eastAsia="微软雅黑" w:cs="微软雅黑"/>
                <w:i/>
                <w:iCs/>
                <w:color w:val="000000"/>
                <w:sz w:val="16"/>
                <w:szCs w:val="16"/>
                <w:highlight w:val="none"/>
                <w:u w:val="none"/>
              </w:rPr>
            </w:pPr>
          </w:p>
        </w:tc>
      </w:tr>
      <w:tr w14:paraId="00D80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A789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59B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E00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D8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提升净土阿坝品牌知名度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FE5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1E2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7018">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5C49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D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222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39B8">
            <w:pPr>
              <w:jc w:val="center"/>
              <w:rPr>
                <w:rFonts w:hint="eastAsia" w:ascii="微软雅黑" w:hAnsi="微软雅黑" w:eastAsia="微软雅黑" w:cs="微软雅黑"/>
                <w:i/>
                <w:iCs/>
                <w:color w:val="000000"/>
                <w:sz w:val="16"/>
                <w:szCs w:val="16"/>
                <w:highlight w:val="none"/>
                <w:u w:val="none"/>
              </w:rPr>
            </w:pPr>
          </w:p>
        </w:tc>
      </w:tr>
      <w:tr w14:paraId="009E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2CCC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2C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96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EF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帮扶企业满意度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38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8C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794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37B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72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1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75CE">
            <w:pPr>
              <w:jc w:val="center"/>
              <w:rPr>
                <w:rFonts w:hint="eastAsia" w:ascii="微软雅黑" w:hAnsi="微软雅黑" w:eastAsia="微软雅黑" w:cs="微软雅黑"/>
                <w:i/>
                <w:iCs/>
                <w:color w:val="000000"/>
                <w:sz w:val="16"/>
                <w:szCs w:val="16"/>
                <w:highlight w:val="none"/>
                <w:u w:val="none"/>
              </w:rPr>
            </w:pPr>
          </w:p>
        </w:tc>
      </w:tr>
      <w:tr w14:paraId="2E78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946C9">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E75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64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59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控制在预算内</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501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E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5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E37D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48.16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A5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EF8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17C8F">
            <w:pPr>
              <w:jc w:val="center"/>
              <w:rPr>
                <w:rFonts w:hint="eastAsia" w:ascii="微软雅黑" w:hAnsi="微软雅黑" w:eastAsia="微软雅黑" w:cs="微软雅黑"/>
                <w:i/>
                <w:iCs/>
                <w:color w:val="000000"/>
                <w:sz w:val="16"/>
                <w:szCs w:val="16"/>
                <w:highlight w:val="none"/>
                <w:u w:val="none"/>
              </w:rPr>
            </w:pPr>
          </w:p>
        </w:tc>
      </w:tr>
      <w:tr w14:paraId="098D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75F5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141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3623">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97F19">
            <w:pPr>
              <w:rPr>
                <w:rFonts w:hint="eastAsia" w:ascii="宋体" w:hAnsi="宋体" w:eastAsia="宋体" w:cs="宋体"/>
                <w:i w:val="0"/>
                <w:iCs w:val="0"/>
                <w:color w:val="000000"/>
                <w:sz w:val="18"/>
                <w:szCs w:val="18"/>
                <w:highlight w:val="none"/>
                <w:u w:val="none"/>
              </w:rPr>
            </w:pPr>
          </w:p>
        </w:tc>
      </w:tr>
      <w:tr w14:paraId="0C2FF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4BA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501324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深入落实对口支援工作，深化了浙阿两地交流合作，拓展阿坝州农副产品销售渠道，提升“净土阿坝”品牌知名度，通过“走出去”“引进来”的方式多方位的推介宣传我州农特产品</w:t>
            </w:r>
          </w:p>
        </w:tc>
      </w:tr>
      <w:tr w14:paraId="361D7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85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E8820E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BA8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7A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B51872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613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876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5A9DF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bl>
    <w:p w14:paraId="4A67F47F">
      <w:pPr>
        <w:pStyle w:val="10"/>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微软雅黑"/>
          <w:color w:val="auto"/>
          <w:kern w:val="2"/>
          <w:sz w:val="44"/>
          <w:szCs w:val="44"/>
          <w:highlight w:val="none"/>
          <w:lang w:val="en-US" w:eastAsia="zh-CN"/>
        </w:rPr>
      </w:pPr>
    </w:p>
    <w:p w14:paraId="0AACA9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阿坝州商务局</w:t>
      </w:r>
    </w:p>
    <w:p w14:paraId="2779A44E">
      <w:pPr>
        <w:keepNext w:val="0"/>
        <w:keepLines w:val="0"/>
        <w:pageBreakBefore w:val="0"/>
        <w:widowControl w:val="0"/>
        <w:suppressLineNumbers w:val="0"/>
        <w:suppressAutoHyphens w:val="0"/>
        <w:kinsoku/>
        <w:wordWrap/>
        <w:overflowPunct/>
        <w:topLinePunct w:val="0"/>
        <w:autoSpaceDE/>
        <w:autoSpaceDN/>
        <w:bidi w:val="0"/>
        <w:spacing w:line="560" w:lineRule="exact"/>
        <w:ind w:left="0"/>
        <w:jc w:val="center"/>
        <w:textAlignment w:val="auto"/>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2025年促进消费恢复发展专项资金</w:t>
      </w:r>
    </w:p>
    <w:p w14:paraId="039F3483">
      <w:pPr>
        <w:keepNext w:val="0"/>
        <w:keepLines w:val="0"/>
        <w:pageBreakBefore w:val="0"/>
        <w:widowControl w:val="0"/>
        <w:suppressLineNumbers w:val="0"/>
        <w:suppressAutoHyphens w:val="0"/>
        <w:kinsoku/>
        <w:wordWrap/>
        <w:overflowPunct/>
        <w:topLinePunct w:val="0"/>
        <w:autoSpaceDE/>
        <w:autoSpaceDN/>
        <w:bidi w:val="0"/>
        <w:spacing w:line="560" w:lineRule="exact"/>
        <w:ind w:left="0"/>
        <w:jc w:val="center"/>
        <w:textAlignment w:val="auto"/>
        <w:rPr>
          <w:rFonts w:hint="default" w:ascii="Times New Roman" w:hAnsi="Times New Roman" w:eastAsia="方正仿宋_GBK" w:cs="Times New Roman"/>
          <w:color w:val="000000"/>
          <w:kern w:val="2"/>
          <w:sz w:val="32"/>
          <w:szCs w:val="32"/>
          <w:highlight w:val="none"/>
          <w:lang w:val="zh-CN" w:eastAsia="zh-CN" w:bidi="ar-SA"/>
        </w:rPr>
      </w:pPr>
      <w:r>
        <w:rPr>
          <w:rFonts w:hint="default" w:ascii="Times New Roman" w:hAnsi="Times New Roman" w:eastAsia="方正小标宋_GBK" w:cs="Times New Roman"/>
          <w:color w:val="auto"/>
          <w:kern w:val="2"/>
          <w:sz w:val="44"/>
          <w:szCs w:val="44"/>
          <w:highlight w:val="none"/>
          <w:lang w:val="en-US" w:eastAsia="zh-CN" w:bidi="ar-SA"/>
        </w:rPr>
        <w:t>绩效评价报告</w:t>
      </w:r>
    </w:p>
    <w:p w14:paraId="53A2CF65">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一、项目概况</w:t>
      </w:r>
    </w:p>
    <w:p w14:paraId="201FDDBE">
      <w:pPr>
        <w:keepNext w:val="0"/>
        <w:keepLines w:val="0"/>
        <w:pageBreakBefore w:val="0"/>
        <w:widowControl/>
        <w:suppressLineNumbers w:val="0"/>
        <w:suppressAutoHyphens w:val="0"/>
        <w:kinsoku/>
        <w:wordWrap/>
        <w:overflowPunct/>
        <w:topLinePunct w:val="0"/>
        <w:autoSpaceDE/>
        <w:autoSpaceDN/>
        <w:bidi w:val="0"/>
        <w:adjustRightInd w:val="0"/>
        <w:snapToGrid w:val="0"/>
        <w:spacing w:line="560" w:lineRule="exact"/>
        <w:ind w:left="0" w:firstLine="643" w:firstLineChars="200"/>
        <w:contextualSpacing/>
        <w:jc w:val="left"/>
        <w:textAlignment w:val="auto"/>
        <w:rPr>
          <w:rFonts w:hint="default" w:ascii="Times New Roman" w:hAnsi="Times New Roman" w:eastAsia="方正仿宋_GBK" w:cs="Times New Roman"/>
          <w:kern w:val="0"/>
          <w:sz w:val="32"/>
          <w:szCs w:val="32"/>
          <w:highlight w:val="none"/>
          <w:shd w:val="clear" w:color="auto" w:fill="FFFFFF"/>
          <w:lang w:eastAsia="zh-CN" w:bidi="ar-SA"/>
        </w:rPr>
      </w:pPr>
      <w:r>
        <w:rPr>
          <w:rFonts w:hint="default" w:ascii="Times New Roman" w:hAnsi="Times New Roman" w:eastAsia="楷体_GB2312" w:cs="Times New Roman"/>
          <w:b/>
          <w:bCs w:val="0"/>
          <w:kern w:val="2"/>
          <w:sz w:val="32"/>
          <w:szCs w:val="32"/>
          <w:highlight w:val="none"/>
          <w:lang w:bidi="ar-SA"/>
        </w:rPr>
        <w:t>（一）设立背景及基本情况。</w:t>
      </w:r>
      <w:r>
        <w:rPr>
          <w:rFonts w:hint="default" w:ascii="Times New Roman" w:hAnsi="Times New Roman" w:eastAsia="方正仿宋_GBK" w:cs="Times New Roman"/>
          <w:sz w:val="32"/>
          <w:szCs w:val="32"/>
          <w:highlight w:val="none"/>
          <w:lang w:bidi="ar-SA"/>
        </w:rPr>
        <w:t>为</w:t>
      </w:r>
      <w:r>
        <w:rPr>
          <w:rFonts w:hint="default" w:ascii="Times New Roman" w:hAnsi="Times New Roman" w:eastAsia="方正仿宋_GBK" w:cs="Times New Roman"/>
          <w:sz w:val="32"/>
          <w:szCs w:val="32"/>
          <w:highlight w:val="none"/>
          <w:lang w:eastAsia="zh-CN" w:bidi="ar-SA"/>
        </w:rPr>
        <w:t>深入</w:t>
      </w:r>
      <w:r>
        <w:rPr>
          <w:rFonts w:hint="default" w:ascii="Times New Roman" w:hAnsi="Times New Roman" w:eastAsia="方正仿宋_GBK" w:cs="Times New Roman"/>
          <w:sz w:val="32"/>
          <w:szCs w:val="32"/>
          <w:highlight w:val="none"/>
          <w:lang w:bidi="ar-SA"/>
        </w:rPr>
        <w:t>贯彻落实中共中央办公厅、国务院办公厅《提振消费专项行动方案》部署要求</w:t>
      </w:r>
      <w:r>
        <w:rPr>
          <w:rFonts w:hint="default" w:ascii="Times New Roman" w:hAnsi="Times New Roman" w:eastAsia="方正仿宋_GBK" w:cs="Times New Roman"/>
          <w:sz w:val="32"/>
          <w:szCs w:val="32"/>
          <w:highlight w:val="none"/>
          <w:lang w:eastAsia="zh-CN" w:bidi="ar-SA"/>
        </w:rPr>
        <w:t>，紧扣</w:t>
      </w:r>
      <w:r>
        <w:rPr>
          <w:rFonts w:hint="default" w:ascii="Times New Roman" w:hAnsi="Times New Roman" w:eastAsia="方正仿宋_GBK" w:cs="Times New Roman"/>
          <w:sz w:val="32"/>
          <w:szCs w:val="32"/>
          <w:highlight w:val="none"/>
          <w:lang w:bidi="ar-SA"/>
        </w:rPr>
        <w:t>省委</w:t>
      </w:r>
      <w:r>
        <w:rPr>
          <w:rFonts w:hint="default" w:ascii="Times New Roman" w:hAnsi="Times New Roman" w:eastAsia="方正仿宋_GBK" w:cs="Times New Roman"/>
          <w:sz w:val="32"/>
          <w:szCs w:val="32"/>
          <w:highlight w:val="none"/>
          <w:lang w:eastAsia="zh-CN" w:bidi="ar-SA"/>
        </w:rPr>
        <w:t>省政府、州委州政府</w:t>
      </w:r>
      <w:r>
        <w:rPr>
          <w:rFonts w:hint="default" w:ascii="Times New Roman" w:hAnsi="Times New Roman" w:eastAsia="方正仿宋_GBK" w:cs="Times New Roman"/>
          <w:sz w:val="32"/>
          <w:szCs w:val="32"/>
          <w:highlight w:val="none"/>
          <w:lang w:bidi="ar-SA"/>
        </w:rPr>
        <w:t>“</w:t>
      </w:r>
      <w:r>
        <w:rPr>
          <w:rFonts w:hint="default" w:ascii="Times New Roman" w:hAnsi="Times New Roman" w:eastAsia="方正仿宋_GBK" w:cs="Times New Roman"/>
          <w:sz w:val="32"/>
          <w:szCs w:val="32"/>
          <w:highlight w:val="none"/>
          <w:lang w:eastAsia="zh-CN" w:bidi="ar-SA"/>
        </w:rPr>
        <w:t>大力提振消费</w:t>
      </w:r>
      <w:r>
        <w:rPr>
          <w:rFonts w:hint="default" w:ascii="Times New Roman" w:hAnsi="Times New Roman" w:eastAsia="方正仿宋_GBK" w:cs="Times New Roman"/>
          <w:sz w:val="32"/>
          <w:szCs w:val="32"/>
          <w:highlight w:val="none"/>
          <w:lang w:bidi="ar-SA"/>
        </w:rPr>
        <w:t>”工作</w:t>
      </w:r>
      <w:r>
        <w:rPr>
          <w:rFonts w:hint="default" w:ascii="Times New Roman" w:hAnsi="Times New Roman" w:eastAsia="方正仿宋_GBK" w:cs="Times New Roman"/>
          <w:sz w:val="32"/>
          <w:szCs w:val="32"/>
          <w:highlight w:val="none"/>
          <w:lang w:eastAsia="zh-CN" w:bidi="ar-SA"/>
        </w:rPr>
        <w:t>安排</w:t>
      </w:r>
      <w:r>
        <w:rPr>
          <w:rFonts w:hint="default" w:ascii="Times New Roman" w:hAnsi="Times New Roman" w:eastAsia="方正仿宋_GBK" w:cs="Times New Roman"/>
          <w:sz w:val="32"/>
          <w:szCs w:val="32"/>
          <w:highlight w:val="none"/>
          <w:lang w:bidi="ar-SA"/>
        </w:rPr>
        <w:t>，</w:t>
      </w:r>
      <w:r>
        <w:rPr>
          <w:rFonts w:hint="default" w:ascii="Times New Roman" w:hAnsi="Times New Roman" w:eastAsia="方正仿宋_GBK" w:cs="Times New Roman"/>
          <w:sz w:val="32"/>
          <w:szCs w:val="32"/>
          <w:highlight w:val="none"/>
          <w:lang w:eastAsia="zh-CN" w:bidi="ar-SA"/>
        </w:rPr>
        <w:t>抢抓 2025 年全国全省加力扩围消费品以旧换新、提振大宗消费的政策机遇，加快提振消费信心，激发消费潜力，助力我州消费市场持续健康和高质量发展，州级财政投入 4000 万元专项资金推动消费市场回暖复苏。</w:t>
      </w:r>
    </w:p>
    <w:p w14:paraId="073949E1">
      <w:pPr>
        <w:keepNext w:val="0"/>
        <w:keepLines w:val="0"/>
        <w:pageBreakBefore w:val="0"/>
        <w:kinsoku/>
        <w:wordWrap/>
        <w:overflowPunct/>
        <w:topLinePunct w:val="0"/>
        <w:autoSpaceDE/>
        <w:bidi w:val="0"/>
        <w:spacing w:line="560" w:lineRule="exact"/>
        <w:ind w:firstLine="640"/>
        <w:jc w:val="left"/>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楷体_GB2312" w:cs="Times New Roman"/>
          <w:b/>
          <w:bCs w:val="0"/>
          <w:kern w:val="2"/>
          <w:sz w:val="32"/>
          <w:szCs w:val="32"/>
          <w:highlight w:val="none"/>
          <w:lang w:bidi="ar-SA"/>
        </w:rPr>
        <w:t>（二）实施目的及支持方向</w:t>
      </w:r>
      <w:r>
        <w:rPr>
          <w:rFonts w:hint="default" w:ascii="Times New Roman" w:hAnsi="Times New Roman" w:eastAsia="楷体_GB2312" w:cs="Times New Roman"/>
          <w:b/>
          <w:bCs w:val="0"/>
          <w:kern w:val="2"/>
          <w:sz w:val="32"/>
          <w:szCs w:val="32"/>
          <w:highlight w:val="none"/>
          <w:lang w:eastAsia="zh-CN" w:bidi="ar-SA"/>
        </w:rPr>
        <w:t>。</w:t>
      </w:r>
      <w:r>
        <w:rPr>
          <w:rFonts w:hint="default" w:ascii="Times New Roman" w:hAnsi="Times New Roman" w:eastAsia="方正仿宋_GBK" w:cs="Times New Roman"/>
          <w:sz w:val="32"/>
          <w:szCs w:val="32"/>
          <w:highlight w:val="none"/>
          <w:lang w:bidi="ar-SA"/>
        </w:rPr>
        <w:t>为全面落实国家《提振消费专项行动方案》及四川省促消费工作部署，围绕中央 “大宗消费更新升级、服务消费提质惠民” 核心要求，立足阿坝州产业特色，以发放消费券为抓手，重点围绕汽车、家电、批零住餐、文旅加油等领域开展促消费工作，加快提振消费信心，激发消费潜力，助力我州消费市场持续健康和高质量发展，推动形成政府引导、市场为主、消费者广泛参与”的消费生态。</w:t>
      </w:r>
    </w:p>
    <w:p w14:paraId="6C05C428">
      <w:pPr>
        <w:keepNext w:val="0"/>
        <w:keepLines w:val="0"/>
        <w:pageBreakBefore w:val="0"/>
        <w:kinsoku/>
        <w:wordWrap/>
        <w:overflowPunct/>
        <w:topLinePunct w:val="0"/>
        <w:autoSpaceDE/>
        <w:bidi w:val="0"/>
        <w:spacing w:line="560" w:lineRule="exact"/>
        <w:ind w:firstLine="640"/>
        <w:jc w:val="left"/>
        <w:textAlignment w:val="auto"/>
        <w:rPr>
          <w:rFonts w:hint="default" w:ascii="Times New Roman" w:hAnsi="Times New Roman" w:eastAsia="方正仿宋_GBK" w:cs="Times New Roman"/>
          <w:b w:val="0"/>
          <w:bCs w:val="0"/>
          <w:color w:val="auto"/>
          <w:sz w:val="32"/>
          <w:szCs w:val="32"/>
          <w:highlight w:val="none"/>
          <w:lang w:val="en-US" w:eastAsia="zh-CN" w:bidi="ar-SA"/>
        </w:rPr>
      </w:pPr>
      <w:r>
        <w:rPr>
          <w:rFonts w:hint="default" w:ascii="Times New Roman" w:hAnsi="Times New Roman" w:eastAsia="楷体_GB2312" w:cs="Times New Roman"/>
          <w:b/>
          <w:bCs w:val="0"/>
          <w:kern w:val="2"/>
          <w:sz w:val="32"/>
          <w:szCs w:val="32"/>
          <w:highlight w:val="none"/>
          <w:lang w:bidi="ar-SA"/>
        </w:rPr>
        <w:t>（三）预算安排及分配管理。</w:t>
      </w:r>
      <w:r>
        <w:rPr>
          <w:rFonts w:hint="default" w:ascii="Times New Roman" w:hAnsi="Times New Roman" w:eastAsia="方正仿宋_GBK" w:cs="Times New Roman"/>
          <w:sz w:val="32"/>
          <w:szCs w:val="32"/>
          <w:highlight w:val="none"/>
          <w:lang w:val="en-US" w:eastAsia="zh-CN" w:bidi="ar-SA"/>
        </w:rPr>
        <w:t>紧扣国家大宗消费、服务消费提质政策导向，主要围绕汽车（叠加汽车以旧换新）、家电、批零住餐、加油、文旅等行业发放阿坝州消费券10期以上，统筹支持各县（市）开展特色促消费活动，预计带动消费超过3亿元，推动政策红利精准落地。</w:t>
      </w:r>
    </w:p>
    <w:p w14:paraId="0604A5D0">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二、评价实施</w:t>
      </w:r>
    </w:p>
    <w:p w14:paraId="4B75E476">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0"/>
          <w:sz w:val="32"/>
          <w:szCs w:val="32"/>
          <w:highlight w:val="none"/>
          <w:shd w:val="clear" w:color="auto" w:fill="FFFFFF"/>
          <w:lang w:val="en-US" w:eastAsia="zh-CN" w:bidi="ar-SA"/>
        </w:rPr>
      </w:pPr>
      <w:r>
        <w:rPr>
          <w:rFonts w:hint="default" w:ascii="Times New Roman" w:hAnsi="Times New Roman" w:eastAsia="方正仿宋_GBK" w:cs="Times New Roman"/>
          <w:kern w:val="0"/>
          <w:sz w:val="32"/>
          <w:szCs w:val="32"/>
          <w:highlight w:val="none"/>
          <w:shd w:val="clear" w:color="auto" w:fill="FFFFFF"/>
          <w:lang w:val="en-US" w:eastAsia="zh-CN" w:bidi="ar-SA"/>
        </w:rPr>
        <w:t>为深入贯彻落实国家《提振消费专项行动方案》及省委省政府、州委州政府提振消费的决策部署，紧扣“大宗消费更新升级、服务消费提质惠民”工作要求，不断恢复和扩大我州汽车、文旅等重点消费市场活力，本次消费券发放采用自动满减优惠方式，覆盖“通用消费券、景区消费券、汽车消费券、加油消费券”等品类，消费者通过指定平台线上领取，在规定有效期内到合作商户完成核销，确保政策执行便捷高效、可追溯。</w:t>
      </w:r>
    </w:p>
    <w:p w14:paraId="580DE78F">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三、绩效分析</w:t>
      </w:r>
    </w:p>
    <w:p w14:paraId="282B862A">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（一）项目资金执行情况</w:t>
      </w:r>
    </w:p>
    <w:p w14:paraId="4D86FD90">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2025年该项目预算安排4000万元，执行数4000万元，执行率：100%。权重10分，得分：10分。</w:t>
      </w:r>
    </w:p>
    <w:p w14:paraId="388835CB">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（二）项目绩效目标完成情况</w:t>
      </w:r>
    </w:p>
    <w:p w14:paraId="054F1514">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b/>
          <w:bCs/>
          <w:kern w:val="0"/>
          <w:position w:val="3"/>
          <w:sz w:val="32"/>
          <w:szCs w:val="32"/>
          <w:highlight w:val="no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1.产出指标完成情况</w:t>
      </w:r>
    </w:p>
    <w:p w14:paraId="5BFFC6F2">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（1）数量指标。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分别开展了阿坝州“天府精品·阿坝有礼”促消费活动、“游走阿坝·钜惠无限”加油券促消费活动、第二期汽车消费券、“春启万象·阿坝消费季”汽车促消费活动、“暑驾油礼·畅游阿坝”加油券促消费活动、“暑期钜惠·阿坝购车狂欢节”汽车促消费活动、川超主场消费券、“驰骋川西・惠享阿坝” 汽车促消费活动、“秋冬出行・阿坝油礼”加油券、“川超”客场消费券和主场展会专属消费券发放活动、“岁末购车·阿坝有礼” 汽车促消费活动等15场次，得分20分。</w:t>
      </w:r>
    </w:p>
    <w:p w14:paraId="0C1901F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（2）质量指标。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活动期间，阿坝州消费券体系吸引全州 12 家景区及 220 余家市场主体参与核销受理，覆盖汽车销售、家电零售、餐饮住宿、商超便利、文旅加油等多个领域，手机定位在 “阿坝州” 的消费者均可无门槛参与，活动全州覆盖率达 100%，实现政策红利全域覆盖。本指标得分 10 分。</w:t>
      </w:r>
    </w:p>
    <w:p w14:paraId="3E4C2E9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（3）时效指标。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活动于2025年分批次开展。得分10分。</w:t>
      </w:r>
    </w:p>
    <w:p w14:paraId="5564781D">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（二）效益指标完成情况</w:t>
      </w:r>
    </w:p>
    <w:p w14:paraId="3CC2B4E0">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（1）经济效益指标：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活动期间，阿坝州消费券吸引全州12家景区及220余家市场主体参与受理消费券核销，累计带动消费3.2亿元，撬动比实现1:8，拉动了经济复苏。</w:t>
      </w:r>
      <w:r>
        <w:rPr>
          <w:rFonts w:hint="default" w:ascii="Times New Roman" w:hAnsi="Times New Roman" w:eastAsia="方正仿宋_GBK" w:cs="Times New Roman"/>
          <w:b w:val="0"/>
          <w:bCs w:val="0"/>
          <w:kern w:val="0"/>
          <w:position w:val="3"/>
          <w:sz w:val="32"/>
          <w:szCs w:val="32"/>
          <w:highlight w:val="none"/>
          <w:lang w:val="en-US" w:eastAsia="zh-CN" w:bidi="ar-SA"/>
        </w:rPr>
        <w:t>其中：安排资金2065万元，发放“汽车消费券”6期，销售各类车辆2787辆，带动消费超2.6亿元。</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得分15分。</w:t>
      </w:r>
    </w:p>
    <w:p w14:paraId="531E2ED5">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color w:val="auto"/>
          <w:kern w:val="0"/>
          <w:position w:val="3"/>
          <w:sz w:val="32"/>
          <w:szCs w:val="32"/>
          <w:highlight w:val="no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（2）社会效益指标：</w:t>
      </w:r>
      <w:r>
        <w:rPr>
          <w:rFonts w:hint="default" w:ascii="Times New Roman" w:hAnsi="Times New Roman" w:eastAsia="方正仿宋_GBK" w:cs="Times New Roman"/>
          <w:color w:val="auto"/>
          <w:kern w:val="0"/>
          <w:position w:val="3"/>
          <w:sz w:val="32"/>
          <w:szCs w:val="32"/>
          <w:highlight w:val="none"/>
          <w:lang w:val="en-US" w:eastAsia="zh-CN" w:bidi="ar-SA"/>
        </w:rPr>
        <w:t>2025年，阿坝州社会消费品零售总额同比增长7.4%，增幅居四川省第1位，消费市场保持良好增长态势。得分15分。</w:t>
      </w:r>
    </w:p>
    <w:p w14:paraId="6986E51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（三）满意度指标完成情况</w:t>
      </w:r>
    </w:p>
    <w:p w14:paraId="7BAB4BCF">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（1）城乡居民满意度：</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通过线上线下调研反馈，参与活动的城乡居民对消费券发放、使用流程及优惠力度的满意度超 85%，本指标得 5 分。</w:t>
      </w:r>
    </w:p>
    <w:p w14:paraId="793E1D2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（2）企业满意度：</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参与商户对消费券活动的组织实施、客流带动效果的满意度达 85%，本指标得 5 分。</w:t>
      </w:r>
    </w:p>
    <w:p w14:paraId="286ADE68">
      <w:pPr>
        <w:keepNext w:val="0"/>
        <w:keepLines w:val="0"/>
        <w:pageBreakBefore w:val="0"/>
        <w:widowControl/>
        <w:kinsoku/>
        <w:wordWrap/>
        <w:overflowPunct/>
        <w:topLinePunct w:val="0"/>
        <w:autoSpaceDE/>
        <w:autoSpaceDN/>
        <w:bidi w:val="0"/>
        <w:spacing w:line="560" w:lineRule="exact"/>
        <w:ind w:firstLine="640"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总得分：100分。</w:t>
      </w:r>
    </w:p>
    <w:p w14:paraId="1F99ED13">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四、评价结论</w:t>
      </w:r>
    </w:p>
    <w:p w14:paraId="2AAD347A">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kern w:val="0"/>
          <w:position w:val="0"/>
          <w:sz w:val="32"/>
          <w:szCs w:val="32"/>
          <w:highlight w:val="none"/>
          <w:shd w:val="clear" w:color="auto" w:fill="FFFFFF"/>
          <w:lang w:val="en-US" w:eastAsia="zh-CN" w:bidi="ar-SA"/>
        </w:rPr>
      </w:pPr>
      <w:r>
        <w:rPr>
          <w:rFonts w:hint="default" w:ascii="Times New Roman" w:hAnsi="Times New Roman" w:eastAsia="方正仿宋_GBK" w:cs="Times New Roman"/>
          <w:kern w:val="0"/>
          <w:position w:val="0"/>
          <w:sz w:val="32"/>
          <w:szCs w:val="32"/>
          <w:highlight w:val="none"/>
          <w:shd w:val="clear" w:color="auto" w:fill="FFFFFF"/>
          <w:lang w:val="en-US" w:eastAsia="en-US" w:bidi="ar-SA"/>
        </w:rPr>
        <w:t>促进消费恢复发展专项资金</w:t>
      </w:r>
      <w:r>
        <w:rPr>
          <w:rFonts w:hint="default" w:ascii="Times New Roman" w:hAnsi="Times New Roman" w:eastAsia="方正仿宋_GBK" w:cs="Times New Roman"/>
          <w:kern w:val="0"/>
          <w:position w:val="0"/>
          <w:sz w:val="32"/>
          <w:szCs w:val="32"/>
          <w:highlight w:val="none"/>
          <w:shd w:val="clear" w:color="auto" w:fill="FFFFFF"/>
          <w:lang w:val="en-US" w:eastAsia="zh-CN" w:bidi="ar-SA"/>
        </w:rPr>
        <w:t>绩效评价项目绩效评价最终结果为：总体得分100分。</w:t>
      </w:r>
    </w:p>
    <w:p w14:paraId="6D7A42C7">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0"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position w:val="0"/>
          <w:sz w:val="32"/>
          <w:szCs w:val="32"/>
          <w:highlight w:val="none"/>
          <w:shd w:val="clear" w:color="auto" w:fill="FFFFFF"/>
          <w:lang w:val="en-US" w:eastAsia="zh-CN"/>
        </w:rPr>
        <w:t>基于评价结果，得出以下结论</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阿坝州消费券促消费活动通过发放政府消费券，逐步构建了“政府引导、市场为主、消费者广泛参与”的消费生态，为消费市场持续回升向好按下了加速键。很多参与商家反映消费券活动对提升客流量起到了显著效果。汽车促消费活动成效显著，通过6期的汽车促消费活动，</w:t>
      </w:r>
      <w:r>
        <w:rPr>
          <w:rFonts w:hint="default" w:ascii="Times New Roman" w:hAnsi="Times New Roman" w:eastAsia="方正仿宋_GBK" w:cs="Times New Roman"/>
          <w:sz w:val="32"/>
          <w:szCs w:val="32"/>
          <w:highlight w:val="none"/>
          <w:lang w:val="en-US" w:eastAsia="zh-CN"/>
        </w:rPr>
        <w:t>销售汽车2787台，产生的直接消费总额2.6亿元，撬动比达1：12，</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经济效益、社会效益和带动效益明显增强。</w:t>
      </w:r>
    </w:p>
    <w:p w14:paraId="7B8C7EDB">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黑体" w:cs="Times New Roman"/>
          <w:kern w:val="2"/>
          <w:sz w:val="32"/>
          <w:szCs w:val="32"/>
          <w:highlight w:val="none"/>
          <w:lang w:bidi="ar-SA"/>
        </w:rPr>
        <w:t>五、存在主要问题</w:t>
      </w:r>
    </w:p>
    <w:p w14:paraId="74A3DA09">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（一）政策设计机制不够优化</w:t>
      </w:r>
    </w:p>
    <w:p w14:paraId="4D6D3686">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b/>
          <w:bCs/>
          <w:color w:val="auto"/>
          <w:kern w:val="2"/>
          <w:position w:val="3"/>
          <w:sz w:val="32"/>
          <w:szCs w:val="32"/>
          <w:highlight w:val="no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对照国家促消费政策 “精准投放、高效便民” 的要求，当前消费券的发放渠道和宣传平台较为单一，未能充分利用线上新媒体、线下商户联动等多元渠道；同时为防范套现等风险，消费券使用设置的限制条款较多，降低了消费者使用体验；对如何提高资金资源配置效率，精准将消费券发放到刚需消费群体手中并有效转化为实际消费行为，缺乏深入的调研和系统的设计。</w:t>
      </w:r>
    </w:p>
    <w:p w14:paraId="257F360C">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（二）活动实施缺乏长效延续性</w:t>
      </w:r>
    </w:p>
    <w:p w14:paraId="4B367F81">
      <w:pPr>
        <w:keepNext w:val="0"/>
        <w:keepLines w:val="0"/>
        <w:pageBreakBefore w:val="0"/>
        <w:widowControl/>
        <w:kinsoku/>
        <w:wordWrap/>
        <w:overflowPunct/>
        <w:topLinePunct w:val="0"/>
        <w:autoSpaceDE/>
        <w:autoSpaceDN/>
        <w:bidi w:val="0"/>
        <w:spacing w:line="560" w:lineRule="exact"/>
        <w:ind w:firstLine="640" w:firstLineChars="200"/>
        <w:jc w:val="left"/>
        <w:textAlignment w:val="auto"/>
        <w:outlineLvl w:val="9"/>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促进消费是系统性工程，国家《提振消费专项行动方案》明确要求建立长效消费提振机制，而我州目前仅依托年度专项资金开展阶段性促消费活动，尚未形成常态化、持续性的活动体系；单次活动的消费刺激效果难以持久，未能有效衔接全年消费节点，对消费潜力的持续释放和消费市场的长期稳定增长支撑不足。</w:t>
      </w:r>
    </w:p>
    <w:p w14:paraId="4970CEF8">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（三）与国家细分政策衔接不足</w:t>
      </w:r>
    </w:p>
    <w:p w14:paraId="64FC61A4">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b/>
          <w:bCs/>
          <w:color w:val="auto"/>
          <w:kern w:val="2"/>
          <w:position w:val="3"/>
          <w:sz w:val="32"/>
          <w:szCs w:val="32"/>
          <w:highlight w:val="no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对国家2025年家电以旧换新（12 类品类）、数码产品购新补贴、汽车后市场消费等细分政策的落地衔接不够，对家电、数码等大宗消费品类的提振力度有待加强</w:t>
      </w:r>
      <w:r>
        <w:rPr>
          <w:rFonts w:hint="default" w:ascii="Times New Roman" w:hAnsi="Times New Roman" w:eastAsia="方正仿宋_GBK" w:cs="Times New Roman"/>
          <w:b/>
          <w:bCs/>
          <w:color w:val="auto"/>
          <w:kern w:val="2"/>
          <w:position w:val="3"/>
          <w:sz w:val="32"/>
          <w:szCs w:val="32"/>
          <w:highlight w:val="none"/>
          <w:lang w:val="zh-TW" w:eastAsia="zh-CN" w:bidi="ar-SA"/>
        </w:rPr>
        <w:t>。</w:t>
      </w:r>
    </w:p>
    <w:p w14:paraId="37564A65">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0"/>
          <w:position w:val="3"/>
          <w:sz w:val="32"/>
          <w:szCs w:val="32"/>
          <w:highlight w:val="none"/>
          <w:lang w:bidi="ar-SA"/>
        </w:rPr>
      </w:pPr>
      <w:r>
        <w:rPr>
          <w:rFonts w:hint="default" w:ascii="Times New Roman" w:hAnsi="Times New Roman" w:eastAsia="黑体" w:cs="Times New Roman"/>
          <w:kern w:val="2"/>
          <w:sz w:val="32"/>
          <w:szCs w:val="32"/>
          <w:highlight w:val="none"/>
          <w:lang w:bidi="ar-SA"/>
        </w:rPr>
        <w:t>六、改进建议</w:t>
      </w:r>
    </w:p>
    <w:p w14:paraId="2038CEF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left"/>
        <w:textAlignment w:val="auto"/>
        <w:rPr>
          <w:rFonts w:hint="default" w:ascii="Times New Roman" w:hAnsi="Times New Roman" w:eastAsia="方正仿宋_GBK" w:cs="Times New Roman"/>
          <w:bCs/>
          <w:color w:val="000000"/>
          <w:kern w:val="0"/>
          <w:position w:val="3"/>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（一）完善机制，优化环境。</w:t>
      </w:r>
      <w:r>
        <w:rPr>
          <w:rFonts w:hint="default" w:ascii="Times New Roman" w:hAnsi="Times New Roman" w:eastAsia="方正仿宋_GBK" w:cs="Times New Roman"/>
          <w:color w:val="000000"/>
          <w:kern w:val="2"/>
          <w:position w:val="3"/>
          <w:sz w:val="32"/>
          <w:szCs w:val="32"/>
          <w:highlight w:val="none"/>
          <w:lang w:val="en-US" w:eastAsia="zh-CN" w:bidi="ar-SA"/>
        </w:rPr>
        <w:t>深入分析研究，设计更合理、便于操作的消费券发放机制。</w:t>
      </w:r>
      <w:r>
        <w:rPr>
          <w:rFonts w:hint="default" w:ascii="Times New Roman" w:hAnsi="Times New Roman" w:eastAsia="方正仿宋_GBK" w:cs="Times New Roman"/>
          <w:bCs/>
          <w:color w:val="000000"/>
          <w:kern w:val="0"/>
          <w:position w:val="3"/>
          <w:sz w:val="32"/>
          <w:szCs w:val="32"/>
          <w:highlight w:val="none"/>
          <w:lang w:val="en-US" w:eastAsia="zh-CN" w:bidi="ar-SA"/>
        </w:rPr>
        <w:t>在消费券的发放和使用过程中加强监管，杜绝利用消费券破坏市场秩序的行为，保证发券过程公平、透明、可回溯，提升用户与商户的消费体验。</w:t>
      </w:r>
    </w:p>
    <w:p w14:paraId="7CB39F2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楷体_GB2312" w:cs="Times New Roman"/>
          <w:b/>
          <w:bCs w:val="0"/>
          <w:kern w:val="2"/>
          <w:position w:val="0"/>
          <w:sz w:val="32"/>
          <w:szCs w:val="32"/>
          <w:highlight w:val="none"/>
          <w:lang w:val="en-US" w:eastAsia="zh-CN" w:bidi="ar-SA"/>
        </w:rPr>
        <w:t>（二）延续活动，办出特色。</w:t>
      </w:r>
      <w:r>
        <w:rPr>
          <w:rFonts w:hint="default" w:ascii="Times New Roman" w:hAnsi="Times New Roman" w:eastAsia="方正仿宋_GBK" w:cs="Times New Roman"/>
          <w:sz w:val="32"/>
          <w:szCs w:val="32"/>
          <w:highlight w:val="none"/>
          <w:lang w:eastAsia="zh-CN"/>
        </w:rPr>
        <w:t>提升促消费活动影响力，固定举办时间，持续性投入资金，</w:t>
      </w:r>
      <w:r>
        <w:rPr>
          <w:rFonts w:hint="default" w:ascii="Times New Roman" w:hAnsi="Times New Roman" w:eastAsia="方正仿宋_GBK" w:cs="Times New Roman"/>
          <w:sz w:val="32"/>
          <w:szCs w:val="32"/>
          <w:highlight w:val="none"/>
          <w:lang w:val="en-US" w:eastAsia="zh-CN"/>
        </w:rPr>
        <w:t>延长消费链条，放大消费效能。</w:t>
      </w:r>
      <w:r>
        <w:rPr>
          <w:rFonts w:hint="default" w:ascii="Times New Roman" w:hAnsi="Times New Roman" w:eastAsia="方正仿宋_GBK" w:cs="Times New Roman"/>
          <w:sz w:val="32"/>
          <w:szCs w:val="32"/>
          <w:highlight w:val="none"/>
          <w:lang w:eastAsia="zh-CN"/>
        </w:rPr>
        <w:t>带动更多有活力的企业参与进来，将促消费活动作为“守诚信、促消费、惠民生”建设的一个总抓手，在消费券发放基础上，采用特价、满减等方式相结合，灵活多样地开展各类让利促销活动，满足各类消费人群需求。</w:t>
      </w:r>
    </w:p>
    <w:p w14:paraId="3C78BB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Cs/>
          <w:color w:val="000000"/>
          <w:sz w:val="32"/>
          <w:szCs w:val="32"/>
          <w:highlight w:val="none"/>
          <w:lang w:val="zh-TW"/>
        </w:rPr>
      </w:pPr>
      <w:r>
        <w:rPr>
          <w:rFonts w:hint="default" w:ascii="Times New Roman" w:hAnsi="Times New Roman" w:eastAsia="楷体_GB2312" w:cs="Times New Roman"/>
          <w:b/>
          <w:bCs w:val="0"/>
          <w:kern w:val="2"/>
          <w:position w:val="0"/>
          <w:sz w:val="32"/>
          <w:szCs w:val="32"/>
          <w:highlight w:val="none"/>
          <w:lang w:val="zh-TW" w:eastAsia="zh-CN" w:bidi="ar-SA"/>
        </w:rPr>
        <w:t>（三）积极引导，培育热点。</w:t>
      </w:r>
      <w:r>
        <w:rPr>
          <w:rFonts w:hint="default" w:ascii="Times New Roman" w:hAnsi="Times New Roman" w:eastAsia="方正仿宋_GBK" w:cs="Times New Roman"/>
          <w:bCs/>
          <w:color w:val="000000"/>
          <w:sz w:val="32"/>
          <w:szCs w:val="32"/>
          <w:highlight w:val="none"/>
          <w:lang w:val="zh-TW" w:eastAsia="zh-CN"/>
        </w:rPr>
        <w:t>加强商户培训</w:t>
      </w:r>
      <w:r>
        <w:rPr>
          <w:rFonts w:hint="default" w:ascii="Times New Roman" w:hAnsi="Times New Roman" w:eastAsia="方正仿宋_GBK" w:cs="Times New Roman"/>
          <w:bCs/>
          <w:color w:val="000000"/>
          <w:sz w:val="32"/>
          <w:szCs w:val="32"/>
          <w:highlight w:val="none"/>
          <w:lang w:val="zh-TW"/>
        </w:rPr>
        <w:t>，</w:t>
      </w:r>
      <w:r>
        <w:rPr>
          <w:rFonts w:hint="default" w:ascii="Times New Roman" w:hAnsi="Times New Roman" w:eastAsia="方正仿宋_GBK" w:cs="Times New Roman"/>
          <w:bCs/>
          <w:color w:val="000000"/>
          <w:sz w:val="32"/>
          <w:szCs w:val="32"/>
          <w:highlight w:val="none"/>
          <w:lang w:val="zh-TW" w:eastAsia="zh-CN"/>
        </w:rPr>
        <w:t>积极引导，</w:t>
      </w:r>
      <w:r>
        <w:rPr>
          <w:rFonts w:hint="default" w:ascii="Times New Roman" w:hAnsi="Times New Roman" w:eastAsia="方正仿宋_GBK" w:cs="Times New Roman"/>
          <w:bCs/>
          <w:color w:val="000000"/>
          <w:sz w:val="32"/>
          <w:szCs w:val="32"/>
          <w:highlight w:val="none"/>
          <w:lang w:val="zh-TW"/>
        </w:rPr>
        <w:t>以营造安全消费环境、倡导诚信经营、突出保护消费者权益为重点，围绕安全消费、绿色消费、信用消</w:t>
      </w:r>
      <w:r>
        <w:rPr>
          <w:rFonts w:hint="default" w:ascii="Times New Roman" w:hAnsi="Times New Roman" w:eastAsia="方正仿宋_GBK" w:cs="Times New Roman"/>
          <w:bCs/>
          <w:color w:val="000000"/>
          <w:sz w:val="32"/>
          <w:szCs w:val="32"/>
          <w:highlight w:val="none"/>
          <w:lang w:val="zh-TW" w:eastAsia="zh-CN"/>
        </w:rPr>
        <w:t>费等</w:t>
      </w:r>
      <w:r>
        <w:rPr>
          <w:rFonts w:hint="default" w:ascii="Times New Roman" w:hAnsi="Times New Roman" w:eastAsia="方正仿宋_GBK" w:cs="Times New Roman"/>
          <w:bCs/>
          <w:color w:val="000000"/>
          <w:sz w:val="32"/>
          <w:szCs w:val="32"/>
          <w:highlight w:val="none"/>
          <w:lang w:val="zh-TW"/>
        </w:rPr>
        <w:t>专题，推进商旅互动、商文结合，拓展消费空间，培育新的消费热点。</w:t>
      </w:r>
    </w:p>
    <w:p w14:paraId="2BCC27B0">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E2302D">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微软雅黑" w:hAnsi="微软雅黑" w:eastAsia="微软雅黑" w:cs="微软雅黑"/>
          <w:color w:val="auto"/>
          <w:kern w:val="2"/>
          <w:sz w:val="44"/>
          <w:szCs w:val="44"/>
          <w:highlight w:val="none"/>
          <w:lang w:val="en-US" w:eastAsia="zh-CN" w:bidi="ar-SA"/>
        </w:rPr>
      </w:pPr>
      <w:r>
        <w:rPr>
          <w:rFonts w:hint="eastAsia" w:ascii="微软雅黑" w:hAnsi="微软雅黑" w:eastAsia="微软雅黑" w:cs="微软雅黑"/>
          <w:color w:val="auto"/>
          <w:kern w:val="2"/>
          <w:sz w:val="44"/>
          <w:szCs w:val="44"/>
          <w:highlight w:val="none"/>
          <w:lang w:val="en-US" w:eastAsia="zh-CN" w:bidi="ar-SA"/>
        </w:rPr>
        <w:t xml:space="preserve"> 阿坝州商务局</w:t>
      </w:r>
    </w:p>
    <w:p w14:paraId="5470D82B">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微软雅黑" w:hAnsi="微软雅黑" w:eastAsia="微软雅黑" w:cs="微软雅黑"/>
          <w:color w:val="auto"/>
          <w:kern w:val="2"/>
          <w:sz w:val="44"/>
          <w:szCs w:val="44"/>
          <w:highlight w:val="none"/>
          <w:lang w:val="zh-CN" w:eastAsia="zh-CN" w:bidi="ar-SA"/>
        </w:rPr>
      </w:pPr>
      <w:r>
        <w:rPr>
          <w:rFonts w:hint="default" w:ascii="微软雅黑" w:hAnsi="微软雅黑" w:eastAsia="微软雅黑" w:cs="微软雅黑"/>
          <w:color w:val="auto"/>
          <w:kern w:val="2"/>
          <w:sz w:val="44"/>
          <w:szCs w:val="44"/>
          <w:highlight w:val="none"/>
          <w:lang w:val="zh-CN" w:eastAsia="zh-CN" w:bidi="ar-SA"/>
        </w:rPr>
        <w:t>商务领域服务业市场经营主体扶持补助</w:t>
      </w:r>
    </w:p>
    <w:p w14:paraId="218F3DE4">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微软雅黑" w:hAnsi="微软雅黑" w:eastAsia="微软雅黑" w:cs="微软雅黑"/>
          <w:color w:val="auto"/>
          <w:kern w:val="2"/>
          <w:sz w:val="44"/>
          <w:szCs w:val="44"/>
          <w:highlight w:val="none"/>
          <w:lang w:val="zh-CN" w:eastAsia="zh-CN" w:bidi="ar-SA"/>
        </w:rPr>
      </w:pPr>
      <w:r>
        <w:rPr>
          <w:rFonts w:hint="default" w:ascii="微软雅黑" w:hAnsi="微软雅黑" w:eastAsia="微软雅黑" w:cs="微软雅黑"/>
          <w:color w:val="auto"/>
          <w:kern w:val="2"/>
          <w:sz w:val="44"/>
          <w:szCs w:val="44"/>
          <w:highlight w:val="none"/>
          <w:lang w:val="zh-CN" w:eastAsia="zh-CN" w:bidi="ar-SA"/>
        </w:rPr>
        <w:t>资金及商务领域2024年度“转企升规”</w:t>
      </w:r>
    </w:p>
    <w:p w14:paraId="1ADFB6CF">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微软雅黑" w:hAnsi="微软雅黑" w:eastAsia="微软雅黑" w:cs="微软雅黑"/>
          <w:color w:val="auto"/>
          <w:kern w:val="2"/>
          <w:sz w:val="44"/>
          <w:szCs w:val="44"/>
          <w:highlight w:val="none"/>
          <w:lang w:val="en-US" w:eastAsia="zh-CN" w:bidi="ar-SA"/>
        </w:rPr>
      </w:pPr>
      <w:r>
        <w:rPr>
          <w:rFonts w:hint="default" w:ascii="微软雅黑" w:hAnsi="微软雅黑" w:eastAsia="微软雅黑" w:cs="微软雅黑"/>
          <w:color w:val="auto"/>
          <w:kern w:val="2"/>
          <w:sz w:val="44"/>
          <w:szCs w:val="44"/>
          <w:highlight w:val="none"/>
          <w:lang w:val="zh-CN" w:eastAsia="zh-CN" w:bidi="ar-SA"/>
        </w:rPr>
        <w:t>激励资金</w:t>
      </w:r>
      <w:r>
        <w:rPr>
          <w:rFonts w:hint="eastAsia" w:ascii="微软雅黑" w:hAnsi="微软雅黑" w:eastAsia="微软雅黑" w:cs="微软雅黑"/>
          <w:color w:val="auto"/>
          <w:kern w:val="2"/>
          <w:sz w:val="44"/>
          <w:szCs w:val="44"/>
          <w:highlight w:val="none"/>
          <w:lang w:val="en-US" w:eastAsia="zh-CN" w:bidi="ar-SA"/>
        </w:rPr>
        <w:t>预算绩效自评报告</w:t>
      </w:r>
    </w:p>
    <w:p w14:paraId="31422362">
      <w:pPr>
        <w:keepNext w:val="0"/>
        <w:keepLines w:val="0"/>
        <w:pageBreakBefore w:val="0"/>
        <w:widowControl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color w:val="auto"/>
          <w:kern w:val="2"/>
          <w:sz w:val="32"/>
          <w:szCs w:val="32"/>
          <w:highlight w:val="none"/>
          <w:lang w:val="zh-CN" w:eastAsia="zh-CN" w:bidi="ar-SA"/>
        </w:rPr>
      </w:pPr>
    </w:p>
    <w:p w14:paraId="77FD99C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716AFD3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sz w:val="32"/>
          <w:szCs w:val="32"/>
          <w:highlight w:val="none"/>
          <w:lang w:val="en-US" w:eastAsia="zh-CN"/>
        </w:rPr>
        <w:t>根据</w:t>
      </w:r>
      <w:r>
        <w:rPr>
          <w:rFonts w:hint="default" w:ascii="Times New Roman" w:hAnsi="Times New Roman" w:eastAsia="仿宋_GB2312" w:cs="Times New Roman"/>
          <w:kern w:val="0"/>
          <w:sz w:val="32"/>
          <w:szCs w:val="32"/>
          <w:highlight w:val="none"/>
          <w:lang w:eastAsia="zh-CN"/>
        </w:rPr>
        <w:t>《四川省财政厅关于下达2024年度“转企升规”激励资金的通知》（川财建</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2025</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55号）、</w:t>
      </w:r>
      <w:r>
        <w:rPr>
          <w:rFonts w:hint="default" w:ascii="Times New Roman" w:hAnsi="Times New Roman" w:eastAsia="仿宋_GB2312" w:cs="Times New Roman"/>
          <w:color w:val="auto"/>
          <w:kern w:val="0"/>
          <w:sz w:val="32"/>
          <w:szCs w:val="32"/>
          <w:highlight w:val="none"/>
        </w:rPr>
        <w:t>《阿坝州人民政府办公室关于做好2025年一季度经济“开门红”工作的通知》（阿府办发〔2025〕2号）中关于</w:t>
      </w:r>
      <w:r>
        <w:rPr>
          <w:rFonts w:hint="default" w:ascii="Times New Roman" w:hAnsi="Times New Roman" w:eastAsia="仿宋_GB2312" w:cs="Times New Roman"/>
          <w:kern w:val="0"/>
          <w:sz w:val="32"/>
          <w:szCs w:val="32"/>
          <w:highlight w:val="none"/>
        </w:rPr>
        <w:t>《激发市场活力促进经济持续向好的若干措施》</w:t>
      </w:r>
      <w:r>
        <w:rPr>
          <w:rFonts w:hint="default" w:ascii="Times New Roman" w:hAnsi="Times New Roman" w:eastAsia="仿宋_GB2312" w:cs="Times New Roman"/>
          <w:kern w:val="0"/>
          <w:sz w:val="32"/>
          <w:szCs w:val="32"/>
          <w:highlight w:val="none"/>
          <w:lang w:eastAsia="zh-CN"/>
        </w:rPr>
        <w:t>要求，促进服务业市场主体不断壮大。</w:t>
      </w:r>
    </w:p>
    <w:p w14:paraId="2BE310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eastAsia="zh-CN"/>
        </w:rPr>
        <w:t>（二）</w:t>
      </w:r>
      <w:r>
        <w:rPr>
          <w:rFonts w:hint="default" w:ascii="Times New Roman" w:hAnsi="Times New Roman" w:eastAsia="楷体_GB2312" w:cs="Times New Roman"/>
          <w:b/>
          <w:color w:val="auto"/>
          <w:sz w:val="32"/>
          <w:szCs w:val="32"/>
          <w:highlight w:val="none"/>
          <w:u w:val="none"/>
          <w:lang w:val="en-US" w:eastAsia="zh-CN"/>
        </w:rPr>
        <w:t>预算安排及分配管理。</w:t>
      </w:r>
    </w:p>
    <w:p w14:paraId="1D164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0"/>
          <w:w w:val="100"/>
          <w:kern w:val="2"/>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bidi="ar-SA"/>
        </w:rPr>
        <w:t>1.按照</w:t>
      </w:r>
      <w:r>
        <w:rPr>
          <w:rFonts w:hint="default" w:ascii="Times New Roman" w:hAnsi="Times New Roman" w:eastAsia="仿宋_GB2312" w:cs="Times New Roman"/>
          <w:kern w:val="0"/>
          <w:sz w:val="32"/>
          <w:szCs w:val="32"/>
          <w:highlight w:val="none"/>
          <w:u w:val="none"/>
          <w:shd w:val="clear" w:color="auto" w:fill="FFFFFF"/>
          <w:lang w:val="zh-CN" w:eastAsia="zh-CN" w:bidi="ar-SA"/>
        </w:rPr>
        <w:t>《阿坝州财政局关于下达2024年“转企升规”激励资金的通知》（阿州财建〔2025〕</w:t>
      </w:r>
      <w:r>
        <w:rPr>
          <w:rFonts w:hint="default" w:ascii="Times New Roman" w:hAnsi="Times New Roman" w:eastAsia="仿宋_GB2312" w:cs="Times New Roman"/>
          <w:kern w:val="0"/>
          <w:sz w:val="32"/>
          <w:szCs w:val="32"/>
          <w:highlight w:val="none"/>
          <w:u w:val="none"/>
          <w:shd w:val="clear" w:color="auto" w:fill="FFFFFF"/>
          <w:lang w:val="en-US" w:eastAsia="zh-CN" w:bidi="ar-SA"/>
        </w:rPr>
        <w:t>43</w:t>
      </w:r>
      <w:r>
        <w:rPr>
          <w:rFonts w:hint="default" w:ascii="Times New Roman" w:hAnsi="Times New Roman" w:eastAsia="仿宋_GB2312" w:cs="Times New Roman"/>
          <w:kern w:val="0"/>
          <w:sz w:val="32"/>
          <w:szCs w:val="32"/>
          <w:highlight w:val="none"/>
          <w:u w:val="none"/>
          <w:shd w:val="clear" w:color="auto" w:fill="FFFFFF"/>
          <w:lang w:val="zh-CN" w:eastAsia="zh-CN" w:bidi="ar-SA"/>
        </w:rPr>
        <w:t>号）文件</w:t>
      </w:r>
      <w:r>
        <w:rPr>
          <w:rFonts w:hint="default" w:ascii="Times New Roman" w:hAnsi="Times New Roman" w:eastAsia="仿宋_GB2312" w:cs="Times New Roman"/>
          <w:spacing w:val="0"/>
          <w:w w:val="100"/>
          <w:kern w:val="2"/>
          <w:sz w:val="32"/>
          <w:szCs w:val="32"/>
          <w:highlight w:val="none"/>
          <w:lang w:val="en-US" w:eastAsia="zh-CN" w:bidi="ar-SA"/>
        </w:rPr>
        <w:t>，共下达服务业“小升规”激励、商贸业“上限”激励资金</w:t>
      </w:r>
      <w:r>
        <w:rPr>
          <w:rFonts w:hint="default" w:ascii="Times New Roman" w:hAnsi="Times New Roman" w:eastAsia="仿宋_GB2312" w:cs="Times New Roman"/>
          <w:kern w:val="0"/>
          <w:sz w:val="32"/>
          <w:szCs w:val="32"/>
          <w:highlight w:val="none"/>
          <w:u w:val="none"/>
          <w:shd w:val="clear" w:color="auto" w:fill="FFFFFF"/>
          <w:lang w:val="zh-CN" w:eastAsia="zh-CN" w:bidi="ar-SA"/>
        </w:rPr>
        <w:t>资金</w:t>
      </w:r>
      <w:r>
        <w:rPr>
          <w:rFonts w:hint="default" w:ascii="Times New Roman" w:hAnsi="Times New Roman" w:eastAsia="仿宋_GB2312" w:cs="Times New Roman"/>
          <w:kern w:val="0"/>
          <w:sz w:val="32"/>
          <w:szCs w:val="32"/>
          <w:highlight w:val="none"/>
          <w:u w:val="none"/>
          <w:shd w:val="clear" w:color="auto" w:fill="FFFFFF"/>
          <w:lang w:val="en-US" w:eastAsia="zh-CN" w:bidi="ar-SA"/>
        </w:rPr>
        <w:t>122</w:t>
      </w:r>
      <w:r>
        <w:rPr>
          <w:rFonts w:hint="default" w:ascii="Times New Roman" w:hAnsi="Times New Roman" w:eastAsia="仿宋_GB2312" w:cs="Times New Roman"/>
          <w:kern w:val="0"/>
          <w:sz w:val="32"/>
          <w:szCs w:val="32"/>
          <w:highlight w:val="none"/>
          <w:u w:val="none"/>
          <w:shd w:val="clear" w:color="auto" w:fill="FFFFFF"/>
          <w:lang w:val="zh-CN" w:eastAsia="zh-CN" w:bidi="ar-SA"/>
        </w:rPr>
        <w:t>万元。</w:t>
      </w:r>
    </w:p>
    <w:p w14:paraId="4997F4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spacing w:val="0"/>
          <w:w w:val="100"/>
          <w:kern w:val="2"/>
          <w:sz w:val="32"/>
          <w:szCs w:val="32"/>
          <w:highlight w:val="none"/>
          <w:lang w:val="en-US" w:eastAsia="zh-CN" w:bidi="ar-SA"/>
        </w:rPr>
        <w:t>2.按照</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《阿坝州财政局</w:t>
      </w: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 xml:space="preserve"> </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阿坝州商务局关于兑现2024年度商务领域服务业市场经营主体扶持补助资金预算的通知》</w:t>
      </w:r>
      <w:r>
        <w:rPr>
          <w:rFonts w:hint="default" w:ascii="Times New Roman" w:hAnsi="Times New Roman" w:eastAsia="仿宋_GB2312" w:cs="Times New Roman"/>
          <w:kern w:val="0"/>
          <w:sz w:val="32"/>
          <w:szCs w:val="32"/>
          <w:highlight w:val="none"/>
          <w:u w:val="none"/>
          <w:shd w:val="clear" w:color="auto" w:fill="FFFFFF"/>
          <w:lang w:val="zh-CN" w:eastAsia="zh-CN" w:bidi="ar-SA"/>
        </w:rPr>
        <w:t>（阿州财建〔2025〕</w:t>
      </w:r>
      <w:r>
        <w:rPr>
          <w:rFonts w:hint="default" w:ascii="Times New Roman" w:hAnsi="Times New Roman" w:eastAsia="仿宋_GB2312" w:cs="Times New Roman"/>
          <w:kern w:val="0"/>
          <w:sz w:val="32"/>
          <w:szCs w:val="32"/>
          <w:highlight w:val="none"/>
          <w:u w:val="none"/>
          <w:shd w:val="clear" w:color="auto" w:fill="FFFFFF"/>
          <w:lang w:val="en-US" w:eastAsia="zh-CN" w:bidi="ar-SA"/>
        </w:rPr>
        <w:t>114</w:t>
      </w:r>
      <w:r>
        <w:rPr>
          <w:rFonts w:hint="default" w:ascii="Times New Roman" w:hAnsi="Times New Roman" w:eastAsia="仿宋_GB2312" w:cs="Times New Roman"/>
          <w:kern w:val="0"/>
          <w:sz w:val="32"/>
          <w:szCs w:val="32"/>
          <w:highlight w:val="none"/>
          <w:u w:val="none"/>
          <w:shd w:val="clear" w:color="auto" w:fill="FFFFFF"/>
          <w:lang w:val="zh-CN" w:eastAsia="zh-CN" w:bidi="ar-SA"/>
        </w:rPr>
        <w:t>号）文件</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，共下达</w:t>
      </w:r>
      <w:r>
        <w:rPr>
          <w:rFonts w:hint="default" w:ascii="Times New Roman" w:hAnsi="Times New Roman" w:eastAsia="仿宋_GB2312" w:cs="Times New Roman"/>
          <w:bCs/>
          <w:sz w:val="32"/>
          <w:szCs w:val="32"/>
          <w:highlight w:val="none"/>
        </w:rPr>
        <w:t>2024年度服务业市场经营主体发展培育扶持补助资金</w:t>
      </w:r>
      <w:r>
        <w:rPr>
          <w:rFonts w:hint="default" w:ascii="Times New Roman" w:hAnsi="Times New Roman" w:eastAsia="仿宋_GB2312" w:cs="Times New Roman"/>
          <w:bCs/>
          <w:sz w:val="32"/>
          <w:szCs w:val="32"/>
          <w:highlight w:val="none"/>
          <w:lang w:val="en-US" w:eastAsia="zh-CN"/>
        </w:rPr>
        <w:t>269.7154万元</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w:t>
      </w:r>
    </w:p>
    <w:p w14:paraId="13B9D70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lang w:eastAsia="zh-CN"/>
        </w:rPr>
        <w:t>二</w:t>
      </w:r>
      <w:r>
        <w:rPr>
          <w:rFonts w:hint="default" w:ascii="Times New Roman" w:hAnsi="Times New Roman" w:eastAsia="黑体" w:cs="Times New Roman"/>
          <w:color w:val="auto"/>
          <w:sz w:val="32"/>
          <w:szCs w:val="32"/>
          <w:highlight w:val="none"/>
          <w:u w:val="none"/>
        </w:rPr>
        <w:t>、</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4F8A01C9">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default" w:ascii="Times New Roman" w:hAnsi="Times New Roman" w:eastAsia="楷体_GB2312" w:cs="Times New Roman"/>
          <w:b/>
          <w:bCs/>
          <w:sz w:val="32"/>
          <w:szCs w:val="32"/>
          <w:highlight w:val="none"/>
          <w:lang w:val="en-US" w:eastAsia="zh-CN" w:bidi="ar-SA"/>
        </w:rPr>
      </w:pPr>
      <w:r>
        <w:rPr>
          <w:rFonts w:hint="default" w:ascii="Times New Roman" w:hAnsi="Times New Roman" w:eastAsia="楷体_GB2312" w:cs="Times New Roman"/>
          <w:b/>
          <w:bCs/>
          <w:sz w:val="32"/>
          <w:szCs w:val="32"/>
          <w:highlight w:val="none"/>
          <w:lang w:bidi="ar-SA"/>
        </w:rPr>
        <w:t>（一）</w:t>
      </w:r>
      <w:r>
        <w:rPr>
          <w:rFonts w:hint="default" w:ascii="Times New Roman" w:hAnsi="Times New Roman" w:eastAsia="楷体_GB2312" w:cs="Times New Roman"/>
          <w:b/>
          <w:bCs/>
          <w:sz w:val="32"/>
          <w:szCs w:val="32"/>
          <w:highlight w:val="none"/>
          <w:lang w:val="en-US" w:eastAsia="zh-CN" w:bidi="ar-SA"/>
        </w:rPr>
        <w:t>资金投入情况</w:t>
      </w:r>
    </w:p>
    <w:p w14:paraId="57CDFCA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Times New Roman" w:hAnsi="Times New Roman" w:eastAsia="仿宋_GB2312" w:cs="Times New Roman"/>
          <w:kern w:val="0"/>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lang w:val="en-US" w:eastAsia="zh-CN" w:bidi="ar-SA"/>
        </w:rPr>
        <w:t>1.资金申报程序。</w:t>
      </w:r>
      <w:r>
        <w:rPr>
          <w:rFonts w:hint="default" w:ascii="Times New Roman" w:hAnsi="Times New Roman" w:eastAsia="仿宋_GB2312" w:cs="Times New Roman"/>
          <w:b/>
          <w:bCs/>
          <w:kern w:val="0"/>
          <w:sz w:val="32"/>
          <w:szCs w:val="32"/>
          <w:highlight w:val="none"/>
          <w:u w:val="none"/>
          <w:shd w:val="clear" w:color="auto" w:fill="FFFFFF"/>
          <w:lang w:val="zh-CN" w:eastAsia="zh-CN" w:bidi="ar-SA"/>
        </w:rPr>
        <w:t>一是</w:t>
      </w:r>
      <w:r>
        <w:rPr>
          <w:rFonts w:hint="default" w:ascii="Times New Roman" w:hAnsi="Times New Roman" w:eastAsia="仿宋_GB2312" w:cs="Times New Roman"/>
          <w:kern w:val="0"/>
          <w:sz w:val="32"/>
          <w:szCs w:val="32"/>
          <w:highlight w:val="none"/>
          <w:u w:val="none"/>
          <w:shd w:val="clear" w:color="auto" w:fill="FFFFFF"/>
          <w:lang w:val="zh-CN" w:eastAsia="zh-CN" w:bidi="ar-SA"/>
        </w:rPr>
        <w:t>严格按照</w:t>
      </w:r>
      <w:r>
        <w:rPr>
          <w:rFonts w:hint="default" w:ascii="Times New Roman" w:hAnsi="Times New Roman" w:eastAsia="仿宋_GB2312" w:cs="Times New Roman"/>
          <w:kern w:val="0"/>
          <w:sz w:val="32"/>
          <w:szCs w:val="32"/>
          <w:highlight w:val="none"/>
          <w:lang w:eastAsia="zh-CN"/>
        </w:rPr>
        <w:t>《四川省财政厅关于下达2024年度“转企升规”激励资金的通知》（川财建</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2025</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55号）</w:t>
      </w:r>
      <w:r>
        <w:rPr>
          <w:rFonts w:hint="default" w:ascii="Times New Roman" w:hAnsi="Times New Roman" w:eastAsia="仿宋_GB2312" w:cs="Times New Roman"/>
          <w:kern w:val="0"/>
          <w:sz w:val="32"/>
          <w:szCs w:val="32"/>
          <w:highlight w:val="none"/>
          <w:u w:val="none"/>
          <w:shd w:val="clear" w:color="auto" w:fill="FFFFFF"/>
          <w:lang w:val="zh-CN" w:eastAsia="zh-CN" w:bidi="ar-SA"/>
        </w:rPr>
        <w:t>文件要求，根据</w:t>
      </w:r>
      <w:r>
        <w:rPr>
          <w:rFonts w:hint="default" w:ascii="Times New Roman" w:hAnsi="Times New Roman" w:eastAsia="仿宋_GB2312" w:cs="Times New Roman"/>
          <w:color w:val="auto"/>
          <w:sz w:val="32"/>
          <w:szCs w:val="32"/>
          <w:highlight w:val="none"/>
          <w:lang w:val="en-US" w:eastAsia="zh-CN"/>
        </w:rPr>
        <w:t>2024年度我州新增服务业企业14户、商贸企业33户，</w:t>
      </w:r>
      <w:r>
        <w:rPr>
          <w:rFonts w:hint="default" w:ascii="Times New Roman" w:hAnsi="Times New Roman" w:eastAsia="仿宋_GB2312" w:cs="Times New Roman"/>
          <w:kern w:val="0"/>
          <w:sz w:val="32"/>
          <w:szCs w:val="32"/>
          <w:highlight w:val="none"/>
          <w:u w:val="none"/>
          <w:shd w:val="clear" w:color="auto" w:fill="FFFFFF"/>
          <w:lang w:val="zh-CN" w:eastAsia="zh-CN" w:bidi="ar-SA"/>
        </w:rPr>
        <w:t>拟定资金分配方案，按程序下达相关县（市）。</w:t>
      </w:r>
      <w:r>
        <w:rPr>
          <w:rFonts w:hint="default" w:ascii="Times New Roman" w:hAnsi="Times New Roman" w:eastAsia="仿宋_GB2312" w:cs="Times New Roman"/>
          <w:b/>
          <w:bCs/>
          <w:kern w:val="0"/>
          <w:sz w:val="32"/>
          <w:szCs w:val="32"/>
          <w:highlight w:val="none"/>
          <w:u w:val="none"/>
          <w:shd w:val="clear" w:color="auto" w:fill="FFFFFF"/>
          <w:lang w:val="zh-CN" w:eastAsia="zh-CN" w:bidi="ar-SA"/>
        </w:rPr>
        <w:t>二是</w:t>
      </w:r>
      <w:r>
        <w:rPr>
          <w:rFonts w:hint="default" w:ascii="Times New Roman" w:hAnsi="Times New Roman" w:eastAsia="仿宋_GB2312" w:cs="Times New Roman"/>
          <w:color w:val="auto"/>
          <w:sz w:val="32"/>
          <w:szCs w:val="32"/>
          <w:highlight w:val="none"/>
          <w:lang w:val="en-US" w:eastAsia="zh-CN"/>
        </w:rPr>
        <w:t>根据</w:t>
      </w:r>
      <w:r>
        <w:rPr>
          <w:rFonts w:hint="default" w:ascii="Times New Roman" w:hAnsi="Times New Roman" w:eastAsia="仿宋_GB2312" w:cs="Times New Roman"/>
          <w:color w:val="auto"/>
          <w:kern w:val="0"/>
          <w:sz w:val="32"/>
          <w:szCs w:val="32"/>
          <w:highlight w:val="none"/>
        </w:rPr>
        <w:t>《阿坝州人民政府办公室关于做好2025年一季度经济“开门红”工作的通知》（阿府办发〔2025〕2号）中关于</w:t>
      </w:r>
      <w:r>
        <w:rPr>
          <w:rFonts w:hint="default" w:ascii="Times New Roman" w:hAnsi="Times New Roman" w:eastAsia="仿宋_GB2312" w:cs="Times New Roman"/>
          <w:kern w:val="0"/>
          <w:sz w:val="32"/>
          <w:szCs w:val="32"/>
          <w:highlight w:val="none"/>
        </w:rPr>
        <w:t>《激发市场活力促进经济持续向好的若干措施》</w:t>
      </w:r>
      <w:r>
        <w:rPr>
          <w:rFonts w:hint="default" w:ascii="Times New Roman" w:hAnsi="Times New Roman" w:eastAsia="仿宋_GB2312" w:cs="Times New Roman"/>
          <w:kern w:val="0"/>
          <w:sz w:val="32"/>
          <w:szCs w:val="32"/>
          <w:highlight w:val="none"/>
          <w:lang w:val="en-US" w:eastAsia="zh-CN"/>
        </w:rPr>
        <w:t>，印发《</w:t>
      </w:r>
      <w:r>
        <w:rPr>
          <w:rFonts w:hint="default" w:ascii="Times New Roman" w:hAnsi="Times New Roman" w:eastAsia="仿宋_GB2312" w:cs="Times New Roman"/>
          <w:kern w:val="0"/>
          <w:sz w:val="32"/>
          <w:szCs w:val="32"/>
          <w:highlight w:val="none"/>
        </w:rPr>
        <w:t>阿坝州</w:t>
      </w:r>
      <w:r>
        <w:rPr>
          <w:rFonts w:hint="default" w:ascii="Times New Roman" w:hAnsi="Times New Roman" w:eastAsia="仿宋_GB2312" w:cs="Times New Roman"/>
          <w:kern w:val="0"/>
          <w:sz w:val="32"/>
          <w:szCs w:val="32"/>
          <w:highlight w:val="none"/>
          <w:lang w:eastAsia="zh-CN"/>
        </w:rPr>
        <w:t>商务局</w:t>
      </w:r>
      <w:r>
        <w:rPr>
          <w:rFonts w:hint="default" w:ascii="Times New Roman" w:hAnsi="Times New Roman" w:eastAsia="仿宋_GB2312" w:cs="Times New Roman"/>
          <w:kern w:val="0"/>
          <w:sz w:val="32"/>
          <w:szCs w:val="32"/>
          <w:highlight w:val="none"/>
        </w:rPr>
        <w:t>关于做好阿坝州商务领域服务业市场经营主体发展培育扶持补助资金申报工作的通知</w:t>
      </w:r>
      <w:r>
        <w:rPr>
          <w:rFonts w:hint="default" w:ascii="Times New Roman" w:hAnsi="Times New Roman" w:eastAsia="仿宋_GB2312" w:cs="Times New Roman"/>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组织县（市）积极开展资金申报，</w:t>
      </w:r>
      <w:r>
        <w:rPr>
          <w:rFonts w:hint="default" w:ascii="Times New Roman" w:hAnsi="Times New Roman" w:eastAsia="仿宋_GB2312" w:cs="Times New Roman"/>
          <w:kern w:val="0"/>
          <w:sz w:val="32"/>
          <w:szCs w:val="32"/>
          <w:highlight w:val="none"/>
          <w:shd w:val="clear" w:color="auto" w:fill="FFFFFF"/>
          <w:lang w:val="zh-CN" w:eastAsia="zh-CN"/>
        </w:rPr>
        <w:t>按程序下达各县（市）。</w:t>
      </w:r>
    </w:p>
    <w:p w14:paraId="0DFB9F17">
      <w:pPr>
        <w:keepNext w:val="0"/>
        <w:keepLines w:val="0"/>
        <w:pageBreakBefore w:val="0"/>
        <w:widowControl w:val="0"/>
        <w:kinsoku/>
        <w:wordWrap/>
        <w:overflowPunct/>
        <w:topLinePunct w:val="0"/>
        <w:autoSpaceDE/>
        <w:autoSpaceDN/>
        <w:adjustRightInd w:val="0"/>
        <w:snapToGrid w:val="0"/>
        <w:spacing w:line="560" w:lineRule="exact"/>
        <w:ind w:firstLine="643" w:firstLineChars="200"/>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bidi="ar-SA"/>
        </w:rPr>
        <w:t>2.资金支持情况。</w:t>
      </w:r>
      <w:r>
        <w:rPr>
          <w:rFonts w:hint="default"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kern w:val="0"/>
          <w:sz w:val="32"/>
          <w:szCs w:val="32"/>
          <w:highlight w:val="none"/>
          <w:lang w:eastAsia="zh-CN"/>
        </w:rPr>
        <w:t>2024年度“转企升规”激励资金</w:t>
      </w:r>
      <w:r>
        <w:rPr>
          <w:rFonts w:hint="eastAsia" w:ascii="Times New Roman" w:hAnsi="Times New Roman" w:eastAsia="仿宋_GB2312" w:cs="Times New Roman"/>
          <w:kern w:val="0"/>
          <w:sz w:val="32"/>
          <w:szCs w:val="32"/>
          <w:highlight w:val="none"/>
          <w:lang w:val="en-US" w:eastAsia="zh-CN"/>
        </w:rPr>
        <w:t>122万元</w:t>
      </w:r>
      <w:r>
        <w:rPr>
          <w:rFonts w:hint="default" w:ascii="Times New Roman" w:hAnsi="Times New Roman" w:eastAsia="仿宋_GB2312" w:cs="Times New Roman"/>
          <w:sz w:val="32"/>
          <w:szCs w:val="32"/>
          <w:highlight w:val="none"/>
          <w:lang w:val="en-US" w:eastAsia="zh-CN"/>
        </w:rPr>
        <w:t>；其中：</w:t>
      </w:r>
      <w:r>
        <w:rPr>
          <w:rFonts w:hint="default" w:ascii="Times New Roman" w:hAnsi="Times New Roman" w:eastAsia="仿宋_GB2312" w:cs="Times New Roman"/>
          <w:spacing w:val="0"/>
          <w:w w:val="100"/>
          <w:kern w:val="2"/>
          <w:sz w:val="32"/>
          <w:szCs w:val="32"/>
          <w:highlight w:val="none"/>
          <w:lang w:val="en-US" w:eastAsia="zh-CN" w:bidi="ar-SA"/>
        </w:rPr>
        <w:t>服务业“小升规”激励</w:t>
      </w:r>
      <w:r>
        <w:rPr>
          <w:rFonts w:hint="eastAsia" w:ascii="Times New Roman" w:hAnsi="Times New Roman" w:eastAsia="仿宋_GB2312" w:cs="Times New Roman"/>
          <w:spacing w:val="0"/>
          <w:w w:val="100"/>
          <w:kern w:val="2"/>
          <w:sz w:val="32"/>
          <w:szCs w:val="32"/>
          <w:highlight w:val="none"/>
          <w:lang w:val="en-US" w:eastAsia="zh-CN" w:bidi="ar-SA"/>
        </w:rPr>
        <w:t>资金56万元（马尔康市、汶川县、金川县各8万元，茂县、松潘县</w:t>
      </w:r>
      <w:r>
        <w:rPr>
          <w:rFonts w:hint="default" w:ascii="Times New Roman" w:hAnsi="Times New Roman" w:eastAsia="仿宋_GB2312" w:cs="Times New Roman"/>
          <w:spacing w:val="0"/>
          <w:w w:val="100"/>
          <w:kern w:val="2"/>
          <w:sz w:val="32"/>
          <w:szCs w:val="32"/>
          <w:highlight w:val="none"/>
          <w:lang w:val="en-US" w:eastAsia="zh-CN" w:bidi="ar-SA"/>
        </w:rPr>
        <w:t>、</w:t>
      </w:r>
      <w:r>
        <w:rPr>
          <w:rFonts w:hint="eastAsia" w:ascii="Times New Roman" w:hAnsi="Times New Roman" w:eastAsia="仿宋_GB2312" w:cs="Times New Roman"/>
          <w:spacing w:val="0"/>
          <w:w w:val="100"/>
          <w:kern w:val="2"/>
          <w:sz w:val="32"/>
          <w:szCs w:val="32"/>
          <w:highlight w:val="none"/>
          <w:lang w:val="en-US" w:eastAsia="zh-CN" w:bidi="ar-SA"/>
        </w:rPr>
        <w:t>九寨沟县、阿坝县、若尔盖县各4万元，壤塘县12万元）；</w:t>
      </w:r>
      <w:r>
        <w:rPr>
          <w:rFonts w:hint="default" w:ascii="Times New Roman" w:hAnsi="Times New Roman" w:eastAsia="仿宋_GB2312" w:cs="Times New Roman"/>
          <w:spacing w:val="0"/>
          <w:w w:val="100"/>
          <w:kern w:val="2"/>
          <w:sz w:val="32"/>
          <w:szCs w:val="32"/>
          <w:highlight w:val="none"/>
          <w:lang w:val="en-US" w:eastAsia="zh-CN" w:bidi="ar-SA"/>
        </w:rPr>
        <w:t>商贸业“上限”激励资金</w:t>
      </w:r>
      <w:r>
        <w:rPr>
          <w:rFonts w:hint="default" w:ascii="Times New Roman" w:hAnsi="Times New Roman" w:eastAsia="仿宋_GB2312" w:cs="Times New Roman"/>
          <w:kern w:val="0"/>
          <w:sz w:val="32"/>
          <w:szCs w:val="32"/>
          <w:highlight w:val="none"/>
          <w:u w:val="none"/>
          <w:shd w:val="clear" w:color="auto" w:fill="FFFFFF"/>
          <w:lang w:val="zh-CN" w:eastAsia="zh-CN" w:bidi="ar-SA"/>
        </w:rPr>
        <w:t>资金</w:t>
      </w:r>
      <w:r>
        <w:rPr>
          <w:rFonts w:hint="eastAsia" w:ascii="Times New Roman" w:hAnsi="Times New Roman" w:eastAsia="仿宋_GB2312" w:cs="Times New Roman"/>
          <w:kern w:val="0"/>
          <w:sz w:val="32"/>
          <w:szCs w:val="32"/>
          <w:highlight w:val="none"/>
          <w:u w:val="none"/>
          <w:shd w:val="clear" w:color="auto" w:fill="FFFFFF"/>
          <w:lang w:val="en-US" w:eastAsia="zh-CN" w:bidi="ar-SA"/>
        </w:rPr>
        <w:t>66万元（马尔康市、九寨沟县各10万元，小金县8万元、汶川县、茂县、阿坝县、若尔盖县各6万元，红原县4万元，理县、松潘县、金川县、黑水县、壤塘县各2万元）。</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bCs/>
          <w:sz w:val="32"/>
          <w:szCs w:val="32"/>
          <w:highlight w:val="none"/>
        </w:rPr>
        <w:t>2024年度服务业市场经营主体发展培育扶持补助资金</w:t>
      </w:r>
      <w:r>
        <w:rPr>
          <w:rFonts w:hint="default" w:ascii="Times New Roman" w:hAnsi="Times New Roman" w:eastAsia="仿宋_GB2312" w:cs="Times New Roman"/>
          <w:bCs/>
          <w:sz w:val="32"/>
          <w:szCs w:val="32"/>
          <w:highlight w:val="none"/>
          <w:lang w:val="en-US" w:eastAsia="zh-CN"/>
        </w:rPr>
        <w:t>269.7154万元</w:t>
      </w:r>
      <w:r>
        <w:rPr>
          <w:rFonts w:hint="eastAsia" w:ascii="Times New Roman" w:hAnsi="Times New Roman" w:eastAsia="仿宋_GB2312" w:cs="Times New Roman"/>
          <w:bCs/>
          <w:sz w:val="32"/>
          <w:szCs w:val="32"/>
          <w:highlight w:val="none"/>
          <w:lang w:val="en-US" w:eastAsia="zh-CN"/>
        </w:rPr>
        <w:t>（马尔康市23.275万元、金川县13.25万元、小金县29.3万元、阿坝县25.5万元、若尔盖县15万元、红原县22.9992万元、壤塘县4.7万元、汶川县43.2万元、理县15.425万元、茂县15.6万元、松潘县28.6996万元、九寨沟县21.1666万元、黑水县11.6万元）</w:t>
      </w:r>
      <w:r>
        <w:rPr>
          <w:rFonts w:hint="default" w:ascii="Times New Roman" w:hAnsi="Times New Roman" w:eastAsia="仿宋_GB2312" w:cs="Times New Roman"/>
          <w:color w:val="000000"/>
          <w:kern w:val="0"/>
          <w:sz w:val="32"/>
          <w:szCs w:val="32"/>
          <w:highlight w:val="none"/>
          <w:lang w:val="en-US" w:eastAsia="zh-CN"/>
        </w:rPr>
        <w:t>。</w:t>
      </w:r>
    </w:p>
    <w:p w14:paraId="2C6A453D">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Times New Roman" w:eastAsia="楷体_GB2312" w:cs="Times New Roman"/>
          <w:b/>
          <w:bCs/>
          <w:sz w:val="32"/>
          <w:szCs w:val="32"/>
          <w:highlight w:val="none"/>
          <w:lang w:bidi="ar-SA"/>
        </w:rPr>
      </w:pPr>
      <w:r>
        <w:rPr>
          <w:rFonts w:hint="eastAsia" w:ascii="楷体_GB2312" w:hAnsi="Times New Roman" w:eastAsia="楷体_GB2312" w:cs="Times New Roman"/>
          <w:b/>
          <w:bCs/>
          <w:sz w:val="32"/>
          <w:szCs w:val="32"/>
          <w:highlight w:val="none"/>
          <w:lang w:bidi="ar-SA"/>
        </w:rPr>
        <w:t>（</w:t>
      </w:r>
      <w:r>
        <w:rPr>
          <w:rFonts w:hint="eastAsia" w:ascii="楷体_GB2312" w:hAnsi="Times New Roman" w:eastAsia="楷体_GB2312" w:cs="Times New Roman"/>
          <w:b/>
          <w:bCs/>
          <w:sz w:val="32"/>
          <w:szCs w:val="32"/>
          <w:highlight w:val="none"/>
          <w:lang w:val="en-US" w:eastAsia="zh-CN" w:bidi="ar-SA"/>
        </w:rPr>
        <w:t>二</w:t>
      </w:r>
      <w:r>
        <w:rPr>
          <w:rFonts w:hint="eastAsia" w:ascii="楷体_GB2312" w:hAnsi="Times New Roman" w:eastAsia="楷体_GB2312" w:cs="Times New Roman"/>
          <w:b/>
          <w:bCs/>
          <w:sz w:val="32"/>
          <w:szCs w:val="32"/>
          <w:highlight w:val="none"/>
          <w:lang w:bidi="ar-SA"/>
        </w:rPr>
        <w:t>）绩效指标完成情况</w:t>
      </w:r>
    </w:p>
    <w:p w14:paraId="4F7D20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Fonts w:hint="eastAsia"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bCs/>
          <w:sz w:val="32"/>
          <w:szCs w:val="32"/>
          <w:highlight w:val="none"/>
          <w:lang w:val="en-US" w:eastAsia="zh-CN"/>
        </w:rPr>
        <w:t>2025年</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2"/>
          <w:sz w:val="32"/>
          <w:szCs w:val="32"/>
          <w:highlight w:val="none"/>
        </w:rPr>
        <w:t>全州服务业保持稳中有进发展态势，实现服务业增加值</w:t>
      </w:r>
      <w:r>
        <w:rPr>
          <w:rFonts w:hint="eastAsia" w:ascii="Times New Roman" w:hAnsi="Times New Roman" w:eastAsia="仿宋_GB2312" w:cs="Times New Roman"/>
          <w:kern w:val="2"/>
          <w:sz w:val="32"/>
          <w:szCs w:val="32"/>
          <w:highlight w:val="none"/>
          <w:lang w:eastAsia="zh-CN"/>
        </w:rPr>
        <w:t>增速</w:t>
      </w:r>
      <w:r>
        <w:rPr>
          <w:rFonts w:hint="default" w:ascii="Times New Roman" w:hAnsi="Times New Roman" w:eastAsia="仿宋_GB2312" w:cs="Times New Roman"/>
          <w:kern w:val="2"/>
          <w:sz w:val="32"/>
          <w:szCs w:val="32"/>
          <w:highlight w:val="none"/>
        </w:rPr>
        <w:t>同比增长</w:t>
      </w:r>
      <w:r>
        <w:rPr>
          <w:rFonts w:hint="eastAsia" w:ascii="Times New Roman" w:hAnsi="Times New Roman" w:eastAsia="仿宋_GB2312" w:cs="Times New Roman"/>
          <w:kern w:val="2"/>
          <w:sz w:val="32"/>
          <w:szCs w:val="32"/>
          <w:highlight w:val="none"/>
          <w:lang w:val="en-US" w:eastAsia="zh-CN"/>
        </w:rPr>
        <w:t>6</w:t>
      </w:r>
      <w:r>
        <w:rPr>
          <w:rFonts w:hint="default" w:ascii="Times New Roman" w:hAnsi="Times New Roman" w:eastAsia="仿宋_GB2312" w:cs="Times New Roman"/>
          <w:kern w:val="2"/>
          <w:sz w:val="32"/>
          <w:szCs w:val="32"/>
          <w:highlight w:val="none"/>
        </w:rPr>
        <w:t>%</w:t>
      </w:r>
      <w:r>
        <w:rPr>
          <w:rFonts w:hint="eastAsia" w:ascii="Times New Roman" w:hAnsi="Times New Roman" w:eastAsia="仿宋_GB2312" w:cs="Times New Roman"/>
          <w:kern w:val="2"/>
          <w:sz w:val="32"/>
          <w:szCs w:val="32"/>
          <w:highlight w:val="none"/>
          <w:lang w:eastAsia="zh-CN"/>
        </w:rPr>
        <w:t>，社会消费品零售总额同比增长</w:t>
      </w:r>
      <w:r>
        <w:rPr>
          <w:rFonts w:hint="eastAsia" w:ascii="Times New Roman" w:hAnsi="Times New Roman" w:eastAsia="仿宋_GB2312" w:cs="Times New Roman"/>
          <w:kern w:val="2"/>
          <w:sz w:val="32"/>
          <w:szCs w:val="32"/>
          <w:highlight w:val="none"/>
          <w:lang w:val="en-US" w:eastAsia="zh-CN"/>
        </w:rPr>
        <w:t>7.4%</w:t>
      </w:r>
      <w:r>
        <w:rPr>
          <w:rFonts w:hint="eastAsia" w:ascii="Times New Roman" w:hAnsi="Times New Roman" w:eastAsia="仿宋_GB2312" w:cs="Times New Roman"/>
          <w:kern w:val="2"/>
          <w:sz w:val="32"/>
          <w:szCs w:val="32"/>
          <w:highlight w:val="none"/>
          <w:lang w:eastAsia="zh-CN"/>
        </w:rPr>
        <w:t>。</w:t>
      </w:r>
    </w:p>
    <w:p w14:paraId="6DD78370">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三</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29D48722">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2"/>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通过商务领域市场主体扶持补助资金，进一步提升服务业市场主体活跃度，让市场主体不断壮大，促进服务业经济发展</w:t>
      </w:r>
      <w:r>
        <w:rPr>
          <w:rFonts w:hint="default" w:ascii="Times New Roman" w:hAnsi="Times New Roman" w:eastAsia="仿宋_GB2312" w:cs="Times New Roman"/>
          <w:b w:val="0"/>
          <w:bCs w:val="0"/>
          <w:kern w:val="0"/>
          <w:position w:val="3"/>
          <w:sz w:val="32"/>
          <w:szCs w:val="32"/>
          <w:highlight w:val="none"/>
          <w:lang w:val="zh-CN" w:eastAsia="en-US" w:bidi="ar-SA"/>
        </w:rPr>
        <w:t>。</w:t>
      </w:r>
      <w:r>
        <w:rPr>
          <w:rFonts w:hint="eastAsia" w:ascii="Times New Roman" w:hAnsi="Times New Roman" w:eastAsia="仿宋_GB2312" w:cs="Times New Roman"/>
          <w:b w:val="0"/>
          <w:bCs w:val="0"/>
          <w:kern w:val="0"/>
          <w:position w:val="3"/>
          <w:sz w:val="32"/>
          <w:szCs w:val="32"/>
          <w:highlight w:val="none"/>
          <w:lang w:val="zh-CN" w:eastAsia="en-US" w:bidi="ar-SA"/>
        </w:rPr>
        <w:t>自评得分：</w:t>
      </w:r>
      <w:r>
        <w:rPr>
          <w:rFonts w:hint="eastAsia" w:ascii="Times New Roman" w:hAnsi="Times New Roman" w:eastAsia="仿宋_GB2312" w:cs="Times New Roman"/>
          <w:b w:val="0"/>
          <w:bCs w:val="0"/>
          <w:kern w:val="0"/>
          <w:position w:val="3"/>
          <w:sz w:val="32"/>
          <w:szCs w:val="32"/>
          <w:highlight w:val="none"/>
          <w:lang w:val="en-US" w:eastAsia="zh-CN" w:bidi="ar-SA"/>
        </w:rPr>
        <w:t>94分。</w:t>
      </w:r>
    </w:p>
    <w:p w14:paraId="61215D7A">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eastAsia" w:ascii="Times New Roman" w:hAnsi="Times New Roman" w:eastAsia="黑体" w:cs="Times New Roman"/>
          <w:color w:val="auto"/>
          <w:kern w:val="0"/>
          <w:position w:val="3"/>
          <w:sz w:val="32"/>
          <w:szCs w:val="32"/>
          <w:highlight w:val="none"/>
          <w:u w:val="none"/>
          <w:lang w:val="zh-CN" w:eastAsia="zh-CN" w:bidi="ar-SA"/>
        </w:rPr>
        <w:t>四</w:t>
      </w:r>
      <w:r>
        <w:rPr>
          <w:rFonts w:hint="default" w:ascii="Times New Roman" w:hAnsi="Times New Roman" w:eastAsia="黑体" w:cs="Times New Roman"/>
          <w:color w:val="auto"/>
          <w:kern w:val="0"/>
          <w:position w:val="3"/>
          <w:sz w:val="32"/>
          <w:szCs w:val="32"/>
          <w:highlight w:val="none"/>
          <w:u w:val="none"/>
          <w:lang w:val="zh-CN" w:eastAsia="zh-CN" w:bidi="ar-SA"/>
        </w:rPr>
        <w:t>、</w:t>
      </w:r>
      <w:r>
        <w:rPr>
          <w:rFonts w:hint="eastAsia" w:ascii="Times New Roman" w:hAnsi="Times New Roman" w:eastAsia="黑体" w:cs="Times New Roman"/>
          <w:color w:val="auto"/>
          <w:kern w:val="0"/>
          <w:position w:val="3"/>
          <w:sz w:val="32"/>
          <w:szCs w:val="32"/>
          <w:highlight w:val="none"/>
          <w:u w:val="none"/>
          <w:lang w:val="zh-CN" w:eastAsia="zh-CN" w:bidi="ar-SA"/>
        </w:rPr>
        <w:t>下步措施</w:t>
      </w:r>
    </w:p>
    <w:p w14:paraId="6D4586F5">
      <w:pPr>
        <w:keepNext w:val="0"/>
        <w:keepLines w:val="0"/>
        <w:pageBreakBefore w:val="0"/>
        <w:widowControl w:val="0"/>
        <w:suppressLineNumbers w:val="0"/>
        <w:suppressAutoHyphens w:val="0"/>
        <w:kinsoku/>
        <w:wordWrap/>
        <w:overflowPunct/>
        <w:topLinePunct w:val="0"/>
        <w:autoSpaceDE/>
        <w:autoSpaceDN/>
        <w:spacing w:line="560" w:lineRule="exact"/>
        <w:ind w:firstLine="640" w:firstLineChars="200"/>
        <w:rPr>
          <w:rFonts w:hint="default" w:ascii="Times New Roman" w:hAnsi="Times New Roman" w:eastAsia="仿宋_GB2312" w:cs="Times New Roman"/>
          <w:bCs/>
          <w:sz w:val="32"/>
          <w:szCs w:val="32"/>
          <w:highlight w:val="none"/>
          <w:lang w:val="en-US" w:eastAsia="zh-CN" w:bidi="ar-SA"/>
        </w:rPr>
      </w:pPr>
      <w:r>
        <w:rPr>
          <w:rFonts w:hint="default" w:ascii="Times New Roman" w:hAnsi="Times New Roman" w:eastAsia="仿宋_GB2312" w:cs="Times New Roman"/>
          <w:bCs/>
          <w:sz w:val="32"/>
          <w:szCs w:val="32"/>
          <w:highlight w:val="none"/>
          <w:lang w:val="en-US" w:eastAsia="zh-CN" w:bidi="ar-SA"/>
        </w:rPr>
        <w:t>我局将指导获得</w:t>
      </w:r>
      <w:r>
        <w:rPr>
          <w:rFonts w:hint="default" w:ascii="Times New Roman" w:hAnsi="Times New Roman" w:eastAsia="仿宋_GB2312" w:cs="Times New Roman"/>
          <w:bCs/>
          <w:sz w:val="32"/>
          <w:szCs w:val="32"/>
          <w:highlight w:val="none"/>
        </w:rPr>
        <w:t>专项资金的</w:t>
      </w:r>
      <w:r>
        <w:rPr>
          <w:rFonts w:ascii="Times New Roman" w:hAnsi="Times New Roman" w:eastAsia="仿宋_GB2312" w:cs="Times New Roman"/>
          <w:bCs/>
          <w:sz w:val="32"/>
          <w:szCs w:val="32"/>
          <w:highlight w:val="none"/>
        </w:rPr>
        <w:t>县</w:t>
      </w:r>
      <w:r>
        <w:rPr>
          <w:rFonts w:hint="default" w:ascii="Times New Roman" w:hAnsi="Times New Roman" w:eastAsia="仿宋_GB2312" w:cs="Times New Roman"/>
          <w:bCs/>
          <w:sz w:val="32"/>
          <w:szCs w:val="32"/>
          <w:highlight w:val="none"/>
          <w:lang w:val="en-US" w:eastAsia="zh-CN" w:bidi="ar-SA"/>
        </w:rPr>
        <w:t>收到资金后，按照国家有关财务、会计制度的规定进行账务处理，严格按照规定使用资金，</w:t>
      </w:r>
      <w:r>
        <w:rPr>
          <w:rFonts w:hint="eastAsia" w:ascii="Times New Roman" w:hAnsi="Times New Roman" w:eastAsia="仿宋_GB2312" w:cs="Times New Roman"/>
          <w:bCs/>
          <w:sz w:val="32"/>
          <w:szCs w:val="32"/>
          <w:highlight w:val="none"/>
          <w:lang w:val="en-US" w:eastAsia="zh-CN" w:bidi="ar-SA"/>
        </w:rPr>
        <w:t>确保专款专用，</w:t>
      </w:r>
      <w:r>
        <w:rPr>
          <w:rFonts w:hint="default" w:ascii="Times New Roman" w:hAnsi="Times New Roman" w:eastAsia="仿宋_GB2312" w:cs="Times New Roman"/>
          <w:bCs/>
          <w:sz w:val="32"/>
          <w:szCs w:val="32"/>
          <w:highlight w:val="none"/>
          <w:lang w:val="en-US" w:eastAsia="zh-CN" w:bidi="ar-SA"/>
        </w:rPr>
        <w:t>自觉接受财政、商务、审计等主管部门的监督检查，并按照国家档案管理有关规定妥善保管申请和审核材料，以备核查。</w:t>
      </w:r>
    </w:p>
    <w:p w14:paraId="522795B5">
      <w:pPr>
        <w:rPr>
          <w:rFonts w:hint="eastAsia"/>
          <w:highlight w:val="none"/>
          <w:lang w:val="en-US" w:eastAsia="zh-CN"/>
        </w:rPr>
      </w:pPr>
      <w:r>
        <w:rPr>
          <w:rFonts w:hint="eastAsia"/>
          <w:highlight w:val="none"/>
          <w:lang w:val="en-US" w:eastAsia="zh-CN"/>
        </w:rPr>
        <w:br w:type="page"/>
      </w:r>
    </w:p>
    <w:p w14:paraId="30918115">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阿坝州商务局</w:t>
      </w:r>
    </w:p>
    <w:p w14:paraId="7FFD8B68">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消费品以旧换新专项预算绩效自评报告</w:t>
      </w:r>
    </w:p>
    <w:p w14:paraId="76CCF85C">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14:paraId="3F9E01B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30E4157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为贯彻落实党中央国务院、省委省政府关于推动消费品以旧换新的决策部署，</w:t>
      </w: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根据《四川省2025年加力扩围支持大规模设备更新和消费品以旧换新政策措施》文件精神，积极推动消费品以旧换新。</w:t>
      </w:r>
    </w:p>
    <w:p w14:paraId="57F234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仿宋_GB2312" w:cs="Times New Roman"/>
          <w:sz w:val="32"/>
          <w:szCs w:val="32"/>
          <w:highlight w:val="none"/>
          <w:lang w:val="en-US" w:eastAsia="zh-CN"/>
        </w:rPr>
        <w:t>坚持政府引导、市场为主，以标准为牵引、政策为激励、畅通循环为驱动，</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加快发展“换新+回收”新体系新模式，建立“去旧更容易、换新更愿意”的有效机制，推动消费升级与产业升级良性互动，更好发挥消费对经济增长的支撑作用，更好满足人民群众美好生活需要。在全州范围内开展汽车报废更新、汽车置换更新、家电以旧换新、电动自行车以旧换新活动。</w:t>
      </w:r>
    </w:p>
    <w:p w14:paraId="02D63FE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2025年，由州财政统筹安排资金支持消费品以旧换新工作。</w:t>
      </w:r>
    </w:p>
    <w:p w14:paraId="325E72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_GB2312" w:hAnsi="仿宋_GB2312" w:eastAsia="仿宋_GB2312" w:cs="仿宋_GB2312"/>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sz w:val="32"/>
          <w:szCs w:val="32"/>
          <w:highlight w:val="none"/>
          <w:lang w:val="en-US" w:eastAsia="zh-CN"/>
        </w:rPr>
        <w:t>一是参与消费品以旧换新活动的商户不少于50家；二是活动在2025年12月底前完成；三是不超预算；四是全市社会消费品零售比上年度有所增长；五是服务对象满意度</w:t>
      </w:r>
      <w:r>
        <w:rPr>
          <w:rFonts w:hint="default" w:ascii="Arial" w:hAnsi="Arial" w:eastAsia="仿宋_GB2312" w:cs="Arial"/>
          <w:sz w:val="32"/>
          <w:szCs w:val="32"/>
          <w:highlight w:val="none"/>
          <w:lang w:val="en-US" w:eastAsia="zh-CN"/>
        </w:rPr>
        <w:t>≥</w:t>
      </w:r>
      <w:r>
        <w:rPr>
          <w:rFonts w:hint="eastAsia" w:ascii="仿宋_GB2312" w:hAnsi="仿宋_GB2312" w:eastAsia="仿宋_GB2312" w:cs="仿宋_GB2312"/>
          <w:sz w:val="32"/>
          <w:szCs w:val="32"/>
          <w:highlight w:val="none"/>
          <w:lang w:val="en-US" w:eastAsia="zh-CN"/>
        </w:rPr>
        <w:t>85%</w:t>
      </w:r>
    </w:p>
    <w:p w14:paraId="67D78B9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07947D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highlight w:val="none"/>
          <w:lang w:eastAsia="zh-CN"/>
        </w:rPr>
        <w:t>更好掌握消费品以旧换新</w:t>
      </w:r>
      <w:r>
        <w:rPr>
          <w:rFonts w:hint="default" w:ascii="Times New Roman" w:hAnsi="Times New Roman" w:eastAsia="仿宋_GB2312" w:cs="Times New Roman"/>
          <w:sz w:val="32"/>
          <w:szCs w:val="32"/>
          <w:highlight w:val="none"/>
        </w:rPr>
        <w:t>政策执行的成本效益、对市场的促进作用、对环保的贡献</w:t>
      </w:r>
      <w:r>
        <w:rPr>
          <w:rFonts w:hint="default" w:ascii="Times New Roman" w:hAnsi="Times New Roman" w:eastAsia="仿宋_GB2312" w:cs="Times New Roman"/>
          <w:sz w:val="32"/>
          <w:szCs w:val="32"/>
          <w:highlight w:val="none"/>
          <w:lang w:eastAsia="zh-CN"/>
        </w:rPr>
        <w:t>。</w:t>
      </w:r>
    </w:p>
    <w:p w14:paraId="7AAFBCF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highlight w:val="none"/>
          <w:lang w:val="en-US" w:eastAsia="zh-CN"/>
        </w:rPr>
        <w:t>2025年，</w:t>
      </w:r>
      <w:r>
        <w:rPr>
          <w:rFonts w:hint="default" w:ascii="Times New Roman" w:hAnsi="Times New Roman" w:eastAsia="仿宋_GB2312" w:cs="Times New Roman"/>
          <w:sz w:val="32"/>
          <w:szCs w:val="32"/>
          <w:highlight w:val="none"/>
          <w:lang w:eastAsia="zh-CN"/>
        </w:rPr>
        <w:t>家电以旧换新审核通过</w:t>
      </w:r>
      <w:r>
        <w:rPr>
          <w:rFonts w:hint="eastAsia" w:ascii="Times New Roman" w:hAnsi="Times New Roman" w:eastAsia="仿宋_GB2312" w:cs="Times New Roman"/>
          <w:sz w:val="32"/>
          <w:szCs w:val="32"/>
          <w:highlight w:val="none"/>
          <w:lang w:val="en-US" w:eastAsia="zh-CN"/>
        </w:rPr>
        <w:t>11484</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3152.79</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595.27</w:t>
      </w:r>
      <w:r>
        <w:rPr>
          <w:rFonts w:hint="default" w:ascii="Times New Roman" w:hAnsi="Times New Roman" w:eastAsia="仿宋_GB2312" w:cs="Times New Roman"/>
          <w:sz w:val="32"/>
          <w:szCs w:val="32"/>
          <w:highlight w:val="none"/>
          <w:lang w:eastAsia="zh-CN"/>
        </w:rPr>
        <w:t>万元，撬动比达1：</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；手机等数码产品购新审核通过</w:t>
      </w:r>
      <w:r>
        <w:rPr>
          <w:rFonts w:hint="eastAsia" w:ascii="Times New Roman" w:hAnsi="Times New Roman" w:eastAsia="仿宋_GB2312" w:cs="Times New Roman"/>
          <w:sz w:val="32"/>
          <w:szCs w:val="32"/>
          <w:highlight w:val="none"/>
          <w:lang w:val="en-US" w:eastAsia="zh-CN"/>
        </w:rPr>
        <w:t>8197件，带动消费2403.99万元，</w:t>
      </w:r>
      <w:r>
        <w:rPr>
          <w:rFonts w:hint="eastAsia" w:ascii="仿宋_GB2312" w:hAnsi="仿宋_GB2312" w:eastAsia="仿宋_GB2312" w:cs="仿宋_GB2312"/>
          <w:color w:val="000000"/>
          <w:kern w:val="0"/>
          <w:sz w:val="31"/>
          <w:szCs w:val="31"/>
          <w:highlight w:val="none"/>
          <w:lang w:val="en-US" w:eastAsia="zh-CN" w:bidi="ar"/>
        </w:rPr>
        <w:t>发放补贴305.46万元，</w:t>
      </w:r>
      <w:r>
        <w:rPr>
          <w:rFonts w:hint="default" w:ascii="Times New Roman" w:hAnsi="Times New Roman" w:eastAsia="仿宋_GB2312" w:cs="Times New Roman"/>
          <w:sz w:val="32"/>
          <w:szCs w:val="32"/>
          <w:highlight w:val="none"/>
          <w:lang w:eastAsia="zh-CN"/>
        </w:rPr>
        <w:t>撬动比达</w:t>
      </w:r>
      <w:r>
        <w:rPr>
          <w:rFonts w:hint="eastAsia" w:ascii="Times New Roman" w:hAnsi="Times New Roman" w:eastAsia="仿宋_GB2312" w:cs="Times New Roman"/>
          <w:sz w:val="32"/>
          <w:szCs w:val="32"/>
          <w:highlight w:val="none"/>
          <w:lang w:val="en-US" w:eastAsia="zh-CN"/>
        </w:rPr>
        <w:t>1：8。</w:t>
      </w:r>
      <w:r>
        <w:rPr>
          <w:rFonts w:hint="default" w:ascii="Times New Roman" w:hAnsi="Times New Roman" w:eastAsia="仿宋_GB2312" w:cs="Times New Roman"/>
          <w:sz w:val="32"/>
          <w:szCs w:val="32"/>
          <w:highlight w:val="none"/>
          <w:lang w:eastAsia="zh-CN"/>
        </w:rPr>
        <w:t>汽车报废更新审核通过</w:t>
      </w:r>
      <w:r>
        <w:rPr>
          <w:rFonts w:hint="eastAsia" w:ascii="Times New Roman" w:hAnsi="Times New Roman" w:eastAsia="仿宋_GB2312" w:cs="Times New Roman"/>
          <w:sz w:val="32"/>
          <w:szCs w:val="32"/>
          <w:highlight w:val="none"/>
          <w:lang w:val="en-US" w:eastAsia="zh-CN"/>
        </w:rPr>
        <w:t>725</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6080</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1330</w:t>
      </w:r>
      <w:r>
        <w:rPr>
          <w:rFonts w:hint="default" w:ascii="Times New Roman" w:hAnsi="Times New Roman" w:eastAsia="仿宋_GB2312" w:cs="Times New Roman"/>
          <w:sz w:val="32"/>
          <w:szCs w:val="32"/>
          <w:highlight w:val="none"/>
          <w:lang w:eastAsia="zh-CN"/>
        </w:rPr>
        <w:t>万元，撬动比达1：5；汽车置换更新审核通过</w:t>
      </w:r>
      <w:r>
        <w:rPr>
          <w:rFonts w:hint="eastAsia" w:ascii="Times New Roman" w:hAnsi="Times New Roman" w:eastAsia="仿宋_GB2312" w:cs="Times New Roman"/>
          <w:sz w:val="32"/>
          <w:szCs w:val="32"/>
          <w:highlight w:val="none"/>
          <w:lang w:val="en-US" w:eastAsia="zh-CN"/>
        </w:rPr>
        <w:t>942</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11015</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861.99</w:t>
      </w:r>
      <w:r>
        <w:rPr>
          <w:rFonts w:hint="default" w:ascii="Times New Roman" w:hAnsi="Times New Roman" w:eastAsia="仿宋_GB2312" w:cs="Times New Roman"/>
          <w:sz w:val="32"/>
          <w:szCs w:val="32"/>
          <w:highlight w:val="none"/>
          <w:lang w:eastAsia="zh-CN"/>
        </w:rPr>
        <w:t>万元，撬动比达1：</w:t>
      </w:r>
      <w:r>
        <w:rPr>
          <w:rFonts w:hint="eastAsia" w:ascii="Times New Roman" w:hAnsi="Times New Roman" w:eastAsia="仿宋_GB2312" w:cs="Times New Roman"/>
          <w:sz w:val="32"/>
          <w:szCs w:val="32"/>
          <w:highlight w:val="none"/>
          <w:lang w:val="en-US" w:eastAsia="zh-CN"/>
        </w:rPr>
        <w:t>12.7</w:t>
      </w:r>
      <w:r>
        <w:rPr>
          <w:rFonts w:hint="default" w:ascii="Times New Roman" w:hAnsi="Times New Roman" w:eastAsia="仿宋_GB2312" w:cs="Times New Roman"/>
          <w:sz w:val="32"/>
          <w:szCs w:val="32"/>
          <w:highlight w:val="none"/>
          <w:lang w:eastAsia="zh-CN"/>
        </w:rPr>
        <w:t>。家装消费品换新核通过</w:t>
      </w:r>
      <w:r>
        <w:rPr>
          <w:rFonts w:hint="eastAsia" w:ascii="Times New Roman" w:hAnsi="Times New Roman" w:eastAsia="仿宋_GB2312" w:cs="Times New Roman"/>
          <w:sz w:val="32"/>
          <w:szCs w:val="32"/>
          <w:highlight w:val="none"/>
          <w:lang w:val="en-US" w:eastAsia="zh-CN"/>
        </w:rPr>
        <w:t>722件，带动消费197.5万元，</w:t>
      </w:r>
      <w:r>
        <w:rPr>
          <w:rFonts w:hint="default" w:ascii="Times New Roman" w:hAnsi="Times New Roman" w:eastAsia="仿宋_GB2312" w:cs="Times New Roman"/>
          <w:sz w:val="32"/>
          <w:szCs w:val="32"/>
          <w:highlight w:val="none"/>
          <w:lang w:eastAsia="zh-CN"/>
        </w:rPr>
        <w:t>发放补贴资金</w:t>
      </w:r>
      <w:r>
        <w:rPr>
          <w:rFonts w:hint="eastAsia" w:ascii="Times New Roman" w:hAnsi="Times New Roman" w:eastAsia="仿宋_GB2312" w:cs="Times New Roman"/>
          <w:sz w:val="32"/>
          <w:szCs w:val="32"/>
          <w:highlight w:val="none"/>
          <w:lang w:val="en-US" w:eastAsia="zh-CN"/>
        </w:rPr>
        <w:t>30.57万元，</w:t>
      </w:r>
      <w:r>
        <w:rPr>
          <w:rFonts w:hint="default" w:ascii="Times New Roman" w:hAnsi="Times New Roman" w:eastAsia="仿宋_GB2312" w:cs="Times New Roman"/>
          <w:sz w:val="32"/>
          <w:szCs w:val="32"/>
          <w:highlight w:val="none"/>
          <w:lang w:eastAsia="zh-CN"/>
        </w:rPr>
        <w:t>撬动比达</w:t>
      </w:r>
      <w:r>
        <w:rPr>
          <w:rFonts w:hint="eastAsia" w:ascii="Times New Roman" w:hAnsi="Times New Roman" w:eastAsia="仿宋_GB2312" w:cs="Times New Roman"/>
          <w:sz w:val="32"/>
          <w:szCs w:val="32"/>
          <w:highlight w:val="none"/>
          <w:lang w:val="en-US" w:eastAsia="zh-CN"/>
        </w:rPr>
        <w:t>1：6。</w:t>
      </w:r>
    </w:p>
    <w:p w14:paraId="40BFE33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33F71C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zh-CN" w:eastAsia="zh-CN"/>
        </w:rPr>
        <w:t>根据项目预算绩效评价指标体系“通用指标”“专用指标”“个性指标”涉及二、三级指标进行逐项绩效分析并评分</w:t>
      </w:r>
      <w:r>
        <w:rPr>
          <w:rFonts w:hint="default" w:ascii="Times New Roman" w:hAnsi="Times New Roman" w:eastAsia="仿宋_GB2312" w:cs="Times New Roman"/>
          <w:sz w:val="32"/>
          <w:szCs w:val="32"/>
          <w:highlight w:val="none"/>
          <w:lang w:val="en-US" w:eastAsia="zh-CN"/>
        </w:rPr>
        <w:t>。</w:t>
      </w:r>
    </w:p>
    <w:p w14:paraId="1743250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D1002A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eastAsia="zh-CN"/>
        </w:rPr>
        <w:t>项目决策。</w:t>
      </w: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根据《四川省2025年加力扩围支持大规模设备更新和消费品以旧换新政策措施》等文件精神，我局积极推进消费品以旧换新相关工作，</w:t>
      </w:r>
    </w:p>
    <w:p w14:paraId="56AB9DA6">
      <w:pPr>
        <w:spacing w:line="540" w:lineRule="exact"/>
        <w:ind w:left="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2.</w:t>
      </w:r>
      <w:r>
        <w:rPr>
          <w:rFonts w:hint="default" w:ascii="Times New Roman" w:hAnsi="Times New Roman" w:eastAsia="楷体_GB2312" w:cs="Times New Roman"/>
          <w:color w:val="auto"/>
          <w:sz w:val="32"/>
          <w:szCs w:val="32"/>
          <w:highlight w:val="none"/>
          <w:lang w:eastAsia="zh-CN"/>
        </w:rPr>
        <w:t>项目管理。</w:t>
      </w:r>
      <w:r>
        <w:rPr>
          <w:rFonts w:hint="eastAsia" w:ascii="Times New Roman" w:hAnsi="Times New Roman" w:eastAsia="仿宋_GB2312" w:cs="Times New Roman"/>
          <w:sz w:val="32"/>
          <w:szCs w:val="32"/>
          <w:highlight w:val="none"/>
          <w:lang w:eastAsia="zh-CN"/>
        </w:rPr>
        <w:t>及时成立以州商务局主要领导为组长，相关班子成员为副组长，相关科室负责人为成员的阿坝州商务局消费品以旧换新工作专班，联动各县（市）商务部门，每日跟进进度数据，定期开展分析调度，全力统筹落实消费品以旧换新工作。同时，积极协调发改、财政、税务、市场监管等部门开展研究，形成工作合力，全力推动消费品以旧换新工作开展。</w:t>
      </w:r>
    </w:p>
    <w:p w14:paraId="54FB966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3.项目实施。</w:t>
      </w:r>
      <w:r>
        <w:rPr>
          <w:rFonts w:hint="eastAsia" w:ascii="仿宋_GB2312" w:hAnsi="仿宋_GB2312" w:eastAsia="仿宋_GB2312" w:cs="仿宋_GB2312"/>
          <w:sz w:val="32"/>
          <w:szCs w:val="32"/>
          <w:highlight w:val="none"/>
          <w:lang w:val="en-US" w:eastAsia="zh-CN"/>
        </w:rPr>
        <w:t>2025年我州积极开展汽车报废更新、汽车置换更新、家电以旧换新等工作，通过政府引导、政策激励，充分发挥市场主体积极性，成效显著。2025年，参与消费品以旧换新活动的人数已超过2.2万人次，带动消费超2.3亿元，撬动比达1：7。</w:t>
      </w:r>
    </w:p>
    <w:p w14:paraId="6B171D66">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4.项目结果。</w:t>
      </w:r>
      <w:r>
        <w:rPr>
          <w:rFonts w:hint="default" w:ascii="Times New Roman" w:hAnsi="Times New Roman" w:eastAsia="仿宋_GB2312" w:cs="Times New Roman"/>
          <w:kern w:val="2"/>
          <w:sz w:val="32"/>
          <w:szCs w:val="32"/>
          <w:highlight w:val="none"/>
          <w:lang w:val="en-US" w:eastAsia="zh-CN" w:bidi="ar"/>
        </w:rPr>
        <w:t>2025</w:t>
      </w:r>
      <w:r>
        <w:rPr>
          <w:rFonts w:hint="eastAsia" w:ascii="仿宋_GB2312" w:hAnsi="Times New Roman" w:eastAsia="仿宋_GB2312" w:cs="仿宋_GB2312"/>
          <w:kern w:val="2"/>
          <w:sz w:val="32"/>
          <w:szCs w:val="32"/>
          <w:highlight w:val="none"/>
          <w:lang w:val="en-US" w:eastAsia="zh-CN" w:bidi="ar"/>
        </w:rPr>
        <w:t>年，家电以旧换新审核通过</w:t>
      </w:r>
      <w:r>
        <w:rPr>
          <w:rFonts w:hint="default" w:ascii="Times New Roman" w:hAnsi="Times New Roman" w:eastAsia="仿宋_GB2312" w:cs="Times New Roman"/>
          <w:kern w:val="2"/>
          <w:sz w:val="32"/>
          <w:szCs w:val="32"/>
          <w:highlight w:val="none"/>
          <w:lang w:val="en-US" w:eastAsia="zh-CN" w:bidi="ar"/>
        </w:rPr>
        <w:t>11484</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3152.79</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595.27</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5</w:t>
      </w:r>
      <w:r>
        <w:rPr>
          <w:rFonts w:hint="eastAsia" w:ascii="仿宋_GB2312" w:hAnsi="Times New Roman" w:eastAsia="仿宋_GB2312" w:cs="仿宋_GB2312"/>
          <w:kern w:val="2"/>
          <w:sz w:val="32"/>
          <w:szCs w:val="32"/>
          <w:highlight w:val="none"/>
          <w:lang w:val="en-US" w:eastAsia="zh-CN" w:bidi="ar"/>
        </w:rPr>
        <w:t>；（四）手机等数码产品购新审核通过</w:t>
      </w:r>
      <w:r>
        <w:rPr>
          <w:rFonts w:hint="default" w:ascii="Times New Roman" w:hAnsi="Times New Roman" w:eastAsia="仿宋_GB2312" w:cs="Times New Roman"/>
          <w:kern w:val="2"/>
          <w:sz w:val="32"/>
          <w:szCs w:val="32"/>
          <w:highlight w:val="none"/>
          <w:lang w:val="en-US" w:eastAsia="zh-CN" w:bidi="ar"/>
        </w:rPr>
        <w:t>8197</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2403.99</w:t>
      </w:r>
      <w:r>
        <w:rPr>
          <w:rFonts w:hint="eastAsia" w:ascii="仿宋_GB2312" w:hAnsi="Times New Roman" w:eastAsia="仿宋_GB2312" w:cs="仿宋_GB2312"/>
          <w:kern w:val="2"/>
          <w:sz w:val="32"/>
          <w:szCs w:val="32"/>
          <w:highlight w:val="none"/>
          <w:lang w:val="en-US" w:eastAsia="zh-CN" w:bidi="ar"/>
        </w:rPr>
        <w:t>万元，</w:t>
      </w:r>
      <w:r>
        <w:rPr>
          <w:rFonts w:hint="eastAsia" w:ascii="仿宋_GB2312" w:hAnsi="Times New Roman" w:eastAsia="仿宋_GB2312" w:cs="仿宋_GB2312"/>
          <w:color w:val="000000"/>
          <w:kern w:val="0"/>
          <w:sz w:val="31"/>
          <w:szCs w:val="31"/>
          <w:highlight w:val="none"/>
          <w:lang w:val="en-US" w:eastAsia="zh-CN" w:bidi="ar"/>
        </w:rPr>
        <w:t>发放补贴305.46万元，</w:t>
      </w:r>
      <w:r>
        <w:rPr>
          <w:rFonts w:hint="eastAsia" w:ascii="仿宋_GB2312" w:hAnsi="Times New Roman" w:eastAsia="仿宋_GB2312" w:cs="仿宋_GB2312"/>
          <w:kern w:val="2"/>
          <w:sz w:val="32"/>
          <w:szCs w:val="32"/>
          <w:highlight w:val="none"/>
          <w:lang w:val="en-US" w:eastAsia="zh-CN" w:bidi="ar"/>
        </w:rPr>
        <w:t>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8</w:t>
      </w:r>
      <w:r>
        <w:rPr>
          <w:rFonts w:hint="eastAsia" w:ascii="仿宋_GB2312" w:hAnsi="Times New Roman" w:eastAsia="仿宋_GB2312" w:cs="仿宋_GB2312"/>
          <w:kern w:val="2"/>
          <w:sz w:val="32"/>
          <w:szCs w:val="32"/>
          <w:highlight w:val="none"/>
          <w:lang w:val="en-US" w:eastAsia="zh-CN" w:bidi="ar"/>
        </w:rPr>
        <w:t>。汽车报废更新审核通过</w:t>
      </w:r>
      <w:r>
        <w:rPr>
          <w:rFonts w:hint="default" w:ascii="Times New Roman" w:hAnsi="Times New Roman" w:eastAsia="仿宋_GB2312" w:cs="Times New Roman"/>
          <w:kern w:val="2"/>
          <w:sz w:val="32"/>
          <w:szCs w:val="32"/>
          <w:highlight w:val="none"/>
          <w:lang w:val="en-US" w:eastAsia="zh-CN" w:bidi="ar"/>
        </w:rPr>
        <w:t>725</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6080</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1330</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5</w:t>
      </w:r>
      <w:r>
        <w:rPr>
          <w:rFonts w:hint="eastAsia" w:ascii="仿宋_GB2312" w:hAnsi="Times New Roman" w:eastAsia="仿宋_GB2312" w:cs="仿宋_GB2312"/>
          <w:kern w:val="2"/>
          <w:sz w:val="32"/>
          <w:szCs w:val="32"/>
          <w:highlight w:val="none"/>
          <w:lang w:val="en-US" w:eastAsia="zh-CN" w:bidi="ar"/>
        </w:rPr>
        <w:t>；汽车置换更新审核通过</w:t>
      </w:r>
      <w:r>
        <w:rPr>
          <w:rFonts w:hint="default" w:ascii="Times New Roman" w:hAnsi="Times New Roman" w:eastAsia="仿宋_GB2312" w:cs="Times New Roman"/>
          <w:kern w:val="2"/>
          <w:sz w:val="32"/>
          <w:szCs w:val="32"/>
          <w:highlight w:val="none"/>
          <w:lang w:val="en-US" w:eastAsia="zh-CN" w:bidi="ar"/>
        </w:rPr>
        <w:t>942</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11015</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861.99</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12.7</w:t>
      </w:r>
      <w:r>
        <w:rPr>
          <w:rFonts w:hint="eastAsia" w:ascii="仿宋_GB2312" w:hAnsi="Times New Roman" w:eastAsia="仿宋_GB2312" w:cs="仿宋_GB2312"/>
          <w:kern w:val="2"/>
          <w:sz w:val="32"/>
          <w:szCs w:val="32"/>
          <w:highlight w:val="none"/>
          <w:lang w:val="en-US" w:eastAsia="zh-CN" w:bidi="ar"/>
        </w:rPr>
        <w:t>。家装消费品换新核通过</w:t>
      </w:r>
      <w:r>
        <w:rPr>
          <w:rFonts w:hint="default" w:ascii="Times New Roman" w:hAnsi="Times New Roman" w:eastAsia="仿宋_GB2312" w:cs="Times New Roman"/>
          <w:kern w:val="2"/>
          <w:sz w:val="32"/>
          <w:szCs w:val="32"/>
          <w:highlight w:val="none"/>
          <w:lang w:val="en-US" w:eastAsia="zh-CN" w:bidi="ar"/>
        </w:rPr>
        <w:t>722</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197.5</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30.57</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6</w:t>
      </w:r>
      <w:r>
        <w:rPr>
          <w:rFonts w:hint="eastAsia" w:ascii="仿宋_GB2312" w:hAnsi="Times New Roman" w:eastAsia="仿宋_GB2312" w:cs="仿宋_GB2312"/>
          <w:kern w:val="2"/>
          <w:sz w:val="32"/>
          <w:szCs w:val="32"/>
          <w:highlight w:val="none"/>
          <w:lang w:val="en-US" w:eastAsia="zh-CN" w:bidi="ar"/>
        </w:rPr>
        <w:t>。</w:t>
      </w:r>
    </w:p>
    <w:p w14:paraId="1DD3620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7483D3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sz w:val="32"/>
          <w:szCs w:val="32"/>
          <w:highlight w:val="none"/>
          <w:lang w:val="en-US" w:eastAsia="zh-CN"/>
        </w:rPr>
        <w:t>参与消费品以旧换新活动的人数已超过2.2万人次，带动消费超2.3亿元，撬动比达1：7。</w:t>
      </w:r>
    </w:p>
    <w:p w14:paraId="2F4AE89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仿宋_GB2312" w:hAnsi="仿宋_GB2312" w:eastAsia="仿宋_GB2312" w:cs="仿宋_GB2312"/>
          <w:color w:val="auto"/>
          <w:sz w:val="32"/>
          <w:szCs w:val="32"/>
          <w:highlight w:val="none"/>
          <w:lang w:val="zh-CN" w:eastAsia="zh-CN"/>
        </w:rPr>
        <w:t>项目实施</w:t>
      </w:r>
      <w:r>
        <w:rPr>
          <w:rFonts w:hint="eastAsia" w:ascii="仿宋_GB2312" w:hAnsi="仿宋_GB2312" w:eastAsia="仿宋_GB2312" w:cs="仿宋_GB2312"/>
          <w:color w:val="auto"/>
          <w:sz w:val="32"/>
          <w:szCs w:val="32"/>
          <w:highlight w:val="none"/>
          <w:lang w:val="en-US" w:eastAsia="zh-CN"/>
        </w:rPr>
        <w:t>不断恢复和扩大我州消费市场活力，促进了居民消费意愿回升，阿坝州社会消费品零售总额同比增长7.4%，增幅居四川省第1位，消费市场保持良好增长态势。</w:t>
      </w:r>
    </w:p>
    <w:p w14:paraId="3E0BC207">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447AED0D">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仿宋_GB2312" w:hAnsi="Times New Roman" w:eastAsia="仿宋_GB2312" w:cs="Times New Roman"/>
          <w:kern w:val="0"/>
          <w:position w:val="0"/>
          <w:sz w:val="32"/>
          <w:szCs w:val="32"/>
          <w:highlight w:val="none"/>
          <w:shd w:val="clear" w:color="auto" w:fill="FFFFFF"/>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消费品以旧换新</w:t>
      </w:r>
      <w:r>
        <w:rPr>
          <w:rFonts w:hint="eastAsia" w:ascii="仿宋_GB2312" w:hAnsi="Times New Roman" w:eastAsia="仿宋_GB2312" w:cs="Times New Roman"/>
          <w:kern w:val="0"/>
          <w:position w:val="0"/>
          <w:sz w:val="32"/>
          <w:szCs w:val="32"/>
          <w:highlight w:val="none"/>
          <w:shd w:val="clear" w:color="auto" w:fill="FFFFFF"/>
          <w:lang w:val="en-US" w:eastAsia="en-US" w:bidi="ar-SA"/>
        </w:rPr>
        <w:t>专项资金</w:t>
      </w:r>
      <w:r>
        <w:rPr>
          <w:rFonts w:hint="eastAsia" w:ascii="仿宋_GB2312" w:hAnsi="Times New Roman" w:eastAsia="仿宋_GB2312" w:cs="Times New Roman"/>
          <w:kern w:val="0"/>
          <w:position w:val="0"/>
          <w:sz w:val="32"/>
          <w:szCs w:val="32"/>
          <w:highlight w:val="none"/>
          <w:shd w:val="clear" w:color="auto" w:fill="FFFFFF"/>
          <w:lang w:val="en-US" w:eastAsia="zh-CN" w:bidi="ar-SA"/>
        </w:rPr>
        <w:t>绩效评价项目绩效评价最终结果为：总体得分100分。</w:t>
      </w:r>
    </w:p>
    <w:p w14:paraId="5D54EDAA">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五、存在主要问题</w:t>
      </w:r>
    </w:p>
    <w:p w14:paraId="2A9FAC59">
      <w:pPr>
        <w:spacing w:line="540" w:lineRule="exact"/>
        <w:ind w:firstLine="643"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楷体_GB2312" w:cs="Times New Roman"/>
          <w:b/>
          <w:bCs/>
          <w:sz w:val="32"/>
          <w:szCs w:val="32"/>
          <w:highlight w:val="none"/>
          <w:lang w:eastAsia="zh-CN"/>
        </w:rPr>
        <w:t>无</w:t>
      </w:r>
    </w:p>
    <w:p w14:paraId="68A04902">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338A849">
      <w:pPr>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持续加强宣传</w:t>
      </w:r>
      <w:r>
        <w:rPr>
          <w:rFonts w:hint="eastAsia" w:ascii="Times New Roman" w:hAnsi="Times New Roman" w:eastAsia="仿宋_GB2312" w:cs="Times New Roman"/>
          <w:sz w:val="32"/>
          <w:szCs w:val="32"/>
          <w:highlight w:val="none"/>
          <w:lang w:eastAsia="zh-CN"/>
        </w:rPr>
        <w:t>，提升政策知晓率</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在继续加大宣传的基础上，将重点加强偏远农村和老年群体的定向宣传。组织"以旧换新进社区"活动，现场演示操作流程，解答群众疑问</w:t>
      </w:r>
      <w:r>
        <w:rPr>
          <w:rFonts w:hint="eastAsia" w:ascii="Times New Roman" w:hAnsi="Times New Roman" w:eastAsia="仿宋_GB2312" w:cs="Times New Roman"/>
          <w:sz w:val="32"/>
          <w:szCs w:val="32"/>
          <w:highlight w:val="none"/>
        </w:rPr>
        <w:t>。强化消费监督</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维护好消费者合法权益</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对汽车、家电、电动自行车质量和售后服务等加大监督，用好消费品以旧换新消费咨询及投诉专线，充分发挥消费者监督、建言等反馈信息的作用，紧扣群众需求，及时回应、动态调整。</w:t>
      </w:r>
    </w:p>
    <w:p w14:paraId="08BA3E39">
      <w:pPr>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br w:type="page"/>
      </w: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9" w:name="_Toc15396618"/>
    </w:p>
    <w:p w14:paraId="144B5A96">
      <w:pPr>
        <w:widowControl/>
        <w:jc w:val="center"/>
        <w:outlineLvl w:val="0"/>
        <w:rPr>
          <w:rFonts w:hint="eastAsia" w:ascii="Times New Roman" w:hAnsi="Times New Roman" w:eastAsia="仿宋_GB2312" w:cs="仿宋_GB2312"/>
          <w:color w:val="auto"/>
          <w:sz w:val="32"/>
          <w:szCs w:val="32"/>
          <w:highlight w:val="none"/>
        </w:rPr>
      </w:pPr>
      <w:bookmarkStart w:id="70" w:name="_Toc18328"/>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 xml:space="preserve">五部分 </w:t>
      </w:r>
      <w:r>
        <w:rPr>
          <w:rStyle w:val="31"/>
          <w:rFonts w:hint="eastAsia" w:eastAsia="黑体"/>
          <w:b w:val="0"/>
          <w:color w:val="auto"/>
          <w:highlight w:val="none"/>
          <w:lang w:val="en-US" w:eastAsia="zh-CN"/>
        </w:rPr>
        <w:t xml:space="preserve"> </w:t>
      </w:r>
      <w:r>
        <w:rPr>
          <w:rStyle w:val="31"/>
          <w:rFonts w:hint="eastAsia" w:ascii="Times New Roman" w:hAnsi="Times New Roman" w:eastAsia="黑体"/>
          <w:b w:val="0"/>
          <w:color w:val="auto"/>
          <w:highlight w:val="none"/>
        </w:rPr>
        <w:t>附表</w:t>
      </w:r>
      <w:bookmarkEnd w:id="62"/>
      <w:bookmarkEnd w:id="69"/>
      <w:bookmarkEnd w:id="70"/>
      <w:bookmarkStart w:id="71" w:name="_Toc15396619"/>
    </w:p>
    <w:p w14:paraId="5B76F92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3436"/>
      <w:r>
        <w:rPr>
          <w:rFonts w:hint="eastAsia" w:ascii="Times New Roman" w:hAnsi="Times New Roman" w:eastAsia="仿宋_GB2312" w:cs="仿宋_GB2312"/>
          <w:color w:val="auto"/>
          <w:sz w:val="32"/>
          <w:szCs w:val="32"/>
          <w:highlight w:val="none"/>
        </w:rPr>
        <w:t>一、收入支出决算总表</w:t>
      </w:r>
      <w:bookmarkEnd w:id="71"/>
      <w:bookmarkEnd w:id="72"/>
    </w:p>
    <w:p w14:paraId="585E52D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3" w:name="_Toc10614"/>
      <w:bookmarkStart w:id="74" w:name="_Toc15396620"/>
      <w:r>
        <w:rPr>
          <w:rFonts w:hint="eastAsia" w:ascii="Times New Roman" w:hAnsi="Times New Roman" w:eastAsia="仿宋_GB2312" w:cs="仿宋_GB2312"/>
          <w:color w:val="auto"/>
          <w:sz w:val="32"/>
          <w:szCs w:val="32"/>
          <w:highlight w:val="none"/>
        </w:rPr>
        <w:t>二、收入决算表</w:t>
      </w:r>
      <w:bookmarkEnd w:id="73"/>
      <w:bookmarkEnd w:id="74"/>
    </w:p>
    <w:p w14:paraId="61C5EB4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5" w:name="_Toc15396621"/>
      <w:bookmarkStart w:id="76" w:name="_Toc14774"/>
      <w:r>
        <w:rPr>
          <w:rFonts w:hint="eastAsia" w:ascii="Times New Roman" w:hAnsi="Times New Roman" w:eastAsia="仿宋_GB2312" w:cs="仿宋_GB2312"/>
          <w:color w:val="auto"/>
          <w:sz w:val="32"/>
          <w:szCs w:val="32"/>
          <w:highlight w:val="none"/>
        </w:rPr>
        <w:t>三、支出决算表</w:t>
      </w:r>
      <w:bookmarkEnd w:id="75"/>
      <w:bookmarkEnd w:id="76"/>
    </w:p>
    <w:p w14:paraId="2B40FB6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7" w:name="_Toc5392"/>
      <w:bookmarkStart w:id="78" w:name="_Toc15396622"/>
      <w:r>
        <w:rPr>
          <w:rFonts w:hint="eastAsia" w:ascii="Times New Roman" w:hAnsi="Times New Roman" w:eastAsia="仿宋_GB2312" w:cs="仿宋_GB2312"/>
          <w:color w:val="auto"/>
          <w:sz w:val="32"/>
          <w:szCs w:val="32"/>
          <w:highlight w:val="none"/>
        </w:rPr>
        <w:t>四、财政拨款收入支出决算总表</w:t>
      </w:r>
      <w:bookmarkEnd w:id="77"/>
      <w:bookmarkEnd w:id="78"/>
    </w:p>
    <w:p w14:paraId="0221BCA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9475"/>
      <w:bookmarkStart w:id="80" w:name="_Toc15396623"/>
      <w:r>
        <w:rPr>
          <w:rFonts w:hint="eastAsia" w:ascii="Times New Roman" w:hAnsi="Times New Roman" w:eastAsia="仿宋_GB2312" w:cs="仿宋_GB2312"/>
          <w:color w:val="auto"/>
          <w:sz w:val="32"/>
          <w:szCs w:val="32"/>
          <w:highlight w:val="none"/>
        </w:rPr>
        <w:t>五、财政拨款支出决算明细表</w:t>
      </w:r>
      <w:bookmarkEnd w:id="79"/>
      <w:bookmarkEnd w:id="80"/>
      <w:bookmarkStart w:id="81" w:name="_Toc15396624"/>
    </w:p>
    <w:p w14:paraId="53FD6F55">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2870"/>
      <w:r>
        <w:rPr>
          <w:rFonts w:hint="eastAsia" w:ascii="Times New Roman" w:hAnsi="Times New Roman" w:eastAsia="仿宋_GB2312" w:cs="仿宋_GB2312"/>
          <w:color w:val="auto"/>
          <w:sz w:val="32"/>
          <w:szCs w:val="32"/>
          <w:highlight w:val="none"/>
        </w:rPr>
        <w:t>六、一般公共预算财政拨款支出决算表</w:t>
      </w:r>
      <w:bookmarkEnd w:id="81"/>
      <w:bookmarkEnd w:id="82"/>
    </w:p>
    <w:p w14:paraId="2B8EE2E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3" w:name="_Toc15396625"/>
      <w:bookmarkStart w:id="84" w:name="_Toc25605"/>
      <w:r>
        <w:rPr>
          <w:rFonts w:hint="eastAsia" w:ascii="Times New Roman" w:hAnsi="Times New Roman" w:eastAsia="仿宋_GB2312" w:cs="仿宋_GB2312"/>
          <w:color w:val="auto"/>
          <w:sz w:val="32"/>
          <w:szCs w:val="32"/>
          <w:highlight w:val="none"/>
        </w:rPr>
        <w:t>七、一般公共预算财政拨款支出决算明细表</w:t>
      </w:r>
      <w:bookmarkEnd w:id="83"/>
      <w:bookmarkEnd w:id="84"/>
    </w:p>
    <w:p w14:paraId="7A3EDB4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5" w:name="_Toc15396626"/>
      <w:bookmarkStart w:id="86" w:name="_Toc3760"/>
      <w:r>
        <w:rPr>
          <w:rFonts w:hint="eastAsia" w:ascii="Times New Roman" w:hAnsi="Times New Roman" w:eastAsia="仿宋_GB2312" w:cs="仿宋_GB2312"/>
          <w:color w:val="auto"/>
          <w:sz w:val="32"/>
          <w:szCs w:val="32"/>
          <w:highlight w:val="none"/>
        </w:rPr>
        <w:t>八、一般公共预算财政拨款基本支出决算表</w:t>
      </w:r>
      <w:bookmarkEnd w:id="85"/>
      <w:bookmarkEnd w:id="86"/>
    </w:p>
    <w:p w14:paraId="71633B3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7" w:name="_Toc26330"/>
      <w:bookmarkStart w:id="88" w:name="_Toc15396627"/>
      <w:r>
        <w:rPr>
          <w:rFonts w:hint="eastAsia" w:ascii="Times New Roman" w:hAnsi="Times New Roman" w:eastAsia="仿宋_GB2312" w:cs="仿宋_GB2312"/>
          <w:color w:val="auto"/>
          <w:sz w:val="32"/>
          <w:szCs w:val="32"/>
          <w:highlight w:val="none"/>
        </w:rPr>
        <w:t>九、一般公共预算财政拨款项目支出决算表</w:t>
      </w:r>
      <w:bookmarkEnd w:id="87"/>
      <w:bookmarkEnd w:id="88"/>
    </w:p>
    <w:p w14:paraId="5C8191B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9" w:name="_Toc15396628"/>
      <w:bookmarkStart w:id="90" w:name="_Toc12171"/>
      <w:r>
        <w:rPr>
          <w:rFonts w:hint="eastAsia" w:ascii="Times New Roman" w:hAnsi="Times New Roman" w:eastAsia="仿宋_GB2312" w:cs="仿宋_GB2312"/>
          <w:color w:val="auto"/>
          <w:sz w:val="32"/>
          <w:szCs w:val="32"/>
          <w:highlight w:val="none"/>
        </w:rPr>
        <w:t>十、</w:t>
      </w:r>
      <w:bookmarkEnd w:id="89"/>
      <w:r>
        <w:rPr>
          <w:rFonts w:hint="eastAsia" w:ascii="Times New Roman" w:hAnsi="Times New Roman" w:eastAsia="仿宋_GB2312" w:cs="仿宋_GB2312"/>
          <w:color w:val="auto"/>
          <w:sz w:val="32"/>
          <w:szCs w:val="32"/>
          <w:highlight w:val="none"/>
        </w:rPr>
        <w:t>政府性基金预算财政拨款收入支出决算表</w:t>
      </w:r>
      <w:bookmarkEnd w:id="90"/>
    </w:p>
    <w:p w14:paraId="2554C6A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1" w:name="_Toc15396629"/>
      <w:bookmarkStart w:id="92" w:name="_Toc5335"/>
      <w:r>
        <w:rPr>
          <w:rFonts w:hint="eastAsia" w:ascii="Times New Roman" w:hAnsi="Times New Roman" w:eastAsia="仿宋_GB2312" w:cs="仿宋_GB2312"/>
          <w:color w:val="auto"/>
          <w:sz w:val="32"/>
          <w:szCs w:val="32"/>
          <w:highlight w:val="none"/>
        </w:rPr>
        <w:t>十一、</w:t>
      </w:r>
      <w:bookmarkEnd w:id="9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92"/>
    </w:p>
    <w:p w14:paraId="54F8AF3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3" w:name="_Toc15396630"/>
      <w:bookmarkStart w:id="94" w:name="_Toc19972"/>
      <w:r>
        <w:rPr>
          <w:rFonts w:hint="eastAsia" w:ascii="Times New Roman" w:hAnsi="Times New Roman" w:eastAsia="仿宋_GB2312" w:cs="仿宋_GB2312"/>
          <w:color w:val="auto"/>
          <w:sz w:val="32"/>
          <w:szCs w:val="32"/>
          <w:highlight w:val="none"/>
        </w:rPr>
        <w:t>十二、</w:t>
      </w:r>
      <w:bookmarkEnd w:id="93"/>
      <w:r>
        <w:rPr>
          <w:rFonts w:hint="eastAsia" w:ascii="Times New Roman" w:hAnsi="Times New Roman" w:eastAsia="仿宋_GB2312" w:cs="仿宋_GB2312"/>
          <w:color w:val="auto"/>
          <w:sz w:val="32"/>
          <w:szCs w:val="32"/>
          <w:highlight w:val="none"/>
          <w:lang w:eastAsia="zh-CN"/>
        </w:rPr>
        <w:t>国有资本经营预算财政拨款支出决算表</w:t>
      </w:r>
      <w:bookmarkEnd w:id="94"/>
    </w:p>
    <w:p w14:paraId="4790827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5" w:name="_Toc15396631"/>
      <w:bookmarkStart w:id="96" w:name="_Toc12736"/>
      <w:r>
        <w:rPr>
          <w:rFonts w:hint="eastAsia" w:ascii="Times New Roman" w:hAnsi="Times New Roman" w:eastAsia="仿宋_GB2312" w:cs="仿宋_GB2312"/>
          <w:color w:val="auto"/>
          <w:sz w:val="32"/>
          <w:szCs w:val="32"/>
          <w:highlight w:val="none"/>
        </w:rPr>
        <w:t>十三、</w:t>
      </w:r>
      <w:bookmarkEnd w:id="95"/>
      <w:r>
        <w:rPr>
          <w:rFonts w:hint="eastAsia" w:ascii="Times New Roman" w:hAnsi="Times New Roman" w:eastAsia="仿宋_GB2312" w:cs="仿宋_GB2312"/>
          <w:color w:val="auto"/>
          <w:sz w:val="32"/>
          <w:szCs w:val="32"/>
          <w:highlight w:val="none"/>
          <w:lang w:eastAsia="zh-CN"/>
        </w:rPr>
        <w:t>财政拨款“三公”经费支出决算表</w:t>
      </w:r>
      <w:bookmarkEnd w:id="96"/>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102D1A2-9FB1-4D1A-9FCB-32CF54D1A8D1}"/>
  </w:font>
  <w:font w:name="黑体">
    <w:panose1 w:val="02010609060101010101"/>
    <w:charset w:val="86"/>
    <w:family w:val="auto"/>
    <w:pitch w:val="default"/>
    <w:sig w:usb0="800002BF" w:usb1="38CF7CFA" w:usb2="00000016" w:usb3="00000000" w:csb0="00040001" w:csb1="00000000"/>
    <w:embedRegular r:id="rId2" w:fontKey="{10DB993F-AF39-4493-B133-E41759E7EA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F30DE317-330F-412A-8448-41FC2A908019}"/>
  </w:font>
  <w:font w:name="仿宋">
    <w:panose1 w:val="02010609060101010101"/>
    <w:charset w:val="86"/>
    <w:family w:val="modern"/>
    <w:pitch w:val="default"/>
    <w:sig w:usb0="800002BF" w:usb1="38CF7CFA" w:usb2="00000016" w:usb3="00000000" w:csb0="00040001" w:csb1="00000000"/>
    <w:embedRegular r:id="rId4" w:fontKey="{7EA937E7-2614-472D-922E-4C811DF1254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5" w:fontKey="{76011434-B866-4D6E-A3E4-4E231A941D05}"/>
  </w:font>
  <w:font w:name="方正小标宋_GBK">
    <w:panose1 w:val="03000509000000000000"/>
    <w:charset w:val="86"/>
    <w:family w:val="auto"/>
    <w:pitch w:val="default"/>
    <w:sig w:usb0="00000001" w:usb1="080E0000" w:usb2="00000000" w:usb3="00000000" w:csb0="00040000" w:csb1="00000000"/>
    <w:embedRegular r:id="rId6" w:fontKey="{A99BDC11-EDA2-4C88-BD98-F753D759A53A}"/>
  </w:font>
  <w:font w:name="楷体_GB2312">
    <w:panose1 w:val="02010609030101010101"/>
    <w:charset w:val="86"/>
    <w:family w:val="auto"/>
    <w:pitch w:val="default"/>
    <w:sig w:usb0="00000001" w:usb1="080E0000" w:usb2="00000000" w:usb3="00000000" w:csb0="00040000" w:csb1="00000000"/>
    <w:embedRegular r:id="rId7" w:fontKey="{A4649FC0-AC2A-4C15-8B87-304A83474071}"/>
  </w:font>
  <w:font w:name="楷体">
    <w:panose1 w:val="02010609060101010101"/>
    <w:charset w:val="86"/>
    <w:family w:val="auto"/>
    <w:pitch w:val="default"/>
    <w:sig w:usb0="800002BF" w:usb1="38CF7CFA" w:usb2="00000016" w:usb3="00000000" w:csb0="00040001" w:csb1="00000000"/>
    <w:embedRegular r:id="rId8" w:fontKey="{A995F0F3-4835-40A8-8E9C-8B1D3A08F234}"/>
  </w:font>
  <w:font w:name="方正仿宋_GBK">
    <w:panose1 w:val="03000509000000000000"/>
    <w:charset w:val="86"/>
    <w:family w:val="auto"/>
    <w:pitch w:val="default"/>
    <w:sig w:usb0="00000001" w:usb1="080E0000" w:usb2="00000000" w:usb3="00000000" w:csb0="00040000" w:csb1="00000000"/>
    <w:embedRegular r:id="rId9" w:fontKey="{F33FFE7C-B7A3-4F45-BAE0-AFC98136605F}"/>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3"/>
      <w:jc w:val="center"/>
    </w:pPr>
  </w:p>
  <w:p w14:paraId="3777894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3"/>
      <w:jc w:val="center"/>
    </w:pPr>
  </w:p>
  <w:p w14:paraId="031821C6">
    <w:pPr>
      <w:pStyle w:val="13"/>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A4D8">
    <w:pPr>
      <w:pStyle w:val="13"/>
      <w:jc w:val="center"/>
    </w:pPr>
  </w:p>
  <w:p w14:paraId="5983E0A5">
    <w:pPr>
      <w:pStyle w:val="13"/>
      <w:tabs>
        <w:tab w:val="clear" w:pos="4153"/>
      </w:tabs>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61D3F">
    <w:pPr>
      <w:pStyle w:val="13"/>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C1B21">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81C1B21">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0C6A5">
    <w:pPr>
      <w:pStyle w:val="13"/>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A816A">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76A816A">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7522B2F7">
    <w:pPr>
      <w:pStyle w:val="13"/>
      <w:tabs>
        <w:tab w:val="clear" w:pos="4153"/>
      </w:tabs>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DF979">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2DF89">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892DF89">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78444"/>
    <w:multiLevelType w:val="singleLevel"/>
    <w:tmpl w:val="40678444"/>
    <w:lvl w:ilvl="0" w:tentative="0">
      <w:start w:val="1"/>
      <w:numFmt w:val="decimal"/>
      <w:suff w:val="nothing"/>
      <w:lvlText w:val="%1．"/>
      <w:lvlJc w:val="left"/>
      <w:pPr>
        <w:ind w:left="0" w:firstLine="400"/>
      </w:pPr>
      <w:rPr>
        <w:rFonts w:hint="default"/>
      </w:rPr>
    </w:lvl>
  </w:abstractNum>
  <w:abstractNum w:abstractNumId="1">
    <w:nsid w:val="46279950"/>
    <w:multiLevelType w:val="singleLevel"/>
    <w:tmpl w:val="46279950"/>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5AA4"/>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B48CF"/>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E2EF7"/>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47778C"/>
    <w:rsid w:val="015975B8"/>
    <w:rsid w:val="029C7664"/>
    <w:rsid w:val="02F32FFC"/>
    <w:rsid w:val="02FE3E7B"/>
    <w:rsid w:val="02FEBE30"/>
    <w:rsid w:val="03030BB2"/>
    <w:rsid w:val="036A0C7A"/>
    <w:rsid w:val="040F3E66"/>
    <w:rsid w:val="046C750A"/>
    <w:rsid w:val="04916F1E"/>
    <w:rsid w:val="04DB26FC"/>
    <w:rsid w:val="057228FE"/>
    <w:rsid w:val="05887E07"/>
    <w:rsid w:val="059C5BCD"/>
    <w:rsid w:val="061E35DE"/>
    <w:rsid w:val="06523F87"/>
    <w:rsid w:val="066E0107"/>
    <w:rsid w:val="07375BAD"/>
    <w:rsid w:val="07996F6E"/>
    <w:rsid w:val="07DFD8BA"/>
    <w:rsid w:val="080A78AC"/>
    <w:rsid w:val="0841638B"/>
    <w:rsid w:val="086D4FCB"/>
    <w:rsid w:val="08713341"/>
    <w:rsid w:val="08AA7F56"/>
    <w:rsid w:val="090369F3"/>
    <w:rsid w:val="09235FD0"/>
    <w:rsid w:val="09257549"/>
    <w:rsid w:val="094E3682"/>
    <w:rsid w:val="095742E5"/>
    <w:rsid w:val="09867E8F"/>
    <w:rsid w:val="09A00519"/>
    <w:rsid w:val="0A2032A3"/>
    <w:rsid w:val="0A2A37A7"/>
    <w:rsid w:val="0A36214C"/>
    <w:rsid w:val="0A65507B"/>
    <w:rsid w:val="0A670558"/>
    <w:rsid w:val="0AE222D4"/>
    <w:rsid w:val="0B61144B"/>
    <w:rsid w:val="0B9F6417"/>
    <w:rsid w:val="0BA457DB"/>
    <w:rsid w:val="0C364685"/>
    <w:rsid w:val="0C7D16A3"/>
    <w:rsid w:val="0C9B273A"/>
    <w:rsid w:val="0CA8290A"/>
    <w:rsid w:val="0CBB28B8"/>
    <w:rsid w:val="0D35B1ED"/>
    <w:rsid w:val="0DAE2941"/>
    <w:rsid w:val="0DF54607"/>
    <w:rsid w:val="0E063231"/>
    <w:rsid w:val="0E254B6B"/>
    <w:rsid w:val="0E863089"/>
    <w:rsid w:val="0F98263C"/>
    <w:rsid w:val="0FA61904"/>
    <w:rsid w:val="101860EC"/>
    <w:rsid w:val="101F47CC"/>
    <w:rsid w:val="10C055FF"/>
    <w:rsid w:val="11694EBD"/>
    <w:rsid w:val="11772AA4"/>
    <w:rsid w:val="118107EC"/>
    <w:rsid w:val="121A2D18"/>
    <w:rsid w:val="125C0BBE"/>
    <w:rsid w:val="129C720C"/>
    <w:rsid w:val="12E24EE2"/>
    <w:rsid w:val="13390EFF"/>
    <w:rsid w:val="1395604C"/>
    <w:rsid w:val="13D50BC4"/>
    <w:rsid w:val="13DF151A"/>
    <w:rsid w:val="13EF7387"/>
    <w:rsid w:val="14215C1B"/>
    <w:rsid w:val="14B17F78"/>
    <w:rsid w:val="14CA06C4"/>
    <w:rsid w:val="14CF019A"/>
    <w:rsid w:val="15397A06"/>
    <w:rsid w:val="15D35143"/>
    <w:rsid w:val="15EF58A5"/>
    <w:rsid w:val="161A58F1"/>
    <w:rsid w:val="164246D6"/>
    <w:rsid w:val="165E0673"/>
    <w:rsid w:val="16AB2E5D"/>
    <w:rsid w:val="16B831D5"/>
    <w:rsid w:val="16BB723D"/>
    <w:rsid w:val="16DE7DF3"/>
    <w:rsid w:val="16E86EC4"/>
    <w:rsid w:val="16FC64EB"/>
    <w:rsid w:val="17011D34"/>
    <w:rsid w:val="170A6E3A"/>
    <w:rsid w:val="175400B6"/>
    <w:rsid w:val="175B488E"/>
    <w:rsid w:val="17E50567"/>
    <w:rsid w:val="181E2472"/>
    <w:rsid w:val="182D40BB"/>
    <w:rsid w:val="185C36C6"/>
    <w:rsid w:val="186504BB"/>
    <w:rsid w:val="188744BB"/>
    <w:rsid w:val="19A445FC"/>
    <w:rsid w:val="19B906A4"/>
    <w:rsid w:val="19C534ED"/>
    <w:rsid w:val="1A3E3269"/>
    <w:rsid w:val="1A7171D0"/>
    <w:rsid w:val="1A8B64E4"/>
    <w:rsid w:val="1A9B5FFB"/>
    <w:rsid w:val="1B140D89"/>
    <w:rsid w:val="1B4A3CA9"/>
    <w:rsid w:val="1BD16179"/>
    <w:rsid w:val="1BE6268D"/>
    <w:rsid w:val="1BE8440E"/>
    <w:rsid w:val="1C5E0883"/>
    <w:rsid w:val="1C5F3784"/>
    <w:rsid w:val="1CBF06C7"/>
    <w:rsid w:val="1CC6347C"/>
    <w:rsid w:val="1D155CEE"/>
    <w:rsid w:val="1D1635D4"/>
    <w:rsid w:val="1D1638FE"/>
    <w:rsid w:val="1D756FD8"/>
    <w:rsid w:val="1DB775F0"/>
    <w:rsid w:val="1DEA3522"/>
    <w:rsid w:val="1E312DEB"/>
    <w:rsid w:val="1E652BA8"/>
    <w:rsid w:val="1E740ACF"/>
    <w:rsid w:val="1E896032"/>
    <w:rsid w:val="1E9A4F48"/>
    <w:rsid w:val="1EBF050A"/>
    <w:rsid w:val="1F120F82"/>
    <w:rsid w:val="1F413615"/>
    <w:rsid w:val="1FF22B62"/>
    <w:rsid w:val="1FF35744"/>
    <w:rsid w:val="1FF6BC77"/>
    <w:rsid w:val="20657CE5"/>
    <w:rsid w:val="207F0732"/>
    <w:rsid w:val="208642F4"/>
    <w:rsid w:val="20F46465"/>
    <w:rsid w:val="20FD356C"/>
    <w:rsid w:val="211C6E33"/>
    <w:rsid w:val="215533A8"/>
    <w:rsid w:val="217F21D3"/>
    <w:rsid w:val="2186353C"/>
    <w:rsid w:val="21C30312"/>
    <w:rsid w:val="21DE16AF"/>
    <w:rsid w:val="221E4026"/>
    <w:rsid w:val="22266AF2"/>
    <w:rsid w:val="22791318"/>
    <w:rsid w:val="22947F00"/>
    <w:rsid w:val="22C97BAA"/>
    <w:rsid w:val="2339649D"/>
    <w:rsid w:val="23540202"/>
    <w:rsid w:val="23860B96"/>
    <w:rsid w:val="240371BF"/>
    <w:rsid w:val="240A66CC"/>
    <w:rsid w:val="241E5CD3"/>
    <w:rsid w:val="244F3473"/>
    <w:rsid w:val="24C97D99"/>
    <w:rsid w:val="250E6DEB"/>
    <w:rsid w:val="25221026"/>
    <w:rsid w:val="252C0A49"/>
    <w:rsid w:val="257F6C45"/>
    <w:rsid w:val="25A10585"/>
    <w:rsid w:val="25A718F0"/>
    <w:rsid w:val="25BB59F6"/>
    <w:rsid w:val="260F557C"/>
    <w:rsid w:val="261E020C"/>
    <w:rsid w:val="26744AB9"/>
    <w:rsid w:val="26960764"/>
    <w:rsid w:val="26970054"/>
    <w:rsid w:val="26DC3C24"/>
    <w:rsid w:val="27316648"/>
    <w:rsid w:val="27484CC0"/>
    <w:rsid w:val="277F117F"/>
    <w:rsid w:val="27FA446F"/>
    <w:rsid w:val="281408E2"/>
    <w:rsid w:val="2826784C"/>
    <w:rsid w:val="288E0F4E"/>
    <w:rsid w:val="294C6E3F"/>
    <w:rsid w:val="29656152"/>
    <w:rsid w:val="29B175E9"/>
    <w:rsid w:val="29FD04D3"/>
    <w:rsid w:val="2A566E5D"/>
    <w:rsid w:val="2A954815"/>
    <w:rsid w:val="2ABD43F8"/>
    <w:rsid w:val="2B5621F6"/>
    <w:rsid w:val="2B684D26"/>
    <w:rsid w:val="2BFF7BC6"/>
    <w:rsid w:val="2C2E4F21"/>
    <w:rsid w:val="2C6E17C2"/>
    <w:rsid w:val="2C715B69"/>
    <w:rsid w:val="2C8A61B5"/>
    <w:rsid w:val="2CB30463"/>
    <w:rsid w:val="2D0A773C"/>
    <w:rsid w:val="2D305A3B"/>
    <w:rsid w:val="2D7D5B52"/>
    <w:rsid w:val="2D8F2C83"/>
    <w:rsid w:val="2DA41CE1"/>
    <w:rsid w:val="2DC27430"/>
    <w:rsid w:val="2DF04E50"/>
    <w:rsid w:val="2E0777D8"/>
    <w:rsid w:val="2E184C68"/>
    <w:rsid w:val="2E586DFA"/>
    <w:rsid w:val="2F040D46"/>
    <w:rsid w:val="2F320885"/>
    <w:rsid w:val="2F5F53F2"/>
    <w:rsid w:val="2F6B035B"/>
    <w:rsid w:val="2F9C21A2"/>
    <w:rsid w:val="2FAE5751"/>
    <w:rsid w:val="2FB1A395"/>
    <w:rsid w:val="2FB67708"/>
    <w:rsid w:val="2FC82F97"/>
    <w:rsid w:val="2FD9A7D8"/>
    <w:rsid w:val="2FDBF714"/>
    <w:rsid w:val="2FF40230"/>
    <w:rsid w:val="30314FE0"/>
    <w:rsid w:val="305667F5"/>
    <w:rsid w:val="30AB6865"/>
    <w:rsid w:val="311C359A"/>
    <w:rsid w:val="315C7E3B"/>
    <w:rsid w:val="316B62D0"/>
    <w:rsid w:val="318C280E"/>
    <w:rsid w:val="319F7F4E"/>
    <w:rsid w:val="31AB4AC2"/>
    <w:rsid w:val="326B3788"/>
    <w:rsid w:val="32BD1EF1"/>
    <w:rsid w:val="3304709D"/>
    <w:rsid w:val="33A773CB"/>
    <w:rsid w:val="33DE0FDB"/>
    <w:rsid w:val="342C1119"/>
    <w:rsid w:val="343D21A6"/>
    <w:rsid w:val="34665331"/>
    <w:rsid w:val="34713BFD"/>
    <w:rsid w:val="349D6851"/>
    <w:rsid w:val="349E439C"/>
    <w:rsid w:val="3521172E"/>
    <w:rsid w:val="357E0CC8"/>
    <w:rsid w:val="35B9585C"/>
    <w:rsid w:val="35D755E7"/>
    <w:rsid w:val="36637A9D"/>
    <w:rsid w:val="3679148F"/>
    <w:rsid w:val="368F0CB2"/>
    <w:rsid w:val="36986621"/>
    <w:rsid w:val="36AA5135"/>
    <w:rsid w:val="36BE0DA7"/>
    <w:rsid w:val="36DD2F4E"/>
    <w:rsid w:val="36F6488E"/>
    <w:rsid w:val="3732127D"/>
    <w:rsid w:val="37427AD3"/>
    <w:rsid w:val="376B6AA6"/>
    <w:rsid w:val="376D39B2"/>
    <w:rsid w:val="37C678CF"/>
    <w:rsid w:val="37E16F03"/>
    <w:rsid w:val="37F53A3B"/>
    <w:rsid w:val="38303159"/>
    <w:rsid w:val="389B6C89"/>
    <w:rsid w:val="38D469F0"/>
    <w:rsid w:val="3913458B"/>
    <w:rsid w:val="392F6366"/>
    <w:rsid w:val="393A4D47"/>
    <w:rsid w:val="394D77FC"/>
    <w:rsid w:val="39627CCD"/>
    <w:rsid w:val="397A17A6"/>
    <w:rsid w:val="397BAF1F"/>
    <w:rsid w:val="39C80763"/>
    <w:rsid w:val="3AB79AF3"/>
    <w:rsid w:val="3ACF6A49"/>
    <w:rsid w:val="3AD81A2B"/>
    <w:rsid w:val="3AE834C0"/>
    <w:rsid w:val="3AFB2473"/>
    <w:rsid w:val="3B7D75B1"/>
    <w:rsid w:val="3B7EF35A"/>
    <w:rsid w:val="3B893F22"/>
    <w:rsid w:val="3B9FDB6C"/>
    <w:rsid w:val="3BC850D1"/>
    <w:rsid w:val="3BF33A92"/>
    <w:rsid w:val="3BF5BC2F"/>
    <w:rsid w:val="3CAB7EC8"/>
    <w:rsid w:val="3CC52D38"/>
    <w:rsid w:val="3CEBA265"/>
    <w:rsid w:val="3D686160"/>
    <w:rsid w:val="3D98207C"/>
    <w:rsid w:val="3D982857"/>
    <w:rsid w:val="3DEE7CF3"/>
    <w:rsid w:val="3DF53AF1"/>
    <w:rsid w:val="3E043D34"/>
    <w:rsid w:val="3E135D25"/>
    <w:rsid w:val="3E412892"/>
    <w:rsid w:val="3E4707A5"/>
    <w:rsid w:val="3E740A63"/>
    <w:rsid w:val="3E78745D"/>
    <w:rsid w:val="3EDE0BF0"/>
    <w:rsid w:val="3EDE27D7"/>
    <w:rsid w:val="3EE17838"/>
    <w:rsid w:val="3F0044FB"/>
    <w:rsid w:val="3F536D21"/>
    <w:rsid w:val="3F55381A"/>
    <w:rsid w:val="3F7F7599"/>
    <w:rsid w:val="3FE37CCF"/>
    <w:rsid w:val="3FF4CAE0"/>
    <w:rsid w:val="3FF7B227"/>
    <w:rsid w:val="40416B7A"/>
    <w:rsid w:val="4072421D"/>
    <w:rsid w:val="407A0D74"/>
    <w:rsid w:val="40A47108"/>
    <w:rsid w:val="40D043A1"/>
    <w:rsid w:val="40FF07E3"/>
    <w:rsid w:val="41001EB1"/>
    <w:rsid w:val="412F2E76"/>
    <w:rsid w:val="416F7D53"/>
    <w:rsid w:val="41C23074"/>
    <w:rsid w:val="41DD7387"/>
    <w:rsid w:val="42721D88"/>
    <w:rsid w:val="42B0448A"/>
    <w:rsid w:val="42CE66BF"/>
    <w:rsid w:val="42EB101F"/>
    <w:rsid w:val="43024820"/>
    <w:rsid w:val="43164D0D"/>
    <w:rsid w:val="434D1CD9"/>
    <w:rsid w:val="438A7056"/>
    <w:rsid w:val="43911BC6"/>
    <w:rsid w:val="43C67F58"/>
    <w:rsid w:val="43D1290A"/>
    <w:rsid w:val="446217B4"/>
    <w:rsid w:val="44DF2E05"/>
    <w:rsid w:val="44E268DA"/>
    <w:rsid w:val="44EC07B6"/>
    <w:rsid w:val="450D13D7"/>
    <w:rsid w:val="45382969"/>
    <w:rsid w:val="454C31E3"/>
    <w:rsid w:val="45506656"/>
    <w:rsid w:val="458A0FC3"/>
    <w:rsid w:val="45B7168C"/>
    <w:rsid w:val="45F445D0"/>
    <w:rsid w:val="463902F3"/>
    <w:rsid w:val="466E2692"/>
    <w:rsid w:val="470F61CD"/>
    <w:rsid w:val="47624A31"/>
    <w:rsid w:val="47F60B91"/>
    <w:rsid w:val="48013092"/>
    <w:rsid w:val="48131E90"/>
    <w:rsid w:val="48313923"/>
    <w:rsid w:val="483C5908"/>
    <w:rsid w:val="485350A5"/>
    <w:rsid w:val="486A6C7A"/>
    <w:rsid w:val="49935F6C"/>
    <w:rsid w:val="49C8030C"/>
    <w:rsid w:val="49D163A6"/>
    <w:rsid w:val="4A5E2A1E"/>
    <w:rsid w:val="4A627F82"/>
    <w:rsid w:val="4ACF7478"/>
    <w:rsid w:val="4AEF3676"/>
    <w:rsid w:val="4B0E749A"/>
    <w:rsid w:val="4B2477C4"/>
    <w:rsid w:val="4B26353C"/>
    <w:rsid w:val="4B412124"/>
    <w:rsid w:val="4B427C4A"/>
    <w:rsid w:val="4B4F25DA"/>
    <w:rsid w:val="4B8D2AFB"/>
    <w:rsid w:val="4BBF526A"/>
    <w:rsid w:val="4BE068DB"/>
    <w:rsid w:val="4C140257"/>
    <w:rsid w:val="4C2D08FA"/>
    <w:rsid w:val="4C471765"/>
    <w:rsid w:val="4CBB5F06"/>
    <w:rsid w:val="4D510618"/>
    <w:rsid w:val="4D577224"/>
    <w:rsid w:val="4DBA7040"/>
    <w:rsid w:val="4DBF1CEB"/>
    <w:rsid w:val="4DF0007C"/>
    <w:rsid w:val="4E481A1B"/>
    <w:rsid w:val="4EAB630A"/>
    <w:rsid w:val="4ECA68D4"/>
    <w:rsid w:val="4ECE2238"/>
    <w:rsid w:val="4F2E29BF"/>
    <w:rsid w:val="4F3E697A"/>
    <w:rsid w:val="4F477F24"/>
    <w:rsid w:val="4F833267"/>
    <w:rsid w:val="4FB862CC"/>
    <w:rsid w:val="4FC11A85"/>
    <w:rsid w:val="4FE9BD67"/>
    <w:rsid w:val="4FFB052F"/>
    <w:rsid w:val="51204589"/>
    <w:rsid w:val="5153495F"/>
    <w:rsid w:val="51A60F32"/>
    <w:rsid w:val="52100AA2"/>
    <w:rsid w:val="5237602E"/>
    <w:rsid w:val="528079D5"/>
    <w:rsid w:val="52D47D21"/>
    <w:rsid w:val="532F1381"/>
    <w:rsid w:val="533B7DA0"/>
    <w:rsid w:val="53400F13"/>
    <w:rsid w:val="537E6D0A"/>
    <w:rsid w:val="538232D9"/>
    <w:rsid w:val="53A828E9"/>
    <w:rsid w:val="53F74C96"/>
    <w:rsid w:val="53FD0BB2"/>
    <w:rsid w:val="545677A1"/>
    <w:rsid w:val="5486329D"/>
    <w:rsid w:val="54A379AB"/>
    <w:rsid w:val="55170BA8"/>
    <w:rsid w:val="553218C9"/>
    <w:rsid w:val="55772500"/>
    <w:rsid w:val="55CB540B"/>
    <w:rsid w:val="55F935FB"/>
    <w:rsid w:val="566C73E3"/>
    <w:rsid w:val="567E1AA5"/>
    <w:rsid w:val="568A395B"/>
    <w:rsid w:val="56E47B74"/>
    <w:rsid w:val="56EF512A"/>
    <w:rsid w:val="57175D52"/>
    <w:rsid w:val="57853398"/>
    <w:rsid w:val="57906374"/>
    <w:rsid w:val="57A7338F"/>
    <w:rsid w:val="57BD3DD4"/>
    <w:rsid w:val="58255009"/>
    <w:rsid w:val="58472D43"/>
    <w:rsid w:val="584E2B8F"/>
    <w:rsid w:val="58A255C2"/>
    <w:rsid w:val="599C04BB"/>
    <w:rsid w:val="59AA5338"/>
    <w:rsid w:val="59EF5441"/>
    <w:rsid w:val="5A0D6898"/>
    <w:rsid w:val="5A3B68D8"/>
    <w:rsid w:val="5A9F6E67"/>
    <w:rsid w:val="5AD6169D"/>
    <w:rsid w:val="5AF92295"/>
    <w:rsid w:val="5B250254"/>
    <w:rsid w:val="5B7377AF"/>
    <w:rsid w:val="5BA10A27"/>
    <w:rsid w:val="5BDD79E6"/>
    <w:rsid w:val="5BF561CA"/>
    <w:rsid w:val="5BFF5DFC"/>
    <w:rsid w:val="5C4F21C6"/>
    <w:rsid w:val="5C7779C1"/>
    <w:rsid w:val="5C875E04"/>
    <w:rsid w:val="5C8D7611"/>
    <w:rsid w:val="5CD71FC4"/>
    <w:rsid w:val="5D1F11B5"/>
    <w:rsid w:val="5D695134"/>
    <w:rsid w:val="5D8272F5"/>
    <w:rsid w:val="5D900CE9"/>
    <w:rsid w:val="5DA86032"/>
    <w:rsid w:val="5DAE1B18"/>
    <w:rsid w:val="5DD50C52"/>
    <w:rsid w:val="5DE7D9E5"/>
    <w:rsid w:val="5DE84681"/>
    <w:rsid w:val="5ECA144F"/>
    <w:rsid w:val="5ECEC941"/>
    <w:rsid w:val="5F0279C4"/>
    <w:rsid w:val="5FBF9FF3"/>
    <w:rsid w:val="5FCD4E2C"/>
    <w:rsid w:val="5FEF394A"/>
    <w:rsid w:val="5FF67715"/>
    <w:rsid w:val="5FFB68ED"/>
    <w:rsid w:val="60BB7E2A"/>
    <w:rsid w:val="612E2892"/>
    <w:rsid w:val="61375D7E"/>
    <w:rsid w:val="614E4321"/>
    <w:rsid w:val="616D5E79"/>
    <w:rsid w:val="61AB4343"/>
    <w:rsid w:val="61AF3E33"/>
    <w:rsid w:val="627E55B4"/>
    <w:rsid w:val="62BB2364"/>
    <w:rsid w:val="62BF3928"/>
    <w:rsid w:val="632C3261"/>
    <w:rsid w:val="63B3701E"/>
    <w:rsid w:val="645111D2"/>
    <w:rsid w:val="647F5392"/>
    <w:rsid w:val="651951E5"/>
    <w:rsid w:val="65660CAD"/>
    <w:rsid w:val="65AD68DC"/>
    <w:rsid w:val="65E66580"/>
    <w:rsid w:val="66317058"/>
    <w:rsid w:val="664B1D71"/>
    <w:rsid w:val="664B4E8E"/>
    <w:rsid w:val="66522FDF"/>
    <w:rsid w:val="66547382"/>
    <w:rsid w:val="66632270"/>
    <w:rsid w:val="66B477F6"/>
    <w:rsid w:val="66D206EE"/>
    <w:rsid w:val="67277B67"/>
    <w:rsid w:val="674A63AC"/>
    <w:rsid w:val="675F3C06"/>
    <w:rsid w:val="678E7ECB"/>
    <w:rsid w:val="67AA3209"/>
    <w:rsid w:val="698D0931"/>
    <w:rsid w:val="6A1E27E4"/>
    <w:rsid w:val="6A3274DB"/>
    <w:rsid w:val="6A5437CA"/>
    <w:rsid w:val="6A6F3CED"/>
    <w:rsid w:val="6A7FE5F3"/>
    <w:rsid w:val="6AB86E1B"/>
    <w:rsid w:val="6AD541DF"/>
    <w:rsid w:val="6AFE6FAA"/>
    <w:rsid w:val="6B053271"/>
    <w:rsid w:val="6B1271E1"/>
    <w:rsid w:val="6B555ED8"/>
    <w:rsid w:val="6B76151E"/>
    <w:rsid w:val="6B981494"/>
    <w:rsid w:val="6BDD78B3"/>
    <w:rsid w:val="6C0B7C80"/>
    <w:rsid w:val="6C40795D"/>
    <w:rsid w:val="6C450EF0"/>
    <w:rsid w:val="6C4A05C8"/>
    <w:rsid w:val="6C8742B8"/>
    <w:rsid w:val="6CCD7863"/>
    <w:rsid w:val="6CFE0F93"/>
    <w:rsid w:val="6D0112BB"/>
    <w:rsid w:val="6D013069"/>
    <w:rsid w:val="6DBF5E93"/>
    <w:rsid w:val="6DCA3DA3"/>
    <w:rsid w:val="6DFF077E"/>
    <w:rsid w:val="6E714EF0"/>
    <w:rsid w:val="6E751F61"/>
    <w:rsid w:val="6E7E3605"/>
    <w:rsid w:val="6E7FDCC7"/>
    <w:rsid w:val="6EC46A44"/>
    <w:rsid w:val="6ECD3B4B"/>
    <w:rsid w:val="6ED529FF"/>
    <w:rsid w:val="6ED6A62E"/>
    <w:rsid w:val="6EE00B15"/>
    <w:rsid w:val="6F1249BD"/>
    <w:rsid w:val="6F5C0A2B"/>
    <w:rsid w:val="6F6FB3EB"/>
    <w:rsid w:val="6F8731EA"/>
    <w:rsid w:val="6FCE6052"/>
    <w:rsid w:val="6FCF648F"/>
    <w:rsid w:val="6FD20CED"/>
    <w:rsid w:val="6FD57C00"/>
    <w:rsid w:val="6FEFFFD8"/>
    <w:rsid w:val="6FF5CC65"/>
    <w:rsid w:val="6FFB47EC"/>
    <w:rsid w:val="6FFF034A"/>
    <w:rsid w:val="7036127C"/>
    <w:rsid w:val="70484440"/>
    <w:rsid w:val="7055204A"/>
    <w:rsid w:val="70871AD7"/>
    <w:rsid w:val="71241A1C"/>
    <w:rsid w:val="712A28F1"/>
    <w:rsid w:val="71566079"/>
    <w:rsid w:val="715C0E4B"/>
    <w:rsid w:val="717402AD"/>
    <w:rsid w:val="717527F4"/>
    <w:rsid w:val="71992E7C"/>
    <w:rsid w:val="71F75576"/>
    <w:rsid w:val="72233669"/>
    <w:rsid w:val="72734D90"/>
    <w:rsid w:val="73160E6D"/>
    <w:rsid w:val="7332FE48"/>
    <w:rsid w:val="734E22B4"/>
    <w:rsid w:val="736B1B84"/>
    <w:rsid w:val="73AB61DA"/>
    <w:rsid w:val="73AD73D5"/>
    <w:rsid w:val="73B6EB34"/>
    <w:rsid w:val="73FA497D"/>
    <w:rsid w:val="74143DE2"/>
    <w:rsid w:val="74343D24"/>
    <w:rsid w:val="74363F40"/>
    <w:rsid w:val="744731E5"/>
    <w:rsid w:val="74BBD01D"/>
    <w:rsid w:val="74E4399C"/>
    <w:rsid w:val="74ED5379"/>
    <w:rsid w:val="74FD680C"/>
    <w:rsid w:val="75137DDD"/>
    <w:rsid w:val="756D1BE3"/>
    <w:rsid w:val="75D03F20"/>
    <w:rsid w:val="75DEEEC2"/>
    <w:rsid w:val="75E32345"/>
    <w:rsid w:val="75EB3595"/>
    <w:rsid w:val="75F145C2"/>
    <w:rsid w:val="76E3355F"/>
    <w:rsid w:val="76EF3E2A"/>
    <w:rsid w:val="76FF5125"/>
    <w:rsid w:val="775748F9"/>
    <w:rsid w:val="776F6FFA"/>
    <w:rsid w:val="778769C8"/>
    <w:rsid w:val="77A75DCA"/>
    <w:rsid w:val="77C74015"/>
    <w:rsid w:val="77DC22F5"/>
    <w:rsid w:val="780B1240"/>
    <w:rsid w:val="78144598"/>
    <w:rsid w:val="783E271A"/>
    <w:rsid w:val="78616DE9"/>
    <w:rsid w:val="78C95383"/>
    <w:rsid w:val="78E35DB2"/>
    <w:rsid w:val="78E875D7"/>
    <w:rsid w:val="79086DAD"/>
    <w:rsid w:val="791505C8"/>
    <w:rsid w:val="796450AB"/>
    <w:rsid w:val="79D7FD79"/>
    <w:rsid w:val="79EE5BA4"/>
    <w:rsid w:val="7A0174D5"/>
    <w:rsid w:val="7A431165"/>
    <w:rsid w:val="7A5779CE"/>
    <w:rsid w:val="7A813A3B"/>
    <w:rsid w:val="7A894339"/>
    <w:rsid w:val="7AD284E8"/>
    <w:rsid w:val="7AFF7572"/>
    <w:rsid w:val="7B264BB7"/>
    <w:rsid w:val="7B6C7DFB"/>
    <w:rsid w:val="7B8C6B3B"/>
    <w:rsid w:val="7BBFBED0"/>
    <w:rsid w:val="7BC3E394"/>
    <w:rsid w:val="7BFC15CB"/>
    <w:rsid w:val="7C0E12FE"/>
    <w:rsid w:val="7C1F3737"/>
    <w:rsid w:val="7CBFC87B"/>
    <w:rsid w:val="7CE8640F"/>
    <w:rsid w:val="7CFE0F48"/>
    <w:rsid w:val="7D272ABC"/>
    <w:rsid w:val="7D4A13AE"/>
    <w:rsid w:val="7D7EC23E"/>
    <w:rsid w:val="7DE70964"/>
    <w:rsid w:val="7DF84014"/>
    <w:rsid w:val="7E8ADEBF"/>
    <w:rsid w:val="7EB85268"/>
    <w:rsid w:val="7ED33CEE"/>
    <w:rsid w:val="7EE051D4"/>
    <w:rsid w:val="7EEF11D3"/>
    <w:rsid w:val="7EFE4840"/>
    <w:rsid w:val="7F0971A6"/>
    <w:rsid w:val="7F1B454B"/>
    <w:rsid w:val="7F1D62E7"/>
    <w:rsid w:val="7F3F679B"/>
    <w:rsid w:val="7F4FC4EF"/>
    <w:rsid w:val="7F556AC1"/>
    <w:rsid w:val="7F5E4D54"/>
    <w:rsid w:val="7F6E0135"/>
    <w:rsid w:val="7F79F205"/>
    <w:rsid w:val="7FA30C79"/>
    <w:rsid w:val="7FA79C44"/>
    <w:rsid w:val="7FAC21CB"/>
    <w:rsid w:val="7FAF4BA7"/>
    <w:rsid w:val="7FAF8ABF"/>
    <w:rsid w:val="7FB7269E"/>
    <w:rsid w:val="7FC96657"/>
    <w:rsid w:val="7FDA9588"/>
    <w:rsid w:val="7FDB3B2C"/>
    <w:rsid w:val="7FDF220F"/>
    <w:rsid w:val="7FEDC5F7"/>
    <w:rsid w:val="7FEDD9DE"/>
    <w:rsid w:val="7FF5890D"/>
    <w:rsid w:val="7FF93490"/>
    <w:rsid w:val="7FFB7DEC"/>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ind w:left="1680"/>
    </w:pPr>
  </w:style>
  <w:style w:type="paragraph" w:styleId="8">
    <w:name w:val="Body Text"/>
    <w:basedOn w:val="1"/>
    <w:link w:val="28"/>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1"/>
      <w:u w:val="none" w:color="auto"/>
      <w:vertAlign w:val="baseline"/>
      <w:lang w:val="en-US" w:eastAsia="zh-CN"/>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4"/>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3"/>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8"/>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2"/>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font51"/>
    <w:basedOn w:val="20"/>
    <w:qFormat/>
    <w:uiPriority w:val="0"/>
    <w:rPr>
      <w:rFonts w:hint="eastAsia" w:ascii="微软雅黑" w:hAnsi="微软雅黑" w:eastAsia="微软雅黑" w:cs="微软雅黑"/>
      <w:i/>
      <w:iCs/>
      <w:color w:val="000000"/>
      <w:sz w:val="16"/>
      <w:szCs w:val="16"/>
      <w:u w:val="none"/>
    </w:rPr>
  </w:style>
  <w:style w:type="character" w:customStyle="1" w:styleId="39">
    <w:name w:val="font71"/>
    <w:basedOn w:val="20"/>
    <w:qFormat/>
    <w:uiPriority w:val="0"/>
    <w:rPr>
      <w:rFonts w:hint="default" w:ascii="Times New Roman" w:hAnsi="Times New Roman" w:cs="Times New Roman"/>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4663.52</c:v>
                </c:pt>
                <c:pt idx="1">
                  <c:v>4738.25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4738.25</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953.07</c:v>
                </c:pt>
                <c:pt idx="1">
                  <c:v>3785.19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4663.52</c:v>
                </c:pt>
                <c:pt idx="1">
                  <c:v>4738.25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4663.52</c:v>
                </c:pt>
                <c:pt idx="1">
                  <c:v>4738.25</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4531.68</c:v>
                </c:pt>
                <c:pt idx="1">
                  <c:v>109.12</c:v>
                </c:pt>
                <c:pt idx="2">
                  <c:v>41.69</c:v>
                </c:pt>
                <c:pt idx="3">
                  <c:v>55.77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35.77</c:v>
                </c:pt>
                <c:pt idx="2">
                  <c:v>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68</Pages>
  <Words>8722</Words>
  <Characters>10010</Characters>
  <Lines>61</Lines>
  <Paragraphs>17</Paragraphs>
  <TotalTime>0</TotalTime>
  <ScaleCrop>false</ScaleCrop>
  <LinksUpToDate>false</LinksUpToDate>
  <CharactersWithSpaces>10130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瑛</cp:lastModifiedBy>
  <cp:lastPrinted>2025-08-06T17:34:00Z</cp:lastPrinted>
  <dcterms:modified xsi:type="dcterms:W3CDTF">2026-09-15T09:05:27Z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693F4E6B2C4F49C0B5568338264B27C7_13</vt:lpwstr>
  </property>
  <property fmtid="{D5CDD505-2E9C-101B-9397-08002B2CF9AE}" pid="4" name="KSOTemplateDocerSaveRecord">
    <vt:lpwstr>eyJoZGlkIjoiNTE5ZDFjMDg1YTg5MTJiYzhhY2U2ZDg5ZDk5MDA1NjIiLCJ1c2VySWQiOiIxMTY3MDkyNDU2In0=</vt:lpwstr>
  </property>
</Properties>
</file>