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8359F">
      <w:bookmarkStart w:id="0" w:name="_Toc15377425"/>
      <w:bookmarkStart w:id="1" w:name="_Toc15378441"/>
      <w:bookmarkStart w:id="2" w:name="_Toc15396597"/>
      <w:bookmarkStart w:id="3" w:name="_Toc15396475"/>
      <w:bookmarkStart w:id="4" w:name="_Toc15377193"/>
      <w:bookmarkStart w:id="5" w:name="_Toc15306267"/>
    </w:p>
    <w:p w14:paraId="278E0CCC">
      <w:pPr>
        <w:pStyle w:val="8"/>
        <w:spacing w:before="93"/>
        <w:jc w:val="center"/>
        <w:rPr>
          <w:rFonts w:ascii="Times New Roman" w:eastAsia="方正小标宋简体"/>
          <w:kern w:val="2"/>
          <w:sz w:val="44"/>
          <w:szCs w:val="44"/>
        </w:rPr>
      </w:pPr>
    </w:p>
    <w:p w14:paraId="0F8DC781">
      <w:pPr>
        <w:pStyle w:val="8"/>
        <w:spacing w:before="93"/>
        <w:jc w:val="center"/>
        <w:rPr>
          <w:rFonts w:ascii="Times New Roman" w:eastAsia="方正小标宋简体"/>
          <w:kern w:val="2"/>
          <w:sz w:val="44"/>
          <w:szCs w:val="44"/>
        </w:rPr>
      </w:pPr>
    </w:p>
    <w:p w14:paraId="4D2B47BA">
      <w:pPr>
        <w:pStyle w:val="8"/>
        <w:spacing w:before="93"/>
        <w:jc w:val="center"/>
        <w:rPr>
          <w:rFonts w:ascii="Times New Roman" w:eastAsia="方正小标宋简体"/>
          <w:kern w:val="2"/>
          <w:sz w:val="44"/>
          <w:szCs w:val="44"/>
        </w:rPr>
      </w:pPr>
    </w:p>
    <w:p w14:paraId="106B7653">
      <w:pPr>
        <w:pStyle w:val="8"/>
        <w:spacing w:before="93"/>
        <w:jc w:val="center"/>
        <w:rPr>
          <w:rFonts w:ascii="Times New Roman" w:eastAsia="方正小标宋简体"/>
          <w:kern w:val="2"/>
          <w:sz w:val="44"/>
          <w:szCs w:val="44"/>
        </w:rPr>
      </w:pPr>
    </w:p>
    <w:bookmarkEnd w:id="0"/>
    <w:bookmarkEnd w:id="1"/>
    <w:bookmarkEnd w:id="2"/>
    <w:bookmarkEnd w:id="3"/>
    <w:bookmarkEnd w:id="4"/>
    <w:p w14:paraId="28D2C42B">
      <w:pPr>
        <w:pStyle w:val="8"/>
        <w:spacing w:before="93"/>
        <w:jc w:val="center"/>
        <w:rPr>
          <w:rFonts w:hint="eastAsia" w:ascii="Times New Roman" w:eastAsia="方正小标宋简体"/>
          <w:kern w:val="2"/>
          <w:sz w:val="44"/>
          <w:szCs w:val="44"/>
        </w:rPr>
      </w:pPr>
      <w:bookmarkStart w:id="6" w:name="_Toc15377194"/>
      <w:bookmarkStart w:id="7" w:name="_Toc15396476"/>
      <w:bookmarkStart w:id="8" w:name="_Toc15396598"/>
      <w:bookmarkStart w:id="9" w:name="_Toc15377426"/>
      <w:bookmarkStart w:id="10" w:name="_Toc15378442"/>
      <w:r>
        <w:rPr>
          <w:rFonts w:hint="eastAsia" w:ascii="Times New Roman" w:eastAsia="方正小标宋简体"/>
          <w:kern w:val="2"/>
          <w:sz w:val="44"/>
          <w:szCs w:val="44"/>
        </w:rPr>
        <w:t>2024年度</w:t>
      </w:r>
      <w:bookmarkEnd w:id="5"/>
      <w:bookmarkStart w:id="11" w:name="_Toc15306268"/>
    </w:p>
    <w:p w14:paraId="0CC951F0">
      <w:pPr>
        <w:pStyle w:val="8"/>
        <w:spacing w:before="93"/>
        <w:jc w:val="center"/>
        <w:outlineLvl w:val="9"/>
        <w:rPr>
          <w:rFonts w:hint="eastAsia" w:ascii="Times New Roman" w:eastAsia="方正小标宋简体"/>
          <w:kern w:val="2"/>
          <w:sz w:val="44"/>
          <w:szCs w:val="44"/>
        </w:rPr>
      </w:pPr>
      <w:r>
        <w:rPr>
          <w:rFonts w:hint="eastAsia" w:ascii="Times New Roman" w:eastAsia="方正小标宋简体"/>
          <w:kern w:val="2"/>
          <w:sz w:val="44"/>
          <w:szCs w:val="44"/>
        </w:rPr>
        <w:t>阿坝州若尔盖生态环境局</w:t>
      </w:r>
    </w:p>
    <w:p w14:paraId="47AEF975">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部门决算</w:t>
      </w:r>
      <w:bookmarkEnd w:id="6"/>
      <w:bookmarkEnd w:id="7"/>
      <w:bookmarkEnd w:id="8"/>
      <w:bookmarkEnd w:id="9"/>
      <w:bookmarkEnd w:id="10"/>
      <w:bookmarkEnd w:id="11"/>
    </w:p>
    <w:p w14:paraId="48525C46">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14:paraId="3A675FA4">
      <w:pPr>
        <w:widowControl/>
        <w:jc w:val="center"/>
        <w:rPr>
          <w:rFonts w:eastAsia="黑体" w:cstheme="minorBidi"/>
          <w:sz w:val="28"/>
          <w:szCs w:val="28"/>
        </w:rPr>
      </w:pPr>
    </w:p>
    <w:p w14:paraId="76D54B80"/>
    <w:p w14:paraId="3042358C">
      <w:pPr>
        <w:pStyle w:val="13"/>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12</w:t>
      </w:r>
    </w:p>
    <w:sdt>
      <w:sdtPr>
        <w:rPr>
          <w:rFonts w:ascii="宋体" w:hAnsi="宋体" w:eastAsia="宋体" w:cs="Times New Roman"/>
          <w:kern w:val="2"/>
          <w:sz w:val="21"/>
          <w:szCs w:val="24"/>
          <w:lang w:val="en-US" w:eastAsia="zh-CN" w:bidi="ar-SA"/>
        </w:rPr>
        <w:id w:val="147472884"/>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63118FEC">
          <w:pPr>
            <w:spacing w:before="0" w:beforeLines="0" w:after="0" w:afterLines="0" w:line="240" w:lineRule="auto"/>
            <w:ind w:left="0" w:leftChars="0" w:right="0" w:rightChars="0" w:firstLine="0" w:firstLineChars="0"/>
            <w:jc w:val="center"/>
          </w:pPr>
          <w:r>
            <w:fldChar w:fldCharType="begin"/>
          </w:r>
          <w:r>
            <w:instrText xml:space="preserve">TOC \o "1-2" \h \u </w:instrText>
          </w:r>
          <w:r>
            <w:fldChar w:fldCharType="separate"/>
          </w:r>
        </w:p>
        <w:p w14:paraId="4BE47D71">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_Toc2048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第一部分</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_Toc2048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1</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24FC819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_Toc3126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val="en-US" w:eastAsia="zh-CN"/>
            </w:rPr>
            <w:t>单位</w:t>
          </w:r>
          <w:r>
            <w:rPr>
              <w:rFonts w:hint="eastAsia" w:ascii="Times New Roman" w:hAnsi="Times New Roman" w:eastAsia="仿宋_GB2312" w:cs="仿宋_GB2312"/>
              <w:color w:val="auto"/>
              <w:sz w:val="32"/>
              <w:szCs w:val="32"/>
              <w:highlight w:val="none"/>
            </w:rPr>
            <w:t>职责</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_Toc3126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6D9A17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_Toc3192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二、机构设置</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_Toc3192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C205F5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_Toc5235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第二部分2024年度</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_Toc5235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2</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481EC40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_Toc5105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_Toc5105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0A6AE22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_Toc31261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_Toc31261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9C86BA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_Toc22742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_Toc22742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EFB910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_Toc2912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_Toc2912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0A01C3B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_Toc16463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_Toc16463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AA533F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_Toc20940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_Toc20940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5</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35B353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_Toc2729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七、财政拨款“三公”经费支出决算情况说明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_Toc2729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6</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21791F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_Toc23946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八、政府性基金预算支出决算情况说明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_Toc23946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7</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19E3023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_Toc23596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九、国有资本经营预算支出决算情况说明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_Toc23596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7</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1C01790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_Toc27488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十、其他重要事项的情况说明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_Toc27488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7</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72B5527B">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_Toc2473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第三部分名词解释</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_Toc2473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8</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6EB2CCB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_Toc17300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第四部分附件</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_Toc17300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11</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02D7881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_Toc11824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第五部分附表</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_Toc11824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34</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17BAC86A">
          <w:pPr>
            <w:pStyle w:val="14"/>
            <w:adjustRightInd w:val="0"/>
            <w:snapToGrid w:val="0"/>
            <w:spacing w:line="560" w:lineRule="exact"/>
            <w:ind w:left="0" w:leftChars="0" w:firstLine="420" w:firstLineChars="200"/>
            <w:jc w:val="left"/>
            <w:rPr>
              <w:rFonts w:eastAsia="仿宋_GB2312" w:cs="仿宋_GB2312"/>
              <w:sz w:val="32"/>
              <w:szCs w:val="32"/>
            </w:rPr>
          </w:pPr>
          <w:r>
            <w:fldChar w:fldCharType="end"/>
          </w:r>
          <w:r>
            <w:rPr>
              <w:rFonts w:hint="eastAsia" w:eastAsia="仿宋_GB2312" w:cs="仿宋_GB2312"/>
              <w:sz w:val="32"/>
              <w:szCs w:val="32"/>
            </w:rPr>
            <w:t>一、收入支出决算总表</w:t>
          </w:r>
        </w:p>
        <w:p w14:paraId="58E181C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5CE8110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4CBF496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0DF7AEA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03D1642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008F1BF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25135E3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5719565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2C5CF50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08157BA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6F9410D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284FE8E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32216673">
          <w:pPr>
            <w:pStyle w:val="5"/>
            <w:jc w:val="center"/>
            <w:rPr>
              <w:rFonts w:hint="eastAsia" w:eastAsia="方正小标宋简体" w:cs="方正小标宋简体"/>
              <w:b w:val="0"/>
            </w:rPr>
            <w:sectPr>
              <w:headerReference r:id="rId3" w:type="default"/>
              <w:footerReference r:id="rId4" w:type="default"/>
              <w:pgSz w:w="11910" w:h="16840"/>
              <w:pgMar w:top="525" w:right="542" w:bottom="469" w:left="499" w:header="279" w:footer="251" w:gutter="0"/>
              <w:cols w:space="720" w:num="1"/>
            </w:sectPr>
          </w:pPr>
        </w:p>
        <w:p w14:paraId="0F0A60EC">
          <w:pPr>
            <w:rPr>
              <w:rFonts w:ascii="Times New Roman" w:hAnsi="Times New Roman" w:eastAsia="黑体" w:cs="黑体"/>
              <w:sz w:val="32"/>
              <w:szCs w:val="32"/>
            </w:rPr>
          </w:pPr>
        </w:p>
      </w:sdtContent>
    </w:sdt>
    <w:p w14:paraId="7A0BB24A">
      <w:pPr>
        <w:pStyle w:val="5"/>
        <w:jc w:val="center"/>
        <w:rPr>
          <w:rStyle w:val="28"/>
          <w:rFonts w:eastAsia="方正小标宋简体" w:cs="方正小标宋简体"/>
          <w:b/>
          <w:bCs w:val="0"/>
        </w:rPr>
      </w:pPr>
      <w:bookmarkStart w:id="12" w:name="_Toc15396599"/>
      <w:bookmarkStart w:id="13" w:name="_Toc15377196"/>
      <w:bookmarkStart w:id="14" w:name="_Toc2048"/>
      <w:r>
        <w:rPr>
          <w:rFonts w:hint="eastAsia" w:eastAsia="方正小标宋简体" w:cs="方正小标宋简体"/>
          <w:b w:val="0"/>
        </w:rPr>
        <w:t>第一部分</w:t>
      </w:r>
      <w:r>
        <w:rPr>
          <w:rStyle w:val="28"/>
          <w:rFonts w:hint="eastAsia" w:eastAsia="方正小标宋简体" w:cs="方正小标宋简体"/>
          <w:b w:val="0"/>
          <w:bCs w:val="0"/>
          <w:lang w:val="en-US" w:eastAsia="zh-CN"/>
        </w:rPr>
        <w:t>单位</w:t>
      </w:r>
      <w:r>
        <w:rPr>
          <w:rStyle w:val="28"/>
          <w:rFonts w:hint="eastAsia" w:eastAsia="方正小标宋简体" w:cs="方正小标宋简体"/>
          <w:b w:val="0"/>
          <w:bCs w:val="0"/>
        </w:rPr>
        <w:t>概况</w:t>
      </w:r>
      <w:bookmarkEnd w:id="12"/>
      <w:bookmarkEnd w:id="13"/>
      <w:bookmarkEnd w:id="14"/>
    </w:p>
    <w:p w14:paraId="6E8BE59E">
      <w:pPr>
        <w:widowControl/>
        <w:jc w:val="left"/>
        <w:rPr>
          <w:rFonts w:eastAsia="黑体"/>
          <w:sz w:val="32"/>
          <w:szCs w:val="32"/>
        </w:rPr>
      </w:pPr>
    </w:p>
    <w:p w14:paraId="77367542">
      <w:pPr>
        <w:pStyle w:val="6"/>
        <w:numPr>
          <w:ilvl w:val="0"/>
          <w:numId w:val="1"/>
        </w:numPr>
        <w:rPr>
          <w:rFonts w:hint="eastAsia" w:ascii="Times New Roman" w:hAnsi="Times New Roman" w:eastAsia="黑体"/>
          <w:b w:val="0"/>
        </w:rPr>
      </w:pPr>
      <w:bookmarkStart w:id="15" w:name="_Toc3126"/>
      <w:r>
        <w:rPr>
          <w:rFonts w:hint="eastAsia" w:ascii="Times New Roman" w:hAnsi="Times New Roman" w:eastAsia="黑体"/>
          <w:b w:val="0"/>
          <w:lang w:val="en-US" w:eastAsia="zh-CN"/>
        </w:rPr>
        <w:t>单位</w:t>
      </w:r>
      <w:r>
        <w:rPr>
          <w:rFonts w:hint="eastAsia" w:ascii="Times New Roman" w:hAnsi="Times New Roman" w:eastAsia="黑体"/>
          <w:b w:val="0"/>
        </w:rPr>
        <w:t>职责</w:t>
      </w:r>
      <w:bookmarkEnd w:id="15"/>
    </w:p>
    <w:p w14:paraId="13F30CF0">
      <w:pPr>
        <w:pStyle w:val="27"/>
        <w:spacing w:line="600" w:lineRule="exact"/>
        <w:ind w:firstLine="640"/>
        <w:outlineLvl w:val="9"/>
        <w:rPr>
          <w:rFonts w:hint="eastAsia" w:eastAsia="仿宋_GB2312" w:cs="仿宋_GB2312"/>
          <w:sz w:val="32"/>
          <w:szCs w:val="32"/>
        </w:rPr>
      </w:pPr>
      <w:r>
        <w:rPr>
          <w:rFonts w:hint="eastAsia" w:eastAsia="仿宋_GB2312" w:cs="仿宋_GB2312"/>
          <w:sz w:val="32"/>
          <w:szCs w:val="32"/>
        </w:rPr>
        <w:t>负责建立健全生态环境保护监督管理制度；贯彻落实生态环境保护方面的法律法规和国家、省、州标准，拟定县域生态环境保护规范性文件，会同有关部门编制并监督实施全县重点区域、流域、饮用水水源地生态环境规划和水功能区划；负责县域生态环境问题的协调和监督管理；负责监督管理县域减排目标的落实；负责环境污染防治的管理，管理县域大气、水、土壤、噪声、光、恶臭、固体废物、化学品、机动车等污染防治工作；指导协调和监督生态保护修复工作；负责核与辐射安全的监督管理；负责生态环境准入的管理；负责应对气候变化工作；配合做好中央、省生态环境保护督察工作，组织和督促相关部门及企业对中央、省环境保护督察反馈问题和州生态环境突出问题专项督察的整改落实；统一负责生态环境执法；负责生态环境监测工作；组织指导和协调生态环境宣传教育工作。</w:t>
      </w:r>
    </w:p>
    <w:p w14:paraId="5401DC9F">
      <w:pPr>
        <w:pStyle w:val="6"/>
        <w:rPr>
          <w:rStyle w:val="29"/>
          <w:rFonts w:ascii="Times New Roman" w:hAnsi="Times New Roman"/>
          <w:b w:val="0"/>
          <w:bCs w:val="0"/>
        </w:rPr>
      </w:pPr>
      <w:bookmarkStart w:id="16" w:name="_Toc15396601"/>
      <w:bookmarkStart w:id="17" w:name="_Toc15377200"/>
      <w:bookmarkStart w:id="18" w:name="_Toc3192"/>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6"/>
      <w:bookmarkEnd w:id="17"/>
      <w:bookmarkEnd w:id="18"/>
    </w:p>
    <w:p w14:paraId="77ADD938">
      <w:pPr>
        <w:pStyle w:val="27"/>
        <w:spacing w:line="600" w:lineRule="exact"/>
        <w:ind w:firstLine="640"/>
        <w:outlineLvl w:val="9"/>
        <w:rPr>
          <w:rFonts w:hint="eastAsia" w:eastAsia="仿宋_GB2312" w:cs="仿宋_GB2312"/>
          <w:sz w:val="32"/>
          <w:szCs w:val="32"/>
        </w:rPr>
      </w:pPr>
      <w:r>
        <w:rPr>
          <w:rFonts w:hint="eastAsia" w:eastAsia="仿宋_GB2312" w:cs="仿宋_GB2312"/>
          <w:sz w:val="32"/>
          <w:szCs w:val="32"/>
        </w:rPr>
        <w:t>单位为二级预算单位，单位性质为行政单位，内设独立核算机构为1个，机构编制数为1个。</w:t>
      </w:r>
    </w:p>
    <w:p w14:paraId="328DA129">
      <w:pPr>
        <w:widowControl/>
        <w:jc w:val="left"/>
        <w:rPr>
          <w:rFonts w:eastAsia="仿宋"/>
          <w:kern w:val="0"/>
          <w:sz w:val="32"/>
          <w:szCs w:val="32"/>
        </w:rPr>
      </w:pPr>
      <w:r>
        <w:rPr>
          <w:rFonts w:eastAsia="仿宋"/>
          <w:sz w:val="32"/>
          <w:szCs w:val="32"/>
        </w:rPr>
        <w:br w:type="page"/>
      </w:r>
    </w:p>
    <w:p w14:paraId="6D827A23">
      <w:pPr>
        <w:spacing w:line="333" w:lineRule="auto"/>
        <w:rPr>
          <w:rFonts w:ascii="仿宋" w:hAnsi="仿宋" w:eastAsia="仿宋" w:cs="仿宋"/>
          <w:sz w:val="31"/>
          <w:szCs w:val="31"/>
        </w:rPr>
        <w:sectPr>
          <w:headerReference r:id="rId5" w:type="default"/>
          <w:footerReference r:id="rId6" w:type="default"/>
          <w:pgSz w:w="11910" w:h="16840"/>
          <w:pgMar w:top="525" w:right="542" w:bottom="469" w:left="499" w:header="279" w:footer="251" w:gutter="0"/>
          <w:pgNumType w:fmt="decimal" w:start="1"/>
          <w:cols w:space="720" w:num="1"/>
        </w:sectPr>
      </w:pPr>
    </w:p>
    <w:p w14:paraId="75F13978">
      <w:pPr>
        <w:numPr>
          <w:ilvl w:val="0"/>
          <w:numId w:val="0"/>
        </w:numPr>
      </w:pPr>
    </w:p>
    <w:p w14:paraId="6B57631A">
      <w:pPr>
        <w:pStyle w:val="5"/>
        <w:jc w:val="center"/>
      </w:pPr>
      <w:bookmarkStart w:id="19" w:name="_Toc15396602"/>
      <w:bookmarkStart w:id="20" w:name="_Toc15377204"/>
      <w:bookmarkStart w:id="21" w:name="_Toc5235"/>
      <w:r>
        <w:rPr>
          <w:rFonts w:hint="eastAsia" w:eastAsia="方正小标宋简体" w:cs="方正小标宋简体"/>
          <w:b w:val="0"/>
        </w:rPr>
        <w:t>第二部分2024年度</w:t>
      </w:r>
      <w:r>
        <w:rPr>
          <w:rFonts w:hint="eastAsia" w:eastAsia="方正小标宋简体" w:cs="方正小标宋简体"/>
          <w:b w:val="0"/>
          <w:lang w:val="en-US" w:eastAsia="zh-CN"/>
        </w:rPr>
        <w:t>单位</w:t>
      </w:r>
      <w:r>
        <w:rPr>
          <w:rFonts w:hint="eastAsia" w:eastAsia="方正小标宋简体" w:cs="方正小标宋简体"/>
          <w:b w:val="0"/>
        </w:rPr>
        <w:t>决算情况说明</w:t>
      </w:r>
      <w:bookmarkEnd w:id="19"/>
      <w:bookmarkEnd w:id="20"/>
      <w:bookmarkEnd w:id="21"/>
    </w:p>
    <w:p w14:paraId="61C442B7">
      <w:pPr>
        <w:pStyle w:val="27"/>
        <w:spacing w:line="600" w:lineRule="exact"/>
        <w:ind w:firstLine="640"/>
        <w:outlineLvl w:val="1"/>
        <w:rPr>
          <w:rStyle w:val="29"/>
          <w:rFonts w:ascii="Times New Roman" w:hAnsi="Times New Roman" w:eastAsia="黑体"/>
          <w:b w:val="0"/>
        </w:rPr>
      </w:pPr>
      <w:bookmarkStart w:id="22" w:name="_Toc15377205"/>
      <w:bookmarkStart w:id="23" w:name="_Toc15396603"/>
      <w:bookmarkStart w:id="24" w:name="_Toc5105"/>
      <w:r>
        <w:rPr>
          <w:rFonts w:hint="eastAsia" w:eastAsia="黑体"/>
          <w:sz w:val="32"/>
          <w:szCs w:val="32"/>
        </w:rPr>
        <w:t>一、收</w:t>
      </w:r>
      <w:r>
        <w:rPr>
          <w:rStyle w:val="29"/>
          <w:rFonts w:hint="eastAsia" w:ascii="Times New Roman" w:hAnsi="Times New Roman" w:eastAsia="黑体"/>
          <w:b w:val="0"/>
        </w:rPr>
        <w:t>入支出决算总体情况说明</w:t>
      </w:r>
      <w:bookmarkEnd w:id="22"/>
      <w:bookmarkEnd w:id="23"/>
      <w:bookmarkEnd w:id="24"/>
    </w:p>
    <w:p w14:paraId="6B020F35">
      <w:pPr>
        <w:pStyle w:val="27"/>
        <w:spacing w:line="600" w:lineRule="exact"/>
        <w:ind w:firstLine="640"/>
        <w:outlineLvl w:val="9"/>
        <w:rPr>
          <w:rFonts w:hint="eastAsia"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1153.88</w:t>
      </w:r>
      <w:r>
        <w:rPr>
          <w:rFonts w:hint="eastAsia" w:eastAsia="仿宋_GB2312" w:cs="仿宋_GB2312"/>
          <w:sz w:val="32"/>
          <w:szCs w:val="32"/>
        </w:rPr>
        <w:t>万元。与2023年度相比，收入、支出总计各减少</w:t>
      </w:r>
      <w:r>
        <w:rPr>
          <w:rFonts w:hint="eastAsia" w:eastAsia="仿宋_GB2312" w:cs="仿宋_GB2312"/>
          <w:sz w:val="32"/>
          <w:szCs w:val="32"/>
          <w:lang w:val="en-US" w:eastAsia="zh-CN"/>
        </w:rPr>
        <w:t>1409.07</w:t>
      </w:r>
      <w:r>
        <w:rPr>
          <w:rFonts w:hint="eastAsia" w:eastAsia="仿宋_GB2312" w:cs="仿宋_GB2312"/>
          <w:sz w:val="32"/>
          <w:szCs w:val="32"/>
        </w:rPr>
        <w:t>万元，下降</w:t>
      </w:r>
      <w:r>
        <w:rPr>
          <w:rFonts w:hint="eastAsia" w:eastAsia="仿宋_GB2312" w:cs="仿宋_GB2312"/>
          <w:sz w:val="32"/>
          <w:szCs w:val="32"/>
          <w:lang w:val="en-US" w:eastAsia="zh-CN"/>
        </w:rPr>
        <w:t>55</w:t>
      </w:r>
      <w:r>
        <w:rPr>
          <w:rFonts w:hint="eastAsia" w:eastAsia="仿宋_GB2312" w:cs="仿宋_GB2312"/>
          <w:sz w:val="32"/>
          <w:szCs w:val="32"/>
        </w:rPr>
        <w:t>%。主要变动原因是</w:t>
      </w:r>
      <w:r>
        <w:rPr>
          <w:rFonts w:hint="eastAsia" w:eastAsia="仿宋_GB2312" w:cs="仿宋_GB2312"/>
          <w:sz w:val="32"/>
          <w:szCs w:val="32"/>
          <w:lang w:val="en-US" w:eastAsia="zh-CN"/>
        </w:rPr>
        <w:t>项目减少。</w:t>
      </w:r>
    </w:p>
    <w:p w14:paraId="3DF479DA">
      <w:pPr>
        <w:pStyle w:val="27"/>
        <w:spacing w:line="600" w:lineRule="exact"/>
        <w:ind w:firstLine="640"/>
        <w:outlineLvl w:val="9"/>
        <w:rPr>
          <w:rFonts w:hint="eastAsia" w:eastAsia="仿宋_GB2312" w:cs="仿宋_GB2312"/>
          <w:sz w:val="32"/>
          <w:szCs w:val="32"/>
          <w:lang w:val="en-US" w:eastAsia="zh-CN"/>
        </w:rPr>
      </w:pPr>
      <w:r>
        <w:drawing>
          <wp:anchor distT="0" distB="0" distL="114300" distR="114300" simplePos="0" relativeHeight="251660288" behindDoc="0" locked="0" layoutInCell="1" allowOverlap="1">
            <wp:simplePos x="0" y="0"/>
            <wp:positionH relativeFrom="column">
              <wp:posOffset>1063625</wp:posOffset>
            </wp:positionH>
            <wp:positionV relativeFrom="paragraph">
              <wp:posOffset>194945</wp:posOffset>
            </wp:positionV>
            <wp:extent cx="4572000" cy="3040380"/>
            <wp:effectExtent l="4445" t="4445" r="10795" b="18415"/>
            <wp:wrapNone/>
            <wp:docPr id="156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7654FA5">
      <w:pPr>
        <w:pStyle w:val="27"/>
        <w:spacing w:line="600" w:lineRule="exact"/>
        <w:ind w:firstLine="640"/>
        <w:outlineLvl w:val="9"/>
        <w:rPr>
          <w:rFonts w:hint="default" w:eastAsia="仿宋_GB2312" w:cs="仿宋_GB2312"/>
          <w:sz w:val="32"/>
          <w:szCs w:val="32"/>
          <w:lang w:val="en-US" w:eastAsia="zh-CN"/>
        </w:rPr>
      </w:pPr>
    </w:p>
    <w:p w14:paraId="20ED5568">
      <w:pPr>
        <w:pStyle w:val="27"/>
        <w:spacing w:line="600" w:lineRule="exact"/>
        <w:ind w:firstLine="640"/>
        <w:outlineLvl w:val="9"/>
        <w:rPr>
          <w:rFonts w:hint="default" w:eastAsia="仿宋_GB2312" w:cs="仿宋_GB2312"/>
          <w:sz w:val="32"/>
          <w:szCs w:val="32"/>
          <w:lang w:val="en-US" w:eastAsia="zh-CN"/>
        </w:rPr>
      </w:pPr>
    </w:p>
    <w:p w14:paraId="67462A40">
      <w:pPr>
        <w:pStyle w:val="27"/>
        <w:spacing w:line="600" w:lineRule="exact"/>
        <w:ind w:firstLine="640"/>
        <w:outlineLvl w:val="9"/>
        <w:rPr>
          <w:rFonts w:hint="default" w:eastAsia="仿宋_GB2312" w:cs="仿宋_GB2312"/>
          <w:sz w:val="32"/>
          <w:szCs w:val="32"/>
          <w:lang w:val="en-US" w:eastAsia="zh-CN"/>
        </w:rPr>
      </w:pPr>
    </w:p>
    <w:p w14:paraId="03A532DB">
      <w:pPr>
        <w:pStyle w:val="27"/>
        <w:spacing w:line="600" w:lineRule="exact"/>
        <w:ind w:firstLine="640"/>
        <w:outlineLvl w:val="9"/>
        <w:rPr>
          <w:rFonts w:hint="default" w:eastAsia="仿宋_GB2312" w:cs="仿宋_GB2312"/>
          <w:sz w:val="32"/>
          <w:szCs w:val="32"/>
          <w:lang w:val="en-US" w:eastAsia="zh-CN"/>
        </w:rPr>
      </w:pPr>
    </w:p>
    <w:p w14:paraId="76515ABB">
      <w:pPr>
        <w:pStyle w:val="27"/>
        <w:spacing w:line="600" w:lineRule="exact"/>
        <w:ind w:firstLine="640"/>
        <w:outlineLvl w:val="9"/>
        <w:rPr>
          <w:rFonts w:hint="default" w:eastAsia="仿宋_GB2312" w:cs="仿宋_GB2312"/>
          <w:sz w:val="32"/>
          <w:szCs w:val="32"/>
          <w:lang w:val="en-US" w:eastAsia="zh-CN"/>
        </w:rPr>
      </w:pPr>
    </w:p>
    <w:p w14:paraId="055C0E1C">
      <w:pPr>
        <w:pStyle w:val="27"/>
        <w:spacing w:line="600" w:lineRule="exact"/>
        <w:ind w:firstLine="640"/>
        <w:outlineLvl w:val="9"/>
        <w:rPr>
          <w:rFonts w:hint="default" w:eastAsia="仿宋_GB2312" w:cs="仿宋_GB2312"/>
          <w:sz w:val="32"/>
          <w:szCs w:val="32"/>
          <w:lang w:val="en-US" w:eastAsia="zh-CN"/>
        </w:rPr>
      </w:pPr>
    </w:p>
    <w:p w14:paraId="113CA409">
      <w:pPr>
        <w:pStyle w:val="27"/>
        <w:spacing w:line="600" w:lineRule="exact"/>
        <w:ind w:firstLine="640"/>
        <w:outlineLvl w:val="9"/>
        <w:rPr>
          <w:rFonts w:hint="default" w:eastAsia="仿宋_GB2312" w:cs="仿宋_GB2312"/>
          <w:sz w:val="32"/>
          <w:szCs w:val="32"/>
          <w:lang w:val="en-US" w:eastAsia="zh-CN"/>
        </w:rPr>
      </w:pPr>
    </w:p>
    <w:p w14:paraId="2D014DA0">
      <w:pPr>
        <w:pStyle w:val="27"/>
        <w:spacing w:line="600" w:lineRule="exact"/>
        <w:ind w:firstLine="640"/>
        <w:outlineLvl w:val="9"/>
        <w:rPr>
          <w:rFonts w:hint="default" w:eastAsia="仿宋_GB2312" w:cs="仿宋_GB2312"/>
          <w:sz w:val="32"/>
          <w:szCs w:val="32"/>
          <w:lang w:val="en-US" w:eastAsia="zh-CN"/>
        </w:rPr>
      </w:pPr>
    </w:p>
    <w:p w14:paraId="4AFE41E8">
      <w:pPr>
        <w:ind w:firstLine="640" w:firstLineChars="200"/>
        <w:jc w:val="center"/>
        <w:rPr>
          <w:rFonts w:eastAsia="仿宋_GB2312" w:cs="仿宋_GB2312"/>
          <w:sz w:val="32"/>
          <w:szCs w:val="32"/>
        </w:rPr>
      </w:pPr>
      <w:r>
        <w:rPr>
          <w:rFonts w:hint="eastAsia" w:eastAsia="仿宋_GB2312" w:cs="仿宋_GB2312"/>
          <w:sz w:val="32"/>
          <w:szCs w:val="32"/>
        </w:rPr>
        <w:t>（图1：收入、支出决算总计变动情况图）</w:t>
      </w:r>
    </w:p>
    <w:p w14:paraId="07592078">
      <w:pPr>
        <w:pStyle w:val="27"/>
        <w:spacing w:line="600" w:lineRule="exact"/>
        <w:ind w:firstLine="640"/>
        <w:outlineLvl w:val="1"/>
        <w:rPr>
          <w:rFonts w:eastAsia="黑体"/>
          <w:sz w:val="32"/>
          <w:szCs w:val="32"/>
        </w:rPr>
      </w:pPr>
      <w:bookmarkStart w:id="25" w:name="_Toc15377206"/>
      <w:bookmarkStart w:id="26" w:name="_Toc15396604"/>
      <w:bookmarkStart w:id="27" w:name="_Toc31261"/>
      <w:r>
        <w:rPr>
          <w:rFonts w:hint="eastAsia" w:eastAsia="黑体"/>
          <w:sz w:val="32"/>
          <w:szCs w:val="32"/>
        </w:rPr>
        <w:t>二、收入决算情况说明</w:t>
      </w:r>
      <w:bookmarkEnd w:id="25"/>
      <w:bookmarkEnd w:id="26"/>
      <w:bookmarkEnd w:id="27"/>
    </w:p>
    <w:p w14:paraId="00EAB0F8">
      <w:pPr>
        <w:pStyle w:val="27"/>
        <w:spacing w:line="600" w:lineRule="exact"/>
        <w:ind w:firstLine="64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1153.88</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511.07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44.3</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642.81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55.7</w:t>
      </w:r>
      <w:r>
        <w:rPr>
          <w:rFonts w:hint="eastAsia" w:ascii="仿宋_GB2312" w:hAnsi="仿宋_GB2312" w:eastAsia="仿宋_GB2312" w:cs="仿宋_GB2312"/>
          <w:sz w:val="32"/>
          <w:szCs w:val="32"/>
        </w:rPr>
        <w:t>%。</w:t>
      </w:r>
    </w:p>
    <w:p w14:paraId="5A54F4EC">
      <w:pPr>
        <w:pStyle w:val="27"/>
        <w:spacing w:line="600" w:lineRule="exact"/>
        <w:ind w:left="0" w:leftChars="0" w:firstLine="0" w:firstLineChars="0"/>
        <w:jc w:val="left"/>
        <w:outlineLvl w:val="9"/>
        <w:rPr>
          <w:rFonts w:hint="eastAsia" w:ascii="仿宋_GB2312" w:hAnsi="仿宋_GB2312" w:eastAsia="仿宋_GB2312" w:cs="仿宋_GB2312"/>
          <w:sz w:val="32"/>
          <w:szCs w:val="32"/>
        </w:rPr>
      </w:pPr>
      <w:r>
        <w:drawing>
          <wp:anchor distT="0" distB="0" distL="114300" distR="114300" simplePos="0" relativeHeight="251661312" behindDoc="0" locked="0" layoutInCell="1" allowOverlap="1">
            <wp:simplePos x="0" y="0"/>
            <wp:positionH relativeFrom="column">
              <wp:posOffset>1101725</wp:posOffset>
            </wp:positionH>
            <wp:positionV relativeFrom="paragraph">
              <wp:posOffset>42545</wp:posOffset>
            </wp:positionV>
            <wp:extent cx="4634230" cy="1966595"/>
            <wp:effectExtent l="4445" t="4445" r="9525" b="1016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BD824BC">
      <w:pPr>
        <w:pStyle w:val="27"/>
        <w:spacing w:line="600" w:lineRule="exact"/>
        <w:ind w:firstLine="640"/>
        <w:jc w:val="left"/>
        <w:outlineLvl w:val="9"/>
        <w:rPr>
          <w:rFonts w:hint="eastAsia" w:ascii="仿宋_GB2312" w:hAnsi="仿宋_GB2312" w:eastAsia="仿宋_GB2312" w:cs="仿宋_GB2312"/>
          <w:sz w:val="32"/>
          <w:szCs w:val="32"/>
        </w:rPr>
      </w:pPr>
    </w:p>
    <w:p w14:paraId="01CD5B20">
      <w:pPr>
        <w:pStyle w:val="27"/>
        <w:spacing w:line="600" w:lineRule="exact"/>
        <w:ind w:firstLine="640"/>
        <w:jc w:val="left"/>
        <w:outlineLvl w:val="9"/>
        <w:rPr>
          <w:rFonts w:hint="eastAsia" w:ascii="仿宋_GB2312" w:hAnsi="仿宋_GB2312" w:eastAsia="仿宋_GB2312" w:cs="仿宋_GB2312"/>
          <w:sz w:val="32"/>
          <w:szCs w:val="32"/>
        </w:rPr>
      </w:pPr>
    </w:p>
    <w:p w14:paraId="726C1B80">
      <w:pPr>
        <w:pStyle w:val="27"/>
        <w:spacing w:line="600" w:lineRule="exact"/>
        <w:ind w:firstLine="640"/>
        <w:jc w:val="left"/>
        <w:outlineLvl w:val="9"/>
        <w:rPr>
          <w:rFonts w:hint="eastAsia" w:ascii="仿宋_GB2312" w:hAnsi="仿宋_GB2312" w:eastAsia="仿宋_GB2312" w:cs="仿宋_GB2312"/>
          <w:sz w:val="32"/>
          <w:szCs w:val="32"/>
        </w:rPr>
      </w:pPr>
    </w:p>
    <w:p w14:paraId="0C1262A6">
      <w:pPr>
        <w:pStyle w:val="27"/>
        <w:spacing w:line="600" w:lineRule="exact"/>
        <w:ind w:firstLine="640"/>
        <w:jc w:val="left"/>
        <w:outlineLvl w:val="9"/>
        <w:rPr>
          <w:rFonts w:hint="eastAsia" w:ascii="仿宋_GB2312" w:hAnsi="仿宋_GB2312" w:eastAsia="仿宋_GB2312" w:cs="仿宋_GB2312"/>
          <w:sz w:val="32"/>
          <w:szCs w:val="32"/>
        </w:rPr>
      </w:pPr>
    </w:p>
    <w:p w14:paraId="77D716C1">
      <w:pPr>
        <w:jc w:val="both"/>
        <w:rPr>
          <w:rFonts w:hint="eastAsia" w:eastAsia="仿宋_GB2312" w:cs="仿宋_GB2312"/>
          <w:sz w:val="32"/>
          <w:szCs w:val="32"/>
        </w:rPr>
      </w:pPr>
    </w:p>
    <w:p w14:paraId="676D7291">
      <w:pPr>
        <w:ind w:firstLine="800" w:firstLineChars="250"/>
        <w:jc w:val="center"/>
        <w:rPr>
          <w:rFonts w:eastAsia="仿宋_GB2312" w:cs="仿宋_GB2312"/>
          <w:sz w:val="32"/>
          <w:szCs w:val="32"/>
        </w:rPr>
      </w:pPr>
      <w:r>
        <w:rPr>
          <w:rFonts w:hint="eastAsia" w:eastAsia="仿宋_GB2312" w:cs="仿宋_GB2312"/>
          <w:sz w:val="32"/>
          <w:szCs w:val="32"/>
        </w:rPr>
        <w:t>（图2：收入决算结构图）</w:t>
      </w:r>
    </w:p>
    <w:p w14:paraId="7D954DA0">
      <w:pPr>
        <w:pStyle w:val="27"/>
        <w:spacing w:line="600" w:lineRule="exact"/>
        <w:ind w:firstLine="640"/>
        <w:outlineLvl w:val="1"/>
        <w:rPr>
          <w:rStyle w:val="29"/>
          <w:rFonts w:ascii="Times New Roman" w:hAnsi="Times New Roman" w:eastAsia="黑体"/>
          <w:b w:val="0"/>
        </w:rPr>
      </w:pPr>
      <w:bookmarkStart w:id="28" w:name="_Toc15377207"/>
      <w:bookmarkStart w:id="29" w:name="_Toc15396605"/>
      <w:bookmarkStart w:id="30" w:name="_Toc22742"/>
      <w:r>
        <w:rPr>
          <w:rFonts w:hint="eastAsia" w:eastAsia="黑体"/>
          <w:sz w:val="32"/>
          <w:szCs w:val="32"/>
        </w:rPr>
        <w:t>三、支</w:t>
      </w:r>
      <w:r>
        <w:rPr>
          <w:rStyle w:val="29"/>
          <w:rFonts w:hint="eastAsia" w:ascii="Times New Roman" w:hAnsi="Times New Roman" w:eastAsia="黑体"/>
          <w:b w:val="0"/>
        </w:rPr>
        <w:t>出决算情况说明</w:t>
      </w:r>
      <w:bookmarkEnd w:id="28"/>
      <w:bookmarkEnd w:id="29"/>
      <w:bookmarkEnd w:id="30"/>
    </w:p>
    <w:p w14:paraId="5ADEC559">
      <w:pPr>
        <w:pStyle w:val="27"/>
        <w:spacing w:line="600" w:lineRule="exact"/>
        <w:ind w:firstLine="640"/>
        <w:jc w:val="left"/>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686.61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397.44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57.9</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289.18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52E5DC11">
      <w:pPr>
        <w:pStyle w:val="27"/>
        <w:spacing w:line="600" w:lineRule="exact"/>
        <w:ind w:firstLine="640"/>
        <w:jc w:val="left"/>
        <w:outlineLvl w:val="9"/>
        <w:rPr>
          <w:rFonts w:hint="eastAsia" w:ascii="仿宋_GB2312" w:hAnsi="仿宋_GB2312" w:eastAsia="仿宋_GB2312" w:cs="仿宋_GB2312"/>
          <w:sz w:val="32"/>
          <w:szCs w:val="32"/>
          <w:lang w:eastAsia="zh-CN"/>
        </w:rPr>
      </w:pPr>
      <w:r>
        <w:drawing>
          <wp:anchor distT="0" distB="0" distL="114300" distR="114300" simplePos="0" relativeHeight="251662336" behindDoc="0" locked="0" layoutInCell="1" allowOverlap="1">
            <wp:simplePos x="0" y="0"/>
            <wp:positionH relativeFrom="column">
              <wp:posOffset>1376045</wp:posOffset>
            </wp:positionH>
            <wp:positionV relativeFrom="paragraph">
              <wp:posOffset>57785</wp:posOffset>
            </wp:positionV>
            <wp:extent cx="4210050" cy="2315210"/>
            <wp:effectExtent l="5080" t="5080" r="6350" b="11430"/>
            <wp:wrapNone/>
            <wp:docPr id="1552" name="图表 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4667E14">
      <w:pPr>
        <w:pStyle w:val="27"/>
        <w:spacing w:line="600" w:lineRule="exact"/>
        <w:ind w:firstLine="640"/>
        <w:jc w:val="left"/>
        <w:outlineLvl w:val="9"/>
        <w:rPr>
          <w:rFonts w:hint="eastAsia" w:ascii="仿宋_GB2312" w:hAnsi="仿宋_GB2312" w:eastAsia="仿宋_GB2312" w:cs="仿宋_GB2312"/>
          <w:sz w:val="32"/>
          <w:szCs w:val="32"/>
          <w:lang w:eastAsia="zh-CN"/>
        </w:rPr>
      </w:pPr>
    </w:p>
    <w:p w14:paraId="10147977">
      <w:pPr>
        <w:pStyle w:val="27"/>
        <w:spacing w:line="600" w:lineRule="exact"/>
        <w:ind w:firstLine="640"/>
        <w:jc w:val="left"/>
        <w:outlineLvl w:val="9"/>
        <w:rPr>
          <w:rFonts w:hint="eastAsia" w:ascii="仿宋_GB2312" w:hAnsi="仿宋_GB2312" w:eastAsia="仿宋_GB2312" w:cs="仿宋_GB2312"/>
          <w:sz w:val="32"/>
          <w:szCs w:val="32"/>
          <w:lang w:eastAsia="zh-CN"/>
        </w:rPr>
      </w:pPr>
    </w:p>
    <w:p w14:paraId="55BFF424">
      <w:pPr>
        <w:pStyle w:val="27"/>
        <w:spacing w:line="600" w:lineRule="exact"/>
        <w:ind w:firstLine="640"/>
        <w:jc w:val="left"/>
        <w:outlineLvl w:val="9"/>
        <w:rPr>
          <w:rFonts w:hint="eastAsia" w:ascii="仿宋_GB2312" w:hAnsi="仿宋_GB2312" w:eastAsia="仿宋_GB2312" w:cs="仿宋_GB2312"/>
          <w:sz w:val="32"/>
          <w:szCs w:val="32"/>
          <w:lang w:eastAsia="zh-CN"/>
        </w:rPr>
      </w:pPr>
    </w:p>
    <w:p w14:paraId="73793E36">
      <w:pPr>
        <w:pStyle w:val="27"/>
        <w:spacing w:line="600" w:lineRule="exact"/>
        <w:ind w:firstLine="640"/>
        <w:jc w:val="left"/>
        <w:outlineLvl w:val="9"/>
        <w:rPr>
          <w:rFonts w:hint="eastAsia" w:ascii="仿宋_GB2312" w:hAnsi="仿宋_GB2312" w:eastAsia="仿宋_GB2312" w:cs="仿宋_GB2312"/>
          <w:sz w:val="32"/>
          <w:szCs w:val="32"/>
          <w:lang w:eastAsia="zh-CN"/>
        </w:rPr>
      </w:pPr>
    </w:p>
    <w:p w14:paraId="3388DDA3">
      <w:pPr>
        <w:pStyle w:val="27"/>
        <w:spacing w:line="600" w:lineRule="exact"/>
        <w:ind w:firstLine="640"/>
        <w:jc w:val="left"/>
        <w:outlineLvl w:val="9"/>
        <w:rPr>
          <w:rFonts w:hint="eastAsia" w:ascii="仿宋_GB2312" w:hAnsi="仿宋_GB2312" w:eastAsia="仿宋_GB2312" w:cs="仿宋_GB2312"/>
          <w:sz w:val="32"/>
          <w:szCs w:val="32"/>
          <w:lang w:eastAsia="zh-CN"/>
        </w:rPr>
      </w:pPr>
    </w:p>
    <w:p w14:paraId="44C9BD86">
      <w:pPr>
        <w:ind w:firstLine="800" w:firstLineChars="250"/>
        <w:rPr>
          <w:rFonts w:hint="eastAsia" w:eastAsia="仿宋_GB2312" w:cs="仿宋_GB2312"/>
          <w:sz w:val="32"/>
          <w:szCs w:val="32"/>
        </w:rPr>
      </w:pPr>
    </w:p>
    <w:p w14:paraId="70A88AAD">
      <w:pPr>
        <w:ind w:firstLine="800" w:firstLineChars="250"/>
        <w:jc w:val="center"/>
        <w:rPr>
          <w:rFonts w:eastAsia="仿宋_GB2312" w:cs="仿宋_GB2312"/>
          <w:sz w:val="32"/>
          <w:szCs w:val="32"/>
        </w:rPr>
      </w:pPr>
      <w:r>
        <w:rPr>
          <w:rFonts w:hint="eastAsia" w:eastAsia="仿宋_GB2312" w:cs="仿宋_GB2312"/>
          <w:sz w:val="32"/>
          <w:szCs w:val="32"/>
        </w:rPr>
        <w:t>（图3：支出决算结构图）</w:t>
      </w:r>
    </w:p>
    <w:p w14:paraId="54075097">
      <w:pPr>
        <w:spacing w:line="600" w:lineRule="exact"/>
        <w:ind w:firstLine="640" w:firstLineChars="200"/>
        <w:outlineLvl w:val="1"/>
        <w:rPr>
          <w:rStyle w:val="29"/>
          <w:rFonts w:ascii="Times New Roman" w:hAnsi="Times New Roman" w:eastAsia="黑体"/>
          <w:b w:val="0"/>
        </w:rPr>
      </w:pPr>
      <w:bookmarkStart w:id="31" w:name="_Toc15396606"/>
      <w:bookmarkStart w:id="32" w:name="_Toc15377208"/>
      <w:bookmarkStart w:id="33" w:name="_Toc2912"/>
      <w:r>
        <w:rPr>
          <w:rFonts w:hint="eastAsia" w:eastAsia="黑体"/>
          <w:sz w:val="32"/>
          <w:szCs w:val="32"/>
        </w:rPr>
        <w:t>四、财</w:t>
      </w:r>
      <w:r>
        <w:rPr>
          <w:rStyle w:val="29"/>
          <w:rFonts w:hint="eastAsia" w:ascii="Times New Roman" w:hAnsi="Times New Roman" w:eastAsia="黑体"/>
          <w:b w:val="0"/>
        </w:rPr>
        <w:t>政拨款收入支出决算总体情况说明</w:t>
      </w:r>
      <w:bookmarkEnd w:id="31"/>
      <w:bookmarkEnd w:id="32"/>
      <w:bookmarkEnd w:id="33"/>
    </w:p>
    <w:p w14:paraId="286B29A3">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511.07</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2051.88</w:t>
      </w:r>
      <w:r>
        <w:rPr>
          <w:rFonts w:hint="eastAsia" w:eastAsia="仿宋_GB2312" w:cs="仿宋_GB2312"/>
          <w:sz w:val="32"/>
          <w:szCs w:val="32"/>
        </w:rPr>
        <w:t>万元，下降</w:t>
      </w:r>
      <w:r>
        <w:rPr>
          <w:rFonts w:hint="eastAsia" w:eastAsia="仿宋_GB2312" w:cs="仿宋_GB2312"/>
          <w:sz w:val="32"/>
          <w:szCs w:val="32"/>
          <w:lang w:val="en-US" w:eastAsia="zh-CN"/>
        </w:rPr>
        <w:t>80.1</w:t>
      </w:r>
      <w:r>
        <w:rPr>
          <w:rFonts w:hint="eastAsia" w:eastAsia="仿宋_GB2312" w:cs="仿宋_GB2312"/>
          <w:sz w:val="32"/>
          <w:szCs w:val="32"/>
        </w:rPr>
        <w:t>%。主要变动原因是</w:t>
      </w:r>
      <w:r>
        <w:rPr>
          <w:rFonts w:hint="eastAsia" w:eastAsia="仿宋_GB2312" w:cs="仿宋_GB2312"/>
          <w:sz w:val="32"/>
          <w:szCs w:val="32"/>
          <w:lang w:val="en-US" w:eastAsia="zh-CN"/>
        </w:rPr>
        <w:t>项目减少。</w:t>
      </w:r>
    </w:p>
    <w:p w14:paraId="1A5D8138">
      <w:pPr>
        <w:spacing w:line="600" w:lineRule="exact"/>
        <w:ind w:firstLine="640"/>
        <w:rPr>
          <w:rFonts w:hint="eastAsia" w:eastAsia="仿宋_GB2312" w:cs="仿宋_GB2312"/>
          <w:sz w:val="32"/>
          <w:szCs w:val="32"/>
          <w:lang w:val="en-US" w:eastAsia="zh-CN"/>
        </w:rPr>
      </w:pPr>
      <w:r>
        <w:drawing>
          <wp:anchor distT="0" distB="0" distL="114300" distR="114300" simplePos="0" relativeHeight="251663360" behindDoc="0" locked="0" layoutInCell="1" allowOverlap="1">
            <wp:simplePos x="0" y="0"/>
            <wp:positionH relativeFrom="column">
              <wp:posOffset>868045</wp:posOffset>
            </wp:positionH>
            <wp:positionV relativeFrom="paragraph">
              <wp:posOffset>316865</wp:posOffset>
            </wp:positionV>
            <wp:extent cx="5269865" cy="2592070"/>
            <wp:effectExtent l="4445" t="4445" r="13970" b="9525"/>
            <wp:wrapNone/>
            <wp:docPr id="156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1EC6E19">
      <w:pPr>
        <w:spacing w:line="600" w:lineRule="exact"/>
        <w:ind w:firstLine="640"/>
        <w:rPr>
          <w:rFonts w:hint="eastAsia" w:eastAsia="仿宋_GB2312" w:cs="仿宋_GB2312"/>
          <w:sz w:val="32"/>
          <w:szCs w:val="32"/>
          <w:lang w:val="en-US" w:eastAsia="zh-CN"/>
        </w:rPr>
      </w:pPr>
    </w:p>
    <w:p w14:paraId="5C747165">
      <w:pPr>
        <w:spacing w:line="600" w:lineRule="exact"/>
        <w:ind w:firstLine="640"/>
        <w:rPr>
          <w:rFonts w:hint="eastAsia" w:eastAsia="仿宋_GB2312" w:cs="仿宋_GB2312"/>
          <w:sz w:val="32"/>
          <w:szCs w:val="32"/>
          <w:lang w:val="en-US" w:eastAsia="zh-CN"/>
        </w:rPr>
      </w:pPr>
    </w:p>
    <w:p w14:paraId="695C9CB6">
      <w:pPr>
        <w:spacing w:line="600" w:lineRule="exact"/>
        <w:ind w:firstLine="640"/>
        <w:rPr>
          <w:rFonts w:hint="eastAsia" w:eastAsia="仿宋_GB2312" w:cs="仿宋_GB2312"/>
          <w:sz w:val="32"/>
          <w:szCs w:val="32"/>
          <w:lang w:val="en-US" w:eastAsia="zh-CN"/>
        </w:rPr>
      </w:pPr>
    </w:p>
    <w:p w14:paraId="54326115">
      <w:pPr>
        <w:spacing w:line="600" w:lineRule="exact"/>
        <w:ind w:firstLine="640"/>
        <w:rPr>
          <w:rFonts w:hint="eastAsia" w:eastAsia="仿宋_GB2312" w:cs="仿宋_GB2312"/>
          <w:sz w:val="32"/>
          <w:szCs w:val="32"/>
          <w:lang w:val="en-US" w:eastAsia="zh-CN"/>
        </w:rPr>
      </w:pPr>
    </w:p>
    <w:p w14:paraId="4E741E5C">
      <w:pPr>
        <w:spacing w:line="600" w:lineRule="exact"/>
        <w:ind w:firstLine="640"/>
        <w:rPr>
          <w:rFonts w:hint="eastAsia" w:eastAsia="仿宋_GB2312" w:cs="仿宋_GB2312"/>
          <w:sz w:val="32"/>
          <w:szCs w:val="32"/>
          <w:lang w:val="en-US" w:eastAsia="zh-CN"/>
        </w:rPr>
      </w:pPr>
    </w:p>
    <w:p w14:paraId="16A16554">
      <w:pPr>
        <w:spacing w:line="600" w:lineRule="exact"/>
        <w:ind w:firstLine="640"/>
        <w:rPr>
          <w:rFonts w:hint="default" w:eastAsia="仿宋_GB2312" w:cs="仿宋_GB2312"/>
          <w:sz w:val="32"/>
          <w:szCs w:val="32"/>
          <w:lang w:val="en-US" w:eastAsia="zh-CN"/>
        </w:rPr>
      </w:pPr>
    </w:p>
    <w:p w14:paraId="6934D2B6">
      <w:pPr>
        <w:spacing w:line="600" w:lineRule="exact"/>
        <w:rPr>
          <w:rFonts w:hint="eastAsia" w:eastAsia="仿宋_GB2312" w:cs="仿宋_GB2312"/>
          <w:sz w:val="32"/>
          <w:szCs w:val="32"/>
        </w:rPr>
      </w:pPr>
    </w:p>
    <w:p w14:paraId="3C7B5AC9">
      <w:pPr>
        <w:spacing w:line="600" w:lineRule="exact"/>
        <w:ind w:firstLine="640" w:firstLineChars="200"/>
        <w:jc w:val="center"/>
        <w:rPr>
          <w:rFonts w:eastAsia="仿宋_GB2312" w:cs="仿宋_GB2312"/>
          <w:sz w:val="32"/>
          <w:szCs w:val="32"/>
        </w:rPr>
      </w:pPr>
      <w:r>
        <w:rPr>
          <w:rFonts w:hint="eastAsia" w:eastAsia="仿宋_GB2312" w:cs="仿宋_GB2312"/>
          <w:sz w:val="32"/>
          <w:szCs w:val="32"/>
        </w:rPr>
        <w:t>（图4：财政拨款收、支决算总计变动情况）</w:t>
      </w:r>
    </w:p>
    <w:p w14:paraId="588454DC">
      <w:pPr>
        <w:spacing w:line="600" w:lineRule="exact"/>
        <w:ind w:firstLine="640" w:firstLineChars="200"/>
        <w:outlineLvl w:val="1"/>
        <w:rPr>
          <w:rStyle w:val="29"/>
          <w:rFonts w:ascii="Times New Roman" w:hAnsi="Times New Roman" w:eastAsia="黑体"/>
          <w:b w:val="0"/>
        </w:rPr>
      </w:pPr>
      <w:bookmarkStart w:id="34" w:name="_Toc15377209"/>
      <w:bookmarkStart w:id="35" w:name="_Toc15396607"/>
      <w:bookmarkStart w:id="36" w:name="_Toc16463"/>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34"/>
      <w:bookmarkEnd w:id="35"/>
      <w:bookmarkEnd w:id="36"/>
    </w:p>
    <w:p w14:paraId="1F541FFE">
      <w:pPr>
        <w:spacing w:line="600" w:lineRule="exact"/>
        <w:ind w:firstLine="643" w:firstLineChars="200"/>
        <w:outlineLvl w:val="9"/>
        <w:rPr>
          <w:rFonts w:eastAsia="楷体_GB2312" w:cs="楷体_GB2312"/>
          <w:b/>
          <w:sz w:val="32"/>
          <w:szCs w:val="32"/>
        </w:rPr>
      </w:pPr>
      <w:bookmarkStart w:id="37" w:name="_Toc15377210"/>
      <w:r>
        <w:rPr>
          <w:rFonts w:hint="eastAsia" w:eastAsia="楷体_GB2312" w:cs="楷体_GB2312"/>
          <w:b/>
          <w:sz w:val="32"/>
          <w:szCs w:val="32"/>
        </w:rPr>
        <w:t>（一）一般公共预算财政拨款支出决算总体情况</w:t>
      </w:r>
      <w:bookmarkEnd w:id="37"/>
    </w:p>
    <w:p w14:paraId="79C4B095">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511.07</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74.4</w:t>
      </w:r>
      <w:r>
        <w:rPr>
          <w:rFonts w:hint="eastAsia" w:ascii="仿宋_GB2312" w:hAnsi="仿宋_GB2312" w:eastAsia="仿宋_GB2312" w:cs="仿宋_GB2312"/>
          <w:sz w:val="32"/>
          <w:szCs w:val="32"/>
        </w:rPr>
        <w:t>%。与2023年度相比，一般公共预算财政拨款支出减少</w:t>
      </w:r>
      <w:r>
        <w:rPr>
          <w:rFonts w:hint="eastAsia" w:ascii="仿宋_GB2312" w:hAnsi="仿宋_GB2312" w:eastAsia="仿宋_GB2312" w:cs="仿宋_GB2312"/>
          <w:sz w:val="32"/>
          <w:szCs w:val="32"/>
          <w:lang w:val="en-US" w:eastAsia="zh-CN"/>
        </w:rPr>
        <w:t>2051.88</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80.1</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项目减少。</w:t>
      </w:r>
    </w:p>
    <w:p w14:paraId="4E7890D2">
      <w:pPr>
        <w:spacing w:line="600" w:lineRule="exact"/>
        <w:ind w:firstLine="640"/>
        <w:rPr>
          <w:rFonts w:hint="eastAsia" w:ascii="仿宋_GB2312" w:hAnsi="仿宋_GB2312" w:eastAsia="仿宋_GB2312" w:cs="仿宋_GB2312"/>
          <w:sz w:val="32"/>
          <w:szCs w:val="32"/>
          <w:lang w:val="en-US" w:eastAsia="zh-CN"/>
        </w:rPr>
      </w:pPr>
      <w:r>
        <w:drawing>
          <wp:anchor distT="0" distB="0" distL="114300" distR="114300" simplePos="0" relativeHeight="251664384" behindDoc="0" locked="0" layoutInCell="1" allowOverlap="1">
            <wp:simplePos x="0" y="0"/>
            <wp:positionH relativeFrom="column">
              <wp:posOffset>1127125</wp:posOffset>
            </wp:positionH>
            <wp:positionV relativeFrom="paragraph">
              <wp:posOffset>19050</wp:posOffset>
            </wp:positionV>
            <wp:extent cx="4621530" cy="2319020"/>
            <wp:effectExtent l="4445" t="4445" r="6985" b="8255"/>
            <wp:wrapNone/>
            <wp:docPr id="155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645F1571">
      <w:pPr>
        <w:spacing w:line="600" w:lineRule="exact"/>
        <w:ind w:firstLine="640"/>
        <w:rPr>
          <w:rFonts w:hint="eastAsia" w:ascii="仿宋_GB2312" w:hAnsi="仿宋_GB2312" w:eastAsia="仿宋_GB2312" w:cs="仿宋_GB2312"/>
          <w:sz w:val="32"/>
          <w:szCs w:val="32"/>
          <w:lang w:val="en-US" w:eastAsia="zh-CN"/>
        </w:rPr>
      </w:pPr>
    </w:p>
    <w:p w14:paraId="7C31BB68">
      <w:pPr>
        <w:spacing w:line="600" w:lineRule="exact"/>
        <w:ind w:firstLine="640"/>
        <w:rPr>
          <w:rFonts w:hint="eastAsia" w:ascii="仿宋_GB2312" w:hAnsi="仿宋_GB2312" w:eastAsia="仿宋_GB2312" w:cs="仿宋_GB2312"/>
          <w:sz w:val="32"/>
          <w:szCs w:val="32"/>
          <w:lang w:val="en-US" w:eastAsia="zh-CN"/>
        </w:rPr>
      </w:pPr>
    </w:p>
    <w:p w14:paraId="06A3C5B5">
      <w:pPr>
        <w:spacing w:line="600" w:lineRule="exact"/>
        <w:ind w:firstLine="640"/>
        <w:rPr>
          <w:rFonts w:hint="eastAsia" w:ascii="仿宋_GB2312" w:hAnsi="仿宋_GB2312" w:eastAsia="仿宋_GB2312" w:cs="仿宋_GB2312"/>
          <w:sz w:val="32"/>
          <w:szCs w:val="32"/>
          <w:lang w:val="en-US" w:eastAsia="zh-CN"/>
        </w:rPr>
      </w:pPr>
    </w:p>
    <w:p w14:paraId="0408824F">
      <w:pPr>
        <w:spacing w:line="600" w:lineRule="exact"/>
        <w:rPr>
          <w:rFonts w:hint="default" w:ascii="仿宋_GB2312" w:hAnsi="仿宋_GB2312" w:eastAsia="仿宋_GB2312" w:cs="仿宋_GB2312"/>
          <w:sz w:val="32"/>
          <w:szCs w:val="32"/>
          <w:lang w:val="en-US" w:eastAsia="zh-CN"/>
        </w:rPr>
      </w:pPr>
    </w:p>
    <w:p w14:paraId="53E1AEB7">
      <w:pPr>
        <w:spacing w:line="600" w:lineRule="exact"/>
        <w:ind w:firstLine="640"/>
        <w:rPr>
          <w:rFonts w:hint="eastAsia" w:eastAsia="仿宋_GB2312" w:cs="仿宋_GB2312"/>
          <w:sz w:val="32"/>
          <w:szCs w:val="32"/>
        </w:rPr>
      </w:pPr>
    </w:p>
    <w:p w14:paraId="34FF90A1">
      <w:pPr>
        <w:spacing w:line="600" w:lineRule="exact"/>
        <w:ind w:firstLine="640"/>
        <w:jc w:val="center"/>
        <w:rPr>
          <w:rFonts w:eastAsia="仿宋_GB2312" w:cs="仿宋_GB2312"/>
          <w:sz w:val="32"/>
          <w:szCs w:val="32"/>
        </w:rPr>
      </w:pPr>
      <w:r>
        <w:rPr>
          <w:rFonts w:hint="eastAsia" w:eastAsia="仿宋_GB2312" w:cs="仿宋_GB2312"/>
          <w:sz w:val="32"/>
          <w:szCs w:val="32"/>
        </w:rPr>
        <w:t>（图5：一般公共预算财政拨款支出决算变动情况）</w:t>
      </w:r>
    </w:p>
    <w:p w14:paraId="69AEC7DB">
      <w:pPr>
        <w:spacing w:line="600" w:lineRule="exact"/>
        <w:ind w:firstLine="643" w:firstLineChars="200"/>
        <w:outlineLvl w:val="9"/>
        <w:rPr>
          <w:rFonts w:eastAsia="楷体_GB2312" w:cs="楷体_GB2312"/>
          <w:b/>
          <w:sz w:val="32"/>
          <w:szCs w:val="32"/>
        </w:rPr>
      </w:pPr>
      <w:bookmarkStart w:id="38" w:name="_Toc15377211"/>
      <w:r>
        <w:rPr>
          <w:rFonts w:hint="eastAsia" w:eastAsia="楷体_GB2312" w:cs="楷体_GB2312"/>
          <w:b/>
          <w:sz w:val="32"/>
          <w:szCs w:val="32"/>
        </w:rPr>
        <w:t>（二）一般公共预算财政拨款支出决算结构情况</w:t>
      </w:r>
      <w:bookmarkEnd w:id="38"/>
    </w:p>
    <w:p w14:paraId="399A42DD">
      <w:pPr>
        <w:spacing w:before="278" w:line="353" w:lineRule="auto"/>
        <w:ind w:left="219" w:right="227" w:firstLine="650"/>
        <w:jc w:val="both"/>
        <w:rPr>
          <w:rFonts w:ascii="仿宋" w:hAnsi="仿宋" w:eastAsia="仿宋" w:cs="仿宋"/>
          <w:sz w:val="31"/>
          <w:szCs w:val="31"/>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511.07</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w:t>
      </w:r>
      <w:r>
        <w:rPr>
          <w:rFonts w:ascii="仿宋" w:hAnsi="仿宋" w:eastAsia="仿宋" w:cs="仿宋"/>
          <w:spacing w:val="14"/>
          <w:sz w:val="31"/>
          <w:szCs w:val="31"/>
        </w:rPr>
        <w:t>主要用于以下方</w:t>
      </w:r>
      <w:r>
        <w:rPr>
          <w:rFonts w:ascii="仿宋" w:hAnsi="仿宋" w:eastAsia="仿宋" w:cs="仿宋"/>
          <w:spacing w:val="13"/>
          <w:sz w:val="31"/>
          <w:szCs w:val="31"/>
        </w:rPr>
        <w:t>面：社会保障和就业支出</w:t>
      </w:r>
      <w:r>
        <w:rPr>
          <w:rFonts w:hint="eastAsia" w:ascii="仿宋" w:hAnsi="仿宋" w:eastAsia="仿宋" w:cs="仿宋"/>
          <w:spacing w:val="13"/>
          <w:sz w:val="31"/>
          <w:szCs w:val="31"/>
          <w:lang w:val="en-US" w:eastAsia="zh-CN"/>
        </w:rPr>
        <w:t>37.55</w:t>
      </w:r>
      <w:r>
        <w:rPr>
          <w:rFonts w:ascii="仿宋" w:hAnsi="仿宋" w:eastAsia="仿宋" w:cs="仿宋"/>
          <w:spacing w:val="13"/>
          <w:sz w:val="31"/>
          <w:szCs w:val="31"/>
        </w:rPr>
        <w:t>万元，占</w:t>
      </w:r>
      <w:r>
        <w:rPr>
          <w:rFonts w:hint="eastAsia" w:ascii="仿宋" w:hAnsi="仿宋" w:eastAsia="仿宋" w:cs="仿宋"/>
          <w:spacing w:val="13"/>
          <w:sz w:val="31"/>
          <w:szCs w:val="31"/>
          <w:lang w:val="en-US" w:eastAsia="zh-CN"/>
        </w:rPr>
        <w:t>5.5</w:t>
      </w:r>
      <w:r>
        <w:rPr>
          <w:rFonts w:ascii="仿宋" w:hAnsi="仿宋" w:eastAsia="仿宋" w:cs="仿宋"/>
          <w:spacing w:val="12"/>
          <w:sz w:val="31"/>
          <w:szCs w:val="31"/>
        </w:rPr>
        <w:t>%;卫生健康支出</w:t>
      </w:r>
      <w:r>
        <w:rPr>
          <w:rFonts w:hint="eastAsia" w:ascii="仿宋" w:hAnsi="仿宋" w:eastAsia="仿宋" w:cs="仿宋"/>
          <w:spacing w:val="12"/>
          <w:sz w:val="31"/>
          <w:szCs w:val="31"/>
          <w:lang w:val="en-US" w:eastAsia="zh-CN"/>
        </w:rPr>
        <w:t>13.82</w:t>
      </w:r>
      <w:r>
        <w:rPr>
          <w:rFonts w:ascii="仿宋" w:hAnsi="仿宋" w:eastAsia="仿宋" w:cs="仿宋"/>
          <w:spacing w:val="12"/>
          <w:sz w:val="31"/>
          <w:szCs w:val="31"/>
        </w:rPr>
        <w:t>万元，</w:t>
      </w:r>
      <w:r>
        <w:rPr>
          <w:rFonts w:ascii="仿宋" w:hAnsi="仿宋" w:eastAsia="仿宋" w:cs="仿宋"/>
          <w:spacing w:val="20"/>
          <w:sz w:val="31"/>
          <w:szCs w:val="31"/>
        </w:rPr>
        <w:t>占</w:t>
      </w:r>
      <w:r>
        <w:rPr>
          <w:rFonts w:hint="eastAsia" w:ascii="仿宋" w:hAnsi="仿宋" w:eastAsia="仿宋" w:cs="仿宋"/>
          <w:spacing w:val="20"/>
          <w:sz w:val="31"/>
          <w:szCs w:val="31"/>
          <w:lang w:val="en-US" w:eastAsia="zh-CN"/>
        </w:rPr>
        <w:t>2</w:t>
      </w:r>
      <w:r>
        <w:rPr>
          <w:rFonts w:ascii="仿宋" w:hAnsi="仿宋" w:eastAsia="仿宋" w:cs="仿宋"/>
          <w:spacing w:val="20"/>
          <w:sz w:val="31"/>
          <w:szCs w:val="31"/>
        </w:rPr>
        <w:t>%;节能环保支出</w:t>
      </w:r>
      <w:r>
        <w:rPr>
          <w:rFonts w:hint="eastAsia" w:ascii="仿宋" w:hAnsi="仿宋" w:eastAsia="仿宋" w:cs="仿宋"/>
          <w:spacing w:val="20"/>
          <w:sz w:val="31"/>
          <w:szCs w:val="31"/>
          <w:lang w:val="en-US" w:eastAsia="zh-CN"/>
        </w:rPr>
        <w:t>615.61</w:t>
      </w:r>
      <w:r>
        <w:rPr>
          <w:rFonts w:ascii="仿宋" w:hAnsi="仿宋" w:eastAsia="仿宋" w:cs="仿宋"/>
          <w:spacing w:val="20"/>
          <w:sz w:val="31"/>
          <w:szCs w:val="31"/>
        </w:rPr>
        <w:t>万元，占</w:t>
      </w:r>
      <w:r>
        <w:rPr>
          <w:rFonts w:hint="eastAsia" w:ascii="仿宋" w:hAnsi="仿宋" w:eastAsia="仿宋" w:cs="仿宋"/>
          <w:spacing w:val="20"/>
          <w:sz w:val="31"/>
          <w:szCs w:val="31"/>
          <w:lang w:val="en-US" w:eastAsia="zh-CN"/>
        </w:rPr>
        <w:t>89.7</w:t>
      </w:r>
      <w:r>
        <w:rPr>
          <w:rFonts w:ascii="仿宋" w:hAnsi="仿宋" w:eastAsia="仿宋" w:cs="仿宋"/>
          <w:spacing w:val="20"/>
          <w:sz w:val="31"/>
          <w:szCs w:val="31"/>
        </w:rPr>
        <w:t>%;住房保</w:t>
      </w:r>
      <w:r>
        <w:rPr>
          <w:rFonts w:ascii="仿宋" w:hAnsi="仿宋" w:eastAsia="仿宋" w:cs="仿宋"/>
          <w:spacing w:val="19"/>
          <w:sz w:val="31"/>
          <w:szCs w:val="31"/>
        </w:rPr>
        <w:t>障支出</w:t>
      </w:r>
      <w:r>
        <w:rPr>
          <w:rFonts w:hint="eastAsia" w:ascii="仿宋" w:hAnsi="仿宋" w:eastAsia="仿宋" w:cs="仿宋"/>
          <w:spacing w:val="19"/>
          <w:sz w:val="31"/>
          <w:szCs w:val="31"/>
          <w:lang w:val="en-US" w:eastAsia="zh-CN"/>
        </w:rPr>
        <w:t>19.61</w:t>
      </w:r>
      <w:r>
        <w:rPr>
          <w:rFonts w:ascii="仿宋" w:hAnsi="仿宋" w:eastAsia="仿宋" w:cs="仿宋"/>
          <w:spacing w:val="19"/>
          <w:sz w:val="31"/>
          <w:szCs w:val="31"/>
        </w:rPr>
        <w:t>万</w:t>
      </w:r>
      <w:r>
        <w:rPr>
          <w:rFonts w:ascii="仿宋" w:hAnsi="仿宋" w:eastAsia="仿宋" w:cs="仿宋"/>
          <w:spacing w:val="4"/>
          <w:sz w:val="31"/>
          <w:szCs w:val="31"/>
        </w:rPr>
        <w:t>元，占</w:t>
      </w:r>
      <w:r>
        <w:rPr>
          <w:rFonts w:hint="eastAsia" w:ascii="仿宋" w:hAnsi="仿宋" w:eastAsia="仿宋" w:cs="仿宋"/>
          <w:spacing w:val="4"/>
          <w:sz w:val="31"/>
          <w:szCs w:val="31"/>
          <w:lang w:val="en-US" w:eastAsia="zh-CN"/>
        </w:rPr>
        <w:t>2.9</w:t>
      </w:r>
      <w:r>
        <w:rPr>
          <w:rFonts w:ascii="仿宋" w:hAnsi="仿宋" w:eastAsia="仿宋" w:cs="仿宋"/>
          <w:spacing w:val="4"/>
          <w:sz w:val="31"/>
          <w:szCs w:val="31"/>
        </w:rPr>
        <w:t>%。</w:t>
      </w:r>
    </w:p>
    <w:p w14:paraId="13D1A0A9">
      <w:pPr>
        <w:spacing w:line="600" w:lineRule="exact"/>
        <w:ind w:firstLine="640"/>
        <w:rPr>
          <w:rFonts w:eastAsia="仿宋_GB2312" w:cs="仿宋_GB2312"/>
          <w:b/>
          <w:bCs/>
          <w:sz w:val="32"/>
          <w:szCs w:val="32"/>
        </w:rPr>
      </w:pPr>
      <w:r>
        <w:drawing>
          <wp:anchor distT="0" distB="0" distL="114300" distR="114300" simplePos="0" relativeHeight="251665408" behindDoc="0" locked="0" layoutInCell="1" allowOverlap="1">
            <wp:simplePos x="0" y="0"/>
            <wp:positionH relativeFrom="column">
              <wp:posOffset>1066165</wp:posOffset>
            </wp:positionH>
            <wp:positionV relativeFrom="paragraph">
              <wp:posOffset>210185</wp:posOffset>
            </wp:positionV>
            <wp:extent cx="4826000" cy="2841625"/>
            <wp:effectExtent l="4445" t="4445" r="15875" b="19050"/>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62A85898">
      <w:pPr>
        <w:spacing w:line="600" w:lineRule="exact"/>
        <w:ind w:firstLine="640"/>
        <w:rPr>
          <w:rFonts w:eastAsia="仿宋_GB2312" w:cs="仿宋_GB2312"/>
          <w:b/>
          <w:bCs/>
          <w:sz w:val="32"/>
          <w:szCs w:val="32"/>
        </w:rPr>
      </w:pPr>
    </w:p>
    <w:p w14:paraId="52220946">
      <w:pPr>
        <w:spacing w:line="600" w:lineRule="exact"/>
        <w:ind w:firstLine="640"/>
        <w:rPr>
          <w:rFonts w:eastAsia="仿宋_GB2312" w:cs="仿宋_GB2312"/>
          <w:b/>
          <w:bCs/>
          <w:sz w:val="32"/>
          <w:szCs w:val="32"/>
        </w:rPr>
      </w:pPr>
    </w:p>
    <w:p w14:paraId="4089B312">
      <w:pPr>
        <w:spacing w:line="600" w:lineRule="exact"/>
        <w:ind w:firstLine="640"/>
        <w:rPr>
          <w:rFonts w:eastAsia="仿宋_GB2312" w:cs="仿宋_GB2312"/>
          <w:b/>
          <w:bCs/>
          <w:sz w:val="32"/>
          <w:szCs w:val="32"/>
        </w:rPr>
      </w:pPr>
    </w:p>
    <w:p w14:paraId="4A31D3F8">
      <w:pPr>
        <w:spacing w:line="600" w:lineRule="exact"/>
        <w:ind w:firstLine="640"/>
        <w:rPr>
          <w:rFonts w:eastAsia="仿宋_GB2312" w:cs="仿宋_GB2312"/>
          <w:b/>
          <w:bCs/>
          <w:sz w:val="32"/>
          <w:szCs w:val="32"/>
        </w:rPr>
      </w:pPr>
    </w:p>
    <w:p w14:paraId="367CEBD4">
      <w:pPr>
        <w:spacing w:line="600" w:lineRule="exact"/>
        <w:ind w:firstLine="640"/>
        <w:rPr>
          <w:rFonts w:eastAsia="仿宋_GB2312" w:cs="仿宋_GB2312"/>
          <w:b/>
          <w:bCs/>
          <w:sz w:val="32"/>
          <w:szCs w:val="32"/>
        </w:rPr>
      </w:pPr>
    </w:p>
    <w:p w14:paraId="015501AC">
      <w:pPr>
        <w:spacing w:line="600" w:lineRule="exact"/>
        <w:ind w:firstLine="640"/>
        <w:rPr>
          <w:rFonts w:hint="eastAsia" w:eastAsia="仿宋_GB2312" w:cs="仿宋_GB2312"/>
          <w:sz w:val="32"/>
          <w:szCs w:val="32"/>
        </w:rPr>
      </w:pPr>
    </w:p>
    <w:p w14:paraId="7ECB4733">
      <w:pPr>
        <w:spacing w:line="600" w:lineRule="exact"/>
        <w:ind w:firstLine="640"/>
        <w:rPr>
          <w:rFonts w:hint="eastAsia" w:eastAsia="仿宋_GB2312" w:cs="仿宋_GB2312"/>
          <w:sz w:val="32"/>
          <w:szCs w:val="32"/>
        </w:rPr>
      </w:pPr>
    </w:p>
    <w:p w14:paraId="799B6E50">
      <w:pPr>
        <w:spacing w:line="600" w:lineRule="exact"/>
        <w:ind w:firstLine="640"/>
        <w:jc w:val="center"/>
        <w:rPr>
          <w:rFonts w:eastAsia="仿宋_GB2312" w:cs="仿宋_GB2312"/>
          <w:sz w:val="32"/>
          <w:szCs w:val="32"/>
        </w:rPr>
      </w:pPr>
      <w:r>
        <w:rPr>
          <w:rFonts w:hint="eastAsia" w:eastAsia="仿宋_GB2312" w:cs="仿宋_GB2312"/>
          <w:sz w:val="32"/>
          <w:szCs w:val="32"/>
        </w:rPr>
        <w:t>（图6：一般公共预算财政拨款支出决算结构）</w:t>
      </w:r>
    </w:p>
    <w:p w14:paraId="2933DF04">
      <w:pPr>
        <w:spacing w:line="600" w:lineRule="exact"/>
        <w:ind w:firstLine="643" w:firstLineChars="200"/>
        <w:outlineLvl w:val="9"/>
        <w:rPr>
          <w:rFonts w:eastAsia="楷体_GB2312" w:cs="楷体_GB2312"/>
          <w:b/>
          <w:sz w:val="32"/>
          <w:szCs w:val="32"/>
        </w:rPr>
      </w:pPr>
      <w:bookmarkStart w:id="39" w:name="_Toc15377212"/>
      <w:r>
        <w:rPr>
          <w:rFonts w:hint="eastAsia" w:eastAsia="楷体_GB2312" w:cs="楷体_GB2312"/>
          <w:b/>
          <w:sz w:val="32"/>
          <w:szCs w:val="32"/>
        </w:rPr>
        <w:t>（三）一般公共预算财政拨款支出决算具体情况</w:t>
      </w:r>
      <w:bookmarkEnd w:id="39"/>
    </w:p>
    <w:p w14:paraId="0C547C31">
      <w:pPr>
        <w:spacing w:line="600" w:lineRule="exact"/>
        <w:ind w:firstLine="640"/>
        <w:rPr>
          <w:rFonts w:eastAsia="仿宋_GB2312" w:cs="仿宋_GB2312"/>
          <w:sz w:val="32"/>
          <w:szCs w:val="32"/>
        </w:rPr>
      </w:pPr>
      <w:bookmarkStart w:id="40" w:name="_Toc15378460"/>
      <w:bookmarkStart w:id="41" w:name="_Toc15377444"/>
      <w:bookmarkStart w:id="42"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511.07万元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40"/>
      <w:bookmarkEnd w:id="41"/>
      <w:bookmarkEnd w:id="42"/>
    </w:p>
    <w:p w14:paraId="1B92F8BD">
      <w:pPr>
        <w:spacing w:before="145" w:line="312" w:lineRule="auto"/>
        <w:ind w:left="384" w:right="168" w:firstLine="469"/>
        <w:rPr>
          <w:rFonts w:ascii="仿宋" w:hAnsi="仿宋" w:eastAsia="仿宋" w:cs="仿宋"/>
          <w:spacing w:val="5"/>
          <w:sz w:val="31"/>
          <w:szCs w:val="31"/>
        </w:rPr>
      </w:pPr>
      <w:r>
        <w:rPr>
          <w:rFonts w:ascii="仿宋" w:hAnsi="仿宋" w:eastAsia="仿宋" w:cs="仿宋"/>
          <w:b/>
          <w:bCs/>
          <w:spacing w:val="39"/>
          <w:sz w:val="31"/>
          <w:szCs w:val="31"/>
        </w:rPr>
        <w:t>1.社会保障和就业支出(类)行政事业单位养老支出(款)机关事业单位基本养老保险缴费支出(项)</w:t>
      </w:r>
      <w:r>
        <w:rPr>
          <w:rFonts w:ascii="仿宋" w:hAnsi="仿宋" w:eastAsia="仿宋" w:cs="仿宋"/>
          <w:spacing w:val="5"/>
          <w:sz w:val="31"/>
          <w:szCs w:val="31"/>
        </w:rPr>
        <w:t>:支出决算为</w:t>
      </w:r>
      <w:r>
        <w:rPr>
          <w:rFonts w:hint="eastAsia" w:ascii="仿宋" w:hAnsi="仿宋" w:eastAsia="仿宋" w:cs="仿宋"/>
          <w:spacing w:val="5"/>
          <w:sz w:val="31"/>
          <w:szCs w:val="31"/>
          <w:lang w:val="en-US" w:eastAsia="zh-CN"/>
        </w:rPr>
        <w:t>25.04</w:t>
      </w:r>
      <w:r>
        <w:rPr>
          <w:rFonts w:ascii="仿宋" w:hAnsi="仿宋" w:eastAsia="仿宋" w:cs="仿宋"/>
          <w:spacing w:val="5"/>
          <w:sz w:val="31"/>
          <w:szCs w:val="31"/>
        </w:rPr>
        <w:t>万元，完成预算100%,决算数等于预算数。</w:t>
      </w:r>
    </w:p>
    <w:p w14:paraId="4A9A7D6F">
      <w:pPr>
        <w:spacing w:before="145" w:line="312" w:lineRule="auto"/>
        <w:ind w:left="384" w:right="168" w:firstLine="469"/>
        <w:rPr>
          <w:rFonts w:ascii="仿宋" w:hAnsi="仿宋" w:eastAsia="仿宋" w:cs="仿宋"/>
          <w:spacing w:val="5"/>
          <w:sz w:val="31"/>
          <w:szCs w:val="31"/>
        </w:rPr>
      </w:pPr>
      <w:r>
        <w:rPr>
          <w:rFonts w:ascii="仿宋" w:hAnsi="仿宋" w:eastAsia="仿宋" w:cs="仿宋"/>
          <w:b/>
          <w:bCs/>
          <w:spacing w:val="39"/>
          <w:sz w:val="31"/>
          <w:szCs w:val="31"/>
        </w:rPr>
        <w:t>2.社会保障和就业支出(类)行政事业单位养老支出(款)机关事业单位职业年金缴费支出(项)</w:t>
      </w:r>
      <w:r>
        <w:rPr>
          <w:rFonts w:ascii="仿宋" w:hAnsi="仿宋" w:eastAsia="仿宋" w:cs="仿宋"/>
          <w:spacing w:val="5"/>
          <w:sz w:val="31"/>
          <w:szCs w:val="31"/>
        </w:rPr>
        <w:t>:支出决算为</w:t>
      </w:r>
      <w:r>
        <w:rPr>
          <w:rFonts w:hint="eastAsia" w:ascii="仿宋" w:hAnsi="仿宋" w:eastAsia="仿宋" w:cs="仿宋"/>
          <w:spacing w:val="5"/>
          <w:sz w:val="31"/>
          <w:szCs w:val="31"/>
          <w:lang w:val="en-US" w:eastAsia="zh-CN"/>
        </w:rPr>
        <w:t>12.52</w:t>
      </w:r>
      <w:r>
        <w:rPr>
          <w:rFonts w:ascii="仿宋" w:hAnsi="仿宋" w:eastAsia="仿宋" w:cs="仿宋"/>
          <w:spacing w:val="5"/>
          <w:sz w:val="31"/>
          <w:szCs w:val="31"/>
        </w:rPr>
        <w:t>万元，完成预算100%,决算数等于预算数。</w:t>
      </w:r>
    </w:p>
    <w:p w14:paraId="5A131F07">
      <w:pPr>
        <w:spacing w:before="145" w:line="312" w:lineRule="auto"/>
        <w:ind w:left="384" w:right="168" w:firstLine="469"/>
        <w:rPr>
          <w:rFonts w:ascii="仿宋" w:hAnsi="仿宋" w:eastAsia="仿宋" w:cs="仿宋"/>
          <w:spacing w:val="5"/>
          <w:sz w:val="31"/>
          <w:szCs w:val="31"/>
        </w:rPr>
      </w:pPr>
      <w:r>
        <w:rPr>
          <w:rFonts w:ascii="仿宋" w:hAnsi="仿宋" w:eastAsia="仿宋" w:cs="仿宋"/>
          <w:b/>
          <w:bCs/>
          <w:spacing w:val="39"/>
          <w:sz w:val="31"/>
          <w:szCs w:val="31"/>
        </w:rPr>
        <w:t>3.卫生健康支出(类)行政事业单位医疗(款)行政单位医疗(项)</w:t>
      </w:r>
      <w:r>
        <w:rPr>
          <w:rFonts w:ascii="仿宋" w:hAnsi="仿宋" w:eastAsia="仿宋" w:cs="仿宋"/>
          <w:spacing w:val="5"/>
          <w:sz w:val="31"/>
          <w:szCs w:val="31"/>
        </w:rPr>
        <w:t>:支出决算为10.</w:t>
      </w:r>
      <w:r>
        <w:rPr>
          <w:rFonts w:hint="eastAsia" w:ascii="仿宋" w:hAnsi="仿宋" w:eastAsia="仿宋" w:cs="仿宋"/>
          <w:spacing w:val="5"/>
          <w:sz w:val="31"/>
          <w:szCs w:val="31"/>
          <w:lang w:val="en-US" w:eastAsia="zh-CN"/>
        </w:rPr>
        <w:t>79</w:t>
      </w:r>
      <w:r>
        <w:rPr>
          <w:rFonts w:ascii="仿宋" w:hAnsi="仿宋" w:eastAsia="仿宋" w:cs="仿宋"/>
          <w:spacing w:val="5"/>
          <w:sz w:val="31"/>
          <w:szCs w:val="31"/>
        </w:rPr>
        <w:t>万元，完成预算100%,决算数等于预算数。</w:t>
      </w:r>
    </w:p>
    <w:p w14:paraId="5380B390">
      <w:pPr>
        <w:spacing w:before="145" w:line="312" w:lineRule="auto"/>
        <w:ind w:left="384" w:right="168" w:firstLine="469"/>
        <w:rPr>
          <w:rFonts w:ascii="仿宋" w:hAnsi="仿宋" w:eastAsia="仿宋" w:cs="仿宋"/>
          <w:spacing w:val="5"/>
          <w:sz w:val="31"/>
          <w:szCs w:val="31"/>
        </w:rPr>
      </w:pPr>
      <w:r>
        <w:rPr>
          <w:rFonts w:ascii="仿宋" w:hAnsi="仿宋" w:eastAsia="仿宋" w:cs="仿宋"/>
          <w:b/>
          <w:bCs/>
          <w:spacing w:val="39"/>
          <w:sz w:val="31"/>
          <w:szCs w:val="31"/>
        </w:rPr>
        <w:t>4.卫生健康支出(类)行政事业单位医疗(款)公务员医疗补助(项)</w:t>
      </w:r>
      <w:r>
        <w:rPr>
          <w:rFonts w:ascii="仿宋" w:hAnsi="仿宋" w:eastAsia="仿宋" w:cs="仿宋"/>
          <w:spacing w:val="5"/>
          <w:sz w:val="31"/>
          <w:szCs w:val="31"/>
        </w:rPr>
        <w:t>:支出决算为3.</w:t>
      </w:r>
      <w:r>
        <w:rPr>
          <w:rFonts w:hint="eastAsia" w:ascii="仿宋" w:hAnsi="仿宋" w:eastAsia="仿宋" w:cs="仿宋"/>
          <w:spacing w:val="5"/>
          <w:sz w:val="31"/>
          <w:szCs w:val="31"/>
          <w:lang w:val="en-US" w:eastAsia="zh-CN"/>
        </w:rPr>
        <w:t>03</w:t>
      </w:r>
      <w:r>
        <w:rPr>
          <w:rFonts w:ascii="仿宋" w:hAnsi="仿宋" w:eastAsia="仿宋" w:cs="仿宋"/>
          <w:spacing w:val="5"/>
          <w:sz w:val="31"/>
          <w:szCs w:val="31"/>
        </w:rPr>
        <w:t>万元，完成预算100%,决算数等于预算数。</w:t>
      </w:r>
    </w:p>
    <w:p w14:paraId="0243E35B">
      <w:pPr>
        <w:spacing w:before="145" w:line="312" w:lineRule="auto"/>
        <w:ind w:left="384" w:right="168" w:firstLine="469"/>
        <w:rPr>
          <w:rFonts w:ascii="仿宋" w:hAnsi="仿宋" w:eastAsia="仿宋" w:cs="仿宋"/>
          <w:spacing w:val="5"/>
          <w:sz w:val="31"/>
          <w:szCs w:val="31"/>
        </w:rPr>
      </w:pPr>
      <w:r>
        <w:rPr>
          <w:rFonts w:ascii="仿宋" w:hAnsi="仿宋" w:eastAsia="仿宋" w:cs="仿宋"/>
          <w:b/>
          <w:bCs/>
          <w:spacing w:val="39"/>
          <w:sz w:val="31"/>
          <w:szCs w:val="31"/>
        </w:rPr>
        <w:t>5.节能环保支出(类)环境保护管理事务(款)行政运行(项)</w:t>
      </w:r>
      <w:r>
        <w:rPr>
          <w:rFonts w:ascii="仿宋" w:hAnsi="仿宋" w:eastAsia="仿宋" w:cs="仿宋"/>
          <w:spacing w:val="5"/>
          <w:sz w:val="31"/>
          <w:szCs w:val="31"/>
        </w:rPr>
        <w:t>:支出决算为</w:t>
      </w:r>
      <w:r>
        <w:rPr>
          <w:rFonts w:hint="eastAsia" w:ascii="仿宋" w:hAnsi="仿宋" w:eastAsia="仿宋" w:cs="仿宋"/>
          <w:spacing w:val="5"/>
          <w:sz w:val="31"/>
          <w:szCs w:val="31"/>
          <w:lang w:val="en-US" w:eastAsia="zh-CN"/>
        </w:rPr>
        <w:t>326.43</w:t>
      </w:r>
      <w:r>
        <w:rPr>
          <w:rFonts w:ascii="仿宋" w:hAnsi="仿宋" w:eastAsia="仿宋" w:cs="仿宋"/>
          <w:spacing w:val="5"/>
          <w:sz w:val="31"/>
          <w:szCs w:val="31"/>
        </w:rPr>
        <w:t>万元，完成预算100%,决算数等于预算数。</w:t>
      </w:r>
    </w:p>
    <w:p w14:paraId="330DA039">
      <w:pPr>
        <w:spacing w:before="145" w:line="312" w:lineRule="auto"/>
        <w:ind w:left="384" w:right="168" w:firstLine="469"/>
        <w:rPr>
          <w:rFonts w:ascii="仿宋" w:hAnsi="仿宋" w:eastAsia="仿宋" w:cs="仿宋"/>
          <w:spacing w:val="5"/>
          <w:sz w:val="31"/>
          <w:szCs w:val="31"/>
        </w:rPr>
      </w:pPr>
      <w:r>
        <w:rPr>
          <w:rFonts w:hint="eastAsia" w:ascii="仿宋" w:hAnsi="仿宋" w:eastAsia="仿宋" w:cs="仿宋"/>
          <w:b/>
          <w:bCs/>
          <w:spacing w:val="39"/>
          <w:sz w:val="31"/>
          <w:szCs w:val="31"/>
          <w:lang w:val="en-US" w:eastAsia="zh-CN"/>
        </w:rPr>
        <w:t>6</w:t>
      </w:r>
      <w:r>
        <w:rPr>
          <w:rFonts w:ascii="仿宋" w:hAnsi="仿宋" w:eastAsia="仿宋" w:cs="仿宋"/>
          <w:b/>
          <w:bCs/>
          <w:spacing w:val="39"/>
          <w:sz w:val="31"/>
          <w:szCs w:val="31"/>
        </w:rPr>
        <w:t>.节能环保支出(类)环境保护管理事务(款)生态环境保护宣传务(项)</w:t>
      </w:r>
      <w:r>
        <w:rPr>
          <w:rFonts w:ascii="仿宋" w:hAnsi="仿宋" w:eastAsia="仿宋" w:cs="仿宋"/>
          <w:spacing w:val="5"/>
          <w:sz w:val="31"/>
          <w:szCs w:val="31"/>
        </w:rPr>
        <w:t>:支出决算为</w:t>
      </w:r>
      <w:r>
        <w:rPr>
          <w:rFonts w:hint="eastAsia" w:ascii="仿宋" w:hAnsi="仿宋" w:eastAsia="仿宋" w:cs="仿宋"/>
          <w:spacing w:val="5"/>
          <w:sz w:val="31"/>
          <w:szCs w:val="31"/>
          <w:lang w:val="en-US" w:eastAsia="zh-CN"/>
        </w:rPr>
        <w:t>4.14</w:t>
      </w:r>
      <w:r>
        <w:rPr>
          <w:rFonts w:ascii="仿宋" w:hAnsi="仿宋" w:eastAsia="仿宋" w:cs="仿宋"/>
          <w:spacing w:val="5"/>
          <w:sz w:val="31"/>
          <w:szCs w:val="31"/>
        </w:rPr>
        <w:t>万元，完成预算100%,决算数等于预算数。</w:t>
      </w:r>
    </w:p>
    <w:p w14:paraId="153F8B9E">
      <w:pPr>
        <w:spacing w:before="145" w:line="312" w:lineRule="auto"/>
        <w:ind w:left="384" w:right="168" w:firstLine="469"/>
        <w:rPr>
          <w:rFonts w:ascii="仿宋" w:hAnsi="仿宋" w:eastAsia="仿宋" w:cs="仿宋"/>
          <w:spacing w:val="5"/>
          <w:sz w:val="31"/>
          <w:szCs w:val="31"/>
        </w:rPr>
      </w:pPr>
      <w:r>
        <w:rPr>
          <w:rFonts w:hint="eastAsia" w:ascii="仿宋" w:hAnsi="仿宋" w:eastAsia="仿宋" w:cs="仿宋"/>
          <w:b/>
          <w:bCs/>
          <w:spacing w:val="39"/>
          <w:sz w:val="31"/>
          <w:szCs w:val="31"/>
          <w:lang w:val="en-US" w:eastAsia="zh-CN"/>
        </w:rPr>
        <w:t>7</w:t>
      </w:r>
      <w:r>
        <w:rPr>
          <w:rFonts w:ascii="仿宋" w:hAnsi="仿宋" w:eastAsia="仿宋" w:cs="仿宋"/>
          <w:b/>
          <w:bCs/>
          <w:spacing w:val="39"/>
          <w:sz w:val="31"/>
          <w:szCs w:val="31"/>
        </w:rPr>
        <w:t>.节能环保支出(类)环境保护管理事务(款)其他环境保护管理事务支出(项)</w:t>
      </w:r>
      <w:r>
        <w:rPr>
          <w:rFonts w:ascii="仿宋" w:hAnsi="仿宋" w:eastAsia="仿宋" w:cs="仿宋"/>
          <w:spacing w:val="5"/>
          <w:sz w:val="31"/>
          <w:szCs w:val="31"/>
        </w:rPr>
        <w:t>:支出决算为</w:t>
      </w:r>
      <w:r>
        <w:rPr>
          <w:rFonts w:hint="eastAsia" w:ascii="仿宋" w:hAnsi="仿宋" w:eastAsia="仿宋" w:cs="仿宋"/>
          <w:spacing w:val="5"/>
          <w:sz w:val="31"/>
          <w:szCs w:val="31"/>
          <w:lang w:val="en-US" w:eastAsia="zh-CN"/>
        </w:rPr>
        <w:t>125.7</w:t>
      </w:r>
      <w:r>
        <w:rPr>
          <w:rFonts w:ascii="仿宋" w:hAnsi="仿宋" w:eastAsia="仿宋" w:cs="仿宋"/>
          <w:spacing w:val="5"/>
          <w:sz w:val="31"/>
          <w:szCs w:val="31"/>
        </w:rPr>
        <w:t>万元，完成预算100%,决算数等于预算数。</w:t>
      </w:r>
    </w:p>
    <w:p w14:paraId="47DE7997">
      <w:pPr>
        <w:spacing w:before="145" w:line="312" w:lineRule="auto"/>
        <w:ind w:left="384" w:right="168" w:firstLine="469"/>
        <w:rPr>
          <w:rFonts w:ascii="仿宋" w:hAnsi="仿宋" w:eastAsia="仿宋" w:cs="仿宋"/>
          <w:spacing w:val="5"/>
          <w:sz w:val="31"/>
          <w:szCs w:val="31"/>
        </w:rPr>
      </w:pPr>
      <w:r>
        <w:rPr>
          <w:rFonts w:hint="eastAsia" w:ascii="仿宋" w:hAnsi="仿宋" w:eastAsia="仿宋" w:cs="仿宋"/>
          <w:spacing w:val="5"/>
          <w:sz w:val="31"/>
          <w:szCs w:val="31"/>
          <w:lang w:val="en-US" w:eastAsia="zh-CN"/>
        </w:rPr>
        <w:t>8</w:t>
      </w:r>
      <w:r>
        <w:rPr>
          <w:rFonts w:ascii="仿宋" w:hAnsi="仿宋" w:eastAsia="仿宋" w:cs="仿宋"/>
          <w:spacing w:val="5"/>
          <w:sz w:val="31"/>
          <w:szCs w:val="31"/>
        </w:rPr>
        <w:t>.</w:t>
      </w:r>
      <w:r>
        <w:rPr>
          <w:rFonts w:ascii="仿宋" w:hAnsi="仿宋" w:eastAsia="仿宋" w:cs="仿宋"/>
          <w:b/>
          <w:bCs/>
          <w:spacing w:val="39"/>
          <w:sz w:val="31"/>
          <w:szCs w:val="31"/>
        </w:rPr>
        <w:t>节能环保支出(类)自然生态保护(款)生态保护(项)</w:t>
      </w:r>
      <w:r>
        <w:rPr>
          <w:rFonts w:ascii="仿宋" w:hAnsi="仿宋" w:eastAsia="仿宋" w:cs="仿宋"/>
          <w:spacing w:val="5"/>
          <w:sz w:val="31"/>
          <w:szCs w:val="31"/>
        </w:rPr>
        <w:t>:支出决算为249.00万元，完成预算100%,决算数等于预算数。</w:t>
      </w:r>
    </w:p>
    <w:p w14:paraId="4767D94D">
      <w:pPr>
        <w:spacing w:before="145" w:line="312" w:lineRule="auto"/>
        <w:ind w:left="384" w:right="168" w:firstLine="469"/>
        <w:rPr>
          <w:rFonts w:ascii="仿宋" w:hAnsi="仿宋" w:eastAsia="仿宋" w:cs="仿宋"/>
          <w:sz w:val="31"/>
          <w:szCs w:val="31"/>
        </w:rPr>
      </w:pPr>
      <w:r>
        <w:rPr>
          <w:rFonts w:ascii="宋体" w:hAnsi="宋体" w:eastAsia="宋体" w:cs="宋体"/>
          <w:b/>
          <w:bCs/>
          <w:spacing w:val="39"/>
          <w:sz w:val="31"/>
          <w:szCs w:val="31"/>
        </w:rPr>
        <w:t>10.</w:t>
      </w:r>
      <w:r>
        <w:rPr>
          <w:rFonts w:ascii="仿宋" w:hAnsi="仿宋" w:eastAsia="仿宋" w:cs="仿宋"/>
          <w:b/>
          <w:bCs/>
          <w:spacing w:val="39"/>
          <w:sz w:val="31"/>
          <w:szCs w:val="31"/>
        </w:rPr>
        <w:t>节能环保支出(类)其他节能环保支出(款)其他节能环保支出</w:t>
      </w:r>
      <w:r>
        <w:rPr>
          <w:rFonts w:ascii="仿宋" w:hAnsi="仿宋" w:eastAsia="仿宋" w:cs="仿宋"/>
          <w:b/>
          <w:bCs/>
          <w:spacing w:val="5"/>
          <w:sz w:val="31"/>
          <w:szCs w:val="31"/>
        </w:rPr>
        <w:t>(项):</w:t>
      </w:r>
      <w:r>
        <w:rPr>
          <w:rFonts w:ascii="仿宋" w:hAnsi="仿宋" w:eastAsia="仿宋" w:cs="仿宋"/>
          <w:spacing w:val="5"/>
          <w:sz w:val="31"/>
          <w:szCs w:val="31"/>
        </w:rPr>
        <w:t>支出决算为2,073.44万元，完成预算100%,决算数等于</w:t>
      </w:r>
      <w:r>
        <w:rPr>
          <w:rFonts w:ascii="仿宋" w:hAnsi="仿宋" w:eastAsia="仿宋" w:cs="仿宋"/>
          <w:spacing w:val="4"/>
          <w:sz w:val="31"/>
          <w:szCs w:val="31"/>
        </w:rPr>
        <w:t>预算数。</w:t>
      </w:r>
    </w:p>
    <w:p w14:paraId="474B6EEF">
      <w:pPr>
        <w:spacing w:before="243" w:line="312" w:lineRule="auto"/>
        <w:ind w:left="199" w:right="163" w:firstLine="654"/>
        <w:rPr>
          <w:rFonts w:ascii="仿宋" w:hAnsi="仿宋" w:eastAsia="仿宋" w:cs="仿宋"/>
          <w:spacing w:val="3"/>
          <w:sz w:val="32"/>
          <w:szCs w:val="32"/>
        </w:rPr>
      </w:pPr>
      <w:r>
        <w:rPr>
          <w:rFonts w:ascii="宋体" w:hAnsi="宋体" w:eastAsia="宋体" w:cs="宋体"/>
          <w:b/>
          <w:bCs/>
          <w:spacing w:val="43"/>
          <w:sz w:val="31"/>
          <w:szCs w:val="31"/>
        </w:rPr>
        <w:t>11.</w:t>
      </w:r>
      <w:r>
        <w:rPr>
          <w:rFonts w:ascii="仿宋" w:hAnsi="仿宋" w:eastAsia="仿宋" w:cs="仿宋"/>
          <w:b/>
          <w:bCs/>
          <w:spacing w:val="43"/>
          <w:sz w:val="31"/>
          <w:szCs w:val="31"/>
        </w:rPr>
        <w:t>住房保障支出(类)住房改革支出(款)住房公积金(项):</w:t>
      </w:r>
      <w:r>
        <w:rPr>
          <w:rFonts w:ascii="仿宋" w:hAnsi="仿宋" w:eastAsia="仿宋" w:cs="仿宋"/>
          <w:spacing w:val="43"/>
          <w:sz w:val="31"/>
          <w:szCs w:val="31"/>
        </w:rPr>
        <w:t>支出</w:t>
      </w:r>
      <w:r>
        <w:rPr>
          <w:rFonts w:ascii="仿宋" w:hAnsi="仿宋" w:eastAsia="仿宋" w:cs="仿宋"/>
          <w:spacing w:val="11"/>
          <w:sz w:val="31"/>
          <w:szCs w:val="31"/>
        </w:rPr>
        <w:t>决算为16.24万元，完成预算100%,决算数等于预算数。</w:t>
      </w:r>
    </w:p>
    <w:p w14:paraId="09FFB682">
      <w:pPr>
        <w:tabs>
          <w:tab w:val="right" w:pos="8306"/>
        </w:tabs>
        <w:spacing w:line="600" w:lineRule="exact"/>
        <w:ind w:firstLine="640"/>
        <w:outlineLvl w:val="1"/>
        <w:rPr>
          <w:rStyle w:val="29"/>
          <w:rFonts w:ascii="Times New Roman" w:hAnsi="Times New Roman"/>
        </w:rPr>
      </w:pPr>
      <w:bookmarkStart w:id="43" w:name="_Toc15377214"/>
      <w:bookmarkStart w:id="44" w:name="_Toc15396608"/>
      <w:bookmarkStart w:id="45" w:name="_Toc20940"/>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43"/>
      <w:bookmarkEnd w:id="44"/>
      <w:bookmarkEnd w:id="45"/>
      <w:r>
        <w:rPr>
          <w:rStyle w:val="29"/>
          <w:rFonts w:ascii="Times New Roman" w:hAnsi="Times New Roman" w:eastAsia="黑体"/>
          <w:b w:val="0"/>
        </w:rPr>
        <w:tab/>
      </w:r>
    </w:p>
    <w:p w14:paraId="7A6B2C5F">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397.44</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0C82ECFB">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200.52</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元，主要包括：基本工资、津贴补贴、奖金、伙食补助费、机关事业单位基本养老保险缴费、职业年金缴费、其他社会保障缴费、其他工资福利支出。</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196.92</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元，主要包括：办公费、印刷费、电费、邮电费、取暖费、物业管理费、差旅费、培训费、公务接待费、委托业务费、福利费、公务用车运行维护费、其他商品和服务支出</w:t>
      </w:r>
      <w:r>
        <w:rPr>
          <w:rFonts w:hint="eastAsia" w:eastAsia="仿宋_GB2312" w:cs="仿宋_GB2312"/>
          <w:sz w:val="32"/>
          <w:szCs w:val="32"/>
          <w:lang w:eastAsia="zh-CN"/>
        </w:rPr>
        <w:t>。</w:t>
      </w:r>
    </w:p>
    <w:p w14:paraId="475093D4">
      <w:pPr>
        <w:spacing w:line="600" w:lineRule="exact"/>
        <w:ind w:firstLine="640"/>
        <w:outlineLvl w:val="1"/>
        <w:rPr>
          <w:rStyle w:val="29"/>
          <w:rFonts w:ascii="Times New Roman" w:hAnsi="Times New Roman" w:eastAsia="黑体"/>
          <w:b w:val="0"/>
        </w:rPr>
      </w:pPr>
      <w:bookmarkStart w:id="46" w:name="_Toc15396609"/>
      <w:bookmarkStart w:id="47" w:name="_Toc2729"/>
      <w:bookmarkStart w:id="48"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46"/>
      <w:bookmarkEnd w:id="47"/>
      <w:bookmarkEnd w:id="48"/>
    </w:p>
    <w:p w14:paraId="55E32413">
      <w:pPr>
        <w:spacing w:line="600" w:lineRule="exact"/>
        <w:ind w:firstLine="643" w:firstLineChars="200"/>
        <w:outlineLvl w:val="9"/>
        <w:rPr>
          <w:rFonts w:eastAsia="楷体_GB2312" w:cs="楷体_GB2312"/>
          <w:b/>
          <w:sz w:val="32"/>
          <w:szCs w:val="32"/>
        </w:rPr>
      </w:pPr>
      <w:bookmarkStart w:id="49" w:name="_Toc15377216"/>
      <w:r>
        <w:rPr>
          <w:rFonts w:hint="eastAsia" w:eastAsia="楷体_GB2312" w:cs="楷体_GB2312"/>
          <w:b/>
          <w:sz w:val="32"/>
          <w:szCs w:val="32"/>
        </w:rPr>
        <w:t>（一）“三公”经费财政拨款支出决算总体情况说明</w:t>
      </w:r>
      <w:bookmarkEnd w:id="49"/>
    </w:p>
    <w:p w14:paraId="650FFC8B">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14.26</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eastAsia="仿宋_GB2312" w:cs="仿宋_GB2312"/>
          <w:sz w:val="32"/>
          <w:szCs w:val="32"/>
        </w:rPr>
        <w:t>较上年度增加</w:t>
      </w:r>
      <w:r>
        <w:rPr>
          <w:rFonts w:hint="eastAsia" w:eastAsia="仿宋_GB2312" w:cs="仿宋_GB2312"/>
          <w:sz w:val="32"/>
          <w:szCs w:val="32"/>
          <w:lang w:val="en-US" w:eastAsia="zh-CN"/>
        </w:rPr>
        <w:t>0.05</w:t>
      </w:r>
      <w:r>
        <w:rPr>
          <w:rFonts w:hint="eastAsia" w:eastAsia="仿宋_GB2312" w:cs="仿宋_GB2312"/>
          <w:sz w:val="32"/>
          <w:szCs w:val="32"/>
        </w:rPr>
        <w:t>万元，增长</w:t>
      </w:r>
      <w:r>
        <w:rPr>
          <w:rFonts w:hint="eastAsia" w:eastAsia="仿宋_GB2312" w:cs="仿宋_GB2312"/>
          <w:sz w:val="32"/>
          <w:szCs w:val="32"/>
          <w:lang w:val="en-US" w:eastAsia="zh-CN"/>
        </w:rPr>
        <w:t>0.4</w:t>
      </w:r>
      <w:r>
        <w:rPr>
          <w:rFonts w:hint="eastAsia" w:eastAsia="仿宋_GB2312" w:cs="仿宋_GB2312"/>
          <w:sz w:val="32"/>
          <w:szCs w:val="32"/>
        </w:rPr>
        <w:t>%。决算数与预算数持平</w:t>
      </w:r>
      <w:r>
        <w:rPr>
          <w:rFonts w:hint="eastAsia" w:eastAsia="仿宋_GB2312" w:cs="仿宋_GB2312"/>
          <w:sz w:val="32"/>
          <w:szCs w:val="32"/>
          <w:lang w:eastAsia="zh-CN"/>
        </w:rPr>
        <w:t>。</w:t>
      </w:r>
    </w:p>
    <w:p w14:paraId="181B4920">
      <w:pPr>
        <w:spacing w:line="600" w:lineRule="exact"/>
        <w:ind w:firstLine="643" w:firstLineChars="200"/>
        <w:outlineLvl w:val="9"/>
        <w:rPr>
          <w:rFonts w:eastAsia="楷体_GB2312" w:cs="楷体_GB2312"/>
          <w:b/>
          <w:sz w:val="32"/>
          <w:szCs w:val="32"/>
        </w:rPr>
      </w:pPr>
      <w:bookmarkStart w:id="50" w:name="_Toc15377217"/>
      <w:r>
        <w:rPr>
          <w:rFonts w:hint="eastAsia" w:eastAsia="楷体_GB2312" w:cs="楷体_GB2312"/>
          <w:b/>
          <w:sz w:val="32"/>
          <w:szCs w:val="32"/>
        </w:rPr>
        <w:t>（二）“三公”经费财政拨款支出决算具体情况说明</w:t>
      </w:r>
      <w:bookmarkEnd w:id="50"/>
    </w:p>
    <w:p w14:paraId="3582B8E9">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13.51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94.8</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0.74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%。具体情况如下：</w:t>
      </w:r>
    </w:p>
    <w:p w14:paraId="310977AE">
      <w:pPr>
        <w:spacing w:line="600" w:lineRule="exact"/>
        <w:ind w:firstLine="640"/>
        <w:rPr>
          <w:rFonts w:hint="eastAsia" w:ascii="仿宋_GB2312" w:hAnsi="仿宋_GB2312" w:eastAsia="仿宋_GB2312" w:cs="仿宋_GB2312"/>
          <w:sz w:val="32"/>
          <w:szCs w:val="32"/>
        </w:rPr>
      </w:pPr>
      <w:r>
        <w:drawing>
          <wp:anchor distT="0" distB="0" distL="114300" distR="114300" simplePos="0" relativeHeight="251666432" behindDoc="0" locked="0" layoutInCell="1" allowOverlap="1">
            <wp:simplePos x="0" y="0"/>
            <wp:positionH relativeFrom="column">
              <wp:posOffset>1492885</wp:posOffset>
            </wp:positionH>
            <wp:positionV relativeFrom="paragraph">
              <wp:posOffset>271780</wp:posOffset>
            </wp:positionV>
            <wp:extent cx="4542155" cy="2044700"/>
            <wp:effectExtent l="4445" t="5080" r="10160" b="7620"/>
            <wp:wrapNone/>
            <wp:docPr id="156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3211752C">
      <w:pPr>
        <w:spacing w:line="600" w:lineRule="exact"/>
        <w:ind w:firstLine="640"/>
        <w:rPr>
          <w:rFonts w:hint="eastAsia" w:ascii="仿宋_GB2312" w:hAnsi="仿宋_GB2312" w:eastAsia="仿宋_GB2312" w:cs="仿宋_GB2312"/>
          <w:sz w:val="32"/>
          <w:szCs w:val="32"/>
        </w:rPr>
      </w:pPr>
    </w:p>
    <w:p w14:paraId="6A6C8838">
      <w:pPr>
        <w:spacing w:line="600" w:lineRule="exact"/>
        <w:ind w:firstLine="640"/>
        <w:rPr>
          <w:rFonts w:hint="eastAsia" w:ascii="仿宋_GB2312" w:hAnsi="仿宋_GB2312" w:eastAsia="仿宋_GB2312" w:cs="仿宋_GB2312"/>
          <w:sz w:val="32"/>
          <w:szCs w:val="32"/>
        </w:rPr>
      </w:pPr>
    </w:p>
    <w:p w14:paraId="38CB4950">
      <w:pPr>
        <w:spacing w:line="600" w:lineRule="exact"/>
        <w:ind w:firstLine="640"/>
        <w:rPr>
          <w:rFonts w:hint="eastAsia" w:ascii="仿宋_GB2312" w:hAnsi="仿宋_GB2312" w:eastAsia="仿宋_GB2312" w:cs="仿宋_GB2312"/>
          <w:sz w:val="32"/>
          <w:szCs w:val="32"/>
        </w:rPr>
      </w:pPr>
    </w:p>
    <w:p w14:paraId="56D53846">
      <w:pPr>
        <w:spacing w:line="600" w:lineRule="exact"/>
        <w:ind w:firstLine="640"/>
        <w:rPr>
          <w:rFonts w:hint="eastAsia" w:ascii="仿宋_GB2312" w:hAnsi="仿宋_GB2312" w:eastAsia="仿宋_GB2312" w:cs="仿宋_GB2312"/>
          <w:sz w:val="32"/>
          <w:szCs w:val="32"/>
        </w:rPr>
      </w:pPr>
    </w:p>
    <w:p w14:paraId="61EEE6E9">
      <w:pPr>
        <w:spacing w:line="600" w:lineRule="exact"/>
        <w:ind w:firstLine="640"/>
        <w:rPr>
          <w:rFonts w:hint="eastAsia" w:ascii="仿宋_GB2312" w:hAnsi="仿宋_GB2312" w:eastAsia="仿宋_GB2312" w:cs="仿宋_GB2312"/>
          <w:sz w:val="32"/>
          <w:szCs w:val="32"/>
        </w:rPr>
      </w:pPr>
    </w:p>
    <w:p w14:paraId="526A8CFB">
      <w:pPr>
        <w:spacing w:line="600" w:lineRule="exact"/>
        <w:ind w:firstLine="640"/>
        <w:jc w:val="center"/>
        <w:rPr>
          <w:rFonts w:eastAsia="仿宋_GB2312" w:cs="仿宋_GB2312"/>
          <w:sz w:val="32"/>
          <w:szCs w:val="32"/>
        </w:rPr>
      </w:pPr>
      <w:r>
        <w:rPr>
          <w:rFonts w:hint="eastAsia" w:eastAsia="仿宋_GB2312" w:cs="仿宋_GB2312"/>
          <w:sz w:val="32"/>
          <w:szCs w:val="32"/>
        </w:rPr>
        <w:t>（图7：“三公”经费财政拨款支出结构）</w:t>
      </w:r>
    </w:p>
    <w:p w14:paraId="13095D98">
      <w:pPr>
        <w:spacing w:line="600" w:lineRule="exact"/>
        <w:ind w:firstLine="640"/>
        <w:rPr>
          <w:rFonts w:hint="eastAsia" w:eastAsia="仿宋_GB2312" w:cs="仿宋_GB2312"/>
          <w:sz w:val="32"/>
          <w:szCs w:val="32"/>
          <w:lang w:val="en-US" w:eastAsia="zh-CN"/>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w:t>
      </w:r>
      <w:r>
        <w:rPr>
          <w:rFonts w:hint="eastAsia" w:eastAsia="仿宋_GB2312" w:cs="仿宋_GB2312"/>
          <w:sz w:val="32"/>
          <w:szCs w:val="32"/>
        </w:rPr>
        <w:t>。</w:t>
      </w:r>
    </w:p>
    <w:p w14:paraId="4E523ED9">
      <w:pPr>
        <w:spacing w:line="600" w:lineRule="exact"/>
        <w:ind w:firstLine="640"/>
        <w:rPr>
          <w:rFonts w:hint="eastAsia" w:eastAsia="仿宋_GB2312" w:cs="仿宋_GB2312"/>
          <w:sz w:val="32"/>
          <w:szCs w:val="32"/>
          <w:lang w:val="en-US"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13.51</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w:t>
      </w:r>
      <w:r>
        <w:rPr>
          <w:rFonts w:hint="eastAsia" w:eastAsia="仿宋_GB2312" w:cs="仿宋_GB2312"/>
          <w:sz w:val="32"/>
          <w:szCs w:val="32"/>
          <w:lang w:val="en-US" w:eastAsia="zh-CN"/>
        </w:rPr>
        <w:t>与</w:t>
      </w:r>
      <w:r>
        <w:rPr>
          <w:rFonts w:hint="eastAsia" w:eastAsia="仿宋_GB2312" w:cs="仿宋_GB2312"/>
          <w:sz w:val="32"/>
          <w:szCs w:val="32"/>
        </w:rPr>
        <w:t>2023年度</w:t>
      </w:r>
      <w:r>
        <w:rPr>
          <w:rFonts w:hint="eastAsia" w:eastAsia="仿宋_GB2312" w:cs="仿宋_GB2312"/>
          <w:sz w:val="32"/>
          <w:szCs w:val="32"/>
          <w:lang w:val="en-US" w:eastAsia="zh-CN"/>
        </w:rPr>
        <w:t>基本持平。</w:t>
      </w:r>
    </w:p>
    <w:p w14:paraId="2F80BDA2">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2</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2</w:t>
      </w:r>
      <w:bookmarkStart w:id="84" w:name="_GoBack"/>
      <w:bookmarkEnd w:id="84"/>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1ECD7BDF">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13.51</w:t>
      </w:r>
      <w:r>
        <w:rPr>
          <w:rFonts w:hint="eastAsia" w:eastAsia="仿宋_GB2312" w:cs="仿宋_GB2312"/>
          <w:sz w:val="32"/>
          <w:szCs w:val="32"/>
        </w:rPr>
        <w:t>万元。主要用于</w:t>
      </w:r>
      <w:r>
        <w:rPr>
          <w:rFonts w:hint="eastAsia" w:eastAsia="仿宋_GB2312" w:cs="仿宋_GB2312"/>
          <w:sz w:val="32"/>
          <w:szCs w:val="32"/>
          <w:lang w:val="en-US" w:eastAsia="zh-CN"/>
        </w:rPr>
        <w:t>执法</w:t>
      </w:r>
      <w:r>
        <w:rPr>
          <w:rFonts w:hint="eastAsia" w:eastAsia="仿宋_GB2312" w:cs="仿宋_GB2312"/>
          <w:sz w:val="32"/>
          <w:szCs w:val="32"/>
        </w:rPr>
        <w:t>所需的公务用车燃料费、维修费、过路过桥费、保险费等支出。</w:t>
      </w:r>
    </w:p>
    <w:p w14:paraId="24D7788E">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0.74</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公务接待费支出决算比2023年度增加</w:t>
      </w:r>
      <w:r>
        <w:rPr>
          <w:rFonts w:hint="eastAsia" w:eastAsia="仿宋_GB2312" w:cs="仿宋_GB2312"/>
          <w:sz w:val="32"/>
          <w:szCs w:val="32"/>
          <w:lang w:val="en-US" w:eastAsia="zh-CN"/>
        </w:rPr>
        <w:t>0.05</w:t>
      </w:r>
      <w:r>
        <w:rPr>
          <w:rFonts w:hint="eastAsia" w:eastAsia="仿宋_GB2312" w:cs="仿宋_GB2312"/>
          <w:sz w:val="32"/>
          <w:szCs w:val="32"/>
        </w:rPr>
        <w:t>万元，增长</w:t>
      </w:r>
      <w:r>
        <w:rPr>
          <w:rFonts w:hint="eastAsia" w:eastAsia="仿宋_GB2312" w:cs="仿宋_GB2312"/>
          <w:sz w:val="32"/>
          <w:szCs w:val="32"/>
          <w:lang w:val="en-US" w:eastAsia="zh-CN"/>
        </w:rPr>
        <w:t>7.1</w:t>
      </w:r>
      <w:r>
        <w:rPr>
          <w:rFonts w:hint="eastAsia" w:eastAsia="仿宋_GB2312" w:cs="仿宋_GB2312"/>
          <w:sz w:val="32"/>
          <w:szCs w:val="32"/>
        </w:rPr>
        <w:t>%。主要原因是</w:t>
      </w:r>
      <w:r>
        <w:rPr>
          <w:rFonts w:hint="eastAsia" w:eastAsia="仿宋_GB2312" w:cs="仿宋_GB2312"/>
          <w:sz w:val="32"/>
          <w:szCs w:val="32"/>
          <w:lang w:val="en-US" w:eastAsia="zh-CN"/>
        </w:rPr>
        <w:t>2024年接待上级部门检查增加</w:t>
      </w:r>
      <w:r>
        <w:rPr>
          <w:rFonts w:hint="eastAsia" w:eastAsia="仿宋_GB2312" w:cs="仿宋_GB2312"/>
          <w:sz w:val="32"/>
          <w:szCs w:val="32"/>
        </w:rPr>
        <w:t>。其中：</w:t>
      </w:r>
    </w:p>
    <w:p w14:paraId="296FD5FD">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0.74</w:t>
      </w:r>
      <w:r>
        <w:rPr>
          <w:rFonts w:hint="eastAsia" w:ascii="仿宋_GB2312" w:hAnsi="仿宋_GB2312" w:eastAsia="仿宋_GB2312" w:cs="仿宋_GB2312"/>
          <w:sz w:val="32"/>
          <w:szCs w:val="32"/>
        </w:rPr>
        <w:t>万</w:t>
      </w:r>
      <w:r>
        <w:rPr>
          <w:rFonts w:hint="eastAsia" w:eastAsia="仿宋_GB2312" w:cs="仿宋_GB2312"/>
          <w:sz w:val="32"/>
          <w:szCs w:val="32"/>
        </w:rPr>
        <w:t>元，主要用于执行公务、开展业务活动开支的交通费、住宿费、用餐费等。国内公务接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60</w:t>
      </w:r>
      <w:r>
        <w:rPr>
          <w:rFonts w:hint="eastAsia" w:eastAsia="仿宋_GB2312" w:cs="仿宋_GB2312"/>
          <w:sz w:val="32"/>
          <w:szCs w:val="32"/>
        </w:rPr>
        <w:t>人次，共计支出</w:t>
      </w:r>
      <w:r>
        <w:rPr>
          <w:rFonts w:hint="eastAsia" w:eastAsia="仿宋_GB2312" w:cs="仿宋_GB2312"/>
          <w:sz w:val="32"/>
          <w:szCs w:val="32"/>
          <w:lang w:val="en-US" w:eastAsia="zh-CN"/>
        </w:rPr>
        <w:t>0.74</w:t>
      </w:r>
      <w:r>
        <w:rPr>
          <w:rFonts w:hint="eastAsia" w:eastAsia="仿宋_GB2312" w:cs="仿宋_GB2312"/>
          <w:sz w:val="32"/>
          <w:szCs w:val="32"/>
        </w:rPr>
        <w:t>万元，具体内容包括：</w:t>
      </w:r>
      <w:r>
        <w:rPr>
          <w:rFonts w:hint="eastAsia" w:eastAsia="仿宋_GB2312" w:cs="仿宋_GB2312"/>
          <w:sz w:val="32"/>
          <w:szCs w:val="32"/>
          <w:lang w:val="en-US" w:eastAsia="zh-CN"/>
        </w:rPr>
        <w:t>上级检查</w:t>
      </w:r>
      <w:r>
        <w:rPr>
          <w:rFonts w:hint="eastAsia" w:eastAsia="仿宋_GB2312" w:cs="仿宋_GB2312"/>
          <w:sz w:val="32"/>
          <w:szCs w:val="32"/>
        </w:rPr>
        <w:t>。</w:t>
      </w:r>
    </w:p>
    <w:p w14:paraId="0DF7D7CC">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eastAsia="仿宋_GB2312" w:cs="仿宋_GB2312"/>
          <w:sz w:val="32"/>
          <w:szCs w:val="32"/>
        </w:rPr>
        <w:t>。</w:t>
      </w:r>
      <w:bookmarkStart w:id="51" w:name="_Toc15377218"/>
      <w:bookmarkStart w:id="52" w:name="_Toc15396610"/>
    </w:p>
    <w:p w14:paraId="47228CBE">
      <w:pPr>
        <w:spacing w:line="600" w:lineRule="exact"/>
        <w:ind w:firstLine="640"/>
        <w:outlineLvl w:val="1"/>
        <w:rPr>
          <w:rStyle w:val="29"/>
          <w:rFonts w:ascii="Times New Roman" w:hAnsi="Times New Roman" w:eastAsia="黑体"/>
        </w:rPr>
      </w:pPr>
      <w:bookmarkStart w:id="53" w:name="_Toc23946"/>
      <w:r>
        <w:rPr>
          <w:rFonts w:hint="eastAsia" w:eastAsia="黑体"/>
          <w:sz w:val="32"/>
          <w:szCs w:val="32"/>
        </w:rPr>
        <w:t>八、</w:t>
      </w:r>
      <w:r>
        <w:rPr>
          <w:rStyle w:val="29"/>
          <w:rFonts w:hint="eastAsia" w:ascii="Times New Roman" w:hAnsi="Times New Roman" w:eastAsia="黑体"/>
          <w:b w:val="0"/>
        </w:rPr>
        <w:t>政府性基金预算支出决算情况说明</w:t>
      </w:r>
      <w:bookmarkEnd w:id="51"/>
      <w:bookmarkEnd w:id="52"/>
      <w:bookmarkEnd w:id="53"/>
    </w:p>
    <w:p w14:paraId="469BDC26">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4A9A739A">
      <w:pPr>
        <w:spacing w:line="600" w:lineRule="exact"/>
        <w:ind w:left="630"/>
        <w:outlineLvl w:val="1"/>
        <w:rPr>
          <w:rStyle w:val="29"/>
          <w:rFonts w:ascii="Times New Roman" w:hAnsi="Times New Roman" w:eastAsia="黑体"/>
          <w:b w:val="0"/>
        </w:rPr>
      </w:pPr>
      <w:bookmarkStart w:id="54" w:name="_Toc15377219"/>
      <w:bookmarkStart w:id="55" w:name="_Toc15396611"/>
      <w:bookmarkStart w:id="56" w:name="_Toc23596"/>
      <w:r>
        <w:rPr>
          <w:rStyle w:val="29"/>
          <w:rFonts w:hint="eastAsia" w:ascii="Times New Roman" w:hAnsi="Times New Roman" w:eastAsia="黑体"/>
          <w:b w:val="0"/>
        </w:rPr>
        <w:t>九、国有资本经营预算支出决算情况说明</w:t>
      </w:r>
      <w:bookmarkEnd w:id="54"/>
      <w:bookmarkEnd w:id="55"/>
      <w:bookmarkEnd w:id="56"/>
    </w:p>
    <w:p w14:paraId="7AE95F82">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2CA2FA4F">
      <w:pPr>
        <w:spacing w:line="600" w:lineRule="exact"/>
        <w:ind w:left="630"/>
        <w:outlineLvl w:val="1"/>
        <w:rPr>
          <w:rStyle w:val="29"/>
          <w:rFonts w:ascii="Times New Roman" w:hAnsi="Times New Roman" w:eastAsia="黑体"/>
          <w:b w:val="0"/>
        </w:rPr>
      </w:pPr>
      <w:bookmarkStart w:id="57" w:name="_Toc27488"/>
      <w:bookmarkStart w:id="58" w:name="_Toc15396612"/>
      <w:bookmarkStart w:id="59" w:name="_Toc15377221"/>
      <w:r>
        <w:rPr>
          <w:rStyle w:val="29"/>
          <w:rFonts w:hint="eastAsia" w:ascii="Times New Roman" w:hAnsi="Times New Roman" w:eastAsia="黑体"/>
          <w:b w:val="0"/>
        </w:rPr>
        <w:t>十、其他重要事项的情况说明</w:t>
      </w:r>
      <w:bookmarkEnd w:id="57"/>
      <w:bookmarkEnd w:id="58"/>
      <w:bookmarkEnd w:id="59"/>
    </w:p>
    <w:p w14:paraId="2635AD73">
      <w:pPr>
        <w:spacing w:line="600" w:lineRule="exact"/>
        <w:ind w:firstLine="643" w:firstLineChars="200"/>
        <w:outlineLvl w:val="9"/>
        <w:rPr>
          <w:rFonts w:eastAsia="楷体_GB2312" w:cs="楷体_GB2312"/>
          <w:b/>
          <w:sz w:val="32"/>
          <w:szCs w:val="32"/>
        </w:rPr>
      </w:pPr>
      <w:bookmarkStart w:id="60" w:name="_Toc15377222"/>
      <w:r>
        <w:rPr>
          <w:rFonts w:hint="eastAsia" w:eastAsia="楷体_GB2312" w:cs="楷体_GB2312"/>
          <w:b/>
          <w:sz w:val="32"/>
          <w:szCs w:val="32"/>
        </w:rPr>
        <w:t>（一）机关运行经费支出情况</w:t>
      </w:r>
      <w:bookmarkEnd w:id="60"/>
    </w:p>
    <w:p w14:paraId="7B010C1B">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ascii="仿宋" w:hAnsi="仿宋" w:eastAsia="仿宋" w:cs="仿宋"/>
          <w:spacing w:val="11"/>
          <w:sz w:val="31"/>
          <w:szCs w:val="31"/>
        </w:rPr>
        <w:t>阿坝州若尔盖生态环境局</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196.92</w:t>
      </w:r>
      <w:r>
        <w:rPr>
          <w:rFonts w:hint="eastAsia" w:ascii="仿宋_GB2312" w:hAnsi="仿宋_GB2312" w:eastAsia="仿宋_GB2312" w:cs="仿宋_GB2312"/>
          <w:sz w:val="32"/>
          <w:szCs w:val="32"/>
        </w:rPr>
        <w:t>万</w:t>
      </w:r>
      <w:r>
        <w:rPr>
          <w:rFonts w:hint="eastAsia" w:eastAsia="仿宋_GB2312" w:cs="仿宋_GB2312"/>
          <w:sz w:val="32"/>
          <w:szCs w:val="32"/>
        </w:rPr>
        <w:t>元，比2023年度增加</w:t>
      </w:r>
      <w:r>
        <w:rPr>
          <w:rFonts w:hint="eastAsia" w:eastAsia="仿宋_GB2312" w:cs="仿宋_GB2312"/>
          <w:sz w:val="32"/>
          <w:szCs w:val="32"/>
          <w:lang w:val="en-US" w:eastAsia="zh-CN"/>
        </w:rPr>
        <w:t>155.69</w:t>
      </w:r>
      <w:r>
        <w:rPr>
          <w:rFonts w:hint="eastAsia" w:eastAsia="仿宋_GB2312" w:cs="仿宋_GB2312"/>
          <w:sz w:val="32"/>
          <w:szCs w:val="32"/>
        </w:rPr>
        <w:t>万元，增长</w:t>
      </w:r>
      <w:r>
        <w:rPr>
          <w:rFonts w:hint="eastAsia" w:eastAsia="仿宋_GB2312" w:cs="仿宋_GB2312"/>
          <w:sz w:val="32"/>
          <w:szCs w:val="32"/>
          <w:lang w:val="en-US" w:eastAsia="zh-CN"/>
        </w:rPr>
        <w:t>377.6</w:t>
      </w:r>
      <w:r>
        <w:rPr>
          <w:rFonts w:hint="eastAsia" w:eastAsia="仿宋_GB2312" w:cs="仿宋_GB2312"/>
          <w:sz w:val="32"/>
          <w:szCs w:val="32"/>
        </w:rPr>
        <w:t>%。主要原因是</w:t>
      </w:r>
      <w:r>
        <w:rPr>
          <w:rFonts w:hint="eastAsia" w:eastAsia="仿宋_GB2312" w:cs="仿宋_GB2312"/>
          <w:sz w:val="32"/>
          <w:szCs w:val="32"/>
          <w:lang w:val="en-US" w:eastAsia="zh-CN"/>
        </w:rPr>
        <w:t>人员工资等变动。</w:t>
      </w:r>
    </w:p>
    <w:p w14:paraId="55FA91AE">
      <w:pPr>
        <w:spacing w:line="600" w:lineRule="exact"/>
        <w:ind w:firstLine="643" w:firstLineChars="200"/>
        <w:outlineLvl w:val="9"/>
        <w:rPr>
          <w:rFonts w:eastAsia="楷体_GB2312" w:cs="楷体_GB2312"/>
          <w:b/>
          <w:sz w:val="32"/>
          <w:szCs w:val="32"/>
        </w:rPr>
      </w:pPr>
      <w:bookmarkStart w:id="61" w:name="_Toc15377223"/>
      <w:r>
        <w:rPr>
          <w:rFonts w:hint="eastAsia" w:eastAsia="楷体_GB2312" w:cs="楷体_GB2312"/>
          <w:b/>
          <w:sz w:val="32"/>
          <w:szCs w:val="32"/>
        </w:rPr>
        <w:t>（二）政府采购支出情况</w:t>
      </w:r>
      <w:bookmarkEnd w:id="61"/>
    </w:p>
    <w:p w14:paraId="64232170">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ascii="仿宋" w:hAnsi="仿宋" w:eastAsia="仿宋" w:cs="仿宋"/>
          <w:spacing w:val="11"/>
          <w:sz w:val="31"/>
          <w:szCs w:val="31"/>
        </w:rPr>
        <w:t>阿坝州若尔盖生态环境局</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175.39</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76.08</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99.31</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45302635">
      <w:pPr>
        <w:spacing w:line="600" w:lineRule="exact"/>
        <w:ind w:firstLine="643" w:firstLineChars="200"/>
        <w:outlineLvl w:val="9"/>
        <w:rPr>
          <w:rFonts w:eastAsia="楷体_GB2312" w:cs="楷体_GB2312"/>
          <w:b/>
          <w:sz w:val="32"/>
          <w:szCs w:val="32"/>
        </w:rPr>
      </w:pPr>
      <w:bookmarkStart w:id="62" w:name="_Toc15377224"/>
      <w:r>
        <w:rPr>
          <w:rFonts w:hint="eastAsia" w:eastAsia="楷体_GB2312" w:cs="楷体_GB2312"/>
          <w:b/>
          <w:sz w:val="32"/>
          <w:szCs w:val="32"/>
        </w:rPr>
        <w:t>（三）国有资产占有使用情况</w:t>
      </w:r>
      <w:bookmarkEnd w:id="62"/>
    </w:p>
    <w:p w14:paraId="1C776524">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ascii="仿宋" w:hAnsi="仿宋" w:eastAsia="仿宋" w:cs="仿宋"/>
          <w:spacing w:val="11"/>
          <w:sz w:val="31"/>
          <w:szCs w:val="31"/>
        </w:rPr>
        <w:t>阿坝州若尔盖生态环境局</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辆，其他用车主要是用于</w:t>
      </w:r>
      <w:r>
        <w:rPr>
          <w:rFonts w:hint="eastAsia" w:ascii="仿宋_GB2312" w:hAnsi="仿宋_GB2312" w:eastAsia="仿宋_GB2312" w:cs="仿宋_GB2312"/>
          <w:sz w:val="32"/>
          <w:szCs w:val="32"/>
          <w:lang w:val="en-US" w:eastAsia="zh-CN"/>
        </w:rPr>
        <w:t>执法</w:t>
      </w:r>
      <w:r>
        <w:rPr>
          <w:rFonts w:hint="eastAsia" w:ascii="仿宋_GB2312" w:hAnsi="仿宋_GB2312" w:eastAsia="仿宋_GB2312" w:cs="仿宋_GB2312"/>
          <w:sz w:val="32"/>
          <w:szCs w:val="32"/>
        </w:rPr>
        <w:t>。单价100万元（含）以上设备（不含车辆）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43666F02">
      <w:pPr>
        <w:spacing w:line="600" w:lineRule="exact"/>
        <w:ind w:firstLine="643" w:firstLineChars="200"/>
        <w:outlineLvl w:val="9"/>
        <w:rPr>
          <w:rFonts w:eastAsia="楷体_GB2312" w:cs="楷体_GB2312"/>
          <w:b/>
          <w:sz w:val="32"/>
          <w:szCs w:val="32"/>
        </w:rPr>
      </w:pPr>
      <w:r>
        <w:rPr>
          <w:rFonts w:hint="eastAsia" w:eastAsia="楷体_GB2312" w:cs="楷体_GB2312"/>
          <w:b/>
          <w:sz w:val="32"/>
          <w:szCs w:val="32"/>
        </w:rPr>
        <w:t>（四）预算绩效管理情况</w:t>
      </w:r>
    </w:p>
    <w:p w14:paraId="4818AB03">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ascii="仿宋" w:hAnsi="仿宋" w:eastAsia="仿宋" w:cs="仿宋"/>
          <w:spacing w:val="11"/>
          <w:sz w:val="31"/>
          <w:szCs w:val="31"/>
        </w:rPr>
        <w:t>阿坝州若尔盖生态环境局</w:t>
      </w:r>
      <w:r>
        <w:rPr>
          <w:rFonts w:hint="eastAsia" w:eastAsia="仿宋_GB2312" w:cs="仿宋_GB2312"/>
          <w:sz w:val="32"/>
          <w:szCs w:val="32"/>
        </w:rPr>
        <w:t>在2024年度预算编制阶段，组织对农村环境质量试点监测项目</w:t>
      </w:r>
      <w:r>
        <w:rPr>
          <w:rFonts w:hint="eastAsia" w:eastAsia="仿宋_GB2312" w:cs="仿宋_GB2312"/>
          <w:sz w:val="32"/>
          <w:szCs w:val="32"/>
          <w:lang w:eastAsia="zh-CN"/>
        </w:rPr>
        <w:t>、县域生态质量考核监测项目</w:t>
      </w:r>
      <w:r>
        <w:rPr>
          <w:rFonts w:hint="eastAsia" w:eastAsia="仿宋_GB2312" w:cs="仿宋_GB2312"/>
          <w:sz w:val="32"/>
          <w:szCs w:val="32"/>
        </w:rPr>
        <w:t>等</w:t>
      </w:r>
      <w:r>
        <w:rPr>
          <w:rFonts w:hint="eastAsia" w:eastAsia="仿宋_GB2312" w:cs="仿宋_GB2312"/>
          <w:sz w:val="32"/>
          <w:szCs w:val="32"/>
          <w:lang w:val="en-US" w:eastAsia="zh-CN"/>
        </w:rPr>
        <w:t>16</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16</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16</w:t>
      </w:r>
      <w:r>
        <w:rPr>
          <w:rFonts w:hint="eastAsia" w:eastAsia="仿宋_GB2312" w:cs="仿宋_GB2312"/>
          <w:sz w:val="32"/>
          <w:szCs w:val="32"/>
        </w:rPr>
        <w:t>个项目开展绩效监控</w:t>
      </w:r>
      <w:r>
        <w:rPr>
          <w:rFonts w:hint="eastAsia" w:eastAsia="仿宋_GB2312" w:cs="仿宋_GB2312"/>
          <w:sz w:val="32"/>
          <w:szCs w:val="32"/>
          <w:lang w:eastAsia="zh-CN"/>
        </w:rPr>
        <w:t>，绩效自评表详见第四部分附件</w:t>
      </w:r>
      <w:r>
        <w:rPr>
          <w:rFonts w:hint="eastAsia" w:eastAsia="仿宋_GB2312" w:cs="仿宋_GB2312"/>
          <w:sz w:val="32"/>
          <w:szCs w:val="32"/>
        </w:rPr>
        <w:t>。</w:t>
      </w:r>
    </w:p>
    <w:p w14:paraId="4D9F259B">
      <w:pPr>
        <w:spacing w:line="600" w:lineRule="exact"/>
        <w:ind w:firstLine="640"/>
        <w:rPr>
          <w:rFonts w:eastAsia="仿宋_GB2312" w:cs="仿宋_GB2312"/>
          <w:sz w:val="32"/>
          <w:szCs w:val="32"/>
        </w:rPr>
      </w:pPr>
    </w:p>
    <w:p w14:paraId="6F45BA35">
      <w:pPr>
        <w:spacing w:line="600" w:lineRule="exact"/>
        <w:jc w:val="center"/>
        <w:outlineLvl w:val="0"/>
        <w:rPr>
          <w:rFonts w:eastAsia="黑体"/>
          <w:sz w:val="44"/>
          <w:szCs w:val="44"/>
        </w:rPr>
      </w:pPr>
      <w:bookmarkStart w:id="63" w:name="_Toc15396613"/>
      <w:bookmarkStart w:id="64" w:name="_Toc2473"/>
      <w:bookmarkStart w:id="65" w:name="_Toc15377225"/>
      <w:r>
        <w:rPr>
          <w:rFonts w:hint="eastAsia" w:eastAsia="黑体"/>
          <w:sz w:val="44"/>
          <w:szCs w:val="44"/>
        </w:rPr>
        <w:t>第三部分名词解释</w:t>
      </w:r>
      <w:bookmarkEnd w:id="63"/>
      <w:bookmarkEnd w:id="64"/>
      <w:bookmarkEnd w:id="65"/>
    </w:p>
    <w:p w14:paraId="46850336">
      <w:pPr>
        <w:spacing w:line="600" w:lineRule="exact"/>
        <w:jc w:val="left"/>
        <w:rPr>
          <w:b/>
          <w:sz w:val="44"/>
          <w:szCs w:val="44"/>
        </w:rPr>
      </w:pPr>
    </w:p>
    <w:p w14:paraId="67BFE65D">
      <w:pPr>
        <w:spacing w:before="101" w:line="221" w:lineRule="auto"/>
        <w:ind w:left="850"/>
        <w:outlineLvl w:val="9"/>
        <w:rPr>
          <w:rFonts w:ascii="仿宋" w:hAnsi="仿宋" w:eastAsia="仿宋" w:cs="仿宋"/>
          <w:sz w:val="31"/>
          <w:szCs w:val="31"/>
        </w:rPr>
      </w:pPr>
      <w:r>
        <w:rPr>
          <w:rFonts w:ascii="宋体" w:hAnsi="宋体" w:eastAsia="宋体" w:cs="宋体"/>
          <w:spacing w:val="7"/>
          <w:sz w:val="31"/>
          <w:szCs w:val="31"/>
        </w:rPr>
        <w:t>1.</w:t>
      </w:r>
      <w:r>
        <w:rPr>
          <w:rFonts w:ascii="仿宋" w:hAnsi="仿宋" w:eastAsia="仿宋" w:cs="仿宋"/>
          <w:spacing w:val="7"/>
          <w:sz w:val="31"/>
          <w:szCs w:val="31"/>
        </w:rPr>
        <w:t>财政拨款收入：指单位从同级财政单位取得的财政预算资金。</w:t>
      </w:r>
    </w:p>
    <w:p w14:paraId="57B20F63">
      <w:pPr>
        <w:spacing w:before="159" w:line="280" w:lineRule="auto"/>
        <w:ind w:left="199" w:right="208" w:firstLine="650"/>
        <w:rPr>
          <w:rFonts w:ascii="仿宋" w:hAnsi="仿宋" w:eastAsia="仿宋" w:cs="仿宋"/>
          <w:sz w:val="31"/>
          <w:szCs w:val="31"/>
        </w:rPr>
      </w:pPr>
      <w:r>
        <w:rPr>
          <w:rFonts w:ascii="宋体" w:hAnsi="宋体" w:eastAsia="宋体" w:cs="宋体"/>
          <w:spacing w:val="36"/>
          <w:sz w:val="31"/>
          <w:szCs w:val="31"/>
        </w:rPr>
        <w:t>2.</w:t>
      </w:r>
      <w:r>
        <w:rPr>
          <w:rFonts w:ascii="仿宋" w:hAnsi="仿宋" w:eastAsia="仿宋" w:cs="仿宋"/>
          <w:spacing w:val="36"/>
          <w:sz w:val="31"/>
          <w:szCs w:val="31"/>
        </w:rPr>
        <w:t>社会保障和就业支出(类)行政事业单位养老支出(款)机关事业</w:t>
      </w:r>
      <w:r>
        <w:rPr>
          <w:rFonts w:ascii="仿宋" w:hAnsi="仿宋" w:eastAsia="仿宋" w:cs="仿宋"/>
          <w:spacing w:val="21"/>
          <w:sz w:val="31"/>
          <w:szCs w:val="31"/>
        </w:rPr>
        <w:t>单位基本养老保险缴费支出(项):指反映机关事业单位实施养老保险制度</w:t>
      </w:r>
      <w:r>
        <w:rPr>
          <w:rFonts w:ascii="仿宋" w:hAnsi="仿宋" w:eastAsia="仿宋" w:cs="仿宋"/>
          <w:spacing w:val="4"/>
          <w:sz w:val="31"/>
          <w:szCs w:val="31"/>
        </w:rPr>
        <w:t>由单位缴纳的基本养老保险费支出。</w:t>
      </w:r>
    </w:p>
    <w:p w14:paraId="0C5955A1">
      <w:pPr>
        <w:spacing w:before="147" w:line="285" w:lineRule="auto"/>
        <w:ind w:left="199" w:right="214" w:firstLine="650"/>
        <w:rPr>
          <w:rFonts w:ascii="仿宋" w:hAnsi="仿宋" w:eastAsia="仿宋" w:cs="仿宋"/>
          <w:sz w:val="31"/>
          <w:szCs w:val="31"/>
        </w:rPr>
      </w:pPr>
      <w:r>
        <w:rPr>
          <w:rFonts w:ascii="宋体" w:hAnsi="宋体" w:eastAsia="宋体" w:cs="宋体"/>
          <w:spacing w:val="36"/>
          <w:sz w:val="31"/>
          <w:szCs w:val="31"/>
        </w:rPr>
        <w:t>3.</w:t>
      </w:r>
      <w:r>
        <w:rPr>
          <w:rFonts w:ascii="仿宋" w:hAnsi="仿宋" w:eastAsia="仿宋" w:cs="仿宋"/>
          <w:spacing w:val="36"/>
          <w:sz w:val="31"/>
          <w:szCs w:val="31"/>
        </w:rPr>
        <w:t>社会保障和就业支出(类)行政事业单位养老支出(款)机关事业</w:t>
      </w:r>
      <w:r>
        <w:rPr>
          <w:rFonts w:ascii="仿宋" w:hAnsi="仿宋" w:eastAsia="仿宋" w:cs="仿宋"/>
          <w:spacing w:val="21"/>
          <w:sz w:val="31"/>
          <w:szCs w:val="31"/>
        </w:rPr>
        <w:t>单位职业年金缴费支出(项):指反映机关事业单位实施养老保险制度由单</w:t>
      </w:r>
      <w:r>
        <w:rPr>
          <w:rFonts w:ascii="仿宋" w:hAnsi="仿宋" w:eastAsia="仿宋" w:cs="仿宋"/>
          <w:spacing w:val="4"/>
          <w:sz w:val="31"/>
          <w:szCs w:val="31"/>
        </w:rPr>
        <w:t>位实际缴纳的职业年金支出。</w:t>
      </w:r>
    </w:p>
    <w:p w14:paraId="6F20A3C0">
      <w:pPr>
        <w:spacing w:before="144" w:line="284" w:lineRule="auto"/>
        <w:ind w:left="199" w:right="192" w:firstLine="650"/>
        <w:rPr>
          <w:rFonts w:ascii="仿宋" w:hAnsi="仿宋" w:eastAsia="仿宋" w:cs="仿宋"/>
          <w:sz w:val="31"/>
          <w:szCs w:val="31"/>
        </w:rPr>
      </w:pPr>
      <w:r>
        <w:rPr>
          <w:rFonts w:ascii="宋体" w:hAnsi="宋体" w:eastAsia="宋体" w:cs="宋体"/>
          <w:spacing w:val="41"/>
          <w:sz w:val="31"/>
          <w:szCs w:val="31"/>
        </w:rPr>
        <w:t>4.</w:t>
      </w:r>
      <w:r>
        <w:rPr>
          <w:rFonts w:ascii="仿宋" w:hAnsi="仿宋" w:eastAsia="仿宋" w:cs="仿宋"/>
          <w:spacing w:val="41"/>
          <w:sz w:val="31"/>
          <w:szCs w:val="31"/>
        </w:rPr>
        <w:t>卫生健康支出(类)行政事业单位医疗(款</w:t>
      </w:r>
      <w:r>
        <w:rPr>
          <w:rFonts w:ascii="仿宋" w:hAnsi="仿宋" w:eastAsia="仿宋" w:cs="仿宋"/>
          <w:spacing w:val="40"/>
          <w:sz w:val="31"/>
          <w:szCs w:val="31"/>
        </w:rPr>
        <w:t>)事业单位医疗(项):</w:t>
      </w:r>
      <w:r>
        <w:rPr>
          <w:rFonts w:ascii="仿宋" w:hAnsi="仿宋" w:eastAsia="仿宋" w:cs="仿宋"/>
          <w:spacing w:val="17"/>
          <w:sz w:val="31"/>
          <w:szCs w:val="31"/>
        </w:rPr>
        <w:t>指反映财政部门安排的事业单位基本医疗保险缴费经费，未参加医疗保险</w:t>
      </w:r>
      <w:r>
        <w:rPr>
          <w:rFonts w:ascii="仿宋" w:hAnsi="仿宋" w:eastAsia="仿宋" w:cs="仿宋"/>
          <w:spacing w:val="7"/>
          <w:sz w:val="31"/>
          <w:szCs w:val="31"/>
        </w:rPr>
        <w:t>的事业单位的公费医疗经费，按国家规定享受离休人员待遇的医疗经费。</w:t>
      </w:r>
    </w:p>
    <w:p w14:paraId="4F8440B7">
      <w:pPr>
        <w:spacing w:before="163" w:line="298" w:lineRule="auto"/>
        <w:ind w:left="199" w:right="183" w:firstLine="650"/>
        <w:rPr>
          <w:rFonts w:ascii="仿宋" w:hAnsi="仿宋" w:eastAsia="仿宋" w:cs="仿宋"/>
          <w:sz w:val="25"/>
          <w:szCs w:val="25"/>
        </w:rPr>
      </w:pPr>
      <w:r>
        <w:rPr>
          <w:rFonts w:ascii="宋体" w:hAnsi="宋体" w:eastAsia="宋体" w:cs="宋体"/>
          <w:spacing w:val="37"/>
          <w:sz w:val="31"/>
          <w:szCs w:val="31"/>
        </w:rPr>
        <w:t>5.</w:t>
      </w:r>
      <w:r>
        <w:rPr>
          <w:rFonts w:ascii="仿宋" w:hAnsi="仿宋" w:eastAsia="仿宋" w:cs="仿宋"/>
          <w:spacing w:val="37"/>
          <w:sz w:val="31"/>
          <w:szCs w:val="31"/>
        </w:rPr>
        <w:t>卫生健康支出(类)行政事业单位医疗(款)其他行政事业单位医</w:t>
      </w:r>
      <w:r>
        <w:rPr>
          <w:rFonts w:ascii="仿宋" w:hAnsi="仿宋" w:eastAsia="仿宋" w:cs="仿宋"/>
          <w:spacing w:val="21"/>
          <w:sz w:val="31"/>
          <w:szCs w:val="31"/>
        </w:rPr>
        <w:t>疗支出(项):指反映除上述项目以外的其他用于行政事业单位医疗方面的</w:t>
      </w:r>
      <w:r>
        <w:rPr>
          <w:rFonts w:ascii="仿宋" w:hAnsi="仿宋" w:eastAsia="仿宋" w:cs="仿宋"/>
          <w:spacing w:val="-20"/>
          <w:sz w:val="25"/>
          <w:szCs w:val="25"/>
        </w:rPr>
        <w:t>支出。</w:t>
      </w:r>
    </w:p>
    <w:p w14:paraId="59372321">
      <w:pPr>
        <w:spacing w:before="176" w:line="265" w:lineRule="auto"/>
        <w:ind w:left="199" w:right="216" w:firstLine="650"/>
        <w:rPr>
          <w:rFonts w:ascii="仿宋" w:hAnsi="仿宋" w:eastAsia="仿宋" w:cs="仿宋"/>
          <w:spacing w:val="7"/>
          <w:sz w:val="31"/>
          <w:szCs w:val="31"/>
        </w:rPr>
      </w:pPr>
      <w:r>
        <w:rPr>
          <w:rFonts w:ascii="宋体" w:hAnsi="宋体" w:eastAsia="宋体" w:cs="宋体"/>
          <w:spacing w:val="40"/>
          <w:sz w:val="31"/>
          <w:szCs w:val="31"/>
        </w:rPr>
        <w:t>6.</w:t>
      </w:r>
      <w:r>
        <w:rPr>
          <w:rFonts w:ascii="仿宋" w:hAnsi="仿宋" w:eastAsia="仿宋" w:cs="仿宋"/>
          <w:spacing w:val="40"/>
          <w:sz w:val="31"/>
          <w:szCs w:val="31"/>
        </w:rPr>
        <w:t>节能环保支出(类)环境保护管理事务(款)行政运行(项):反映</w:t>
      </w:r>
      <w:r>
        <w:rPr>
          <w:rFonts w:ascii="仿宋" w:hAnsi="仿宋" w:eastAsia="仿宋" w:cs="仿宋"/>
          <w:spacing w:val="7"/>
          <w:sz w:val="31"/>
          <w:szCs w:val="31"/>
        </w:rPr>
        <w:t>行政单位(包括实行公务员管理的事业单位)的基本支出。</w:t>
      </w:r>
    </w:p>
    <w:p w14:paraId="0D55FFB6">
      <w:pPr>
        <w:spacing w:before="109" w:line="281" w:lineRule="auto"/>
        <w:ind w:right="160"/>
        <w:rPr>
          <w:rFonts w:ascii="仿宋" w:hAnsi="仿宋" w:eastAsia="仿宋" w:cs="仿宋"/>
          <w:sz w:val="31"/>
          <w:szCs w:val="31"/>
        </w:rPr>
      </w:pPr>
      <w:r>
        <w:rPr>
          <w:rFonts w:ascii="宋体" w:hAnsi="宋体" w:eastAsia="宋体" w:cs="宋体"/>
          <w:spacing w:val="44"/>
          <w:sz w:val="31"/>
          <w:szCs w:val="31"/>
        </w:rPr>
        <w:t>7.</w:t>
      </w:r>
      <w:r>
        <w:rPr>
          <w:rFonts w:ascii="仿宋" w:hAnsi="仿宋" w:eastAsia="仿宋" w:cs="仿宋"/>
          <w:spacing w:val="44"/>
          <w:sz w:val="31"/>
          <w:szCs w:val="31"/>
        </w:rPr>
        <w:t>节能环保支出(类)环境保护管理事务(款)一般行政管理事务</w:t>
      </w:r>
      <w:r>
        <w:rPr>
          <w:rFonts w:ascii="仿宋" w:hAnsi="仿宋" w:eastAsia="仿宋" w:cs="仿宋"/>
          <w:spacing w:val="32"/>
          <w:sz w:val="31"/>
          <w:szCs w:val="31"/>
        </w:rPr>
        <w:t>(项):反映行政单位(包括实行公务员管理的事业单</w:t>
      </w:r>
      <w:r>
        <w:rPr>
          <w:rFonts w:ascii="仿宋" w:hAnsi="仿宋" w:eastAsia="仿宋" w:cs="仿宋"/>
          <w:spacing w:val="31"/>
          <w:sz w:val="31"/>
          <w:szCs w:val="31"/>
        </w:rPr>
        <w:t>位)未单独设置项级</w:t>
      </w:r>
      <w:r>
        <w:rPr>
          <w:rFonts w:ascii="仿宋" w:hAnsi="仿宋" w:eastAsia="仿宋" w:cs="仿宋"/>
          <w:spacing w:val="2"/>
          <w:sz w:val="31"/>
          <w:szCs w:val="31"/>
        </w:rPr>
        <w:t>科目的其他项目支出。</w:t>
      </w:r>
    </w:p>
    <w:p w14:paraId="4E440485">
      <w:pPr>
        <w:spacing w:before="147" w:line="268" w:lineRule="auto"/>
        <w:ind w:left="340" w:right="164" w:firstLine="509"/>
        <w:rPr>
          <w:rFonts w:ascii="仿宋" w:hAnsi="仿宋" w:eastAsia="仿宋" w:cs="仿宋"/>
          <w:sz w:val="31"/>
          <w:szCs w:val="31"/>
        </w:rPr>
      </w:pPr>
      <w:r>
        <w:rPr>
          <w:rFonts w:ascii="宋体" w:hAnsi="宋体" w:eastAsia="宋体" w:cs="宋体"/>
          <w:spacing w:val="38"/>
          <w:sz w:val="31"/>
          <w:szCs w:val="31"/>
        </w:rPr>
        <w:t>8.</w:t>
      </w:r>
      <w:r>
        <w:rPr>
          <w:rFonts w:ascii="仿宋" w:hAnsi="仿宋" w:eastAsia="仿宋" w:cs="仿宋"/>
          <w:spacing w:val="38"/>
          <w:sz w:val="31"/>
          <w:szCs w:val="31"/>
        </w:rPr>
        <w:t>节能环保支出(类)环境保护管理事务(款</w:t>
      </w:r>
      <w:r>
        <w:rPr>
          <w:rFonts w:ascii="仿宋" w:hAnsi="仿宋" w:eastAsia="仿宋" w:cs="仿宋"/>
          <w:spacing w:val="37"/>
          <w:sz w:val="31"/>
          <w:szCs w:val="31"/>
        </w:rPr>
        <w:t>)生态环境保护宣传务</w:t>
      </w:r>
      <w:r>
        <w:rPr>
          <w:rFonts w:ascii="仿宋" w:hAnsi="仿宋" w:eastAsia="仿宋" w:cs="仿宋"/>
          <w:spacing w:val="20"/>
          <w:sz w:val="31"/>
          <w:szCs w:val="31"/>
        </w:rPr>
        <w:t>(项):反映生态环境部门环境保护宣传教育方面的支出。</w:t>
      </w:r>
    </w:p>
    <w:p w14:paraId="57175455">
      <w:pPr>
        <w:spacing w:before="171" w:line="280" w:lineRule="auto"/>
        <w:ind w:left="199" w:right="157" w:firstLine="650"/>
        <w:rPr>
          <w:rFonts w:ascii="仿宋" w:hAnsi="仿宋" w:eastAsia="仿宋" w:cs="仿宋"/>
          <w:sz w:val="31"/>
          <w:szCs w:val="31"/>
        </w:rPr>
      </w:pPr>
      <w:r>
        <w:rPr>
          <w:rFonts w:ascii="宋体" w:hAnsi="宋体" w:eastAsia="宋体" w:cs="宋体"/>
          <w:spacing w:val="38"/>
          <w:sz w:val="31"/>
          <w:szCs w:val="31"/>
        </w:rPr>
        <w:t>9.</w:t>
      </w:r>
      <w:r>
        <w:rPr>
          <w:rFonts w:ascii="仿宋" w:hAnsi="仿宋" w:eastAsia="仿宋" w:cs="仿宋"/>
          <w:spacing w:val="38"/>
          <w:sz w:val="31"/>
          <w:szCs w:val="31"/>
        </w:rPr>
        <w:t>节能环保支出(类)环境保护管理事务(款)其他环境保护</w:t>
      </w:r>
      <w:r>
        <w:rPr>
          <w:rFonts w:ascii="仿宋" w:hAnsi="仿宋" w:eastAsia="仿宋" w:cs="仿宋"/>
          <w:spacing w:val="37"/>
          <w:sz w:val="31"/>
          <w:szCs w:val="31"/>
        </w:rPr>
        <w:t>管理事</w:t>
      </w:r>
      <w:r>
        <w:rPr>
          <w:rFonts w:ascii="仿宋" w:hAnsi="仿宋" w:eastAsia="仿宋" w:cs="仿宋"/>
          <w:spacing w:val="32"/>
          <w:sz w:val="31"/>
          <w:szCs w:val="31"/>
        </w:rPr>
        <w:t>务支出(项):反映除上述项目以外其他用于环境保护管理事务方面的支</w:t>
      </w:r>
      <w:r>
        <w:rPr>
          <w:rFonts w:ascii="仿宋" w:hAnsi="仿宋" w:eastAsia="仿宋" w:cs="仿宋"/>
          <w:spacing w:val="-24"/>
          <w:sz w:val="31"/>
          <w:szCs w:val="31"/>
        </w:rPr>
        <w:t>出。</w:t>
      </w:r>
    </w:p>
    <w:p w14:paraId="6F295CA8">
      <w:pPr>
        <w:spacing w:before="148" w:line="288" w:lineRule="auto"/>
        <w:ind w:left="199" w:right="178" w:firstLine="650"/>
        <w:rPr>
          <w:rFonts w:ascii="仿宋" w:hAnsi="仿宋" w:eastAsia="仿宋" w:cs="仿宋"/>
          <w:sz w:val="31"/>
          <w:szCs w:val="31"/>
        </w:rPr>
      </w:pPr>
      <w:r>
        <w:rPr>
          <w:rFonts w:ascii="宋体" w:hAnsi="宋体" w:eastAsia="宋体" w:cs="宋体"/>
          <w:spacing w:val="46"/>
          <w:sz w:val="31"/>
          <w:szCs w:val="31"/>
        </w:rPr>
        <w:t>10.</w:t>
      </w:r>
      <w:r>
        <w:rPr>
          <w:rFonts w:ascii="仿宋" w:hAnsi="仿宋" w:eastAsia="仿宋" w:cs="仿宋"/>
          <w:spacing w:val="46"/>
          <w:sz w:val="31"/>
          <w:szCs w:val="31"/>
        </w:rPr>
        <w:t>节能环保支出(类)自然生态保护(款)生态保</w:t>
      </w:r>
      <w:r>
        <w:rPr>
          <w:rFonts w:ascii="仿宋" w:hAnsi="仿宋" w:eastAsia="仿宋" w:cs="仿宋"/>
          <w:spacing w:val="45"/>
          <w:sz w:val="31"/>
          <w:szCs w:val="31"/>
        </w:rPr>
        <w:t>护(项):反映用</w:t>
      </w:r>
      <w:r>
        <w:rPr>
          <w:rFonts w:ascii="仿宋" w:hAnsi="仿宋" w:eastAsia="仿宋" w:cs="仿宋"/>
          <w:spacing w:val="27"/>
          <w:sz w:val="31"/>
          <w:szCs w:val="31"/>
        </w:rPr>
        <w:t>于生态功能区、生态示范区、生态省(市、县</w:t>
      </w:r>
      <w:r>
        <w:rPr>
          <w:rFonts w:ascii="仿宋" w:hAnsi="仿宋" w:eastAsia="仿宋" w:cs="仿宋"/>
          <w:spacing w:val="26"/>
          <w:sz w:val="31"/>
          <w:szCs w:val="31"/>
        </w:rPr>
        <w:t>)管理及能力建设、日常管</w:t>
      </w:r>
      <w:r>
        <w:rPr>
          <w:rFonts w:ascii="仿宋" w:hAnsi="仿宋" w:eastAsia="仿宋" w:cs="仿宋"/>
          <w:spacing w:val="17"/>
          <w:sz w:val="31"/>
          <w:szCs w:val="31"/>
        </w:rPr>
        <w:t>护、宣教、试点示范等支出，生态修复支出，资源</w:t>
      </w:r>
      <w:r>
        <w:rPr>
          <w:rFonts w:ascii="仿宋" w:hAnsi="仿宋" w:eastAsia="仿宋" w:cs="仿宋"/>
          <w:spacing w:val="16"/>
          <w:sz w:val="31"/>
          <w:szCs w:val="31"/>
        </w:rPr>
        <w:t>开发生态监管支出，生</w:t>
      </w:r>
      <w:r>
        <w:rPr>
          <w:rFonts w:ascii="仿宋" w:hAnsi="仿宋" w:eastAsia="仿宋" w:cs="仿宋"/>
          <w:spacing w:val="2"/>
          <w:sz w:val="31"/>
          <w:szCs w:val="31"/>
        </w:rPr>
        <w:t>态护林员的劳务报酬等支出。</w:t>
      </w:r>
    </w:p>
    <w:p w14:paraId="3A6FD36D">
      <w:pPr>
        <w:spacing w:before="165" w:line="268" w:lineRule="auto"/>
        <w:ind w:left="340" w:right="188" w:firstLine="509"/>
        <w:rPr>
          <w:rFonts w:ascii="仿宋" w:hAnsi="仿宋" w:eastAsia="仿宋" w:cs="仿宋"/>
          <w:sz w:val="31"/>
          <w:szCs w:val="31"/>
        </w:rPr>
      </w:pPr>
      <w:r>
        <w:rPr>
          <w:rFonts w:ascii="宋体" w:hAnsi="宋体" w:eastAsia="宋体" w:cs="宋体"/>
          <w:spacing w:val="42"/>
          <w:sz w:val="31"/>
          <w:szCs w:val="31"/>
        </w:rPr>
        <w:t>11.</w:t>
      </w:r>
      <w:r>
        <w:rPr>
          <w:rFonts w:ascii="仿宋" w:hAnsi="仿宋" w:eastAsia="仿宋" w:cs="仿宋"/>
          <w:spacing w:val="42"/>
          <w:sz w:val="31"/>
          <w:szCs w:val="31"/>
        </w:rPr>
        <w:t>节能环保支出(类)其他节能环保支出(款)其他节能</w:t>
      </w:r>
      <w:r>
        <w:rPr>
          <w:rFonts w:ascii="仿宋" w:hAnsi="仿宋" w:eastAsia="仿宋" w:cs="仿宋"/>
          <w:spacing w:val="41"/>
          <w:sz w:val="31"/>
          <w:szCs w:val="31"/>
        </w:rPr>
        <w:t>环保支出</w:t>
      </w:r>
      <w:r>
        <w:rPr>
          <w:rFonts w:ascii="仿宋" w:hAnsi="仿宋" w:eastAsia="仿宋" w:cs="仿宋"/>
          <w:spacing w:val="20"/>
          <w:sz w:val="31"/>
          <w:szCs w:val="31"/>
        </w:rPr>
        <w:t>(项):反映除上述项目以外其他用于节能环保方面的支</w:t>
      </w:r>
      <w:r>
        <w:rPr>
          <w:rFonts w:ascii="仿宋" w:hAnsi="仿宋" w:eastAsia="仿宋" w:cs="仿宋"/>
          <w:spacing w:val="19"/>
          <w:sz w:val="31"/>
          <w:szCs w:val="31"/>
        </w:rPr>
        <w:t>出。</w:t>
      </w:r>
    </w:p>
    <w:p w14:paraId="10291480">
      <w:pPr>
        <w:spacing w:before="167" w:line="281" w:lineRule="auto"/>
        <w:ind w:left="199" w:right="176" w:firstLine="650"/>
        <w:rPr>
          <w:rFonts w:ascii="仿宋" w:hAnsi="仿宋" w:eastAsia="仿宋" w:cs="仿宋"/>
          <w:sz w:val="31"/>
          <w:szCs w:val="31"/>
        </w:rPr>
      </w:pPr>
      <w:r>
        <w:rPr>
          <w:rFonts w:ascii="宋体" w:hAnsi="宋体" w:eastAsia="宋体" w:cs="宋体"/>
          <w:spacing w:val="45"/>
          <w:sz w:val="31"/>
          <w:szCs w:val="31"/>
        </w:rPr>
        <w:t>12.</w:t>
      </w:r>
      <w:r>
        <w:rPr>
          <w:rFonts w:ascii="仿宋" w:hAnsi="仿宋" w:eastAsia="仿宋" w:cs="仿宋"/>
          <w:spacing w:val="45"/>
          <w:sz w:val="31"/>
          <w:szCs w:val="31"/>
        </w:rPr>
        <w:t>住房保障支出(类)住房改革支出(款)住房公积金(项):指反</w:t>
      </w:r>
      <w:r>
        <w:rPr>
          <w:rFonts w:ascii="仿宋" w:hAnsi="仿宋" w:eastAsia="仿宋" w:cs="仿宋"/>
          <w:spacing w:val="18"/>
          <w:sz w:val="31"/>
          <w:szCs w:val="31"/>
        </w:rPr>
        <w:t>映行政事业单位按人力资源和社会保障部、财政</w:t>
      </w:r>
      <w:r>
        <w:rPr>
          <w:rFonts w:ascii="仿宋" w:hAnsi="仿宋" w:eastAsia="仿宋" w:cs="仿宋"/>
          <w:spacing w:val="17"/>
          <w:sz w:val="31"/>
          <w:szCs w:val="31"/>
        </w:rPr>
        <w:t>部规定的基本工资和津贴</w:t>
      </w:r>
      <w:r>
        <w:rPr>
          <w:rFonts w:ascii="仿宋" w:hAnsi="仿宋" w:eastAsia="仿宋" w:cs="仿宋"/>
          <w:spacing w:val="5"/>
          <w:sz w:val="31"/>
          <w:szCs w:val="31"/>
        </w:rPr>
        <w:t>补贴</w:t>
      </w:r>
      <w:r>
        <w:rPr>
          <w:rFonts w:hint="eastAsia" w:ascii="仿宋" w:hAnsi="仿宋" w:eastAsia="仿宋" w:cs="仿宋"/>
          <w:spacing w:val="5"/>
          <w:sz w:val="31"/>
          <w:szCs w:val="31"/>
          <w:lang w:eastAsia="zh-CN"/>
        </w:rPr>
        <w:t>，</w:t>
      </w:r>
      <w:r>
        <w:rPr>
          <w:rFonts w:ascii="仿宋" w:hAnsi="仿宋" w:eastAsia="仿宋" w:cs="仿宋"/>
          <w:spacing w:val="5"/>
          <w:sz w:val="31"/>
          <w:szCs w:val="31"/>
        </w:rPr>
        <w:t>以及规定比例为职工缴纳的住房公积金。</w:t>
      </w:r>
    </w:p>
    <w:p w14:paraId="11F5D3C3">
      <w:pPr>
        <w:spacing w:before="141" w:line="272" w:lineRule="auto"/>
        <w:ind w:left="199" w:right="164" w:firstLine="650"/>
        <w:rPr>
          <w:rFonts w:hint="eastAsia" w:ascii="仿宋" w:hAnsi="仿宋" w:eastAsia="仿宋" w:cs="仿宋"/>
          <w:spacing w:val="7"/>
          <w:sz w:val="31"/>
          <w:szCs w:val="31"/>
          <w:lang w:eastAsia="zh-CN"/>
        </w:rPr>
      </w:pPr>
      <w:r>
        <w:rPr>
          <w:rFonts w:ascii="宋体" w:hAnsi="宋体" w:eastAsia="宋体" w:cs="宋体"/>
          <w:spacing w:val="12"/>
          <w:sz w:val="31"/>
          <w:szCs w:val="31"/>
        </w:rPr>
        <w:t>13.</w:t>
      </w:r>
      <w:r>
        <w:rPr>
          <w:rFonts w:ascii="仿宋" w:hAnsi="仿宋" w:eastAsia="仿宋" w:cs="仿宋"/>
          <w:spacing w:val="12"/>
          <w:sz w:val="31"/>
          <w:szCs w:val="31"/>
        </w:rPr>
        <w:t>基本支出：指为保障机构正常运转、完成日常工作任务而发生的人</w:t>
      </w:r>
      <w:r>
        <w:rPr>
          <w:rFonts w:ascii="仿宋" w:hAnsi="仿宋" w:eastAsia="仿宋" w:cs="仿宋"/>
          <w:spacing w:val="-2"/>
          <w:sz w:val="31"/>
          <w:szCs w:val="31"/>
        </w:rPr>
        <w:t>员支出和公用支出。</w:t>
      </w:r>
    </w:p>
    <w:p w14:paraId="42A66C1A">
      <w:pPr>
        <w:spacing w:before="141" w:line="270" w:lineRule="auto"/>
        <w:ind w:left="199" w:right="164" w:firstLine="650"/>
        <w:rPr>
          <w:rFonts w:ascii="仿宋" w:hAnsi="仿宋" w:eastAsia="仿宋" w:cs="仿宋"/>
          <w:sz w:val="31"/>
          <w:szCs w:val="31"/>
        </w:rPr>
      </w:pPr>
      <w:r>
        <w:rPr>
          <w:rFonts w:ascii="宋体" w:hAnsi="宋体" w:eastAsia="宋体" w:cs="宋体"/>
          <w:spacing w:val="12"/>
          <w:sz w:val="31"/>
          <w:szCs w:val="31"/>
        </w:rPr>
        <w:t>14.</w:t>
      </w:r>
      <w:r>
        <w:rPr>
          <w:rFonts w:ascii="仿宋" w:hAnsi="仿宋" w:eastAsia="仿宋" w:cs="仿宋"/>
          <w:spacing w:val="12"/>
          <w:sz w:val="31"/>
          <w:szCs w:val="31"/>
        </w:rPr>
        <w:t>项目支出：指在基本支出之外为完成特定行政任务和事业发展目标</w:t>
      </w:r>
      <w:r>
        <w:rPr>
          <w:rFonts w:ascii="仿宋" w:hAnsi="仿宋" w:eastAsia="仿宋" w:cs="仿宋"/>
          <w:sz w:val="31"/>
          <w:szCs w:val="31"/>
        </w:rPr>
        <w:t>所发生的支出。</w:t>
      </w:r>
    </w:p>
    <w:p w14:paraId="48AFA1CC">
      <w:pPr>
        <w:spacing w:before="186" w:line="312" w:lineRule="auto"/>
        <w:ind w:left="199" w:right="244" w:firstLine="650"/>
        <w:rPr>
          <w:rFonts w:ascii="宋体" w:hAnsi="宋体" w:eastAsia="宋体" w:cs="宋体"/>
          <w:spacing w:val="-21"/>
          <w:sz w:val="31"/>
          <w:szCs w:val="31"/>
        </w:rPr>
      </w:pPr>
      <w:r>
        <w:rPr>
          <w:rFonts w:ascii="仿宋" w:hAnsi="仿宋" w:eastAsia="仿宋" w:cs="仿宋"/>
          <w:spacing w:val="14"/>
          <w:sz w:val="31"/>
          <w:szCs w:val="31"/>
        </w:rPr>
        <w:t>15.“三公”经费：指单位用财政拨款安排的因公出国(境)费、公务</w:t>
      </w:r>
      <w:r>
        <w:rPr>
          <w:rFonts w:ascii="仿宋" w:hAnsi="仿宋" w:eastAsia="仿宋" w:cs="仿宋"/>
          <w:spacing w:val="20"/>
          <w:sz w:val="31"/>
          <w:szCs w:val="31"/>
        </w:rPr>
        <w:t>用车购置及运行费和公务接待费。其中，因公</w:t>
      </w:r>
      <w:r>
        <w:rPr>
          <w:rFonts w:ascii="仿宋" w:hAnsi="仿宋" w:eastAsia="仿宋" w:cs="仿宋"/>
          <w:spacing w:val="19"/>
          <w:sz w:val="31"/>
          <w:szCs w:val="31"/>
        </w:rPr>
        <w:t>出国(境)费反映单位公务</w:t>
      </w:r>
      <w:r>
        <w:rPr>
          <w:rFonts w:ascii="仿宋" w:hAnsi="仿宋" w:eastAsia="仿宋" w:cs="仿宋"/>
          <w:spacing w:val="17"/>
          <w:sz w:val="31"/>
          <w:szCs w:val="31"/>
        </w:rPr>
        <w:t>出国(境)的国际旅费、国外城市间交通费、住宿费、伙食费、培训费、</w:t>
      </w:r>
      <w:r>
        <w:rPr>
          <w:rFonts w:ascii="仿宋" w:hAnsi="仿宋" w:eastAsia="仿宋" w:cs="仿宋"/>
          <w:spacing w:val="9"/>
          <w:sz w:val="31"/>
          <w:szCs w:val="31"/>
        </w:rPr>
        <w:t>公杂费等支出；公务用车购置及运行费反映单位公务用车车辆购置支出</w:t>
      </w:r>
      <w:r>
        <w:rPr>
          <w:rFonts w:ascii="仿宋" w:hAnsi="仿宋" w:eastAsia="仿宋" w:cs="仿宋"/>
          <w:spacing w:val="15"/>
          <w:sz w:val="31"/>
          <w:szCs w:val="31"/>
        </w:rPr>
        <w:t>(含车辆购置税)及租用费、燃料费、维修费、过路过桥费、保险费等支</w:t>
      </w:r>
      <w:r>
        <w:rPr>
          <w:rFonts w:ascii="仿宋" w:hAnsi="仿宋" w:eastAsia="仿宋" w:cs="仿宋"/>
          <w:spacing w:val="19"/>
          <w:sz w:val="31"/>
          <w:szCs w:val="31"/>
        </w:rPr>
        <w:t>出；公务接待费反映单位按规定开支的各类公务接待</w:t>
      </w:r>
      <w:r>
        <w:rPr>
          <w:rFonts w:ascii="仿宋" w:hAnsi="仿宋" w:eastAsia="仿宋" w:cs="仿宋"/>
          <w:spacing w:val="18"/>
          <w:sz w:val="31"/>
          <w:szCs w:val="31"/>
        </w:rPr>
        <w:t>(含外宾接待)支</w:t>
      </w:r>
      <w:r>
        <w:rPr>
          <w:rFonts w:ascii="宋体" w:hAnsi="宋体" w:eastAsia="宋体" w:cs="宋体"/>
          <w:spacing w:val="-21"/>
          <w:sz w:val="31"/>
          <w:szCs w:val="31"/>
        </w:rPr>
        <w:t>出。</w:t>
      </w:r>
    </w:p>
    <w:p w14:paraId="6F1626D7">
      <w:pPr>
        <w:spacing w:before="157" w:line="357" w:lineRule="auto"/>
        <w:ind w:left="219" w:right="414" w:firstLine="650"/>
        <w:rPr>
          <w:rFonts w:ascii="仿宋" w:hAnsi="仿宋" w:eastAsia="仿宋" w:cs="仿宋"/>
          <w:sz w:val="30"/>
          <w:szCs w:val="30"/>
        </w:rPr>
      </w:pPr>
      <w:r>
        <w:rPr>
          <w:rFonts w:ascii="宋体" w:hAnsi="宋体" w:eastAsia="宋体" w:cs="宋体"/>
          <w:spacing w:val="23"/>
          <w:sz w:val="30"/>
          <w:szCs w:val="30"/>
        </w:rPr>
        <w:t>16.</w:t>
      </w:r>
      <w:r>
        <w:rPr>
          <w:rFonts w:ascii="仿宋" w:hAnsi="仿宋" w:eastAsia="仿宋" w:cs="仿宋"/>
          <w:spacing w:val="23"/>
          <w:sz w:val="30"/>
          <w:szCs w:val="30"/>
        </w:rPr>
        <w:t>机关运行经费：为保障行政单位(含参照公务员法管理的事业单位)运行用于购买货物和服务的各项资金，包括办公及印</w:t>
      </w:r>
      <w:r>
        <w:rPr>
          <w:rFonts w:ascii="仿宋" w:hAnsi="仿宋" w:eastAsia="仿宋" w:cs="仿宋"/>
          <w:spacing w:val="22"/>
          <w:sz w:val="30"/>
          <w:szCs w:val="30"/>
        </w:rPr>
        <w:t>刷费、邮电费、</w:t>
      </w:r>
      <w:r>
        <w:rPr>
          <w:rFonts w:ascii="仿宋" w:hAnsi="仿宋" w:eastAsia="仿宋" w:cs="仿宋"/>
          <w:spacing w:val="20"/>
          <w:sz w:val="30"/>
          <w:szCs w:val="30"/>
        </w:rPr>
        <w:t>差旅费、会议费、福利费、日常维修费、专用</w:t>
      </w:r>
      <w:r>
        <w:rPr>
          <w:rFonts w:ascii="仿宋" w:hAnsi="仿宋" w:eastAsia="仿宋" w:cs="仿宋"/>
          <w:spacing w:val="19"/>
          <w:sz w:val="30"/>
          <w:szCs w:val="30"/>
        </w:rPr>
        <w:t>材料及一般设备购置费、办公用房水电费、办公用房取暖费、办公用房物业管理费、公务用车运行维</w:t>
      </w:r>
      <w:r>
        <w:rPr>
          <w:rFonts w:ascii="仿宋" w:hAnsi="仿宋" w:eastAsia="仿宋" w:cs="仿宋"/>
          <w:spacing w:val="8"/>
          <w:sz w:val="30"/>
          <w:szCs w:val="30"/>
        </w:rPr>
        <w:t>护费以及其他费用。</w:t>
      </w:r>
    </w:p>
    <w:p w14:paraId="66C561D8">
      <w:pPr>
        <w:spacing w:before="186" w:line="312" w:lineRule="auto"/>
        <w:ind w:left="199" w:right="244" w:firstLine="650"/>
        <w:rPr>
          <w:rFonts w:ascii="宋体" w:hAnsi="宋体" w:eastAsia="宋体" w:cs="宋体"/>
          <w:spacing w:val="-21"/>
          <w:sz w:val="31"/>
          <w:szCs w:val="31"/>
        </w:rPr>
      </w:pPr>
    </w:p>
    <w:p w14:paraId="63EACE4C">
      <w:pPr>
        <w:spacing w:line="223" w:lineRule="auto"/>
        <w:rPr>
          <w:rFonts w:ascii="宋体" w:hAnsi="宋体" w:eastAsia="宋体" w:cs="宋体"/>
          <w:sz w:val="31"/>
          <w:szCs w:val="31"/>
        </w:rPr>
      </w:pPr>
    </w:p>
    <w:p w14:paraId="66377258">
      <w:pPr>
        <w:spacing w:before="176" w:line="265" w:lineRule="auto"/>
        <w:ind w:left="199" w:right="216" w:firstLine="650"/>
        <w:rPr>
          <w:rFonts w:hint="eastAsia" w:ascii="仿宋" w:hAnsi="仿宋" w:eastAsia="仿宋" w:cs="仿宋"/>
          <w:spacing w:val="7"/>
          <w:sz w:val="31"/>
          <w:szCs w:val="31"/>
          <w:lang w:eastAsia="zh-CN"/>
        </w:rPr>
        <w:sectPr>
          <w:headerReference r:id="rId7" w:type="default"/>
          <w:footerReference r:id="rId8" w:type="default"/>
          <w:pgSz w:w="11910" w:h="16840"/>
          <w:pgMar w:top="525" w:right="534" w:bottom="469" w:left="499" w:header="279" w:footer="251" w:gutter="0"/>
          <w:pgNumType w:fmt="decimal"/>
          <w:cols w:space="720" w:num="1"/>
        </w:sectPr>
      </w:pPr>
    </w:p>
    <w:p w14:paraId="75CA2F04">
      <w:pPr>
        <w:spacing w:line="600" w:lineRule="exact"/>
        <w:jc w:val="both"/>
        <w:outlineLvl w:val="0"/>
        <w:rPr>
          <w:rStyle w:val="28"/>
          <w:rFonts w:eastAsia="黑体"/>
          <w:b w:val="0"/>
        </w:rPr>
      </w:pPr>
      <w:bookmarkStart w:id="66" w:name="_Toc17300"/>
      <w:bookmarkStart w:id="67" w:name="_Toc15396614"/>
      <w:bookmarkStart w:id="68" w:name="_Toc15377226"/>
      <w:r>
        <w:rPr>
          <w:rFonts w:hint="eastAsia" w:eastAsia="黑体"/>
          <w:sz w:val="44"/>
          <w:szCs w:val="44"/>
        </w:rPr>
        <w:t>第四部分附件</w:t>
      </w:r>
      <w:bookmarkEnd w:id="66"/>
      <w:bookmarkEnd w:id="67"/>
    </w:p>
    <w:p w14:paraId="3C371376">
      <w:pPr>
        <w:spacing w:line="572" w:lineRule="exact"/>
        <w:jc w:val="left"/>
        <w:outlineLvl w:val="9"/>
        <w:rPr>
          <w:rFonts w:eastAsia="黑体" w:cs="黑体"/>
          <w:color w:val="FF0000"/>
          <w:sz w:val="32"/>
          <w:szCs w:val="32"/>
        </w:rPr>
      </w:pPr>
    </w:p>
    <w:p w14:paraId="6F871047">
      <w:pPr>
        <w:spacing w:line="572" w:lineRule="exact"/>
        <w:jc w:val="left"/>
        <w:outlineLvl w:val="9"/>
        <w:rPr>
          <w:rFonts w:eastAsia="黑体" w:cs="方正小标宋简体"/>
          <w:sz w:val="44"/>
          <w:szCs w:val="44"/>
        </w:rPr>
      </w:pPr>
      <w:r>
        <w:rPr>
          <w:rFonts w:hint="eastAsia" w:eastAsia="黑体" w:cs="黑体"/>
          <w:sz w:val="32"/>
          <w:szCs w:val="32"/>
        </w:rPr>
        <w:t>附件1</w:t>
      </w:r>
    </w:p>
    <w:tbl>
      <w:tblPr>
        <w:tblStyle w:val="1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649"/>
        <w:gridCol w:w="856"/>
        <w:gridCol w:w="1629"/>
        <w:gridCol w:w="447"/>
        <w:gridCol w:w="533"/>
        <w:gridCol w:w="447"/>
        <w:gridCol w:w="882"/>
        <w:gridCol w:w="490"/>
        <w:gridCol w:w="403"/>
        <w:gridCol w:w="1454"/>
      </w:tblGrid>
      <w:tr w14:paraId="6BEF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7D180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399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81D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C4F0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51320022R000005203810-追加州级部门建房补贴</w:t>
            </w:r>
          </w:p>
        </w:tc>
      </w:tr>
      <w:tr w14:paraId="342F5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355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DFC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40CE00E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43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05FB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7D3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541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2DA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D544E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79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86428">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57DDD">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00BCBE">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8701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00E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4C58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B24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74D5E4">
            <w:pPr>
              <w:rPr>
                <w:rFonts w:hint="eastAsia" w:ascii="宋体" w:hAnsi="宋体" w:eastAsia="宋体" w:cs="宋体"/>
                <w:i w:val="0"/>
                <w:iCs w:val="0"/>
                <w:color w:val="000000"/>
                <w:sz w:val="18"/>
                <w:szCs w:val="18"/>
                <w:u w:val="none"/>
              </w:rPr>
            </w:pPr>
          </w:p>
        </w:tc>
      </w:tr>
      <w:tr w14:paraId="4105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8F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5C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F9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C1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CC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E5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EB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92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3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55F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EF24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DF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1F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78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7E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E9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A8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47F9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31E6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621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2A75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05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05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EF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38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D3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CD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93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9C216">
            <w:pPr>
              <w:rPr>
                <w:rFonts w:hint="eastAsia" w:ascii="黑体" w:hAnsi="黑体" w:eastAsia="黑体" w:cs="黑体"/>
                <w:i/>
                <w:iCs/>
                <w:color w:val="000000"/>
                <w:sz w:val="18"/>
                <w:szCs w:val="18"/>
                <w:u w:val="none"/>
              </w:rPr>
            </w:pPr>
          </w:p>
        </w:tc>
      </w:tr>
      <w:tr w14:paraId="73E3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5408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28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86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3C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91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2F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D8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BA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CAC3C">
            <w:pPr>
              <w:rPr>
                <w:rFonts w:hint="eastAsia" w:ascii="黑体" w:hAnsi="黑体" w:eastAsia="黑体" w:cs="黑体"/>
                <w:i/>
                <w:iCs/>
                <w:color w:val="000000"/>
                <w:sz w:val="18"/>
                <w:szCs w:val="18"/>
                <w:u w:val="none"/>
              </w:rPr>
            </w:pPr>
          </w:p>
        </w:tc>
      </w:tr>
      <w:tr w14:paraId="5FEC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103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13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D7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2B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19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33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A5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F4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A7D95">
            <w:pPr>
              <w:rPr>
                <w:rFonts w:hint="eastAsia" w:ascii="黑体" w:hAnsi="黑体" w:eastAsia="黑体" w:cs="黑体"/>
                <w:i/>
                <w:iCs/>
                <w:color w:val="000000"/>
                <w:sz w:val="18"/>
                <w:szCs w:val="18"/>
                <w:u w:val="none"/>
              </w:rPr>
            </w:pPr>
          </w:p>
        </w:tc>
      </w:tr>
      <w:tr w14:paraId="257F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CA2D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2F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D832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8D995">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DA9B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B8867">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72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9D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648F8">
            <w:pPr>
              <w:rPr>
                <w:rFonts w:hint="eastAsia" w:ascii="黑体" w:hAnsi="黑体" w:eastAsia="黑体" w:cs="黑体"/>
                <w:i/>
                <w:iCs/>
                <w:color w:val="000000"/>
                <w:sz w:val="18"/>
                <w:szCs w:val="18"/>
                <w:u w:val="none"/>
              </w:rPr>
            </w:pPr>
          </w:p>
        </w:tc>
      </w:tr>
      <w:tr w14:paraId="27C0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29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88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99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3C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0C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71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CF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1B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0F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5D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89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B91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4365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F39D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CB8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7FC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DE13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1083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AE5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AF9E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B110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39A3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7F746">
            <w:pPr>
              <w:jc w:val="center"/>
              <w:rPr>
                <w:rFonts w:hint="eastAsia" w:ascii="微软雅黑" w:hAnsi="微软雅黑" w:eastAsia="微软雅黑" w:cs="微软雅黑"/>
                <w:i/>
                <w:iCs/>
                <w:color w:val="000000"/>
                <w:sz w:val="16"/>
                <w:szCs w:val="16"/>
                <w:u w:val="none"/>
              </w:rPr>
            </w:pPr>
          </w:p>
        </w:tc>
      </w:tr>
      <w:tr w14:paraId="46CBC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7EE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95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FD48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9A142">
            <w:pPr>
              <w:rPr>
                <w:rFonts w:hint="eastAsia" w:ascii="宋体" w:hAnsi="宋体" w:eastAsia="宋体" w:cs="宋体"/>
                <w:i w:val="0"/>
                <w:iCs w:val="0"/>
                <w:color w:val="000000"/>
                <w:sz w:val="18"/>
                <w:szCs w:val="18"/>
                <w:u w:val="none"/>
              </w:rPr>
            </w:pPr>
          </w:p>
        </w:tc>
      </w:tr>
      <w:tr w14:paraId="1FF9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21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29337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E923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10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7AF90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2C5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4D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7EF0C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E481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989F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8BB3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D71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32D6BB0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7A2EB3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C656C2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E3D522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B100A3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27DF5F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5C197C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CD787F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2597A4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C425CA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E2B461F">
            <w:pPr>
              <w:rPr>
                <w:rFonts w:hint="eastAsia" w:ascii="宋体" w:hAnsi="宋体" w:eastAsia="宋体" w:cs="宋体"/>
                <w:i w:val="0"/>
                <w:iCs w:val="0"/>
                <w:color w:val="000000"/>
                <w:sz w:val="18"/>
                <w:szCs w:val="18"/>
                <w:u w:val="none"/>
              </w:rPr>
            </w:pPr>
          </w:p>
        </w:tc>
      </w:tr>
      <w:tr w14:paraId="3ADB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3AED5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E98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6F2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E3CC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51320022T000000344142-生态环境保护执法工作经费</w:t>
            </w:r>
          </w:p>
        </w:tc>
      </w:tr>
      <w:tr w14:paraId="66C1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7B6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80C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709706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66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4FF1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39C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7F3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E0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5058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ED4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654D4">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2968A">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87D9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深入贯彻落实省生态环境保护委员会第二次全体会议和长江黄河生态环境突出问题整改推进督导现场会议精神，常态化开展生态环境突出问题执法工作严厉打击各类环境违法行为，切实推动解决群众反应问题，以执法工作助推我县生态环境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7754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FF6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6A01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546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721B13">
            <w:pPr>
              <w:rPr>
                <w:rFonts w:hint="eastAsia" w:ascii="宋体" w:hAnsi="宋体" w:eastAsia="宋体" w:cs="宋体"/>
                <w:i w:val="0"/>
                <w:iCs w:val="0"/>
                <w:color w:val="000000"/>
                <w:sz w:val="18"/>
                <w:szCs w:val="18"/>
                <w:u w:val="none"/>
              </w:rPr>
            </w:pPr>
          </w:p>
        </w:tc>
      </w:tr>
      <w:tr w14:paraId="4B2D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D4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B3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D0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8E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ED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29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07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5C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80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0D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698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1F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50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DB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76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7E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22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7E85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1651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BDC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9FCD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23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78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71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3A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A4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A7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19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B273A">
            <w:pPr>
              <w:rPr>
                <w:rFonts w:hint="eastAsia" w:ascii="黑体" w:hAnsi="黑体" w:eastAsia="黑体" w:cs="黑体"/>
                <w:i/>
                <w:iCs/>
                <w:color w:val="000000"/>
                <w:sz w:val="18"/>
                <w:szCs w:val="18"/>
                <w:u w:val="none"/>
              </w:rPr>
            </w:pPr>
          </w:p>
        </w:tc>
      </w:tr>
      <w:tr w14:paraId="0603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07E1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57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9B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C7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E0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C7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25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66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737CD">
            <w:pPr>
              <w:rPr>
                <w:rFonts w:hint="eastAsia" w:ascii="黑体" w:hAnsi="黑体" w:eastAsia="黑体" w:cs="黑体"/>
                <w:i/>
                <w:iCs/>
                <w:color w:val="000000"/>
                <w:sz w:val="18"/>
                <w:szCs w:val="18"/>
                <w:u w:val="none"/>
              </w:rPr>
            </w:pPr>
          </w:p>
        </w:tc>
      </w:tr>
      <w:tr w14:paraId="0298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7486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26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7D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E3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5C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C4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6B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87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EC8CA">
            <w:pPr>
              <w:rPr>
                <w:rFonts w:hint="eastAsia" w:ascii="黑体" w:hAnsi="黑体" w:eastAsia="黑体" w:cs="黑体"/>
                <w:i/>
                <w:iCs/>
                <w:color w:val="000000"/>
                <w:sz w:val="18"/>
                <w:szCs w:val="18"/>
                <w:u w:val="none"/>
              </w:rPr>
            </w:pPr>
          </w:p>
        </w:tc>
      </w:tr>
      <w:tr w14:paraId="654D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969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C9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10DE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10736">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B8F1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A982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68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17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90B60">
            <w:pPr>
              <w:rPr>
                <w:rFonts w:hint="eastAsia" w:ascii="黑体" w:hAnsi="黑体" w:eastAsia="黑体" w:cs="黑体"/>
                <w:i/>
                <w:iCs/>
                <w:color w:val="000000"/>
                <w:sz w:val="18"/>
                <w:szCs w:val="18"/>
                <w:u w:val="none"/>
              </w:rPr>
            </w:pPr>
          </w:p>
        </w:tc>
      </w:tr>
      <w:tr w14:paraId="7BA7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D3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FC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66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0D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F7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3C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DF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45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E9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9F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71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8BB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5ADE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DB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38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AD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执法次数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D8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89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54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0FFC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AD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A650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F29A3">
            <w:pPr>
              <w:jc w:val="center"/>
              <w:rPr>
                <w:rFonts w:hint="eastAsia" w:ascii="微软雅黑" w:hAnsi="微软雅黑" w:eastAsia="微软雅黑" w:cs="微软雅黑"/>
                <w:i/>
                <w:iCs/>
                <w:color w:val="000000"/>
                <w:sz w:val="16"/>
                <w:szCs w:val="16"/>
                <w:u w:val="none"/>
              </w:rPr>
            </w:pPr>
          </w:p>
        </w:tc>
      </w:tr>
      <w:tr w14:paraId="519C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BD88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3BE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4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0E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环境质量规范率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FF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A5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8C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1A95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00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1370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1BB9A">
            <w:pPr>
              <w:jc w:val="center"/>
              <w:rPr>
                <w:rFonts w:hint="eastAsia" w:ascii="微软雅黑" w:hAnsi="微软雅黑" w:eastAsia="微软雅黑" w:cs="微软雅黑"/>
                <w:i/>
                <w:iCs/>
                <w:color w:val="000000"/>
                <w:sz w:val="16"/>
                <w:szCs w:val="16"/>
                <w:u w:val="none"/>
              </w:rPr>
            </w:pPr>
          </w:p>
        </w:tc>
      </w:tr>
      <w:tr w14:paraId="079E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0F1B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EA09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4D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72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6E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DF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E9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147A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9A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F138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2878F">
            <w:pPr>
              <w:jc w:val="center"/>
              <w:rPr>
                <w:rFonts w:hint="eastAsia" w:ascii="微软雅黑" w:hAnsi="微软雅黑" w:eastAsia="微软雅黑" w:cs="微软雅黑"/>
                <w:i/>
                <w:iCs/>
                <w:color w:val="000000"/>
                <w:sz w:val="16"/>
                <w:szCs w:val="16"/>
                <w:u w:val="none"/>
              </w:rPr>
            </w:pPr>
          </w:p>
        </w:tc>
      </w:tr>
      <w:tr w14:paraId="2A8D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0B0B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C6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89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F6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提高群众环保意识增强率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C8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08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51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B2EA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90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5DCD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27B4A">
            <w:pPr>
              <w:jc w:val="center"/>
              <w:rPr>
                <w:rFonts w:hint="eastAsia" w:ascii="微软雅黑" w:hAnsi="微软雅黑" w:eastAsia="微软雅黑" w:cs="微软雅黑"/>
                <w:i/>
                <w:iCs/>
                <w:color w:val="000000"/>
                <w:sz w:val="16"/>
                <w:szCs w:val="16"/>
                <w:u w:val="none"/>
              </w:rPr>
            </w:pPr>
          </w:p>
        </w:tc>
      </w:tr>
      <w:tr w14:paraId="30B1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CCCB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13C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29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29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环境质量改善率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2F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1E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1C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EE13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C4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EC55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F7E4F">
            <w:pPr>
              <w:jc w:val="center"/>
              <w:rPr>
                <w:rFonts w:hint="eastAsia" w:ascii="微软雅黑" w:hAnsi="微软雅黑" w:eastAsia="微软雅黑" w:cs="微软雅黑"/>
                <w:i/>
                <w:iCs/>
                <w:color w:val="000000"/>
                <w:sz w:val="16"/>
                <w:szCs w:val="16"/>
                <w:u w:val="none"/>
              </w:rPr>
            </w:pPr>
          </w:p>
        </w:tc>
      </w:tr>
      <w:tr w14:paraId="33E6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EFAC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99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12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A4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48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F4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60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F944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1D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3F5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8338E">
            <w:pPr>
              <w:jc w:val="center"/>
              <w:rPr>
                <w:rFonts w:hint="eastAsia" w:ascii="微软雅黑" w:hAnsi="微软雅黑" w:eastAsia="微软雅黑" w:cs="微软雅黑"/>
                <w:i/>
                <w:iCs/>
                <w:color w:val="000000"/>
                <w:sz w:val="16"/>
                <w:szCs w:val="16"/>
                <w:u w:val="none"/>
              </w:rPr>
            </w:pPr>
          </w:p>
        </w:tc>
      </w:tr>
      <w:tr w14:paraId="7746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4F1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E0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3B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75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项目投资总额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3B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FF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45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DC22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B0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970C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B490F">
            <w:pPr>
              <w:jc w:val="center"/>
              <w:rPr>
                <w:rFonts w:hint="eastAsia" w:ascii="微软雅黑" w:hAnsi="微软雅黑" w:eastAsia="微软雅黑" w:cs="微软雅黑"/>
                <w:i/>
                <w:iCs/>
                <w:color w:val="000000"/>
                <w:sz w:val="16"/>
                <w:szCs w:val="16"/>
                <w:u w:val="none"/>
              </w:rPr>
            </w:pPr>
          </w:p>
        </w:tc>
      </w:tr>
      <w:tr w14:paraId="3BBC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F95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C2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A07F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4DCF8">
            <w:pPr>
              <w:rPr>
                <w:rFonts w:hint="eastAsia" w:ascii="宋体" w:hAnsi="宋体" w:eastAsia="宋体" w:cs="宋体"/>
                <w:i w:val="0"/>
                <w:iCs w:val="0"/>
                <w:color w:val="000000"/>
                <w:sz w:val="18"/>
                <w:szCs w:val="18"/>
                <w:u w:val="none"/>
              </w:rPr>
            </w:pPr>
          </w:p>
        </w:tc>
      </w:tr>
      <w:tr w14:paraId="2BE1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49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2658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73E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10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73F19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220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72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F3FB6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DB8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139F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79A2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91D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04137EC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F21E09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1DBFAB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749E3A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8A7859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A339F2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B955BB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FEBF1E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10A51F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5AD1DC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F61D89E">
            <w:pPr>
              <w:rPr>
                <w:rFonts w:hint="eastAsia" w:ascii="宋体" w:hAnsi="宋体" w:eastAsia="宋体" w:cs="宋体"/>
                <w:i w:val="0"/>
                <w:iCs w:val="0"/>
                <w:color w:val="000000"/>
                <w:sz w:val="18"/>
                <w:szCs w:val="18"/>
                <w:u w:val="none"/>
              </w:rPr>
            </w:pPr>
          </w:p>
        </w:tc>
      </w:tr>
      <w:tr w14:paraId="0C14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B4AAF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137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BCF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5AF9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51320022T000000344931-2022年水、土污染防治专项工作</w:t>
            </w:r>
          </w:p>
        </w:tc>
      </w:tr>
      <w:tr w14:paraId="64AB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45D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4C7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29BD34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AE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0A26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3BE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C1B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41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E34FE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9FD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B248">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F8674">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44E7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确保全县一体化污水处理设施正常运行，水质达标排放；按要求开展水、土污染防治专项工作。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609C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58F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6E5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F4C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99A84F">
            <w:pPr>
              <w:rPr>
                <w:rFonts w:hint="eastAsia" w:ascii="宋体" w:hAnsi="宋体" w:eastAsia="宋体" w:cs="宋体"/>
                <w:i w:val="0"/>
                <w:iCs w:val="0"/>
                <w:color w:val="000000"/>
                <w:sz w:val="18"/>
                <w:szCs w:val="18"/>
                <w:u w:val="none"/>
              </w:rPr>
            </w:pPr>
          </w:p>
        </w:tc>
      </w:tr>
      <w:tr w14:paraId="1DB3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14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CD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82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E6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44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81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5F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C2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4E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BD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664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A2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09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71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39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AF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CD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487A6">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7429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4AC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FB1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D6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CA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6A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36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A2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14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69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C2943">
            <w:pPr>
              <w:rPr>
                <w:rFonts w:hint="eastAsia" w:ascii="黑体" w:hAnsi="黑体" w:eastAsia="黑体" w:cs="黑体"/>
                <w:i/>
                <w:iCs/>
                <w:color w:val="000000"/>
                <w:sz w:val="18"/>
                <w:szCs w:val="18"/>
                <w:u w:val="none"/>
              </w:rPr>
            </w:pPr>
          </w:p>
        </w:tc>
      </w:tr>
      <w:tr w14:paraId="0B8E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BB91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F5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BC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5A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48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01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2B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31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9B419">
            <w:pPr>
              <w:rPr>
                <w:rFonts w:hint="eastAsia" w:ascii="黑体" w:hAnsi="黑体" w:eastAsia="黑体" w:cs="黑体"/>
                <w:i/>
                <w:iCs/>
                <w:color w:val="000000"/>
                <w:sz w:val="18"/>
                <w:szCs w:val="18"/>
                <w:u w:val="none"/>
              </w:rPr>
            </w:pPr>
          </w:p>
        </w:tc>
      </w:tr>
      <w:tr w14:paraId="4C9CA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EF8D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EF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D9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57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8C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B4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A1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CB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EF67D">
            <w:pPr>
              <w:rPr>
                <w:rFonts w:hint="eastAsia" w:ascii="黑体" w:hAnsi="黑体" w:eastAsia="黑体" w:cs="黑体"/>
                <w:i/>
                <w:iCs/>
                <w:color w:val="000000"/>
                <w:sz w:val="18"/>
                <w:szCs w:val="18"/>
                <w:u w:val="none"/>
              </w:rPr>
            </w:pPr>
          </w:p>
        </w:tc>
      </w:tr>
      <w:tr w14:paraId="6987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2EB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F0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3482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0B7F3">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6FF4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E835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E8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BD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5766F">
            <w:pPr>
              <w:rPr>
                <w:rFonts w:hint="eastAsia" w:ascii="黑体" w:hAnsi="黑体" w:eastAsia="黑体" w:cs="黑体"/>
                <w:i/>
                <w:iCs/>
                <w:color w:val="000000"/>
                <w:sz w:val="18"/>
                <w:szCs w:val="18"/>
                <w:u w:val="none"/>
              </w:rPr>
            </w:pPr>
          </w:p>
        </w:tc>
      </w:tr>
      <w:tr w14:paraId="2CC3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C2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95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1F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5F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22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EA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A7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63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6E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D0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82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B9C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1DB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EA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73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3C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维护运行全县一体化污水处理设施58套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56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A6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6C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AA31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4B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D901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B6C95">
            <w:pPr>
              <w:jc w:val="center"/>
              <w:rPr>
                <w:rFonts w:hint="eastAsia" w:ascii="微软雅黑" w:hAnsi="微软雅黑" w:eastAsia="微软雅黑" w:cs="微软雅黑"/>
                <w:i/>
                <w:iCs/>
                <w:color w:val="000000"/>
                <w:sz w:val="16"/>
                <w:szCs w:val="16"/>
                <w:u w:val="none"/>
              </w:rPr>
            </w:pPr>
          </w:p>
        </w:tc>
      </w:tr>
      <w:tr w14:paraId="2819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7C33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1BCA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16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8B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维护运行全县一体化污水处理设施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0F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2D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10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248B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B3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EB1F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02883">
            <w:pPr>
              <w:jc w:val="center"/>
              <w:rPr>
                <w:rFonts w:hint="eastAsia" w:ascii="微软雅黑" w:hAnsi="微软雅黑" w:eastAsia="微软雅黑" w:cs="微软雅黑"/>
                <w:i/>
                <w:iCs/>
                <w:color w:val="000000"/>
                <w:sz w:val="16"/>
                <w:szCs w:val="16"/>
                <w:u w:val="none"/>
              </w:rPr>
            </w:pPr>
          </w:p>
        </w:tc>
      </w:tr>
      <w:tr w14:paraId="4FC5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FD0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E7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5F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61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防范环境污染、提升环境安全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9D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6B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C6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0FFD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75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4E22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5288F">
            <w:pPr>
              <w:jc w:val="center"/>
              <w:rPr>
                <w:rFonts w:hint="eastAsia" w:ascii="微软雅黑" w:hAnsi="微软雅黑" w:eastAsia="微软雅黑" w:cs="微软雅黑"/>
                <w:i/>
                <w:iCs/>
                <w:color w:val="000000"/>
                <w:sz w:val="16"/>
                <w:szCs w:val="16"/>
                <w:u w:val="none"/>
              </w:rPr>
            </w:pPr>
          </w:p>
        </w:tc>
      </w:tr>
      <w:tr w14:paraId="1AAB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DF29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8525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95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51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保障生态环境质量，促进经济高质量发展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55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6D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BC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EB59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43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0EE0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619D7">
            <w:pPr>
              <w:jc w:val="center"/>
              <w:rPr>
                <w:rFonts w:hint="eastAsia" w:ascii="微软雅黑" w:hAnsi="微软雅黑" w:eastAsia="微软雅黑" w:cs="微软雅黑"/>
                <w:i/>
                <w:iCs/>
                <w:color w:val="000000"/>
                <w:sz w:val="16"/>
                <w:szCs w:val="16"/>
                <w:u w:val="none"/>
              </w:rPr>
            </w:pPr>
          </w:p>
        </w:tc>
      </w:tr>
      <w:tr w14:paraId="061B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3191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C6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62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33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群众满意度大于80%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CB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48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9B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A97D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73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3A4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C512B">
            <w:pPr>
              <w:jc w:val="center"/>
              <w:rPr>
                <w:rFonts w:hint="eastAsia" w:ascii="微软雅黑" w:hAnsi="微软雅黑" w:eastAsia="微软雅黑" w:cs="微软雅黑"/>
                <w:i/>
                <w:iCs/>
                <w:color w:val="000000"/>
                <w:sz w:val="16"/>
                <w:szCs w:val="16"/>
                <w:u w:val="none"/>
              </w:rPr>
            </w:pPr>
          </w:p>
        </w:tc>
      </w:tr>
      <w:tr w14:paraId="1293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B61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DB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B7A5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83F35">
            <w:pPr>
              <w:rPr>
                <w:rFonts w:hint="eastAsia" w:ascii="宋体" w:hAnsi="宋体" w:eastAsia="宋体" w:cs="宋体"/>
                <w:i w:val="0"/>
                <w:iCs w:val="0"/>
                <w:color w:val="000000"/>
                <w:sz w:val="18"/>
                <w:szCs w:val="18"/>
                <w:u w:val="none"/>
              </w:rPr>
            </w:pPr>
          </w:p>
        </w:tc>
      </w:tr>
      <w:tr w14:paraId="6485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E4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9EFD1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DE0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83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BFF4B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C34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3E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99551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D7A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72B3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9892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C4E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5692E4B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F146BA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863C07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2366BD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D64B22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FF5E6F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D39046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3D6A03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C05F71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6B8AD0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95A7558">
            <w:pPr>
              <w:rPr>
                <w:rFonts w:hint="eastAsia" w:ascii="宋体" w:hAnsi="宋体" w:eastAsia="宋体" w:cs="宋体"/>
                <w:i w:val="0"/>
                <w:iCs w:val="0"/>
                <w:color w:val="000000"/>
                <w:sz w:val="18"/>
                <w:szCs w:val="18"/>
                <w:u w:val="none"/>
              </w:rPr>
            </w:pPr>
          </w:p>
        </w:tc>
      </w:tr>
      <w:tr w14:paraId="3D06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BC552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96A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2E6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2AF9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51320022T000000345266-生态环境环保宣传教育费</w:t>
            </w:r>
          </w:p>
        </w:tc>
      </w:tr>
      <w:tr w14:paraId="6731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F29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C9E3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6B664A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69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39A1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E93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E4C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32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5BDCA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FE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B1BC">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A70B6">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C90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确保宣传培训工作经费充足，保障宣传培训工作顺利开展。项目开展后提高当地居民环保意识，增强职工职业素养。</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C9A6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032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8BA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4E3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7BB901">
            <w:pPr>
              <w:rPr>
                <w:rFonts w:hint="eastAsia" w:ascii="宋体" w:hAnsi="宋体" w:eastAsia="宋体" w:cs="宋体"/>
                <w:i w:val="0"/>
                <w:iCs w:val="0"/>
                <w:color w:val="000000"/>
                <w:sz w:val="18"/>
                <w:szCs w:val="18"/>
                <w:u w:val="none"/>
              </w:rPr>
            </w:pPr>
          </w:p>
        </w:tc>
      </w:tr>
      <w:tr w14:paraId="4E1B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D8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E2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A1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E8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68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EA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40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CE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F4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BB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7A58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07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9C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A8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C1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80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4A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B255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2276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CCC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D795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E1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A4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EC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8B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D3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CF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83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7C407">
            <w:pPr>
              <w:rPr>
                <w:rFonts w:hint="eastAsia" w:ascii="黑体" w:hAnsi="黑体" w:eastAsia="黑体" w:cs="黑体"/>
                <w:i/>
                <w:iCs/>
                <w:color w:val="000000"/>
                <w:sz w:val="18"/>
                <w:szCs w:val="18"/>
                <w:u w:val="none"/>
              </w:rPr>
            </w:pPr>
          </w:p>
        </w:tc>
      </w:tr>
      <w:tr w14:paraId="7D71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86E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3E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15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B9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CD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D2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17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D2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E8BA4">
            <w:pPr>
              <w:rPr>
                <w:rFonts w:hint="eastAsia" w:ascii="黑体" w:hAnsi="黑体" w:eastAsia="黑体" w:cs="黑体"/>
                <w:i/>
                <w:iCs/>
                <w:color w:val="000000"/>
                <w:sz w:val="18"/>
                <w:szCs w:val="18"/>
                <w:u w:val="none"/>
              </w:rPr>
            </w:pPr>
          </w:p>
        </w:tc>
      </w:tr>
      <w:tr w14:paraId="306A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970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CD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23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1B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29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B4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88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FF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4C1C7">
            <w:pPr>
              <w:rPr>
                <w:rFonts w:hint="eastAsia" w:ascii="黑体" w:hAnsi="黑体" w:eastAsia="黑体" w:cs="黑体"/>
                <w:i/>
                <w:iCs/>
                <w:color w:val="000000"/>
                <w:sz w:val="18"/>
                <w:szCs w:val="18"/>
                <w:u w:val="none"/>
              </w:rPr>
            </w:pPr>
          </w:p>
        </w:tc>
      </w:tr>
      <w:tr w14:paraId="0203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84B6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B9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EF4D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EEE25">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84F7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23A4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A7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C9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6F819">
            <w:pPr>
              <w:rPr>
                <w:rFonts w:hint="eastAsia" w:ascii="黑体" w:hAnsi="黑体" w:eastAsia="黑体" w:cs="黑体"/>
                <w:i/>
                <w:iCs/>
                <w:color w:val="000000"/>
                <w:sz w:val="18"/>
                <w:szCs w:val="18"/>
                <w:u w:val="none"/>
              </w:rPr>
            </w:pPr>
          </w:p>
        </w:tc>
      </w:tr>
      <w:tr w14:paraId="52DE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03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2E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DF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56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FE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06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21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E0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EB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17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63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615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0811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4C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DD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A8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AD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C1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87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34327">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E6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DC81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A087D">
            <w:pPr>
              <w:jc w:val="center"/>
              <w:rPr>
                <w:rFonts w:hint="eastAsia" w:ascii="微软雅黑" w:hAnsi="微软雅黑" w:eastAsia="微软雅黑" w:cs="微软雅黑"/>
                <w:i/>
                <w:iCs/>
                <w:color w:val="000000"/>
                <w:sz w:val="16"/>
                <w:szCs w:val="16"/>
                <w:u w:val="none"/>
              </w:rPr>
            </w:pPr>
          </w:p>
        </w:tc>
      </w:tr>
      <w:tr w14:paraId="70B6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2EA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89E0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EB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9A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宣传规范率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BD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E5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2B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1DAD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62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F98F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F59EA">
            <w:pPr>
              <w:jc w:val="center"/>
              <w:rPr>
                <w:rFonts w:hint="eastAsia" w:ascii="微软雅黑" w:hAnsi="微软雅黑" w:eastAsia="微软雅黑" w:cs="微软雅黑"/>
                <w:i/>
                <w:iCs/>
                <w:color w:val="000000"/>
                <w:sz w:val="16"/>
                <w:szCs w:val="16"/>
                <w:u w:val="none"/>
              </w:rPr>
            </w:pPr>
          </w:p>
        </w:tc>
      </w:tr>
      <w:tr w14:paraId="7CB5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514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095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8D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7F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EB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FB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FF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F303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1D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4E4D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2F3DE">
            <w:pPr>
              <w:jc w:val="center"/>
              <w:rPr>
                <w:rFonts w:hint="eastAsia" w:ascii="微软雅黑" w:hAnsi="微软雅黑" w:eastAsia="微软雅黑" w:cs="微软雅黑"/>
                <w:i/>
                <w:iCs/>
                <w:color w:val="000000"/>
                <w:sz w:val="16"/>
                <w:szCs w:val="16"/>
                <w:u w:val="none"/>
              </w:rPr>
            </w:pPr>
          </w:p>
        </w:tc>
      </w:tr>
      <w:tr w14:paraId="1212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211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45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79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C6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提高群众环保意识率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6C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A5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33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F864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74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5314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C0D8E">
            <w:pPr>
              <w:jc w:val="center"/>
              <w:rPr>
                <w:rFonts w:hint="eastAsia" w:ascii="微软雅黑" w:hAnsi="微软雅黑" w:eastAsia="微软雅黑" w:cs="微软雅黑"/>
                <w:i/>
                <w:iCs/>
                <w:color w:val="000000"/>
                <w:sz w:val="16"/>
                <w:szCs w:val="16"/>
                <w:u w:val="none"/>
              </w:rPr>
            </w:pPr>
          </w:p>
        </w:tc>
      </w:tr>
      <w:tr w14:paraId="6D725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BD27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C91B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2B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57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对可持续发展影响率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29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8E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2F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84D2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05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068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5AA49">
            <w:pPr>
              <w:jc w:val="center"/>
              <w:rPr>
                <w:rFonts w:hint="eastAsia" w:ascii="微软雅黑" w:hAnsi="微软雅黑" w:eastAsia="微软雅黑" w:cs="微软雅黑"/>
                <w:i/>
                <w:iCs/>
                <w:color w:val="000000"/>
                <w:sz w:val="16"/>
                <w:szCs w:val="16"/>
                <w:u w:val="none"/>
              </w:rPr>
            </w:pPr>
          </w:p>
        </w:tc>
      </w:tr>
      <w:tr w14:paraId="5BAC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7CA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40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CD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52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21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45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7F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FDFC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DF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097B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96AE9">
            <w:pPr>
              <w:jc w:val="center"/>
              <w:rPr>
                <w:rFonts w:hint="eastAsia" w:ascii="微软雅黑" w:hAnsi="微软雅黑" w:eastAsia="微软雅黑" w:cs="微软雅黑"/>
                <w:i/>
                <w:iCs/>
                <w:color w:val="000000"/>
                <w:sz w:val="16"/>
                <w:szCs w:val="16"/>
                <w:u w:val="none"/>
              </w:rPr>
            </w:pPr>
          </w:p>
        </w:tc>
      </w:tr>
      <w:tr w14:paraId="4122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816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56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C6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40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D4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67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53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C05C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62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EDD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93311">
            <w:pPr>
              <w:jc w:val="center"/>
              <w:rPr>
                <w:rFonts w:hint="eastAsia" w:ascii="微软雅黑" w:hAnsi="微软雅黑" w:eastAsia="微软雅黑" w:cs="微软雅黑"/>
                <w:i/>
                <w:iCs/>
                <w:color w:val="000000"/>
                <w:sz w:val="16"/>
                <w:szCs w:val="16"/>
                <w:u w:val="none"/>
              </w:rPr>
            </w:pPr>
          </w:p>
        </w:tc>
      </w:tr>
      <w:tr w14:paraId="5B49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7DB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AC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43BE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3EC74">
            <w:pPr>
              <w:rPr>
                <w:rFonts w:hint="eastAsia" w:ascii="宋体" w:hAnsi="宋体" w:eastAsia="宋体" w:cs="宋体"/>
                <w:i w:val="0"/>
                <w:iCs w:val="0"/>
                <w:color w:val="000000"/>
                <w:sz w:val="18"/>
                <w:szCs w:val="18"/>
                <w:u w:val="none"/>
              </w:rPr>
            </w:pPr>
          </w:p>
        </w:tc>
      </w:tr>
      <w:tr w14:paraId="292E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B0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CDC5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13E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88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19AA1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360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A3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AEE5E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162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05EE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83A5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F78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5BC6471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CAEFC3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7D8BD0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996F47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C5CA07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0BD16A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383A68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7D392D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B1C0F1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17F701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6426693">
            <w:pPr>
              <w:rPr>
                <w:rFonts w:hint="eastAsia" w:ascii="宋体" w:hAnsi="宋体" w:eastAsia="宋体" w:cs="宋体"/>
                <w:i w:val="0"/>
                <w:iCs w:val="0"/>
                <w:color w:val="000000"/>
                <w:sz w:val="18"/>
                <w:szCs w:val="18"/>
                <w:u w:val="none"/>
              </w:rPr>
            </w:pPr>
          </w:p>
        </w:tc>
      </w:tr>
      <w:tr w14:paraId="3EC0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1F393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F4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28E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4CD2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51320022T000000420065-环境执法应急监测重点污染源监督性监测及监测运维费</w:t>
            </w:r>
          </w:p>
        </w:tc>
      </w:tr>
      <w:tr w14:paraId="2BC6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81B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BDC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462409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3C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4BAF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84E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141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BA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FAFE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06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267B3">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C932F">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43CA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完成环境执法应急监测重点污染源监督性监测及监测运维，项目开展后能够掌握县域内环境质量，减少环境污染突发性事件发生。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7D5A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C2EF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315C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315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81B655">
            <w:pPr>
              <w:rPr>
                <w:rFonts w:hint="eastAsia" w:ascii="宋体" w:hAnsi="宋体" w:eastAsia="宋体" w:cs="宋体"/>
                <w:i w:val="0"/>
                <w:iCs w:val="0"/>
                <w:color w:val="000000"/>
                <w:sz w:val="18"/>
                <w:szCs w:val="18"/>
                <w:u w:val="none"/>
              </w:rPr>
            </w:pPr>
          </w:p>
        </w:tc>
      </w:tr>
      <w:tr w14:paraId="0702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49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BF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7E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BE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E9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F6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42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C5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52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731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66D3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E4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B9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BC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47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6F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D2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D23A4">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0731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F01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D02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B6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39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C1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1C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CD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38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41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BED72">
            <w:pPr>
              <w:rPr>
                <w:rFonts w:hint="eastAsia" w:ascii="黑体" w:hAnsi="黑体" w:eastAsia="黑体" w:cs="黑体"/>
                <w:i/>
                <w:iCs/>
                <w:color w:val="000000"/>
                <w:sz w:val="18"/>
                <w:szCs w:val="18"/>
                <w:u w:val="none"/>
              </w:rPr>
            </w:pPr>
          </w:p>
        </w:tc>
      </w:tr>
      <w:tr w14:paraId="1D25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CF31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77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A8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1B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B5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17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24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82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81187">
            <w:pPr>
              <w:rPr>
                <w:rFonts w:hint="eastAsia" w:ascii="黑体" w:hAnsi="黑体" w:eastAsia="黑体" w:cs="黑体"/>
                <w:i/>
                <w:iCs/>
                <w:color w:val="000000"/>
                <w:sz w:val="18"/>
                <w:szCs w:val="18"/>
                <w:u w:val="none"/>
              </w:rPr>
            </w:pPr>
          </w:p>
        </w:tc>
      </w:tr>
      <w:tr w14:paraId="7BEB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8B5B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CD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D2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FE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35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3C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34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72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B767">
            <w:pPr>
              <w:rPr>
                <w:rFonts w:hint="eastAsia" w:ascii="黑体" w:hAnsi="黑体" w:eastAsia="黑体" w:cs="黑体"/>
                <w:i/>
                <w:iCs/>
                <w:color w:val="000000"/>
                <w:sz w:val="18"/>
                <w:szCs w:val="18"/>
                <w:u w:val="none"/>
              </w:rPr>
            </w:pPr>
          </w:p>
        </w:tc>
      </w:tr>
      <w:tr w14:paraId="0C76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3D37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4D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A71F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92C27">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506E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87C2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3A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D1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8F05C">
            <w:pPr>
              <w:rPr>
                <w:rFonts w:hint="eastAsia" w:ascii="黑体" w:hAnsi="黑体" w:eastAsia="黑体" w:cs="黑体"/>
                <w:i/>
                <w:iCs/>
                <w:color w:val="000000"/>
                <w:sz w:val="18"/>
                <w:szCs w:val="18"/>
                <w:u w:val="none"/>
              </w:rPr>
            </w:pPr>
          </w:p>
        </w:tc>
      </w:tr>
      <w:tr w14:paraId="7C5B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41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AE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2A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0C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C0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99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37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2F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7F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D9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DC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B6F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ABC8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26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3B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B2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F3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F7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57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1FAC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F2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13B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E1239">
            <w:pPr>
              <w:jc w:val="center"/>
              <w:rPr>
                <w:rFonts w:hint="eastAsia" w:ascii="微软雅黑" w:hAnsi="微软雅黑" w:eastAsia="微软雅黑" w:cs="微软雅黑"/>
                <w:i/>
                <w:iCs/>
                <w:color w:val="000000"/>
                <w:sz w:val="16"/>
                <w:szCs w:val="16"/>
                <w:u w:val="none"/>
              </w:rPr>
            </w:pPr>
          </w:p>
        </w:tc>
      </w:tr>
      <w:tr w14:paraId="5E05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53EC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8CF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51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7A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环境质量改善率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B7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AF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9B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A0B8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36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C4FB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37EA4">
            <w:pPr>
              <w:jc w:val="center"/>
              <w:rPr>
                <w:rFonts w:hint="eastAsia" w:ascii="微软雅黑" w:hAnsi="微软雅黑" w:eastAsia="微软雅黑" w:cs="微软雅黑"/>
                <w:i/>
                <w:iCs/>
                <w:color w:val="000000"/>
                <w:sz w:val="16"/>
                <w:szCs w:val="16"/>
                <w:u w:val="none"/>
              </w:rPr>
            </w:pPr>
          </w:p>
        </w:tc>
      </w:tr>
      <w:tr w14:paraId="6D41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9BA2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EA5D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E5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88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D3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C1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E3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CF03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46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051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BC1A0">
            <w:pPr>
              <w:jc w:val="center"/>
              <w:rPr>
                <w:rFonts w:hint="eastAsia" w:ascii="微软雅黑" w:hAnsi="微软雅黑" w:eastAsia="微软雅黑" w:cs="微软雅黑"/>
                <w:i/>
                <w:iCs/>
                <w:color w:val="000000"/>
                <w:sz w:val="16"/>
                <w:szCs w:val="16"/>
                <w:u w:val="none"/>
              </w:rPr>
            </w:pPr>
          </w:p>
        </w:tc>
      </w:tr>
      <w:tr w14:paraId="29B4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D346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A3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14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85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5C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12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4F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C902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6D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2280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9DC9C">
            <w:pPr>
              <w:jc w:val="center"/>
              <w:rPr>
                <w:rFonts w:hint="eastAsia" w:ascii="微软雅黑" w:hAnsi="微软雅黑" w:eastAsia="微软雅黑" w:cs="微软雅黑"/>
                <w:i/>
                <w:iCs/>
                <w:color w:val="000000"/>
                <w:sz w:val="16"/>
                <w:szCs w:val="16"/>
                <w:u w:val="none"/>
              </w:rPr>
            </w:pPr>
          </w:p>
        </w:tc>
      </w:tr>
      <w:tr w14:paraId="44CF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09E3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3A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8D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01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有利于可持续发展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C2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1D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8A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8AF5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49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D05C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19937">
            <w:pPr>
              <w:jc w:val="center"/>
              <w:rPr>
                <w:rFonts w:hint="eastAsia" w:ascii="微软雅黑" w:hAnsi="微软雅黑" w:eastAsia="微软雅黑" w:cs="微软雅黑"/>
                <w:i/>
                <w:iCs/>
                <w:color w:val="000000"/>
                <w:sz w:val="16"/>
                <w:szCs w:val="16"/>
                <w:u w:val="none"/>
              </w:rPr>
            </w:pPr>
          </w:p>
        </w:tc>
      </w:tr>
      <w:tr w14:paraId="532A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3785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94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7B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24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20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37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EA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6527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F8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F61E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A480D">
            <w:pPr>
              <w:jc w:val="center"/>
              <w:rPr>
                <w:rFonts w:hint="eastAsia" w:ascii="微软雅黑" w:hAnsi="微软雅黑" w:eastAsia="微软雅黑" w:cs="微软雅黑"/>
                <w:i/>
                <w:iCs/>
                <w:color w:val="000000"/>
                <w:sz w:val="16"/>
                <w:szCs w:val="16"/>
                <w:u w:val="none"/>
              </w:rPr>
            </w:pPr>
          </w:p>
        </w:tc>
      </w:tr>
      <w:tr w14:paraId="6D84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64E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2B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5B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6B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项目投资总额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21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2B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F2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A309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C4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FF72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95C52">
            <w:pPr>
              <w:jc w:val="center"/>
              <w:rPr>
                <w:rFonts w:hint="eastAsia" w:ascii="微软雅黑" w:hAnsi="微软雅黑" w:eastAsia="微软雅黑" w:cs="微软雅黑"/>
                <w:i/>
                <w:iCs/>
                <w:color w:val="000000"/>
                <w:sz w:val="16"/>
                <w:szCs w:val="16"/>
                <w:u w:val="none"/>
              </w:rPr>
            </w:pPr>
          </w:p>
        </w:tc>
      </w:tr>
      <w:tr w14:paraId="25FE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9F2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50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DCBD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00BCA">
            <w:pPr>
              <w:rPr>
                <w:rFonts w:hint="eastAsia" w:ascii="宋体" w:hAnsi="宋体" w:eastAsia="宋体" w:cs="宋体"/>
                <w:i w:val="0"/>
                <w:iCs w:val="0"/>
                <w:color w:val="000000"/>
                <w:sz w:val="18"/>
                <w:szCs w:val="18"/>
                <w:u w:val="none"/>
              </w:rPr>
            </w:pPr>
          </w:p>
        </w:tc>
      </w:tr>
      <w:tr w14:paraId="5098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1E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634E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2D3A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7A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A7DC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8BF2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A8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43CC8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571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0EC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5D30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D0B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6797D9C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A1CC2F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69035C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E7A01A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88945C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456D01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F97922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5527AA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34E088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B814E6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55B622A">
            <w:pPr>
              <w:rPr>
                <w:rFonts w:hint="eastAsia" w:ascii="宋体" w:hAnsi="宋体" w:eastAsia="宋体" w:cs="宋体"/>
                <w:i w:val="0"/>
                <w:iCs w:val="0"/>
                <w:color w:val="000000"/>
                <w:sz w:val="18"/>
                <w:szCs w:val="18"/>
                <w:u w:val="none"/>
              </w:rPr>
            </w:pPr>
          </w:p>
        </w:tc>
      </w:tr>
      <w:tr w14:paraId="4AC4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784FF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3C2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A80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97BA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51320022T000007181860-若尔盖县热曲河巴西镇段水污染治理和生态保护修复项目</w:t>
            </w:r>
          </w:p>
        </w:tc>
      </w:tr>
      <w:tr w14:paraId="49F7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10D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2D6B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13837E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48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09D1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07C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4EC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EB1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8A782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BC9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3896">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F057F">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320DF6">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A065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ED5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CD7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6B5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5B5ABF">
            <w:pPr>
              <w:rPr>
                <w:rFonts w:hint="eastAsia" w:ascii="宋体" w:hAnsi="宋体" w:eastAsia="宋体" w:cs="宋体"/>
                <w:i w:val="0"/>
                <w:iCs w:val="0"/>
                <w:color w:val="000000"/>
                <w:sz w:val="18"/>
                <w:szCs w:val="18"/>
                <w:u w:val="none"/>
              </w:rPr>
            </w:pPr>
          </w:p>
        </w:tc>
      </w:tr>
      <w:tr w14:paraId="2BD9D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12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FF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AA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F8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5F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26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EC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3F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D9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6F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5B0D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06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BE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CA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165.37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7B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10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05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5966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4555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9B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A670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D0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C3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7E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165.37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AE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7D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E5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88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28204">
            <w:pPr>
              <w:rPr>
                <w:rFonts w:hint="eastAsia" w:ascii="黑体" w:hAnsi="黑体" w:eastAsia="黑体" w:cs="黑体"/>
                <w:i/>
                <w:iCs/>
                <w:color w:val="000000"/>
                <w:sz w:val="18"/>
                <w:szCs w:val="18"/>
                <w:u w:val="none"/>
              </w:rPr>
            </w:pPr>
          </w:p>
        </w:tc>
      </w:tr>
      <w:tr w14:paraId="3274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844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B1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4B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2E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BD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E0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6D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4B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7854A">
            <w:pPr>
              <w:rPr>
                <w:rFonts w:hint="eastAsia" w:ascii="黑体" w:hAnsi="黑体" w:eastAsia="黑体" w:cs="黑体"/>
                <w:i/>
                <w:iCs/>
                <w:color w:val="000000"/>
                <w:sz w:val="18"/>
                <w:szCs w:val="18"/>
                <w:u w:val="none"/>
              </w:rPr>
            </w:pPr>
          </w:p>
        </w:tc>
      </w:tr>
      <w:tr w14:paraId="3CFA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ECD4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DC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04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B4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B3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16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8A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CA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39F38">
            <w:pPr>
              <w:rPr>
                <w:rFonts w:hint="eastAsia" w:ascii="黑体" w:hAnsi="黑体" w:eastAsia="黑体" w:cs="黑体"/>
                <w:i/>
                <w:iCs/>
                <w:color w:val="000000"/>
                <w:sz w:val="18"/>
                <w:szCs w:val="18"/>
                <w:u w:val="none"/>
              </w:rPr>
            </w:pPr>
          </w:p>
        </w:tc>
      </w:tr>
      <w:tr w14:paraId="7DAA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9A1A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76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1240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A068E">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B9A5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0535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CE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22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5EE30">
            <w:pPr>
              <w:rPr>
                <w:rFonts w:hint="eastAsia" w:ascii="黑体" w:hAnsi="黑体" w:eastAsia="黑体" w:cs="黑体"/>
                <w:i/>
                <w:iCs/>
                <w:color w:val="000000"/>
                <w:sz w:val="18"/>
                <w:szCs w:val="18"/>
                <w:u w:val="none"/>
              </w:rPr>
            </w:pPr>
          </w:p>
        </w:tc>
      </w:tr>
      <w:tr w14:paraId="493C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69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0A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C2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FE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F8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15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29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2F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C0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06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43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9B0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B46D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7511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90D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AEB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466D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3A9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57C5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F97F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5F7F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1E5C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26AD3">
            <w:pPr>
              <w:jc w:val="center"/>
              <w:rPr>
                <w:rFonts w:hint="eastAsia" w:ascii="微软雅黑" w:hAnsi="微软雅黑" w:eastAsia="微软雅黑" w:cs="微软雅黑"/>
                <w:i/>
                <w:iCs/>
                <w:color w:val="000000"/>
                <w:sz w:val="16"/>
                <w:szCs w:val="16"/>
                <w:u w:val="none"/>
              </w:rPr>
            </w:pPr>
          </w:p>
        </w:tc>
      </w:tr>
      <w:tr w14:paraId="39F5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BCD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91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E748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413E5">
            <w:pPr>
              <w:rPr>
                <w:rFonts w:hint="eastAsia" w:ascii="宋体" w:hAnsi="宋体" w:eastAsia="宋体" w:cs="宋体"/>
                <w:i w:val="0"/>
                <w:iCs w:val="0"/>
                <w:color w:val="000000"/>
                <w:sz w:val="18"/>
                <w:szCs w:val="18"/>
                <w:u w:val="none"/>
              </w:rPr>
            </w:pPr>
          </w:p>
        </w:tc>
      </w:tr>
      <w:tr w14:paraId="464B5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0E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2B8FA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72F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01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08DF9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3EDC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C1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E414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552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214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B3D6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230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6A9A900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4888BE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478E98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542003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45A57E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6E83E0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FF58FB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6EC689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17D098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0A6B71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55BD620">
            <w:pPr>
              <w:rPr>
                <w:rFonts w:hint="eastAsia" w:ascii="宋体" w:hAnsi="宋体" w:eastAsia="宋体" w:cs="宋体"/>
                <w:i w:val="0"/>
                <w:iCs w:val="0"/>
                <w:color w:val="000000"/>
                <w:sz w:val="18"/>
                <w:szCs w:val="18"/>
                <w:u w:val="none"/>
              </w:rPr>
            </w:pPr>
          </w:p>
        </w:tc>
      </w:tr>
      <w:tr w14:paraId="1097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79E16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3E6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89E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5D76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51320023R000009914893-工资性支出</w:t>
            </w:r>
          </w:p>
        </w:tc>
      </w:tr>
      <w:tr w14:paraId="76AA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443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C7F8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22643E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B4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037B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02B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4E7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05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88CEF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AA0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1897A">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8A6A8">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D43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23C6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AE0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2E6B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B07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82CC60">
            <w:pPr>
              <w:rPr>
                <w:rFonts w:hint="eastAsia" w:ascii="宋体" w:hAnsi="宋体" w:eastAsia="宋体" w:cs="宋体"/>
                <w:i w:val="0"/>
                <w:iCs w:val="0"/>
                <w:color w:val="000000"/>
                <w:sz w:val="18"/>
                <w:szCs w:val="18"/>
                <w:u w:val="none"/>
              </w:rPr>
            </w:pPr>
          </w:p>
        </w:tc>
      </w:tr>
      <w:tr w14:paraId="2E46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4D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FD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FF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4D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48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F9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6E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48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F5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8DE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AB51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E6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81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48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9B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4F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C1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D9BB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2949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79F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C3BA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1B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C5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6D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7D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5A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E3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E1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F60D8">
            <w:pPr>
              <w:rPr>
                <w:rFonts w:hint="eastAsia" w:ascii="黑体" w:hAnsi="黑体" w:eastAsia="黑体" w:cs="黑体"/>
                <w:i/>
                <w:iCs/>
                <w:color w:val="000000"/>
                <w:sz w:val="18"/>
                <w:szCs w:val="18"/>
                <w:u w:val="none"/>
              </w:rPr>
            </w:pPr>
          </w:p>
        </w:tc>
      </w:tr>
      <w:tr w14:paraId="72A4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5789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BE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97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A8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5E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60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C9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42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4507">
            <w:pPr>
              <w:rPr>
                <w:rFonts w:hint="eastAsia" w:ascii="黑体" w:hAnsi="黑体" w:eastAsia="黑体" w:cs="黑体"/>
                <w:i/>
                <w:iCs/>
                <w:color w:val="000000"/>
                <w:sz w:val="18"/>
                <w:szCs w:val="18"/>
                <w:u w:val="none"/>
              </w:rPr>
            </w:pPr>
          </w:p>
        </w:tc>
      </w:tr>
      <w:tr w14:paraId="5DA3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64D8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6F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21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1D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32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92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E4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AB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F80C8">
            <w:pPr>
              <w:rPr>
                <w:rFonts w:hint="eastAsia" w:ascii="黑体" w:hAnsi="黑体" w:eastAsia="黑体" w:cs="黑体"/>
                <w:i/>
                <w:iCs/>
                <w:color w:val="000000"/>
                <w:sz w:val="18"/>
                <w:szCs w:val="18"/>
                <w:u w:val="none"/>
              </w:rPr>
            </w:pPr>
          </w:p>
        </w:tc>
      </w:tr>
      <w:tr w14:paraId="2466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6F2B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EB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EC82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83441">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59A1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3345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C7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4E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5DB48">
            <w:pPr>
              <w:rPr>
                <w:rFonts w:hint="eastAsia" w:ascii="黑体" w:hAnsi="黑体" w:eastAsia="黑体" w:cs="黑体"/>
                <w:i/>
                <w:iCs/>
                <w:color w:val="000000"/>
                <w:sz w:val="18"/>
                <w:szCs w:val="18"/>
                <w:u w:val="none"/>
              </w:rPr>
            </w:pPr>
          </w:p>
        </w:tc>
      </w:tr>
      <w:tr w14:paraId="3C88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B2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5F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E4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A8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AE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C2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BB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80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E5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64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C5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9D1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3C77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B1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9C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42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4C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7A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F2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33E1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42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BDFB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A3110">
            <w:pPr>
              <w:jc w:val="center"/>
              <w:rPr>
                <w:rFonts w:hint="eastAsia" w:ascii="微软雅黑" w:hAnsi="微软雅黑" w:eastAsia="微软雅黑" w:cs="微软雅黑"/>
                <w:i/>
                <w:iCs/>
                <w:color w:val="000000"/>
                <w:sz w:val="16"/>
                <w:szCs w:val="16"/>
                <w:u w:val="none"/>
              </w:rPr>
            </w:pPr>
          </w:p>
        </w:tc>
      </w:tr>
      <w:tr w14:paraId="2CFE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9F07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04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7C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69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81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E4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56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5EA4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76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70EF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FE4EA">
            <w:pPr>
              <w:jc w:val="center"/>
              <w:rPr>
                <w:rFonts w:hint="eastAsia" w:ascii="微软雅黑" w:hAnsi="微软雅黑" w:eastAsia="微软雅黑" w:cs="微软雅黑"/>
                <w:i/>
                <w:iCs/>
                <w:color w:val="000000"/>
                <w:sz w:val="16"/>
                <w:szCs w:val="16"/>
                <w:u w:val="none"/>
              </w:rPr>
            </w:pPr>
          </w:p>
        </w:tc>
      </w:tr>
      <w:tr w14:paraId="6AB3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7E2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45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1559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DA584">
            <w:pPr>
              <w:rPr>
                <w:rFonts w:hint="eastAsia" w:ascii="宋体" w:hAnsi="宋体" w:eastAsia="宋体" w:cs="宋体"/>
                <w:i w:val="0"/>
                <w:iCs w:val="0"/>
                <w:color w:val="000000"/>
                <w:sz w:val="18"/>
                <w:szCs w:val="18"/>
                <w:u w:val="none"/>
              </w:rPr>
            </w:pPr>
          </w:p>
        </w:tc>
      </w:tr>
      <w:tr w14:paraId="2E18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7A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C4CB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2F5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FD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71684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A4E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92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5D852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662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828D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461C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589E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273B3F0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C57201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6235C3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54AF99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BD69EE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32648D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E321CB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833255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E6994F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62081A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BD32A0A">
            <w:pPr>
              <w:rPr>
                <w:rFonts w:hint="eastAsia" w:ascii="宋体" w:hAnsi="宋体" w:eastAsia="宋体" w:cs="宋体"/>
                <w:i w:val="0"/>
                <w:iCs w:val="0"/>
                <w:color w:val="000000"/>
                <w:sz w:val="18"/>
                <w:szCs w:val="18"/>
                <w:u w:val="none"/>
              </w:rPr>
            </w:pPr>
          </w:p>
        </w:tc>
      </w:tr>
      <w:tr w14:paraId="5FF1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E86C9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693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A2C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41E2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51320023R000009915221-单位缴费</w:t>
            </w:r>
          </w:p>
        </w:tc>
      </w:tr>
      <w:tr w14:paraId="4CD9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1FC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13AB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60A747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EA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6780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C02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384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3B9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5AAAB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8D3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39E0F">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985E7">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4724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A3D2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2070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B9E5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931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3CEB21">
            <w:pPr>
              <w:rPr>
                <w:rFonts w:hint="eastAsia" w:ascii="宋体" w:hAnsi="宋体" w:eastAsia="宋体" w:cs="宋体"/>
                <w:i w:val="0"/>
                <w:iCs w:val="0"/>
                <w:color w:val="000000"/>
                <w:sz w:val="18"/>
                <w:szCs w:val="18"/>
                <w:u w:val="none"/>
              </w:rPr>
            </w:pPr>
          </w:p>
        </w:tc>
      </w:tr>
      <w:tr w14:paraId="2BCF7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C3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ED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79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BE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FC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31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2A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78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B0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B87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19D5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54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06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A0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73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E8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B5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2569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0F87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D01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37E7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36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F5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47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E7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31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F1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60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14C29">
            <w:pPr>
              <w:rPr>
                <w:rFonts w:hint="eastAsia" w:ascii="黑体" w:hAnsi="黑体" w:eastAsia="黑体" w:cs="黑体"/>
                <w:i/>
                <w:iCs/>
                <w:color w:val="000000"/>
                <w:sz w:val="18"/>
                <w:szCs w:val="18"/>
                <w:u w:val="none"/>
              </w:rPr>
            </w:pPr>
          </w:p>
        </w:tc>
      </w:tr>
      <w:tr w14:paraId="0DE9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A3E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47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10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59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D6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85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AA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9A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B683">
            <w:pPr>
              <w:rPr>
                <w:rFonts w:hint="eastAsia" w:ascii="黑体" w:hAnsi="黑体" w:eastAsia="黑体" w:cs="黑体"/>
                <w:i/>
                <w:iCs/>
                <w:color w:val="000000"/>
                <w:sz w:val="18"/>
                <w:szCs w:val="18"/>
                <w:u w:val="none"/>
              </w:rPr>
            </w:pPr>
          </w:p>
        </w:tc>
      </w:tr>
      <w:tr w14:paraId="105F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9EB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03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84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01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7E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15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75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46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8D3D9">
            <w:pPr>
              <w:rPr>
                <w:rFonts w:hint="eastAsia" w:ascii="黑体" w:hAnsi="黑体" w:eastAsia="黑体" w:cs="黑体"/>
                <w:i/>
                <w:iCs/>
                <w:color w:val="000000"/>
                <w:sz w:val="18"/>
                <w:szCs w:val="18"/>
                <w:u w:val="none"/>
              </w:rPr>
            </w:pPr>
          </w:p>
        </w:tc>
      </w:tr>
      <w:tr w14:paraId="6C22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FA8E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5A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67EF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EFB9C">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D498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A485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25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AF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EE67D">
            <w:pPr>
              <w:rPr>
                <w:rFonts w:hint="eastAsia" w:ascii="黑体" w:hAnsi="黑体" w:eastAsia="黑体" w:cs="黑体"/>
                <w:i/>
                <w:iCs/>
                <w:color w:val="000000"/>
                <w:sz w:val="18"/>
                <w:szCs w:val="18"/>
                <w:u w:val="none"/>
              </w:rPr>
            </w:pPr>
          </w:p>
        </w:tc>
      </w:tr>
      <w:tr w14:paraId="4689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86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34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CF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35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89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16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9C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E1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3E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11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0B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F09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587D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99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56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15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6A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B0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96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CCB4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56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ADD0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00C9A">
            <w:pPr>
              <w:jc w:val="center"/>
              <w:rPr>
                <w:rFonts w:hint="eastAsia" w:ascii="微软雅黑" w:hAnsi="微软雅黑" w:eastAsia="微软雅黑" w:cs="微软雅黑"/>
                <w:i/>
                <w:iCs/>
                <w:color w:val="000000"/>
                <w:sz w:val="16"/>
                <w:szCs w:val="16"/>
                <w:u w:val="none"/>
              </w:rPr>
            </w:pPr>
          </w:p>
        </w:tc>
      </w:tr>
      <w:tr w14:paraId="5F5F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2EB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61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C0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F9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F3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4A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1A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001E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54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AFEB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C1DDB">
            <w:pPr>
              <w:jc w:val="center"/>
              <w:rPr>
                <w:rFonts w:hint="eastAsia" w:ascii="微软雅黑" w:hAnsi="微软雅黑" w:eastAsia="微软雅黑" w:cs="微软雅黑"/>
                <w:i/>
                <w:iCs/>
                <w:color w:val="000000"/>
                <w:sz w:val="16"/>
                <w:szCs w:val="16"/>
                <w:u w:val="none"/>
              </w:rPr>
            </w:pPr>
          </w:p>
        </w:tc>
      </w:tr>
      <w:tr w14:paraId="3CB4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9E5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BD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3F48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AC641">
            <w:pPr>
              <w:rPr>
                <w:rFonts w:hint="eastAsia" w:ascii="宋体" w:hAnsi="宋体" w:eastAsia="宋体" w:cs="宋体"/>
                <w:i w:val="0"/>
                <w:iCs w:val="0"/>
                <w:color w:val="000000"/>
                <w:sz w:val="18"/>
                <w:szCs w:val="18"/>
                <w:u w:val="none"/>
              </w:rPr>
            </w:pPr>
          </w:p>
        </w:tc>
      </w:tr>
      <w:tr w14:paraId="0A05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1B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A5CD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971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AC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6CB1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F67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0E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7E797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1E3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69C3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A36E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5E1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6EC4BBB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AB9F4C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E33788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16F412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0CE62E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7AAFD6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C44E16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9ECACD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EF22AC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B064DB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733B1EE">
            <w:pPr>
              <w:rPr>
                <w:rFonts w:hint="eastAsia" w:ascii="宋体" w:hAnsi="宋体" w:eastAsia="宋体" w:cs="宋体"/>
                <w:i w:val="0"/>
                <w:iCs w:val="0"/>
                <w:color w:val="000000"/>
                <w:sz w:val="18"/>
                <w:szCs w:val="18"/>
                <w:u w:val="none"/>
              </w:rPr>
            </w:pPr>
          </w:p>
        </w:tc>
      </w:tr>
      <w:tr w14:paraId="6C71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5E5C3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DD5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4A7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7D42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51320023R000009915925-聘用人员经费</w:t>
            </w:r>
          </w:p>
        </w:tc>
      </w:tr>
      <w:tr w14:paraId="31F6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4F7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528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43B298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BB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46DB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D54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148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C3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71C5F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44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E0AE">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8502E">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6D7B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C3EF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DE96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98DA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B58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921BFB">
            <w:pPr>
              <w:rPr>
                <w:rFonts w:hint="eastAsia" w:ascii="宋体" w:hAnsi="宋体" w:eastAsia="宋体" w:cs="宋体"/>
                <w:i w:val="0"/>
                <w:iCs w:val="0"/>
                <w:color w:val="000000"/>
                <w:sz w:val="18"/>
                <w:szCs w:val="18"/>
                <w:u w:val="none"/>
              </w:rPr>
            </w:pPr>
          </w:p>
        </w:tc>
      </w:tr>
      <w:tr w14:paraId="5698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52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14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24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B3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36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01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2F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83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49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FA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81E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64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84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8F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1F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BB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5B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EFC3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CEDB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4FD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127C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D2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BB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3F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75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70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1B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94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07889">
            <w:pPr>
              <w:rPr>
                <w:rFonts w:hint="eastAsia" w:ascii="黑体" w:hAnsi="黑体" w:eastAsia="黑体" w:cs="黑体"/>
                <w:i/>
                <w:iCs/>
                <w:color w:val="000000"/>
                <w:sz w:val="18"/>
                <w:szCs w:val="18"/>
                <w:u w:val="none"/>
              </w:rPr>
            </w:pPr>
          </w:p>
        </w:tc>
      </w:tr>
      <w:tr w14:paraId="0005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E99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4D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33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2A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F8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88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E9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54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D8E29">
            <w:pPr>
              <w:rPr>
                <w:rFonts w:hint="eastAsia" w:ascii="黑体" w:hAnsi="黑体" w:eastAsia="黑体" w:cs="黑体"/>
                <w:i/>
                <w:iCs/>
                <w:color w:val="000000"/>
                <w:sz w:val="18"/>
                <w:szCs w:val="18"/>
                <w:u w:val="none"/>
              </w:rPr>
            </w:pPr>
          </w:p>
        </w:tc>
      </w:tr>
      <w:tr w14:paraId="1682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151D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F9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29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A4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E8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22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1F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F3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D0C0">
            <w:pPr>
              <w:rPr>
                <w:rFonts w:hint="eastAsia" w:ascii="黑体" w:hAnsi="黑体" w:eastAsia="黑体" w:cs="黑体"/>
                <w:i/>
                <w:iCs/>
                <w:color w:val="000000"/>
                <w:sz w:val="18"/>
                <w:szCs w:val="18"/>
                <w:u w:val="none"/>
              </w:rPr>
            </w:pPr>
          </w:p>
        </w:tc>
      </w:tr>
      <w:tr w14:paraId="2477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96FB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EC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6748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B5382">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C924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34D9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10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34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E6CF1">
            <w:pPr>
              <w:rPr>
                <w:rFonts w:hint="eastAsia" w:ascii="黑体" w:hAnsi="黑体" w:eastAsia="黑体" w:cs="黑体"/>
                <w:i/>
                <w:iCs/>
                <w:color w:val="000000"/>
                <w:sz w:val="18"/>
                <w:szCs w:val="18"/>
                <w:u w:val="none"/>
              </w:rPr>
            </w:pPr>
          </w:p>
        </w:tc>
      </w:tr>
      <w:tr w14:paraId="56AE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4A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2D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03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A3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89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55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15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85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8F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23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F8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DAC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37E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3B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16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CD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C3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5F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A9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CBA6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ED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1C93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C32A0">
            <w:pPr>
              <w:jc w:val="center"/>
              <w:rPr>
                <w:rFonts w:hint="eastAsia" w:ascii="微软雅黑" w:hAnsi="微软雅黑" w:eastAsia="微软雅黑" w:cs="微软雅黑"/>
                <w:i/>
                <w:iCs/>
                <w:color w:val="000000"/>
                <w:sz w:val="16"/>
                <w:szCs w:val="16"/>
                <w:u w:val="none"/>
              </w:rPr>
            </w:pPr>
          </w:p>
        </w:tc>
      </w:tr>
      <w:tr w14:paraId="2478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54F4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D0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5E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38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35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B4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76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5DFD7">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0A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AAC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D6F9A">
            <w:pPr>
              <w:jc w:val="center"/>
              <w:rPr>
                <w:rFonts w:hint="eastAsia" w:ascii="微软雅黑" w:hAnsi="微软雅黑" w:eastAsia="微软雅黑" w:cs="微软雅黑"/>
                <w:i/>
                <w:iCs/>
                <w:color w:val="000000"/>
                <w:sz w:val="16"/>
                <w:szCs w:val="16"/>
                <w:u w:val="none"/>
              </w:rPr>
            </w:pPr>
          </w:p>
        </w:tc>
      </w:tr>
      <w:tr w14:paraId="7176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11C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EA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8745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A0707">
            <w:pPr>
              <w:rPr>
                <w:rFonts w:hint="eastAsia" w:ascii="宋体" w:hAnsi="宋体" w:eastAsia="宋体" w:cs="宋体"/>
                <w:i w:val="0"/>
                <w:iCs w:val="0"/>
                <w:color w:val="000000"/>
                <w:sz w:val="18"/>
                <w:szCs w:val="18"/>
                <w:u w:val="none"/>
              </w:rPr>
            </w:pPr>
          </w:p>
        </w:tc>
      </w:tr>
      <w:tr w14:paraId="43B3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1D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E368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1D0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3E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037F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1FB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E2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E322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867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C54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C23C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9BB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3F6ABF2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CFD97C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83951E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36D1F2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D637CD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A54486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D4F0B3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8093CE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A7DD8C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5852E5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7C615E3">
            <w:pPr>
              <w:rPr>
                <w:rFonts w:hint="eastAsia" w:ascii="宋体" w:hAnsi="宋体" w:eastAsia="宋体" w:cs="宋体"/>
                <w:i w:val="0"/>
                <w:iCs w:val="0"/>
                <w:color w:val="000000"/>
                <w:sz w:val="18"/>
                <w:szCs w:val="18"/>
                <w:u w:val="none"/>
              </w:rPr>
            </w:pPr>
          </w:p>
        </w:tc>
      </w:tr>
      <w:tr w14:paraId="31DA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144DC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214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335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8960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51320023T000009592728-若尔盖县一体化污水处理设施维护运行和提升改造项目</w:t>
            </w:r>
          </w:p>
        </w:tc>
      </w:tr>
      <w:tr w14:paraId="17CE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A7B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1D14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075C0D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A1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0248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4C4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726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96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8D5C4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A90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0F94">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201AC">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737D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若尔盖县一体化污水处理设施维护运行和提升改造项目是改善人居环境，治理辖区水环境，主要工程效益就是生态环境效益。主要是维护运行现有的一体化污水处理设施，并对设施需提升的进行提升。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851F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6A6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40B8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2DD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F71D7F">
            <w:pPr>
              <w:rPr>
                <w:rFonts w:hint="eastAsia" w:ascii="宋体" w:hAnsi="宋体" w:eastAsia="宋体" w:cs="宋体"/>
                <w:i w:val="0"/>
                <w:iCs w:val="0"/>
                <w:color w:val="000000"/>
                <w:sz w:val="18"/>
                <w:szCs w:val="18"/>
                <w:u w:val="none"/>
              </w:rPr>
            </w:pPr>
          </w:p>
        </w:tc>
      </w:tr>
      <w:tr w14:paraId="4F2A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06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5A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8A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7B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C5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31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33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A6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72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64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5C0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53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A1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5C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E1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5E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9F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1F56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6C8E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ED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4010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D2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47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58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8F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1C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4E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E8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5FAC4">
            <w:pPr>
              <w:rPr>
                <w:rFonts w:hint="eastAsia" w:ascii="黑体" w:hAnsi="黑体" w:eastAsia="黑体" w:cs="黑体"/>
                <w:i/>
                <w:iCs/>
                <w:color w:val="000000"/>
                <w:sz w:val="18"/>
                <w:szCs w:val="18"/>
                <w:u w:val="none"/>
              </w:rPr>
            </w:pPr>
          </w:p>
        </w:tc>
      </w:tr>
      <w:tr w14:paraId="4452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54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38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59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F1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50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A4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A8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84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17806">
            <w:pPr>
              <w:rPr>
                <w:rFonts w:hint="eastAsia" w:ascii="黑体" w:hAnsi="黑体" w:eastAsia="黑体" w:cs="黑体"/>
                <w:i/>
                <w:iCs/>
                <w:color w:val="000000"/>
                <w:sz w:val="18"/>
                <w:szCs w:val="18"/>
                <w:u w:val="none"/>
              </w:rPr>
            </w:pPr>
          </w:p>
        </w:tc>
      </w:tr>
      <w:tr w14:paraId="5676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2BB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F4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6D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E3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8E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7D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D4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60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2F4B8">
            <w:pPr>
              <w:rPr>
                <w:rFonts w:hint="eastAsia" w:ascii="黑体" w:hAnsi="黑体" w:eastAsia="黑体" w:cs="黑体"/>
                <w:i/>
                <w:iCs/>
                <w:color w:val="000000"/>
                <w:sz w:val="18"/>
                <w:szCs w:val="18"/>
                <w:u w:val="none"/>
              </w:rPr>
            </w:pPr>
          </w:p>
        </w:tc>
      </w:tr>
      <w:tr w14:paraId="1AEF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E19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DB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A3CD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5AA67">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F31E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9EBB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40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5D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F0307">
            <w:pPr>
              <w:rPr>
                <w:rFonts w:hint="eastAsia" w:ascii="黑体" w:hAnsi="黑体" w:eastAsia="黑体" w:cs="黑体"/>
                <w:i/>
                <w:iCs/>
                <w:color w:val="000000"/>
                <w:sz w:val="18"/>
                <w:szCs w:val="18"/>
                <w:u w:val="none"/>
              </w:rPr>
            </w:pPr>
          </w:p>
        </w:tc>
      </w:tr>
      <w:tr w14:paraId="3F89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DD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56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3C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2E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00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31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A2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4E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FA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9F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B8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67D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A7D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AF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C6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8C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维护运行污水处理设施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41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09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D3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FDB2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99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7208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16E01">
            <w:pPr>
              <w:jc w:val="center"/>
              <w:rPr>
                <w:rFonts w:hint="eastAsia" w:ascii="微软雅黑" w:hAnsi="微软雅黑" w:eastAsia="微软雅黑" w:cs="微软雅黑"/>
                <w:i/>
                <w:iCs/>
                <w:color w:val="000000"/>
                <w:sz w:val="16"/>
                <w:szCs w:val="16"/>
                <w:u w:val="none"/>
              </w:rPr>
            </w:pPr>
          </w:p>
        </w:tc>
      </w:tr>
      <w:tr w14:paraId="48C0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1BAE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A9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B6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A6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污水治理率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7C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6F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8B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405E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58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BF5B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6D56D">
            <w:pPr>
              <w:jc w:val="center"/>
              <w:rPr>
                <w:rFonts w:hint="eastAsia" w:ascii="微软雅黑" w:hAnsi="微软雅黑" w:eastAsia="微软雅黑" w:cs="微软雅黑"/>
                <w:i/>
                <w:iCs/>
                <w:color w:val="000000"/>
                <w:sz w:val="16"/>
                <w:szCs w:val="16"/>
                <w:u w:val="none"/>
              </w:rPr>
            </w:pPr>
          </w:p>
        </w:tc>
      </w:tr>
      <w:tr w14:paraId="21F3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137B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93D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05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1E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保障污水收集率推进环境可持续发展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2D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33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11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965F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0F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4DDE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ECA3B">
            <w:pPr>
              <w:jc w:val="center"/>
              <w:rPr>
                <w:rFonts w:hint="eastAsia" w:ascii="微软雅黑" w:hAnsi="微软雅黑" w:eastAsia="微软雅黑" w:cs="微软雅黑"/>
                <w:i/>
                <w:iCs/>
                <w:color w:val="000000"/>
                <w:sz w:val="16"/>
                <w:szCs w:val="16"/>
                <w:u w:val="none"/>
              </w:rPr>
            </w:pPr>
          </w:p>
        </w:tc>
      </w:tr>
      <w:tr w14:paraId="003D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D09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D1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95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92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81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DE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F2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3C4F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99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02FD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B2985">
            <w:pPr>
              <w:jc w:val="center"/>
              <w:rPr>
                <w:rFonts w:hint="eastAsia" w:ascii="微软雅黑" w:hAnsi="微软雅黑" w:eastAsia="微软雅黑" w:cs="微软雅黑"/>
                <w:i/>
                <w:iCs/>
                <w:color w:val="000000"/>
                <w:sz w:val="16"/>
                <w:szCs w:val="16"/>
                <w:u w:val="none"/>
              </w:rPr>
            </w:pPr>
          </w:p>
        </w:tc>
      </w:tr>
      <w:tr w14:paraId="321C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B89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03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3C40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56D80">
            <w:pPr>
              <w:rPr>
                <w:rFonts w:hint="eastAsia" w:ascii="宋体" w:hAnsi="宋体" w:eastAsia="宋体" w:cs="宋体"/>
                <w:i w:val="0"/>
                <w:iCs w:val="0"/>
                <w:color w:val="000000"/>
                <w:sz w:val="18"/>
                <w:szCs w:val="18"/>
                <w:u w:val="none"/>
              </w:rPr>
            </w:pPr>
          </w:p>
        </w:tc>
      </w:tr>
      <w:tr w14:paraId="2AD0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65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B6F72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EAB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2A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FE3BA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928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86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0C53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EE4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CC4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FE42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E36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62B741C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A7D783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8CEF05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D89BC7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3831D0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CB4C65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84BC7E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B00C0D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72C22F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7A4414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25674F3">
            <w:pPr>
              <w:rPr>
                <w:rFonts w:hint="eastAsia" w:ascii="宋体" w:hAnsi="宋体" w:eastAsia="宋体" w:cs="宋体"/>
                <w:i w:val="0"/>
                <w:iCs w:val="0"/>
                <w:color w:val="000000"/>
                <w:sz w:val="18"/>
                <w:szCs w:val="18"/>
                <w:u w:val="none"/>
              </w:rPr>
            </w:pPr>
          </w:p>
        </w:tc>
      </w:tr>
      <w:tr w14:paraId="1BA4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925E3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81C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734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6FBD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51320023Y000009917272-日常公用经费</w:t>
            </w:r>
          </w:p>
        </w:tc>
      </w:tr>
      <w:tr w14:paraId="0D39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307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6264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7FD5D4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4A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012A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5DE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8B0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FC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1FF31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A2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1E1B5">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77EB6">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0EE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914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0B3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57E6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7D2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ED35EC">
            <w:pPr>
              <w:rPr>
                <w:rFonts w:hint="eastAsia" w:ascii="宋体" w:hAnsi="宋体" w:eastAsia="宋体" w:cs="宋体"/>
                <w:i w:val="0"/>
                <w:iCs w:val="0"/>
                <w:color w:val="000000"/>
                <w:sz w:val="18"/>
                <w:szCs w:val="18"/>
                <w:u w:val="none"/>
              </w:rPr>
            </w:pPr>
          </w:p>
        </w:tc>
      </w:tr>
      <w:tr w14:paraId="6328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F0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62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DE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DE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C4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65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88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F2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EE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541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F0AF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7F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4D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1F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F7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06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02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31F2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FC1C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E64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2BED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7B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96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B3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F8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36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A1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4A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85ED">
            <w:pPr>
              <w:rPr>
                <w:rFonts w:hint="eastAsia" w:ascii="黑体" w:hAnsi="黑体" w:eastAsia="黑体" w:cs="黑体"/>
                <w:i/>
                <w:iCs/>
                <w:color w:val="000000"/>
                <w:sz w:val="18"/>
                <w:szCs w:val="18"/>
                <w:u w:val="none"/>
              </w:rPr>
            </w:pPr>
          </w:p>
        </w:tc>
      </w:tr>
      <w:tr w14:paraId="1275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2A61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E6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7C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D6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EE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3C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98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26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F07F">
            <w:pPr>
              <w:rPr>
                <w:rFonts w:hint="eastAsia" w:ascii="黑体" w:hAnsi="黑体" w:eastAsia="黑体" w:cs="黑体"/>
                <w:i/>
                <w:iCs/>
                <w:color w:val="000000"/>
                <w:sz w:val="18"/>
                <w:szCs w:val="18"/>
                <w:u w:val="none"/>
              </w:rPr>
            </w:pPr>
          </w:p>
        </w:tc>
      </w:tr>
      <w:tr w14:paraId="0000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B97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11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2C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AA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CE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8F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AA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32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BB11D">
            <w:pPr>
              <w:rPr>
                <w:rFonts w:hint="eastAsia" w:ascii="黑体" w:hAnsi="黑体" w:eastAsia="黑体" w:cs="黑体"/>
                <w:i/>
                <w:iCs/>
                <w:color w:val="000000"/>
                <w:sz w:val="18"/>
                <w:szCs w:val="18"/>
                <w:u w:val="none"/>
              </w:rPr>
            </w:pPr>
          </w:p>
        </w:tc>
      </w:tr>
      <w:tr w14:paraId="0976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BE3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5F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5F2B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BBDA9">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5BBD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31F4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E8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DF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42660">
            <w:pPr>
              <w:rPr>
                <w:rFonts w:hint="eastAsia" w:ascii="黑体" w:hAnsi="黑体" w:eastAsia="黑体" w:cs="黑体"/>
                <w:i/>
                <w:iCs/>
                <w:color w:val="000000"/>
                <w:sz w:val="18"/>
                <w:szCs w:val="18"/>
                <w:u w:val="none"/>
              </w:rPr>
            </w:pPr>
          </w:p>
        </w:tc>
      </w:tr>
      <w:tr w14:paraId="0747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C4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19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3D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A3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79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28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BB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56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39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60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42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12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7559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FA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79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64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0F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A6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21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5DF1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66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042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52196">
            <w:pPr>
              <w:jc w:val="center"/>
              <w:rPr>
                <w:rFonts w:hint="eastAsia" w:ascii="微软雅黑" w:hAnsi="微软雅黑" w:eastAsia="微软雅黑" w:cs="微软雅黑"/>
                <w:i/>
                <w:iCs/>
                <w:color w:val="000000"/>
                <w:sz w:val="16"/>
                <w:szCs w:val="16"/>
                <w:u w:val="none"/>
              </w:rPr>
            </w:pPr>
          </w:p>
        </w:tc>
      </w:tr>
      <w:tr w14:paraId="21C7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8A1E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9F48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C8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DE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28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0A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C0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939E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73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699C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DA7F9">
            <w:pPr>
              <w:jc w:val="center"/>
              <w:rPr>
                <w:rFonts w:hint="eastAsia" w:ascii="微软雅黑" w:hAnsi="微软雅黑" w:eastAsia="微软雅黑" w:cs="微软雅黑"/>
                <w:i/>
                <w:iCs/>
                <w:color w:val="000000"/>
                <w:sz w:val="16"/>
                <w:szCs w:val="16"/>
                <w:u w:val="none"/>
              </w:rPr>
            </w:pPr>
          </w:p>
        </w:tc>
      </w:tr>
      <w:tr w14:paraId="0BB6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B4FC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83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01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2A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47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90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9C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DA6F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0C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9B31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3B295">
            <w:pPr>
              <w:jc w:val="center"/>
              <w:rPr>
                <w:rFonts w:hint="eastAsia" w:ascii="微软雅黑" w:hAnsi="微软雅黑" w:eastAsia="微软雅黑" w:cs="微软雅黑"/>
                <w:i/>
                <w:iCs/>
                <w:color w:val="000000"/>
                <w:sz w:val="16"/>
                <w:szCs w:val="16"/>
                <w:u w:val="none"/>
              </w:rPr>
            </w:pPr>
          </w:p>
        </w:tc>
      </w:tr>
      <w:tr w14:paraId="0E2D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5B64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831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29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5A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79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E8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5E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50EF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B7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6531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43143">
            <w:pPr>
              <w:jc w:val="center"/>
              <w:rPr>
                <w:rFonts w:hint="eastAsia" w:ascii="微软雅黑" w:hAnsi="微软雅黑" w:eastAsia="微软雅黑" w:cs="微软雅黑"/>
                <w:i/>
                <w:iCs/>
                <w:color w:val="000000"/>
                <w:sz w:val="16"/>
                <w:szCs w:val="16"/>
                <w:u w:val="none"/>
              </w:rPr>
            </w:pPr>
          </w:p>
        </w:tc>
      </w:tr>
      <w:tr w14:paraId="42F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A81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BE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258A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2C55B">
            <w:pPr>
              <w:rPr>
                <w:rFonts w:hint="eastAsia" w:ascii="宋体" w:hAnsi="宋体" w:eastAsia="宋体" w:cs="宋体"/>
                <w:i w:val="0"/>
                <w:iCs w:val="0"/>
                <w:color w:val="000000"/>
                <w:sz w:val="18"/>
                <w:szCs w:val="18"/>
                <w:u w:val="none"/>
              </w:rPr>
            </w:pPr>
          </w:p>
        </w:tc>
      </w:tr>
      <w:tr w14:paraId="4F88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B9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C219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363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06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6591A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671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FF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DF0F7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522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F163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9308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958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565313B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1166DD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454C50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F6472E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8136CF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100DF5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BBFFAA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CBED6B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34EDD2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30DC2D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664C542">
            <w:pPr>
              <w:rPr>
                <w:rFonts w:hint="eastAsia" w:ascii="宋体" w:hAnsi="宋体" w:eastAsia="宋体" w:cs="宋体"/>
                <w:i w:val="0"/>
                <w:iCs w:val="0"/>
                <w:color w:val="000000"/>
                <w:sz w:val="18"/>
                <w:szCs w:val="18"/>
                <w:u w:val="none"/>
              </w:rPr>
            </w:pPr>
          </w:p>
        </w:tc>
      </w:tr>
      <w:tr w14:paraId="0EBE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A632C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BB6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6C0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282D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51320024R000010654621-退休人员经费</w:t>
            </w:r>
          </w:p>
        </w:tc>
      </w:tr>
      <w:tr w14:paraId="249A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E35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8E27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024BD9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C2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642B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364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4A8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81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C8A72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F4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BA586">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9FAFB">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8A3F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1044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B88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E298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9C9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B252CE">
            <w:pPr>
              <w:rPr>
                <w:rFonts w:hint="eastAsia" w:ascii="宋体" w:hAnsi="宋体" w:eastAsia="宋体" w:cs="宋体"/>
                <w:i w:val="0"/>
                <w:iCs w:val="0"/>
                <w:color w:val="000000"/>
                <w:sz w:val="18"/>
                <w:szCs w:val="18"/>
                <w:u w:val="none"/>
              </w:rPr>
            </w:pPr>
          </w:p>
        </w:tc>
      </w:tr>
      <w:tr w14:paraId="72B0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B3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33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DD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E7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D3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A2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C2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E0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E3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C1F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F7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C1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B6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29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84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70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4C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1F36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C51A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329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BA6C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E5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4D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69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46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83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82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3B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54FD8">
            <w:pPr>
              <w:rPr>
                <w:rFonts w:hint="eastAsia" w:ascii="黑体" w:hAnsi="黑体" w:eastAsia="黑体" w:cs="黑体"/>
                <w:i/>
                <w:iCs/>
                <w:color w:val="000000"/>
                <w:sz w:val="18"/>
                <w:szCs w:val="18"/>
                <w:u w:val="none"/>
              </w:rPr>
            </w:pPr>
          </w:p>
        </w:tc>
      </w:tr>
      <w:tr w14:paraId="602C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8D1D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A4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CA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98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19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C1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97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56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A08BE">
            <w:pPr>
              <w:rPr>
                <w:rFonts w:hint="eastAsia" w:ascii="黑体" w:hAnsi="黑体" w:eastAsia="黑体" w:cs="黑体"/>
                <w:i/>
                <w:iCs/>
                <w:color w:val="000000"/>
                <w:sz w:val="18"/>
                <w:szCs w:val="18"/>
                <w:u w:val="none"/>
              </w:rPr>
            </w:pPr>
          </w:p>
        </w:tc>
      </w:tr>
      <w:tr w14:paraId="1774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614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F3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B2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9A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03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BA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CA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81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56ED7">
            <w:pPr>
              <w:rPr>
                <w:rFonts w:hint="eastAsia" w:ascii="黑体" w:hAnsi="黑体" w:eastAsia="黑体" w:cs="黑体"/>
                <w:i/>
                <w:iCs/>
                <w:color w:val="000000"/>
                <w:sz w:val="18"/>
                <w:szCs w:val="18"/>
                <w:u w:val="none"/>
              </w:rPr>
            </w:pPr>
          </w:p>
        </w:tc>
      </w:tr>
      <w:tr w14:paraId="3771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2B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1D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0B99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6E78B">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C612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EBD5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09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93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4F18">
            <w:pPr>
              <w:rPr>
                <w:rFonts w:hint="eastAsia" w:ascii="黑体" w:hAnsi="黑体" w:eastAsia="黑体" w:cs="黑体"/>
                <w:i/>
                <w:iCs/>
                <w:color w:val="000000"/>
                <w:sz w:val="18"/>
                <w:szCs w:val="18"/>
                <w:u w:val="none"/>
              </w:rPr>
            </w:pPr>
          </w:p>
        </w:tc>
      </w:tr>
      <w:tr w14:paraId="7AA6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C0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88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FD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99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DD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22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A6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B4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2B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32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85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49B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2076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AD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66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7A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3B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BB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D1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6B4F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3F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7F02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2364D">
            <w:pPr>
              <w:jc w:val="center"/>
              <w:rPr>
                <w:rFonts w:hint="eastAsia" w:ascii="微软雅黑" w:hAnsi="微软雅黑" w:eastAsia="微软雅黑" w:cs="微软雅黑"/>
                <w:i/>
                <w:iCs/>
                <w:color w:val="000000"/>
                <w:sz w:val="16"/>
                <w:szCs w:val="16"/>
                <w:u w:val="none"/>
              </w:rPr>
            </w:pPr>
          </w:p>
        </w:tc>
      </w:tr>
      <w:tr w14:paraId="1540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832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BD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93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5C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B0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08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54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845A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95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88D5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72A6B">
            <w:pPr>
              <w:jc w:val="center"/>
              <w:rPr>
                <w:rFonts w:hint="eastAsia" w:ascii="微软雅黑" w:hAnsi="微软雅黑" w:eastAsia="微软雅黑" w:cs="微软雅黑"/>
                <w:i/>
                <w:iCs/>
                <w:color w:val="000000"/>
                <w:sz w:val="16"/>
                <w:szCs w:val="16"/>
                <w:u w:val="none"/>
              </w:rPr>
            </w:pPr>
          </w:p>
        </w:tc>
      </w:tr>
      <w:tr w14:paraId="6DD9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20A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87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41A9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F75AC">
            <w:pPr>
              <w:rPr>
                <w:rFonts w:hint="eastAsia" w:ascii="宋体" w:hAnsi="宋体" w:eastAsia="宋体" w:cs="宋体"/>
                <w:i w:val="0"/>
                <w:iCs w:val="0"/>
                <w:color w:val="000000"/>
                <w:sz w:val="18"/>
                <w:szCs w:val="18"/>
                <w:u w:val="none"/>
              </w:rPr>
            </w:pPr>
          </w:p>
        </w:tc>
      </w:tr>
      <w:tr w14:paraId="62B2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62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B2205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CF52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B6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9D9BB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DD7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44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72074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0FC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282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52A7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11D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39F18AE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6FE66B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948EC1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4D555A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07C43E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EEF2D2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C33A81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CF892D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6D54A0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9F9986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2A44929">
            <w:pPr>
              <w:rPr>
                <w:rFonts w:hint="eastAsia" w:ascii="宋体" w:hAnsi="宋体" w:eastAsia="宋体" w:cs="宋体"/>
                <w:i w:val="0"/>
                <w:iCs w:val="0"/>
                <w:color w:val="000000"/>
                <w:sz w:val="18"/>
                <w:szCs w:val="18"/>
                <w:u w:val="none"/>
              </w:rPr>
            </w:pPr>
          </w:p>
        </w:tc>
      </w:tr>
      <w:tr w14:paraId="22FCD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74C43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6B8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D7E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7D57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51320024T000011127201-大气环境管理能力提升项目</w:t>
            </w:r>
          </w:p>
        </w:tc>
      </w:tr>
      <w:tr w14:paraId="3FAA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DBC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1AF7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269A24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BD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3E4E1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BEA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C4C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B95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BD948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85B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AA65">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3C87">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5EDE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大气环境管理人员工作能力切实得到提升、大气环境管理相关装备技术得到提升。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746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928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3E47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E6B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F518B3">
            <w:pPr>
              <w:rPr>
                <w:rFonts w:hint="eastAsia" w:ascii="宋体" w:hAnsi="宋体" w:eastAsia="宋体" w:cs="宋体"/>
                <w:i w:val="0"/>
                <w:iCs w:val="0"/>
                <w:color w:val="000000"/>
                <w:sz w:val="18"/>
                <w:szCs w:val="18"/>
                <w:u w:val="none"/>
              </w:rPr>
            </w:pPr>
          </w:p>
        </w:tc>
      </w:tr>
      <w:tr w14:paraId="18B5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9D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40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84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92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F8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2A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FD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95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1E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FA5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01E2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95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6E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54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6A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7A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C6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D17A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4D00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A9F3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F19A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40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1A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30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9B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D5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FA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D4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A645">
            <w:pPr>
              <w:rPr>
                <w:rFonts w:hint="eastAsia" w:ascii="黑体" w:hAnsi="黑体" w:eastAsia="黑体" w:cs="黑体"/>
                <w:i/>
                <w:iCs/>
                <w:color w:val="000000"/>
                <w:sz w:val="18"/>
                <w:szCs w:val="18"/>
                <w:u w:val="none"/>
              </w:rPr>
            </w:pPr>
          </w:p>
        </w:tc>
      </w:tr>
      <w:tr w14:paraId="1FF6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551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CA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F5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7F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65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50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A9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A0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21EE0">
            <w:pPr>
              <w:rPr>
                <w:rFonts w:hint="eastAsia" w:ascii="黑体" w:hAnsi="黑体" w:eastAsia="黑体" w:cs="黑体"/>
                <w:i/>
                <w:iCs/>
                <w:color w:val="000000"/>
                <w:sz w:val="18"/>
                <w:szCs w:val="18"/>
                <w:u w:val="none"/>
              </w:rPr>
            </w:pPr>
          </w:p>
        </w:tc>
      </w:tr>
      <w:tr w14:paraId="32637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855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06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F1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6E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31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CF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77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5B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A15E6">
            <w:pPr>
              <w:rPr>
                <w:rFonts w:hint="eastAsia" w:ascii="黑体" w:hAnsi="黑体" w:eastAsia="黑体" w:cs="黑体"/>
                <w:i/>
                <w:iCs/>
                <w:color w:val="000000"/>
                <w:sz w:val="18"/>
                <w:szCs w:val="18"/>
                <w:u w:val="none"/>
              </w:rPr>
            </w:pPr>
          </w:p>
        </w:tc>
      </w:tr>
      <w:tr w14:paraId="39C1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79E2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29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7CAF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4B6E8">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15D7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0260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1B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3A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CCAC">
            <w:pPr>
              <w:rPr>
                <w:rFonts w:hint="eastAsia" w:ascii="黑体" w:hAnsi="黑体" w:eastAsia="黑体" w:cs="黑体"/>
                <w:i/>
                <w:iCs/>
                <w:color w:val="000000"/>
                <w:sz w:val="18"/>
                <w:szCs w:val="18"/>
                <w:u w:val="none"/>
              </w:rPr>
            </w:pPr>
          </w:p>
        </w:tc>
      </w:tr>
      <w:tr w14:paraId="2EB9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74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13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EA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7F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DA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EA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0D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DC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4D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54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B6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468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883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BC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BD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95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79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01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A0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0D78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DD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3A31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2D82E">
            <w:pPr>
              <w:jc w:val="center"/>
              <w:rPr>
                <w:rFonts w:hint="eastAsia" w:ascii="微软雅黑" w:hAnsi="微软雅黑" w:eastAsia="微软雅黑" w:cs="微软雅黑"/>
                <w:i/>
                <w:iCs/>
                <w:color w:val="000000"/>
                <w:sz w:val="16"/>
                <w:szCs w:val="16"/>
                <w:u w:val="none"/>
              </w:rPr>
            </w:pPr>
          </w:p>
        </w:tc>
      </w:tr>
      <w:tr w14:paraId="473C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C4B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6E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5F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2C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优良天数率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17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D7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E1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FF79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98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E76A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13D85">
            <w:pPr>
              <w:jc w:val="center"/>
              <w:rPr>
                <w:rFonts w:hint="eastAsia" w:ascii="微软雅黑" w:hAnsi="微软雅黑" w:eastAsia="微软雅黑" w:cs="微软雅黑"/>
                <w:i/>
                <w:iCs/>
                <w:color w:val="000000"/>
                <w:sz w:val="16"/>
                <w:szCs w:val="16"/>
                <w:u w:val="none"/>
              </w:rPr>
            </w:pPr>
          </w:p>
        </w:tc>
      </w:tr>
      <w:tr w14:paraId="0CB3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6AC0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02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5D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1F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群众对大气环境质量的满意度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31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DA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00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CC57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8F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B972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B0A72">
            <w:pPr>
              <w:jc w:val="center"/>
              <w:rPr>
                <w:rFonts w:hint="eastAsia" w:ascii="微软雅黑" w:hAnsi="微软雅黑" w:eastAsia="微软雅黑" w:cs="微软雅黑"/>
                <w:i/>
                <w:iCs/>
                <w:color w:val="000000"/>
                <w:sz w:val="16"/>
                <w:szCs w:val="16"/>
                <w:u w:val="none"/>
              </w:rPr>
            </w:pPr>
          </w:p>
        </w:tc>
      </w:tr>
      <w:tr w14:paraId="153F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384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A6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855D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1B0E3">
            <w:pPr>
              <w:rPr>
                <w:rFonts w:hint="eastAsia" w:ascii="宋体" w:hAnsi="宋体" w:eastAsia="宋体" w:cs="宋体"/>
                <w:i w:val="0"/>
                <w:iCs w:val="0"/>
                <w:color w:val="000000"/>
                <w:sz w:val="18"/>
                <w:szCs w:val="18"/>
                <w:u w:val="none"/>
              </w:rPr>
            </w:pPr>
          </w:p>
        </w:tc>
      </w:tr>
      <w:tr w14:paraId="7F1A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48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56CFA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B08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6E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15A32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0C40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F8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DDD66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135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D2D0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A5BA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AF7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3DBB363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98312C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685D7A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4CC62C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558916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8551D4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303BB8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1A8FE3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725957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79C078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3CFA67C">
            <w:pPr>
              <w:rPr>
                <w:rFonts w:hint="eastAsia" w:ascii="宋体" w:hAnsi="宋体" w:eastAsia="宋体" w:cs="宋体"/>
                <w:i w:val="0"/>
                <w:iCs w:val="0"/>
                <w:color w:val="000000"/>
                <w:sz w:val="18"/>
                <w:szCs w:val="18"/>
                <w:u w:val="none"/>
              </w:rPr>
            </w:pPr>
          </w:p>
        </w:tc>
      </w:tr>
      <w:tr w14:paraId="66B0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74B19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EF7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104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0685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51320024T000011682424-若尔盖县固体污染防治设施采购项目</w:t>
            </w:r>
          </w:p>
        </w:tc>
      </w:tr>
      <w:tr w14:paraId="265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FEC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05B7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5C1DCB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27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69A2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18F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906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7CF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C0D35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067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2A806">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6510A">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4E6C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购置移动式医疗废物处置车辆1台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306C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6A8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115B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161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6093D1">
            <w:pPr>
              <w:rPr>
                <w:rFonts w:hint="eastAsia" w:ascii="宋体" w:hAnsi="宋体" w:eastAsia="宋体" w:cs="宋体"/>
                <w:i w:val="0"/>
                <w:iCs w:val="0"/>
                <w:color w:val="000000"/>
                <w:sz w:val="18"/>
                <w:szCs w:val="18"/>
                <w:u w:val="none"/>
              </w:rPr>
            </w:pPr>
          </w:p>
        </w:tc>
      </w:tr>
      <w:tr w14:paraId="5968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BF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7F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DC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06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5A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CE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70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16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DF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2D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EE37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DC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F2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55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A3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95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49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0289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93EB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653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0B4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A7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4C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13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C5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78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FA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D9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8F501">
            <w:pPr>
              <w:rPr>
                <w:rFonts w:hint="eastAsia" w:ascii="黑体" w:hAnsi="黑体" w:eastAsia="黑体" w:cs="黑体"/>
                <w:i/>
                <w:iCs/>
                <w:color w:val="000000"/>
                <w:sz w:val="18"/>
                <w:szCs w:val="18"/>
                <w:u w:val="none"/>
              </w:rPr>
            </w:pPr>
          </w:p>
        </w:tc>
      </w:tr>
      <w:tr w14:paraId="4821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3A8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12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06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7A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65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CC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E9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3C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14ADE">
            <w:pPr>
              <w:rPr>
                <w:rFonts w:hint="eastAsia" w:ascii="黑体" w:hAnsi="黑体" w:eastAsia="黑体" w:cs="黑体"/>
                <w:i/>
                <w:iCs/>
                <w:color w:val="000000"/>
                <w:sz w:val="18"/>
                <w:szCs w:val="18"/>
                <w:u w:val="none"/>
              </w:rPr>
            </w:pPr>
          </w:p>
        </w:tc>
      </w:tr>
      <w:tr w14:paraId="0EC6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41C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C5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20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E4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1B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1A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48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61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D82AE">
            <w:pPr>
              <w:rPr>
                <w:rFonts w:hint="eastAsia" w:ascii="黑体" w:hAnsi="黑体" w:eastAsia="黑体" w:cs="黑体"/>
                <w:i/>
                <w:iCs/>
                <w:color w:val="000000"/>
                <w:sz w:val="18"/>
                <w:szCs w:val="18"/>
                <w:u w:val="none"/>
              </w:rPr>
            </w:pPr>
          </w:p>
        </w:tc>
      </w:tr>
      <w:tr w14:paraId="643E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CF5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27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F94B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B84B8">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B664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0B9E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A2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40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9FC08">
            <w:pPr>
              <w:rPr>
                <w:rFonts w:hint="eastAsia" w:ascii="黑体" w:hAnsi="黑体" w:eastAsia="黑体" w:cs="黑体"/>
                <w:i/>
                <w:iCs/>
                <w:color w:val="000000"/>
                <w:sz w:val="18"/>
                <w:szCs w:val="18"/>
                <w:u w:val="none"/>
              </w:rPr>
            </w:pPr>
          </w:p>
        </w:tc>
      </w:tr>
      <w:tr w14:paraId="58CD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48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E9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98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A6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2F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CB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92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7C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06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0B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BE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9C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C6C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C9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4C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8A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F9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81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5B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14C3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7E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C849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856C3">
            <w:pPr>
              <w:jc w:val="center"/>
              <w:rPr>
                <w:rFonts w:hint="eastAsia" w:ascii="微软雅黑" w:hAnsi="微软雅黑" w:eastAsia="微软雅黑" w:cs="微软雅黑"/>
                <w:i/>
                <w:iCs/>
                <w:color w:val="000000"/>
                <w:sz w:val="16"/>
                <w:szCs w:val="16"/>
                <w:u w:val="none"/>
              </w:rPr>
            </w:pPr>
          </w:p>
        </w:tc>
      </w:tr>
      <w:tr w14:paraId="58EE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6DED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D7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6B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15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医疗废物处置率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74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A7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A6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4AA2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37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82C6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D5055">
            <w:pPr>
              <w:jc w:val="center"/>
              <w:rPr>
                <w:rFonts w:hint="eastAsia" w:ascii="微软雅黑" w:hAnsi="微软雅黑" w:eastAsia="微软雅黑" w:cs="微软雅黑"/>
                <w:i/>
                <w:iCs/>
                <w:color w:val="000000"/>
                <w:sz w:val="16"/>
                <w:szCs w:val="16"/>
                <w:u w:val="none"/>
              </w:rPr>
            </w:pPr>
          </w:p>
        </w:tc>
      </w:tr>
      <w:tr w14:paraId="7A0D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37D4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7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45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19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67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4F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F7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0A68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71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9BCC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FD8D3">
            <w:pPr>
              <w:jc w:val="center"/>
              <w:rPr>
                <w:rFonts w:hint="eastAsia" w:ascii="微软雅黑" w:hAnsi="微软雅黑" w:eastAsia="微软雅黑" w:cs="微软雅黑"/>
                <w:i/>
                <w:iCs/>
                <w:color w:val="000000"/>
                <w:sz w:val="16"/>
                <w:szCs w:val="16"/>
                <w:u w:val="none"/>
              </w:rPr>
            </w:pPr>
          </w:p>
        </w:tc>
      </w:tr>
      <w:tr w14:paraId="3CFF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865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76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8512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7E9F7">
            <w:pPr>
              <w:rPr>
                <w:rFonts w:hint="eastAsia" w:ascii="宋体" w:hAnsi="宋体" w:eastAsia="宋体" w:cs="宋体"/>
                <w:i w:val="0"/>
                <w:iCs w:val="0"/>
                <w:color w:val="000000"/>
                <w:sz w:val="18"/>
                <w:szCs w:val="18"/>
                <w:u w:val="none"/>
              </w:rPr>
            </w:pPr>
          </w:p>
        </w:tc>
      </w:tr>
      <w:tr w14:paraId="1DD7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66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5784F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509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4C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4A5DF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161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02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F45A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782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264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A09AA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98A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677620C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FAD303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917A31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7C2B4E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EEC5D0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0E3D89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FF6C85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3118AA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4E38F8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C0F579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60CA78C">
            <w:pPr>
              <w:rPr>
                <w:rFonts w:hint="eastAsia" w:ascii="宋体" w:hAnsi="宋体" w:eastAsia="宋体" w:cs="宋体"/>
                <w:i w:val="0"/>
                <w:iCs w:val="0"/>
                <w:color w:val="000000"/>
                <w:sz w:val="18"/>
                <w:szCs w:val="18"/>
                <w:u w:val="none"/>
              </w:rPr>
            </w:pPr>
          </w:p>
        </w:tc>
      </w:tr>
      <w:tr w14:paraId="016D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39B06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94C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477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6ECA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51320024T000011882659-县域生态质量考核监测项目</w:t>
            </w:r>
          </w:p>
        </w:tc>
      </w:tr>
      <w:tr w14:paraId="0F98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C2B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0FE3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7567D7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89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3A33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3F8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E94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4C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5B4E9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681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1FD24">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4D3F3">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A80F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完成县域生态质量考核监测工作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2021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61F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50C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335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4C08C2">
            <w:pPr>
              <w:rPr>
                <w:rFonts w:hint="eastAsia" w:ascii="宋体" w:hAnsi="宋体" w:eastAsia="宋体" w:cs="宋体"/>
                <w:i w:val="0"/>
                <w:iCs w:val="0"/>
                <w:color w:val="000000"/>
                <w:sz w:val="18"/>
                <w:szCs w:val="18"/>
                <w:u w:val="none"/>
              </w:rPr>
            </w:pPr>
          </w:p>
        </w:tc>
      </w:tr>
      <w:tr w14:paraId="26A5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25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CC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88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8F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E9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D2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72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44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41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D99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5477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87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4E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7B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E3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B5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90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59AC3">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2E44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229B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FC0C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F7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B6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3D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D0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67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17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6C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DBF39">
            <w:pPr>
              <w:rPr>
                <w:rFonts w:hint="eastAsia" w:ascii="黑体" w:hAnsi="黑体" w:eastAsia="黑体" w:cs="黑体"/>
                <w:i/>
                <w:iCs/>
                <w:color w:val="000000"/>
                <w:sz w:val="18"/>
                <w:szCs w:val="18"/>
                <w:u w:val="none"/>
              </w:rPr>
            </w:pPr>
          </w:p>
        </w:tc>
      </w:tr>
      <w:tr w14:paraId="627D7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7DC1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C3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CB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33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10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FE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3F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48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721BD">
            <w:pPr>
              <w:rPr>
                <w:rFonts w:hint="eastAsia" w:ascii="黑体" w:hAnsi="黑体" w:eastAsia="黑体" w:cs="黑体"/>
                <w:i/>
                <w:iCs/>
                <w:color w:val="000000"/>
                <w:sz w:val="18"/>
                <w:szCs w:val="18"/>
                <w:u w:val="none"/>
              </w:rPr>
            </w:pPr>
          </w:p>
        </w:tc>
      </w:tr>
      <w:tr w14:paraId="22F92197">
        <w:tblPrEx>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0174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50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9C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A2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EA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03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59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C2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26358">
            <w:pPr>
              <w:rPr>
                <w:rFonts w:hint="eastAsia" w:ascii="黑体" w:hAnsi="黑体" w:eastAsia="黑体" w:cs="黑体"/>
                <w:i/>
                <w:iCs/>
                <w:color w:val="000000"/>
                <w:sz w:val="18"/>
                <w:szCs w:val="18"/>
                <w:u w:val="none"/>
              </w:rPr>
            </w:pPr>
          </w:p>
        </w:tc>
      </w:tr>
      <w:tr w14:paraId="3331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56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A2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AB90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F7124">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4373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318A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EB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4E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C73F">
            <w:pPr>
              <w:rPr>
                <w:rFonts w:hint="eastAsia" w:ascii="黑体" w:hAnsi="黑体" w:eastAsia="黑体" w:cs="黑体"/>
                <w:i/>
                <w:iCs/>
                <w:color w:val="000000"/>
                <w:sz w:val="18"/>
                <w:szCs w:val="18"/>
                <w:u w:val="none"/>
              </w:rPr>
            </w:pPr>
          </w:p>
        </w:tc>
      </w:tr>
      <w:tr w14:paraId="0B95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E5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E6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D9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FC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4B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1D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BF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C5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2E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B3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83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2E8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CFDE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A9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E3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F2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监测点位80个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9E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C1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87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1A14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7D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29DF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1B19C">
            <w:pPr>
              <w:jc w:val="center"/>
              <w:rPr>
                <w:rFonts w:hint="eastAsia" w:ascii="微软雅黑" w:hAnsi="微软雅黑" w:eastAsia="微软雅黑" w:cs="微软雅黑"/>
                <w:i/>
                <w:iCs/>
                <w:color w:val="000000"/>
                <w:sz w:val="16"/>
                <w:szCs w:val="16"/>
                <w:u w:val="none"/>
              </w:rPr>
            </w:pPr>
          </w:p>
        </w:tc>
      </w:tr>
      <w:tr w14:paraId="7732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16E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03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37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F5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及时了解和掌握整个区域环境质量情况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DF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8F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86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AC5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65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5E2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2732A">
            <w:pPr>
              <w:jc w:val="center"/>
              <w:rPr>
                <w:rFonts w:hint="eastAsia" w:ascii="微软雅黑" w:hAnsi="微软雅黑" w:eastAsia="微软雅黑" w:cs="微软雅黑"/>
                <w:i/>
                <w:iCs/>
                <w:color w:val="000000"/>
                <w:sz w:val="16"/>
                <w:szCs w:val="16"/>
                <w:u w:val="none"/>
              </w:rPr>
            </w:pPr>
          </w:p>
        </w:tc>
      </w:tr>
      <w:tr w14:paraId="5BE5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5D35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82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F9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D1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EA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92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B5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36DB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E3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75E2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B4E5D">
            <w:pPr>
              <w:jc w:val="center"/>
              <w:rPr>
                <w:rFonts w:hint="eastAsia" w:ascii="微软雅黑" w:hAnsi="微软雅黑" w:eastAsia="微软雅黑" w:cs="微软雅黑"/>
                <w:i/>
                <w:iCs/>
                <w:color w:val="000000"/>
                <w:sz w:val="16"/>
                <w:szCs w:val="16"/>
                <w:u w:val="none"/>
              </w:rPr>
            </w:pPr>
          </w:p>
        </w:tc>
      </w:tr>
      <w:tr w14:paraId="6657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39E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68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8ED3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A71B0">
            <w:pPr>
              <w:rPr>
                <w:rFonts w:hint="eastAsia" w:ascii="宋体" w:hAnsi="宋体" w:eastAsia="宋体" w:cs="宋体"/>
                <w:i w:val="0"/>
                <w:iCs w:val="0"/>
                <w:color w:val="000000"/>
                <w:sz w:val="18"/>
                <w:szCs w:val="18"/>
                <w:u w:val="none"/>
              </w:rPr>
            </w:pPr>
          </w:p>
        </w:tc>
      </w:tr>
      <w:tr w14:paraId="113D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A6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C727D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F20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77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A8360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BE6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78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FF3D5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FD4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52EC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7EAD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BBA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3094AAB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2638E8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6BC876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AC53A7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B1EF22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8305C9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F775FD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A919BF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F15FD3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D0A3B5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F916905">
            <w:pPr>
              <w:rPr>
                <w:rFonts w:hint="eastAsia" w:ascii="宋体" w:hAnsi="宋体" w:eastAsia="宋体" w:cs="宋体"/>
                <w:i w:val="0"/>
                <w:iCs w:val="0"/>
                <w:color w:val="000000"/>
                <w:sz w:val="18"/>
                <w:szCs w:val="18"/>
                <w:u w:val="none"/>
              </w:rPr>
            </w:pPr>
          </w:p>
        </w:tc>
      </w:tr>
      <w:tr w14:paraId="5684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FB861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2E8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2ED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3B1B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51320024T000011882672-农村环境质量试点监测项目</w:t>
            </w:r>
          </w:p>
        </w:tc>
      </w:tr>
      <w:tr w14:paraId="4D65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16F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4BFA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0" w:type="auto"/>
            <w:tcBorders>
              <w:top w:val="nil"/>
              <w:left w:val="nil"/>
              <w:bottom w:val="nil"/>
              <w:right w:val="nil"/>
            </w:tcBorders>
            <w:shd w:val="clear" w:color="auto" w:fill="auto"/>
            <w:vAlign w:val="center"/>
          </w:tcPr>
          <w:p w14:paraId="15E0276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91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若尔盖县生态环境局</w:t>
            </w:r>
          </w:p>
        </w:tc>
      </w:tr>
      <w:tr w14:paraId="48DB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450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D5D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702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DBFE6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67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E943B">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06C7">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A1C0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完成农村环境质量试点监测工作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DCD6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6CC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0698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B5B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50299B">
            <w:pPr>
              <w:rPr>
                <w:rFonts w:hint="eastAsia" w:ascii="宋体" w:hAnsi="宋体" w:eastAsia="宋体" w:cs="宋体"/>
                <w:i w:val="0"/>
                <w:iCs w:val="0"/>
                <w:color w:val="000000"/>
                <w:sz w:val="18"/>
                <w:szCs w:val="18"/>
                <w:u w:val="none"/>
              </w:rPr>
            </w:pPr>
          </w:p>
        </w:tc>
      </w:tr>
      <w:tr w14:paraId="7489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2E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FC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BB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98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0B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6C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5A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26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8E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CE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6A21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41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E9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AE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47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07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86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87136">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3929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8EC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9BD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F7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4A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5F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98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E8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D0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34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5131">
            <w:pPr>
              <w:rPr>
                <w:rFonts w:hint="eastAsia" w:ascii="黑体" w:hAnsi="黑体" w:eastAsia="黑体" w:cs="黑体"/>
                <w:i/>
                <w:iCs/>
                <w:color w:val="000000"/>
                <w:sz w:val="18"/>
                <w:szCs w:val="18"/>
                <w:u w:val="none"/>
              </w:rPr>
            </w:pPr>
          </w:p>
        </w:tc>
      </w:tr>
      <w:tr w14:paraId="4E18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BFF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C9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A8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3F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DE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F7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87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25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9BE29">
            <w:pPr>
              <w:rPr>
                <w:rFonts w:hint="eastAsia" w:ascii="黑体" w:hAnsi="黑体" w:eastAsia="黑体" w:cs="黑体"/>
                <w:i/>
                <w:iCs/>
                <w:color w:val="000000"/>
                <w:sz w:val="18"/>
                <w:szCs w:val="18"/>
                <w:u w:val="none"/>
              </w:rPr>
            </w:pPr>
          </w:p>
        </w:tc>
      </w:tr>
      <w:tr w14:paraId="4E1FA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28F5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62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33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EC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A0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E5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67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63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C200F">
            <w:pPr>
              <w:rPr>
                <w:rFonts w:hint="eastAsia" w:ascii="黑体" w:hAnsi="黑体" w:eastAsia="黑体" w:cs="黑体"/>
                <w:i/>
                <w:iCs/>
                <w:color w:val="000000"/>
                <w:sz w:val="18"/>
                <w:szCs w:val="18"/>
                <w:u w:val="none"/>
              </w:rPr>
            </w:pPr>
          </w:p>
        </w:tc>
      </w:tr>
      <w:tr w14:paraId="2905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90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23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6D49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31887">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CB38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B02F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C9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8F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499B5">
            <w:pPr>
              <w:rPr>
                <w:rFonts w:hint="eastAsia" w:ascii="黑体" w:hAnsi="黑体" w:eastAsia="黑体" w:cs="黑体"/>
                <w:i/>
                <w:iCs/>
                <w:color w:val="000000"/>
                <w:sz w:val="18"/>
                <w:szCs w:val="18"/>
                <w:u w:val="none"/>
              </w:rPr>
            </w:pPr>
          </w:p>
        </w:tc>
      </w:tr>
      <w:tr w14:paraId="53B8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E1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6C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3A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AC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DE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E4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8B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85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58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09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07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4E6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A38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66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9A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2B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8A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7E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F6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7834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E2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CD3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A26A8">
            <w:pPr>
              <w:jc w:val="center"/>
              <w:rPr>
                <w:rFonts w:hint="eastAsia" w:ascii="微软雅黑" w:hAnsi="微软雅黑" w:eastAsia="微软雅黑" w:cs="微软雅黑"/>
                <w:i/>
                <w:iCs/>
                <w:color w:val="000000"/>
                <w:sz w:val="16"/>
                <w:szCs w:val="16"/>
                <w:u w:val="none"/>
              </w:rPr>
            </w:pPr>
          </w:p>
        </w:tc>
      </w:tr>
      <w:tr w14:paraId="0F13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F83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D8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4C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0C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及时掌握两个农村试点监测点位环境质量状况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C4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60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28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59127">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9A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6B05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65AEA">
            <w:pPr>
              <w:jc w:val="center"/>
              <w:rPr>
                <w:rFonts w:hint="eastAsia" w:ascii="微软雅黑" w:hAnsi="微软雅黑" w:eastAsia="微软雅黑" w:cs="微软雅黑"/>
                <w:i/>
                <w:iCs/>
                <w:color w:val="000000"/>
                <w:sz w:val="16"/>
                <w:szCs w:val="16"/>
                <w:u w:val="none"/>
              </w:rPr>
            </w:pPr>
          </w:p>
        </w:tc>
      </w:tr>
      <w:tr w14:paraId="6148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8866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0F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61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E4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6F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EC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41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459E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B9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DEB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E739B">
            <w:pPr>
              <w:jc w:val="center"/>
              <w:rPr>
                <w:rFonts w:hint="eastAsia" w:ascii="微软雅黑" w:hAnsi="微软雅黑" w:eastAsia="微软雅黑" w:cs="微软雅黑"/>
                <w:i/>
                <w:iCs/>
                <w:color w:val="000000"/>
                <w:sz w:val="16"/>
                <w:szCs w:val="16"/>
                <w:u w:val="none"/>
              </w:rPr>
            </w:pPr>
          </w:p>
        </w:tc>
      </w:tr>
      <w:tr w14:paraId="4D35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54A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00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0DB1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342D9">
            <w:pPr>
              <w:rPr>
                <w:rFonts w:hint="eastAsia" w:ascii="宋体" w:hAnsi="宋体" w:eastAsia="宋体" w:cs="宋体"/>
                <w:i w:val="0"/>
                <w:iCs w:val="0"/>
                <w:color w:val="000000"/>
                <w:sz w:val="18"/>
                <w:szCs w:val="18"/>
                <w:u w:val="none"/>
              </w:rPr>
            </w:pPr>
          </w:p>
        </w:tc>
      </w:tr>
      <w:tr w14:paraId="70FC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76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6915B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323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EC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DACDB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5DC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FA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B80AF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8CB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0E1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322A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4CE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6AAA2FF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79FD3D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F3957F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90E66D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D2A3F6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A82CF0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137795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E8C8ED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78570D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8B9632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5D2F135">
            <w:pPr>
              <w:rPr>
                <w:rFonts w:hint="eastAsia" w:ascii="宋体" w:hAnsi="宋体" w:eastAsia="宋体" w:cs="宋体"/>
                <w:i w:val="0"/>
                <w:iCs w:val="0"/>
                <w:color w:val="000000"/>
                <w:sz w:val="18"/>
                <w:szCs w:val="18"/>
                <w:u w:val="none"/>
              </w:rPr>
            </w:pPr>
          </w:p>
        </w:tc>
      </w:tr>
      <w:tr w14:paraId="7D2D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11"/>
            <w:tcBorders>
              <w:top w:val="nil"/>
              <w:left w:val="nil"/>
              <w:bottom w:val="nil"/>
              <w:right w:val="nil"/>
            </w:tcBorders>
            <w:shd w:val="clear" w:color="auto" w:fill="auto"/>
            <w:vAlign w:val="center"/>
          </w:tcPr>
          <w:p w14:paraId="543DEB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7218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11"/>
            <w:tcBorders>
              <w:top w:val="nil"/>
              <w:left w:val="nil"/>
              <w:bottom w:val="nil"/>
              <w:right w:val="nil"/>
            </w:tcBorders>
            <w:shd w:val="clear" w:color="auto" w:fill="auto"/>
            <w:vAlign w:val="center"/>
          </w:tcPr>
          <w:p w14:paraId="32051F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5A2C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11"/>
            <w:tcBorders>
              <w:top w:val="nil"/>
              <w:left w:val="nil"/>
              <w:bottom w:val="nil"/>
              <w:right w:val="nil"/>
            </w:tcBorders>
            <w:shd w:val="clear" w:color="auto" w:fill="auto"/>
            <w:vAlign w:val="center"/>
          </w:tcPr>
          <w:p w14:paraId="6796A6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6C62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11"/>
            <w:tcBorders>
              <w:top w:val="nil"/>
              <w:left w:val="nil"/>
              <w:bottom w:val="nil"/>
              <w:right w:val="nil"/>
            </w:tcBorders>
            <w:shd w:val="clear" w:color="auto" w:fill="auto"/>
            <w:vAlign w:val="center"/>
          </w:tcPr>
          <w:p w14:paraId="4432DD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1C976D7C">
      <w:pPr>
        <w:spacing w:line="572" w:lineRule="exact"/>
        <w:jc w:val="left"/>
        <w:outlineLvl w:val="9"/>
        <w:rPr>
          <w:rFonts w:eastAsia="黑体" w:cs="方正小标宋简体"/>
          <w:sz w:val="44"/>
          <w:szCs w:val="44"/>
        </w:rPr>
      </w:pPr>
      <w:r>
        <w:rPr>
          <w:rFonts w:hint="eastAsia" w:eastAsia="仿宋_GB2312" w:cs="仿宋_GB2312"/>
          <w:sz w:val="32"/>
          <w:szCs w:val="32"/>
        </w:rPr>
        <w:br w:type="page"/>
      </w:r>
    </w:p>
    <w:p w14:paraId="344736DB">
      <w:pPr>
        <w:spacing w:line="572" w:lineRule="exact"/>
        <w:jc w:val="left"/>
        <w:outlineLvl w:val="9"/>
        <w:rPr>
          <w:rFonts w:eastAsia="黑体" w:cs="方正小标宋简体"/>
          <w:sz w:val="44"/>
          <w:szCs w:val="44"/>
        </w:rPr>
      </w:pPr>
    </w:p>
    <w:p w14:paraId="7BE27C7C">
      <w:pPr>
        <w:widowControl/>
        <w:jc w:val="center"/>
        <w:outlineLvl w:val="0"/>
        <w:rPr>
          <w:rFonts w:eastAsia="仿宋"/>
        </w:rPr>
      </w:pPr>
      <w:bookmarkStart w:id="69" w:name="_Toc15396618"/>
      <w:bookmarkStart w:id="70" w:name="_Toc11824"/>
      <w:r>
        <w:rPr>
          <w:rFonts w:hint="eastAsia" w:eastAsia="黑体"/>
          <w:sz w:val="44"/>
          <w:szCs w:val="44"/>
        </w:rPr>
        <w:t>第</w:t>
      </w:r>
      <w:r>
        <w:rPr>
          <w:rStyle w:val="28"/>
          <w:rFonts w:hint="eastAsia" w:eastAsia="黑体"/>
          <w:b w:val="0"/>
        </w:rPr>
        <w:t>五部分附表</w:t>
      </w:r>
      <w:bookmarkEnd w:id="68"/>
      <w:bookmarkEnd w:id="69"/>
      <w:bookmarkEnd w:id="70"/>
      <w:bookmarkStart w:id="71" w:name="_Toc15396619"/>
    </w:p>
    <w:p w14:paraId="227BAD2B">
      <w:pPr>
        <w:pStyle w:val="14"/>
        <w:adjustRightInd w:val="0"/>
        <w:snapToGrid w:val="0"/>
        <w:spacing w:line="560" w:lineRule="exact"/>
        <w:jc w:val="left"/>
        <w:rPr>
          <w:rFonts w:eastAsia="仿宋_GB2312" w:cs="仿宋_GB2312"/>
          <w:sz w:val="32"/>
          <w:szCs w:val="32"/>
        </w:rPr>
      </w:pPr>
    </w:p>
    <w:p w14:paraId="09ED9CFC">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71"/>
    </w:p>
    <w:p w14:paraId="5254CF88">
      <w:pPr>
        <w:pStyle w:val="14"/>
        <w:adjustRightInd w:val="0"/>
        <w:snapToGrid w:val="0"/>
        <w:spacing w:line="560" w:lineRule="exact"/>
        <w:jc w:val="left"/>
        <w:rPr>
          <w:rFonts w:eastAsia="仿宋_GB2312" w:cs="仿宋_GB2312"/>
          <w:sz w:val="32"/>
          <w:szCs w:val="32"/>
        </w:rPr>
      </w:pPr>
      <w:bookmarkStart w:id="72" w:name="_Toc15396620"/>
      <w:r>
        <w:rPr>
          <w:rFonts w:hint="eastAsia" w:eastAsia="仿宋_GB2312" w:cs="仿宋_GB2312"/>
          <w:sz w:val="32"/>
          <w:szCs w:val="32"/>
        </w:rPr>
        <w:t>二、收入决算表</w:t>
      </w:r>
      <w:bookmarkEnd w:id="72"/>
    </w:p>
    <w:p w14:paraId="2F5F2926">
      <w:pPr>
        <w:pStyle w:val="14"/>
        <w:adjustRightInd w:val="0"/>
        <w:snapToGrid w:val="0"/>
        <w:spacing w:line="560" w:lineRule="exact"/>
        <w:jc w:val="left"/>
        <w:rPr>
          <w:rFonts w:eastAsia="仿宋_GB2312" w:cs="仿宋_GB2312"/>
          <w:sz w:val="32"/>
          <w:szCs w:val="32"/>
        </w:rPr>
      </w:pPr>
      <w:bookmarkStart w:id="73" w:name="_Toc15396621"/>
      <w:r>
        <w:rPr>
          <w:rFonts w:hint="eastAsia" w:eastAsia="仿宋_GB2312" w:cs="仿宋_GB2312"/>
          <w:sz w:val="32"/>
          <w:szCs w:val="32"/>
        </w:rPr>
        <w:t>三、支出决算表</w:t>
      </w:r>
      <w:bookmarkEnd w:id="73"/>
    </w:p>
    <w:p w14:paraId="6246EB0A">
      <w:pPr>
        <w:pStyle w:val="14"/>
        <w:adjustRightInd w:val="0"/>
        <w:snapToGrid w:val="0"/>
        <w:spacing w:line="560" w:lineRule="exact"/>
        <w:jc w:val="left"/>
        <w:rPr>
          <w:rFonts w:eastAsia="仿宋_GB2312" w:cs="仿宋_GB2312"/>
          <w:sz w:val="32"/>
          <w:szCs w:val="32"/>
        </w:rPr>
      </w:pPr>
      <w:bookmarkStart w:id="74" w:name="_Toc15396622"/>
      <w:r>
        <w:rPr>
          <w:rFonts w:hint="eastAsia" w:eastAsia="仿宋_GB2312" w:cs="仿宋_GB2312"/>
          <w:sz w:val="32"/>
          <w:szCs w:val="32"/>
        </w:rPr>
        <w:t>四、财政拨款收入支出决算总表</w:t>
      </w:r>
      <w:bookmarkEnd w:id="74"/>
    </w:p>
    <w:p w14:paraId="6BAEB6DE">
      <w:pPr>
        <w:pStyle w:val="14"/>
        <w:adjustRightInd w:val="0"/>
        <w:snapToGrid w:val="0"/>
        <w:spacing w:line="560" w:lineRule="exact"/>
        <w:jc w:val="left"/>
        <w:rPr>
          <w:rFonts w:eastAsia="仿宋_GB2312" w:cs="仿宋_GB2312"/>
          <w:sz w:val="32"/>
          <w:szCs w:val="32"/>
        </w:rPr>
      </w:pPr>
      <w:bookmarkStart w:id="75" w:name="_Toc15396623"/>
      <w:r>
        <w:rPr>
          <w:rFonts w:hint="eastAsia" w:eastAsia="仿宋_GB2312" w:cs="仿宋_GB2312"/>
          <w:sz w:val="32"/>
          <w:szCs w:val="32"/>
        </w:rPr>
        <w:t>五、财政拨款支出决算明细表</w:t>
      </w:r>
      <w:bookmarkEnd w:id="75"/>
      <w:bookmarkStart w:id="76" w:name="_Toc15396624"/>
    </w:p>
    <w:p w14:paraId="3D2920E5">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76"/>
    </w:p>
    <w:p w14:paraId="240F08B6">
      <w:pPr>
        <w:pStyle w:val="14"/>
        <w:adjustRightInd w:val="0"/>
        <w:snapToGrid w:val="0"/>
        <w:spacing w:line="560" w:lineRule="exact"/>
        <w:jc w:val="left"/>
        <w:rPr>
          <w:rFonts w:eastAsia="仿宋_GB2312" w:cs="仿宋_GB2312"/>
          <w:sz w:val="32"/>
          <w:szCs w:val="32"/>
        </w:rPr>
      </w:pPr>
      <w:bookmarkStart w:id="77" w:name="_Toc15396625"/>
      <w:r>
        <w:rPr>
          <w:rFonts w:hint="eastAsia" w:eastAsia="仿宋_GB2312" w:cs="仿宋_GB2312"/>
          <w:sz w:val="32"/>
          <w:szCs w:val="32"/>
        </w:rPr>
        <w:t>七、一般公共预算财政拨款支出决算明细表</w:t>
      </w:r>
      <w:bookmarkEnd w:id="77"/>
    </w:p>
    <w:p w14:paraId="2CA8AE20">
      <w:pPr>
        <w:pStyle w:val="14"/>
        <w:adjustRightInd w:val="0"/>
        <w:snapToGrid w:val="0"/>
        <w:spacing w:line="560" w:lineRule="exact"/>
        <w:jc w:val="left"/>
        <w:rPr>
          <w:rFonts w:eastAsia="仿宋_GB2312" w:cs="仿宋_GB2312"/>
          <w:sz w:val="32"/>
          <w:szCs w:val="32"/>
        </w:rPr>
      </w:pPr>
      <w:bookmarkStart w:id="78" w:name="_Toc15396626"/>
      <w:r>
        <w:rPr>
          <w:rFonts w:hint="eastAsia" w:eastAsia="仿宋_GB2312" w:cs="仿宋_GB2312"/>
          <w:sz w:val="32"/>
          <w:szCs w:val="32"/>
        </w:rPr>
        <w:t>八、一般公共预算财政拨款基本支出决算表</w:t>
      </w:r>
      <w:bookmarkEnd w:id="78"/>
    </w:p>
    <w:p w14:paraId="1021E5EC">
      <w:pPr>
        <w:pStyle w:val="14"/>
        <w:adjustRightInd w:val="0"/>
        <w:snapToGrid w:val="0"/>
        <w:spacing w:line="560" w:lineRule="exact"/>
        <w:jc w:val="left"/>
        <w:rPr>
          <w:rFonts w:eastAsia="仿宋_GB2312" w:cs="仿宋_GB2312"/>
          <w:sz w:val="32"/>
          <w:szCs w:val="32"/>
        </w:rPr>
      </w:pPr>
      <w:bookmarkStart w:id="79" w:name="_Toc15396627"/>
      <w:r>
        <w:rPr>
          <w:rFonts w:hint="eastAsia" w:eastAsia="仿宋_GB2312" w:cs="仿宋_GB2312"/>
          <w:sz w:val="32"/>
          <w:szCs w:val="32"/>
        </w:rPr>
        <w:t>九、一般公共预算财政拨款项目支出决算表</w:t>
      </w:r>
      <w:bookmarkEnd w:id="79"/>
    </w:p>
    <w:p w14:paraId="07043E00">
      <w:pPr>
        <w:pStyle w:val="14"/>
        <w:adjustRightInd w:val="0"/>
        <w:snapToGrid w:val="0"/>
        <w:spacing w:line="560" w:lineRule="exact"/>
        <w:jc w:val="left"/>
        <w:rPr>
          <w:rFonts w:eastAsia="仿宋_GB2312" w:cs="仿宋_GB2312"/>
          <w:sz w:val="32"/>
          <w:szCs w:val="32"/>
        </w:rPr>
      </w:pPr>
      <w:bookmarkStart w:id="80" w:name="_Toc15396628"/>
      <w:r>
        <w:rPr>
          <w:rFonts w:hint="eastAsia" w:eastAsia="仿宋_GB2312" w:cs="仿宋_GB2312"/>
          <w:sz w:val="32"/>
          <w:szCs w:val="32"/>
        </w:rPr>
        <w:t>十、</w:t>
      </w:r>
      <w:bookmarkEnd w:id="80"/>
      <w:r>
        <w:rPr>
          <w:rFonts w:hint="eastAsia" w:eastAsia="仿宋_GB2312" w:cs="仿宋_GB2312"/>
          <w:sz w:val="32"/>
          <w:szCs w:val="32"/>
        </w:rPr>
        <w:t>政府性基金预算财政拨款收入支出决算表</w:t>
      </w:r>
    </w:p>
    <w:p w14:paraId="7B15E922">
      <w:pPr>
        <w:pStyle w:val="14"/>
        <w:adjustRightInd w:val="0"/>
        <w:snapToGrid w:val="0"/>
        <w:spacing w:line="560" w:lineRule="exact"/>
        <w:jc w:val="left"/>
        <w:rPr>
          <w:rFonts w:eastAsia="仿宋_GB2312" w:cs="仿宋_GB2312"/>
          <w:sz w:val="32"/>
          <w:szCs w:val="32"/>
        </w:rPr>
      </w:pPr>
      <w:bookmarkStart w:id="81" w:name="_Toc15396629"/>
      <w:r>
        <w:rPr>
          <w:rFonts w:hint="eastAsia" w:eastAsia="仿宋_GB2312" w:cs="仿宋_GB2312"/>
          <w:sz w:val="32"/>
          <w:szCs w:val="32"/>
        </w:rPr>
        <w:t>十一、</w:t>
      </w:r>
      <w:bookmarkEnd w:id="81"/>
      <w:r>
        <w:rPr>
          <w:rFonts w:hint="eastAsia" w:eastAsia="仿宋_GB2312" w:cs="仿宋_GB2312"/>
          <w:sz w:val="32"/>
          <w:szCs w:val="32"/>
        </w:rPr>
        <w:t>国有资本经营预算财政拨款收入支出决算表</w:t>
      </w:r>
    </w:p>
    <w:p w14:paraId="0F22F1B4">
      <w:pPr>
        <w:pStyle w:val="14"/>
        <w:adjustRightInd w:val="0"/>
        <w:snapToGrid w:val="0"/>
        <w:spacing w:line="560" w:lineRule="exact"/>
        <w:jc w:val="left"/>
        <w:rPr>
          <w:rFonts w:eastAsia="仿宋_GB2312" w:cs="仿宋_GB2312"/>
          <w:sz w:val="32"/>
          <w:szCs w:val="32"/>
        </w:rPr>
      </w:pPr>
      <w:bookmarkStart w:id="82" w:name="_Toc15396630"/>
      <w:r>
        <w:rPr>
          <w:rFonts w:hint="eastAsia" w:eastAsia="仿宋_GB2312" w:cs="仿宋_GB2312"/>
          <w:sz w:val="32"/>
          <w:szCs w:val="32"/>
        </w:rPr>
        <w:t>十二、</w:t>
      </w:r>
      <w:bookmarkEnd w:id="82"/>
      <w:r>
        <w:rPr>
          <w:rFonts w:hint="eastAsia" w:eastAsia="仿宋_GB2312" w:cs="仿宋_GB2312"/>
          <w:sz w:val="32"/>
          <w:szCs w:val="32"/>
        </w:rPr>
        <w:t>国有资本经营预算财政拨款支出决算表</w:t>
      </w:r>
    </w:p>
    <w:p w14:paraId="3D830803">
      <w:pPr>
        <w:pStyle w:val="14"/>
        <w:adjustRightInd w:val="0"/>
        <w:snapToGrid w:val="0"/>
        <w:spacing w:line="560" w:lineRule="exact"/>
        <w:jc w:val="left"/>
        <w:rPr>
          <w:rFonts w:eastAsia="仿宋_GB2312" w:cs="仿宋_GB2312"/>
          <w:sz w:val="32"/>
          <w:szCs w:val="32"/>
        </w:rPr>
      </w:pPr>
      <w:bookmarkStart w:id="83" w:name="_Toc15396631"/>
      <w:r>
        <w:rPr>
          <w:rFonts w:hint="eastAsia" w:eastAsia="仿宋_GB2312" w:cs="仿宋_GB2312"/>
          <w:sz w:val="32"/>
          <w:szCs w:val="32"/>
        </w:rPr>
        <w:t>十三、</w:t>
      </w:r>
      <w:bookmarkEnd w:id="83"/>
      <w:r>
        <w:rPr>
          <w:rFonts w:hint="eastAsia" w:eastAsia="仿宋_GB2312" w:cs="仿宋_GB2312"/>
          <w:sz w:val="32"/>
          <w:szCs w:val="32"/>
        </w:rPr>
        <w:t>财政拨款“三公”经费支出决算表</w:t>
      </w:r>
    </w:p>
    <w:p w14:paraId="46D5F740"/>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E33B">
    <w:pPr>
      <w:pStyle w:val="8"/>
      <w:spacing w:line="208" w:lineRule="exact"/>
      <w:jc w:val="right"/>
      <w:rPr>
        <w:rFonts w:ascii="Times New Roman" w:hAnsi="Times New Roman" w:eastAsia="Times New Roman"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3E493">
    <w:pPr>
      <w:pStyle w:val="8"/>
      <w:spacing w:line="208" w:lineRule="exact"/>
      <w:jc w:val="right"/>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2E372">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D2E372">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E8C6">
    <w:pPr>
      <w:pStyle w:val="8"/>
      <w:spacing w:line="208" w:lineRule="exact"/>
      <w:jc w:val="right"/>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AED22">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1AED22">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4825">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F1DD4">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3F1DD4">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1C1DB241">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1BF7">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158E6">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04158E6">
                    <w:pPr>
                      <w:pStyle w:val="1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B0EB4">
    <w:pPr>
      <w:spacing w:before="41" w:line="217" w:lineRule="auto"/>
      <w:rPr>
        <w:rFonts w:ascii="黑体" w:hAnsi="黑体" w:eastAsia="黑体" w:cs="黑体"/>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66288">
    <w:pPr>
      <w:spacing w:before="41" w:line="217" w:lineRule="auto"/>
      <w:rPr>
        <w:rFonts w:ascii="黑体" w:hAnsi="黑体" w:eastAsia="黑体" w:cs="黑体"/>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D0515">
    <w:pPr>
      <w:spacing w:before="41" w:line="217" w:lineRule="auto"/>
      <w:rPr>
        <w:rFonts w:ascii="黑体" w:hAnsi="黑体" w:eastAsia="黑体" w:cs="黑体"/>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DABC84"/>
    <w:multiLevelType w:val="singleLevel"/>
    <w:tmpl w:val="70DAB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3B140E1"/>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E6413B"/>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7777902"/>
    <w:rsid w:val="486A6C7A"/>
    <w:rsid w:val="4A627F82"/>
    <w:rsid w:val="4B0E749A"/>
    <w:rsid w:val="4B2477C4"/>
    <w:rsid w:val="4B4F25DA"/>
    <w:rsid w:val="4BE068DB"/>
    <w:rsid w:val="4D577224"/>
    <w:rsid w:val="4DBF1CEB"/>
    <w:rsid w:val="4DF0007C"/>
    <w:rsid w:val="4EAB630A"/>
    <w:rsid w:val="4ECE2238"/>
    <w:rsid w:val="4F833267"/>
    <w:rsid w:val="4FE9BD67"/>
    <w:rsid w:val="4FFB052F"/>
    <w:rsid w:val="536D3AAE"/>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5"/>
    <w:qFormat/>
    <w:uiPriority w:val="9"/>
    <w:rPr>
      <w:rFonts w:ascii="Times New Roman" w:hAnsi="Times New Roman"/>
      <w:b/>
      <w:bCs/>
      <w:kern w:val="44"/>
      <w:sz w:val="44"/>
      <w:szCs w:val="44"/>
    </w:rPr>
  </w:style>
  <w:style w:type="character" w:customStyle="1" w:styleId="29">
    <w:name w:val="标题 2 字符"/>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10"/>
    <w:semiHidden/>
    <w:qFormat/>
    <w:uiPriority w:val="99"/>
    <w:rPr>
      <w:rFonts w:ascii="Times New Roman" w:hAnsi="Times New Roman"/>
      <w:kern w:val="2"/>
      <w:sz w:val="18"/>
      <w:szCs w:val="18"/>
    </w:rPr>
  </w:style>
  <w:style w:type="character" w:customStyle="1" w:styleId="32">
    <w:name w:val="标题 3 字符"/>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WPSOffice手动目录 1"/>
    <w:uiPriority w:val="0"/>
    <w:pPr>
      <w:ind w:leftChars="0"/>
    </w:pPr>
    <w:rPr>
      <w:rFonts w:ascii="Times New Roman" w:hAnsi="Times New Roman" w:eastAsia="宋体" w:cs="Times New Roman"/>
      <w:sz w:val="20"/>
      <w:szCs w:val="20"/>
    </w:rPr>
  </w:style>
  <w:style w:type="paragraph" w:customStyle="1" w:styleId="36">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WeChat%20Files\WY09241023\FileStorage\File\2025-09\&#20915;&#31639;&#22270;&#34920;(1)(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WeChat%20Files\WY09241023\FileStorage\File\2025-09\&#20915;&#31639;&#22270;&#34920;(1)(1).xls"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F:\WeChat%20Files\WY09241023\FileStorage\File\2025-09\&#20915;&#31639;&#22270;&#34920;(1)(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WeChat%20Files\WY09241023\FileStorage\File\2025-09\&#20915;&#31639;&#22270;&#34920;(1)(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WeChat%20Files\WY09241023\FileStorage\File\2025-09\&#20915;&#31639;&#22270;&#34920;(1)(1).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WeChat%20Files\WY09241023\FileStorage\File\2025-09\&#20915;&#31639;&#22270;&#34920;(1)(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WeChat%20Files\WY09241023\FileStorage\File\2025-09\&#20915;&#31639;&#22270;&#34920;(1)(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：收、支决算总计变动图</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64515847140532"/>
          <c:y val="0.0277777777777778"/>
        </c:manualLayout>
      </c:layout>
      <c:overlay val="0"/>
      <c:spPr>
        <a:noFill/>
        <a:ln>
          <a:noFill/>
        </a:ln>
        <a:effectLst/>
      </c:spPr>
    </c:title>
    <c:autoTitleDeleted val="0"/>
    <c:plotArea>
      <c:layout/>
      <c:barChart>
        <c:barDir val="col"/>
        <c:grouping val="clustered"/>
        <c:varyColors val="0"/>
        <c:ser>
          <c:idx val="0"/>
          <c:order val="0"/>
          <c:tx>
            <c:strRef>
              <c:f>'[决算图表(1)(1).xls]Sheet1'!$E$5</c:f>
              <c:strCache>
                <c:ptCount val="1"/>
                <c:pt idx="0">
                  <c:v>2023年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'[决算图表(1)(1).xls]Sheet1'!$F$4:$G$4</c:f>
              <c:strCache>
                <c:ptCount val="2"/>
                <c:pt idx="0">
                  <c:v>收入</c:v>
                </c:pt>
                <c:pt idx="1">
                  <c:v>支出</c:v>
                </c:pt>
              </c:strCache>
            </c:strRef>
          </c:cat>
          <c:val>
            <c:numRef>
              <c:f>'[决算图表(1)(1).xls]Sheet1'!$F$5:$G$5</c:f>
              <c:numCache>
                <c:formatCode>#,##0.00</c:formatCode>
                <c:ptCount val="2"/>
                <c:pt idx="0">
                  <c:v>2562.95</c:v>
                </c:pt>
                <c:pt idx="1">
                  <c:v>2562.95</c:v>
                </c:pt>
              </c:numCache>
            </c:numRef>
          </c:val>
        </c:ser>
        <c:ser>
          <c:idx val="1"/>
          <c:order val="1"/>
          <c:tx>
            <c:strRef>
              <c:f>'[决算图表(1)(1).xls]Sheet1'!$E$6</c:f>
              <c:strCache>
                <c:ptCount val="1"/>
                <c:pt idx="0">
                  <c:v>2024年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'[决算图表(1)(1).xls]Sheet1'!$F$4:$G$4</c:f>
              <c:strCache>
                <c:ptCount val="2"/>
                <c:pt idx="0">
                  <c:v>收入</c:v>
                </c:pt>
                <c:pt idx="1">
                  <c:v>支出</c:v>
                </c:pt>
              </c:strCache>
            </c:strRef>
          </c:cat>
          <c:val>
            <c:numRef>
              <c:f>'[决算图表(1)(1).xls]Sheet1'!$F$6:$G$6</c:f>
              <c:numCache>
                <c:formatCode>#,##0.00</c:formatCode>
                <c:ptCount val="2"/>
                <c:pt idx="0">
                  <c:v>1153.88</c:v>
                </c:pt>
                <c:pt idx="1">
                  <c:v>1153.88</c:v>
                </c:pt>
              </c:numCache>
            </c:numRef>
          </c:val>
        </c:ser>
        <c:dLbls>
          <c:showLegendKey val="0"/>
          <c:showVal val="0"/>
          <c:showCatName val="0"/>
          <c:showSerName val="0"/>
          <c:showPercent val="0"/>
          <c:showBubbleSize val="0"/>
        </c:dLbls>
        <c:gapWidth val="219"/>
        <c:overlap val="-27"/>
        <c:axId val="116731158"/>
        <c:axId val="34335781"/>
      </c:barChart>
      <c:catAx>
        <c:axId val="11673115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35781"/>
        <c:crosses val="autoZero"/>
        <c:auto val="1"/>
        <c:lblAlgn val="ctr"/>
        <c:lblOffset val="100"/>
        <c:noMultiLvlLbl val="0"/>
      </c:catAx>
      <c:valAx>
        <c:axId val="3433578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6731158"/>
        <c:crosses val="autoZero"/>
        <c:crossBetween val="between"/>
      </c:valAx>
      <c:spPr>
        <a:noFill/>
        <a:ln>
          <a:noFill/>
        </a:ln>
        <a:effectLst/>
      </c:spPr>
    </c:plotArea>
    <c:legend>
      <c:legendPos val="r"/>
      <c:layout>
        <c:manualLayout>
          <c:xMode val="edge"/>
          <c:yMode val="edge"/>
          <c:x val="0.3875"/>
          <c:y val="0.9"/>
          <c:w val="0.222222222222222"/>
          <c:h val="0.07313400827355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46a3a2c-c0b9-4bce-be5e-84a6a51ac42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图2：收入决算结构图</a:t>
            </a:r>
          </a:p>
        </c:rich>
      </c:tx>
      <c:layout>
        <c:manualLayout>
          <c:xMode val="edge"/>
          <c:yMode val="edge"/>
          <c:x val="0.423157894736842"/>
          <c:y val="0.040697674418604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642</a:t>
                    </a:r>
                    <a:r>
                      <a:rPr lang="en-US" altLang="zh-CN"/>
                      <a:t>.</a:t>
                    </a:r>
                    <a:r>
                      <a:t>81</a:t>
                    </a:r>
                  </a:p>
                </c:rich>
              </c:tx>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'[决算图表(1)(1).xls]Sheet1'!$C$65:$C$66</c:f>
              <c:strCache>
                <c:ptCount val="2"/>
                <c:pt idx="0">
                  <c:v>一般公共预算财政拨款</c:v>
                </c:pt>
                <c:pt idx="1">
                  <c:v>其他收入</c:v>
                </c:pt>
              </c:strCache>
            </c:strRef>
          </c:cat>
          <c:val>
            <c:numRef>
              <c:f>'[决算图表(1)(1).xls]Sheet1'!$D$65:$D$66</c:f>
              <c:numCache>
                <c:formatCode>General</c:formatCode>
                <c:ptCount val="2"/>
                <c:pt idx="0">
                  <c:v>511.07</c:v>
                </c:pt>
                <c:pt idx="1">
                  <c:v>642.81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da93153-d81c-4df0-baa6-7925468491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图3：支出决算结构图</a:t>
            </a:r>
            <a:endParaRPr sz="1400" b="0" i="0" u="none" strike="noStrike" baseline="0">
              <a:solidFill>
                <a:srgbClr val="404040">
                  <a:alpha val="100000"/>
                </a:srgbClr>
              </a:solidFill>
              <a:latin typeface="微软雅黑" panose="020B0503020204020204" charset="-122"/>
              <a:ea typeface="微软雅黑" panose="020B0503020204020204" charset="-122"/>
              <a:cs typeface="微软雅黑" panose="020B0503020204020204" charset="-122"/>
            </a:endParaRPr>
          </a:p>
        </c:rich>
      </c:tx>
      <c:layout/>
      <c:overlay val="0"/>
      <c:spPr>
        <a:noFill/>
        <a:ln>
          <a:noFill/>
        </a:ln>
        <a:effectLst/>
      </c:spPr>
    </c:title>
    <c:autoTitleDeleted val="0"/>
    <c:plotArea>
      <c:layout>
        <c:manualLayout>
          <c:layoutTarget val="inner"/>
          <c:xMode val="edge"/>
          <c:yMode val="edge"/>
          <c:x val="0.298039215686275"/>
          <c:y val="0.27640391550747"/>
          <c:w val="0.41074168797954"/>
          <c:h val="0.620556414219474"/>
        </c:manualLayout>
      </c:layout>
      <c:pieChart>
        <c:varyColors val="1"/>
        <c:ser>
          <c:idx val="1"/>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Lbls>
            <c:dLbl>
              <c:idx val="0"/>
              <c:layout>
                <c:manualLayout>
                  <c:x val="0.0633441508087946"/>
                  <c:y val="0.0140128502401571"/>
                </c:manualLayout>
              </c:layout>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307082194357106"/>
                  <c:y val="-0.109558409229208"/>
                </c:manualLayout>
              </c:layout>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'[决算图表(1)(1).xls]Sheet1'!$A$93:$A$94</c:f>
              <c:strCache>
                <c:ptCount val="2"/>
                <c:pt idx="0">
                  <c:v>基本支出</c:v>
                </c:pt>
                <c:pt idx="1">
                  <c:v>项目支出</c:v>
                </c:pt>
              </c:strCache>
            </c:strRef>
          </c:cat>
          <c:val>
            <c:numRef>
              <c:f>'[决算图表(1)(1).xls]Sheet1'!$B$93:$B$94</c:f>
              <c:numCache>
                <c:formatCode>General</c:formatCode>
                <c:ptCount val="2"/>
                <c:pt idx="0">
                  <c:v>397.44</c:v>
                </c:pt>
                <c:pt idx="1" c:formatCode="#,##0.00">
                  <c:v>289.18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39"/>
          <c:y val="0.859"/>
          <c:w val="0.295625942684766"/>
          <c:h val="0.0849787604965678"/>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82b651c2-5c5b-4b98-b5d8-4ae6e6785870}"/>
      </c:ext>
    </c:extLst>
  </c:chart>
  <c:spPr>
    <a:solidFill>
      <a:schemeClr val="bg1"/>
    </a:solidFill>
    <a:ln w="9525" cap="flat" cmpd="sng" algn="ctr">
      <a:solidFill>
        <a:schemeClr val="tx1">
          <a:lumMod val="50000"/>
          <a:lumOff val="50000"/>
          <a:alpha val="25000"/>
        </a:schemeClr>
      </a:solidFill>
      <a:prstDash val="solid"/>
      <a:round/>
    </a:ln>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4</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a:t>
            </a:r>
            <a:r>
              <a:rPr sz="1400" b="0" i="0" u="none" strike="noStrike" baseline="0">
                <a:solidFill>
                  <a:srgbClr val="333333"/>
                </a:solidFill>
                <a:latin typeface="宋体" panose="02010600030101010101" charset="-122"/>
                <a:ea typeface="宋体" panose="02010600030101010101" charset="-122"/>
                <a:cs typeface="宋体" panose="02010600030101010101" charset="-122"/>
              </a:rPr>
              <a:t>财政拨款收、支决算总计变动情况</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'[决算图表(1)(1).xls]Sheet1'!$E$17</c:f>
              <c:strCache>
                <c:ptCount val="1"/>
                <c:pt idx="0">
                  <c:v>2023年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'[决算图表(1)(1).xls]Sheet1'!$F$16:$G$16</c:f>
              <c:strCache>
                <c:ptCount val="2"/>
                <c:pt idx="0">
                  <c:v>收入</c:v>
                </c:pt>
                <c:pt idx="1">
                  <c:v>支出</c:v>
                </c:pt>
              </c:strCache>
            </c:strRef>
          </c:cat>
          <c:val>
            <c:numRef>
              <c:f>'[决算图表(1)(1).xls]Sheet1'!$F$17:$G$17</c:f>
              <c:numCache>
                <c:formatCode>#,##0.00</c:formatCode>
                <c:ptCount val="2"/>
                <c:pt idx="0">
                  <c:v>2562.95</c:v>
                </c:pt>
                <c:pt idx="1">
                  <c:v>2562.95</c:v>
                </c:pt>
              </c:numCache>
            </c:numRef>
          </c:val>
        </c:ser>
        <c:ser>
          <c:idx val="1"/>
          <c:order val="1"/>
          <c:tx>
            <c:strRef>
              <c:f>'[决算图表(1)(1).xls]Sheet1'!$E$18</c:f>
              <c:strCache>
                <c:ptCount val="1"/>
                <c:pt idx="0">
                  <c:v>2024年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'[决算图表(1)(1).xls]Sheet1'!$F$16:$G$16</c:f>
              <c:strCache>
                <c:ptCount val="2"/>
                <c:pt idx="0">
                  <c:v>收入</c:v>
                </c:pt>
                <c:pt idx="1">
                  <c:v>支出</c:v>
                </c:pt>
              </c:strCache>
            </c:strRef>
          </c:cat>
          <c:val>
            <c:numRef>
              <c:f>'[决算图表(1)(1).xls]Sheet1'!$F$18:$G$18</c:f>
              <c:numCache>
                <c:formatCode>#,##0.00</c:formatCode>
                <c:ptCount val="2"/>
                <c:pt idx="0">
                  <c:v>511.07</c:v>
                </c:pt>
                <c:pt idx="1">
                  <c:v>511.07</c:v>
                </c:pt>
              </c:numCache>
            </c:numRef>
          </c:val>
        </c:ser>
        <c:dLbls>
          <c:showLegendKey val="0"/>
          <c:showVal val="0"/>
          <c:showCatName val="0"/>
          <c:showSerName val="0"/>
          <c:showPercent val="0"/>
          <c:showBubbleSize val="0"/>
        </c:dLbls>
        <c:gapWidth val="219"/>
        <c:overlap val="-27"/>
        <c:axId val="24108403"/>
        <c:axId val="457219449"/>
      </c:barChart>
      <c:catAx>
        <c:axId val="2410840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7219449"/>
        <c:crosses val="autoZero"/>
        <c:auto val="1"/>
        <c:lblAlgn val="ctr"/>
        <c:lblOffset val="100"/>
        <c:noMultiLvlLbl val="0"/>
      </c:catAx>
      <c:valAx>
        <c:axId val="45721944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08403"/>
        <c:crosses val="autoZero"/>
        <c:crossBetween val="between"/>
      </c:valAx>
      <c:spPr>
        <a:noFill/>
        <a:ln>
          <a:noFill/>
        </a:ln>
        <a:effectLst/>
      </c:spPr>
    </c:plotArea>
    <c:legend>
      <c:legendPos val="r"/>
      <c:layout>
        <c:manualLayout>
          <c:xMode val="edge"/>
          <c:yMode val="edge"/>
          <c:x val="0.3535"/>
          <c:y val="0.86125"/>
          <c:w val="0.22538177988415"/>
          <c:h val="0.07547169811320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d51fd3d-41f4-4df4-82ba-0dd0c9e6c0c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r>
              <a:rPr sz="1400" b="0" i="0" u="none" strike="noStrike" baseline="0">
                <a:solidFill>
                  <a:srgbClr val="000000"/>
                </a:solidFill>
                <a:latin typeface="宋体" panose="02010600030101010101" charset="-122"/>
                <a:ea typeface="宋体" panose="02010600030101010101" charset="-122"/>
                <a:cs typeface="宋体" panose="02010600030101010101" charset="-122"/>
                <a:sym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cs typeface="宋体" panose="02010600030101010101" charset="-122"/>
                <a:sym typeface="宋体" panose="02010600030101010101" charset="-122"/>
              </a:rPr>
              <a:t>5</a:t>
            </a:r>
            <a:r>
              <a:rPr altLang="en-US" sz="1400" b="0" i="0" u="none" strike="noStrike" baseline="0">
                <a:solidFill>
                  <a:srgbClr val="000000"/>
                </a:solidFill>
                <a:latin typeface="宋体" panose="02010600030101010101" charset="-122"/>
                <a:ea typeface="宋体" panose="02010600030101010101" charset="-122"/>
                <a:cs typeface="宋体" panose="02010600030101010101" charset="-122"/>
                <a:sym typeface="宋体" panose="02010600030101010101" charset="-122"/>
              </a:rPr>
              <a:t>：</a:t>
            </a:r>
            <a:r>
              <a:rPr sz="1400" b="0" i="0" u="none" strike="noStrike" baseline="0">
                <a:solidFill>
                  <a:srgbClr val="000000"/>
                </a:solidFill>
                <a:latin typeface="宋体" panose="02010600030101010101" charset="-122"/>
                <a:ea typeface="宋体" panose="02010600030101010101" charset="-122"/>
                <a:cs typeface="宋体" panose="02010600030101010101" charset="-122"/>
                <a:sym typeface="宋体" panose="02010600030101010101" charset="-122"/>
              </a:rPr>
              <a:t>一般公共预算财政拨款支出决算变动情况</a:t>
            </a:r>
            <a:endParaRPr sz="1200" b="0" i="0" u="none" strike="noStrike" baseline="0">
              <a:solidFill>
                <a:srgbClr val="000000"/>
              </a:solidFill>
              <a:latin typeface="宋体" panose="02010600030101010101" charset="-122"/>
              <a:ea typeface="宋体" panose="02010600030101010101" charset="-122"/>
              <a:cs typeface="宋体" panose="02010600030101010101" charset="-122"/>
              <a:sym typeface="宋体" panose="02010600030101010101" charset="-122"/>
            </a:endParaRPr>
          </a:p>
        </c:rich>
      </c:tx>
      <c:layout>
        <c:manualLayout>
          <c:xMode val="edge"/>
          <c:yMode val="edge"/>
          <c:x val="0.142966948501153"/>
          <c:y val="0.0336994508237644"/>
        </c:manualLayout>
      </c:layout>
      <c:overlay val="0"/>
      <c:spPr>
        <a:noFill/>
        <a:ln>
          <a:noFill/>
        </a:ln>
        <a:effectLst/>
      </c:spPr>
    </c:title>
    <c:autoTitleDeleted val="0"/>
    <c:plotArea>
      <c:layout/>
      <c:barChart>
        <c:barDir val="col"/>
        <c:grouping val="clustered"/>
        <c:varyColors val="0"/>
        <c:ser>
          <c:idx val="0"/>
          <c:order val="0"/>
          <c:tx>
            <c:strRef>
              <c:f>'[决算图表(1)(1).xls]Sheet1'!$A$108</c:f>
              <c:strCache>
                <c:ptCount val="1"/>
                <c:pt idx="0">
                  <c:v>收入、支出</c:v>
                </c:pt>
              </c:strCache>
            </c:strRef>
          </c:tx>
          <c:spPr>
            <a:solidFill>
              <a:schemeClr val="accent1"/>
            </a:solidFill>
            <a:ln>
              <a:noFill/>
            </a:ln>
            <a:effectLst/>
          </c:spPr>
          <c:invertIfNegative val="0"/>
          <c:dPt>
            <c:idx val="0"/>
            <c:invertIfNegative val="0"/>
            <c:bubble3D val="0"/>
            <c:explosion val="0"/>
            <c:spPr>
              <a:solidFill>
                <a:srgbClr val="C00000"/>
              </a:soli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'[决算图表(1)(1).xls]Sheet1'!$B$107:$C$107</c:f>
              <c:strCache>
                <c:ptCount val="2"/>
                <c:pt idx="0">
                  <c:v>2023年</c:v>
                </c:pt>
                <c:pt idx="1">
                  <c:v>2024年</c:v>
                </c:pt>
              </c:strCache>
            </c:strRef>
          </c:cat>
          <c:val>
            <c:numRef>
              <c:f>'[决算图表(1)(1).xls]Sheet1'!$B$108:$C$108</c:f>
              <c:numCache>
                <c:formatCode>#,##0.00</c:formatCode>
                <c:ptCount val="2"/>
                <c:pt idx="0">
                  <c:v>511.07</c:v>
                </c:pt>
                <c:pt idx="1" c:formatCode="General">
                  <c:v>2562.95</c:v>
                </c:pt>
              </c:numCache>
            </c:numRef>
          </c:val>
        </c:ser>
        <c:dLbls>
          <c:showLegendKey val="0"/>
          <c:showVal val="0"/>
          <c:showCatName val="0"/>
          <c:showSerName val="0"/>
          <c:showPercent val="0"/>
          <c:showBubbleSize val="0"/>
        </c:dLbls>
        <c:gapWidth val="219"/>
        <c:overlap val="-27"/>
        <c:axId val="13184455"/>
        <c:axId val="420990384"/>
      </c:barChart>
      <c:catAx>
        <c:axId val="1318445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420990384"/>
        <c:crosses val="autoZero"/>
        <c:auto val="1"/>
        <c:lblAlgn val="ctr"/>
        <c:lblOffset val="100"/>
        <c:noMultiLvlLbl val="0"/>
      </c:catAx>
      <c:valAx>
        <c:axId val="4209903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3184455"/>
        <c:crosses val="autoZero"/>
        <c:crossBetween val="between"/>
      </c:valAx>
      <c:spPr>
        <a:noFill/>
        <a:ln>
          <a:noFill/>
        </a:ln>
        <a:effectLst/>
      </c:spPr>
    </c:plotArea>
    <c:plotVisOnly val="1"/>
    <c:dispBlanksAs val="gap"/>
    <c:showDLblsOverMax val="0"/>
    <c:extLst>
      <c:ext uri="{0b15fc19-7d7d-44ad-8c2d-2c3a37ce22c3}">
        <chartProps xmlns="https://web.wps.cn/et/2018/main" chartId="{0bfaebd6-c177-43e1-a031-e562d785901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solidFill>
            <a:sysClr val="windowText" lastClr="000000"/>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图6：一般公共预算财政拨款支出决算结构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13055747258712"/>
                  <c:y val="-0.016888619639086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49851472413723"/>
                  <c:y val="0.044038313069588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80500576393464"/>
                  <c:y val="-0.019636941419575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'[决算图表(1)(1).xls]Sheet1'!$A$115:$A$118</c:f>
              <c:strCache>
                <c:ptCount val="4"/>
                <c:pt idx="0">
                  <c:v>社会保障和就业支出</c:v>
                </c:pt>
                <c:pt idx="1">
                  <c:v>卫生健康支出</c:v>
                </c:pt>
                <c:pt idx="2">
                  <c:v>节能环保支出</c:v>
                </c:pt>
                <c:pt idx="3">
                  <c:v>住房保障支出</c:v>
                </c:pt>
              </c:strCache>
            </c:strRef>
          </c:cat>
          <c:val>
            <c:numRef>
              <c:f>'[决算图表(1)(1).xls]Sheet1'!$B$115:$B$118</c:f>
              <c:numCache>
                <c:formatCode>General</c:formatCode>
                <c:ptCount val="4"/>
                <c:pt idx="0">
                  <c:v>37.55</c:v>
                </c:pt>
                <c:pt idx="1">
                  <c:v>13.82</c:v>
                </c:pt>
                <c:pt idx="2">
                  <c:v>615.61</c:v>
                </c:pt>
                <c:pt idx="3">
                  <c:v>19.61</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3d99a7f-849e-467d-b53d-a5c82b4b09b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a:solidFill>
                  <a:sysClr val="windowText" lastClr="000000"/>
                </a:solidFill>
              </a:rPr>
              <a:t>图7：“三公”经费财政拨款支出结构</a:t>
            </a:r>
            <a:endParaRPr sz="1400" b="0" i="0" u="none" strike="noStrike" baseline="0">
              <a:solidFill>
                <a:sysClr val="windowText" lastClr="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'[决算图表(1)(1).xls]Sheet1'!$A$128:$A$129</c:f>
              <c:strCache>
                <c:ptCount val="2"/>
                <c:pt idx="0">
                  <c:v>公务接待费</c:v>
                </c:pt>
                <c:pt idx="1">
                  <c:v>公务用车购置及运行维护费</c:v>
                </c:pt>
              </c:strCache>
            </c:strRef>
          </c:cat>
          <c:val>
            <c:numRef>
              <c:f>'[决算图表(1)(1).xls]Sheet1'!$B$128:$B$129</c:f>
              <c:numCache>
                <c:formatCode>General</c:formatCode>
                <c:ptCount val="2"/>
                <c:pt idx="0">
                  <c:v>0.74</c:v>
                </c:pt>
                <c:pt idx="1">
                  <c:v>13.51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manualLayout>
          <c:xMode val="edge"/>
          <c:yMode val="edge"/>
          <c:x val="0.591033119060928"/>
          <c:y val="0.783019791006966"/>
          <c:w val="0.399832245045107"/>
          <c:h val="0.087881592359821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a8011775-fcf0-48da-8092-0640c4088d4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4526</Words>
  <Characters>5004</Characters>
  <Lines>60</Lines>
  <Paragraphs>17</Paragraphs>
  <TotalTime>2</TotalTime>
  <ScaleCrop>false</ScaleCrop>
  <LinksUpToDate>false</LinksUpToDate>
  <CharactersWithSpaces>5058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Mr.旧时光</cp:lastModifiedBy>
  <cp:lastPrinted>2025-08-06T17:34:00Z</cp:lastPrinted>
  <dcterms:modified xsi:type="dcterms:W3CDTF">2025-09-11T08:34:06Z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0C22D602920A42EF88141A24F8EDE77D_13</vt:lpwstr>
  </property>
  <property fmtid="{D5CDD505-2E9C-101B-9397-08002B2CF9AE}" pid="4" name="KSOTemplateDocerSaveRecord">
    <vt:lpwstr>eyJoZGlkIjoiNzcxZDY4MmI1OTBjMjE1Nzk5NThjZGNlYmQwYzNkMjQifQ==</vt:lpwstr>
  </property>
</Properties>
</file>