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359F">
      <w:bookmarkStart w:id="0" w:name="_Toc15377425"/>
      <w:bookmarkStart w:id="1" w:name="_Toc15377193"/>
      <w:bookmarkStart w:id="2" w:name="_Toc15396597"/>
      <w:bookmarkStart w:id="3" w:name="_Toc15378441"/>
      <w:bookmarkStart w:id="4" w:name="_Toc15396475"/>
      <w:bookmarkStart w:id="5" w:name="_Toc15306267"/>
    </w:p>
    <w:p w14:paraId="278E0CCC">
      <w:pPr>
        <w:pStyle w:val="8"/>
        <w:spacing w:before="93"/>
        <w:jc w:val="center"/>
        <w:rPr>
          <w:rFonts w:ascii="Times New Roman" w:eastAsia="方正小标宋简体"/>
          <w:kern w:val="2"/>
          <w:sz w:val="44"/>
          <w:szCs w:val="44"/>
        </w:rPr>
      </w:pPr>
    </w:p>
    <w:p w14:paraId="0F8DC781">
      <w:pPr>
        <w:pStyle w:val="8"/>
        <w:spacing w:before="93"/>
        <w:jc w:val="center"/>
        <w:rPr>
          <w:rFonts w:ascii="Times New Roman" w:eastAsia="方正小标宋简体"/>
          <w:kern w:val="2"/>
          <w:sz w:val="44"/>
          <w:szCs w:val="44"/>
        </w:rPr>
      </w:pPr>
    </w:p>
    <w:p w14:paraId="4D2B47BA">
      <w:pPr>
        <w:pStyle w:val="8"/>
        <w:spacing w:before="93"/>
        <w:jc w:val="center"/>
        <w:rPr>
          <w:rFonts w:ascii="Times New Roman" w:eastAsia="方正小标宋简体"/>
          <w:kern w:val="2"/>
          <w:sz w:val="44"/>
          <w:szCs w:val="44"/>
        </w:rPr>
      </w:pPr>
    </w:p>
    <w:p w14:paraId="106B7653">
      <w:pPr>
        <w:pStyle w:val="8"/>
        <w:spacing w:before="93"/>
        <w:jc w:val="center"/>
        <w:rPr>
          <w:rFonts w:ascii="Times New Roman" w:eastAsia="方正小标宋简体"/>
          <w:kern w:val="2"/>
          <w:sz w:val="44"/>
          <w:szCs w:val="44"/>
        </w:rPr>
      </w:pPr>
    </w:p>
    <w:bookmarkEnd w:id="0"/>
    <w:bookmarkEnd w:id="1"/>
    <w:bookmarkEnd w:id="2"/>
    <w:bookmarkEnd w:id="3"/>
    <w:bookmarkEnd w:id="4"/>
    <w:p w14:paraId="28D2C42B">
      <w:pPr>
        <w:pStyle w:val="8"/>
        <w:spacing w:before="93"/>
        <w:jc w:val="center"/>
        <w:rPr>
          <w:rFonts w:hint="eastAsia" w:ascii="Times New Roman" w:eastAsia="方正小标宋简体"/>
          <w:kern w:val="2"/>
          <w:sz w:val="44"/>
          <w:szCs w:val="44"/>
        </w:rPr>
      </w:pPr>
      <w:bookmarkStart w:id="6" w:name="_Toc15377194"/>
      <w:bookmarkStart w:id="7" w:name="_Toc15396476"/>
      <w:bookmarkStart w:id="8" w:name="_Toc15378442"/>
      <w:bookmarkStart w:id="9" w:name="_Toc15396598"/>
      <w:bookmarkStart w:id="10" w:name="_Toc15377426"/>
      <w:r>
        <w:rPr>
          <w:rFonts w:hint="eastAsia" w:ascii="Times New Roman" w:eastAsia="方正小标宋简体"/>
          <w:kern w:val="2"/>
          <w:sz w:val="44"/>
          <w:szCs w:val="44"/>
        </w:rPr>
        <w:t>2024年度</w:t>
      </w:r>
      <w:bookmarkEnd w:id="5"/>
      <w:bookmarkStart w:id="11" w:name="_Toc15306268"/>
    </w:p>
    <w:p w14:paraId="4D0D299C">
      <w:pPr>
        <w:pStyle w:val="8"/>
        <w:spacing w:before="93"/>
        <w:jc w:val="center"/>
        <w:rPr>
          <w:rFonts w:hint="eastAsia" w:ascii="Times New Roman" w:eastAsia="方正小标宋简体"/>
          <w:kern w:val="2"/>
          <w:sz w:val="44"/>
          <w:szCs w:val="44"/>
        </w:rPr>
      </w:pPr>
      <w:bookmarkStart w:id="84" w:name="_GoBack"/>
      <w:r>
        <w:rPr>
          <w:rFonts w:hint="eastAsia" w:ascii="Times New Roman" w:eastAsia="方正小标宋简体"/>
          <w:kern w:val="2"/>
          <w:sz w:val="44"/>
          <w:szCs w:val="44"/>
        </w:rPr>
        <w:t>阿坝藏族羌族自治州若尔盖环境监测站</w:t>
      </w:r>
    </w:p>
    <w:bookmarkEnd w:id="84"/>
    <w:p w14:paraId="47AEF975">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lang w:val="en-US" w:eastAsia="zh-CN"/>
        </w:rPr>
        <w:t>单位</w:t>
      </w:r>
      <w:r>
        <w:rPr>
          <w:rFonts w:hint="eastAsia" w:ascii="Times New Roman" w:eastAsia="方正小标宋简体"/>
          <w:kern w:val="2"/>
          <w:sz w:val="44"/>
          <w:szCs w:val="44"/>
        </w:rPr>
        <w:t>决算</w:t>
      </w:r>
      <w:bookmarkEnd w:id="6"/>
      <w:bookmarkEnd w:id="7"/>
      <w:bookmarkEnd w:id="8"/>
      <w:bookmarkEnd w:id="9"/>
      <w:bookmarkEnd w:id="10"/>
      <w:bookmarkEnd w:id="11"/>
    </w:p>
    <w:p w14:paraId="48525C46">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A675FA4">
      <w:pPr>
        <w:widowControl/>
        <w:jc w:val="center"/>
        <w:rPr>
          <w:rFonts w:eastAsia="黑体" w:cstheme="minorBidi"/>
          <w:sz w:val="28"/>
          <w:szCs w:val="28"/>
        </w:rPr>
      </w:pPr>
    </w:p>
    <w:p w14:paraId="76D54B80"/>
    <w:p w14:paraId="3042358C">
      <w:pPr>
        <w:pStyle w:val="13"/>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12</w:t>
      </w:r>
    </w:p>
    <w:sdt>
      <w:sdtPr>
        <w:rPr>
          <w:rFonts w:ascii="宋体" w:hAnsi="宋体" w:eastAsia="宋体" w:cs="Times New Roman"/>
          <w:kern w:val="2"/>
          <w:sz w:val="21"/>
          <w:szCs w:val="24"/>
          <w:lang w:val="en-US" w:eastAsia="zh-CN" w:bidi="ar-SA"/>
        </w:rPr>
        <w:id w:val="14747288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3118FEC">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14:paraId="4BE47D7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_Toc2048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_Toc2048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24FC81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_Toc3126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rPr>
            <w:t>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_Toc3126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6D9A17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_Toc3192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_Toc3192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C205F5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_Toc5235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第二部分2024年度</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_Toc5235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481EC40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_Toc5105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_Toc5105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A6AE2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_Toc31261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_Toc31261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9C86B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_Toc22742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_Toc22742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EFB910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_Toc2912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_Toc2912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A01C3B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_Toc16463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_Toc16463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AA533F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_Toc20940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_Toc20940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5</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35B35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_Toc2729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_Toc2729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21791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_Toc23946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_Toc23946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9E3023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_Toc23596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九、国有资本经营预算支出决算情况说明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_Toc23596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C01790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_Toc27488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_Toc27488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2B5527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_Toc2473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第三部分名词解释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_Toc2473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8</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6EB2CCB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_Toc17300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第四部分附件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_Toc17300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10</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02D7881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_Toc11824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第五部分附表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_Toc11824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10</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17BAC86A">
          <w:pPr>
            <w:pStyle w:val="14"/>
            <w:adjustRightInd w:val="0"/>
            <w:snapToGrid w:val="0"/>
            <w:spacing w:line="560" w:lineRule="exact"/>
            <w:ind w:left="0" w:leftChars="0" w:firstLine="420" w:firstLineChars="200"/>
            <w:jc w:val="left"/>
            <w:rPr>
              <w:rFonts w:eastAsia="仿宋_GB2312" w:cs="仿宋_GB2312"/>
              <w:sz w:val="32"/>
              <w:szCs w:val="32"/>
            </w:rPr>
          </w:pPr>
          <w:r>
            <w:fldChar w:fldCharType="end"/>
          </w:r>
          <w:r>
            <w:rPr>
              <w:rFonts w:hint="eastAsia" w:eastAsia="仿宋_GB2312" w:cs="仿宋_GB2312"/>
              <w:sz w:val="32"/>
              <w:szCs w:val="32"/>
            </w:rPr>
            <w:t>一、收入支出决算总表</w:t>
          </w:r>
        </w:p>
        <w:p w14:paraId="58E181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CE8110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4CBF496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0DF7AEA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03D1642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008F1B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25135E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5719565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2C5CF50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08157BA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6F9410D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284FE8E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60E1E28B">
          <w:pPr>
            <w:pStyle w:val="5"/>
            <w:jc w:val="center"/>
            <w:rPr>
              <w:rFonts w:hint="eastAsia" w:eastAsia="方正小标宋简体" w:cs="方正小标宋简体"/>
              <w:b w:val="0"/>
            </w:rPr>
            <w:sectPr>
              <w:headerReference r:id="rId3" w:type="default"/>
              <w:footerReference r:id="rId4" w:type="default"/>
              <w:pgSz w:w="11910" w:h="16840"/>
              <w:pgMar w:top="525" w:right="542" w:bottom="469" w:left="499" w:header="279" w:footer="251" w:gutter="0"/>
              <w:cols w:space="720" w:num="1"/>
            </w:sectPr>
          </w:pPr>
        </w:p>
        <w:p w14:paraId="0F0A60EC">
          <w:pPr>
            <w:rPr>
              <w:rFonts w:ascii="Times New Roman" w:hAnsi="Times New Roman" w:eastAsia="黑体" w:cs="黑体"/>
              <w:sz w:val="32"/>
              <w:szCs w:val="32"/>
            </w:rPr>
          </w:pPr>
        </w:p>
      </w:sdtContent>
    </w:sdt>
    <w:p w14:paraId="7A0BB24A">
      <w:pPr>
        <w:pStyle w:val="5"/>
        <w:jc w:val="center"/>
        <w:rPr>
          <w:rStyle w:val="29"/>
          <w:rFonts w:eastAsia="方正小标宋简体" w:cs="方正小标宋简体"/>
          <w:b/>
          <w:bCs w:val="0"/>
        </w:rPr>
      </w:pPr>
      <w:bookmarkStart w:id="12" w:name="_Toc15396599"/>
      <w:bookmarkStart w:id="13" w:name="_Toc15377196"/>
      <w:bookmarkStart w:id="14" w:name="_Toc2048"/>
      <w:r>
        <w:rPr>
          <w:rFonts w:hint="eastAsia" w:eastAsia="方正小标宋简体" w:cs="方正小标宋简体"/>
          <w:b w:val="0"/>
        </w:rPr>
        <w:t>第一部分</w:t>
      </w:r>
      <w:r>
        <w:rPr>
          <w:rStyle w:val="29"/>
          <w:rFonts w:hint="eastAsia" w:eastAsia="方正小标宋简体" w:cs="方正小标宋简体"/>
          <w:b w:val="0"/>
          <w:bCs w:val="0"/>
          <w:lang w:val="en-US" w:eastAsia="zh-CN"/>
        </w:rPr>
        <w:t>单位</w:t>
      </w:r>
      <w:r>
        <w:rPr>
          <w:rStyle w:val="29"/>
          <w:rFonts w:hint="eastAsia" w:eastAsia="方正小标宋简体" w:cs="方正小标宋简体"/>
          <w:b w:val="0"/>
          <w:bCs w:val="0"/>
        </w:rPr>
        <w:t>概况</w:t>
      </w:r>
      <w:bookmarkEnd w:id="12"/>
      <w:bookmarkEnd w:id="13"/>
      <w:bookmarkEnd w:id="14"/>
    </w:p>
    <w:p w14:paraId="6E8BE59E">
      <w:pPr>
        <w:widowControl/>
        <w:jc w:val="left"/>
        <w:rPr>
          <w:rFonts w:eastAsia="黑体"/>
          <w:sz w:val="32"/>
          <w:szCs w:val="32"/>
        </w:rPr>
      </w:pPr>
    </w:p>
    <w:p w14:paraId="77367542">
      <w:pPr>
        <w:pStyle w:val="6"/>
        <w:numPr>
          <w:ilvl w:val="0"/>
          <w:numId w:val="1"/>
        </w:numPr>
        <w:rPr>
          <w:rFonts w:hint="eastAsia" w:ascii="Times New Roman" w:hAnsi="Times New Roman" w:eastAsia="黑体"/>
          <w:b w:val="0"/>
        </w:rPr>
      </w:pPr>
      <w:bookmarkStart w:id="15" w:name="_Toc3126"/>
      <w:r>
        <w:rPr>
          <w:rFonts w:hint="eastAsia" w:ascii="Times New Roman" w:hAnsi="Times New Roman" w:eastAsia="黑体"/>
          <w:b w:val="0"/>
          <w:lang w:val="en-US" w:eastAsia="zh-CN"/>
        </w:rPr>
        <w:t>单位</w:t>
      </w:r>
      <w:r>
        <w:rPr>
          <w:rFonts w:hint="eastAsia" w:ascii="Times New Roman" w:hAnsi="Times New Roman" w:eastAsia="黑体"/>
          <w:b w:val="0"/>
        </w:rPr>
        <w:t>职责</w:t>
      </w:r>
      <w:bookmarkEnd w:id="15"/>
    </w:p>
    <w:p w14:paraId="2163CDE8">
      <w:pPr>
        <w:pStyle w:val="6"/>
        <w:numPr>
          <w:numId w:val="0"/>
        </w:numPr>
        <w:ind w:firstLine="640" w:firstLineChars="200"/>
        <w:rPr>
          <w:rFonts w:hint="eastAsia" w:ascii="Times New Roman" w:hAnsi="Times New Roman" w:eastAsia="仿宋_GB2312" w:cs="仿宋_GB2312"/>
          <w:b w:val="0"/>
          <w:bCs w:val="0"/>
          <w:kern w:val="2"/>
          <w:sz w:val="32"/>
          <w:szCs w:val="32"/>
          <w:lang w:val="en-US" w:eastAsia="zh-CN" w:bidi="ar-SA"/>
        </w:rPr>
      </w:pPr>
      <w:bookmarkStart w:id="16" w:name="_Toc15396601"/>
      <w:bookmarkStart w:id="17" w:name="_Toc15377200"/>
      <w:bookmarkStart w:id="18" w:name="_Toc3192"/>
      <w:r>
        <w:rPr>
          <w:rFonts w:hint="eastAsia" w:ascii="Times New Roman" w:hAnsi="Times New Roman" w:eastAsia="仿宋_GB2312" w:cs="仿宋_GB2312"/>
          <w:b w:val="0"/>
          <w:bCs w:val="0"/>
          <w:kern w:val="2"/>
          <w:sz w:val="32"/>
          <w:szCs w:val="32"/>
          <w:lang w:val="en-US" w:eastAsia="zh-CN" w:bidi="ar-SA"/>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w:t>
      </w:r>
    </w:p>
    <w:p w14:paraId="64FC84BB">
      <w:pPr>
        <w:ind w:firstLine="640" w:firstLineChars="200"/>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2.完成阿坝州生态环境局和若尔盖县委、县政府交办的其他事项。</w:t>
      </w:r>
    </w:p>
    <w:p w14:paraId="5401DC9F">
      <w:pPr>
        <w:pStyle w:val="6"/>
        <w:numPr>
          <w:numId w:val="0"/>
        </w:numPr>
        <w:rPr>
          <w:rStyle w:val="30"/>
          <w:rFonts w:ascii="Times New Roman" w:hAnsi="Times New Roman"/>
          <w:b w:val="0"/>
          <w:bCs w:val="0"/>
        </w:rPr>
      </w:pPr>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6"/>
      <w:bookmarkEnd w:id="17"/>
      <w:bookmarkEnd w:id="18"/>
    </w:p>
    <w:p w14:paraId="77ADD938">
      <w:pPr>
        <w:pStyle w:val="28"/>
        <w:spacing w:line="600" w:lineRule="exact"/>
        <w:ind w:firstLine="640"/>
        <w:outlineLvl w:val="9"/>
        <w:rPr>
          <w:rFonts w:hint="eastAsia" w:eastAsia="仿宋_GB2312" w:cs="仿宋_GB2312"/>
          <w:sz w:val="32"/>
          <w:szCs w:val="32"/>
        </w:rPr>
      </w:pPr>
      <w:r>
        <w:rPr>
          <w:rFonts w:hint="eastAsia" w:eastAsia="仿宋_GB2312" w:cs="仿宋_GB2312"/>
          <w:sz w:val="32"/>
          <w:szCs w:val="32"/>
        </w:rPr>
        <w:t>单位为二级预算单位，单位性质为</w:t>
      </w:r>
      <w:r>
        <w:rPr>
          <w:rFonts w:hint="eastAsia" w:eastAsia="仿宋_GB2312" w:cs="仿宋_GB2312"/>
          <w:sz w:val="32"/>
          <w:szCs w:val="32"/>
          <w:lang w:val="en-US" w:eastAsia="zh-CN"/>
        </w:rPr>
        <w:t>事业</w:t>
      </w:r>
      <w:r>
        <w:rPr>
          <w:rFonts w:hint="eastAsia" w:eastAsia="仿宋_GB2312" w:cs="仿宋_GB2312"/>
          <w:sz w:val="32"/>
          <w:szCs w:val="32"/>
        </w:rPr>
        <w:t>单位，内设独立核算机构为1个，机构编制数为1个。</w:t>
      </w:r>
    </w:p>
    <w:p w14:paraId="328DA129">
      <w:pPr>
        <w:widowControl/>
        <w:jc w:val="left"/>
        <w:rPr>
          <w:rFonts w:eastAsia="仿宋"/>
          <w:kern w:val="0"/>
          <w:sz w:val="32"/>
          <w:szCs w:val="32"/>
        </w:rPr>
      </w:pPr>
      <w:r>
        <w:rPr>
          <w:rFonts w:eastAsia="仿宋"/>
          <w:sz w:val="32"/>
          <w:szCs w:val="32"/>
        </w:rPr>
        <w:br w:type="page"/>
      </w:r>
    </w:p>
    <w:p w14:paraId="1F0C76A5">
      <w:pPr>
        <w:spacing w:line="333" w:lineRule="auto"/>
        <w:rPr>
          <w:rFonts w:ascii="仿宋" w:hAnsi="仿宋" w:eastAsia="仿宋" w:cs="仿宋"/>
          <w:sz w:val="31"/>
          <w:szCs w:val="31"/>
        </w:rPr>
        <w:sectPr>
          <w:headerReference r:id="rId5" w:type="default"/>
          <w:footerReference r:id="rId6" w:type="default"/>
          <w:pgSz w:w="11910" w:h="16840"/>
          <w:pgMar w:top="525" w:right="542" w:bottom="469" w:left="499" w:header="279" w:footer="251" w:gutter="0"/>
          <w:pgNumType w:fmt="decimal" w:start="1"/>
          <w:cols w:space="720" w:num="1"/>
        </w:sectPr>
      </w:pPr>
    </w:p>
    <w:p w14:paraId="75F13978">
      <w:pPr>
        <w:numPr>
          <w:ilvl w:val="0"/>
          <w:numId w:val="0"/>
        </w:numPr>
      </w:pPr>
    </w:p>
    <w:p w14:paraId="6B57631A">
      <w:pPr>
        <w:pStyle w:val="5"/>
        <w:jc w:val="center"/>
      </w:pPr>
      <w:bookmarkStart w:id="19" w:name="_Toc15396602"/>
      <w:bookmarkStart w:id="20" w:name="_Toc15377204"/>
      <w:bookmarkStart w:id="21" w:name="_Toc5235"/>
      <w:r>
        <w:rPr>
          <w:rFonts w:hint="eastAsia" w:eastAsia="方正小标宋简体" w:cs="方正小标宋简体"/>
          <w:b w:val="0"/>
        </w:rPr>
        <w:t>第二部分2024年度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9"/>
      <w:bookmarkEnd w:id="20"/>
      <w:bookmarkEnd w:id="21"/>
    </w:p>
    <w:p w14:paraId="61C442B7">
      <w:pPr>
        <w:pStyle w:val="28"/>
        <w:spacing w:line="600" w:lineRule="exact"/>
        <w:ind w:firstLine="640"/>
        <w:outlineLvl w:val="1"/>
        <w:rPr>
          <w:rStyle w:val="30"/>
          <w:rFonts w:ascii="Times New Roman" w:hAnsi="Times New Roman" w:eastAsia="黑体"/>
          <w:b w:val="0"/>
        </w:rPr>
      </w:pPr>
      <w:bookmarkStart w:id="22" w:name="_Toc15377205"/>
      <w:bookmarkStart w:id="23" w:name="_Toc5105"/>
      <w:bookmarkStart w:id="24"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22"/>
      <w:bookmarkEnd w:id="23"/>
      <w:bookmarkEnd w:id="24"/>
    </w:p>
    <w:p w14:paraId="6B020F35">
      <w:pPr>
        <w:pStyle w:val="28"/>
        <w:spacing w:line="600" w:lineRule="exact"/>
        <w:ind w:firstLine="640"/>
        <w:outlineLvl w:val="9"/>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168.92</w:t>
      </w:r>
      <w:r>
        <w:rPr>
          <w:rFonts w:hint="eastAsia" w:eastAsia="仿宋_GB2312" w:cs="仿宋_GB2312"/>
          <w:sz w:val="32"/>
          <w:szCs w:val="32"/>
        </w:rPr>
        <w:t>万元。与2023年度相比，收入、支出总计各</w:t>
      </w:r>
      <w:r>
        <w:rPr>
          <w:rFonts w:hint="eastAsia" w:eastAsia="仿宋_GB2312" w:cs="仿宋_GB2312"/>
          <w:sz w:val="32"/>
          <w:szCs w:val="32"/>
          <w:lang w:val="en-US" w:eastAsia="zh-CN"/>
        </w:rPr>
        <w:t>增加29.4</w:t>
      </w:r>
      <w:r>
        <w:rPr>
          <w:rFonts w:hint="eastAsia" w:eastAsia="仿宋_GB2312" w:cs="仿宋_GB2312"/>
          <w:sz w:val="32"/>
          <w:szCs w:val="32"/>
        </w:rPr>
        <w:t>万元，</w:t>
      </w:r>
      <w:r>
        <w:rPr>
          <w:rFonts w:hint="eastAsia" w:eastAsia="仿宋_GB2312" w:cs="仿宋_GB2312"/>
          <w:sz w:val="32"/>
          <w:szCs w:val="32"/>
          <w:lang w:val="en-US" w:eastAsia="zh-CN"/>
        </w:rPr>
        <w:t>上升21.1</w:t>
      </w:r>
      <w:r>
        <w:rPr>
          <w:rFonts w:hint="eastAsia" w:eastAsia="仿宋_GB2312" w:cs="仿宋_GB2312"/>
          <w:sz w:val="32"/>
          <w:szCs w:val="32"/>
        </w:rPr>
        <w:t>%。主要变动原因是</w:t>
      </w:r>
      <w:r>
        <w:rPr>
          <w:rFonts w:hint="eastAsia" w:eastAsia="仿宋_GB2312" w:cs="仿宋_GB2312"/>
          <w:sz w:val="32"/>
          <w:szCs w:val="32"/>
          <w:lang w:val="en-US" w:eastAsia="zh-CN"/>
        </w:rPr>
        <w:t>人员工资变动。</w:t>
      </w:r>
    </w:p>
    <w:p w14:paraId="3DF479DA">
      <w:pPr>
        <w:pStyle w:val="28"/>
        <w:spacing w:line="600" w:lineRule="exact"/>
        <w:ind w:firstLine="640"/>
        <w:outlineLvl w:val="9"/>
        <w:rPr>
          <w:rFonts w:hint="eastAsia"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1147445</wp:posOffset>
            </wp:positionH>
            <wp:positionV relativeFrom="paragraph">
              <wp:posOffset>95885</wp:posOffset>
            </wp:positionV>
            <wp:extent cx="4639945" cy="3215640"/>
            <wp:effectExtent l="4445" t="4445" r="19050" b="1079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654FA5">
      <w:pPr>
        <w:pStyle w:val="28"/>
        <w:spacing w:line="600" w:lineRule="exact"/>
        <w:ind w:firstLine="640"/>
        <w:outlineLvl w:val="9"/>
        <w:rPr>
          <w:rFonts w:hint="default" w:eastAsia="仿宋_GB2312" w:cs="仿宋_GB2312"/>
          <w:sz w:val="32"/>
          <w:szCs w:val="32"/>
          <w:lang w:val="en-US" w:eastAsia="zh-CN"/>
        </w:rPr>
      </w:pPr>
    </w:p>
    <w:p w14:paraId="20ED5568">
      <w:pPr>
        <w:pStyle w:val="28"/>
        <w:spacing w:line="600" w:lineRule="exact"/>
        <w:ind w:firstLine="640"/>
        <w:outlineLvl w:val="9"/>
        <w:rPr>
          <w:rFonts w:hint="default" w:eastAsia="仿宋_GB2312" w:cs="仿宋_GB2312"/>
          <w:sz w:val="32"/>
          <w:szCs w:val="32"/>
          <w:lang w:val="en-US" w:eastAsia="zh-CN"/>
        </w:rPr>
      </w:pPr>
    </w:p>
    <w:p w14:paraId="67462A40">
      <w:pPr>
        <w:pStyle w:val="28"/>
        <w:spacing w:line="600" w:lineRule="exact"/>
        <w:ind w:firstLine="640"/>
        <w:outlineLvl w:val="9"/>
        <w:rPr>
          <w:rFonts w:hint="default" w:eastAsia="仿宋_GB2312" w:cs="仿宋_GB2312"/>
          <w:sz w:val="32"/>
          <w:szCs w:val="32"/>
          <w:lang w:val="en-US" w:eastAsia="zh-CN"/>
        </w:rPr>
      </w:pPr>
    </w:p>
    <w:p w14:paraId="03A532DB">
      <w:pPr>
        <w:pStyle w:val="28"/>
        <w:spacing w:line="600" w:lineRule="exact"/>
        <w:ind w:firstLine="640"/>
        <w:outlineLvl w:val="9"/>
        <w:rPr>
          <w:rFonts w:hint="default" w:eastAsia="仿宋_GB2312" w:cs="仿宋_GB2312"/>
          <w:sz w:val="32"/>
          <w:szCs w:val="32"/>
          <w:lang w:val="en-US" w:eastAsia="zh-CN"/>
        </w:rPr>
      </w:pPr>
    </w:p>
    <w:p w14:paraId="76515ABB">
      <w:pPr>
        <w:pStyle w:val="28"/>
        <w:spacing w:line="600" w:lineRule="exact"/>
        <w:ind w:firstLine="640"/>
        <w:outlineLvl w:val="9"/>
        <w:rPr>
          <w:rFonts w:hint="default" w:eastAsia="仿宋_GB2312" w:cs="仿宋_GB2312"/>
          <w:sz w:val="32"/>
          <w:szCs w:val="32"/>
          <w:lang w:val="en-US" w:eastAsia="zh-CN"/>
        </w:rPr>
      </w:pPr>
    </w:p>
    <w:p w14:paraId="055C0E1C">
      <w:pPr>
        <w:pStyle w:val="28"/>
        <w:spacing w:line="600" w:lineRule="exact"/>
        <w:ind w:firstLine="640"/>
        <w:outlineLvl w:val="9"/>
        <w:rPr>
          <w:rFonts w:hint="default" w:eastAsia="仿宋_GB2312" w:cs="仿宋_GB2312"/>
          <w:sz w:val="32"/>
          <w:szCs w:val="32"/>
          <w:lang w:val="en-US" w:eastAsia="zh-CN"/>
        </w:rPr>
      </w:pPr>
    </w:p>
    <w:p w14:paraId="113CA409">
      <w:pPr>
        <w:pStyle w:val="28"/>
        <w:spacing w:line="600" w:lineRule="exact"/>
        <w:ind w:firstLine="640"/>
        <w:outlineLvl w:val="9"/>
        <w:rPr>
          <w:rFonts w:hint="default" w:eastAsia="仿宋_GB2312" w:cs="仿宋_GB2312"/>
          <w:sz w:val="32"/>
          <w:szCs w:val="32"/>
          <w:lang w:val="en-US" w:eastAsia="zh-CN"/>
        </w:rPr>
      </w:pPr>
    </w:p>
    <w:p w14:paraId="2D014DA0">
      <w:pPr>
        <w:pStyle w:val="28"/>
        <w:spacing w:line="600" w:lineRule="exact"/>
        <w:ind w:firstLine="640"/>
        <w:outlineLvl w:val="9"/>
        <w:rPr>
          <w:rFonts w:hint="default" w:eastAsia="仿宋_GB2312" w:cs="仿宋_GB2312"/>
          <w:sz w:val="32"/>
          <w:szCs w:val="32"/>
          <w:lang w:val="en-US" w:eastAsia="zh-CN"/>
        </w:rPr>
      </w:pPr>
    </w:p>
    <w:p w14:paraId="4AFE41E8">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07592078">
      <w:pPr>
        <w:pStyle w:val="28"/>
        <w:spacing w:line="600" w:lineRule="exact"/>
        <w:ind w:firstLine="640"/>
        <w:outlineLvl w:val="1"/>
        <w:rPr>
          <w:rFonts w:eastAsia="黑体"/>
          <w:sz w:val="32"/>
          <w:szCs w:val="32"/>
        </w:rPr>
      </w:pPr>
      <w:bookmarkStart w:id="25" w:name="_Toc31261"/>
      <w:bookmarkStart w:id="26" w:name="_Toc15396604"/>
      <w:bookmarkStart w:id="27" w:name="_Toc15377206"/>
      <w:r>
        <w:rPr>
          <w:rFonts w:hint="eastAsia" w:eastAsia="黑体"/>
          <w:sz w:val="32"/>
          <w:szCs w:val="32"/>
        </w:rPr>
        <w:t>二、收入决算情况说明</w:t>
      </w:r>
      <w:bookmarkEnd w:id="25"/>
      <w:bookmarkEnd w:id="26"/>
      <w:bookmarkEnd w:id="27"/>
    </w:p>
    <w:p w14:paraId="00EAB0F8">
      <w:pPr>
        <w:pStyle w:val="28"/>
        <w:spacing w:line="600" w:lineRule="exact"/>
        <w:ind w:firstLine="64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A54F4EC">
      <w:pPr>
        <w:pStyle w:val="28"/>
        <w:spacing w:line="600" w:lineRule="exact"/>
        <w:ind w:left="0" w:leftChars="0" w:firstLine="0" w:firstLineChars="0"/>
        <w:jc w:val="left"/>
        <w:outlineLvl w:val="9"/>
        <w:rPr>
          <w:rFonts w:hint="eastAsia" w:ascii="仿宋_GB2312" w:hAnsi="仿宋_GB2312" w:eastAsia="仿宋_GB2312" w:cs="仿宋_GB2312"/>
          <w:sz w:val="32"/>
          <w:szCs w:val="32"/>
        </w:rPr>
      </w:pPr>
      <w:r>
        <w:drawing>
          <wp:anchor distT="0" distB="0" distL="114300" distR="114300" simplePos="0" relativeHeight="251664384" behindDoc="0" locked="0" layoutInCell="1" allowOverlap="1">
            <wp:simplePos x="0" y="0"/>
            <wp:positionH relativeFrom="column">
              <wp:posOffset>1170305</wp:posOffset>
            </wp:positionH>
            <wp:positionV relativeFrom="paragraph">
              <wp:posOffset>80010</wp:posOffset>
            </wp:positionV>
            <wp:extent cx="4673600" cy="1924685"/>
            <wp:effectExtent l="5080" t="4445" r="15240" b="6350"/>
            <wp:wrapNone/>
            <wp:docPr id="155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BD824BC">
      <w:pPr>
        <w:pStyle w:val="28"/>
        <w:spacing w:line="600" w:lineRule="exact"/>
        <w:ind w:firstLine="640"/>
        <w:jc w:val="left"/>
        <w:outlineLvl w:val="9"/>
        <w:rPr>
          <w:rFonts w:hint="eastAsia" w:ascii="仿宋_GB2312" w:hAnsi="仿宋_GB2312" w:eastAsia="仿宋_GB2312" w:cs="仿宋_GB2312"/>
          <w:sz w:val="32"/>
          <w:szCs w:val="32"/>
        </w:rPr>
      </w:pPr>
    </w:p>
    <w:p w14:paraId="01CD5B20">
      <w:pPr>
        <w:pStyle w:val="28"/>
        <w:spacing w:line="600" w:lineRule="exact"/>
        <w:ind w:firstLine="640"/>
        <w:jc w:val="left"/>
        <w:outlineLvl w:val="9"/>
        <w:rPr>
          <w:rFonts w:hint="eastAsia" w:ascii="仿宋_GB2312" w:hAnsi="仿宋_GB2312" w:eastAsia="仿宋_GB2312" w:cs="仿宋_GB2312"/>
          <w:sz w:val="32"/>
          <w:szCs w:val="32"/>
        </w:rPr>
      </w:pPr>
    </w:p>
    <w:p w14:paraId="726C1B80">
      <w:pPr>
        <w:pStyle w:val="28"/>
        <w:spacing w:line="600" w:lineRule="exact"/>
        <w:ind w:firstLine="640"/>
        <w:jc w:val="left"/>
        <w:outlineLvl w:val="9"/>
        <w:rPr>
          <w:rFonts w:hint="eastAsia" w:ascii="仿宋_GB2312" w:hAnsi="仿宋_GB2312" w:eastAsia="仿宋_GB2312" w:cs="仿宋_GB2312"/>
          <w:sz w:val="32"/>
          <w:szCs w:val="32"/>
        </w:rPr>
      </w:pPr>
    </w:p>
    <w:p w14:paraId="0C1262A6">
      <w:pPr>
        <w:pStyle w:val="28"/>
        <w:spacing w:line="600" w:lineRule="exact"/>
        <w:ind w:firstLine="640"/>
        <w:jc w:val="left"/>
        <w:outlineLvl w:val="9"/>
        <w:rPr>
          <w:rFonts w:hint="eastAsia" w:ascii="仿宋_GB2312" w:hAnsi="仿宋_GB2312" w:eastAsia="仿宋_GB2312" w:cs="仿宋_GB2312"/>
          <w:sz w:val="32"/>
          <w:szCs w:val="32"/>
        </w:rPr>
      </w:pPr>
    </w:p>
    <w:p w14:paraId="77D716C1">
      <w:pPr>
        <w:jc w:val="both"/>
        <w:rPr>
          <w:rFonts w:hint="eastAsia" w:eastAsia="仿宋_GB2312" w:cs="仿宋_GB2312"/>
          <w:sz w:val="32"/>
          <w:szCs w:val="32"/>
        </w:rPr>
      </w:pPr>
    </w:p>
    <w:p w14:paraId="676D7291">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7D954DA0">
      <w:pPr>
        <w:pStyle w:val="28"/>
        <w:spacing w:line="600" w:lineRule="exact"/>
        <w:ind w:firstLine="640"/>
        <w:outlineLvl w:val="1"/>
        <w:rPr>
          <w:rStyle w:val="30"/>
          <w:rFonts w:ascii="Times New Roman" w:hAnsi="Times New Roman" w:eastAsia="黑体"/>
          <w:b w:val="0"/>
        </w:rPr>
      </w:pPr>
      <w:bookmarkStart w:id="28" w:name="_Toc15396605"/>
      <w:bookmarkStart w:id="29" w:name="_Toc22742"/>
      <w:bookmarkStart w:id="30" w:name="_Toc15377207"/>
      <w:r>
        <w:rPr>
          <w:rFonts w:hint="eastAsia" w:eastAsia="黑体"/>
          <w:sz w:val="32"/>
          <w:szCs w:val="32"/>
        </w:rPr>
        <w:t>三、支</w:t>
      </w:r>
      <w:r>
        <w:rPr>
          <w:rStyle w:val="30"/>
          <w:rFonts w:hint="eastAsia" w:ascii="Times New Roman" w:hAnsi="Times New Roman" w:eastAsia="黑体"/>
          <w:b w:val="0"/>
        </w:rPr>
        <w:t>出决算情况说明</w:t>
      </w:r>
      <w:bookmarkEnd w:id="28"/>
      <w:bookmarkEnd w:id="29"/>
      <w:bookmarkEnd w:id="30"/>
    </w:p>
    <w:p w14:paraId="5ADEC559">
      <w:pPr>
        <w:pStyle w:val="28"/>
        <w:spacing w:line="600" w:lineRule="exact"/>
        <w:ind w:firstLine="640"/>
        <w:jc w:val="left"/>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2E5DC11">
      <w:pPr>
        <w:pStyle w:val="28"/>
        <w:spacing w:line="600" w:lineRule="exact"/>
        <w:ind w:firstLine="640"/>
        <w:jc w:val="left"/>
        <w:outlineLvl w:val="9"/>
        <w:rPr>
          <w:rFonts w:hint="eastAsia" w:ascii="仿宋_GB2312" w:hAnsi="仿宋_GB2312" w:eastAsia="仿宋_GB2312" w:cs="仿宋_GB2312"/>
          <w:sz w:val="32"/>
          <w:szCs w:val="32"/>
          <w:lang w:eastAsia="zh-CN"/>
        </w:rPr>
      </w:pPr>
    </w:p>
    <w:p w14:paraId="24667E14">
      <w:pPr>
        <w:pStyle w:val="28"/>
        <w:spacing w:line="600" w:lineRule="exact"/>
        <w:ind w:firstLine="640"/>
        <w:jc w:val="left"/>
        <w:outlineLvl w:val="9"/>
        <w:rPr>
          <w:rFonts w:hint="eastAsia" w:ascii="仿宋_GB2312" w:hAnsi="仿宋_GB2312" w:eastAsia="仿宋_GB2312" w:cs="仿宋_GB2312"/>
          <w:sz w:val="32"/>
          <w:szCs w:val="32"/>
          <w:lang w:eastAsia="zh-CN"/>
        </w:rPr>
      </w:pPr>
      <w:r>
        <w:drawing>
          <wp:anchor distT="0" distB="0" distL="114300" distR="114300" simplePos="0" relativeHeight="251665408" behindDoc="0" locked="0" layoutInCell="1" allowOverlap="1">
            <wp:simplePos x="0" y="0"/>
            <wp:positionH relativeFrom="column">
              <wp:posOffset>1276985</wp:posOffset>
            </wp:positionH>
            <wp:positionV relativeFrom="paragraph">
              <wp:posOffset>-330200</wp:posOffset>
            </wp:positionV>
            <wp:extent cx="4210050" cy="2325370"/>
            <wp:effectExtent l="5080" t="5080" r="6350" b="16510"/>
            <wp:wrapNone/>
            <wp:docPr id="8"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0147977">
      <w:pPr>
        <w:pStyle w:val="28"/>
        <w:spacing w:line="600" w:lineRule="exact"/>
        <w:ind w:firstLine="640"/>
        <w:jc w:val="left"/>
        <w:outlineLvl w:val="9"/>
        <w:rPr>
          <w:rFonts w:hint="eastAsia" w:ascii="仿宋_GB2312" w:hAnsi="仿宋_GB2312" w:eastAsia="仿宋_GB2312" w:cs="仿宋_GB2312"/>
          <w:sz w:val="32"/>
          <w:szCs w:val="32"/>
          <w:lang w:eastAsia="zh-CN"/>
        </w:rPr>
      </w:pPr>
    </w:p>
    <w:p w14:paraId="55BFF424">
      <w:pPr>
        <w:pStyle w:val="28"/>
        <w:spacing w:line="600" w:lineRule="exact"/>
        <w:ind w:firstLine="640"/>
        <w:jc w:val="left"/>
        <w:outlineLvl w:val="9"/>
        <w:rPr>
          <w:rFonts w:hint="eastAsia" w:ascii="仿宋_GB2312" w:hAnsi="仿宋_GB2312" w:eastAsia="仿宋_GB2312" w:cs="仿宋_GB2312"/>
          <w:sz w:val="32"/>
          <w:szCs w:val="32"/>
          <w:lang w:eastAsia="zh-CN"/>
        </w:rPr>
      </w:pPr>
    </w:p>
    <w:p w14:paraId="73793E36">
      <w:pPr>
        <w:pStyle w:val="28"/>
        <w:spacing w:line="600" w:lineRule="exact"/>
        <w:ind w:firstLine="640"/>
        <w:jc w:val="left"/>
        <w:outlineLvl w:val="9"/>
        <w:rPr>
          <w:rFonts w:hint="eastAsia" w:ascii="仿宋_GB2312" w:hAnsi="仿宋_GB2312" w:eastAsia="仿宋_GB2312" w:cs="仿宋_GB2312"/>
          <w:sz w:val="32"/>
          <w:szCs w:val="32"/>
          <w:lang w:eastAsia="zh-CN"/>
        </w:rPr>
      </w:pPr>
    </w:p>
    <w:p w14:paraId="3388DDA3">
      <w:pPr>
        <w:pStyle w:val="28"/>
        <w:spacing w:line="600" w:lineRule="exact"/>
        <w:ind w:firstLine="640"/>
        <w:jc w:val="left"/>
        <w:outlineLvl w:val="9"/>
        <w:rPr>
          <w:rFonts w:hint="eastAsia" w:ascii="仿宋_GB2312" w:hAnsi="仿宋_GB2312" w:eastAsia="仿宋_GB2312" w:cs="仿宋_GB2312"/>
          <w:sz w:val="32"/>
          <w:szCs w:val="32"/>
          <w:lang w:eastAsia="zh-CN"/>
        </w:rPr>
      </w:pPr>
    </w:p>
    <w:p w14:paraId="44C9BD86">
      <w:pPr>
        <w:ind w:firstLine="800" w:firstLineChars="250"/>
        <w:rPr>
          <w:rFonts w:hint="eastAsia" w:eastAsia="仿宋_GB2312" w:cs="仿宋_GB2312"/>
          <w:sz w:val="32"/>
          <w:szCs w:val="32"/>
        </w:rPr>
      </w:pPr>
    </w:p>
    <w:p w14:paraId="70A88AAD">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54075097">
      <w:pPr>
        <w:spacing w:line="600" w:lineRule="exact"/>
        <w:ind w:firstLine="640" w:firstLineChars="200"/>
        <w:outlineLvl w:val="1"/>
        <w:rPr>
          <w:rStyle w:val="30"/>
          <w:rFonts w:ascii="Times New Roman" w:hAnsi="Times New Roman" w:eastAsia="黑体"/>
          <w:b w:val="0"/>
        </w:rPr>
      </w:pPr>
      <w:bookmarkStart w:id="31" w:name="_Toc15396606"/>
      <w:bookmarkStart w:id="32" w:name="_Toc15377208"/>
      <w:bookmarkStart w:id="33" w:name="_Toc2912"/>
      <w:r>
        <w:rPr>
          <w:rFonts w:hint="eastAsia" w:eastAsia="黑体"/>
          <w:sz w:val="32"/>
          <w:szCs w:val="32"/>
        </w:rPr>
        <w:t>四、财</w:t>
      </w:r>
      <w:r>
        <w:rPr>
          <w:rStyle w:val="30"/>
          <w:rFonts w:hint="eastAsia" w:ascii="Times New Roman" w:hAnsi="Times New Roman" w:eastAsia="黑体"/>
          <w:b w:val="0"/>
        </w:rPr>
        <w:t>政拨款收入支出决算总体情况说明</w:t>
      </w:r>
      <w:bookmarkEnd w:id="31"/>
      <w:bookmarkEnd w:id="32"/>
      <w:bookmarkEnd w:id="33"/>
    </w:p>
    <w:p w14:paraId="5846BBEE">
      <w:pPr>
        <w:pStyle w:val="28"/>
        <w:spacing w:line="600" w:lineRule="exact"/>
        <w:ind w:firstLine="640"/>
        <w:outlineLvl w:val="9"/>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168.92</w:t>
      </w:r>
      <w:r>
        <w:rPr>
          <w:rFonts w:hint="eastAsia" w:eastAsia="仿宋_GB2312" w:cs="仿宋_GB2312"/>
          <w:sz w:val="32"/>
          <w:szCs w:val="32"/>
        </w:rPr>
        <w:t>万元。与2023年度相比，财政拨款收入总计、支出总计各</w:t>
      </w:r>
      <w:r>
        <w:rPr>
          <w:rFonts w:hint="eastAsia" w:eastAsia="仿宋_GB2312" w:cs="仿宋_GB2312"/>
          <w:sz w:val="32"/>
          <w:szCs w:val="32"/>
          <w:lang w:val="en-US" w:eastAsia="zh-CN"/>
        </w:rPr>
        <w:t>增加29.4</w:t>
      </w:r>
      <w:r>
        <w:rPr>
          <w:rFonts w:hint="eastAsia" w:eastAsia="仿宋_GB2312" w:cs="仿宋_GB2312"/>
          <w:sz w:val="32"/>
          <w:szCs w:val="32"/>
        </w:rPr>
        <w:t>万元，</w:t>
      </w:r>
      <w:r>
        <w:rPr>
          <w:rFonts w:hint="eastAsia" w:eastAsia="仿宋_GB2312" w:cs="仿宋_GB2312"/>
          <w:sz w:val="32"/>
          <w:szCs w:val="32"/>
          <w:lang w:val="en-US" w:eastAsia="zh-CN"/>
        </w:rPr>
        <w:t>上升21.1</w:t>
      </w:r>
      <w:r>
        <w:rPr>
          <w:rFonts w:hint="eastAsia" w:eastAsia="仿宋_GB2312" w:cs="仿宋_GB2312"/>
          <w:sz w:val="32"/>
          <w:szCs w:val="32"/>
        </w:rPr>
        <w:t>%。主要变动原因是</w:t>
      </w:r>
      <w:r>
        <w:rPr>
          <w:rFonts w:hint="eastAsia" w:eastAsia="仿宋_GB2312" w:cs="仿宋_GB2312"/>
          <w:sz w:val="32"/>
          <w:szCs w:val="32"/>
          <w:lang w:val="en-US" w:eastAsia="zh-CN"/>
        </w:rPr>
        <w:t>人员工资变动。</w:t>
      </w:r>
    </w:p>
    <w:p w14:paraId="1A5D8138">
      <w:pPr>
        <w:spacing w:line="600" w:lineRule="exact"/>
        <w:ind w:firstLine="640"/>
        <w:rPr>
          <w:rFonts w:hint="eastAsia" w:eastAsia="仿宋_GB2312" w:cs="仿宋_GB2312"/>
          <w:sz w:val="32"/>
          <w:szCs w:val="32"/>
          <w:lang w:val="en-US" w:eastAsia="zh-CN"/>
        </w:rPr>
      </w:pPr>
      <w:r>
        <w:drawing>
          <wp:anchor distT="0" distB="0" distL="114300" distR="114300" simplePos="0" relativeHeight="251666432" behindDoc="0" locked="0" layoutInCell="1" allowOverlap="1">
            <wp:simplePos x="0" y="0"/>
            <wp:positionH relativeFrom="column">
              <wp:posOffset>387985</wp:posOffset>
            </wp:positionH>
            <wp:positionV relativeFrom="paragraph">
              <wp:posOffset>19685</wp:posOffset>
            </wp:positionV>
            <wp:extent cx="6029325" cy="2966085"/>
            <wp:effectExtent l="4445" t="4445" r="16510" b="16510"/>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1EC6E19">
      <w:pPr>
        <w:spacing w:line="600" w:lineRule="exact"/>
        <w:ind w:firstLine="640"/>
        <w:rPr>
          <w:rFonts w:hint="eastAsia" w:eastAsia="仿宋_GB2312" w:cs="仿宋_GB2312"/>
          <w:sz w:val="32"/>
          <w:szCs w:val="32"/>
          <w:lang w:val="en-US" w:eastAsia="zh-CN"/>
        </w:rPr>
      </w:pPr>
    </w:p>
    <w:p w14:paraId="5C747165">
      <w:pPr>
        <w:spacing w:line="600" w:lineRule="exact"/>
        <w:ind w:firstLine="640"/>
        <w:rPr>
          <w:rFonts w:hint="eastAsia" w:eastAsia="仿宋_GB2312" w:cs="仿宋_GB2312"/>
          <w:sz w:val="32"/>
          <w:szCs w:val="32"/>
          <w:lang w:val="en-US" w:eastAsia="zh-CN"/>
        </w:rPr>
      </w:pPr>
    </w:p>
    <w:p w14:paraId="695C9CB6">
      <w:pPr>
        <w:spacing w:line="600" w:lineRule="exact"/>
        <w:ind w:firstLine="640"/>
        <w:rPr>
          <w:rFonts w:hint="eastAsia" w:eastAsia="仿宋_GB2312" w:cs="仿宋_GB2312"/>
          <w:sz w:val="32"/>
          <w:szCs w:val="32"/>
          <w:lang w:val="en-US" w:eastAsia="zh-CN"/>
        </w:rPr>
      </w:pPr>
    </w:p>
    <w:p w14:paraId="54326115">
      <w:pPr>
        <w:spacing w:line="600" w:lineRule="exact"/>
        <w:ind w:firstLine="640"/>
        <w:rPr>
          <w:rFonts w:hint="eastAsia" w:eastAsia="仿宋_GB2312" w:cs="仿宋_GB2312"/>
          <w:sz w:val="32"/>
          <w:szCs w:val="32"/>
          <w:lang w:val="en-US" w:eastAsia="zh-CN"/>
        </w:rPr>
      </w:pPr>
    </w:p>
    <w:p w14:paraId="4E741E5C">
      <w:pPr>
        <w:spacing w:line="600" w:lineRule="exact"/>
        <w:ind w:firstLine="640"/>
        <w:rPr>
          <w:rFonts w:hint="eastAsia" w:eastAsia="仿宋_GB2312" w:cs="仿宋_GB2312"/>
          <w:sz w:val="32"/>
          <w:szCs w:val="32"/>
          <w:lang w:val="en-US" w:eastAsia="zh-CN"/>
        </w:rPr>
      </w:pPr>
    </w:p>
    <w:p w14:paraId="16A16554">
      <w:pPr>
        <w:spacing w:line="600" w:lineRule="exact"/>
        <w:ind w:firstLine="640"/>
        <w:rPr>
          <w:rFonts w:hint="default" w:eastAsia="仿宋_GB2312" w:cs="仿宋_GB2312"/>
          <w:sz w:val="32"/>
          <w:szCs w:val="32"/>
          <w:lang w:val="en-US" w:eastAsia="zh-CN"/>
        </w:rPr>
      </w:pPr>
    </w:p>
    <w:p w14:paraId="6934D2B6">
      <w:pPr>
        <w:spacing w:line="600" w:lineRule="exact"/>
        <w:rPr>
          <w:rFonts w:hint="eastAsia" w:eastAsia="仿宋_GB2312" w:cs="仿宋_GB2312"/>
          <w:sz w:val="32"/>
          <w:szCs w:val="32"/>
        </w:rPr>
      </w:pPr>
    </w:p>
    <w:p w14:paraId="3C7B5AC9">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（图4：财政拨款收、支决算总计变动情况）</w:t>
      </w:r>
    </w:p>
    <w:p w14:paraId="588454DC">
      <w:pPr>
        <w:spacing w:line="600" w:lineRule="exact"/>
        <w:ind w:firstLine="640" w:firstLineChars="200"/>
        <w:outlineLvl w:val="1"/>
        <w:rPr>
          <w:rStyle w:val="30"/>
          <w:rFonts w:ascii="Times New Roman" w:hAnsi="Times New Roman" w:eastAsia="黑体"/>
          <w:b w:val="0"/>
        </w:rPr>
      </w:pPr>
      <w:bookmarkStart w:id="34" w:name="_Toc15377209"/>
      <w:bookmarkStart w:id="35" w:name="_Toc15396607"/>
      <w:bookmarkStart w:id="36" w:name="_Toc16463"/>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4"/>
      <w:bookmarkEnd w:id="35"/>
      <w:bookmarkEnd w:id="36"/>
    </w:p>
    <w:p w14:paraId="1F541FFE">
      <w:pPr>
        <w:spacing w:line="600" w:lineRule="exact"/>
        <w:ind w:firstLine="643" w:firstLineChars="200"/>
        <w:outlineLvl w:val="9"/>
        <w:rPr>
          <w:rFonts w:eastAsia="楷体_GB2312" w:cs="楷体_GB2312"/>
          <w:b/>
          <w:sz w:val="32"/>
          <w:szCs w:val="32"/>
        </w:rPr>
      </w:pPr>
      <w:bookmarkStart w:id="37" w:name="_Toc15377210"/>
      <w:r>
        <w:rPr>
          <w:rFonts w:hint="eastAsia" w:eastAsia="楷体_GB2312" w:cs="楷体_GB2312"/>
          <w:b/>
          <w:sz w:val="32"/>
          <w:szCs w:val="32"/>
        </w:rPr>
        <w:t>（一）一般公共预算财政拨款支出决算总体情况</w:t>
      </w:r>
      <w:bookmarkEnd w:id="37"/>
    </w:p>
    <w:p w14:paraId="2E7C3E59">
      <w:pPr>
        <w:pStyle w:val="28"/>
        <w:spacing w:line="600" w:lineRule="exact"/>
        <w:ind w:firstLine="640"/>
        <w:outlineLvl w:val="9"/>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eastAsia="仿宋_GB2312" w:cs="仿宋_GB2312"/>
          <w:sz w:val="32"/>
          <w:szCs w:val="32"/>
          <w:lang w:val="en-US" w:eastAsia="zh-CN"/>
        </w:rPr>
        <w:t>增加29.4</w:t>
      </w:r>
      <w:r>
        <w:rPr>
          <w:rFonts w:hint="eastAsia"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上升21.1</w:t>
      </w:r>
      <w:r>
        <w:rPr>
          <w:rFonts w:hint="eastAsia" w:eastAsia="仿宋_GB2312" w:cs="仿宋_GB2312"/>
          <w:sz w:val="32"/>
          <w:szCs w:val="32"/>
        </w:rPr>
        <w:t>%。主要变动原因是</w:t>
      </w:r>
      <w:r>
        <w:rPr>
          <w:rFonts w:hint="eastAsia" w:eastAsia="仿宋_GB2312" w:cs="仿宋_GB2312"/>
          <w:sz w:val="32"/>
          <w:szCs w:val="32"/>
          <w:lang w:val="en-US" w:eastAsia="zh-CN"/>
        </w:rPr>
        <w:t>人员工资变动。</w:t>
      </w:r>
    </w:p>
    <w:p w14:paraId="4E7890D2">
      <w:pPr>
        <w:spacing w:line="600" w:lineRule="exact"/>
        <w:ind w:firstLine="640"/>
        <w:rPr>
          <w:rFonts w:hint="eastAsia" w:ascii="仿宋_GB2312" w:hAnsi="仿宋_GB2312" w:eastAsia="仿宋_GB2312" w:cs="仿宋_GB2312"/>
          <w:sz w:val="32"/>
          <w:szCs w:val="32"/>
          <w:lang w:val="en-US" w:eastAsia="zh-CN"/>
        </w:rPr>
      </w:pPr>
      <w:r>
        <w:drawing>
          <wp:anchor distT="0" distB="0" distL="114300" distR="114300" simplePos="0" relativeHeight="251667456" behindDoc="0" locked="0" layoutInCell="1" allowOverlap="1">
            <wp:simplePos x="0" y="0"/>
            <wp:positionH relativeFrom="column">
              <wp:posOffset>538480</wp:posOffset>
            </wp:positionH>
            <wp:positionV relativeFrom="paragraph">
              <wp:posOffset>144780</wp:posOffset>
            </wp:positionV>
            <wp:extent cx="6189980" cy="2843530"/>
            <wp:effectExtent l="4445" t="4445" r="8255" b="17145"/>
            <wp:wrapNone/>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45F1571">
      <w:pPr>
        <w:spacing w:line="600" w:lineRule="exact"/>
        <w:ind w:firstLine="640"/>
        <w:rPr>
          <w:rFonts w:hint="eastAsia" w:ascii="仿宋_GB2312" w:hAnsi="仿宋_GB2312" w:eastAsia="仿宋_GB2312" w:cs="仿宋_GB2312"/>
          <w:sz w:val="32"/>
          <w:szCs w:val="32"/>
          <w:lang w:val="en-US" w:eastAsia="zh-CN"/>
        </w:rPr>
      </w:pPr>
    </w:p>
    <w:p w14:paraId="7C31BB68">
      <w:pPr>
        <w:spacing w:line="600" w:lineRule="exact"/>
        <w:ind w:firstLine="640"/>
        <w:rPr>
          <w:rFonts w:hint="eastAsia" w:ascii="仿宋_GB2312" w:hAnsi="仿宋_GB2312" w:eastAsia="仿宋_GB2312" w:cs="仿宋_GB2312"/>
          <w:sz w:val="32"/>
          <w:szCs w:val="32"/>
          <w:lang w:val="en-US" w:eastAsia="zh-CN"/>
        </w:rPr>
      </w:pPr>
    </w:p>
    <w:p w14:paraId="06A3C5B5">
      <w:pPr>
        <w:spacing w:line="600" w:lineRule="exact"/>
        <w:ind w:firstLine="640"/>
        <w:rPr>
          <w:rFonts w:hint="eastAsia" w:ascii="仿宋_GB2312" w:hAnsi="仿宋_GB2312" w:eastAsia="仿宋_GB2312" w:cs="仿宋_GB2312"/>
          <w:sz w:val="32"/>
          <w:szCs w:val="32"/>
          <w:lang w:val="en-US" w:eastAsia="zh-CN"/>
        </w:rPr>
      </w:pPr>
    </w:p>
    <w:p w14:paraId="0408824F">
      <w:pPr>
        <w:spacing w:line="600" w:lineRule="exact"/>
        <w:rPr>
          <w:rFonts w:hint="default" w:ascii="仿宋_GB2312" w:hAnsi="仿宋_GB2312" w:eastAsia="仿宋_GB2312" w:cs="仿宋_GB2312"/>
          <w:sz w:val="32"/>
          <w:szCs w:val="32"/>
          <w:lang w:val="en-US" w:eastAsia="zh-CN"/>
        </w:rPr>
      </w:pPr>
    </w:p>
    <w:p w14:paraId="53E1AEB7">
      <w:pPr>
        <w:spacing w:line="600" w:lineRule="exact"/>
        <w:ind w:firstLine="640"/>
        <w:rPr>
          <w:rFonts w:hint="eastAsia" w:eastAsia="仿宋_GB2312" w:cs="仿宋_GB2312"/>
          <w:sz w:val="32"/>
          <w:szCs w:val="32"/>
        </w:rPr>
      </w:pPr>
    </w:p>
    <w:p w14:paraId="18F6FEA4">
      <w:pPr>
        <w:spacing w:line="600" w:lineRule="exact"/>
        <w:ind w:firstLine="640"/>
        <w:jc w:val="center"/>
        <w:rPr>
          <w:rFonts w:hint="eastAsia" w:eastAsia="仿宋_GB2312" w:cs="仿宋_GB2312"/>
          <w:sz w:val="32"/>
          <w:szCs w:val="32"/>
        </w:rPr>
      </w:pPr>
    </w:p>
    <w:p w14:paraId="68E6BA9E">
      <w:pPr>
        <w:spacing w:line="600" w:lineRule="exact"/>
        <w:ind w:firstLine="640"/>
        <w:jc w:val="center"/>
        <w:rPr>
          <w:rFonts w:hint="eastAsia" w:eastAsia="仿宋_GB2312" w:cs="仿宋_GB2312"/>
          <w:sz w:val="32"/>
          <w:szCs w:val="32"/>
        </w:rPr>
      </w:pPr>
    </w:p>
    <w:p w14:paraId="34FF90A1">
      <w:pPr>
        <w:spacing w:line="600" w:lineRule="exact"/>
        <w:ind w:firstLine="64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69AEC7DB">
      <w:pPr>
        <w:spacing w:line="600" w:lineRule="exact"/>
        <w:ind w:firstLine="643" w:firstLineChars="200"/>
        <w:outlineLvl w:val="9"/>
        <w:rPr>
          <w:rFonts w:eastAsia="楷体_GB2312" w:cs="楷体_GB2312"/>
          <w:b/>
          <w:sz w:val="32"/>
          <w:szCs w:val="32"/>
        </w:rPr>
      </w:pPr>
      <w:bookmarkStart w:id="38" w:name="_Toc15377211"/>
      <w:r>
        <w:rPr>
          <w:rFonts w:hint="eastAsia" w:eastAsia="楷体_GB2312" w:cs="楷体_GB2312"/>
          <w:b/>
          <w:sz w:val="32"/>
          <w:szCs w:val="32"/>
        </w:rPr>
        <w:t>（二）一般公共预算财政拨款支出决算结构情况</w:t>
      </w:r>
      <w:bookmarkEnd w:id="38"/>
    </w:p>
    <w:p w14:paraId="399A42DD">
      <w:pPr>
        <w:spacing w:before="278" w:line="353" w:lineRule="auto"/>
        <w:ind w:left="219" w:right="227" w:firstLine="650"/>
        <w:jc w:val="both"/>
        <w:rPr>
          <w:rFonts w:ascii="仿宋" w:hAnsi="仿宋" w:eastAsia="仿宋" w:cs="仿宋"/>
          <w:sz w:val="31"/>
          <w:szCs w:val="31"/>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ascii="仿宋" w:hAnsi="仿宋" w:eastAsia="仿宋" w:cs="仿宋"/>
          <w:spacing w:val="14"/>
          <w:sz w:val="31"/>
          <w:szCs w:val="31"/>
        </w:rPr>
        <w:t>主要用于以下方</w:t>
      </w:r>
      <w:r>
        <w:rPr>
          <w:rFonts w:ascii="仿宋" w:hAnsi="仿宋" w:eastAsia="仿宋" w:cs="仿宋"/>
          <w:spacing w:val="13"/>
          <w:sz w:val="31"/>
          <w:szCs w:val="31"/>
        </w:rPr>
        <w:t>面：社会保障和就业支出</w:t>
      </w:r>
      <w:r>
        <w:rPr>
          <w:rFonts w:hint="eastAsia" w:ascii="仿宋" w:hAnsi="仿宋" w:eastAsia="仿宋" w:cs="仿宋"/>
          <w:spacing w:val="13"/>
          <w:sz w:val="31"/>
          <w:szCs w:val="31"/>
          <w:lang w:val="en-US" w:eastAsia="zh-CN"/>
        </w:rPr>
        <w:t>28.15</w:t>
      </w:r>
      <w:r>
        <w:rPr>
          <w:rFonts w:ascii="仿宋" w:hAnsi="仿宋" w:eastAsia="仿宋" w:cs="仿宋"/>
          <w:spacing w:val="13"/>
          <w:sz w:val="31"/>
          <w:szCs w:val="31"/>
        </w:rPr>
        <w:t>万元，占</w:t>
      </w:r>
      <w:r>
        <w:rPr>
          <w:rFonts w:hint="eastAsia" w:ascii="仿宋" w:hAnsi="仿宋" w:eastAsia="仿宋" w:cs="仿宋"/>
          <w:spacing w:val="13"/>
          <w:sz w:val="31"/>
          <w:szCs w:val="31"/>
          <w:lang w:val="en-US" w:eastAsia="zh-CN"/>
        </w:rPr>
        <w:t>16.7</w:t>
      </w:r>
      <w:r>
        <w:rPr>
          <w:rFonts w:ascii="仿宋" w:hAnsi="仿宋" w:eastAsia="仿宋" w:cs="仿宋"/>
          <w:spacing w:val="12"/>
          <w:sz w:val="31"/>
          <w:szCs w:val="31"/>
        </w:rPr>
        <w:t>%;卫生健康支出</w:t>
      </w:r>
      <w:r>
        <w:rPr>
          <w:rFonts w:hint="eastAsia" w:ascii="仿宋" w:hAnsi="仿宋" w:eastAsia="仿宋" w:cs="仿宋"/>
          <w:spacing w:val="12"/>
          <w:sz w:val="31"/>
          <w:szCs w:val="31"/>
          <w:lang w:val="en-US" w:eastAsia="zh-CN"/>
        </w:rPr>
        <w:t>10.13</w:t>
      </w:r>
      <w:r>
        <w:rPr>
          <w:rFonts w:ascii="仿宋" w:hAnsi="仿宋" w:eastAsia="仿宋" w:cs="仿宋"/>
          <w:spacing w:val="12"/>
          <w:sz w:val="31"/>
          <w:szCs w:val="31"/>
        </w:rPr>
        <w:t>万元，</w:t>
      </w:r>
      <w:r>
        <w:rPr>
          <w:rFonts w:ascii="仿宋" w:hAnsi="仿宋" w:eastAsia="仿宋" w:cs="仿宋"/>
          <w:spacing w:val="20"/>
          <w:sz w:val="31"/>
          <w:szCs w:val="31"/>
        </w:rPr>
        <w:t>占</w:t>
      </w:r>
      <w:r>
        <w:rPr>
          <w:rFonts w:hint="eastAsia" w:ascii="仿宋" w:hAnsi="仿宋" w:eastAsia="仿宋" w:cs="仿宋"/>
          <w:spacing w:val="20"/>
          <w:sz w:val="31"/>
          <w:szCs w:val="31"/>
          <w:lang w:val="en-US" w:eastAsia="zh-CN"/>
        </w:rPr>
        <w:t>6</w:t>
      </w:r>
      <w:r>
        <w:rPr>
          <w:rFonts w:ascii="仿宋" w:hAnsi="仿宋" w:eastAsia="仿宋" w:cs="仿宋"/>
          <w:spacing w:val="20"/>
          <w:sz w:val="31"/>
          <w:szCs w:val="31"/>
        </w:rPr>
        <w:t>%;节能环保支出</w:t>
      </w:r>
      <w:r>
        <w:rPr>
          <w:rFonts w:hint="eastAsia" w:ascii="仿宋" w:hAnsi="仿宋" w:eastAsia="仿宋" w:cs="仿宋"/>
          <w:spacing w:val="20"/>
          <w:sz w:val="31"/>
          <w:szCs w:val="31"/>
          <w:lang w:val="en-US" w:eastAsia="zh-CN"/>
        </w:rPr>
        <w:t>116.3</w:t>
      </w:r>
      <w:r>
        <w:rPr>
          <w:rFonts w:ascii="仿宋" w:hAnsi="仿宋" w:eastAsia="仿宋" w:cs="仿宋"/>
          <w:spacing w:val="20"/>
          <w:sz w:val="31"/>
          <w:szCs w:val="31"/>
        </w:rPr>
        <w:t>万元，占</w:t>
      </w:r>
      <w:r>
        <w:rPr>
          <w:rFonts w:hint="eastAsia" w:ascii="仿宋" w:hAnsi="仿宋" w:eastAsia="仿宋" w:cs="仿宋"/>
          <w:spacing w:val="20"/>
          <w:sz w:val="31"/>
          <w:szCs w:val="31"/>
          <w:lang w:val="en-US" w:eastAsia="zh-CN"/>
        </w:rPr>
        <w:t>68.8</w:t>
      </w:r>
      <w:r>
        <w:rPr>
          <w:rFonts w:ascii="仿宋" w:hAnsi="仿宋" w:eastAsia="仿宋" w:cs="仿宋"/>
          <w:spacing w:val="20"/>
          <w:sz w:val="31"/>
          <w:szCs w:val="31"/>
        </w:rPr>
        <w:t>%;住房保</w:t>
      </w:r>
      <w:r>
        <w:rPr>
          <w:rFonts w:ascii="仿宋" w:hAnsi="仿宋" w:eastAsia="仿宋" w:cs="仿宋"/>
          <w:spacing w:val="19"/>
          <w:sz w:val="31"/>
          <w:szCs w:val="31"/>
        </w:rPr>
        <w:t>障支出</w:t>
      </w:r>
      <w:r>
        <w:rPr>
          <w:rFonts w:hint="eastAsia" w:ascii="仿宋" w:hAnsi="仿宋" w:eastAsia="仿宋" w:cs="仿宋"/>
          <w:spacing w:val="19"/>
          <w:sz w:val="31"/>
          <w:szCs w:val="31"/>
          <w:lang w:val="en-US" w:eastAsia="zh-CN"/>
        </w:rPr>
        <w:t>14.34</w:t>
      </w:r>
      <w:r>
        <w:rPr>
          <w:rFonts w:ascii="仿宋" w:hAnsi="仿宋" w:eastAsia="仿宋" w:cs="仿宋"/>
          <w:spacing w:val="19"/>
          <w:sz w:val="31"/>
          <w:szCs w:val="31"/>
        </w:rPr>
        <w:t>万</w:t>
      </w:r>
      <w:r>
        <w:rPr>
          <w:rFonts w:ascii="仿宋" w:hAnsi="仿宋" w:eastAsia="仿宋" w:cs="仿宋"/>
          <w:spacing w:val="4"/>
          <w:sz w:val="31"/>
          <w:szCs w:val="31"/>
        </w:rPr>
        <w:t>元，占</w:t>
      </w:r>
      <w:r>
        <w:rPr>
          <w:rFonts w:hint="eastAsia" w:ascii="仿宋" w:hAnsi="仿宋" w:eastAsia="仿宋" w:cs="仿宋"/>
          <w:spacing w:val="4"/>
          <w:sz w:val="31"/>
          <w:szCs w:val="31"/>
          <w:lang w:val="en-US" w:eastAsia="zh-CN"/>
        </w:rPr>
        <w:t>8.5</w:t>
      </w:r>
      <w:r>
        <w:rPr>
          <w:rFonts w:ascii="仿宋" w:hAnsi="仿宋" w:eastAsia="仿宋" w:cs="仿宋"/>
          <w:spacing w:val="4"/>
          <w:sz w:val="31"/>
          <w:szCs w:val="31"/>
        </w:rPr>
        <w:t>%。</w:t>
      </w:r>
    </w:p>
    <w:p w14:paraId="13D1A0A9">
      <w:pPr>
        <w:spacing w:line="600" w:lineRule="exact"/>
        <w:ind w:firstLine="640"/>
        <w:rPr>
          <w:rFonts w:eastAsia="仿宋_GB2312" w:cs="仿宋_GB2312"/>
          <w:b/>
          <w:bCs/>
          <w:sz w:val="32"/>
          <w:szCs w:val="32"/>
        </w:rPr>
      </w:pPr>
      <w:r>
        <w:drawing>
          <wp:anchor distT="0" distB="0" distL="114300" distR="114300" simplePos="0" relativeHeight="251668480" behindDoc="0" locked="0" layoutInCell="1" allowOverlap="1">
            <wp:simplePos x="0" y="0"/>
            <wp:positionH relativeFrom="column">
              <wp:posOffset>1096645</wp:posOffset>
            </wp:positionH>
            <wp:positionV relativeFrom="paragraph">
              <wp:posOffset>99695</wp:posOffset>
            </wp:positionV>
            <wp:extent cx="4826000" cy="3004820"/>
            <wp:effectExtent l="4445" t="4445" r="15875" b="825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2A85898">
      <w:pPr>
        <w:spacing w:line="600" w:lineRule="exact"/>
        <w:ind w:firstLine="640"/>
        <w:rPr>
          <w:rFonts w:eastAsia="仿宋_GB2312" w:cs="仿宋_GB2312"/>
          <w:b/>
          <w:bCs/>
          <w:sz w:val="32"/>
          <w:szCs w:val="32"/>
        </w:rPr>
      </w:pPr>
    </w:p>
    <w:p w14:paraId="52220946">
      <w:pPr>
        <w:spacing w:line="600" w:lineRule="exact"/>
        <w:ind w:firstLine="640"/>
        <w:rPr>
          <w:rFonts w:eastAsia="仿宋_GB2312" w:cs="仿宋_GB2312"/>
          <w:b/>
          <w:bCs/>
          <w:sz w:val="32"/>
          <w:szCs w:val="32"/>
        </w:rPr>
      </w:pPr>
    </w:p>
    <w:p w14:paraId="4089B312">
      <w:pPr>
        <w:spacing w:line="600" w:lineRule="exact"/>
        <w:ind w:firstLine="640"/>
        <w:rPr>
          <w:rFonts w:eastAsia="仿宋_GB2312" w:cs="仿宋_GB2312"/>
          <w:b/>
          <w:bCs/>
          <w:sz w:val="32"/>
          <w:szCs w:val="32"/>
        </w:rPr>
      </w:pPr>
    </w:p>
    <w:p w14:paraId="4A31D3F8">
      <w:pPr>
        <w:spacing w:line="600" w:lineRule="exact"/>
        <w:ind w:firstLine="640"/>
        <w:rPr>
          <w:rFonts w:eastAsia="仿宋_GB2312" w:cs="仿宋_GB2312"/>
          <w:b/>
          <w:bCs/>
          <w:sz w:val="32"/>
          <w:szCs w:val="32"/>
        </w:rPr>
      </w:pPr>
    </w:p>
    <w:p w14:paraId="367CEBD4">
      <w:pPr>
        <w:spacing w:line="600" w:lineRule="exact"/>
        <w:ind w:firstLine="640"/>
        <w:rPr>
          <w:rFonts w:eastAsia="仿宋_GB2312" w:cs="仿宋_GB2312"/>
          <w:b/>
          <w:bCs/>
          <w:sz w:val="32"/>
          <w:szCs w:val="32"/>
        </w:rPr>
      </w:pPr>
    </w:p>
    <w:p w14:paraId="015501AC">
      <w:pPr>
        <w:spacing w:line="600" w:lineRule="exact"/>
        <w:ind w:firstLine="640"/>
        <w:rPr>
          <w:rFonts w:hint="eastAsia" w:eastAsia="仿宋_GB2312" w:cs="仿宋_GB2312"/>
          <w:sz w:val="32"/>
          <w:szCs w:val="32"/>
        </w:rPr>
      </w:pPr>
    </w:p>
    <w:p w14:paraId="7ECB4733">
      <w:pPr>
        <w:spacing w:line="600" w:lineRule="exact"/>
        <w:ind w:firstLine="640"/>
        <w:rPr>
          <w:rFonts w:hint="eastAsia" w:eastAsia="仿宋_GB2312" w:cs="仿宋_GB2312"/>
          <w:sz w:val="32"/>
          <w:szCs w:val="32"/>
        </w:rPr>
      </w:pPr>
    </w:p>
    <w:p w14:paraId="799B6E50">
      <w:pPr>
        <w:spacing w:line="600" w:lineRule="exact"/>
        <w:ind w:firstLine="640"/>
        <w:jc w:val="center"/>
        <w:rPr>
          <w:rFonts w:eastAsia="仿宋_GB2312" w:cs="仿宋_GB2312"/>
          <w:sz w:val="32"/>
          <w:szCs w:val="32"/>
        </w:rPr>
      </w:pPr>
      <w:r>
        <w:rPr>
          <w:rFonts w:hint="eastAsia" w:eastAsia="仿宋_GB2312" w:cs="仿宋_GB2312"/>
          <w:sz w:val="32"/>
          <w:szCs w:val="32"/>
        </w:rPr>
        <w:t>（图6：一般公共预算财政拨款支出决算结构）</w:t>
      </w:r>
    </w:p>
    <w:p w14:paraId="2933DF04">
      <w:pPr>
        <w:spacing w:line="600" w:lineRule="exact"/>
        <w:ind w:firstLine="643" w:firstLineChars="200"/>
        <w:outlineLvl w:val="9"/>
        <w:rPr>
          <w:rFonts w:eastAsia="楷体_GB2312" w:cs="楷体_GB2312"/>
          <w:b/>
          <w:sz w:val="32"/>
          <w:szCs w:val="32"/>
        </w:rPr>
      </w:pPr>
      <w:bookmarkStart w:id="39" w:name="_Toc15377212"/>
      <w:r>
        <w:rPr>
          <w:rFonts w:hint="eastAsia" w:eastAsia="楷体_GB2312" w:cs="楷体_GB2312"/>
          <w:b/>
          <w:sz w:val="32"/>
          <w:szCs w:val="32"/>
        </w:rPr>
        <w:t>（三）一般公共预算财政拨款支出决算具体情况</w:t>
      </w:r>
      <w:bookmarkEnd w:id="39"/>
    </w:p>
    <w:p w14:paraId="0C547C31">
      <w:pPr>
        <w:spacing w:line="600" w:lineRule="exact"/>
        <w:ind w:firstLine="640"/>
        <w:rPr>
          <w:rFonts w:eastAsia="仿宋_GB2312" w:cs="仿宋_GB2312"/>
          <w:sz w:val="32"/>
          <w:szCs w:val="32"/>
        </w:rPr>
      </w:pPr>
      <w:bookmarkStart w:id="40" w:name="_Toc15378460"/>
      <w:bookmarkStart w:id="41" w:name="_Toc15377213"/>
      <w:bookmarkStart w:id="42"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168.92万元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0"/>
      <w:bookmarkEnd w:id="41"/>
      <w:bookmarkEnd w:id="42"/>
    </w:p>
    <w:p w14:paraId="1B92F8BD">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1.社会保障和就业支出(类)行政事业单位养老支出(款)机关事业单位基本养老保险缴费支出(项)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18.77</w:t>
      </w:r>
      <w:r>
        <w:rPr>
          <w:rFonts w:ascii="仿宋" w:hAnsi="仿宋" w:eastAsia="仿宋" w:cs="仿宋"/>
          <w:spacing w:val="5"/>
          <w:sz w:val="31"/>
          <w:szCs w:val="31"/>
        </w:rPr>
        <w:t>万元，完成预算100%,决算数等于预算数。</w:t>
      </w:r>
    </w:p>
    <w:p w14:paraId="4A9A7D6F">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2.社会保障和就业支出(类)行政事业单位养老支出(款)机关事业单位职业年金缴费支出(项)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9.38</w:t>
      </w:r>
      <w:r>
        <w:rPr>
          <w:rFonts w:ascii="仿宋" w:hAnsi="仿宋" w:eastAsia="仿宋" w:cs="仿宋"/>
          <w:spacing w:val="5"/>
          <w:sz w:val="31"/>
          <w:szCs w:val="31"/>
        </w:rPr>
        <w:t>万元，完成预算100%,决算数等于预算数。</w:t>
      </w:r>
    </w:p>
    <w:p w14:paraId="5A131F07">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3.卫生健康支出(类)行政事业单位医疗(款)</w:t>
      </w:r>
      <w:r>
        <w:rPr>
          <w:rFonts w:hint="eastAsia" w:ascii="仿宋" w:hAnsi="仿宋" w:eastAsia="仿宋" w:cs="仿宋"/>
          <w:b/>
          <w:bCs/>
          <w:spacing w:val="39"/>
          <w:sz w:val="31"/>
          <w:szCs w:val="31"/>
          <w:lang w:val="en-US" w:eastAsia="zh-CN"/>
        </w:rPr>
        <w:t>事业</w:t>
      </w:r>
      <w:r>
        <w:rPr>
          <w:rFonts w:ascii="仿宋" w:hAnsi="仿宋" w:eastAsia="仿宋" w:cs="仿宋"/>
          <w:b/>
          <w:bCs/>
          <w:spacing w:val="39"/>
          <w:sz w:val="31"/>
          <w:szCs w:val="31"/>
        </w:rPr>
        <w:t>单位医疗(项)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8.14</w:t>
      </w:r>
      <w:r>
        <w:rPr>
          <w:rFonts w:ascii="仿宋" w:hAnsi="仿宋" w:eastAsia="仿宋" w:cs="仿宋"/>
          <w:spacing w:val="5"/>
          <w:sz w:val="31"/>
          <w:szCs w:val="31"/>
        </w:rPr>
        <w:t>万元，完成预算100%,决算数等于预算数。</w:t>
      </w:r>
    </w:p>
    <w:p w14:paraId="5380B390">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4.卫生健康支出(类)行政事业单位医疗(款)</w:t>
      </w:r>
      <w:r>
        <w:rPr>
          <w:rFonts w:hint="eastAsia" w:ascii="仿宋" w:hAnsi="仿宋" w:eastAsia="仿宋" w:cs="仿宋"/>
          <w:b/>
          <w:bCs/>
          <w:spacing w:val="39"/>
          <w:sz w:val="31"/>
          <w:szCs w:val="31"/>
        </w:rPr>
        <w:t>其他行政事业单位医疗支出</w:t>
      </w:r>
      <w:r>
        <w:rPr>
          <w:rFonts w:ascii="仿宋" w:hAnsi="仿宋" w:eastAsia="仿宋" w:cs="仿宋"/>
          <w:b/>
          <w:bCs/>
          <w:spacing w:val="39"/>
          <w:sz w:val="31"/>
          <w:szCs w:val="31"/>
        </w:rPr>
        <w:t>(项)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1.99</w:t>
      </w:r>
      <w:r>
        <w:rPr>
          <w:rFonts w:ascii="仿宋" w:hAnsi="仿宋" w:eastAsia="仿宋" w:cs="仿宋"/>
          <w:spacing w:val="5"/>
          <w:sz w:val="31"/>
          <w:szCs w:val="31"/>
        </w:rPr>
        <w:t>万元，完成预算100%,决算数等于预算数。</w:t>
      </w:r>
    </w:p>
    <w:p w14:paraId="0243E35B">
      <w:pPr>
        <w:spacing w:before="145" w:line="312" w:lineRule="auto"/>
        <w:ind w:left="384" w:right="168" w:firstLine="469"/>
        <w:rPr>
          <w:rFonts w:ascii="仿宋" w:hAnsi="仿宋" w:eastAsia="仿宋" w:cs="仿宋"/>
          <w:spacing w:val="5"/>
          <w:sz w:val="31"/>
          <w:szCs w:val="31"/>
        </w:rPr>
      </w:pPr>
      <w:r>
        <w:rPr>
          <w:rFonts w:ascii="仿宋" w:hAnsi="仿宋" w:eastAsia="仿宋" w:cs="仿宋"/>
          <w:b/>
          <w:bCs/>
          <w:spacing w:val="39"/>
          <w:sz w:val="31"/>
          <w:szCs w:val="31"/>
        </w:rPr>
        <w:t>5.节能环保支出(类)环境保护管理事务(款)行政运行(项)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326.43</w:t>
      </w:r>
      <w:r>
        <w:rPr>
          <w:rFonts w:ascii="仿宋" w:hAnsi="仿宋" w:eastAsia="仿宋" w:cs="仿宋"/>
          <w:spacing w:val="5"/>
          <w:sz w:val="31"/>
          <w:szCs w:val="31"/>
        </w:rPr>
        <w:t>万元，完成预算100%,决算数等于预算数。</w:t>
      </w:r>
    </w:p>
    <w:p w14:paraId="330DA039">
      <w:pPr>
        <w:spacing w:before="145" w:line="312" w:lineRule="auto"/>
        <w:ind w:left="384" w:right="168" w:firstLine="469"/>
        <w:rPr>
          <w:rFonts w:ascii="仿宋" w:hAnsi="仿宋" w:eastAsia="仿宋" w:cs="仿宋"/>
          <w:spacing w:val="5"/>
          <w:sz w:val="31"/>
          <w:szCs w:val="31"/>
        </w:rPr>
      </w:pPr>
      <w:r>
        <w:rPr>
          <w:rFonts w:hint="eastAsia" w:ascii="仿宋" w:hAnsi="仿宋" w:eastAsia="仿宋" w:cs="仿宋"/>
          <w:b/>
          <w:bCs/>
          <w:spacing w:val="39"/>
          <w:sz w:val="31"/>
          <w:szCs w:val="31"/>
          <w:lang w:val="en-US" w:eastAsia="zh-CN"/>
        </w:rPr>
        <w:t>6</w:t>
      </w:r>
      <w:r>
        <w:rPr>
          <w:rFonts w:ascii="仿宋" w:hAnsi="仿宋" w:eastAsia="仿宋" w:cs="仿宋"/>
          <w:b/>
          <w:bCs/>
          <w:spacing w:val="39"/>
          <w:sz w:val="31"/>
          <w:szCs w:val="31"/>
        </w:rPr>
        <w:t>.节能环保支出(类)环境保护管理事务(款)</w:t>
      </w:r>
      <w:r>
        <w:rPr>
          <w:rFonts w:hint="eastAsia" w:ascii="仿宋" w:hAnsi="仿宋" w:eastAsia="仿宋" w:cs="仿宋"/>
          <w:b/>
          <w:bCs/>
          <w:spacing w:val="39"/>
          <w:sz w:val="31"/>
          <w:szCs w:val="31"/>
        </w:rPr>
        <w:t>其他环境监测与监察支出</w:t>
      </w:r>
      <w:r>
        <w:rPr>
          <w:rFonts w:ascii="仿宋" w:hAnsi="仿宋" w:eastAsia="仿宋" w:cs="仿宋"/>
          <w:b/>
          <w:bCs/>
          <w:spacing w:val="39"/>
          <w:sz w:val="31"/>
          <w:szCs w:val="31"/>
        </w:rPr>
        <w:t>(项)</w:t>
      </w:r>
      <w:r>
        <w:rPr>
          <w:rFonts w:ascii="仿宋" w:hAnsi="仿宋" w:eastAsia="仿宋" w:cs="仿宋"/>
          <w:spacing w:val="5"/>
          <w:sz w:val="31"/>
          <w:szCs w:val="31"/>
        </w:rPr>
        <w:t>:支出决算为</w:t>
      </w:r>
      <w:r>
        <w:rPr>
          <w:rFonts w:hint="eastAsia" w:ascii="仿宋" w:hAnsi="仿宋" w:eastAsia="仿宋" w:cs="仿宋"/>
          <w:spacing w:val="5"/>
          <w:sz w:val="31"/>
          <w:szCs w:val="31"/>
          <w:lang w:val="en-US" w:eastAsia="zh-CN"/>
        </w:rPr>
        <w:t>116.3</w:t>
      </w:r>
      <w:r>
        <w:rPr>
          <w:rFonts w:ascii="仿宋" w:hAnsi="仿宋" w:eastAsia="仿宋" w:cs="仿宋"/>
          <w:spacing w:val="5"/>
          <w:sz w:val="31"/>
          <w:szCs w:val="31"/>
        </w:rPr>
        <w:t>万元，完成预算100%,决算数等于预算数。</w:t>
      </w:r>
    </w:p>
    <w:p w14:paraId="474B6EEF">
      <w:pPr>
        <w:spacing w:before="243" w:line="312" w:lineRule="auto"/>
        <w:ind w:left="199" w:right="163" w:firstLine="654"/>
        <w:rPr>
          <w:rFonts w:ascii="仿宋" w:hAnsi="仿宋" w:eastAsia="仿宋" w:cs="仿宋"/>
          <w:spacing w:val="3"/>
          <w:sz w:val="32"/>
          <w:szCs w:val="32"/>
        </w:rPr>
      </w:pPr>
      <w:r>
        <w:rPr>
          <w:rFonts w:hint="eastAsia" w:ascii="宋体" w:hAnsi="宋体" w:cs="宋体"/>
          <w:b/>
          <w:bCs/>
          <w:spacing w:val="43"/>
          <w:sz w:val="31"/>
          <w:szCs w:val="31"/>
          <w:lang w:val="en-US" w:eastAsia="zh-CN"/>
        </w:rPr>
        <w:t>7</w:t>
      </w:r>
      <w:r>
        <w:rPr>
          <w:rFonts w:ascii="宋体" w:hAnsi="宋体" w:eastAsia="宋体" w:cs="宋体"/>
          <w:b/>
          <w:bCs/>
          <w:spacing w:val="43"/>
          <w:sz w:val="31"/>
          <w:szCs w:val="31"/>
        </w:rPr>
        <w:t>.</w:t>
      </w:r>
      <w:r>
        <w:rPr>
          <w:rFonts w:ascii="仿宋" w:hAnsi="仿宋" w:eastAsia="仿宋" w:cs="仿宋"/>
          <w:b/>
          <w:bCs/>
          <w:spacing w:val="43"/>
          <w:sz w:val="31"/>
          <w:szCs w:val="31"/>
        </w:rPr>
        <w:t>住房保障支出(类)住房改革支出(款)住房公积金(项):</w:t>
      </w:r>
      <w:r>
        <w:rPr>
          <w:rFonts w:ascii="仿宋" w:hAnsi="仿宋" w:eastAsia="仿宋" w:cs="仿宋"/>
          <w:spacing w:val="43"/>
          <w:sz w:val="31"/>
          <w:szCs w:val="31"/>
        </w:rPr>
        <w:t>支出</w:t>
      </w:r>
      <w:r>
        <w:rPr>
          <w:rFonts w:ascii="仿宋" w:hAnsi="仿宋" w:eastAsia="仿宋" w:cs="仿宋"/>
          <w:spacing w:val="11"/>
          <w:sz w:val="31"/>
          <w:szCs w:val="31"/>
        </w:rPr>
        <w:t>决算为</w:t>
      </w:r>
      <w:r>
        <w:rPr>
          <w:rFonts w:hint="eastAsia" w:ascii="仿宋" w:hAnsi="仿宋" w:eastAsia="仿宋" w:cs="仿宋"/>
          <w:spacing w:val="11"/>
          <w:sz w:val="31"/>
          <w:szCs w:val="31"/>
          <w:lang w:val="en-US" w:eastAsia="zh-CN"/>
        </w:rPr>
        <w:t>14.34</w:t>
      </w:r>
      <w:r>
        <w:rPr>
          <w:rFonts w:ascii="仿宋" w:hAnsi="仿宋" w:eastAsia="仿宋" w:cs="仿宋"/>
          <w:spacing w:val="11"/>
          <w:sz w:val="31"/>
          <w:szCs w:val="31"/>
        </w:rPr>
        <w:t>万元，完成预算100%,决算数等于预算数。</w:t>
      </w:r>
    </w:p>
    <w:p w14:paraId="09FFB682">
      <w:pPr>
        <w:tabs>
          <w:tab w:val="right" w:pos="8306"/>
        </w:tabs>
        <w:spacing w:line="600" w:lineRule="exact"/>
        <w:ind w:firstLine="640"/>
        <w:outlineLvl w:val="1"/>
        <w:rPr>
          <w:rStyle w:val="30"/>
          <w:rFonts w:ascii="Times New Roman" w:hAnsi="Times New Roman"/>
        </w:rPr>
      </w:pPr>
      <w:bookmarkStart w:id="43" w:name="_Toc15377214"/>
      <w:bookmarkStart w:id="44" w:name="_Toc20940"/>
      <w:bookmarkStart w:id="45"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3"/>
      <w:bookmarkEnd w:id="44"/>
      <w:bookmarkEnd w:id="45"/>
      <w:r>
        <w:rPr>
          <w:rStyle w:val="30"/>
          <w:rFonts w:ascii="Times New Roman" w:hAnsi="Times New Roman" w:eastAsia="黑体"/>
          <w:b w:val="0"/>
        </w:rPr>
        <w:tab/>
      </w:r>
    </w:p>
    <w:p w14:paraId="7A6B2C5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168.92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0C82ECFB">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150.48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元，主要包括：基本工资、津贴补贴、奖金、伙食补助费、机关事业单位基本养老保险缴费、职业年金缴费、其他社会保障缴费、其他工资福利支出。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18.44</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元，主要包括：办公费、电费、邮电费</w:t>
      </w:r>
      <w:r>
        <w:rPr>
          <w:rFonts w:hint="eastAsia" w:eastAsia="仿宋_GB2312" w:cs="仿宋_GB2312"/>
          <w:sz w:val="32"/>
          <w:szCs w:val="32"/>
          <w:lang w:eastAsia="zh-CN"/>
        </w:rPr>
        <w:t>、</w:t>
      </w:r>
      <w:r>
        <w:rPr>
          <w:rFonts w:hint="eastAsia" w:eastAsia="仿宋_GB2312" w:cs="仿宋_GB2312"/>
          <w:sz w:val="32"/>
          <w:szCs w:val="32"/>
        </w:rPr>
        <w:t>差旅费、培训费、公务接待费、福利费</w:t>
      </w:r>
      <w:r>
        <w:rPr>
          <w:rFonts w:hint="eastAsia" w:eastAsia="仿宋_GB2312" w:cs="仿宋_GB2312"/>
          <w:sz w:val="32"/>
          <w:szCs w:val="32"/>
          <w:lang w:eastAsia="zh-CN"/>
        </w:rPr>
        <w:t>。</w:t>
      </w:r>
    </w:p>
    <w:p w14:paraId="475093D4">
      <w:pPr>
        <w:spacing w:line="600" w:lineRule="exact"/>
        <w:ind w:firstLine="640"/>
        <w:outlineLvl w:val="1"/>
        <w:rPr>
          <w:rStyle w:val="30"/>
          <w:rFonts w:ascii="Times New Roman" w:hAnsi="Times New Roman" w:eastAsia="黑体"/>
          <w:b w:val="0"/>
        </w:rPr>
      </w:pPr>
      <w:bookmarkStart w:id="46" w:name="_Toc15377215"/>
      <w:bookmarkStart w:id="47" w:name="_Toc2729"/>
      <w:bookmarkStart w:id="48"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6"/>
      <w:bookmarkEnd w:id="47"/>
      <w:bookmarkEnd w:id="48"/>
    </w:p>
    <w:p w14:paraId="55E32413">
      <w:pPr>
        <w:spacing w:line="600" w:lineRule="exact"/>
        <w:ind w:firstLine="643" w:firstLineChars="200"/>
        <w:outlineLvl w:val="9"/>
        <w:rPr>
          <w:rFonts w:eastAsia="楷体_GB2312" w:cs="楷体_GB2312"/>
          <w:b/>
          <w:sz w:val="32"/>
          <w:szCs w:val="32"/>
        </w:rPr>
      </w:pPr>
      <w:bookmarkStart w:id="49" w:name="_Toc15377216"/>
      <w:r>
        <w:rPr>
          <w:rFonts w:hint="eastAsia" w:eastAsia="楷体_GB2312" w:cs="楷体_GB2312"/>
          <w:b/>
          <w:sz w:val="32"/>
          <w:szCs w:val="32"/>
        </w:rPr>
        <w:t>（一）“三公”经费财政拨款支出决算总体情况说明</w:t>
      </w:r>
      <w:bookmarkEnd w:id="49"/>
    </w:p>
    <w:p w14:paraId="650FFC8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0.06</w:t>
      </w:r>
      <w:r>
        <w:rPr>
          <w:rFonts w:hint="eastAsia" w:eastAsia="仿宋_GB2312" w:cs="仿宋_GB2312"/>
          <w:sz w:val="32"/>
          <w:szCs w:val="32"/>
        </w:rPr>
        <w:t>万元，增长</w:t>
      </w:r>
      <w:r>
        <w:rPr>
          <w:rFonts w:hint="eastAsia" w:eastAsia="仿宋_GB2312" w:cs="仿宋_GB2312"/>
          <w:sz w:val="32"/>
          <w:szCs w:val="32"/>
          <w:lang w:val="en-US" w:eastAsia="zh-CN"/>
        </w:rPr>
        <w:t>30.8</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181B4920">
      <w:pPr>
        <w:spacing w:line="600" w:lineRule="exact"/>
        <w:ind w:firstLine="643" w:firstLineChars="200"/>
        <w:outlineLvl w:val="9"/>
        <w:rPr>
          <w:rFonts w:eastAsia="楷体_GB2312" w:cs="楷体_GB2312"/>
          <w:b/>
          <w:sz w:val="32"/>
          <w:szCs w:val="32"/>
        </w:rPr>
      </w:pPr>
      <w:bookmarkStart w:id="50" w:name="_Toc15377217"/>
      <w:r>
        <w:rPr>
          <w:rFonts w:hint="eastAsia" w:eastAsia="楷体_GB2312" w:cs="楷体_GB2312"/>
          <w:b/>
          <w:sz w:val="32"/>
          <w:szCs w:val="32"/>
        </w:rPr>
        <w:t>（二）“三公”经费财政拨款支出决算具体情况说明</w:t>
      </w:r>
      <w:bookmarkEnd w:id="50"/>
    </w:p>
    <w:p w14:paraId="3582B8E9">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310977AE">
      <w:pPr>
        <w:spacing w:line="600" w:lineRule="exact"/>
        <w:ind w:firstLine="640"/>
        <w:rPr>
          <w:rFonts w:hint="eastAsia" w:ascii="仿宋_GB2312" w:hAnsi="仿宋_GB2312" w:eastAsia="仿宋_GB2312" w:cs="仿宋_GB2312"/>
          <w:sz w:val="32"/>
          <w:szCs w:val="32"/>
        </w:rPr>
      </w:pPr>
      <w:r>
        <w:drawing>
          <wp:anchor distT="0" distB="0" distL="114300" distR="114300" simplePos="0" relativeHeight="251669504" behindDoc="0" locked="0" layoutInCell="1" allowOverlap="1">
            <wp:simplePos x="0" y="0"/>
            <wp:positionH relativeFrom="column">
              <wp:posOffset>1088390</wp:posOffset>
            </wp:positionH>
            <wp:positionV relativeFrom="paragraph">
              <wp:posOffset>74295</wp:posOffset>
            </wp:positionV>
            <wp:extent cx="4601210" cy="2149475"/>
            <wp:effectExtent l="5080" t="4445" r="11430" b="1016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3211752C">
      <w:pPr>
        <w:spacing w:line="600" w:lineRule="exact"/>
        <w:ind w:firstLine="640"/>
        <w:rPr>
          <w:rFonts w:hint="eastAsia" w:ascii="仿宋_GB2312" w:hAnsi="仿宋_GB2312" w:eastAsia="仿宋_GB2312" w:cs="仿宋_GB2312"/>
          <w:sz w:val="32"/>
          <w:szCs w:val="32"/>
        </w:rPr>
      </w:pPr>
    </w:p>
    <w:p w14:paraId="6A6C8838">
      <w:pPr>
        <w:spacing w:line="600" w:lineRule="exact"/>
        <w:ind w:firstLine="640"/>
        <w:rPr>
          <w:rFonts w:hint="eastAsia" w:ascii="仿宋_GB2312" w:hAnsi="仿宋_GB2312" w:eastAsia="仿宋_GB2312" w:cs="仿宋_GB2312"/>
          <w:sz w:val="32"/>
          <w:szCs w:val="32"/>
        </w:rPr>
      </w:pPr>
    </w:p>
    <w:p w14:paraId="38CB4950">
      <w:pPr>
        <w:spacing w:line="600" w:lineRule="exact"/>
        <w:ind w:firstLine="640"/>
        <w:rPr>
          <w:rFonts w:hint="eastAsia" w:ascii="仿宋_GB2312" w:hAnsi="仿宋_GB2312" w:eastAsia="仿宋_GB2312" w:cs="仿宋_GB2312"/>
          <w:sz w:val="32"/>
          <w:szCs w:val="32"/>
        </w:rPr>
      </w:pPr>
    </w:p>
    <w:p w14:paraId="56D53846">
      <w:pPr>
        <w:spacing w:line="600" w:lineRule="exact"/>
        <w:ind w:firstLine="640"/>
        <w:rPr>
          <w:rFonts w:hint="eastAsia" w:ascii="仿宋_GB2312" w:hAnsi="仿宋_GB2312" w:eastAsia="仿宋_GB2312" w:cs="仿宋_GB2312"/>
          <w:sz w:val="32"/>
          <w:szCs w:val="32"/>
        </w:rPr>
      </w:pPr>
    </w:p>
    <w:p w14:paraId="61EEE6E9">
      <w:pPr>
        <w:spacing w:line="600" w:lineRule="exact"/>
        <w:ind w:firstLine="640"/>
        <w:rPr>
          <w:rFonts w:hint="eastAsia" w:ascii="仿宋_GB2312" w:hAnsi="仿宋_GB2312" w:eastAsia="仿宋_GB2312" w:cs="仿宋_GB2312"/>
          <w:sz w:val="32"/>
          <w:szCs w:val="32"/>
        </w:rPr>
      </w:pPr>
    </w:p>
    <w:p w14:paraId="526A8CFB">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13095D98">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w:t>
      </w:r>
    </w:p>
    <w:p w14:paraId="4E523ED9">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w:t>
      </w:r>
      <w:r>
        <w:rPr>
          <w:rFonts w:hint="eastAsia" w:eastAsia="仿宋_GB2312" w:cs="仿宋_GB2312"/>
          <w:sz w:val="32"/>
          <w:szCs w:val="32"/>
          <w:lang w:val="en-US" w:eastAsia="zh-CN"/>
        </w:rPr>
        <w:t>。</w:t>
      </w:r>
    </w:p>
    <w:p w14:paraId="2F80BDA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06EBF269">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14:paraId="24D7788E">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0.24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0.06</w:t>
      </w:r>
      <w:r>
        <w:rPr>
          <w:rFonts w:hint="eastAsia" w:eastAsia="仿宋_GB2312" w:cs="仿宋_GB2312"/>
          <w:sz w:val="32"/>
          <w:szCs w:val="32"/>
        </w:rPr>
        <w:t>万元，增长</w:t>
      </w:r>
      <w:r>
        <w:rPr>
          <w:rFonts w:hint="eastAsia" w:eastAsia="仿宋_GB2312" w:cs="仿宋_GB2312"/>
          <w:sz w:val="32"/>
          <w:szCs w:val="32"/>
          <w:lang w:val="en-US" w:eastAsia="zh-CN"/>
        </w:rPr>
        <w:t>30.8</w:t>
      </w:r>
      <w:r>
        <w:rPr>
          <w:rFonts w:hint="eastAsia" w:eastAsia="仿宋_GB2312" w:cs="仿宋_GB2312"/>
          <w:sz w:val="32"/>
          <w:szCs w:val="32"/>
        </w:rPr>
        <w:t>%。主要原因是</w:t>
      </w:r>
      <w:r>
        <w:rPr>
          <w:rFonts w:hint="eastAsia" w:eastAsia="仿宋_GB2312" w:cs="仿宋_GB2312"/>
          <w:sz w:val="32"/>
          <w:szCs w:val="32"/>
          <w:lang w:val="en-US" w:eastAsia="zh-CN"/>
        </w:rPr>
        <w:t>2024年接待上级部门检查增加</w:t>
      </w:r>
      <w:r>
        <w:rPr>
          <w:rFonts w:hint="eastAsia" w:eastAsia="仿宋_GB2312" w:cs="仿宋_GB2312"/>
          <w:sz w:val="32"/>
          <w:szCs w:val="32"/>
        </w:rPr>
        <w:t>。其中：</w:t>
      </w:r>
    </w:p>
    <w:p w14:paraId="296FD5FD">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20</w:t>
      </w:r>
      <w:r>
        <w:rPr>
          <w:rFonts w:hint="eastAsia" w:eastAsia="仿宋_GB2312" w:cs="仿宋_GB2312"/>
          <w:sz w:val="32"/>
          <w:szCs w:val="32"/>
        </w:rPr>
        <w:t>人次，共计支出</w:t>
      </w:r>
      <w:r>
        <w:rPr>
          <w:rFonts w:hint="eastAsia" w:eastAsia="仿宋_GB2312" w:cs="仿宋_GB2312"/>
          <w:sz w:val="32"/>
          <w:szCs w:val="32"/>
          <w:lang w:val="en-US" w:eastAsia="zh-CN"/>
        </w:rPr>
        <w:t>0.24</w:t>
      </w:r>
      <w:r>
        <w:rPr>
          <w:rFonts w:hint="eastAsia" w:eastAsia="仿宋_GB2312" w:cs="仿宋_GB2312"/>
          <w:sz w:val="32"/>
          <w:szCs w:val="32"/>
        </w:rPr>
        <w:t>万元，具体内容包括：</w:t>
      </w:r>
      <w:r>
        <w:rPr>
          <w:rFonts w:hint="eastAsia" w:eastAsia="仿宋_GB2312" w:cs="仿宋_GB2312"/>
          <w:sz w:val="32"/>
          <w:szCs w:val="32"/>
          <w:lang w:val="en-US" w:eastAsia="zh-CN"/>
        </w:rPr>
        <w:t>上级检查等</w:t>
      </w:r>
      <w:r>
        <w:rPr>
          <w:rFonts w:hint="eastAsia" w:eastAsia="仿宋_GB2312" w:cs="仿宋_GB2312"/>
          <w:sz w:val="32"/>
          <w:szCs w:val="32"/>
        </w:rPr>
        <w:t>。</w:t>
      </w:r>
    </w:p>
    <w:p w14:paraId="0DF7D7C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bookmarkStart w:id="51" w:name="_Toc15377218"/>
      <w:bookmarkStart w:id="52" w:name="_Toc15396610"/>
    </w:p>
    <w:p w14:paraId="47228CBE">
      <w:pPr>
        <w:spacing w:line="600" w:lineRule="exact"/>
        <w:ind w:firstLine="640"/>
        <w:outlineLvl w:val="1"/>
        <w:rPr>
          <w:rStyle w:val="30"/>
          <w:rFonts w:ascii="Times New Roman" w:hAnsi="Times New Roman" w:eastAsia="黑体"/>
        </w:rPr>
      </w:pPr>
      <w:bookmarkStart w:id="53" w:name="_Toc23946"/>
      <w:r>
        <w:rPr>
          <w:rFonts w:hint="eastAsia" w:eastAsia="黑体"/>
          <w:sz w:val="32"/>
          <w:szCs w:val="32"/>
        </w:rPr>
        <w:t>八、</w:t>
      </w:r>
      <w:r>
        <w:rPr>
          <w:rStyle w:val="30"/>
          <w:rFonts w:hint="eastAsia" w:ascii="Times New Roman" w:hAnsi="Times New Roman" w:eastAsia="黑体"/>
          <w:b w:val="0"/>
        </w:rPr>
        <w:t>政府性基金预算支出决算情况说明</w:t>
      </w:r>
      <w:bookmarkEnd w:id="51"/>
      <w:bookmarkEnd w:id="52"/>
      <w:bookmarkEnd w:id="53"/>
    </w:p>
    <w:p w14:paraId="469BDC2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A9A739A">
      <w:pPr>
        <w:spacing w:line="600" w:lineRule="exact"/>
        <w:ind w:left="630"/>
        <w:outlineLvl w:val="1"/>
        <w:rPr>
          <w:rStyle w:val="30"/>
          <w:rFonts w:ascii="Times New Roman" w:hAnsi="Times New Roman" w:eastAsia="黑体"/>
          <w:b w:val="0"/>
        </w:rPr>
      </w:pPr>
      <w:bookmarkStart w:id="54" w:name="_Toc15396611"/>
      <w:bookmarkStart w:id="55" w:name="_Toc23596"/>
      <w:bookmarkStart w:id="56" w:name="_Toc15377219"/>
      <w:r>
        <w:rPr>
          <w:rStyle w:val="30"/>
          <w:rFonts w:hint="eastAsia" w:ascii="Times New Roman" w:hAnsi="Times New Roman" w:eastAsia="黑体"/>
          <w:b w:val="0"/>
        </w:rPr>
        <w:t>九、国有资本经营预算支出决算情况说明</w:t>
      </w:r>
      <w:bookmarkEnd w:id="54"/>
      <w:bookmarkEnd w:id="55"/>
      <w:bookmarkEnd w:id="56"/>
    </w:p>
    <w:p w14:paraId="7AE95F82">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CA2FA4F">
      <w:pPr>
        <w:spacing w:line="600" w:lineRule="exact"/>
        <w:ind w:left="630"/>
        <w:outlineLvl w:val="1"/>
        <w:rPr>
          <w:rStyle w:val="30"/>
          <w:rFonts w:ascii="Times New Roman" w:hAnsi="Times New Roman" w:eastAsia="黑体"/>
          <w:b w:val="0"/>
        </w:rPr>
      </w:pPr>
      <w:bookmarkStart w:id="57" w:name="_Toc27488"/>
      <w:bookmarkStart w:id="58" w:name="_Toc15396612"/>
      <w:bookmarkStart w:id="59" w:name="_Toc15377221"/>
      <w:r>
        <w:rPr>
          <w:rStyle w:val="30"/>
          <w:rFonts w:hint="eastAsia" w:ascii="Times New Roman" w:hAnsi="Times New Roman" w:eastAsia="黑体"/>
          <w:b w:val="0"/>
        </w:rPr>
        <w:t>十、其他重要事项的情况说明</w:t>
      </w:r>
      <w:bookmarkEnd w:id="57"/>
      <w:bookmarkEnd w:id="58"/>
      <w:bookmarkEnd w:id="59"/>
    </w:p>
    <w:p w14:paraId="2635AD73">
      <w:pPr>
        <w:spacing w:line="600" w:lineRule="exact"/>
        <w:ind w:firstLine="643" w:firstLineChars="200"/>
        <w:outlineLvl w:val="9"/>
        <w:rPr>
          <w:rFonts w:eastAsia="楷体_GB2312" w:cs="楷体_GB2312"/>
          <w:b/>
          <w:sz w:val="32"/>
          <w:szCs w:val="32"/>
        </w:rPr>
      </w:pPr>
      <w:bookmarkStart w:id="60" w:name="_Toc15377222"/>
      <w:r>
        <w:rPr>
          <w:rFonts w:hint="eastAsia" w:eastAsia="楷体_GB2312" w:cs="楷体_GB2312"/>
          <w:b/>
          <w:sz w:val="32"/>
          <w:szCs w:val="32"/>
        </w:rPr>
        <w:t>（一）机关运行经费支出情况</w:t>
      </w:r>
      <w:bookmarkEnd w:id="60"/>
    </w:p>
    <w:p w14:paraId="7B010C1B">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w:t>
      </w:r>
      <w:r>
        <w:rPr>
          <w:rFonts w:hint="eastAsia" w:ascii="仿宋_GB2312" w:hAnsi="仿宋_GB2312" w:eastAsia="仿宋_GB2312" w:cs="仿宋_GB2312"/>
          <w:sz w:val="32"/>
          <w:szCs w:val="32"/>
        </w:rPr>
        <w:t>坝藏族羌族自治州若尔盖环境监测站</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机关运行经费支出</w:t>
      </w:r>
      <w:r>
        <w:rPr>
          <w:rFonts w:hint="eastAsia" w:eastAsia="仿宋_GB2312" w:cs="仿宋_GB2312"/>
          <w:sz w:val="32"/>
          <w:szCs w:val="32"/>
          <w:lang w:val="en-US" w:eastAsia="zh-CN"/>
        </w:rPr>
        <w:t>。</w:t>
      </w:r>
    </w:p>
    <w:p w14:paraId="55FA91AE">
      <w:pPr>
        <w:spacing w:line="600" w:lineRule="exact"/>
        <w:ind w:firstLine="643" w:firstLineChars="200"/>
        <w:outlineLvl w:val="9"/>
        <w:rPr>
          <w:rFonts w:eastAsia="楷体_GB2312" w:cs="楷体_GB2312"/>
          <w:b/>
          <w:sz w:val="32"/>
          <w:szCs w:val="32"/>
        </w:rPr>
      </w:pPr>
      <w:bookmarkStart w:id="61" w:name="_Toc15377223"/>
      <w:r>
        <w:rPr>
          <w:rFonts w:hint="eastAsia" w:eastAsia="楷体_GB2312" w:cs="楷体_GB2312"/>
          <w:b/>
          <w:sz w:val="32"/>
          <w:szCs w:val="32"/>
        </w:rPr>
        <w:t>（二）政府采购支出情况</w:t>
      </w:r>
      <w:bookmarkEnd w:id="61"/>
    </w:p>
    <w:p w14:paraId="6423217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阿</w:t>
      </w:r>
      <w:r>
        <w:rPr>
          <w:rFonts w:hint="eastAsia" w:ascii="仿宋_GB2312" w:hAnsi="仿宋_GB2312" w:eastAsia="仿宋_GB2312" w:cs="仿宋_GB2312"/>
          <w:sz w:val="32"/>
          <w:szCs w:val="32"/>
        </w:rPr>
        <w:t>坝藏族羌族自治州若尔盖环境监测站政府采购支出总额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5302635">
      <w:pPr>
        <w:spacing w:line="600" w:lineRule="exact"/>
        <w:ind w:firstLine="643" w:firstLineChars="200"/>
        <w:outlineLvl w:val="9"/>
        <w:rPr>
          <w:rFonts w:eastAsia="楷体_GB2312" w:cs="楷体_GB2312"/>
          <w:b/>
          <w:sz w:val="32"/>
          <w:szCs w:val="32"/>
        </w:rPr>
      </w:pPr>
      <w:bookmarkStart w:id="62" w:name="_Toc15377224"/>
      <w:r>
        <w:rPr>
          <w:rFonts w:hint="eastAsia" w:eastAsia="楷体_GB2312" w:cs="楷体_GB2312"/>
          <w:b/>
          <w:sz w:val="32"/>
          <w:szCs w:val="32"/>
        </w:rPr>
        <w:t>（三）国有资产占有使用情况</w:t>
      </w:r>
      <w:bookmarkEnd w:id="62"/>
    </w:p>
    <w:p w14:paraId="1C77652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阿</w:t>
      </w:r>
      <w:r>
        <w:rPr>
          <w:rFonts w:hint="eastAsia" w:ascii="仿宋_GB2312" w:hAnsi="仿宋_GB2312" w:eastAsia="仿宋_GB2312" w:cs="仿宋_GB2312"/>
          <w:sz w:val="32"/>
          <w:szCs w:val="32"/>
        </w:rPr>
        <w:t>坝藏族羌族自治州若尔盖环境监测站共有车辆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3666F02">
      <w:pPr>
        <w:spacing w:line="600" w:lineRule="exact"/>
        <w:ind w:firstLine="643" w:firstLineChars="200"/>
        <w:outlineLvl w:val="9"/>
        <w:rPr>
          <w:rFonts w:eastAsia="楷体_GB2312" w:cs="楷体_GB2312"/>
          <w:b/>
          <w:sz w:val="32"/>
          <w:szCs w:val="32"/>
        </w:rPr>
      </w:pPr>
      <w:r>
        <w:rPr>
          <w:rFonts w:hint="eastAsia" w:eastAsia="楷体_GB2312" w:cs="楷体_GB2312"/>
          <w:b/>
          <w:sz w:val="32"/>
          <w:szCs w:val="32"/>
        </w:rPr>
        <w:t>（四）预算绩效管理情况</w:t>
      </w:r>
    </w:p>
    <w:p w14:paraId="4818AB03">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lang w:val="en-US" w:eastAsia="zh-CN"/>
        </w:rPr>
        <w:t>阿</w:t>
      </w:r>
      <w:r>
        <w:rPr>
          <w:rFonts w:hint="eastAsia" w:ascii="仿宋_GB2312" w:hAnsi="仿宋_GB2312" w:eastAsia="仿宋_GB2312" w:cs="仿宋_GB2312"/>
          <w:sz w:val="32"/>
          <w:szCs w:val="32"/>
        </w:rPr>
        <w:t>坝藏族羌族自治州若尔盖环境监测站</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0</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0</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0</w:t>
      </w:r>
      <w:r>
        <w:rPr>
          <w:rFonts w:hint="eastAsia" w:eastAsia="仿宋_GB2312" w:cs="仿宋_GB2312"/>
          <w:sz w:val="32"/>
          <w:szCs w:val="32"/>
        </w:rPr>
        <w:t>个项目开展绩效监控。</w:t>
      </w:r>
    </w:p>
    <w:p w14:paraId="4D9F259B">
      <w:pPr>
        <w:spacing w:line="600" w:lineRule="exact"/>
        <w:ind w:firstLine="640"/>
        <w:rPr>
          <w:rFonts w:eastAsia="仿宋_GB2312" w:cs="仿宋_GB2312"/>
          <w:sz w:val="32"/>
          <w:szCs w:val="32"/>
        </w:rPr>
      </w:pPr>
    </w:p>
    <w:p w14:paraId="6F45BA35">
      <w:pPr>
        <w:spacing w:line="600" w:lineRule="exact"/>
        <w:jc w:val="center"/>
        <w:outlineLvl w:val="0"/>
        <w:rPr>
          <w:rFonts w:eastAsia="黑体"/>
          <w:sz w:val="44"/>
          <w:szCs w:val="44"/>
        </w:rPr>
      </w:pPr>
      <w:bookmarkStart w:id="63" w:name="_Toc2473"/>
      <w:bookmarkStart w:id="64" w:name="_Toc15396613"/>
      <w:bookmarkStart w:id="65" w:name="_Toc15377225"/>
      <w:r>
        <w:rPr>
          <w:rFonts w:hint="eastAsia" w:eastAsia="黑体"/>
          <w:sz w:val="44"/>
          <w:szCs w:val="44"/>
        </w:rPr>
        <w:t>第三部分名词解释</w:t>
      </w:r>
      <w:bookmarkEnd w:id="63"/>
      <w:bookmarkEnd w:id="64"/>
      <w:bookmarkEnd w:id="65"/>
    </w:p>
    <w:p w14:paraId="46850336">
      <w:pPr>
        <w:spacing w:line="600" w:lineRule="exact"/>
        <w:jc w:val="left"/>
        <w:rPr>
          <w:b/>
          <w:sz w:val="44"/>
          <w:szCs w:val="44"/>
        </w:rPr>
      </w:pPr>
    </w:p>
    <w:p w14:paraId="3E32654D">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1.财政拨款收入：指单位从同级财政部门取得的财政预算资金。</w:t>
      </w:r>
    </w:p>
    <w:p w14:paraId="79790A3B">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2.社会保障和就业支出（类）行政事业单位养老支出（款）机关事业单位基本养老保险缴费支出（项）:指反映机关事业单位实施养老保险制度由单位缴纳的基本养老保险费支出。</w:t>
      </w:r>
    </w:p>
    <w:p w14:paraId="185E62C2">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3.社会保障和就业支出（类）行政事业单位养老支出（款）机关事业单位职业年金缴费支出（项）:指反映机关事业单位实施养老保险制度由单位实际缴纳的职业年金支出。</w:t>
      </w:r>
    </w:p>
    <w:p w14:paraId="5B94173D">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4.卫生健康支出（类）行政事业单位医疗（款）事业单位医疗（项）:指反映财政部门安排的事业单位基本医疗保险缴费经费，未参加医疗保险的事业单位的公费医疗经费，按国家规定享受离休人员待遇的医疗经费。</w:t>
      </w:r>
    </w:p>
    <w:p w14:paraId="6449DA64">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5.卫生健康支出（类）行政事业单位医疗（款）其他行政事业单位医疗支出（项）:指反映除上述项目以外的其他用于行政事业单位医疗方面的支出。</w:t>
      </w:r>
    </w:p>
    <w:p w14:paraId="7FABA2B4">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6.节能环保支出（类）环境监测与监察（款）其他环境监测与监察支出（项）：反映除上述项目以外其他用于环境监测与监察方面的支出。</w:t>
      </w:r>
    </w:p>
    <w:p w14:paraId="5C8E563F">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7.住房保障支出（类）住房改革支出（款）住房公积金（项）:指反映行政事业单位按人力资源和社会保障部、财政部规定的基本工资和津贴补贴以及规定比例为职工缴纳的住房公积金。</w:t>
      </w:r>
    </w:p>
    <w:p w14:paraId="3049CFFC">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8.基本支出:指为保障机构正常运转、完成日常工作任务而发生的人员支出和公用支出。</w:t>
      </w:r>
    </w:p>
    <w:p w14:paraId="7CCC44DA">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9.项目支出:指在基本支出之外为完成特定行政任务和事业发展目标所发生的支出。</w:t>
      </w:r>
    </w:p>
    <w:p w14:paraId="0F3B65DE">
      <w:pPr>
        <w:spacing w:before="186" w:line="312" w:lineRule="auto"/>
        <w:ind w:left="199" w:right="244" w:firstLine="650"/>
        <w:rPr>
          <w:rFonts w:hint="eastAsia" w:ascii="宋体" w:hAnsi="宋体" w:eastAsia="宋体" w:cs="宋体"/>
          <w:spacing w:val="-21"/>
          <w:sz w:val="31"/>
          <w:szCs w:val="31"/>
        </w:rPr>
      </w:pPr>
      <w:r>
        <w:rPr>
          <w:rFonts w:hint="eastAsia" w:ascii="宋体" w:hAnsi="宋体" w:eastAsia="宋体" w:cs="宋体"/>
          <w:spacing w:val="-21"/>
          <w:sz w:val="31"/>
          <w:szCs w:val="31"/>
        </w:rPr>
        <w:t>10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C561D8">
      <w:pPr>
        <w:spacing w:before="186" w:line="312" w:lineRule="auto"/>
        <w:ind w:left="199" w:right="244" w:firstLine="650"/>
        <w:rPr>
          <w:rFonts w:ascii="宋体" w:hAnsi="宋体" w:eastAsia="宋体" w:cs="宋体"/>
          <w:spacing w:val="-21"/>
          <w:sz w:val="31"/>
          <w:szCs w:val="31"/>
        </w:rPr>
      </w:pPr>
      <w:r>
        <w:rPr>
          <w:rFonts w:hint="eastAsia" w:ascii="宋体" w:hAnsi="宋体" w:eastAsia="宋体" w:cs="宋体"/>
          <w:spacing w:val="-21"/>
          <w:sz w:val="31"/>
          <w:szCs w:val="31"/>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EACE4C">
      <w:pPr>
        <w:spacing w:line="223" w:lineRule="auto"/>
        <w:rPr>
          <w:rFonts w:ascii="宋体" w:hAnsi="宋体" w:eastAsia="宋体" w:cs="宋体"/>
          <w:sz w:val="31"/>
          <w:szCs w:val="31"/>
        </w:rPr>
      </w:pPr>
    </w:p>
    <w:p w14:paraId="354FFFA8">
      <w:pPr>
        <w:spacing w:before="176" w:line="265" w:lineRule="auto"/>
        <w:ind w:left="199" w:right="216" w:firstLine="650"/>
        <w:rPr>
          <w:rFonts w:hint="eastAsia" w:ascii="仿宋" w:hAnsi="仿宋" w:eastAsia="仿宋" w:cs="仿宋"/>
          <w:spacing w:val="7"/>
          <w:sz w:val="31"/>
          <w:szCs w:val="31"/>
          <w:lang w:eastAsia="zh-CN"/>
        </w:rPr>
        <w:sectPr>
          <w:headerReference r:id="rId7" w:type="default"/>
          <w:footerReference r:id="rId8" w:type="default"/>
          <w:pgSz w:w="11910" w:h="16840"/>
          <w:pgMar w:top="525" w:right="534" w:bottom="469" w:left="499" w:header="279" w:footer="251" w:gutter="0"/>
          <w:pgNumType w:fmt="decimal"/>
          <w:cols w:space="720" w:num="1"/>
        </w:sectPr>
      </w:pPr>
    </w:p>
    <w:p w14:paraId="75CA2F04">
      <w:pPr>
        <w:spacing w:line="600" w:lineRule="exact"/>
        <w:jc w:val="both"/>
        <w:outlineLvl w:val="0"/>
        <w:rPr>
          <w:rStyle w:val="29"/>
          <w:rFonts w:eastAsia="黑体"/>
          <w:b w:val="0"/>
        </w:rPr>
      </w:pPr>
      <w:bookmarkStart w:id="66" w:name="_Toc15396614"/>
      <w:bookmarkStart w:id="67" w:name="_Toc17300"/>
      <w:bookmarkStart w:id="68" w:name="_Toc15377226"/>
      <w:r>
        <w:rPr>
          <w:rFonts w:hint="eastAsia" w:eastAsia="黑体"/>
          <w:sz w:val="44"/>
          <w:szCs w:val="44"/>
        </w:rPr>
        <w:t>第四部分附件</w:t>
      </w:r>
      <w:bookmarkEnd w:id="66"/>
      <w:bookmarkEnd w:id="67"/>
    </w:p>
    <w:p w14:paraId="344736DB">
      <w:pPr>
        <w:spacing w:line="572" w:lineRule="exact"/>
        <w:jc w:val="left"/>
        <w:outlineLvl w:val="9"/>
        <w:rPr>
          <w:rFonts w:eastAsia="黑体" w:cs="方正小标宋简体"/>
          <w:sz w:val="44"/>
          <w:szCs w:val="44"/>
        </w:rPr>
      </w:pPr>
      <w:r>
        <w:rPr>
          <w:rFonts w:ascii="仿宋_GB2312" w:hAnsi="宋体" w:eastAsia="仿宋_GB2312" w:cs="仿宋_GB2312"/>
          <w:i w:val="0"/>
          <w:iCs w:val="0"/>
          <w:caps w:val="0"/>
          <w:color w:val="000000"/>
          <w:spacing w:val="0"/>
          <w:sz w:val="32"/>
          <w:szCs w:val="32"/>
          <w:bdr w:val="none" w:color="auto" w:sz="0" w:space="0"/>
          <w:shd w:val="clear" w:fill="FFFFFF"/>
        </w:rPr>
        <w:t>202</w:t>
      </w:r>
      <w:r>
        <w:rPr>
          <w:rFonts w:hint="eastAsia" w:ascii="仿宋_GB2312" w:hAnsi="宋体" w:eastAsia="仿宋_GB2312" w:cs="仿宋_GB2312"/>
          <w:i w:val="0"/>
          <w:iCs w:val="0"/>
          <w:caps w:val="0"/>
          <w:color w:val="000000"/>
          <w:spacing w:val="0"/>
          <w:sz w:val="32"/>
          <w:szCs w:val="32"/>
          <w:bdr w:val="none" w:color="auto" w:sz="0" w:space="0"/>
          <w:shd w:val="clear" w:fill="FFFFFF"/>
          <w:lang w:val="en-US" w:eastAsia="zh-CN"/>
        </w:rPr>
        <w:t>4</w:t>
      </w:r>
      <w:r>
        <w:rPr>
          <w:rFonts w:hint="eastAsia" w:ascii="宋体" w:hAnsi="宋体" w:eastAsia="宋体" w:cs="宋体"/>
          <w:i w:val="0"/>
          <w:iCs w:val="0"/>
          <w:caps w:val="0"/>
          <w:color w:val="000000"/>
          <w:spacing w:val="0"/>
          <w:sz w:val="32"/>
          <w:szCs w:val="32"/>
          <w:bdr w:val="none" w:color="auto" w:sz="0" w:space="0"/>
          <w:shd w:val="clear" w:fill="FFFFFF"/>
        </w:rPr>
        <w:t>年阿坝州若尔盖环境监测站无单位预算项目支出绩效自评表。</w:t>
      </w:r>
    </w:p>
    <w:p w14:paraId="7D55F346">
      <w:pPr>
        <w:pStyle w:val="2"/>
      </w:pPr>
    </w:p>
    <w:p w14:paraId="7BE27C7C">
      <w:pPr>
        <w:widowControl/>
        <w:jc w:val="center"/>
        <w:outlineLvl w:val="0"/>
        <w:rPr>
          <w:rFonts w:eastAsia="仿宋"/>
        </w:rPr>
      </w:pPr>
      <w:bookmarkStart w:id="69" w:name="_Toc11824"/>
      <w:bookmarkStart w:id="70" w:name="_Toc15396618"/>
      <w:r>
        <w:rPr>
          <w:rFonts w:hint="eastAsia" w:eastAsia="黑体"/>
          <w:sz w:val="44"/>
          <w:szCs w:val="44"/>
        </w:rPr>
        <w:t>第</w:t>
      </w:r>
      <w:r>
        <w:rPr>
          <w:rStyle w:val="29"/>
          <w:rFonts w:hint="eastAsia" w:eastAsia="黑体"/>
          <w:b w:val="0"/>
        </w:rPr>
        <w:t>五部分附表</w:t>
      </w:r>
      <w:bookmarkEnd w:id="68"/>
      <w:bookmarkEnd w:id="69"/>
      <w:bookmarkEnd w:id="70"/>
      <w:bookmarkStart w:id="71" w:name="_Toc15396619"/>
    </w:p>
    <w:p w14:paraId="227BAD2B">
      <w:pPr>
        <w:pStyle w:val="14"/>
        <w:adjustRightInd w:val="0"/>
        <w:snapToGrid w:val="0"/>
        <w:spacing w:line="560" w:lineRule="exact"/>
        <w:jc w:val="left"/>
        <w:rPr>
          <w:rFonts w:eastAsia="仿宋_GB2312" w:cs="仿宋_GB2312"/>
          <w:sz w:val="32"/>
          <w:szCs w:val="32"/>
        </w:rPr>
      </w:pPr>
    </w:p>
    <w:p w14:paraId="09ED9CF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71"/>
    </w:p>
    <w:p w14:paraId="5254CF88">
      <w:pPr>
        <w:pStyle w:val="14"/>
        <w:adjustRightInd w:val="0"/>
        <w:snapToGrid w:val="0"/>
        <w:spacing w:line="560" w:lineRule="exact"/>
        <w:jc w:val="left"/>
        <w:rPr>
          <w:rFonts w:eastAsia="仿宋_GB2312" w:cs="仿宋_GB2312"/>
          <w:sz w:val="32"/>
          <w:szCs w:val="32"/>
        </w:rPr>
      </w:pPr>
      <w:bookmarkStart w:id="72" w:name="_Toc15396620"/>
      <w:r>
        <w:rPr>
          <w:rFonts w:hint="eastAsia" w:eastAsia="仿宋_GB2312" w:cs="仿宋_GB2312"/>
          <w:sz w:val="32"/>
          <w:szCs w:val="32"/>
        </w:rPr>
        <w:t>二、收入决算表</w:t>
      </w:r>
      <w:bookmarkEnd w:id="72"/>
    </w:p>
    <w:p w14:paraId="2F5F2926">
      <w:pPr>
        <w:pStyle w:val="14"/>
        <w:adjustRightInd w:val="0"/>
        <w:snapToGrid w:val="0"/>
        <w:spacing w:line="560" w:lineRule="exact"/>
        <w:jc w:val="left"/>
        <w:rPr>
          <w:rFonts w:eastAsia="仿宋_GB2312" w:cs="仿宋_GB2312"/>
          <w:sz w:val="32"/>
          <w:szCs w:val="32"/>
        </w:rPr>
      </w:pPr>
      <w:bookmarkStart w:id="73" w:name="_Toc15396621"/>
      <w:r>
        <w:rPr>
          <w:rFonts w:hint="eastAsia" w:eastAsia="仿宋_GB2312" w:cs="仿宋_GB2312"/>
          <w:sz w:val="32"/>
          <w:szCs w:val="32"/>
        </w:rPr>
        <w:t>三、支出决算表</w:t>
      </w:r>
      <w:bookmarkEnd w:id="73"/>
    </w:p>
    <w:p w14:paraId="6246EB0A">
      <w:pPr>
        <w:pStyle w:val="14"/>
        <w:adjustRightInd w:val="0"/>
        <w:snapToGrid w:val="0"/>
        <w:spacing w:line="560" w:lineRule="exact"/>
        <w:jc w:val="left"/>
        <w:rPr>
          <w:rFonts w:eastAsia="仿宋_GB2312" w:cs="仿宋_GB2312"/>
          <w:sz w:val="32"/>
          <w:szCs w:val="32"/>
        </w:rPr>
      </w:pPr>
      <w:bookmarkStart w:id="74" w:name="_Toc15396622"/>
      <w:r>
        <w:rPr>
          <w:rFonts w:hint="eastAsia" w:eastAsia="仿宋_GB2312" w:cs="仿宋_GB2312"/>
          <w:sz w:val="32"/>
          <w:szCs w:val="32"/>
        </w:rPr>
        <w:t>四、财政拨款收入支出决算总表</w:t>
      </w:r>
      <w:bookmarkEnd w:id="74"/>
    </w:p>
    <w:p w14:paraId="6BAEB6DE">
      <w:pPr>
        <w:pStyle w:val="14"/>
        <w:adjustRightInd w:val="0"/>
        <w:snapToGrid w:val="0"/>
        <w:spacing w:line="560" w:lineRule="exact"/>
        <w:jc w:val="left"/>
        <w:rPr>
          <w:rFonts w:eastAsia="仿宋_GB2312" w:cs="仿宋_GB2312"/>
          <w:sz w:val="32"/>
          <w:szCs w:val="32"/>
        </w:rPr>
      </w:pPr>
      <w:bookmarkStart w:id="75" w:name="_Toc15396623"/>
      <w:r>
        <w:rPr>
          <w:rFonts w:hint="eastAsia" w:eastAsia="仿宋_GB2312" w:cs="仿宋_GB2312"/>
          <w:sz w:val="32"/>
          <w:szCs w:val="32"/>
        </w:rPr>
        <w:t>五、财政拨款支出决算明细表</w:t>
      </w:r>
      <w:bookmarkEnd w:id="75"/>
      <w:bookmarkStart w:id="76" w:name="_Toc15396624"/>
    </w:p>
    <w:p w14:paraId="3D2920E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6"/>
    </w:p>
    <w:p w14:paraId="240F08B6">
      <w:pPr>
        <w:pStyle w:val="14"/>
        <w:adjustRightInd w:val="0"/>
        <w:snapToGrid w:val="0"/>
        <w:spacing w:line="560" w:lineRule="exact"/>
        <w:jc w:val="left"/>
        <w:rPr>
          <w:rFonts w:eastAsia="仿宋_GB2312" w:cs="仿宋_GB2312"/>
          <w:sz w:val="32"/>
          <w:szCs w:val="32"/>
        </w:rPr>
      </w:pPr>
      <w:bookmarkStart w:id="77" w:name="_Toc15396625"/>
      <w:r>
        <w:rPr>
          <w:rFonts w:hint="eastAsia" w:eastAsia="仿宋_GB2312" w:cs="仿宋_GB2312"/>
          <w:sz w:val="32"/>
          <w:szCs w:val="32"/>
        </w:rPr>
        <w:t>七、一般公共预算财政拨款支出决算明细表</w:t>
      </w:r>
      <w:bookmarkEnd w:id="77"/>
    </w:p>
    <w:p w14:paraId="2CA8AE20">
      <w:pPr>
        <w:pStyle w:val="14"/>
        <w:adjustRightInd w:val="0"/>
        <w:snapToGrid w:val="0"/>
        <w:spacing w:line="560" w:lineRule="exact"/>
        <w:jc w:val="left"/>
        <w:rPr>
          <w:rFonts w:eastAsia="仿宋_GB2312" w:cs="仿宋_GB2312"/>
          <w:sz w:val="32"/>
          <w:szCs w:val="32"/>
        </w:rPr>
      </w:pPr>
      <w:bookmarkStart w:id="78" w:name="_Toc15396626"/>
      <w:r>
        <w:rPr>
          <w:rFonts w:hint="eastAsia" w:eastAsia="仿宋_GB2312" w:cs="仿宋_GB2312"/>
          <w:sz w:val="32"/>
          <w:szCs w:val="32"/>
        </w:rPr>
        <w:t>八、一般公共预算财政拨款基本支出决算表</w:t>
      </w:r>
      <w:bookmarkEnd w:id="78"/>
    </w:p>
    <w:p w14:paraId="1021E5EC">
      <w:pPr>
        <w:pStyle w:val="14"/>
        <w:adjustRightInd w:val="0"/>
        <w:snapToGrid w:val="0"/>
        <w:spacing w:line="560" w:lineRule="exact"/>
        <w:jc w:val="left"/>
        <w:rPr>
          <w:rFonts w:eastAsia="仿宋_GB2312" w:cs="仿宋_GB2312"/>
          <w:sz w:val="32"/>
          <w:szCs w:val="32"/>
        </w:rPr>
      </w:pPr>
      <w:bookmarkStart w:id="79" w:name="_Toc15396627"/>
      <w:r>
        <w:rPr>
          <w:rFonts w:hint="eastAsia" w:eastAsia="仿宋_GB2312" w:cs="仿宋_GB2312"/>
          <w:sz w:val="32"/>
          <w:szCs w:val="32"/>
        </w:rPr>
        <w:t>九、一般公共预算财政拨款项目支出决算表</w:t>
      </w:r>
      <w:bookmarkEnd w:id="79"/>
    </w:p>
    <w:p w14:paraId="07043E00">
      <w:pPr>
        <w:pStyle w:val="14"/>
        <w:adjustRightInd w:val="0"/>
        <w:snapToGrid w:val="0"/>
        <w:spacing w:line="560" w:lineRule="exact"/>
        <w:jc w:val="left"/>
        <w:rPr>
          <w:rFonts w:eastAsia="仿宋_GB2312" w:cs="仿宋_GB2312"/>
          <w:sz w:val="32"/>
          <w:szCs w:val="32"/>
        </w:rPr>
      </w:pPr>
      <w:bookmarkStart w:id="80" w:name="_Toc15396628"/>
      <w:r>
        <w:rPr>
          <w:rFonts w:hint="eastAsia" w:eastAsia="仿宋_GB2312" w:cs="仿宋_GB2312"/>
          <w:sz w:val="32"/>
          <w:szCs w:val="32"/>
        </w:rPr>
        <w:t>十、</w:t>
      </w:r>
      <w:bookmarkEnd w:id="80"/>
      <w:r>
        <w:rPr>
          <w:rFonts w:hint="eastAsia" w:eastAsia="仿宋_GB2312" w:cs="仿宋_GB2312"/>
          <w:sz w:val="32"/>
          <w:szCs w:val="32"/>
        </w:rPr>
        <w:t>政府性基金预算财政拨款收入支出决算表</w:t>
      </w:r>
    </w:p>
    <w:p w14:paraId="7B15E922">
      <w:pPr>
        <w:pStyle w:val="14"/>
        <w:adjustRightInd w:val="0"/>
        <w:snapToGrid w:val="0"/>
        <w:spacing w:line="560" w:lineRule="exact"/>
        <w:jc w:val="left"/>
        <w:rPr>
          <w:rFonts w:eastAsia="仿宋_GB2312" w:cs="仿宋_GB2312"/>
          <w:sz w:val="32"/>
          <w:szCs w:val="32"/>
        </w:rPr>
      </w:pPr>
      <w:bookmarkStart w:id="81" w:name="_Toc15396629"/>
      <w:r>
        <w:rPr>
          <w:rFonts w:hint="eastAsia" w:eastAsia="仿宋_GB2312" w:cs="仿宋_GB2312"/>
          <w:sz w:val="32"/>
          <w:szCs w:val="32"/>
        </w:rPr>
        <w:t>十一、</w:t>
      </w:r>
      <w:bookmarkEnd w:id="81"/>
      <w:r>
        <w:rPr>
          <w:rFonts w:hint="eastAsia" w:eastAsia="仿宋_GB2312" w:cs="仿宋_GB2312"/>
          <w:sz w:val="32"/>
          <w:szCs w:val="32"/>
        </w:rPr>
        <w:t>国有资本经营预算财政拨款收入支出决算表</w:t>
      </w:r>
    </w:p>
    <w:p w14:paraId="0F22F1B4">
      <w:pPr>
        <w:pStyle w:val="14"/>
        <w:adjustRightInd w:val="0"/>
        <w:snapToGrid w:val="0"/>
        <w:spacing w:line="560" w:lineRule="exact"/>
        <w:jc w:val="left"/>
        <w:rPr>
          <w:rFonts w:eastAsia="仿宋_GB2312" w:cs="仿宋_GB2312"/>
          <w:sz w:val="32"/>
          <w:szCs w:val="32"/>
        </w:rPr>
      </w:pPr>
      <w:bookmarkStart w:id="82" w:name="_Toc15396630"/>
      <w:r>
        <w:rPr>
          <w:rFonts w:hint="eastAsia" w:eastAsia="仿宋_GB2312" w:cs="仿宋_GB2312"/>
          <w:sz w:val="32"/>
          <w:szCs w:val="32"/>
        </w:rPr>
        <w:t>十二、</w:t>
      </w:r>
      <w:bookmarkEnd w:id="82"/>
      <w:r>
        <w:rPr>
          <w:rFonts w:hint="eastAsia" w:eastAsia="仿宋_GB2312" w:cs="仿宋_GB2312"/>
          <w:sz w:val="32"/>
          <w:szCs w:val="32"/>
        </w:rPr>
        <w:t>国有资本经营预算财政拨款支出决算表</w:t>
      </w:r>
    </w:p>
    <w:p w14:paraId="3D830803">
      <w:pPr>
        <w:pStyle w:val="14"/>
        <w:adjustRightInd w:val="0"/>
        <w:snapToGrid w:val="0"/>
        <w:spacing w:line="560" w:lineRule="exact"/>
        <w:jc w:val="left"/>
        <w:rPr>
          <w:rFonts w:eastAsia="仿宋_GB2312" w:cs="仿宋_GB2312"/>
          <w:sz w:val="32"/>
          <w:szCs w:val="32"/>
        </w:rPr>
      </w:pPr>
      <w:bookmarkStart w:id="83" w:name="_Toc15396631"/>
      <w:r>
        <w:rPr>
          <w:rFonts w:hint="eastAsia" w:eastAsia="仿宋_GB2312" w:cs="仿宋_GB2312"/>
          <w:sz w:val="32"/>
          <w:szCs w:val="32"/>
        </w:rPr>
        <w:t>十三、</w:t>
      </w:r>
      <w:bookmarkEnd w:id="83"/>
      <w:r>
        <w:rPr>
          <w:rFonts w:hint="eastAsia" w:eastAsia="仿宋_GB2312" w:cs="仿宋_GB2312"/>
          <w:sz w:val="32"/>
          <w:szCs w:val="32"/>
        </w:rPr>
        <w:t>财政拨款“三公”经费支出决算表</w:t>
      </w:r>
    </w:p>
    <w:p w14:paraId="46D5F740"/>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E33B">
    <w:pPr>
      <w:pStyle w:val="8"/>
      <w:spacing w:line="208" w:lineRule="exact"/>
      <w:jc w:val="right"/>
      <w:rPr>
        <w:rFonts w:ascii="Times New Roman" w:hAnsi="Times New Roman" w:eastAsia="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E493">
    <w:pPr>
      <w:pStyle w:val="8"/>
      <w:spacing w:line="208" w:lineRule="exact"/>
      <w:jc w:val="right"/>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2E37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D2E37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E8C6">
    <w:pPr>
      <w:pStyle w:val="8"/>
      <w:spacing w:line="208" w:lineRule="exact"/>
      <w:jc w:val="right"/>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ED22">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1AED22">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F1DD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3F1DD4">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1C1DB241">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BF7">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58E6">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4158E6">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0EB4">
    <w:pPr>
      <w:spacing w:before="41" w:line="217" w:lineRule="auto"/>
      <w:rPr>
        <w:rFonts w:ascii="黑体" w:hAnsi="黑体" w:eastAsia="黑体" w:cs="黑体"/>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6288">
    <w:pPr>
      <w:spacing w:before="41" w:line="217" w:lineRule="auto"/>
      <w:rPr>
        <w:rFonts w:ascii="黑体" w:hAnsi="黑体" w:eastAsia="黑体" w:cs="黑体"/>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0515">
    <w:pPr>
      <w:spacing w:before="41" w:line="217" w:lineRule="auto"/>
      <w:rPr>
        <w:rFonts w:ascii="黑体" w:hAnsi="黑体" w:eastAsia="黑体" w:cs="黑体"/>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ABC84"/>
    <w:multiLevelType w:val="singleLevel"/>
    <w:tmpl w:val="70DAB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3B140E1"/>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1810A1"/>
    <w:rsid w:val="3CEBA265"/>
    <w:rsid w:val="3D98207C"/>
    <w:rsid w:val="3DEE7CF3"/>
    <w:rsid w:val="3E740A63"/>
    <w:rsid w:val="3E78745D"/>
    <w:rsid w:val="3EE17838"/>
    <w:rsid w:val="3F55381A"/>
    <w:rsid w:val="3F7F7599"/>
    <w:rsid w:val="3FF4CAE0"/>
    <w:rsid w:val="3FF7B227"/>
    <w:rsid w:val="44E268DA"/>
    <w:rsid w:val="450D13D7"/>
    <w:rsid w:val="45506656"/>
    <w:rsid w:val="47777902"/>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F:\WeChat%20Files\WY09241023\FileStorage\File\2025-09\&#20915;&#31639;&#22270;&#3492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WeChat%20Files\WY09241023\FileStorage\File\2025-09\&#20915;&#31639;&#22270;&#34920;(1)(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WeChat%20Files\WY09241023\FileStorage\File\2025-09\&#20915;&#31639;&#22270;&#34920;(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4515847140532"/>
          <c:y val="0.0277777777777778"/>
        </c:manualLayout>
      </c:layout>
      <c:overlay val="0"/>
      <c:spPr>
        <a:noFill/>
        <a:ln>
          <a:noFill/>
        </a:ln>
        <a:effectLst/>
      </c:spPr>
    </c:title>
    <c:autoTitleDeleted val="0"/>
    <c:plotArea>
      <c:layout/>
      <c:barChart>
        <c:barDir val="col"/>
        <c:grouping val="clustered"/>
        <c:varyColors val="0"/>
        <c:ser>
          <c:idx val="0"/>
          <c:order val="0"/>
          <c:tx>
            <c:strRef>
              <c:f>'[决算图表(1)(1).xls]Sheet1'!$E$5</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'[决算图表(1)(1).xls]Sheet1'!$F$5:$G$5</c:f>
              <c:numCache>
                <c:formatCode>General</c:formatCode>
                <c:ptCount val="2"/>
                <c:pt idx="0">
                  <c:v>139.52</c:v>
                </c:pt>
                <c:pt idx="1">
                  <c:v>139.52</c:v>
                </c:pt>
              </c:numCache>
            </c:numRef>
          </c:val>
        </c:ser>
        <c:ser>
          <c:idx val="1"/>
          <c:order val="1"/>
          <c:tx>
            <c:strRef>
              <c:f>'[决算图表(1)(1).xls]Sheet1'!$E$6</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'[决算图表(1)(1).xls]Sheet1'!$F$4:$G$4</c:f>
              <c:strCache>
                <c:ptCount val="2"/>
                <c:pt idx="0">
                  <c:v>收入</c:v>
                </c:pt>
                <c:pt idx="1">
                  <c:v>支出</c:v>
                </c:pt>
              </c:strCache>
            </c:strRef>
          </c:cat>
          <c:val>
            <c:numRef>
              <c:f>'[决算图表(1)(1).xls]Sheet1'!$F$6:$G$6</c:f>
              <c:numCache>
                <c:formatCode>#,##0.00</c:formatCode>
                <c:ptCount val="2"/>
                <c:pt idx="0">
                  <c:v>168.92</c:v>
                </c:pt>
                <c:pt idx="1">
                  <c:v>168.92</c:v>
                </c:pt>
              </c:numCache>
            </c:numRef>
          </c:val>
        </c:ser>
        <c:dLbls>
          <c:showLegendKey val="0"/>
          <c:showVal val="0"/>
          <c:showCatName val="0"/>
          <c:showSerName val="0"/>
          <c:showPercent val="0"/>
          <c:showBubbleSize val="0"/>
        </c:dLbls>
        <c:gapWidth val="219"/>
        <c:overlap val="-27"/>
        <c:axId val="875564239"/>
        <c:axId val="91908377"/>
      </c:barChart>
      <c:catAx>
        <c:axId val="87556423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08377"/>
        <c:crosses val="autoZero"/>
        <c:auto val="1"/>
        <c:lblAlgn val="ctr"/>
        <c:lblOffset val="100"/>
        <c:noMultiLvlLbl val="0"/>
      </c:catAx>
      <c:valAx>
        <c:axId val="9190837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564239"/>
        <c:crosses val="autoZero"/>
        <c:crossBetween val="between"/>
      </c:valAx>
      <c:spPr>
        <a:noFill/>
        <a:ln>
          <a:noFill/>
        </a:ln>
        <a:effectLst/>
      </c:spPr>
    </c:plotArea>
    <c:legend>
      <c:legendPos val="r"/>
      <c:layout>
        <c:manualLayout>
          <c:xMode val="edge"/>
          <c:yMode val="edge"/>
          <c:x val="0.3875"/>
          <c:y val="0.9"/>
          <c:w val="0.222222222222222"/>
          <c:h val="0.07313400827355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bf7b7a-c15d-4a6a-9186-2b42b22bc1b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b="0"/>
              <a:t>图2：收入决算结构图</a:t>
            </a:r>
            <a:endParaRPr sz="18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4152867929527"/>
          <c:y val="0.0145942790426153"/>
        </c:manualLayout>
      </c:layout>
      <c:overlay val="0"/>
    </c:title>
    <c:autoTitleDeleted val="0"/>
    <c:plotArea>
      <c:layout>
        <c:manualLayout>
          <c:layoutTarget val="inner"/>
          <c:xMode val="edge"/>
          <c:yMode val="edge"/>
          <c:x val="0.334539659528826"/>
          <c:y val="0.197240792758479"/>
          <c:w val="0.387144193505279"/>
          <c:h val="0.64607493309545"/>
        </c:manualLayout>
      </c:layout>
      <c:pieChart>
        <c:varyColors val="1"/>
        <c:ser>
          <c:idx val="0"/>
          <c:order val="0"/>
          <c:explosion val="0"/>
          <c:dPt>
            <c:idx val="0"/>
            <c:bubble3D val="0"/>
            <c:explosion val="0"/>
          </c:dPt>
          <c:dLbls>
            <c:numFmt formatCode="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'[决算图表(1)(1).xls]Sheet1'!$C$65</c:f>
              <c:strCache>
                <c:ptCount val="1"/>
                <c:pt idx="0">
                  <c:v>一般公共预算财政拨款</c:v>
                </c:pt>
              </c:strCache>
            </c:strRef>
          </c:cat>
          <c:val>
            <c:numRef>
              <c:f>'[决算图表(1)(1).xls]Sheet1'!$D$65</c:f>
              <c:numCache>
                <c:formatCode>#,##0.00</c:formatCode>
                <c:ptCount val="1"/>
                <c:pt idx="0">
                  <c:v>168.92</c:v>
                </c:pt>
              </c:numCache>
            </c:numRef>
          </c:val>
        </c:ser>
        <c:dLbls>
          <c:showLegendKey val="0"/>
          <c:showVal val="0"/>
          <c:showCatName val="0"/>
          <c:showSerName val="0"/>
          <c:showPercent val="0"/>
          <c:showBubbleSize val="0"/>
          <c:showLeaderLines val="1"/>
        </c:dLbls>
        <c:firstSliceAng val="8"/>
      </c:pieChart>
    </c:plotArea>
    <c:legend>
      <c:legendPos val="b"/>
      <c:layout>
        <c:manualLayout>
          <c:xMode val="edge"/>
          <c:yMode val="edge"/>
          <c:x val="0.20275"/>
          <c:y val="0.909"/>
          <c:w val="0.59425"/>
          <c:h val="0.068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8a675c7-6490-401e-b811-f6eb89df141d}"/>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图3：支出决算结构图</a:t>
            </a:r>
            <a:endParaRPr sz="1400" b="0" i="0" u="none" strike="noStrike" baseline="0">
              <a:solidFill>
                <a:srgbClr val="404040">
                  <a:alpha val="100000"/>
                </a:srgbClr>
              </a:solidFill>
              <a:latin typeface="微软雅黑" panose="020B0503020204020204" charset="-122"/>
              <a:ea typeface="微软雅黑" panose="020B0503020204020204" charset="-122"/>
              <a:cs typeface="微软雅黑" panose="020B0503020204020204" charset="-122"/>
            </a:endParaRPr>
          </a:p>
        </c:rich>
      </c:tx>
      <c:layout>
        <c:manualLayout>
          <c:xMode val="edge"/>
          <c:yMode val="edge"/>
          <c:x val="0.252641110775732"/>
          <c:y val="0.0232276796515848"/>
        </c:manualLayout>
      </c:layout>
      <c:overlay val="0"/>
      <c:spPr>
        <a:noFill/>
        <a:ln>
          <a:noFill/>
        </a:ln>
        <a:effectLst/>
      </c:spPr>
    </c:title>
    <c:autoTitleDeleted val="0"/>
    <c:plotArea>
      <c:layout>
        <c:manualLayout>
          <c:layoutTarget val="inner"/>
          <c:xMode val="edge"/>
          <c:yMode val="edge"/>
          <c:x val="0.298039215686275"/>
          <c:y val="0.27640391550747"/>
          <c:w val="0.41074168797954"/>
          <c:h val="0.620556414219474"/>
        </c:manualLayout>
      </c:layout>
      <c:pieChart>
        <c:varyColors val="1"/>
        <c:ser>
          <c:idx val="1"/>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0"/>
              <c:layout>
                <c:manualLayout>
                  <c:x val="0.0633441508087946"/>
                  <c:y val="0.0140128502401571"/>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725214817414702"/>
                  <c:y val="0.0036765290722677"/>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'[决算图表(1)(1).xls]Sheet1'!$A$83:$A$84</c:f>
              <c:strCache>
                <c:ptCount val="2"/>
                <c:pt idx="0">
                  <c:v>基本支出</c:v>
                </c:pt>
                <c:pt idx="1">
                  <c:v>项目支出</c:v>
                </c:pt>
              </c:strCache>
            </c:strRef>
          </c:cat>
          <c:val>
            <c:numRef>
              <c:f>'[决算图表(1)(1).xls]Sheet1'!$B$83:$B$84</c:f>
              <c:numCache>
                <c:formatCode>#,##0.00</c:formatCode>
                <c:ptCount val="2"/>
                <c:pt idx="0">
                  <c:v>168.92</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9849170437406"/>
          <c:y val="0.907778361666638"/>
          <c:w val="0.295625942684766"/>
          <c:h val="0.084978760496567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447cb83-8473-4a83-8ed1-ba6b2f2099f2}"/>
      </c:ext>
    </c:extLst>
  </c:chart>
  <c:spPr>
    <a:solidFill>
      <a:schemeClr val="bg1"/>
    </a:solidFill>
    <a:ln w="9525" cap="flat" cmpd="sng" algn="ctr">
      <a:solidFill>
        <a:schemeClr val="tx1">
          <a:lumMod val="50000"/>
          <a:lumOff val="50000"/>
          <a:alpha val="25000"/>
        </a:schemeClr>
      </a:solidFill>
      <a:prstDash val="solid"/>
      <a:round/>
    </a:ln>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财政拨款收、支决算总计变动情况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'[决算图表(1)(1).xls]Sheet1'!$E$17</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'[决算图表(1)(1).xls]Sheet1'!$F$17:$G$17</c:f>
              <c:numCache>
                <c:formatCode>#,##0.00</c:formatCode>
                <c:ptCount val="2"/>
                <c:pt idx="0">
                  <c:v>139.52</c:v>
                </c:pt>
                <c:pt idx="1">
                  <c:v>139.52</c:v>
                </c:pt>
              </c:numCache>
            </c:numRef>
          </c:val>
        </c:ser>
        <c:ser>
          <c:idx val="1"/>
          <c:order val="1"/>
          <c:tx>
            <c:strRef>
              <c:f>'[决算图表(1)(1).xls]Sheet1'!$E$18</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'[决算图表(1)(1).xls]Sheet1'!$F$16:$G$16</c:f>
              <c:strCache>
                <c:ptCount val="2"/>
                <c:pt idx="0">
                  <c:v>收入</c:v>
                </c:pt>
                <c:pt idx="1">
                  <c:v>支出</c:v>
                </c:pt>
              </c:strCache>
            </c:strRef>
          </c:cat>
          <c:val>
            <c:numRef>
              <c:f>'[决算图表(1)(1).xls]Sheet1'!$F$18:$G$18</c:f>
              <c:numCache>
                <c:formatCode>#,##0.00</c:formatCode>
                <c:ptCount val="2"/>
                <c:pt idx="0">
                  <c:v>168.92</c:v>
                </c:pt>
                <c:pt idx="1">
                  <c:v>168.92</c:v>
                </c:pt>
              </c:numCache>
            </c:numRef>
          </c:val>
        </c:ser>
        <c:dLbls>
          <c:showLegendKey val="0"/>
          <c:showVal val="0"/>
          <c:showCatName val="0"/>
          <c:showSerName val="0"/>
          <c:showPercent val="0"/>
          <c:showBubbleSize val="0"/>
        </c:dLbls>
        <c:gapWidth val="219"/>
        <c:overlap val="-27"/>
        <c:axId val="729295590"/>
        <c:axId val="605662495"/>
      </c:barChart>
      <c:catAx>
        <c:axId val="7292955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662495"/>
        <c:crosses val="autoZero"/>
        <c:auto val="1"/>
        <c:lblAlgn val="ctr"/>
        <c:lblOffset val="100"/>
        <c:noMultiLvlLbl val="0"/>
      </c:catAx>
      <c:valAx>
        <c:axId val="60566249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295590"/>
        <c:crosses val="autoZero"/>
        <c:crossBetween val="between"/>
      </c:valAx>
      <c:spPr>
        <a:noFill/>
        <a:ln>
          <a:noFill/>
        </a:ln>
        <a:effectLst/>
      </c:spPr>
    </c:plotArea>
    <c:legend>
      <c:legendPos val="r"/>
      <c:layout>
        <c:manualLayout>
          <c:xMode val="edge"/>
          <c:yMode val="edge"/>
          <c:x val="0.3535"/>
          <c:y val="0.86125"/>
          <c:w val="0.22538177988415"/>
          <c:h val="0.0754716981132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3d87fc-c4b3-4edf-9425-81ef88db196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5</a:t>
            </a:r>
            <a:r>
              <a:rPr altLang="en-US"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a:t>
            </a:r>
            <a:r>
              <a:rPr sz="14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一般公共预算财政拨款支出决算变动情况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142966948501153"/>
          <c:y val="0.0310274401357216"/>
        </c:manualLayout>
      </c:layout>
      <c:overlay val="0"/>
      <c:spPr>
        <a:noFill/>
        <a:ln>
          <a:noFill/>
        </a:ln>
        <a:effectLst/>
      </c:spPr>
    </c:title>
    <c:autoTitleDeleted val="0"/>
    <c:plotArea>
      <c:layout/>
      <c:barChart>
        <c:barDir val="col"/>
        <c:grouping val="clustered"/>
        <c:varyColors val="0"/>
        <c:ser>
          <c:idx val="0"/>
          <c:order val="0"/>
          <c:tx>
            <c:strRef>
              <c:f>'[决算图表(1)(1).xls]Sheet1'!$A$108</c:f>
              <c:strCache>
                <c:ptCount val="1"/>
                <c:pt idx="0">
                  <c:v>收入、支出</c:v>
                </c:pt>
              </c:strCache>
            </c:strRef>
          </c:tx>
          <c:spPr>
            <a:solidFill>
              <a:schemeClr val="accent1"/>
            </a:solidFill>
            <a:ln>
              <a:noFill/>
            </a:ln>
            <a:effectLst/>
          </c:spPr>
          <c:invertIfNegative val="0"/>
          <c:dPt>
            <c:idx val="0"/>
            <c:invertIfNegative val="0"/>
            <c:bubble3D val="0"/>
            <c:explosion val="0"/>
            <c:spPr>
              <a:solidFill>
                <a:srgbClr val="C00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'[决算图表(1)(1).xls]Sheet1'!$B$107:$C$107</c:f>
              <c:strCache>
                <c:ptCount val="2"/>
                <c:pt idx="0">
                  <c:v>2023年</c:v>
                </c:pt>
                <c:pt idx="1">
                  <c:v>2024年</c:v>
                </c:pt>
              </c:strCache>
            </c:strRef>
          </c:cat>
          <c:val>
            <c:numRef>
              <c:f>'[决算图表(1)(1).xls]Sheet1'!$B$108:$C$108</c:f>
              <c:numCache>
                <c:formatCode>#,##0.00</c:formatCode>
                <c:ptCount val="2"/>
                <c:pt idx="0">
                  <c:v>139.52</c:v>
                </c:pt>
                <c:pt idx="1">
                  <c:v>168.92</c:v>
                </c:pt>
              </c:numCache>
            </c:numRef>
          </c:val>
        </c:ser>
        <c:dLbls>
          <c:showLegendKey val="0"/>
          <c:showVal val="0"/>
          <c:showCatName val="0"/>
          <c:showSerName val="0"/>
          <c:showPercent val="0"/>
          <c:showBubbleSize val="0"/>
        </c:dLbls>
        <c:gapWidth val="219"/>
        <c:overlap val="-27"/>
        <c:axId val="156749271"/>
        <c:axId val="882298611"/>
      </c:barChart>
      <c:catAx>
        <c:axId val="1567492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82298611"/>
        <c:crosses val="autoZero"/>
        <c:auto val="1"/>
        <c:lblAlgn val="ctr"/>
        <c:lblOffset val="100"/>
        <c:noMultiLvlLbl val="0"/>
      </c:catAx>
      <c:valAx>
        <c:axId val="88229861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56749271"/>
        <c:crosses val="autoZero"/>
        <c:crossBetween val="between"/>
      </c:valAx>
      <c:spPr>
        <a:noFill/>
        <a:ln>
          <a:noFill/>
        </a:ln>
        <a:effectLst/>
      </c:spPr>
    </c:plotArea>
    <c:plotVisOnly val="1"/>
    <c:dispBlanksAs val="gap"/>
    <c:showDLblsOverMax val="0"/>
    <c:extLst>
      <c:ext uri="{0b15fc19-7d7d-44ad-8c2d-2c3a37ce22c3}">
        <chartProps xmlns="https://web.wps.cn/et/2018/main" chartId="{718388cc-ea28-4a6a-9935-172c18e66b5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'[决算图表(1)(1).xls]Sheet1'!$A$115:$A$118</c:f>
              <c:strCache>
                <c:ptCount val="4"/>
                <c:pt idx="0">
                  <c:v>节能环保支出</c:v>
                </c:pt>
                <c:pt idx="1">
                  <c:v>社会保障和就业支出</c:v>
                </c:pt>
                <c:pt idx="2">
                  <c:v>卫生健康支出</c:v>
                </c:pt>
                <c:pt idx="3">
                  <c:v>住房保障支出</c:v>
                </c:pt>
              </c:strCache>
            </c:strRef>
          </c:cat>
          <c:val>
            <c:numRef>
              <c:f>'[决算图表(1)(1).xls]Sheet1'!$B$115:$B$118</c:f>
              <c:numCache>
                <c:formatCode>General</c:formatCode>
                <c:ptCount val="4"/>
                <c:pt idx="0">
                  <c:v>116.3</c:v>
                </c:pt>
                <c:pt idx="1">
                  <c:v>28.15</c:v>
                </c:pt>
                <c:pt idx="2">
                  <c:v>10.13</c:v>
                </c:pt>
                <c:pt idx="3">
                  <c:v>14.34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a3b406-33c5-4bbe-b413-e06d66b759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a:solidFill>
                  <a:sysClr val="windowText" lastClr="000000"/>
                </a:solidFill>
              </a:rPr>
              <a:t>图7：“三公”经费财政拨款支出结构</a:t>
            </a:r>
            <a:endParaRPr sz="1400" b="0" i="0" u="none" strike="noStrike" baseline="0">
              <a:solidFill>
                <a:sysClr val="windowText" lastClr="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'[决算图表(1)(1).xls]Sheet1'!$A$125</c:f>
              <c:strCache>
                <c:ptCount val="1"/>
                <c:pt idx="0">
                  <c:v>公务接待费</c:v>
                </c:pt>
              </c:strCache>
            </c:strRef>
          </c:cat>
          <c:val>
            <c:numRef>
              <c:f>'[决算图表(1)(1).xls]Sheet1'!$B$125</c:f>
              <c:numCache>
                <c:formatCode>General</c:formatCode>
                <c:ptCount val="1"/>
                <c:pt idx="0">
                  <c:v>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29925"/>
          <c:y val="0.87675"/>
          <c:w val="0.399832245045107"/>
          <c:h val="0.08788159235982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c6ed094b-3dcb-44bb-b93b-51a0a00fd26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13</Pages>
  <Words>14642</Words>
  <Characters>16915</Characters>
  <Lines>60</Lines>
  <Paragraphs>17</Paragraphs>
  <TotalTime>11</TotalTime>
  <ScaleCrop>false</ScaleCrop>
  <LinksUpToDate>false</LinksUpToDate>
  <CharactersWithSpaces>17057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Mr.旧时光</cp:lastModifiedBy>
  <cp:lastPrinted>2025-08-06T17:34:00Z</cp:lastPrinted>
  <dcterms:modified xsi:type="dcterms:W3CDTF">2025-09-11T08:17:32Z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0C22D602920A42EF88141A24F8EDE77D_13</vt:lpwstr>
  </property>
  <property fmtid="{D5CDD505-2E9C-101B-9397-08002B2CF9AE}" pid="4" name="KSOTemplateDocerSaveRecord">
    <vt:lpwstr>eyJoZGlkIjoiNzcxZDY4MmI1OTBjMjE1Nzk5NThjZGNlYmQwYzNkMjQifQ==</vt:lpwstr>
  </property>
</Properties>
</file>