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96597"/>
      <w:bookmarkStart w:id="1" w:name="_Toc15377193"/>
      <w:bookmarkStart w:id="2" w:name="_Toc15377425"/>
      <w:bookmarkStart w:id="3" w:name="_Toc15396475"/>
      <w:bookmarkStart w:id="4" w:name="_Toc15378441"/>
      <w:bookmarkStart w:id="5" w:name="_Toc15306267"/>
    </w:p>
    <w:p>
      <w:pPr>
        <w:pStyle w:val="9"/>
        <w:ind w:firstLine="0"/>
      </w:pPr>
    </w:p>
    <w:p>
      <w:pPr>
        <w:jc w:val="center"/>
        <w:rPr>
          <w:rFonts w:hint="eastAsia" w:ascii="方正小标宋简体" w:hAnsi="方正小标宋简体" w:eastAsia="方正小标宋简体" w:cs="方正小标宋简体"/>
          <w:b w:val="0"/>
          <w:bCs/>
          <w:sz w:val="72"/>
          <w:szCs w:val="72"/>
        </w:rPr>
      </w:pPr>
      <w:r>
        <w:rPr>
          <w:rFonts w:hint="eastAsia" w:ascii="方正小标宋简体" w:hAnsi="方正小标宋简体" w:eastAsia="方正小标宋简体" w:cs="方正小标宋简体"/>
          <w:b w:val="0"/>
          <w:bCs/>
          <w:sz w:val="72"/>
          <w:szCs w:val="72"/>
        </w:rPr>
        <w:t>202</w:t>
      </w:r>
      <w:r>
        <w:rPr>
          <w:rFonts w:hint="eastAsia" w:ascii="方正小标宋简体" w:hAnsi="方正小标宋简体" w:eastAsia="方正小标宋简体" w:cs="方正小标宋简体"/>
          <w:b w:val="0"/>
          <w:bCs/>
          <w:sz w:val="72"/>
          <w:szCs w:val="72"/>
          <w:lang w:val="en-US" w:eastAsia="zh-CN"/>
        </w:rPr>
        <w:t>4</w:t>
      </w:r>
      <w:r>
        <w:rPr>
          <w:rFonts w:hint="eastAsia" w:ascii="方正小标宋简体" w:hAnsi="方正小标宋简体" w:eastAsia="方正小标宋简体" w:cs="方正小标宋简体"/>
          <w:b w:val="0"/>
          <w:bCs/>
          <w:sz w:val="72"/>
          <w:u w:color="auto"/>
        </w:rPr>
        <w:t>年度</w:t>
      </w:r>
      <w:bookmarkEnd w:id="0"/>
      <w:bookmarkEnd w:id="1"/>
      <w:bookmarkEnd w:id="2"/>
      <w:bookmarkEnd w:id="3"/>
      <w:bookmarkEnd w:id="4"/>
    </w:p>
    <w:bookmarkEnd w:id="5"/>
    <w:p>
      <w:pPr>
        <w:jc w:val="center"/>
        <w:rPr>
          <w:rFonts w:hint="eastAsia" w:ascii="方正小标宋简体" w:hAnsi="方正小标宋简体" w:eastAsia="方正小标宋简体" w:cs="方正小标宋简体"/>
          <w:b w:val="0"/>
          <w:bCs/>
          <w:sz w:val="72"/>
          <w:szCs w:val="72"/>
          <w:lang w:eastAsia="zh-CN"/>
        </w:rPr>
      </w:pPr>
      <w:bookmarkStart w:id="6" w:name="_Toc15306268"/>
      <w:bookmarkStart w:id="7" w:name="_Toc15378442"/>
      <w:bookmarkStart w:id="8" w:name="_Toc15396598"/>
      <w:bookmarkStart w:id="9" w:name="_Toc15377194"/>
      <w:bookmarkStart w:id="10" w:name="_Toc15377426"/>
      <w:bookmarkStart w:id="11" w:name="_Toc15396476"/>
      <w:r>
        <w:rPr>
          <w:rFonts w:hint="eastAsia" w:ascii="方正小标宋简体" w:hAnsi="方正小标宋简体" w:eastAsia="方正小标宋简体" w:cs="方正小标宋简体"/>
          <w:b w:val="0"/>
          <w:bCs/>
          <w:sz w:val="72"/>
          <w:szCs w:val="72"/>
        </w:rPr>
        <w:t>阿坝州九寨沟生态环境局部门决算</w:t>
      </w:r>
      <w:bookmarkEnd w:id="6"/>
      <w:bookmarkEnd w:id="7"/>
      <w:bookmarkEnd w:id="8"/>
      <w:bookmarkEnd w:id="9"/>
      <w:bookmarkEnd w:id="10"/>
      <w:bookmarkEnd w:id="11"/>
      <w:r>
        <w:rPr>
          <w:rFonts w:hint="eastAsia" w:ascii="方正小标宋简体" w:hAnsi="方正小标宋简体" w:eastAsia="方正小标宋简体" w:cs="方正小标宋简体"/>
          <w:b w:val="0"/>
          <w:bCs/>
          <w:sz w:val="72"/>
          <w:szCs w:val="72"/>
          <w:lang w:val="en-US" w:eastAsia="zh-CN"/>
        </w:rPr>
        <w:t>报告</w:t>
      </w: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tabs>
          <w:tab w:val="left" w:pos="3600"/>
        </w:tabs>
      </w:pPr>
      <w:r>
        <w:tab/>
      </w: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
      <w:pPr>
        <w:widowControl/>
        <w:jc w:val="center"/>
        <w:rPr>
          <w:rFonts w:hint="eastAsia" w:ascii="Times New Roman" w:hAnsi="Times New Roman" w:eastAsia="黑体"/>
          <w:color w:val="auto"/>
          <w:sz w:val="48"/>
          <w:szCs w:val="48"/>
          <w:highlight w:val="none"/>
        </w:rPr>
        <w:sectPr>
          <w:headerReference r:id="rId3" w:type="default"/>
          <w:footerReference r:id="rId4" w:type="default"/>
          <w:pgSz w:w="11850" w:h="16783"/>
          <w:pgMar w:top="2098" w:right="1474" w:bottom="1984" w:left="1587" w:header="851" w:footer="992" w:gutter="0"/>
          <w:pgNumType w:fmt="numberInDash" w:start="1"/>
          <w:cols w:space="425" w:num="1"/>
          <w:titlePg/>
          <w:docGrid w:type="lines" w:linePitch="312" w:charSpace="0"/>
        </w:sectPr>
      </w:pPr>
    </w:p>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18 </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pPr>
        <w:pStyle w:val="6"/>
        <w:jc w:val="center"/>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1"/>
          <w:rFonts w:hint="eastAsia" w:ascii="Times New Roman" w:hAnsi="Times New Roman" w:eastAsia="方正小标宋简体" w:cs="方正小标宋简体"/>
          <w:b w:val="0"/>
          <w:bCs w:val="0"/>
          <w:color w:val="auto"/>
          <w:highlight w:val="none"/>
        </w:rPr>
        <w:t>部门概况</w:t>
      </w:r>
      <w:bookmarkEnd w:id="12"/>
      <w:bookmarkEnd w:id="13"/>
    </w:p>
    <w:p>
      <w:pPr>
        <w:pStyle w:val="7"/>
        <w:pageBreakBefore w:val="0"/>
        <w:numPr>
          <w:ilvl w:val="0"/>
          <w:numId w:val="1"/>
        </w:numPr>
        <w:kinsoku/>
        <w:wordWrap/>
        <w:overflowPunct/>
        <w:topLinePunct w:val="0"/>
        <w:autoSpaceDE/>
        <w:autoSpaceDN/>
        <w:bidi w:val="0"/>
        <w:spacing w:before="0" w:after="0" w:line="576" w:lineRule="exact"/>
        <w:ind w:firstLine="640" w:firstLineChars="200"/>
        <w:textAlignment w:val="auto"/>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pPr>
        <w:pStyle w:val="10"/>
        <w:keepNext w:val="0"/>
        <w:keepLines w:val="0"/>
        <w:pageBreakBefore w:val="0"/>
        <w:widowControl w:val="0"/>
        <w:kinsoku/>
        <w:wordWrap/>
        <w:overflowPunct/>
        <w:topLinePunct w:val="0"/>
        <w:autoSpaceDE/>
        <w:autoSpaceDN/>
        <w:bidi w:val="0"/>
        <w:adjustRightInd w:val="0"/>
        <w:snapToGrid w:val="0"/>
        <w:spacing w:beforeLines="0" w:line="576" w:lineRule="exact"/>
        <w:ind w:firstLine="640" w:firstLineChars="200"/>
        <w:jc w:val="both"/>
        <w:textAlignment w:val="auto"/>
        <w:outlineLvl w:val="2"/>
        <w:rPr>
          <w:sz w:val="32"/>
          <w:szCs w:val="32"/>
        </w:rPr>
      </w:pPr>
      <w:bookmarkStart w:id="14" w:name="_Toc25674"/>
      <w:bookmarkStart w:id="15" w:name="_Toc27321"/>
      <w:r>
        <w:rPr>
          <w:rFonts w:hint="eastAsia" w:ascii="Times New Roman" w:hAnsi="Times New Roman" w:eastAsia="仿宋_GB2312" w:cs="Times New Roman"/>
          <w:b w:val="0"/>
          <w:bCs w:val="0"/>
          <w:color w:val="auto"/>
          <w:w w:val="100"/>
          <w:sz w:val="32"/>
          <w:szCs w:val="32"/>
          <w:lang w:val="en-US" w:eastAsia="zh-CN"/>
        </w:rPr>
        <w:t>承担全县生态环境保护综合监督管理责任，依法行使生态环境保护综合监督管理职责。包括：建立健全全县生态环境基本制度。负责全县生态环境的监督管理。实行生态环境保护目标责任制，落实全县减排目标。负责全县环境污染防治的监督管理。指导、监督全县生态保护修复工作。编制实施生态保护规划，加强对自然资源开发利用活动、重要生态环境建设和生态破坏恢复工作的监督。负责全县核与辐射安全的监督管理。负责全县生态环境准入的监督管理。负责全县生态环境监测、统计和信息发布工作。负责应对气候变化工作。督导全县生态环境保护督察问题整改，做好中央、省生态环境保护督察对接工作。负责全县生态环境监督执法工作。协助开展全县生态环境宣传教育工作。推广应用全县生态环境保护科技成果，开展全县生态环境科学研究，推动生态环境技术管理体系建设。开展生态环境对外合作交流。负责职责范围内的安全生产和职业健康、审批服务便民化等工作。行使全县生态和城乡各类污染排放监管与行政执法职责，负责全县生态环境质量监测、调查评价和考核，履行监管责任，加强事中事后监管，强化固体废物、化学品、重金属污染防治监督管理。负责国家生态文明建设示范区创建工作，完成县委、县政府交办的其他任务。</w:t>
      </w:r>
      <w:bookmarkEnd w:id="14"/>
      <w:bookmarkEnd w:id="15"/>
    </w:p>
    <w:p>
      <w:pPr>
        <w:pageBreakBefore w:val="0"/>
        <w:numPr>
          <w:ilvl w:val="0"/>
          <w:numId w:val="0"/>
        </w:numPr>
        <w:kinsoku/>
        <w:wordWrap/>
        <w:overflowPunct/>
        <w:topLinePunct w:val="0"/>
        <w:autoSpaceDE/>
        <w:autoSpaceDN/>
        <w:bidi w:val="0"/>
        <w:spacing w:line="576" w:lineRule="exact"/>
        <w:ind w:firstLine="640" w:firstLineChars="200"/>
        <w:textAlignment w:val="auto"/>
        <w:rPr>
          <w:rFonts w:hint="eastAsia"/>
          <w:sz w:val="32"/>
          <w:szCs w:val="32"/>
          <w:lang w:eastAsia="zh-CN"/>
        </w:rPr>
      </w:pPr>
    </w:p>
    <w:p>
      <w:pPr>
        <w:pStyle w:val="7"/>
        <w:pageBreakBefore w:val="0"/>
        <w:kinsoku/>
        <w:wordWrap/>
        <w:overflowPunct/>
        <w:topLinePunct w:val="0"/>
        <w:autoSpaceDE/>
        <w:autoSpaceDN/>
        <w:bidi w:val="0"/>
        <w:spacing w:before="0" w:after="0" w:line="576" w:lineRule="exact"/>
        <w:ind w:firstLine="640" w:firstLineChars="200"/>
        <w:textAlignment w:val="auto"/>
        <w:rPr>
          <w:rStyle w:val="32"/>
          <w:rFonts w:ascii="Times New Roman" w:hAnsi="Times New Roman"/>
          <w:b w:val="0"/>
          <w:bCs w:val="0"/>
          <w:color w:val="auto"/>
          <w:highlight w:val="none"/>
        </w:rPr>
      </w:pPr>
      <w:bookmarkStart w:id="16" w:name="_Toc15377200"/>
      <w:bookmarkStart w:id="17" w:name="_Toc15396601"/>
      <w:r>
        <w:rPr>
          <w:rFonts w:hint="eastAsia" w:ascii="Times New Roman" w:hAnsi="Times New Roman" w:eastAsia="黑体"/>
          <w:b w:val="0"/>
          <w:color w:val="auto"/>
          <w:highlight w:val="none"/>
        </w:rPr>
        <w:t>二、机</w:t>
      </w:r>
      <w:r>
        <w:rPr>
          <w:rStyle w:val="32"/>
          <w:rFonts w:hint="eastAsia" w:ascii="Times New Roman" w:hAnsi="Times New Roman" w:eastAsia="黑体"/>
          <w:b w:val="0"/>
          <w:bCs w:val="0"/>
          <w:color w:val="auto"/>
          <w:highlight w:val="none"/>
        </w:rPr>
        <w:t>构设置</w:t>
      </w:r>
      <w:bookmarkEnd w:id="16"/>
      <w:bookmarkEnd w:id="17"/>
    </w:p>
    <w:p>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阿坝州九寨沟生态环境局内设办公室、行政审批股、污染防空股、农村环境保护股，下设九寨沟县环境资源保护中心、九寨沟生态环境保护综合行政执法大队和九寨沟环境监测站。全局编制数为34人，其中公务员编制数3人，参公编制数15人，机关工勤编制数2人，事业编制数14人。截</w:t>
      </w:r>
      <w:r>
        <w:rPr>
          <w:rFonts w:hint="eastAsia" w:ascii="仿宋_GB2312" w:hAnsi="仿宋_GB2312" w:eastAsia="仿宋_GB2312" w:cs="仿宋_GB2312"/>
          <w:color w:val="000000"/>
          <w:sz w:val="32"/>
          <w:szCs w:val="32"/>
          <w:lang w:val="en-US" w:eastAsia="zh-CN"/>
        </w:rPr>
        <w:t>至</w:t>
      </w:r>
      <w:bookmarkStart w:id="72" w:name="_GoBack"/>
      <w:bookmarkEnd w:id="72"/>
      <w:r>
        <w:rPr>
          <w:rFonts w:hint="eastAsia" w:ascii="仿宋_GB2312" w:hAnsi="仿宋_GB2312" w:eastAsia="仿宋_GB2312" w:cs="仿宋_GB2312"/>
          <w:color w:val="000000"/>
          <w:sz w:val="32"/>
          <w:szCs w:val="32"/>
        </w:rPr>
        <w:t>目前，全局实有人员2</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名，其中行政2名，参公1</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名、机关工勤1名，事业专业技术人员14名。</w:t>
      </w:r>
    </w:p>
    <w:p>
      <w:pPr>
        <w:pStyle w:val="5"/>
        <w:rPr>
          <w:rFonts w:hint="eastAsia" w:ascii="仿宋_GB2312" w:hAnsi="仿宋_GB2312" w:eastAsia="仿宋_GB2312" w:cs="仿宋_GB2312"/>
          <w:color w:val="000000"/>
          <w:sz w:val="32"/>
          <w:szCs w:val="32"/>
        </w:rPr>
      </w:pPr>
    </w:p>
    <w:p>
      <w:pPr>
        <w:pStyle w:val="6"/>
        <w:jc w:val="center"/>
        <w:rPr>
          <w:rFonts w:hint="eastAsia" w:ascii="Times New Roman" w:hAnsi="Times New Roman" w:eastAsia="方正小标宋简体" w:cs="方正小标宋简体"/>
          <w:b w:val="0"/>
          <w:color w:val="auto"/>
          <w:highlight w:val="none"/>
        </w:rPr>
      </w:pPr>
      <w:bookmarkStart w:id="18" w:name="_Toc15377204"/>
      <w:bookmarkStart w:id="19"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8"/>
      <w:bookmarkEnd w:id="19"/>
    </w:p>
    <w:p>
      <w:pPr>
        <w:rPr>
          <w:rFonts w:ascii="Times New Roman" w:hAnsi="Times New Roman"/>
          <w:color w:val="auto"/>
          <w:highlight w:val="none"/>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2"/>
          <w:rFonts w:hint="eastAsia" w:ascii="Times New Roman" w:hAnsi="Times New Roman" w:eastAsia="黑体"/>
          <w:b w:val="0"/>
          <w:color w:val="auto"/>
          <w:highlight w:val="none"/>
        </w:rPr>
      </w:pPr>
      <w:bookmarkStart w:id="20" w:name="_Toc15377205"/>
      <w:bookmarkStart w:id="21"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20"/>
      <w:bookmarkEnd w:id="21"/>
    </w:p>
    <w:p>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2024年度收入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w:t>
      </w:r>
      <w:r>
        <w:rPr>
          <w:rFonts w:hint="eastAsia" w:ascii="仿宋_GB2312" w:hAnsi="仿宋_GB2312"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3081.82</w:t>
      </w:r>
      <w:r>
        <w:rPr>
          <w:rFonts w:hint="eastAsia" w:ascii="仿宋_GB2312" w:hAnsi="仿宋_GB2312" w:eastAsia="仿宋_GB2312" w:cs="仿宋_GB2312"/>
          <w:color w:val="auto"/>
          <w:sz w:val="32"/>
          <w:szCs w:val="32"/>
          <w:highlight w:val="none"/>
        </w:rPr>
        <w:t>万元。与</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度</w:t>
      </w:r>
      <w:r>
        <w:rPr>
          <w:rFonts w:hint="eastAsia" w:ascii="仿宋_GB2312" w:hAnsi="仿宋_GB2312" w:eastAsia="仿宋_GB2312" w:cs="仿宋_GB2312"/>
          <w:color w:val="auto"/>
          <w:sz w:val="32"/>
          <w:szCs w:val="32"/>
          <w:highlight w:val="none"/>
        </w:rPr>
        <w:t>相比，</w:t>
      </w:r>
      <w:r>
        <w:rPr>
          <w:rFonts w:hint="eastAsia" w:ascii="仿宋_GB2312" w:hAnsi="仿宋_GB2312" w:eastAsia="仿宋_GB2312" w:cs="仿宋_GB2312"/>
          <w:color w:val="auto"/>
          <w:sz w:val="32"/>
          <w:szCs w:val="32"/>
          <w:highlight w:val="none"/>
          <w:lang w:eastAsia="zh-CN"/>
        </w:rPr>
        <w:t>收入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支出</w:t>
      </w:r>
      <w:r>
        <w:rPr>
          <w:rFonts w:hint="eastAsia" w:ascii="仿宋_GB2312" w:hAnsi="仿宋_GB2312" w:eastAsia="仿宋_GB2312" w:cs="仿宋_GB2312"/>
          <w:color w:val="auto"/>
          <w:sz w:val="32"/>
          <w:szCs w:val="32"/>
          <w:highlight w:val="none"/>
        </w:rPr>
        <w:t>总计各增加</w:t>
      </w:r>
      <w:r>
        <w:rPr>
          <w:rFonts w:hint="eastAsia" w:ascii="仿宋_GB2312" w:hAnsi="仿宋_GB2312" w:eastAsia="仿宋_GB2312" w:cs="仿宋_GB2312"/>
          <w:color w:val="auto"/>
          <w:sz w:val="32"/>
          <w:szCs w:val="32"/>
          <w:highlight w:val="none"/>
          <w:lang w:val="en-US" w:eastAsia="zh-CN"/>
        </w:rPr>
        <w:t>1995.67</w:t>
      </w:r>
      <w:r>
        <w:rPr>
          <w:rFonts w:hint="eastAsia" w:ascii="仿宋_GB2312" w:hAnsi="仿宋_GB2312" w:eastAsia="仿宋_GB2312" w:cs="仿宋_GB2312"/>
          <w:color w:val="auto"/>
          <w:sz w:val="32"/>
          <w:szCs w:val="32"/>
          <w:highlight w:val="none"/>
        </w:rPr>
        <w:t>万元，增长</w:t>
      </w:r>
      <w:r>
        <w:rPr>
          <w:rFonts w:hint="eastAsia" w:ascii="仿宋_GB2312" w:hAnsi="仿宋_GB2312" w:eastAsia="仿宋_GB2312" w:cs="仿宋_GB2312"/>
          <w:color w:val="auto"/>
          <w:sz w:val="32"/>
          <w:szCs w:val="32"/>
          <w:highlight w:val="none"/>
          <w:lang w:val="en-US" w:eastAsia="zh-CN"/>
        </w:rPr>
        <w:t>183.74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财政拨款收入、其他收入以及项目支出增加。</w:t>
      </w:r>
    </w:p>
    <w:p>
      <w:pPr>
        <w:keepNext w:val="0"/>
        <w:keepLines w:val="0"/>
        <w:pageBreakBefore w:val="0"/>
        <w:widowControl w:val="0"/>
        <w:kinsoku/>
        <w:wordWrap/>
        <w:overflowPunct/>
        <w:topLinePunct w:val="0"/>
        <w:autoSpaceDE/>
        <w:autoSpaceDN/>
        <w:bidi w:val="0"/>
        <w:adjustRightInd/>
        <w:snapToGrid/>
        <w:ind w:left="640" w:hanging="640" w:hanging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adjustRightInd/>
        <w:snapToGrid/>
        <w:ind w:left="638" w:leftChars="304" w:firstLine="320" w:firstLineChars="1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96604"/>
      <w:bookmarkStart w:id="23" w:name="_Toc15377206"/>
    </w:p>
    <w:p>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二、收入决算情况说明</w:t>
      </w:r>
      <w:bookmarkEnd w:id="22"/>
      <w:bookmarkEnd w:id="23"/>
    </w:p>
    <w:p>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3081.82万元，其中：一般公共预算财政拨款收入2073.99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67.</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1007.84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32.7</w:t>
      </w:r>
      <w:r>
        <w:rPr>
          <w:rFonts w:hint="eastAsia" w:ascii="仿宋_GB2312" w:hAnsi="仿宋_GB2312" w:eastAsia="仿宋_GB2312" w:cs="仿宋_GB2312"/>
          <w:color w:val="auto"/>
          <w:sz w:val="32"/>
          <w:szCs w:val="32"/>
          <w:highlight w:val="none"/>
          <w:lang w:eastAsia="zh-CN"/>
        </w:rPr>
        <w:t>%。</w:t>
      </w:r>
    </w:p>
    <w:p>
      <w:pPr>
        <w:ind w:left="2240" w:hanging="2240" w:hangingChars="70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127625" cy="3400425"/>
            <wp:effectExtent l="4445" t="4445" r="11430" b="508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ind w:left="2235" w:leftChars="912" w:hanging="320" w:hangingChars="10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w:t>
      </w:r>
    </w:p>
    <w:p>
      <w:pPr>
        <w:ind w:firstLine="800" w:firstLineChars="250"/>
        <w:rPr>
          <w:rFonts w:hint="eastAsia" w:ascii="Times New Roman" w:hAnsi="Times New Roman" w:eastAsia="仿宋_GB2312" w:cs="仿宋_GB2312"/>
          <w:color w:val="auto"/>
          <w:sz w:val="32"/>
          <w:szCs w:val="32"/>
          <w:highlight w:val="none"/>
          <w:lang w:eastAsia="zh-CN"/>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outlineLvl w:val="1"/>
        <w:rPr>
          <w:rStyle w:val="32"/>
          <w:rFonts w:hint="eastAsia" w:ascii="Times New Roman" w:hAnsi="Times New Roman" w:eastAsia="黑体"/>
          <w:b w:val="0"/>
          <w:color w:val="auto"/>
          <w:highlight w:val="none"/>
        </w:rPr>
      </w:pPr>
      <w:bookmarkStart w:id="24" w:name="_Toc15396605"/>
      <w:bookmarkStart w:id="25"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24"/>
      <w:bookmarkEnd w:id="25"/>
    </w:p>
    <w:p>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3081.82</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436.21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14.1</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2645.61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85.8</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pPr>
        <w:ind w:left="1280" w:hanging="1280" w:hangingChars="400"/>
        <w:jc w:val="cente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ind w:left="1280" w:hanging="1280" w:hangingChars="400"/>
        <w:jc w:val="cente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w:t>
      </w:r>
    </w:p>
    <w:p>
      <w:pPr>
        <w:ind w:firstLine="800" w:firstLineChars="250"/>
        <w:rPr>
          <w:rFonts w:hint="eastAsia" w:ascii="Times New Roman" w:hAnsi="Times New Roman" w:eastAsia="仿宋_GB2312" w:cs="仿宋_GB2312"/>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2"/>
          <w:rFonts w:ascii="Times New Roman" w:hAnsi="Times New Roman" w:eastAsia="黑体"/>
          <w:b w:val="0"/>
          <w:color w:val="auto"/>
          <w:highlight w:val="none"/>
        </w:rPr>
      </w:pPr>
      <w:bookmarkStart w:id="26" w:name="_Toc15396606"/>
      <w:bookmarkStart w:id="27" w:name="_Toc15377208"/>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26"/>
      <w:bookmarkEnd w:id="2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2073.99</w:t>
      </w:r>
      <w:r>
        <w:rPr>
          <w:rFonts w:hint="eastAsia" w:ascii="仿宋_GB2312" w:hAnsi="仿宋_GB2312" w:eastAsia="仿宋_GB2312" w:cs="仿宋_GB2312"/>
          <w:color w:val="auto"/>
          <w:kern w:val="2"/>
          <w:sz w:val="32"/>
          <w:szCs w:val="32"/>
          <w:highlight w:val="none"/>
          <w:lang w:val="en-US" w:eastAsia="zh-CN" w:bidi="ar-SA"/>
        </w:rPr>
        <w:t>万元。与2023年度相比，财政拨款收入总计、支出总计各增加1222.27万元，增长143.5%。主要变动原因是项目支出占比大。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pPr>
        <w:pStyle w:val="21"/>
        <w:rPr>
          <w:rFonts w:hint="eastAsia" w:ascii="Times New Roman" w:hAnsi="Times New Roman" w:eastAsia="仿宋_GB2312" w:cs="仿宋_GB2312"/>
          <w:color w:val="auto"/>
          <w:kern w:val="2"/>
          <w:sz w:val="32"/>
          <w:szCs w:val="32"/>
          <w:highlight w:val="none"/>
          <w:lang w:val="en-US" w:eastAsia="zh-CN" w:bidi="ar-SA"/>
        </w:rPr>
      </w:pPr>
    </w:p>
    <w:p>
      <w:pPr>
        <w:pStyle w:val="21"/>
        <w:rPr>
          <w:rFonts w:hint="eastAsia" w:ascii="Times New Roman" w:hAnsi="Times New Roman" w:eastAsia="仿宋_GB2312" w:cs="仿宋_GB2312"/>
          <w:color w:val="auto"/>
          <w:kern w:val="2"/>
          <w:sz w:val="32"/>
          <w:szCs w:val="32"/>
          <w:highlight w:val="none"/>
          <w:lang w:val="en-US" w:eastAsia="zh-CN" w:bidi="ar-SA"/>
        </w:rPr>
      </w:pPr>
    </w:p>
    <w:p>
      <w:pPr>
        <w:pStyle w:val="21"/>
        <w:rPr>
          <w:rFonts w:hint="eastAsia" w:ascii="Times New Roman" w:hAnsi="Times New Roman" w:eastAsia="仿宋_GB2312" w:cs="仿宋_GB2312"/>
          <w:color w:val="auto"/>
          <w:kern w:val="2"/>
          <w:sz w:val="32"/>
          <w:szCs w:val="32"/>
          <w:highlight w:val="none"/>
          <w:lang w:val="en-US" w:eastAsia="zh-CN" w:bidi="ar-SA"/>
        </w:rPr>
      </w:pPr>
    </w:p>
    <w:p>
      <w:pPr>
        <w:pStyle w:val="21"/>
        <w:rPr>
          <w:rFonts w:hint="eastAsia" w:ascii="Times New Roman" w:hAnsi="Times New Roman" w:eastAsia="仿宋_GB2312" w:cs="仿宋_GB2312"/>
          <w:color w:val="auto"/>
          <w:kern w:val="2"/>
          <w:sz w:val="32"/>
          <w:szCs w:val="32"/>
          <w:highlight w:val="none"/>
          <w:lang w:val="en-US" w:eastAsia="zh-CN" w:bidi="ar-SA"/>
        </w:rPr>
      </w:pPr>
    </w:p>
    <w:p>
      <w:pPr>
        <w:pStyle w:val="21"/>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5080000" cy="3810000"/>
            <wp:effectExtent l="4445" t="4445" r="20955" b="1460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960" w:firstLineChars="3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2"/>
          <w:rFonts w:ascii="Times New Roman" w:hAnsi="Times New Roman" w:eastAsia="黑体"/>
          <w:b w:val="0"/>
          <w:color w:val="auto"/>
          <w:highlight w:val="none"/>
        </w:rPr>
      </w:pPr>
      <w:bookmarkStart w:id="28" w:name="_Toc15377209"/>
      <w:bookmarkStart w:id="29"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28"/>
      <w:bookmarkEnd w:id="29"/>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b/>
          <w:color w:val="000000"/>
          <w:sz w:val="32"/>
          <w:szCs w:val="32"/>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2073.99</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67.</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w:t>
      </w:r>
      <w:r>
        <w:rPr>
          <w:rFonts w:hint="eastAsia" w:eastAsia="仿宋_GB2312" w:cs="仿宋_GB2312"/>
          <w:color w:val="auto"/>
          <w:kern w:val="2"/>
          <w:sz w:val="32"/>
          <w:szCs w:val="32"/>
          <w:highlight w:val="none"/>
          <w:lang w:val="en-US" w:eastAsia="zh-CN" w:bidi="ar-SA"/>
        </w:rPr>
        <w:t>1222.27</w:t>
      </w:r>
      <w:r>
        <w:rPr>
          <w:rFonts w:hint="eastAsia" w:ascii="仿宋_GB2312" w:hAnsi="仿宋_GB2312"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143.5</w:t>
      </w:r>
      <w:r>
        <w:rPr>
          <w:rFonts w:hint="eastAsia" w:ascii="仿宋_GB2312" w:hAnsi="仿宋_GB2312" w:eastAsia="仿宋_GB2312" w:cs="仿宋_GB2312"/>
          <w:color w:val="auto"/>
          <w:kern w:val="2"/>
          <w:sz w:val="32"/>
          <w:szCs w:val="32"/>
          <w:highlight w:val="none"/>
          <w:lang w:val="en-US" w:eastAsia="zh-CN" w:bidi="ar-SA"/>
        </w:rPr>
        <w:t>%。主要变动原因是项目支出占比大。</w:t>
      </w:r>
    </w:p>
    <w:p>
      <w:pPr>
        <w:spacing w:line="600" w:lineRule="exact"/>
        <w:ind w:firstLine="640"/>
        <w:rPr>
          <w:rFonts w:ascii="仿宋_GB2312" w:hAnsi="仿宋" w:eastAsia="仿宋_GB2312"/>
          <w:b/>
          <w:color w:val="000000"/>
          <w:sz w:val="32"/>
          <w:szCs w:val="32"/>
        </w:rPr>
      </w:pPr>
    </w:p>
    <w:p>
      <w:pPr>
        <w:pStyle w:val="21"/>
        <w:rPr>
          <w:rFonts w:ascii="仿宋_GB2312" w:hAnsi="仿宋" w:eastAsia="仿宋_GB2312"/>
          <w:b/>
          <w:color w:val="000000"/>
          <w:sz w:val="32"/>
          <w:szCs w:val="32"/>
        </w:rPr>
      </w:pPr>
      <w:r>
        <w:rPr>
          <w:rFonts w:ascii="仿宋_GB2312" w:hAnsi="仿宋" w:eastAsia="仿宋_GB2312"/>
          <w:b/>
          <w:color w:val="000000"/>
          <w:sz w:val="32"/>
          <w:szCs w:val="32"/>
        </w:rPr>
        <w:drawing>
          <wp:inline distT="0" distB="0" distL="114300" distR="114300">
            <wp:extent cx="5080000" cy="3810000"/>
            <wp:effectExtent l="4445" t="4445" r="20955" b="1460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320" w:firstLineChars="1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1"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2073.99</w:t>
      </w:r>
      <w:r>
        <w:rPr>
          <w:rFonts w:hint="eastAsia" w:ascii="仿宋_GB2312" w:hAnsi="仿宋_GB2312" w:eastAsia="仿宋_GB2312" w:cs="仿宋_GB2312"/>
          <w:color w:val="auto"/>
          <w:kern w:val="2"/>
          <w:sz w:val="32"/>
          <w:szCs w:val="32"/>
          <w:highlight w:val="none"/>
          <w:lang w:val="en-US" w:eastAsia="zh-CN" w:bidi="ar-SA"/>
        </w:rPr>
        <w:t>万元，主要用于以下方面：社会保障和就业支出47.07万元，占2.3%；卫生健康支出17.87万元，占0.9%；</w:t>
      </w:r>
      <w:r>
        <w:rPr>
          <w:rFonts w:hint="eastAsia" w:ascii="仿宋_GB2312" w:hAnsi="仿宋_GB2312" w:eastAsia="仿宋_GB2312" w:cs="仿宋_GB2312"/>
          <w:color w:val="000000"/>
          <w:sz w:val="32"/>
          <w:u w:color="auto"/>
        </w:rPr>
        <w:t>节能环保支出</w:t>
      </w:r>
      <w:r>
        <w:rPr>
          <w:rFonts w:hint="eastAsia" w:ascii="仿宋_GB2312" w:hAnsi="仿宋_GB2312" w:eastAsia="仿宋_GB2312" w:cs="仿宋_GB2312"/>
          <w:color w:val="000000"/>
          <w:sz w:val="32"/>
          <w:u w:color="auto"/>
          <w:lang w:val="en-US" w:eastAsia="zh-CN"/>
        </w:rPr>
        <w:t>1984.52</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95.7</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auto"/>
          <w:kern w:val="2"/>
          <w:sz w:val="32"/>
          <w:szCs w:val="32"/>
          <w:highlight w:val="none"/>
          <w:lang w:val="en-US" w:eastAsia="zh-CN" w:bidi="ar-SA"/>
        </w:rPr>
        <w:t>住房保障支出24.53万元，占1.2%。</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p>
    <w:p>
      <w:pPr>
        <w:pStyle w:val="21"/>
        <w:rPr>
          <w:rFonts w:hint="eastAsia" w:ascii="Times New Roman" w:hAnsi="Times New Roman" w:eastAsia="仿宋_GB2312" w:cs="仿宋_GB2312"/>
          <w:color w:val="auto"/>
          <w:kern w:val="2"/>
          <w:sz w:val="32"/>
          <w:szCs w:val="32"/>
          <w:highlight w:val="none"/>
          <w:lang w:val="en-US" w:eastAsia="zh-CN" w:bidi="ar-SA"/>
        </w:rPr>
      </w:pPr>
    </w:p>
    <w:p>
      <w:pPr>
        <w:pStyle w:val="21"/>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5080000" cy="3810000"/>
            <wp:effectExtent l="4445" t="4445" r="20955" b="146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2"/>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3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bookmarkStart w:id="33" w:name="_Toc15378460"/>
      <w:bookmarkStart w:id="34" w:name="_Toc15377213"/>
      <w:bookmarkStart w:id="35" w:name="_Toc15377444"/>
      <w:r>
        <w:rPr>
          <w:rFonts w:hint="eastAsia" w:ascii="仿宋_GB2312" w:hAnsi="仿宋_GB2312"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2073.99</w:t>
      </w:r>
      <w:r>
        <w:rPr>
          <w:rFonts w:hint="eastAsia" w:ascii="仿宋_GB2312" w:hAnsi="仿宋_GB2312" w:eastAsia="仿宋_GB2312" w:cs="仿宋_GB2312"/>
          <w:color w:val="auto"/>
          <w:kern w:val="2"/>
          <w:sz w:val="32"/>
          <w:szCs w:val="32"/>
          <w:highlight w:val="none"/>
          <w:lang w:val="en-US" w:eastAsia="zh-CN" w:bidi="ar-SA"/>
        </w:rPr>
        <w:t>，完成预算100%。其中：</w:t>
      </w:r>
      <w:bookmarkEnd w:id="33"/>
      <w:bookmarkEnd w:id="34"/>
      <w:bookmarkEnd w:id="35"/>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1.社会保障和就业（208）</w:t>
      </w:r>
      <w:r>
        <w:rPr>
          <w:rFonts w:hint="eastAsia" w:ascii="仿宋_GB2312" w:hAnsi="仿宋_GB2312" w:eastAsia="仿宋_GB2312" w:cs="仿宋_GB2312"/>
          <w:color w:val="000000"/>
          <w:sz w:val="32"/>
          <w:szCs w:val="32"/>
        </w:rPr>
        <w:t>行政事业单位养老支出（20805）机关事业单位基本养老保险缴费支出（2080505）</w:t>
      </w:r>
      <w:r>
        <w:rPr>
          <w:rFonts w:hint="eastAsia" w:ascii="仿宋_GB2312" w:hAnsi="仿宋_GB2312" w:eastAsia="仿宋_GB2312" w:cs="仿宋_GB2312"/>
          <w:color w:val="auto"/>
          <w:kern w:val="2"/>
          <w:sz w:val="32"/>
          <w:szCs w:val="32"/>
          <w:highlight w:val="none"/>
          <w:lang w:val="en-US" w:eastAsia="zh-CN" w:bidi="ar-SA"/>
        </w:rPr>
        <w:t>：支出决算为32.15万元，完成预算100%。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w:t>
      </w:r>
      <w:r>
        <w:rPr>
          <w:rFonts w:hint="eastAsia" w:ascii="仿宋_GB2312" w:hAnsi="仿宋_GB2312" w:eastAsia="仿宋_GB2312" w:cs="仿宋_GB2312"/>
          <w:color w:val="000000"/>
          <w:sz w:val="32"/>
          <w:szCs w:val="32"/>
        </w:rPr>
        <w:t>社会保障和就业支出（208）行政事业单位养老支出（20805）机关事业单位职业年金缴费支出（2080506）</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kern w:val="2"/>
          <w:sz w:val="32"/>
          <w:szCs w:val="32"/>
          <w:highlight w:val="none"/>
          <w:lang w:val="en-US" w:eastAsia="zh-CN" w:bidi="ar-SA"/>
        </w:rPr>
        <w:t>支出决算为14.92万元，完成预算100%。</w:t>
      </w:r>
    </w:p>
    <w:p>
      <w:pPr>
        <w:pStyle w:val="21"/>
        <w:keepNext w:val="0"/>
        <w:keepLines w:val="0"/>
        <w:pageBreakBefore w:val="0"/>
        <w:widowControl w:val="0"/>
        <w:kinsoku/>
        <w:wordWrap/>
        <w:overflowPunct/>
        <w:topLinePunct w:val="0"/>
        <w:autoSpaceDE/>
        <w:autoSpaceDN/>
        <w:bidi w:val="0"/>
        <w:adjustRightInd/>
        <w:snapToGrid/>
        <w:spacing w:after="0"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3.卫生健康支出（210）行政事业单位医疗（21011）行政单位医疗（2101101）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为14.46</w:t>
      </w:r>
      <w:r>
        <w:rPr>
          <w:rFonts w:hint="eastAsia" w:ascii="仿宋_GB2312" w:hAnsi="仿宋_GB2312" w:eastAsia="仿宋_GB2312" w:cs="仿宋_GB2312"/>
          <w:color w:val="000000"/>
          <w:sz w:val="32"/>
          <w:szCs w:val="32"/>
        </w:rPr>
        <w:t>万元，完成预算100%。</w:t>
      </w:r>
    </w:p>
    <w:p>
      <w:pPr>
        <w:pStyle w:val="21"/>
        <w:keepNext w:val="0"/>
        <w:keepLines w:val="0"/>
        <w:pageBreakBefore w:val="0"/>
        <w:widowControl w:val="0"/>
        <w:kinsoku/>
        <w:wordWrap/>
        <w:overflowPunct/>
        <w:topLinePunct w:val="0"/>
        <w:autoSpaceDE/>
        <w:autoSpaceDN/>
        <w:bidi w:val="0"/>
        <w:adjustRightInd/>
        <w:snapToGrid/>
        <w:spacing w:after="0" w:line="576"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4.卫生健康支出（210）行政事业单位医疗（21011）公务员医疗补助（2101103）</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为3.41</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5.节能环保支出（211）环境保护管理事务（21101）行政运行（2110101）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为208.06</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6.节能环保支出（211）环境保护管理事务（21101）</w:t>
      </w:r>
      <w:r>
        <w:rPr>
          <w:rFonts w:hint="eastAsia" w:ascii="仿宋_GB2312" w:hAnsi="仿宋_GB2312" w:eastAsia="仿宋_GB2312" w:cs="仿宋_GB2312"/>
          <w:color w:val="000000"/>
          <w:sz w:val="32"/>
          <w:szCs w:val="32"/>
          <w:lang w:val="en-US" w:eastAsia="zh-CN"/>
        </w:rPr>
        <w:t>其他环境保护管理事务</w:t>
      </w:r>
      <w:r>
        <w:rPr>
          <w:rFonts w:hint="eastAsia" w:ascii="仿宋_GB2312" w:hAnsi="仿宋_GB2312" w:eastAsia="仿宋_GB2312" w:cs="仿宋_GB2312"/>
          <w:color w:val="000000"/>
          <w:sz w:val="32"/>
          <w:szCs w:val="32"/>
        </w:rPr>
        <w:t>（21101</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为18.19</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7.节能环保支出（211）</w:t>
      </w:r>
      <w:r>
        <w:rPr>
          <w:rFonts w:hint="eastAsia" w:ascii="仿宋_GB2312" w:hAnsi="仿宋_GB2312" w:eastAsia="仿宋_GB2312" w:cs="仿宋_GB2312"/>
          <w:color w:val="000000"/>
          <w:sz w:val="32"/>
          <w:szCs w:val="32"/>
          <w:lang w:val="en-US" w:eastAsia="zh-CN"/>
        </w:rPr>
        <w:t>污染防治</w:t>
      </w:r>
      <w:r>
        <w:rPr>
          <w:rFonts w:hint="eastAsia" w:ascii="仿宋_GB2312" w:hAnsi="仿宋_GB2312" w:eastAsia="仿宋_GB2312" w:cs="仿宋_GB2312"/>
          <w:color w:val="000000"/>
          <w:sz w:val="32"/>
          <w:szCs w:val="32"/>
        </w:rPr>
        <w:t>（2110</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大气</w:t>
      </w:r>
      <w:r>
        <w:rPr>
          <w:rFonts w:hint="eastAsia" w:ascii="仿宋_GB2312" w:hAnsi="仿宋_GB2312" w:eastAsia="仿宋_GB2312" w:cs="仿宋_GB2312"/>
          <w:color w:val="000000"/>
          <w:sz w:val="32"/>
          <w:szCs w:val="32"/>
        </w:rPr>
        <w:t>（2110</w:t>
      </w:r>
      <w:r>
        <w:rPr>
          <w:rFonts w:hint="eastAsia" w:ascii="仿宋_GB2312" w:hAnsi="仿宋_GB2312" w:eastAsia="仿宋_GB2312" w:cs="仿宋_GB2312"/>
          <w:color w:val="000000"/>
          <w:sz w:val="32"/>
          <w:szCs w:val="32"/>
          <w:lang w:val="en-US" w:eastAsia="zh-CN"/>
        </w:rPr>
        <w:t>301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为22.5</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.节能环保支出（211）</w:t>
      </w:r>
      <w:r>
        <w:rPr>
          <w:rFonts w:hint="eastAsia" w:ascii="仿宋_GB2312" w:hAnsi="仿宋_GB2312" w:eastAsia="仿宋_GB2312" w:cs="仿宋_GB2312"/>
          <w:color w:val="000000"/>
          <w:sz w:val="32"/>
          <w:szCs w:val="32"/>
          <w:lang w:val="en-US" w:eastAsia="zh-CN"/>
        </w:rPr>
        <w:t>自然生态保护</w:t>
      </w:r>
      <w:r>
        <w:rPr>
          <w:rFonts w:hint="eastAsia" w:ascii="仿宋_GB2312" w:hAnsi="仿宋_GB2312" w:eastAsia="仿宋_GB2312" w:cs="仿宋_GB2312"/>
          <w:color w:val="000000"/>
          <w:sz w:val="32"/>
          <w:szCs w:val="32"/>
        </w:rPr>
        <w:t>（2110</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生态保护</w:t>
      </w:r>
      <w:r>
        <w:rPr>
          <w:rFonts w:hint="eastAsia" w:ascii="仿宋_GB2312" w:hAnsi="仿宋_GB2312" w:eastAsia="仿宋_GB2312" w:cs="仿宋_GB2312"/>
          <w:color w:val="000000"/>
          <w:sz w:val="32"/>
          <w:szCs w:val="32"/>
        </w:rPr>
        <w:t>（211</w:t>
      </w:r>
      <w:r>
        <w:rPr>
          <w:rFonts w:hint="eastAsia" w:ascii="仿宋_GB2312" w:hAnsi="仿宋_GB2312" w:eastAsia="仿宋_GB2312" w:cs="仿宋_GB2312"/>
          <w:color w:val="000000"/>
          <w:sz w:val="32"/>
          <w:szCs w:val="32"/>
          <w:lang w:val="en-US" w:eastAsia="zh-CN"/>
        </w:rPr>
        <w:t>0401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为1735.77</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000000"/>
          <w:sz w:val="32"/>
          <w:szCs w:val="32"/>
        </w:rPr>
        <w:t>9.住房保障支出（221）住房改革支出（22102）住房公积金（2210201）支出决算</w:t>
      </w:r>
      <w:r>
        <w:rPr>
          <w:rFonts w:hint="eastAsia" w:ascii="仿宋_GB2312" w:hAnsi="仿宋_GB2312" w:eastAsia="仿宋_GB2312" w:cs="仿宋_GB2312"/>
          <w:color w:val="000000"/>
          <w:sz w:val="32"/>
          <w:szCs w:val="32"/>
          <w:lang w:val="en-US" w:eastAsia="zh-CN"/>
        </w:rPr>
        <w:t>24.53</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firstLineChars="200"/>
        <w:outlineLvl w:val="1"/>
        <w:rPr>
          <w:rFonts w:hint="eastAsia" w:ascii="Times New Roman" w:hAnsi="Times New Roman" w:eastAsia="黑体"/>
          <w:color w:val="auto"/>
          <w:sz w:val="32"/>
          <w:szCs w:val="32"/>
          <w:highlight w:val="none"/>
        </w:rPr>
      </w:pPr>
      <w:bookmarkStart w:id="36" w:name="_Toc15396608"/>
      <w:bookmarkStart w:id="37" w:name="_Toc15377214"/>
    </w:p>
    <w:p>
      <w:pPr>
        <w:keepNext w:val="0"/>
        <w:keepLines w:val="0"/>
        <w:pageBreakBefore w:val="0"/>
        <w:widowControl w:val="0"/>
        <w:tabs>
          <w:tab w:val="right" w:pos="8306"/>
        </w:tabs>
        <w:kinsoku/>
        <w:wordWrap/>
        <w:overflowPunct/>
        <w:topLinePunct w:val="0"/>
        <w:autoSpaceDE/>
        <w:autoSpaceDN/>
        <w:bidi w:val="0"/>
        <w:adjustRightInd/>
        <w:snapToGrid/>
        <w:spacing w:line="576" w:lineRule="exact"/>
        <w:ind w:leftChars="0" w:firstLine="640" w:firstLineChars="200"/>
        <w:outlineLvl w:val="1"/>
        <w:rPr>
          <w:rStyle w:val="32"/>
          <w:rFonts w:ascii="Times New Roman" w:hAnsi="Times New Roman"/>
          <w:color w:val="auto"/>
          <w:highlight w:val="none"/>
        </w:rPr>
      </w:pPr>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36"/>
      <w:bookmarkEnd w:id="37"/>
      <w:r>
        <w:rPr>
          <w:rStyle w:val="32"/>
          <w:rFonts w:ascii="Times New Roman" w:hAnsi="Times New Roman" w:eastAsia="黑体"/>
          <w:b w:val="0"/>
          <w:color w:val="auto"/>
          <w:highlight w:val="none"/>
        </w:rPr>
        <w:tab/>
      </w:r>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297.52</w:t>
      </w:r>
      <w:r>
        <w:rPr>
          <w:rFonts w:hint="eastAsia" w:ascii="仿宋_GB2312" w:hAnsi="仿宋_GB2312" w:eastAsia="仿宋_GB2312" w:cs="仿宋_GB2312"/>
          <w:color w:val="auto"/>
          <w:kern w:val="2"/>
          <w:sz w:val="32"/>
          <w:szCs w:val="32"/>
          <w:highlight w:val="none"/>
          <w:lang w:val="en-US" w:eastAsia="zh-CN" w:bidi="ar-SA"/>
        </w:rPr>
        <w:t>万元，其中：</w:t>
      </w:r>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244.12</w:t>
      </w:r>
      <w:r>
        <w:rPr>
          <w:rFonts w:hint="eastAsia" w:ascii="仿宋_GB2312" w:hAnsi="仿宋_GB2312" w:eastAsia="仿宋_GB2312" w:cs="仿宋_GB2312"/>
          <w:color w:val="auto"/>
          <w:kern w:val="2"/>
          <w:sz w:val="32"/>
          <w:szCs w:val="32"/>
          <w:highlight w:val="none"/>
          <w:lang w:val="en-US" w:eastAsia="zh-CN" w:bidi="ar-SA"/>
        </w:rPr>
        <w:t>万元，主要包括：基本工资、津贴补贴、奖金、伙食补助费、机关事业单位基本养老保险缴费、职业年金缴费、</w:t>
      </w:r>
      <w:r>
        <w:rPr>
          <w:rFonts w:hint="eastAsia" w:ascii="仿宋_GB2312" w:hAnsi="仿宋_GB2312" w:eastAsia="仿宋_GB2312" w:cs="仿宋_GB2312"/>
          <w:color w:val="000000"/>
          <w:sz w:val="32"/>
          <w:szCs w:val="32"/>
          <w:u w:color="auto"/>
        </w:rPr>
        <w:t>职工基本医疗保险缴费</w:t>
      </w:r>
      <w:r>
        <w:rPr>
          <w:rFonts w:hint="eastAsia" w:ascii="仿宋_GB2312" w:hAnsi="仿宋_GB2312" w:eastAsia="仿宋_GB2312" w:cs="仿宋_GB2312"/>
          <w:color w:val="000000"/>
          <w:sz w:val="32"/>
          <w:szCs w:val="32"/>
          <w:u w:color="auto"/>
          <w:lang w:eastAsia="zh-CN"/>
        </w:rPr>
        <w:t>、</w:t>
      </w:r>
      <w:r>
        <w:rPr>
          <w:rFonts w:hint="eastAsia" w:ascii="仿宋_GB2312" w:hAnsi="仿宋_GB2312" w:eastAsia="仿宋_GB2312" w:cs="仿宋_GB2312"/>
          <w:color w:val="000000"/>
          <w:sz w:val="32"/>
          <w:szCs w:val="32"/>
          <w:u w:color="auto"/>
        </w:rPr>
        <w:t>公务员医疗补助缴费</w:t>
      </w:r>
      <w:r>
        <w:rPr>
          <w:rFonts w:hint="eastAsia" w:ascii="仿宋_GB2312" w:hAnsi="仿宋_GB2312" w:eastAsia="仿宋_GB2312" w:cs="仿宋_GB2312"/>
          <w:color w:val="000000"/>
          <w:sz w:val="32"/>
          <w:szCs w:val="32"/>
          <w:u w:color="auto"/>
          <w:lang w:eastAsia="zh-CN"/>
        </w:rPr>
        <w:t>、</w:t>
      </w:r>
      <w:r>
        <w:rPr>
          <w:rFonts w:hint="eastAsia" w:ascii="仿宋_GB2312" w:hAnsi="仿宋_GB2312" w:eastAsia="仿宋_GB2312" w:cs="仿宋_GB2312"/>
          <w:color w:val="auto"/>
          <w:kern w:val="2"/>
          <w:sz w:val="32"/>
          <w:szCs w:val="32"/>
          <w:highlight w:val="none"/>
          <w:lang w:val="en-US" w:eastAsia="zh-CN" w:bidi="ar-SA"/>
        </w:rPr>
        <w:t>其他社会保障缴费、住房公积金、其他工资福利支出、对个人和家庭的补助、奖励金。</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53.41</w:t>
      </w:r>
      <w:r>
        <w:rPr>
          <w:rFonts w:hint="eastAsia" w:ascii="仿宋_GB2312" w:hAnsi="仿宋_GB2312" w:eastAsia="仿宋_GB2312" w:cs="仿宋_GB2312"/>
          <w:color w:val="auto"/>
          <w:kern w:val="2"/>
          <w:sz w:val="32"/>
          <w:szCs w:val="32"/>
          <w:highlight w:val="none"/>
          <w:lang w:val="en-US" w:eastAsia="zh-CN" w:bidi="ar-SA"/>
        </w:rPr>
        <w:t>万元，主要包括：办公费、水费、邮电费、差旅费、维修（护）费、培训费、公务接待费、劳务费、福利费、公务用车运行维护费、其他交通费、其他商品和服务支出。</w:t>
      </w:r>
    </w:p>
    <w:p>
      <w:pPr>
        <w:pStyle w:val="2"/>
        <w:keepNext w:val="0"/>
        <w:keepLines w:val="0"/>
        <w:pageBreakBefore w:val="0"/>
        <w:widowControl w:val="0"/>
        <w:kinsoku/>
        <w:wordWrap/>
        <w:overflowPunct/>
        <w:topLinePunct w:val="0"/>
        <w:autoSpaceDE/>
        <w:autoSpaceDN/>
        <w:bidi w:val="0"/>
        <w:adjustRightInd/>
        <w:snapToGrid/>
        <w:spacing w:after="0" w:line="576" w:lineRule="exact"/>
        <w:ind w:leftChars="0" w:firstLine="640" w:firstLineChars="200"/>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outlineLvl w:val="1"/>
        <w:rPr>
          <w:rStyle w:val="32"/>
          <w:rFonts w:ascii="Times New Roman" w:hAnsi="Times New Roman" w:eastAsia="黑体"/>
          <w:b w:val="0"/>
          <w:color w:val="auto"/>
          <w:highlight w:val="none"/>
        </w:rPr>
      </w:pPr>
      <w:bookmarkStart w:id="38" w:name="_Toc15377215"/>
      <w:bookmarkStart w:id="39" w:name="_Toc15396609"/>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38"/>
      <w:bookmarkEnd w:id="39"/>
    </w:p>
    <w:p>
      <w:pPr>
        <w:keepNext w:val="0"/>
        <w:keepLines w:val="0"/>
        <w:pageBreakBefore w:val="0"/>
        <w:widowControl w:val="0"/>
        <w:kinsoku/>
        <w:wordWrap/>
        <w:overflowPunct/>
        <w:topLinePunct w:val="0"/>
        <w:autoSpaceDE/>
        <w:autoSpaceDN/>
        <w:bidi w:val="0"/>
        <w:adjustRightInd/>
        <w:snapToGrid/>
        <w:spacing w:line="576" w:lineRule="exact"/>
        <w:ind w:leftChars="0" w:firstLine="643" w:firstLineChars="200"/>
        <w:outlineLvl w:val="2"/>
        <w:rPr>
          <w:rFonts w:hint="eastAsia" w:ascii="Times New Roman" w:hAnsi="Times New Roman" w:eastAsia="楷体_GB2312" w:cs="楷体_GB2312"/>
          <w:b/>
          <w:color w:val="auto"/>
          <w:sz w:val="32"/>
          <w:szCs w:val="32"/>
          <w:highlight w:val="none"/>
        </w:rPr>
      </w:pPr>
      <w:bookmarkStart w:id="40"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0"/>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19.62</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%，较上年度增加7.15万元，增长57.3%。</w:t>
      </w:r>
    </w:p>
    <w:p>
      <w:pPr>
        <w:keepNext w:val="0"/>
        <w:keepLines w:val="0"/>
        <w:pageBreakBefore w:val="0"/>
        <w:widowControl w:val="0"/>
        <w:kinsoku/>
        <w:wordWrap/>
        <w:overflowPunct/>
        <w:topLinePunct w:val="0"/>
        <w:autoSpaceDE/>
        <w:autoSpaceDN/>
        <w:bidi w:val="0"/>
        <w:adjustRightInd/>
        <w:snapToGrid/>
        <w:spacing w:line="576" w:lineRule="exact"/>
        <w:ind w:leftChars="0" w:firstLine="643" w:firstLineChars="200"/>
        <w:outlineLvl w:val="2"/>
        <w:rPr>
          <w:rFonts w:hint="eastAsia" w:ascii="Times New Roman" w:hAnsi="Times New Roman" w:eastAsia="楷体_GB2312" w:cs="楷体_GB2312"/>
          <w:b/>
          <w:color w:val="auto"/>
          <w:sz w:val="32"/>
          <w:szCs w:val="32"/>
          <w:highlight w:val="none"/>
        </w:rPr>
      </w:pPr>
      <w:bookmarkStart w:id="41"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1"/>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18.72</w:t>
      </w:r>
      <w:r>
        <w:rPr>
          <w:rFonts w:hint="eastAsia" w:ascii="仿宋_GB2312" w:hAnsi="仿宋_GB2312" w:eastAsia="仿宋_GB2312" w:cs="仿宋_GB2312"/>
          <w:color w:val="auto"/>
          <w:kern w:val="2"/>
          <w:sz w:val="32"/>
          <w:szCs w:val="32"/>
          <w:highlight w:val="none"/>
          <w:lang w:val="en-US" w:eastAsia="zh-CN" w:bidi="ar-SA"/>
        </w:rPr>
        <w:t>万元，占95.41%；公务接待费支出决算</w:t>
      </w:r>
      <w:r>
        <w:rPr>
          <w:rFonts w:hint="eastAsia" w:ascii="仿宋_GB2312" w:hAnsi="仿宋_GB2312" w:eastAsia="仿宋_GB2312" w:cs="仿宋_GB2312"/>
          <w:sz w:val="32"/>
          <w:szCs w:val="32"/>
        </w:rPr>
        <w:t>0.9</w:t>
      </w:r>
      <w:r>
        <w:rPr>
          <w:rFonts w:hint="eastAsia" w:ascii="仿宋_GB2312" w:hAnsi="仿宋_GB2312" w:eastAsia="仿宋_GB2312" w:cs="仿宋_GB2312"/>
          <w:color w:val="auto"/>
          <w:kern w:val="2"/>
          <w:sz w:val="32"/>
          <w:szCs w:val="32"/>
          <w:highlight w:val="none"/>
          <w:lang w:val="en-US" w:eastAsia="zh-CN" w:bidi="ar-SA"/>
        </w:rPr>
        <w:t>万元，占4.59%。具体情况如下：</w:t>
      </w:r>
    </w:p>
    <w:p>
      <w:pPr>
        <w:pStyle w:val="21"/>
        <w:keepNext w:val="0"/>
        <w:keepLines w:val="0"/>
        <w:pageBreakBefore w:val="0"/>
        <w:widowControl w:val="0"/>
        <w:kinsoku/>
        <w:wordWrap/>
        <w:overflowPunct/>
        <w:topLinePunct w:val="0"/>
        <w:autoSpaceDE/>
        <w:autoSpaceDN/>
        <w:bidi w:val="0"/>
        <w:adjustRightInd/>
        <w:snapToGrid/>
        <w:spacing w:after="0" w:line="576" w:lineRule="exact"/>
        <w:ind w:leftChars="0" w:firstLine="640" w:firstLineChars="200"/>
        <w:rPr>
          <w:rFonts w:hint="eastAsia"/>
          <w:sz w:val="32"/>
          <w:szCs w:val="32"/>
          <w:lang w:val="en-US" w:eastAsia="zh-CN"/>
        </w:rPr>
      </w:pPr>
    </w:p>
    <w:p>
      <w:pPr>
        <w:pStyle w:val="21"/>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 w:eastAsia="仿宋_GB2312"/>
          <w:color w:val="000000"/>
          <w:sz w:val="32"/>
          <w:szCs w:val="32"/>
          <w:lang w:val="en-US" w:eastAsia="zh-CN"/>
        </w:rPr>
        <w:t xml:space="preserve">    </w:t>
      </w:r>
      <w:r>
        <w:rPr>
          <w:rFonts w:ascii="仿宋_GB2312" w:hAnsi="仿宋" w:eastAsia="仿宋_GB2312"/>
          <w:color w:val="000000"/>
          <w:sz w:val="32"/>
          <w:szCs w:val="32"/>
        </w:rPr>
        <w:drawing>
          <wp:inline distT="0" distB="0" distL="114300" distR="114300">
            <wp:extent cx="4432935" cy="2962910"/>
            <wp:effectExtent l="4445" t="4445" r="20320" b="2349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1292" w:firstLineChars="404"/>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全年安排因公出国（境）团组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人。因公出国（境）支出决算比2023年增加0万元，增长0%。</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18.72万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公务用车购置及运行维护费支出决算比2023年度增加7.2万元，增长62.5%。属于正常增减。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万元。全年按规定更新购置公务用车0辆，其中：轿车0辆、金额0万元，越野车0辆、金额0万元，载客汽车0辆、金额0万元。截至2024年12月31日，单位共有公务用车4辆，其中：轿车0辆、越野车4辆、载客汽车0辆。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18.72</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生态环境执法、环境监测、环境监管、生态环境宣传教育、</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0.9万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公务接待费支出决算比2023年度减少0.05万元，下降5.3%。正常范围的增减。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其中：国内公务接待支出</w:t>
      </w:r>
      <w:r>
        <w:rPr>
          <w:rFonts w:hint="eastAsia" w:ascii="仿宋_GB2312" w:hAnsi="仿宋_GB2312" w:eastAsia="仿宋_GB2312" w:cs="仿宋_GB2312"/>
          <w:color w:val="000000" w:themeColor="text1"/>
          <w:sz w:val="32"/>
          <w:szCs w:val="32"/>
          <w14:textFill>
            <w14:solidFill>
              <w14:schemeClr w14:val="tx1"/>
            </w14:solidFill>
          </w14:textFill>
        </w:rPr>
        <w:t>0.9</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万元，主要用于执行公务、考察调研、学习交流等用餐费。国内公务接待</w:t>
      </w:r>
      <w:r>
        <w:rPr>
          <w:rFonts w:hint="eastAsia" w:ascii="仿宋_GB2312" w:hAnsi="仿宋_GB2312" w:eastAsia="仿宋_GB2312" w:cs="仿宋_GB2312"/>
          <w:color w:val="000000" w:themeColor="text1"/>
          <w:sz w:val="32"/>
          <w:szCs w:val="32"/>
          <w14:textFill>
            <w14:solidFill>
              <w14:schemeClr w14:val="tx1"/>
            </w14:solidFill>
          </w14:textFill>
        </w:rPr>
        <w:t>10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批次，</w:t>
      </w:r>
      <w:r>
        <w:rPr>
          <w:rFonts w:hint="eastAsia" w:ascii="仿宋_GB2312" w:hAnsi="仿宋_GB2312" w:eastAsia="仿宋_GB2312" w:cs="仿宋_GB2312"/>
          <w:color w:val="000000" w:themeColor="text1"/>
          <w:sz w:val="32"/>
          <w:szCs w:val="32"/>
          <w14:textFill>
            <w14:solidFill>
              <w14:schemeClr w14:val="tx1"/>
            </w14:solidFill>
          </w14:textFill>
        </w:rPr>
        <w:t>73</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人次（不包括陪同人员），共计支出0.9万元。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外事接待支出</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万元。外事接待</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批次，</w:t>
      </w:r>
      <w:r>
        <w:rPr>
          <w:rFonts w:hint="eastAsia" w:ascii="仿宋_GB2312" w:hAnsi="仿宋_GB2312" w:eastAsia="仿宋_GB2312" w:cs="仿宋_GB2312"/>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人次（不包括陪同人员），共计支出0万元。</w:t>
      </w:r>
      <w:bookmarkStart w:id="42" w:name="_Toc15396610"/>
      <w:bookmarkStart w:id="43" w:name="_Toc1537721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Times New Roman" w:hAnsi="Times New Roman" w:eastAsia="黑体"/>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outlineLvl w:val="1"/>
        <w:rPr>
          <w:rStyle w:val="32"/>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42"/>
      <w:bookmarkEnd w:id="43"/>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%。与2023年度相比，政府性基金预算财政拨款支出增加0万元，增长0%。</w:t>
      </w:r>
    </w:p>
    <w:p>
      <w:pPr>
        <w:pStyle w:val="2"/>
        <w:keepNext w:val="0"/>
        <w:keepLines w:val="0"/>
        <w:pageBreakBefore w:val="0"/>
        <w:widowControl w:val="0"/>
        <w:kinsoku/>
        <w:wordWrap/>
        <w:overflowPunct/>
        <w:topLinePunct w:val="0"/>
        <w:autoSpaceDE/>
        <w:autoSpaceDN/>
        <w:bidi w:val="0"/>
        <w:adjustRightInd/>
        <w:snapToGrid/>
        <w:spacing w:after="0" w:line="576" w:lineRule="exact"/>
        <w:ind w:left="0" w:leftChars="0"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Style w:val="32"/>
          <w:rFonts w:ascii="Times New Roman" w:hAnsi="Times New Roman" w:eastAsia="黑体"/>
          <w:b w:val="0"/>
          <w:color w:val="auto"/>
          <w:highlight w:val="none"/>
        </w:rPr>
      </w:pPr>
      <w:bookmarkStart w:id="44" w:name="_Toc15396611"/>
      <w:bookmarkStart w:id="45" w:name="_Toc15377219"/>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44"/>
      <w:bookmarkEnd w:id="45"/>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%。与2023年度相比，国有资本经营预算财政拨款支出增加0万元，增长0%。</w:t>
      </w:r>
      <w:bookmarkStart w:id="46" w:name="_Toc15377221"/>
      <w:bookmarkStart w:id="47" w:name="_Toc15396612"/>
    </w:p>
    <w:p>
      <w:pPr>
        <w:numPr>
          <w:ilvl w:val="0"/>
          <w:numId w:val="0"/>
        </w:numPr>
        <w:spacing w:line="600" w:lineRule="exact"/>
        <w:ind w:left="630" w:leftChars="0"/>
        <w:outlineLvl w:val="1"/>
        <w:rPr>
          <w:rFonts w:hint="eastAsia" w:ascii="仿宋_GB2312" w:hAnsi="仿宋_GB2312" w:eastAsia="仿宋_GB2312" w:cs="仿宋_GB2312"/>
          <w:color w:val="auto"/>
          <w:kern w:val="2"/>
          <w:sz w:val="32"/>
          <w:szCs w:val="32"/>
          <w:highlight w:val="none"/>
          <w:lang w:val="en-US" w:eastAsia="zh-CN" w:bidi="ar-SA"/>
        </w:rPr>
      </w:pPr>
    </w:p>
    <w:p>
      <w:pPr>
        <w:keepNext w:val="0"/>
        <w:keepLines w:val="0"/>
        <w:pageBreakBefore w:val="0"/>
        <w:numPr>
          <w:ilvl w:val="0"/>
          <w:numId w:val="0"/>
        </w:numPr>
        <w:kinsoku/>
        <w:wordWrap/>
        <w:overflowPunct/>
        <w:topLinePunct w:val="0"/>
        <w:autoSpaceDE/>
        <w:autoSpaceDN/>
        <w:bidi w:val="0"/>
        <w:spacing w:line="576" w:lineRule="exact"/>
        <w:ind w:left="0" w:leftChars="0" w:firstLine="640" w:firstLineChars="200"/>
        <w:textAlignment w:val="auto"/>
        <w:outlineLvl w:val="1"/>
        <w:rPr>
          <w:rStyle w:val="32"/>
          <w:rFonts w:hint="eastAsia" w:ascii="Times New Roman" w:hAnsi="Times New Roman" w:eastAsia="黑体"/>
          <w:b w:val="0"/>
          <w:color w:val="auto"/>
          <w:highlight w:val="none"/>
        </w:rPr>
      </w:pPr>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46"/>
      <w:bookmarkEnd w:id="47"/>
    </w:p>
    <w:p>
      <w:pPr>
        <w:keepNext w:val="0"/>
        <w:keepLines w:val="0"/>
        <w:pageBreakBefore w:val="0"/>
        <w:kinsoku/>
        <w:wordWrap/>
        <w:overflowPunct/>
        <w:topLinePunct w:val="0"/>
        <w:autoSpaceDE/>
        <w:autoSpaceDN/>
        <w:bidi w:val="0"/>
        <w:spacing w:line="576" w:lineRule="exact"/>
        <w:ind w:left="0" w:firstLine="643" w:firstLineChars="200"/>
        <w:textAlignment w:val="auto"/>
        <w:outlineLvl w:val="2"/>
        <w:rPr>
          <w:rFonts w:hint="eastAsia" w:ascii="Times New Roman" w:hAnsi="Times New Roman" w:eastAsia="楷体_GB2312" w:cs="楷体_GB2312"/>
          <w:b/>
          <w:color w:val="auto"/>
          <w:sz w:val="32"/>
          <w:szCs w:val="32"/>
          <w:highlight w:val="none"/>
        </w:rPr>
      </w:pPr>
      <w:bookmarkStart w:id="48" w:name="_Toc15377222"/>
      <w:r>
        <w:rPr>
          <w:rFonts w:hint="eastAsia" w:ascii="Times New Roman" w:hAnsi="Times New Roman" w:eastAsia="楷体_GB2312" w:cs="楷体_GB2312"/>
          <w:b/>
          <w:color w:val="auto"/>
          <w:sz w:val="32"/>
          <w:szCs w:val="32"/>
          <w:highlight w:val="none"/>
        </w:rPr>
        <w:t>（一）机关运行经费支出情况</w:t>
      </w:r>
      <w:bookmarkEnd w:id="48"/>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阿坝藏族羌族自治州九寨沟生态环境局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53.41</w:t>
      </w:r>
      <w:r>
        <w:rPr>
          <w:rFonts w:hint="eastAsia" w:ascii="仿宋_GB2312" w:hAnsi="仿宋_GB2312" w:eastAsia="仿宋_GB2312" w:cs="仿宋_GB2312"/>
          <w:color w:val="auto"/>
          <w:kern w:val="2"/>
          <w:sz w:val="32"/>
          <w:szCs w:val="32"/>
          <w:highlight w:val="none"/>
          <w:lang w:val="en-US" w:eastAsia="zh-CN" w:bidi="ar-SA"/>
        </w:rPr>
        <w:t>万元，比2023年度增加7.95万元，增长17.5%。主要原因是属于正常范围内的增减。</w:t>
      </w:r>
    </w:p>
    <w:p>
      <w:pPr>
        <w:keepNext w:val="0"/>
        <w:keepLines w:val="0"/>
        <w:pageBreakBefore w:val="0"/>
        <w:kinsoku/>
        <w:wordWrap/>
        <w:overflowPunct/>
        <w:topLinePunct w:val="0"/>
        <w:autoSpaceDE/>
        <w:autoSpaceDN/>
        <w:bidi w:val="0"/>
        <w:spacing w:line="576" w:lineRule="exact"/>
        <w:ind w:left="0" w:firstLine="643" w:firstLineChars="200"/>
        <w:textAlignment w:val="auto"/>
        <w:outlineLvl w:val="2"/>
        <w:rPr>
          <w:rFonts w:hint="eastAsia" w:ascii="Times New Roman" w:hAnsi="Times New Roman" w:eastAsia="楷体_GB2312" w:cs="楷体_GB2312"/>
          <w:b/>
          <w:color w:val="auto"/>
          <w:sz w:val="32"/>
          <w:szCs w:val="32"/>
          <w:highlight w:val="none"/>
        </w:rPr>
      </w:pPr>
      <w:bookmarkStart w:id="49" w:name="_Toc15377223"/>
      <w:r>
        <w:rPr>
          <w:rFonts w:hint="eastAsia" w:ascii="Times New Roman" w:hAnsi="Times New Roman" w:eastAsia="楷体_GB2312" w:cs="楷体_GB2312"/>
          <w:b/>
          <w:color w:val="auto"/>
          <w:sz w:val="32"/>
          <w:szCs w:val="32"/>
          <w:highlight w:val="none"/>
        </w:rPr>
        <w:t>（二）政府采购支出情况</w:t>
      </w:r>
      <w:bookmarkEnd w:id="49"/>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阿坝藏族羌族自治州九寨沟生态环境局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59.4</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59.4</w:t>
      </w:r>
      <w:r>
        <w:rPr>
          <w:rFonts w:hint="eastAsia" w:ascii="仿宋_GB2312" w:hAnsi="仿宋_GB2312" w:eastAsia="仿宋_GB2312" w:cs="仿宋_GB2312"/>
          <w:color w:val="auto"/>
          <w:kern w:val="2"/>
          <w:sz w:val="32"/>
          <w:szCs w:val="32"/>
          <w:highlight w:val="none"/>
          <w:lang w:val="en-US" w:eastAsia="zh-CN" w:bidi="ar-SA"/>
        </w:rPr>
        <w:t>万元。主要用于2023年下半年监测服务费。授予中小企业合同金额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keepNext w:val="0"/>
        <w:keepLines w:val="0"/>
        <w:pageBreakBefore w:val="0"/>
        <w:kinsoku/>
        <w:wordWrap/>
        <w:overflowPunct/>
        <w:topLinePunct w:val="0"/>
        <w:autoSpaceDE/>
        <w:autoSpaceDN/>
        <w:bidi w:val="0"/>
        <w:spacing w:line="576" w:lineRule="exact"/>
        <w:ind w:left="0" w:firstLine="643" w:firstLineChars="200"/>
        <w:textAlignment w:val="auto"/>
        <w:outlineLvl w:val="2"/>
        <w:rPr>
          <w:rFonts w:hint="eastAsia" w:ascii="Times New Roman" w:hAnsi="Times New Roman" w:eastAsia="楷体_GB2312" w:cs="楷体_GB2312"/>
          <w:b/>
          <w:color w:val="auto"/>
          <w:sz w:val="32"/>
          <w:szCs w:val="32"/>
          <w:highlight w:val="none"/>
        </w:rPr>
      </w:pPr>
      <w:bookmarkStart w:id="50" w:name="_Toc15377224"/>
      <w:r>
        <w:rPr>
          <w:rFonts w:hint="eastAsia" w:ascii="Times New Roman" w:hAnsi="Times New Roman" w:eastAsia="楷体_GB2312" w:cs="楷体_GB2312"/>
          <w:b/>
          <w:color w:val="auto"/>
          <w:sz w:val="32"/>
          <w:szCs w:val="32"/>
          <w:highlight w:val="none"/>
        </w:rPr>
        <w:t>（三）国有资产占有使用情况</w:t>
      </w:r>
      <w:bookmarkEnd w:id="50"/>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阿坝藏族羌族自治州九寨沟生态环境局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辆，其他用车主要是用于</w:t>
      </w:r>
      <w:r>
        <w:rPr>
          <w:rFonts w:hint="eastAsia" w:ascii="仿宋_GB2312" w:hAnsi="仿宋_GB2312" w:eastAsia="仿宋_GB2312" w:cs="仿宋_GB2312"/>
          <w:color w:val="000000"/>
          <w:kern w:val="0"/>
          <w:sz w:val="32"/>
          <w:szCs w:val="32"/>
          <w:shd w:val="clear" w:color="auto" w:fill="FFFFFF"/>
          <w:lang w:val="zh-CN"/>
        </w:rPr>
        <w:t>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lang w:val="zh-CN"/>
        </w:rPr>
        <w:t>年生态环境宣传、生态环境执法检查、开展环境执法应急监测重点污染源监督性监测</w:t>
      </w:r>
      <w:r>
        <w:rPr>
          <w:rFonts w:hint="eastAsia" w:ascii="仿宋_GB2312" w:hAnsi="仿宋_GB2312" w:eastAsia="仿宋_GB2312" w:cs="仿宋_GB2312"/>
          <w:color w:val="000000"/>
          <w:kern w:val="0"/>
          <w:sz w:val="32"/>
          <w:szCs w:val="32"/>
          <w:shd w:val="clear" w:color="auto" w:fill="FFFFFF"/>
          <w:lang w:val="en-US" w:eastAsia="zh-CN"/>
        </w:rPr>
        <w:t>和公务出差</w:t>
      </w:r>
      <w:r>
        <w:rPr>
          <w:rFonts w:hint="eastAsia" w:ascii="仿宋_GB2312" w:hAnsi="仿宋_GB2312" w:eastAsia="仿宋_GB2312" w:cs="仿宋_GB2312"/>
          <w:color w:val="000000"/>
          <w:kern w:val="0"/>
          <w:sz w:val="32"/>
          <w:szCs w:val="32"/>
          <w:shd w:val="clear" w:color="auto" w:fill="FFFFFF"/>
          <w:lang w:val="zh-CN"/>
        </w:rPr>
        <w:t>等</w:t>
      </w:r>
      <w:r>
        <w:rPr>
          <w:rFonts w:hint="eastAsia" w:ascii="仿宋_GB2312" w:hAnsi="仿宋_GB2312" w:eastAsia="仿宋_GB2312" w:cs="仿宋_GB2312"/>
          <w:color w:val="auto"/>
          <w:kern w:val="2"/>
          <w:sz w:val="32"/>
          <w:szCs w:val="32"/>
          <w:highlight w:val="none"/>
          <w:lang w:val="en-US" w:eastAsia="zh-CN" w:bidi="ar-SA"/>
        </w:rPr>
        <w:t>。单价100万元（含）以上设备（不含车辆）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keepNext w:val="0"/>
        <w:keepLines w:val="0"/>
        <w:pageBreakBefore w:val="0"/>
        <w:kinsoku/>
        <w:wordWrap/>
        <w:overflowPunct/>
        <w:topLinePunct w:val="0"/>
        <w:autoSpaceDE/>
        <w:autoSpaceDN/>
        <w:bidi w:val="0"/>
        <w:spacing w:line="576" w:lineRule="exact"/>
        <w:ind w:left="0"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2024年我局通过建立健全预算绩效管理制度，加强绩效目标设定、绩效监控和绩效评价等环节的管理，不断提高预算绩效管理水平。</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1、绩效目标设定情况</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明确绩效目标。在编制年度预算时，结合单位的工作任务和发展规划，对各个项目和部门设定了明确的绩效目标。这些目标涵盖了经济效益、社会效益、生态效益等多个方面，确保财政资金的使用能够实现预期的效果。量化绩效指标。为了便于绩效监控和评价，对绩效目标进行了量化分解，制定了具体的绩效指标。严格审核绩效目标。在预算编制过程中，组织专家对绩效目标进行审核，确保绩效目标的合理性和可行性。对于不符合要求的绩效目标，要求相关部门进行调整和完善。</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2、绩效监控执行情况</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建立绩效监控机制。制定了绩效监控管理制度，明确了绩效监控的职责分工、监控内容和监控方法。通过定期采集绩效数据，对项目和部门的绩效目标实现情况进行跟踪监控，及时发现问题并采取措施加以解决。</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绩效监控力度。在预算执行过程中，加大对重点项目和关键环节的绩效监控力度。对于重大项目，实行专人负责、定期汇报制度，确保项目按计划顺利推进。同时，加强对资金使用情况的监控，防止资金挪用和浪费。</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及时调整绩效目标。根据绩效监控情况，对绩效目标进行适时调整。对于因客观原因无法实现的绩效目标，及时进行调整或取消；对于需要增加投入才能实现的绩效目标，及时申请调整预算。</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3、绩效评价结果</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开展绩效评价工作。在年度决算后，组织开展了绩效评价工作。通过收集绩效数据、问卷调查、实地调研等方式，对各个项目和部门的绩效目标实现情况进行了全面评价。</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评价结果客观公正。绩效评价工作严格按照规定的程序和方法进行，确保评价结果的客观公正。评价结果分为优秀、良好、合格和不合格四个等级，对于评价结果为优秀和良好的项目和部门给予表彰和奖励，对于评价结果为不合格的项目和部门要求进行整改。</w:t>
      </w:r>
    </w:p>
    <w:p>
      <w:pPr>
        <w:keepNext w:val="0"/>
        <w:keepLines w:val="0"/>
        <w:pageBreakBefore w:val="0"/>
        <w:widowControl/>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sz w:val="32"/>
          <w:szCs w:val="32"/>
          <w:lang w:val="en-US" w:eastAsia="zh-CN"/>
        </w:rPr>
        <w:t>应用评价结果。将绩效评价结果作为下一年度预算安排的重要依据，对于绩效评价结果优秀的项目和部门给予优先支持和保障，对于绩效评价结果不合格的项目和部门减少或取消预算安排。同时，将绩效评价结果向社会公开，接受社会监督。</w:t>
      </w:r>
    </w:p>
    <w:p>
      <w:pPr>
        <w:keepNext w:val="0"/>
        <w:keepLines w:val="0"/>
        <w:pageBreakBefore w:val="0"/>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1" w:name="_Toc15396613"/>
      <w:bookmarkStart w:id="52"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1"/>
      <w:bookmarkEnd w:id="52"/>
    </w:p>
    <w:p>
      <w:pPr>
        <w:spacing w:line="600" w:lineRule="exact"/>
        <w:jc w:val="left"/>
        <w:rPr>
          <w:rFonts w:ascii="Times New Roman" w:hAnsi="Times New Roman"/>
          <w:b/>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4.其他收入：指单位取得的除上述收入以外的各项收入。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9.社会保障和就业支出（208）行政事业单位养老支出（20805）机关事业单位基本养老保险缴费支出（2080505）：反映机关事业单位实施养老保险制度由单位缴纳的基本养老保险费支出。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10.社会保障和就业支出（208）行政事业单位养老支出（20805）机关事业单位职业年金缴费支出（2080506）：反映机关事业单位实施养老保险制度由单位实际缴纳的职业年金支出。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11.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12.卫生健康支出（210）行政事业单位医疗（21011）公务员医疗补助（2101103）：反映财政部门安排的公务员医疗补助经费。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13.节能环保支出（211）环境保护管理事务（21101）行政运行（2110101）：反映行政单位（包括实行公务员管理的事业单位）的基本支出。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14.节能环保支出（211）环境保护管理事务（21101）生态环境保护宣传（2110104）：反映生态环境部门环境保护宣传教育方面的支出。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15.节能环保支出（211）环境监测与监察（21102）其他环境监测与监察支出（2110299）：反映除上述项目以外其他用于环境监测与监察方面的支出。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16.节能环保支出（211）其他节能环保支出（21199）其他节能环保支出（2119999）：反映除上述项目以外其他用于节能环保方面的支出。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17.住房保障支出（221）住房改革支出（22102）住房公积金（2210201）：反映行政事业单位按人力资源和社会保障部、财政部规定的基本工资和津贴补贴以及规定比例为职工缴纳的住房公积金。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19.项目支出：指在基本支出之外为完成特定行政任务和事业发展目标所发生的支出。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bookmarkStart w:id="53" w:name="_Toc15396614"/>
      <w:bookmarkStart w:id="54" w:name="_Toc15377226"/>
      <w:r>
        <w:rPr>
          <w:rFonts w:hint="eastAsia" w:ascii="仿宋_GB2312" w:hAnsi="仿宋_GB2312" w:eastAsia="仿宋_GB2312" w:cs="仿宋_GB2312"/>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财政应返还额度：为行政事业单位会计核算科目，用于核算实行国库集中支付的行政事业单位应收财政返还的资金额度。</w:t>
      </w: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Style w:val="31"/>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3"/>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6" w:lineRule="exact"/>
        <w:ind w:left="640" w:leftChars="0" w:hanging="640" w:hangingChars="200"/>
        <w:jc w:val="left"/>
        <w:textAlignment w:val="auto"/>
        <w:outlineLvl w:val="0"/>
        <w:rPr>
          <w:rFonts w:hint="default"/>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3" w:firstLineChars="200"/>
        <w:jc w:val="left"/>
        <w:textAlignment w:val="auto"/>
        <w:rPr>
          <w:rFonts w:hint="eastAsia" w:ascii="仿宋_GB2312" w:hAnsi="仿宋_GB2312" w:eastAsia="仿宋_GB2312" w:cs="仿宋_GB2312"/>
          <w:sz w:val="32"/>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仿宋_GB2312" w:hAnsi="仿宋_GB2312" w:eastAsia="仿宋_GB2312" w:cs="仿宋_GB2312"/>
          <w:color w:val="000000"/>
          <w:kern w:val="0"/>
          <w:sz w:val="32"/>
          <w:szCs w:val="32"/>
        </w:rPr>
        <w:t>阿坝州九寨沟生态环境局是阿坝州生态环境局派出部门，为正科级（下设事业编制阿坝州九寨沟环境监测站）。</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仿宋_GB2312" w:hAnsi="仿宋_GB2312" w:eastAsia="仿宋_GB2312" w:cs="仿宋_GB2312"/>
          <w:sz w:val="32"/>
          <w:szCs w:val="32"/>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仿宋_GB2312" w:hAnsi="仿宋_GB2312" w:eastAsia="仿宋_GB2312" w:cs="仿宋_GB2312"/>
          <w:sz w:val="32"/>
          <w:szCs w:val="32"/>
        </w:rPr>
        <w:t>1.办公室：负责机关文电、会务、机要、档案、政务公开、督查督办、政务协调、安全保密、信访等工作；拟订环境保护规划并监督实施；负责统计信息工作；起草有关规范性文件草案；承担机关规范性文件的合法性审核工作；承担行政复议和行政应诉工作；承办机关党群和离退休人员管理工作；负责局机关及所属单位的机构编制、人事管理、职工教育培训等工作；负责依法行政监督检查、法治宣传教育和执法考核等工作。组织、协调、指导、参与全县环境保护宣传、重大综合性问题调研，指导环保科普和精神文明建设工作；负责机关党群工作。</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环境保护股：贯彻执行环境保护法律、法规、规章和政策；负责指导、协调、监督农村环境保护工作；组织编制并实施农村污染防治规划；组织协调农村和农业面源污染防治工作，监督管理农村集中式饮用水源保护区、小流域和湖库污染、村镇生活污染、养殖污染、土壤污染防治等工作；指导生态乡镇、生态村等农村生态建设示范区创建工作。贯彻执行自然生态保护法律、法规和规章，拟订生态保护规划，组织评估生态环境质量状况，监督重要生态环境建设和生态破坏恢复工作；指导、协调、监督管理各种类型的自然保护区、风景名胜区、森林公园的环境保护工作；协调监督野生动植物保护、湿地环境保护、荒漠化防治工作；负责生物多样性保护、生物技术环境安全的监督管理工作；指导有机食品发展、生态示范创建与生态农业建设；承担生态县建设领导小组办公室的具体工作。</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污染防控股：负责重大环境问题的统筹协调和监督管理。牵头协调重大环境污染事故、生态破坏事件的调查处理，指导协调重大突发环境事件的应急、预警工作，协调解决有关跨区域环境污染纠纷，统筹协调重点流域、区域污染防治工作。承担落实减排目标的责任。监督实施主要污染物排放总量控制和排污许可证制度，实施总量控制的污染物控制指标，督查、督办、核查污染物减排任务完成情况，实施环境保护目标责任制、总量减排考核并公布考核结果。承担县污染减排领导小组的具体工作。负责辐射安全的监督管理。监督执行有关政策、规划、标准，负责辐射环境事故应急处理工作。监督管理放射源与射线装置安全。负责环境污染防治的监督管理。组织实施水体、大气、土壤、噪声、光、恶臭、固体废物、化学品、机动车等的污染防治管理制度，会同有关部门监督管理饮用水水源地环境保护工作。</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行政审批股：贯彻执行规划、建设项目环境影响评价、环境保护“三同时”等法律、法规、规章和制度；负责规划和建设项目环境影响评价文件的审查审批；负责建设项目竣工环境保护验收；负责环境影响后评价工作；承办其他行政审批事项。</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5.生态环境综合行政执法大队：构统一行使辖区内污染防治、生态保护、核与辐射安全的行政处罚以及与行政处罚相关的行政检查、行政强制权等执法职责。</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环境监测站：开展环境质量监测、污染源监督性监测和突发环境污染事件应急监测；承担环境监测网建设和运行，收集、管理环境监测数据，开展环境状况调查和评价，编制环境监测报告；负责环境监测人员的技术培训；开展环境监测领域科学研究，承担环境监测技术规范、方法研究以及国际合作和交流；承担环境保护部门委托的其他环境监测技术支持工作。</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rPr>
          <w:rFonts w:hint="eastAsia" w:ascii="仿宋_GB2312" w:hAnsi="仿宋_GB2312" w:eastAsia="仿宋_GB2312" w:cs="仿宋_GB2312"/>
          <w:color w:val="000000"/>
          <w:kern w:val="0"/>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000000"/>
          <w:kern w:val="0"/>
          <w:sz w:val="32"/>
          <w:szCs w:val="32"/>
        </w:rPr>
        <w:t>九寨沟生态环境局编制数34人，其中：九寨沟生态环境局行政编制数3名；九寨沟生态环境保护中心参公编制6名，行政工勤2名；九寨沟生态环境综合执法大队参公编制数9名。九寨沟环境监测站属于事业编，编制制数14人。</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cs="Times New Roman"/>
          <w:szCs w:val="32"/>
        </w:rPr>
      </w:pPr>
      <w:r>
        <w:rPr>
          <w:rFonts w:hint="eastAsia" w:ascii="仿宋_GB2312" w:hAnsi="仿宋_GB2312" w:eastAsia="仿宋_GB2312" w:cs="仿宋_GB2312"/>
          <w:color w:val="000000"/>
          <w:kern w:val="0"/>
          <w:sz w:val="32"/>
          <w:szCs w:val="32"/>
        </w:rPr>
        <w:t>截止202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年12月，全局实有人员2</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名，其中行政2名，参公1</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名、机关工勤1名，事业专业技术人员14名。</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640" w:leftChars="0" w:hanging="640" w:hanging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我单位202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年总收入</w:t>
      </w:r>
      <w:r>
        <w:rPr>
          <w:rFonts w:hint="eastAsia" w:ascii="仿宋_GB2312" w:hAnsi="仿宋_GB2312" w:eastAsia="仿宋_GB2312" w:cs="仿宋_GB2312"/>
          <w:sz w:val="32"/>
          <w:szCs w:val="32"/>
          <w:lang w:val="en-US" w:eastAsia="zh-CN"/>
        </w:rPr>
        <w:t>3308.96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年总收入</w:t>
      </w:r>
      <w:r>
        <w:rPr>
          <w:rFonts w:hint="eastAsia" w:ascii="仿宋_GB2312" w:hAnsi="仿宋_GB2312" w:eastAsia="仿宋_GB2312" w:cs="仿宋_GB2312"/>
          <w:sz w:val="32"/>
          <w:szCs w:val="32"/>
          <w:lang w:val="en-US" w:eastAsia="zh-CN"/>
        </w:rPr>
        <w:t>1304.1</w:t>
      </w:r>
      <w:r>
        <w:rPr>
          <w:rFonts w:hint="eastAsia" w:ascii="仿宋_GB2312" w:hAnsi="仿宋_GB2312" w:eastAsia="仿宋_GB2312" w:cs="仿宋_GB2312"/>
          <w:color w:val="000000"/>
          <w:kern w:val="0"/>
          <w:sz w:val="32"/>
          <w:szCs w:val="32"/>
        </w:rPr>
        <w:t>万元，增加</w:t>
      </w:r>
      <w:r>
        <w:rPr>
          <w:rFonts w:hint="eastAsia" w:ascii="仿宋_GB2312" w:hAnsi="仿宋_GB2312" w:eastAsia="仿宋_GB2312" w:cs="仿宋_GB2312"/>
          <w:color w:val="000000"/>
          <w:kern w:val="0"/>
          <w:sz w:val="32"/>
          <w:szCs w:val="32"/>
          <w:lang w:val="en-US" w:eastAsia="zh-CN"/>
        </w:rPr>
        <w:t>2004.86</w:t>
      </w:r>
      <w:r>
        <w:rPr>
          <w:rFonts w:hint="eastAsia" w:ascii="仿宋_GB2312" w:hAnsi="仿宋_GB2312" w:eastAsia="仿宋_GB2312" w:cs="仿宋_GB2312"/>
          <w:color w:val="000000"/>
          <w:kern w:val="0"/>
          <w:sz w:val="32"/>
          <w:szCs w:val="32"/>
        </w:rPr>
        <w:t>万元，增加率为</w:t>
      </w:r>
      <w:r>
        <w:rPr>
          <w:rFonts w:hint="eastAsia" w:ascii="仿宋_GB2312" w:hAnsi="仿宋_GB2312" w:eastAsia="仿宋_GB2312" w:cs="仿宋_GB2312"/>
          <w:color w:val="000000"/>
          <w:kern w:val="0"/>
          <w:sz w:val="32"/>
          <w:szCs w:val="32"/>
          <w:lang w:val="en-US" w:eastAsia="zh-CN"/>
        </w:rPr>
        <w:t>153.7</w:t>
      </w:r>
      <w:r>
        <w:rPr>
          <w:rFonts w:hint="eastAsia" w:ascii="仿宋_GB2312" w:hAnsi="仿宋_GB2312" w:eastAsia="仿宋_GB2312" w:cs="仿宋_GB2312"/>
          <w:color w:val="000000"/>
          <w:kern w:val="0"/>
          <w:sz w:val="32"/>
          <w:szCs w:val="32"/>
        </w:rPr>
        <w:t>%。主要原因为：</w:t>
      </w:r>
      <w:r>
        <w:rPr>
          <w:rFonts w:hint="eastAsia" w:ascii="仿宋_GB2312" w:hAnsi="仿宋_GB2312" w:eastAsia="仿宋_GB2312" w:cs="仿宋_GB2312"/>
          <w:color w:val="000000"/>
          <w:kern w:val="0"/>
          <w:sz w:val="32"/>
          <w:szCs w:val="32"/>
          <w:lang w:val="en-US" w:eastAsia="zh-CN"/>
        </w:rPr>
        <w:t>项目财政拨款收入增加，其他收入增加</w:t>
      </w:r>
      <w:r>
        <w:rPr>
          <w:rFonts w:hint="eastAsia" w:ascii="仿宋_GB2312" w:hAnsi="仿宋_GB2312" w:eastAsia="仿宋_GB2312" w:cs="仿宋_GB2312"/>
          <w:color w:val="000000"/>
          <w:kern w:val="0"/>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生态环境局：</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年一般公共预算</w:t>
      </w:r>
      <w:r>
        <w:rPr>
          <w:rFonts w:hint="eastAsia" w:ascii="仿宋_GB2312" w:hAnsi="仿宋_GB2312" w:eastAsia="仿宋_GB2312" w:cs="仿宋_GB2312"/>
          <w:color w:val="000000"/>
          <w:kern w:val="0"/>
          <w:sz w:val="32"/>
          <w:szCs w:val="32"/>
          <w:lang w:val="zh-CN"/>
        </w:rPr>
        <w:t>财政拨款收</w:t>
      </w:r>
      <w:r>
        <w:rPr>
          <w:rFonts w:hint="eastAsia" w:ascii="仿宋_GB2312" w:hAnsi="仿宋_GB2312" w:eastAsia="仿宋_GB2312" w:cs="仿宋_GB2312"/>
          <w:color w:val="000000"/>
          <w:kern w:val="0"/>
          <w:sz w:val="32"/>
          <w:szCs w:val="32"/>
          <w:lang w:val="en-US" w:eastAsia="zh-CN"/>
        </w:rPr>
        <w:t>入2073.99</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年一般公共预算财政拨款收入851.72万元，</w:t>
      </w:r>
      <w:r>
        <w:rPr>
          <w:rFonts w:hint="eastAsia" w:ascii="仿宋_GB2312" w:hAnsi="仿宋_GB2312" w:eastAsia="仿宋_GB2312" w:cs="仿宋_GB2312"/>
          <w:color w:val="000000"/>
          <w:kern w:val="0"/>
          <w:sz w:val="32"/>
          <w:szCs w:val="32"/>
          <w:lang w:val="en-US" w:eastAsia="zh-CN"/>
        </w:rPr>
        <w:t>增加1222.27</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color w:val="000000"/>
          <w:kern w:val="0"/>
          <w:sz w:val="32"/>
          <w:szCs w:val="32"/>
          <w:lang w:val="en-US" w:eastAsia="zh-CN"/>
        </w:rPr>
        <w:t>增加</w:t>
      </w:r>
      <w:r>
        <w:rPr>
          <w:rFonts w:hint="eastAsia" w:ascii="仿宋_GB2312" w:hAnsi="仿宋_GB2312" w:eastAsia="仿宋_GB2312" w:cs="仿宋_GB2312"/>
          <w:color w:val="000000"/>
          <w:kern w:val="0"/>
          <w:sz w:val="32"/>
          <w:szCs w:val="32"/>
        </w:rPr>
        <w:t>率为</w:t>
      </w:r>
      <w:r>
        <w:rPr>
          <w:rFonts w:hint="eastAsia" w:ascii="仿宋_GB2312" w:hAnsi="仿宋_GB2312" w:eastAsia="仿宋_GB2312" w:cs="仿宋_GB2312"/>
          <w:color w:val="000000"/>
          <w:kern w:val="0"/>
          <w:sz w:val="32"/>
          <w:szCs w:val="32"/>
          <w:lang w:val="en-US" w:eastAsia="zh-CN"/>
        </w:rPr>
        <w:t>142.5</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zh-CN"/>
        </w:rPr>
        <w:t>20</w:t>
      </w: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lang w:val="zh-CN"/>
        </w:rPr>
        <w:t>年</w:t>
      </w:r>
      <w:r>
        <w:rPr>
          <w:rFonts w:hint="eastAsia" w:ascii="仿宋_GB2312" w:hAnsi="仿宋_GB2312" w:eastAsia="仿宋_GB2312" w:cs="仿宋_GB2312"/>
          <w:color w:val="000000"/>
          <w:kern w:val="0"/>
          <w:sz w:val="32"/>
          <w:szCs w:val="32"/>
        </w:rPr>
        <w:t>政府性基金预算</w:t>
      </w:r>
      <w:r>
        <w:rPr>
          <w:rFonts w:hint="eastAsia" w:ascii="仿宋_GB2312" w:hAnsi="仿宋_GB2312" w:eastAsia="仿宋_GB2312" w:cs="仿宋_GB2312"/>
          <w:color w:val="000000"/>
          <w:kern w:val="0"/>
          <w:sz w:val="32"/>
          <w:szCs w:val="32"/>
          <w:lang w:val="zh-CN"/>
        </w:rPr>
        <w:t>财政拨款收入</w:t>
      </w:r>
      <w:r>
        <w:rPr>
          <w:rFonts w:hint="eastAsia"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zh-CN"/>
        </w:rPr>
        <w:t>年</w:t>
      </w:r>
      <w:r>
        <w:rPr>
          <w:rFonts w:hint="eastAsia" w:ascii="仿宋_GB2312" w:hAnsi="仿宋_GB2312" w:eastAsia="仿宋_GB2312" w:cs="仿宋_GB2312"/>
          <w:color w:val="000000"/>
          <w:kern w:val="0"/>
          <w:sz w:val="32"/>
          <w:szCs w:val="32"/>
        </w:rPr>
        <w:t>政府性基金预算</w:t>
      </w:r>
      <w:r>
        <w:rPr>
          <w:rFonts w:hint="eastAsia" w:ascii="仿宋_GB2312" w:hAnsi="仿宋_GB2312" w:eastAsia="仿宋_GB2312" w:cs="仿宋_GB2312"/>
          <w:color w:val="000000"/>
          <w:kern w:val="0"/>
          <w:sz w:val="32"/>
          <w:szCs w:val="32"/>
          <w:lang w:val="zh-CN"/>
        </w:rPr>
        <w:t>财政拨款收入</w:t>
      </w:r>
      <w:r>
        <w:rPr>
          <w:rFonts w:hint="eastAsia"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年国有资本性经营预算财政拨款收入0万元，202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年国有资本性经营预算财政拨款收入0万元；202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年新增其他收入</w:t>
      </w:r>
      <w:r>
        <w:rPr>
          <w:rFonts w:hint="eastAsia" w:ascii="仿宋_GB2312" w:hAnsi="仿宋_GB2312" w:eastAsia="仿宋_GB2312" w:cs="仿宋_GB2312"/>
          <w:sz w:val="32"/>
          <w:szCs w:val="32"/>
          <w:lang w:val="en-US" w:eastAsia="zh-CN"/>
        </w:rPr>
        <w:t>1007.84</w:t>
      </w:r>
      <w:r>
        <w:rPr>
          <w:rFonts w:hint="eastAsia" w:ascii="仿宋_GB2312" w:hAnsi="仿宋_GB2312" w:eastAsia="仿宋_GB2312" w:cs="仿宋_GB2312"/>
          <w:color w:val="000000"/>
          <w:kern w:val="0"/>
          <w:sz w:val="32"/>
          <w:szCs w:val="32"/>
        </w:rPr>
        <w:t>万元，202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年其他收入为</w:t>
      </w:r>
      <w:r>
        <w:rPr>
          <w:rFonts w:hint="eastAsia" w:ascii="仿宋_GB2312" w:hAnsi="仿宋_GB2312" w:eastAsia="仿宋_GB2312" w:cs="仿宋_GB2312"/>
          <w:color w:val="000000"/>
          <w:kern w:val="0"/>
          <w:sz w:val="32"/>
          <w:szCs w:val="32"/>
          <w:lang w:val="en-US" w:eastAsia="zh-CN"/>
        </w:rPr>
        <w:t>234.43</w:t>
      </w:r>
      <w:r>
        <w:rPr>
          <w:rFonts w:hint="eastAsia" w:ascii="仿宋_GB2312" w:hAnsi="仿宋_GB2312" w:eastAsia="仿宋_GB2312" w:cs="仿宋_GB2312"/>
          <w:color w:val="000000"/>
          <w:kern w:val="0"/>
          <w:sz w:val="32"/>
          <w:szCs w:val="32"/>
        </w:rPr>
        <w:t>万元。</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3" w:firstLineChars="200"/>
        <w:jc w:val="both"/>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rPr>
        <w:t>环境监测站：</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年一般公共预算</w:t>
      </w:r>
      <w:r>
        <w:rPr>
          <w:rFonts w:hint="eastAsia" w:ascii="仿宋_GB2312" w:hAnsi="仿宋_GB2312" w:eastAsia="仿宋_GB2312" w:cs="仿宋_GB2312"/>
          <w:color w:val="000000"/>
          <w:kern w:val="0"/>
          <w:sz w:val="32"/>
          <w:szCs w:val="32"/>
          <w:lang w:val="zh-CN"/>
        </w:rPr>
        <w:t>财政拨款收入</w:t>
      </w:r>
      <w:r>
        <w:rPr>
          <w:rFonts w:hint="eastAsia" w:ascii="仿宋_GB2312" w:hAnsi="仿宋_GB2312" w:eastAsia="仿宋_GB2312" w:cs="仿宋_GB2312"/>
          <w:color w:val="000000"/>
          <w:kern w:val="0"/>
          <w:sz w:val="32"/>
          <w:szCs w:val="32"/>
          <w:lang w:val="en-US" w:eastAsia="zh-CN"/>
        </w:rPr>
        <w:t>227.14</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年一般公共预算财政拨款收入217.95万元</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增加</w:t>
      </w:r>
      <w:r>
        <w:rPr>
          <w:rFonts w:hint="eastAsia" w:ascii="仿宋_GB2312" w:hAnsi="仿宋_GB2312" w:eastAsia="仿宋_GB2312" w:cs="仿宋_GB2312"/>
          <w:color w:val="000000"/>
          <w:kern w:val="0"/>
          <w:sz w:val="32"/>
          <w:szCs w:val="32"/>
          <w:lang w:val="en-US" w:eastAsia="zh-CN"/>
        </w:rPr>
        <w:t>9.19</w:t>
      </w:r>
      <w:r>
        <w:rPr>
          <w:rFonts w:hint="eastAsia" w:ascii="仿宋_GB2312" w:hAnsi="仿宋_GB2312" w:eastAsia="仿宋_GB2312" w:cs="仿宋_GB2312"/>
          <w:color w:val="000000"/>
          <w:kern w:val="0"/>
          <w:sz w:val="32"/>
          <w:szCs w:val="32"/>
        </w:rPr>
        <w:t>万元，增长率为</w:t>
      </w:r>
      <w:r>
        <w:rPr>
          <w:rFonts w:hint="eastAsia" w:ascii="仿宋_GB2312" w:hAnsi="仿宋_GB2312" w:eastAsia="仿宋_GB2312" w:cs="仿宋_GB2312"/>
          <w:color w:val="000000"/>
          <w:kern w:val="0"/>
          <w:sz w:val="32"/>
          <w:szCs w:val="32"/>
          <w:lang w:val="en-US" w:eastAsia="zh-CN"/>
        </w:rPr>
        <w:t>4.2</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zh-CN"/>
        </w:rPr>
        <w:t>20</w:t>
      </w: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lang w:val="zh-CN"/>
        </w:rPr>
        <w:t>年</w:t>
      </w:r>
      <w:r>
        <w:rPr>
          <w:rFonts w:hint="eastAsia" w:ascii="仿宋_GB2312" w:hAnsi="仿宋_GB2312" w:eastAsia="仿宋_GB2312" w:cs="仿宋_GB2312"/>
          <w:color w:val="000000"/>
          <w:kern w:val="0"/>
          <w:sz w:val="32"/>
          <w:szCs w:val="32"/>
        </w:rPr>
        <w:t>政府性基金预算</w:t>
      </w:r>
      <w:r>
        <w:rPr>
          <w:rFonts w:hint="eastAsia" w:ascii="仿宋_GB2312" w:hAnsi="仿宋_GB2312" w:eastAsia="仿宋_GB2312" w:cs="仿宋_GB2312"/>
          <w:color w:val="000000"/>
          <w:kern w:val="0"/>
          <w:sz w:val="32"/>
          <w:szCs w:val="32"/>
          <w:lang w:val="zh-CN"/>
        </w:rPr>
        <w:t>财政拨款收入</w:t>
      </w:r>
      <w:r>
        <w:rPr>
          <w:rFonts w:hint="eastAsia"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zh-CN"/>
        </w:rPr>
        <w:t>年</w:t>
      </w:r>
      <w:r>
        <w:rPr>
          <w:rFonts w:hint="eastAsia" w:ascii="仿宋_GB2312" w:hAnsi="仿宋_GB2312" w:eastAsia="仿宋_GB2312" w:cs="仿宋_GB2312"/>
          <w:color w:val="000000"/>
          <w:kern w:val="0"/>
          <w:sz w:val="32"/>
          <w:szCs w:val="32"/>
        </w:rPr>
        <w:t>政府性基金预算</w:t>
      </w:r>
      <w:r>
        <w:rPr>
          <w:rFonts w:hint="eastAsia" w:ascii="仿宋_GB2312" w:hAnsi="仿宋_GB2312" w:eastAsia="仿宋_GB2312" w:cs="仿宋_GB2312"/>
          <w:color w:val="000000"/>
          <w:kern w:val="0"/>
          <w:sz w:val="32"/>
          <w:szCs w:val="32"/>
          <w:lang w:val="zh-CN"/>
        </w:rPr>
        <w:t>财政拨款收入</w:t>
      </w:r>
      <w:r>
        <w:rPr>
          <w:rFonts w:hint="eastAsia" w:ascii="仿宋_GB2312" w:hAnsi="仿宋_GB2312" w:eastAsia="仿宋_GB2312" w:cs="仿宋_GB2312"/>
          <w:color w:val="000000"/>
          <w:kern w:val="0"/>
          <w:sz w:val="32"/>
          <w:szCs w:val="32"/>
        </w:rPr>
        <w:t>0</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年国有资本性经营预算财政拨款收入0万元，202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年国有资本性经营预算财政拨款收入0万元。</w:t>
      </w:r>
    </w:p>
    <w:p>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left="0" w:leftChars="0" w:firstLine="643" w:firstLineChars="200"/>
        <w:jc w:val="left"/>
        <w:textAlignment w:val="auto"/>
        <w:outlineLvl w:val="2"/>
        <w:rPr>
          <w:rFonts w:hint="eastAsia" w:ascii="仿宋_GB2312" w:hAnsi="仿宋_GB2312" w:eastAsia="仿宋_GB2312" w:cs="仿宋_GB2312"/>
          <w:b/>
          <w:bCs/>
          <w:color w:val="000000"/>
          <w:kern w:val="0"/>
          <w:sz w:val="32"/>
          <w:szCs w:val="32"/>
          <w:shd w:val="clear" w:color="auto" w:fill="FFFFFF"/>
          <w:lang w:val="zh-CN"/>
        </w:rPr>
      </w:pPr>
      <w:bookmarkStart w:id="55" w:name="_Toc7421"/>
      <w:r>
        <w:rPr>
          <w:rFonts w:hint="eastAsia" w:ascii="仿宋_GB2312" w:hAnsi="仿宋_GB2312" w:eastAsia="仿宋_GB2312" w:cs="仿宋_GB2312"/>
          <w:b/>
          <w:bCs/>
          <w:color w:val="000000"/>
          <w:kern w:val="0"/>
          <w:sz w:val="32"/>
          <w:szCs w:val="32"/>
          <w:shd w:val="clear" w:color="auto" w:fill="FFFFFF"/>
          <w:lang w:val="zh-CN"/>
        </w:rPr>
        <w:t>支出情况。</w:t>
      </w:r>
      <w:bookmarkEnd w:id="55"/>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jc w:val="left"/>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我单位2023年收入与支出持平，202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年支出</w:t>
      </w:r>
      <w:r>
        <w:rPr>
          <w:rFonts w:hint="eastAsia" w:ascii="仿宋_GB2312" w:hAnsi="仿宋_GB2312" w:eastAsia="仿宋_GB2312" w:cs="仿宋_GB2312"/>
          <w:color w:val="000000"/>
          <w:kern w:val="0"/>
          <w:sz w:val="32"/>
          <w:szCs w:val="32"/>
          <w:lang w:val="en-US" w:eastAsia="zh-CN"/>
        </w:rPr>
        <w:t>3308.96</w:t>
      </w:r>
      <w:r>
        <w:rPr>
          <w:rFonts w:hint="eastAsia" w:ascii="仿宋_GB2312" w:hAnsi="仿宋_GB2312" w:eastAsia="仿宋_GB2312" w:cs="仿宋_GB2312"/>
          <w:color w:val="000000"/>
          <w:kern w:val="0"/>
          <w:sz w:val="32"/>
          <w:szCs w:val="32"/>
        </w:rPr>
        <w:t>万元，202</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年支出</w:t>
      </w:r>
      <w:r>
        <w:rPr>
          <w:rFonts w:hint="eastAsia" w:ascii="仿宋_GB2312" w:hAnsi="仿宋_GB2312" w:eastAsia="仿宋_GB2312" w:cs="仿宋_GB2312"/>
          <w:color w:val="000000"/>
          <w:kern w:val="0"/>
          <w:sz w:val="32"/>
          <w:szCs w:val="32"/>
          <w:lang w:val="en-US" w:eastAsia="zh-CN"/>
        </w:rPr>
        <w:t>1304.1</w:t>
      </w:r>
      <w:r>
        <w:rPr>
          <w:rFonts w:hint="eastAsia" w:ascii="仿宋_GB2312" w:hAnsi="仿宋_GB2312" w:eastAsia="仿宋_GB2312" w:cs="仿宋_GB2312"/>
          <w:color w:val="000000"/>
          <w:kern w:val="0"/>
          <w:sz w:val="32"/>
          <w:szCs w:val="32"/>
        </w:rPr>
        <w:t>万元，增加</w:t>
      </w:r>
      <w:r>
        <w:rPr>
          <w:rFonts w:hint="eastAsia" w:ascii="仿宋_GB2312" w:hAnsi="仿宋_GB2312" w:eastAsia="仿宋_GB2312" w:cs="仿宋_GB2312"/>
          <w:color w:val="000000"/>
          <w:kern w:val="0"/>
          <w:sz w:val="32"/>
          <w:szCs w:val="32"/>
          <w:lang w:val="en-US" w:eastAsia="zh-CN"/>
        </w:rPr>
        <w:t>2004.86</w:t>
      </w:r>
      <w:r>
        <w:rPr>
          <w:rFonts w:hint="eastAsia" w:ascii="仿宋_GB2312" w:hAnsi="仿宋_GB2312" w:eastAsia="仿宋_GB2312" w:cs="仿宋_GB2312"/>
          <w:color w:val="000000"/>
          <w:kern w:val="0"/>
          <w:sz w:val="32"/>
          <w:szCs w:val="32"/>
        </w:rPr>
        <w:t>万元，增加率为</w:t>
      </w:r>
      <w:r>
        <w:rPr>
          <w:rFonts w:hint="eastAsia" w:ascii="仿宋_GB2312" w:hAnsi="仿宋_GB2312" w:eastAsia="仿宋_GB2312" w:cs="仿宋_GB2312"/>
          <w:color w:val="000000"/>
          <w:kern w:val="0"/>
          <w:sz w:val="32"/>
          <w:szCs w:val="32"/>
          <w:lang w:val="en-US" w:eastAsia="zh-CN"/>
        </w:rPr>
        <w:t>153.7</w:t>
      </w:r>
      <w:r>
        <w:rPr>
          <w:rFonts w:hint="eastAsia" w:ascii="仿宋_GB2312" w:hAnsi="仿宋_GB2312" w:eastAsia="仿宋_GB2312" w:cs="仿宋_GB2312"/>
          <w:color w:val="000000"/>
          <w:kern w:val="0"/>
          <w:sz w:val="32"/>
          <w:szCs w:val="32"/>
        </w:rPr>
        <w:t>%。主要原因为：</w:t>
      </w:r>
      <w:bookmarkStart w:id="56" w:name="_Hlk173248441"/>
      <w:r>
        <w:rPr>
          <w:rFonts w:hint="eastAsia" w:ascii="仿宋_GB2312" w:hAnsi="仿宋_GB2312" w:eastAsia="仿宋_GB2312" w:cs="仿宋_GB2312"/>
          <w:color w:val="000000"/>
          <w:kern w:val="0"/>
          <w:sz w:val="32"/>
          <w:szCs w:val="32"/>
          <w:lang w:val="en-US" w:eastAsia="zh-CN"/>
        </w:rPr>
        <w:t>项目支出增加、其他收入增加。</w:t>
      </w:r>
    </w:p>
    <w:bookmarkEnd w:id="56"/>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3" w:firstLineChars="200"/>
        <w:contextualSpacing/>
        <w:jc w:val="both"/>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000000"/>
          <w:kern w:val="0"/>
          <w:sz w:val="32"/>
          <w:szCs w:val="32"/>
        </w:rPr>
        <w:t>生态环境局：</w:t>
      </w:r>
      <w:r>
        <w:rPr>
          <w:rFonts w:hint="eastAsia" w:ascii="Times New Roman" w:hAnsi="Times New Roman" w:eastAsia="仿宋_GB2312" w:cs="仿宋_GB2312"/>
          <w:color w:val="auto"/>
          <w:kern w:val="2"/>
          <w:sz w:val="32"/>
          <w:szCs w:val="32"/>
          <w:highlight w:val="none"/>
          <w:lang w:val="en-US" w:eastAsia="zh-CN" w:bidi="ar-SA"/>
        </w:rPr>
        <w:t>2024年度财政拨款支出</w:t>
      </w:r>
      <w:r>
        <w:rPr>
          <w:rFonts w:hint="eastAsia" w:ascii="仿宋_GB2312" w:hAnsi="仿宋_GB2312" w:eastAsia="仿宋_GB2312" w:cs="仿宋_GB2312"/>
          <w:sz w:val="32"/>
          <w:szCs w:val="32"/>
        </w:rPr>
        <w:t>2073.99</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 xml:space="preserve"> 其中</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47.07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2.3</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17.87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0.9</w:t>
      </w:r>
      <w:r>
        <w:rPr>
          <w:rFonts w:hint="eastAsia" w:ascii="Times New Roman" w:hAnsi="Times New Roman" w:eastAsia="仿宋_GB2312" w:cs="仿宋_GB2312"/>
          <w:color w:val="auto"/>
          <w:kern w:val="2"/>
          <w:sz w:val="32"/>
          <w:szCs w:val="32"/>
          <w:highlight w:val="none"/>
          <w:lang w:val="en-US" w:eastAsia="zh-CN" w:bidi="ar-SA"/>
        </w:rPr>
        <w:t>%；</w:t>
      </w:r>
      <w:r>
        <w:rPr>
          <w:rFonts w:ascii="仿宋" w:hAnsi="仿宋" w:eastAsia="仿宋"/>
          <w:color w:val="000000"/>
          <w:sz w:val="32"/>
          <w:u w:color="auto"/>
        </w:rPr>
        <w:t>节能环保支出</w:t>
      </w:r>
      <w:r>
        <w:rPr>
          <w:rFonts w:hint="eastAsia" w:ascii="仿宋" w:hAnsi="仿宋" w:eastAsia="仿宋"/>
          <w:color w:val="000000"/>
          <w:sz w:val="32"/>
          <w:u w:color="auto"/>
          <w:lang w:val="en-US" w:eastAsia="zh-CN"/>
        </w:rPr>
        <w:t>1984.52</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95.7</w:t>
      </w:r>
      <w:r>
        <w:rPr>
          <w:rFonts w:ascii="仿宋" w:hAnsi="仿宋" w:eastAsia="仿宋"/>
          <w:color w:val="000000"/>
          <w:sz w:val="32"/>
          <w:u w:color="auto"/>
        </w:rPr>
        <w:t>%</w:t>
      </w:r>
      <w:r>
        <w:rPr>
          <w:rFonts w:hint="eastAsia" w:ascii="仿宋" w:hAnsi="仿宋" w:eastAsia="仿宋"/>
          <w:color w:val="000000"/>
          <w:sz w:val="32"/>
          <w:u w:color="auto"/>
          <w:lang w:eastAsia="zh-CN"/>
        </w:rPr>
        <w:t>；</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24.53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1.2</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pPr>
        <w:keepNext w:val="0"/>
        <w:keepLines w:val="0"/>
        <w:pageBreakBefore w:val="0"/>
        <w:kinsoku/>
        <w:wordWrap/>
        <w:overflowPunct/>
        <w:topLinePunct w:val="0"/>
        <w:autoSpaceDE/>
        <w:autoSpaceDN/>
        <w:bidi w:val="0"/>
        <w:spacing w:line="576" w:lineRule="exact"/>
        <w:ind w:left="0" w:leftChars="0" w:firstLine="643"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color w:val="000000"/>
          <w:kern w:val="0"/>
          <w:sz w:val="32"/>
          <w:szCs w:val="32"/>
        </w:rPr>
        <w:t>环境监测站：</w:t>
      </w:r>
      <w:r>
        <w:rPr>
          <w:rFonts w:hint="eastAsia" w:ascii="Times New Roman" w:hAnsi="Times New Roman" w:eastAsia="仿宋_GB2312" w:cs="仿宋_GB2312"/>
          <w:color w:val="auto"/>
          <w:kern w:val="2"/>
          <w:sz w:val="32"/>
          <w:szCs w:val="32"/>
          <w:highlight w:val="none"/>
          <w:lang w:val="en-US" w:eastAsia="zh-CN" w:bidi="ar-SA"/>
        </w:rPr>
        <w:t>2024年度财政拨款支出</w:t>
      </w:r>
      <w:r>
        <w:rPr>
          <w:rFonts w:hint="eastAsia" w:ascii="仿宋_GB2312" w:hAnsi="仿宋_GB2312" w:eastAsia="仿宋_GB2312" w:cs="仿宋_GB2312"/>
          <w:sz w:val="32"/>
          <w:szCs w:val="32"/>
        </w:rPr>
        <w:t>227.14</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，其中</w:t>
      </w:r>
      <w:r>
        <w:rPr>
          <w:rFonts w:hint="eastAsia" w:eastAsia="仿宋_GB2312" w:cs="仿宋_GB2312"/>
          <w:color w:val="auto"/>
          <w:kern w:val="2"/>
          <w:sz w:val="32"/>
          <w:szCs w:val="32"/>
          <w:highlight w:val="none"/>
          <w:lang w:val="en-US" w:eastAsia="zh-CN" w:bidi="ar-SA"/>
        </w:rPr>
        <w:t>社</w:t>
      </w:r>
      <w:r>
        <w:rPr>
          <w:rFonts w:ascii="仿宋" w:hAnsi="仿宋" w:eastAsia="仿宋"/>
          <w:color w:val="000000"/>
          <w:sz w:val="32"/>
          <w:u w:color="auto"/>
        </w:rPr>
        <w:t>会保障和就业支出</w:t>
      </w:r>
      <w:r>
        <w:rPr>
          <w:rFonts w:hint="eastAsia" w:ascii="仿宋" w:hAnsi="仿宋" w:eastAsia="仿宋"/>
          <w:color w:val="000000"/>
          <w:sz w:val="32"/>
          <w:u w:color="auto"/>
          <w:lang w:val="en-US" w:eastAsia="zh-CN"/>
        </w:rPr>
        <w:t>36.52</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16.1</w:t>
      </w:r>
      <w:r>
        <w:rPr>
          <w:rFonts w:ascii="仿宋" w:hAnsi="仿宋" w:eastAsia="仿宋"/>
          <w:color w:val="000000"/>
          <w:sz w:val="32"/>
          <w:u w:color="auto"/>
        </w:rPr>
        <w:t>%；卫生健康支出</w:t>
      </w:r>
      <w:r>
        <w:rPr>
          <w:rFonts w:hint="eastAsia" w:ascii="仿宋" w:hAnsi="仿宋" w:eastAsia="仿宋"/>
          <w:color w:val="000000"/>
          <w:sz w:val="32"/>
          <w:u w:color="auto"/>
          <w:lang w:val="en-US" w:eastAsia="zh-CN"/>
        </w:rPr>
        <w:t>16.16</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7.1</w:t>
      </w:r>
      <w:r>
        <w:rPr>
          <w:rFonts w:ascii="仿宋" w:hAnsi="仿宋" w:eastAsia="仿宋"/>
          <w:color w:val="000000"/>
          <w:sz w:val="32"/>
          <w:u w:color="auto"/>
        </w:rPr>
        <w:t>%；节能环保支出</w:t>
      </w:r>
      <w:r>
        <w:rPr>
          <w:rFonts w:hint="eastAsia" w:ascii="仿宋" w:hAnsi="仿宋" w:eastAsia="仿宋"/>
          <w:color w:val="000000"/>
          <w:sz w:val="32"/>
          <w:u w:color="auto"/>
          <w:lang w:val="en-US" w:eastAsia="zh-CN"/>
        </w:rPr>
        <w:t>152.66</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67.2</w:t>
      </w:r>
      <w:r>
        <w:rPr>
          <w:rFonts w:ascii="仿宋" w:hAnsi="仿宋" w:eastAsia="仿宋"/>
          <w:color w:val="000000"/>
          <w:sz w:val="32"/>
          <w:u w:color="auto"/>
        </w:rPr>
        <w:t>%；住房保障支出</w:t>
      </w:r>
      <w:r>
        <w:rPr>
          <w:rFonts w:hint="eastAsia" w:ascii="仿宋" w:hAnsi="仿宋" w:eastAsia="仿宋"/>
          <w:color w:val="000000"/>
          <w:sz w:val="32"/>
          <w:u w:color="auto"/>
          <w:lang w:val="en-US" w:eastAsia="zh-CN"/>
        </w:rPr>
        <w:t>21.8</w:t>
      </w:r>
      <w:r>
        <w:rPr>
          <w:rFonts w:ascii="仿宋" w:hAnsi="仿宋" w:eastAsia="仿宋"/>
          <w:color w:val="000000"/>
          <w:sz w:val="32"/>
          <w:u w:color="auto"/>
        </w:rPr>
        <w:t>万元，占</w:t>
      </w:r>
      <w:r>
        <w:rPr>
          <w:rFonts w:hint="eastAsia" w:ascii="仿宋" w:hAnsi="仿宋" w:eastAsia="仿宋"/>
          <w:color w:val="000000"/>
          <w:sz w:val="32"/>
          <w:u w:color="auto"/>
          <w:lang w:val="en-US" w:eastAsia="zh-CN"/>
        </w:rPr>
        <w:t>9.6</w:t>
      </w:r>
      <w:r>
        <w:rPr>
          <w:rFonts w:ascii="仿宋" w:hAnsi="仿宋" w:eastAsia="仿宋"/>
          <w:color w:val="000000"/>
          <w:sz w:val="32"/>
          <w:u w:color="auto"/>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left="0" w:leftChars="0" w:firstLine="643" w:firstLineChars="200"/>
        <w:contextualSpacing/>
        <w:jc w:val="left"/>
        <w:textAlignment w:val="auto"/>
        <w:outlineLvl w:val="2"/>
        <w:rPr>
          <w:rFonts w:hint="eastAsia" w:ascii="仿宋_GB2312" w:hAnsi="仿宋_GB2312" w:eastAsia="仿宋_GB2312" w:cs="仿宋_GB2312"/>
          <w:b/>
          <w:sz w:val="32"/>
          <w:szCs w:val="32"/>
        </w:rPr>
      </w:pPr>
      <w:bookmarkStart w:id="57" w:name="_Toc32335"/>
      <w:r>
        <w:rPr>
          <w:rFonts w:hint="eastAsia" w:ascii="仿宋_GB2312" w:hAnsi="仿宋_GB2312" w:eastAsia="仿宋_GB2312" w:cs="仿宋_GB2312"/>
          <w:b/>
          <w:sz w:val="32"/>
          <w:szCs w:val="32"/>
        </w:rPr>
        <w:t>结余分配和结转结余情况。</w:t>
      </w:r>
      <w:bookmarkEnd w:id="57"/>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按照决算报表202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年我单位无结转结余。</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00" w:firstLineChars="200"/>
        <w:contextualSpacing/>
        <w:jc w:val="left"/>
        <w:textAlignment w:val="auto"/>
        <w:outlineLvl w:val="9"/>
        <w:rPr>
          <w:rFonts w:hint="default" w:ascii="Times New Roman" w:hAnsi="Times New Roman" w:eastAsia="黑体" w:cs="Times New Roman"/>
          <w:color w:val="000000"/>
          <w:kern w:val="0"/>
          <w:sz w:val="30"/>
          <w:szCs w:val="30"/>
          <w:highlight w:val="none"/>
          <w:shd w:val="clear" w:color="auto" w:fill="FFFFFF"/>
          <w:lang w:val="zh-CN" w:eastAsia="zh-CN"/>
        </w:rPr>
      </w:pPr>
      <w:r>
        <w:rPr>
          <w:rFonts w:hint="default" w:ascii="Times New Roman" w:hAnsi="Times New Roman" w:eastAsia="黑体" w:cs="Times New Roman"/>
          <w:color w:val="000000"/>
          <w:kern w:val="0"/>
          <w:sz w:val="30"/>
          <w:szCs w:val="30"/>
          <w:highlight w:val="none"/>
          <w:shd w:val="clear" w:color="auto" w:fill="FFFFFF"/>
          <w:lang w:val="zh-CN" w:eastAsia="zh-CN"/>
        </w:rPr>
        <w:t>三、部门预算绩效分析</w:t>
      </w:r>
    </w:p>
    <w:p>
      <w:pPr>
        <w:keepNext w:val="0"/>
        <w:keepLines w:val="0"/>
        <w:pageBreakBefore w:val="0"/>
        <w:kinsoku/>
        <w:wordWrap/>
        <w:overflowPunct/>
        <w:topLinePunct w:val="0"/>
        <w:autoSpaceDE/>
        <w:autoSpaceDN/>
        <w:bidi w:val="0"/>
        <w:adjustRightInd w:val="0"/>
        <w:snapToGrid w:val="0"/>
        <w:spacing w:line="560" w:lineRule="exact"/>
        <w:ind w:leftChars="0" w:firstLine="602" w:firstLineChars="200"/>
        <w:contextualSpacing/>
        <w:jc w:val="left"/>
        <w:textAlignment w:val="auto"/>
        <w:rPr>
          <w:rFonts w:hint="default" w:ascii="Times New Roman" w:hAnsi="Times New Roman" w:eastAsia="楷体_GB2312" w:cs="Times New Roman"/>
          <w:b/>
          <w:bCs/>
          <w:color w:val="000000"/>
          <w:kern w:val="0"/>
          <w:sz w:val="30"/>
          <w:szCs w:val="30"/>
          <w:highlight w:val="none"/>
          <w:shd w:val="clear" w:color="auto" w:fill="FFFFFF"/>
          <w:lang w:val="zh-CN"/>
        </w:rPr>
      </w:pPr>
      <w:r>
        <w:rPr>
          <w:rFonts w:hint="default" w:ascii="Times New Roman" w:hAnsi="Times New Roman" w:eastAsia="楷体_GB2312" w:cs="Times New Roman"/>
          <w:b/>
          <w:bCs/>
          <w:color w:val="000000"/>
          <w:kern w:val="0"/>
          <w:sz w:val="30"/>
          <w:szCs w:val="30"/>
          <w:highlight w:val="none"/>
          <w:shd w:val="clear" w:color="auto" w:fill="FFFFFF"/>
          <w:lang w:val="zh-CN"/>
        </w:rPr>
        <w:t>（一）</w:t>
      </w:r>
      <w:r>
        <w:rPr>
          <w:rFonts w:hint="eastAsia" w:ascii="Times New Roman" w:hAnsi="Times New Roman" w:eastAsia="楷体_GB2312" w:cs="Times New Roman"/>
          <w:b/>
          <w:bCs/>
          <w:color w:val="000000"/>
          <w:kern w:val="0"/>
          <w:sz w:val="30"/>
          <w:szCs w:val="30"/>
          <w:highlight w:val="none"/>
          <w:shd w:val="clear" w:color="auto" w:fill="FFFFFF"/>
          <w:lang w:val="zh-CN"/>
        </w:rPr>
        <w:t>部门预算</w:t>
      </w:r>
      <w:r>
        <w:rPr>
          <w:rFonts w:hint="default" w:ascii="Times New Roman" w:hAnsi="Times New Roman" w:eastAsia="楷体_GB2312" w:cs="Times New Roman"/>
          <w:b/>
          <w:bCs/>
          <w:color w:val="000000"/>
          <w:kern w:val="0"/>
          <w:sz w:val="30"/>
          <w:szCs w:val="30"/>
          <w:highlight w:val="none"/>
          <w:shd w:val="clear" w:color="auto" w:fill="FFFFFF"/>
          <w:lang w:val="zh-CN"/>
        </w:rPr>
        <w:t>总体绩效分析。</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履行职能基本支出：九寨沟生态环境局、九寨沟生态环境保护中心、九寨沟生态环境保护综合行政执法大队人员工资、保险、工作经费等基本支出，</w:t>
      </w:r>
      <w:r>
        <w:rPr>
          <w:rFonts w:hint="eastAsia" w:ascii="仿宋_GB2312" w:hAnsi="仿宋_GB2312" w:eastAsia="仿宋_GB2312" w:cs="仿宋_GB2312"/>
          <w:color w:val="000000"/>
          <w:kern w:val="0"/>
          <w:sz w:val="32"/>
          <w:szCs w:val="32"/>
          <w:shd w:val="clear" w:color="auto" w:fill="FFFFFF"/>
        </w:rPr>
        <w:t>截止202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年底，按照相关部门要求开展工作，全面完成年度工作目标任务，资金支付率100%，完成效果优。</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履行职能基本支出：九寨沟环境监测站人员工资、保险、工作经费等基本支出，</w:t>
      </w:r>
      <w:r>
        <w:rPr>
          <w:rFonts w:hint="eastAsia" w:ascii="仿宋_GB2312" w:hAnsi="仿宋_GB2312" w:eastAsia="仿宋_GB2312" w:cs="仿宋_GB2312"/>
          <w:color w:val="000000"/>
          <w:kern w:val="0"/>
          <w:sz w:val="32"/>
          <w:szCs w:val="32"/>
          <w:shd w:val="clear" w:color="auto" w:fill="FFFFFF"/>
        </w:rPr>
        <w:t>截止202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年底，按照相关部门要求开展工作，全面完成年度工作目标任务，资金支付率100%，完成效果优。</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color w:val="000000"/>
          <w:spacing w:val="-6"/>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zh-CN"/>
        </w:rPr>
        <w:t>履行职能</w:t>
      </w:r>
      <w:r>
        <w:rPr>
          <w:rFonts w:hint="eastAsia" w:ascii="仿宋_GB2312" w:hAnsi="仿宋_GB2312" w:eastAsia="仿宋_GB2312" w:cs="仿宋_GB2312"/>
          <w:color w:val="000000"/>
          <w:kern w:val="0"/>
          <w:sz w:val="32"/>
          <w:szCs w:val="32"/>
          <w:shd w:val="clear" w:color="auto" w:fill="FFFFFF"/>
        </w:rPr>
        <w:t>项目</w:t>
      </w:r>
      <w:r>
        <w:rPr>
          <w:rFonts w:hint="eastAsia" w:ascii="仿宋_GB2312" w:hAnsi="仿宋_GB2312" w:eastAsia="仿宋_GB2312" w:cs="仿宋_GB2312"/>
          <w:color w:val="000000"/>
          <w:kern w:val="0"/>
          <w:sz w:val="32"/>
          <w:szCs w:val="32"/>
          <w:shd w:val="clear" w:color="auto" w:fill="FFFFFF"/>
          <w:lang w:val="zh-CN"/>
        </w:rPr>
        <w:t>支出：九寨沟县202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lang w:val="zh-CN"/>
        </w:rPr>
        <w:t>年生态环境宣传、生态环境执法检查、开展环境执法应急监测重点污染源监督性监测及监测运维费等专项工作经费</w:t>
      </w:r>
      <w:r>
        <w:rPr>
          <w:rFonts w:hint="eastAsia" w:ascii="仿宋_GB2312" w:hAnsi="仿宋_GB2312" w:eastAsia="仿宋_GB2312" w:cs="仿宋_GB2312"/>
          <w:color w:val="000000"/>
          <w:kern w:val="0"/>
          <w:sz w:val="32"/>
          <w:szCs w:val="32"/>
          <w:shd w:val="clear" w:color="auto" w:fill="FFFFFF"/>
        </w:rPr>
        <w:t>支出，截止202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年底，按照相关要</w:t>
      </w:r>
      <w:r>
        <w:rPr>
          <w:rFonts w:hint="eastAsia" w:ascii="仿宋_GB2312" w:hAnsi="仿宋_GB2312" w:eastAsia="仿宋_GB2312" w:cs="仿宋_GB2312"/>
          <w:color w:val="000000"/>
          <w:spacing w:val="-6"/>
          <w:kern w:val="0"/>
          <w:sz w:val="32"/>
          <w:szCs w:val="32"/>
          <w:shd w:val="clear" w:color="auto" w:fill="FFFFFF"/>
        </w:rPr>
        <w:t>求，全面完成年度工作目标任务，资金支付率100%，完成效果优。</w:t>
      </w:r>
    </w:p>
    <w:p>
      <w:pPr>
        <w:pStyle w:val="2"/>
        <w:keepNext w:val="0"/>
        <w:keepLines w:val="0"/>
        <w:pageBreakBefore w:val="0"/>
        <w:kinsoku/>
        <w:wordWrap/>
        <w:overflowPunct/>
        <w:topLinePunct w:val="0"/>
        <w:autoSpaceDE/>
        <w:autoSpaceDN/>
        <w:bidi w:val="0"/>
        <w:spacing w:after="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行职能项目支出：嘉陵江流域白水江九寨沟县县城上游段水生态保护修复项目上游项目。根据资金到位情况项目（一期）已完工，项目（二期）一标段已完工，项目（二期）二标段已完工，项目（二期）三标段正在建设中</w:t>
      </w:r>
      <w:r>
        <w:rPr>
          <w:rFonts w:hint="eastAsia" w:hAnsi="仿宋_GB2312" w:eastAsia="仿宋_GB2312" w:cs="仿宋_GB2312"/>
          <w:sz w:val="32"/>
          <w:szCs w:val="32"/>
          <w:lang w:eastAsia="zh-CN"/>
        </w:rPr>
        <w:t>。</w:t>
      </w:r>
      <w:r>
        <w:rPr>
          <w:rFonts w:hint="eastAsia" w:ascii="仿宋_GB2312" w:hAnsi="仿宋_GB2312" w:eastAsia="仿宋_GB2312" w:cs="仿宋_GB2312"/>
          <w:sz w:val="32"/>
          <w:szCs w:val="32"/>
        </w:rPr>
        <w:t>资金支付严格按照项目进度进行支付。</w:t>
      </w:r>
    </w:p>
    <w:p>
      <w:pPr>
        <w:pStyle w:val="2"/>
        <w:keepNext w:val="0"/>
        <w:keepLines w:val="0"/>
        <w:pageBreakBefore w:val="0"/>
        <w:kinsoku/>
        <w:wordWrap/>
        <w:overflowPunct/>
        <w:topLinePunct w:val="0"/>
        <w:autoSpaceDE/>
        <w:autoSpaceDN/>
        <w:bidi w:val="0"/>
        <w:spacing w:after="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其他收入项目支出：202</w:t>
      </w:r>
      <w:r>
        <w:rPr>
          <w:rFonts w:hint="eastAsia" w:hAnsi="仿宋_GB2312" w:eastAsia="仿宋_GB2312" w:cs="仿宋_GB2312"/>
          <w:sz w:val="32"/>
          <w:szCs w:val="32"/>
          <w:lang w:val="en-US" w:eastAsia="zh-CN"/>
        </w:rPr>
        <w:t>3</w:t>
      </w:r>
      <w:r>
        <w:rPr>
          <w:rFonts w:hint="eastAsia" w:ascii="仿宋_GB2312" w:hAnsi="仿宋_GB2312" w:eastAsia="仿宋_GB2312" w:cs="仿宋_GB2312"/>
          <w:sz w:val="32"/>
          <w:szCs w:val="32"/>
        </w:rPr>
        <w:t>年州财政代管采购项目未跨年项目支付项目尾款，截止202</w:t>
      </w:r>
      <w:r>
        <w:rPr>
          <w:rFonts w:hint="eastAsia" w:hAnsi="仿宋_GB2312" w:eastAsia="仿宋_GB2312" w:cs="仿宋_GB2312"/>
          <w:sz w:val="32"/>
          <w:szCs w:val="32"/>
          <w:lang w:val="en-US" w:eastAsia="zh-CN"/>
        </w:rPr>
        <w:t>4</w:t>
      </w:r>
      <w:r>
        <w:rPr>
          <w:rFonts w:hint="eastAsia" w:ascii="仿宋_GB2312" w:hAnsi="仿宋_GB2312" w:eastAsia="仿宋_GB2312" w:cs="仿宋_GB2312"/>
          <w:sz w:val="32"/>
          <w:szCs w:val="32"/>
        </w:rPr>
        <w:t>年底，按照相关要求，全面完成年度工作目标任务，资金支付率100%，效果完成忧。</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预算管理。</w:t>
      </w:r>
    </w:p>
    <w:p>
      <w:pPr>
        <w:keepNext w:val="0"/>
        <w:keepLines w:val="0"/>
        <w:pageBreakBefore w:val="0"/>
        <w:widowControl/>
        <w:kinsoku/>
        <w:wordWrap/>
        <w:overflowPunct/>
        <w:topLinePunct w:val="0"/>
        <w:autoSpaceDE/>
        <w:autoSpaceDN/>
        <w:bidi w:val="0"/>
        <w:adjustRightInd w:val="0"/>
        <w:snapToGrid w:val="0"/>
        <w:spacing w:line="560" w:lineRule="exact"/>
        <w:ind w:leftChars="0" w:firstLine="643" w:firstLineChars="200"/>
        <w:contextualSpacing/>
        <w:jc w:val="left"/>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b/>
          <w:bCs/>
          <w:sz w:val="32"/>
          <w:szCs w:val="32"/>
        </w:rPr>
        <w:t>科学、精准预算编制。</w:t>
      </w:r>
      <w:r>
        <w:rPr>
          <w:rFonts w:hint="eastAsia" w:ascii="仿宋_GB2312" w:hAnsi="仿宋_GB2312" w:eastAsia="仿宋_GB2312" w:cs="仿宋_GB2312"/>
          <w:sz w:val="32"/>
          <w:szCs w:val="32"/>
        </w:rPr>
        <w:t>按照州财政预算编制工作要求，结合本单位实际，通过科学合理地编制预算，能够清晰明确各项环保任务所需的资金支持，确保资源精准投入到关键领域。充分考虑环境状况、政策要求以及社会需求。深入调研环境问题的突出领域，评估各项治理措施的成本效益，从而制定出既符合实际又具有前瞻性的预算方案，并提交预算草案经主管部门及州财政审批后予以下达。根据年初下达的预算数，严控资金使用制度，确保每一笔资金都按照预算安排和规定用途使用。</w:t>
      </w:r>
    </w:p>
    <w:p>
      <w:pPr>
        <w:keepNext w:val="0"/>
        <w:keepLines w:val="0"/>
        <w:pageBreakBefore w:val="0"/>
        <w:widowControl/>
        <w:kinsoku/>
        <w:wordWrap/>
        <w:overflowPunct/>
        <w:topLinePunct w:val="0"/>
        <w:autoSpaceDE/>
        <w:autoSpaceDN/>
        <w:bidi w:val="0"/>
        <w:adjustRightInd w:val="0"/>
        <w:snapToGrid w:val="0"/>
        <w:spacing w:line="560" w:lineRule="exact"/>
        <w:ind w:leftChars="0" w:firstLine="643"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预算动态调整、执行进度。</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完成预算的100%，基本支出和项目支出执行力度和完成情况较好。在预算执行中，严格按工作开展进度、预算资金计划等执行，加强对项目实施过程的监督和评估，对于重大项目，要进行绩效跟踪，保证资金的使用效率和项目的顺利推进。按照预算绩效管理制度加强项目的事前、事中、事后监管，不存在超进度、超预算、超范围拨付资金。</w:t>
      </w:r>
      <w:r>
        <w:rPr>
          <w:rFonts w:hint="eastAsia" w:ascii="仿宋_GB2312" w:hAnsi="仿宋_GB2312" w:eastAsia="仿宋_GB2312" w:cs="仿宋_GB2312"/>
          <w:color w:val="000000"/>
          <w:kern w:val="0"/>
          <w:sz w:val="32"/>
          <w:szCs w:val="32"/>
          <w:shd w:val="clear" w:color="auto" w:fill="FFFFFF"/>
        </w:rPr>
        <w:t>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lang w:val="zh-CN"/>
        </w:rPr>
        <w:t>年我</w:t>
      </w:r>
      <w:r>
        <w:rPr>
          <w:rFonts w:hint="eastAsia" w:ascii="仿宋_GB2312" w:hAnsi="仿宋_GB2312" w:eastAsia="仿宋_GB2312" w:cs="仿宋_GB2312"/>
          <w:color w:val="000000"/>
          <w:kern w:val="0"/>
          <w:sz w:val="32"/>
          <w:szCs w:val="32"/>
          <w:shd w:val="clear" w:color="auto" w:fill="FFFFFF"/>
        </w:rPr>
        <w:t>单位</w:t>
      </w:r>
      <w:r>
        <w:rPr>
          <w:rFonts w:hint="eastAsia" w:ascii="仿宋_GB2312" w:hAnsi="仿宋_GB2312" w:eastAsia="仿宋_GB2312" w:cs="仿宋_GB2312"/>
          <w:color w:val="000000"/>
          <w:kern w:val="0"/>
          <w:sz w:val="32"/>
          <w:szCs w:val="32"/>
          <w:shd w:val="clear" w:color="auto" w:fill="FFFFFF"/>
          <w:lang w:val="zh-CN"/>
        </w:rPr>
        <w:t>基本支出和项目支出均按照</w:t>
      </w:r>
      <w:r>
        <w:rPr>
          <w:rFonts w:hint="eastAsia" w:ascii="仿宋_GB2312" w:hAnsi="仿宋_GB2312" w:eastAsia="仿宋_GB2312" w:cs="仿宋_GB2312"/>
          <w:kern w:val="0"/>
          <w:sz w:val="32"/>
          <w:szCs w:val="32"/>
          <w:shd w:val="clear" w:color="auto" w:fill="FFFFFF"/>
          <w:lang w:val="zh-CN"/>
        </w:rPr>
        <w:t>实际进度进行列支。</w:t>
      </w:r>
      <w:r>
        <w:rPr>
          <w:rFonts w:hint="eastAsia" w:ascii="仿宋_GB2312" w:hAnsi="仿宋_GB2312" w:eastAsia="仿宋_GB2312" w:cs="仿宋_GB2312"/>
          <w:sz w:val="32"/>
          <w:szCs w:val="32"/>
        </w:rPr>
        <w:t xml:space="preserve"> </w:t>
      </w:r>
    </w:p>
    <w:p>
      <w:pPr>
        <w:pStyle w:val="2"/>
        <w:keepNext w:val="0"/>
        <w:keepLines w:val="0"/>
        <w:pageBreakBefore w:val="0"/>
        <w:kinsoku/>
        <w:wordWrap/>
        <w:overflowPunct/>
        <w:topLinePunct w:val="0"/>
        <w:autoSpaceDE/>
        <w:autoSpaceDN/>
        <w:bidi w:val="0"/>
        <w:spacing w:after="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lang w:val="zh-CN"/>
        </w:rPr>
        <w:t>单位收入统筹、预算年终结余。</w:t>
      </w:r>
      <w:r>
        <w:rPr>
          <w:rFonts w:hint="eastAsia" w:ascii="仿宋_GB2312" w:hAnsi="仿宋_GB2312" w:eastAsia="仿宋_GB2312" w:cs="仿宋_GB2312"/>
          <w:color w:val="000000"/>
          <w:kern w:val="0"/>
          <w:sz w:val="32"/>
          <w:szCs w:val="32"/>
          <w:shd w:val="clear" w:color="auto" w:fill="FFFFFF"/>
        </w:rPr>
        <w:t>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年我单位收入包括财政拨款收入和其他收入，均按照财政要求在预算一体化中体现，及时做好收入追加，202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rPr>
        <w:t>年底我单位年终结余全部收回财政。</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财务管理。</w:t>
      </w:r>
    </w:p>
    <w:p>
      <w:pPr>
        <w:pStyle w:val="5"/>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单位分别设会计、出纳人员各一名，实际工作中，会计、出纳各负其责、各司其职，相互制约。在经费管理中，建立规章制度，严格按照“逐级”审批原则，从严控制，紧缩支出。加强票据管理，严格审批权限，避免财务风险，加强和规范内部控制制度建设，提高会计核算和管理水平，持续推进和完善“小金库”治理工作的制度化、规范化和常态化，督促会计人员对各项财务、款项的增减变动和结存情况及时进行记录、计算、反映、核对，保证账证相符、帐表相符。加强完善内部财务管理制度，严格按照</w:t>
      </w:r>
      <w:r>
        <w:rPr>
          <w:rFonts w:hint="eastAsia" w:ascii="仿宋_GB2312" w:hAnsi="仿宋_GB2312" w:eastAsia="仿宋_GB2312" w:cs="仿宋_GB2312"/>
          <w:sz w:val="32"/>
          <w:szCs w:val="32"/>
        </w:rPr>
        <w:t>财务</w:t>
      </w:r>
      <w:r>
        <w:rPr>
          <w:rFonts w:hint="eastAsia" w:ascii="仿宋_GB2312" w:hAnsi="仿宋_GB2312" w:eastAsia="仿宋_GB2312" w:cs="仿宋_GB2312"/>
          <w:sz w:val="32"/>
          <w:szCs w:val="32"/>
          <w:lang w:val="zh-CN"/>
        </w:rPr>
        <w:t>管理办法</w:t>
      </w:r>
      <w:r>
        <w:rPr>
          <w:rFonts w:hint="eastAsia" w:ascii="仿宋_GB2312" w:hAnsi="仿宋_GB2312" w:eastAsia="仿宋_GB2312" w:cs="仿宋_GB2312"/>
          <w:sz w:val="32"/>
          <w:szCs w:val="32"/>
        </w:rPr>
        <w:t>支出相关经费</w:t>
      </w:r>
      <w:r>
        <w:rPr>
          <w:rFonts w:hint="eastAsia" w:ascii="仿宋_GB2312" w:hAnsi="仿宋_GB2312" w:eastAsia="仿宋_GB2312" w:cs="仿宋_GB2312"/>
          <w:sz w:val="32"/>
          <w:szCs w:val="32"/>
          <w:lang w:val="zh-CN"/>
        </w:rPr>
        <w:t>。</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资产管理。</w:t>
      </w:r>
    </w:p>
    <w:p>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我单位部门预算编制同步编制新增资产配置预算；国有资产交付使用后及时准确入账；明确资产使用和保管责任人、落实资产使用人在资产管理中的责任；国有资产折旧的计提符合相关会计规范；定期清理盘点资产、确保账实相符；行政事业性国有资产纳入四川省行政事业单位资产管理信息系统动态管理</w:t>
      </w:r>
      <w:r>
        <w:rPr>
          <w:rFonts w:hint="eastAsia" w:ascii="仿宋_GB2312" w:hAnsi="仿宋_GB2312" w:eastAsia="仿宋_GB2312" w:cs="仿宋_GB2312"/>
          <w:color w:val="C00000"/>
          <w:kern w:val="0"/>
          <w:sz w:val="32"/>
          <w:szCs w:val="32"/>
          <w:shd w:val="clear" w:color="auto" w:fill="FFFFFF"/>
          <w:lang w:val="zh-CN"/>
        </w:rPr>
        <w:t>。</w:t>
      </w:r>
      <w:r>
        <w:rPr>
          <w:rFonts w:hint="eastAsia" w:ascii="仿宋_GB2312" w:hAnsi="仿宋_GB2312" w:eastAsia="仿宋_GB2312" w:cs="仿宋_GB2312"/>
          <w:sz w:val="32"/>
          <w:szCs w:val="32"/>
          <w:lang w:val="zh-CN" w:eastAsia="zh-CN"/>
        </w:rPr>
        <w:t>根据州直行政事业单位2024年人均资产变化率24.28%、州直行政事业单位办公家具资产利用率平均值10.03%、州直行政事业单位办公设备资产利用率平均值47.86%。</w:t>
      </w:r>
      <w:r>
        <w:rPr>
          <w:rFonts w:hint="eastAsia" w:ascii="仿宋_GB2312" w:hAnsi="仿宋_GB2312" w:eastAsia="仿宋_GB2312" w:cs="仿宋_GB2312"/>
          <w:sz w:val="32"/>
          <w:szCs w:val="32"/>
          <w:lang w:val="en-US" w:eastAsia="zh-CN"/>
        </w:rPr>
        <w:t>主要变化原因为：2024年清产核资后新增往年未录入固定资产。</w:t>
      </w:r>
      <w:r>
        <w:rPr>
          <w:rFonts w:hint="eastAsia" w:ascii="仿宋_GB2312" w:hAnsi="仿宋_GB2312" w:eastAsia="仿宋_GB2312" w:cs="仿宋_GB2312"/>
          <w:color w:val="auto"/>
          <w:kern w:val="0"/>
          <w:sz w:val="32"/>
          <w:szCs w:val="32"/>
          <w:shd w:val="clear" w:color="auto" w:fill="FFFFFF"/>
        </w:rPr>
        <w:t>主要变化原因为：</w:t>
      </w:r>
      <w:r>
        <w:rPr>
          <w:rFonts w:hint="eastAsia" w:ascii="仿宋_GB2312" w:hAnsi="仿宋_GB2312" w:eastAsia="仿宋_GB2312" w:cs="仿宋_GB2312"/>
          <w:color w:val="auto"/>
          <w:kern w:val="0"/>
          <w:sz w:val="32"/>
          <w:szCs w:val="32"/>
          <w:shd w:val="clear" w:color="auto" w:fill="FFFFFF"/>
          <w:lang w:val="en-US" w:eastAsia="zh-CN"/>
        </w:rPr>
        <w:t>家具类资产为陈旧老资产，近几年未新增。</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5.</w:t>
      </w:r>
      <w:r>
        <w:rPr>
          <w:rFonts w:hint="eastAsia" w:ascii="仿宋_GB2312" w:hAnsi="仿宋_GB2312" w:eastAsia="仿宋_GB2312" w:cs="仿宋_GB2312"/>
          <w:color w:val="000000"/>
          <w:kern w:val="0"/>
          <w:sz w:val="32"/>
          <w:szCs w:val="32"/>
          <w:shd w:val="clear" w:color="auto" w:fill="FFFFFF"/>
          <w:lang w:val="zh-CN"/>
        </w:rPr>
        <w:t>采购管理。</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000000"/>
          <w:kern w:val="0"/>
          <w:sz w:val="32"/>
          <w:szCs w:val="32"/>
          <w:shd w:val="clear" w:color="auto" w:fill="FFFFFF"/>
          <w:lang w:val="zh-CN"/>
        </w:rPr>
        <w:t>我单位严格遵循相关法律法规和采购程序，确保采购过程的公平、公正、公开。按法定采购方式和程序实施采购，不存在无预算采购、超预算采购情况，按规定进行政府采购计划备案，不存在拆分项目预算规避政府采购或公开招标情况，按采购文件确定事项签订政府采购合同，按规定公告、备案政府采购合同，按照合同约定及时支付资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3" w:firstLineChars="200"/>
        <w:contextualSpacing/>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shd w:val="clear" w:color="auto" w:fill="FFFFFF"/>
          <w:lang w:val="zh-CN"/>
        </w:rPr>
        <w:t>（二）部门预算项目绩效分析。</w:t>
      </w:r>
      <w:r>
        <w:rPr>
          <w:rFonts w:hint="eastAsia" w:ascii="仿宋_GB2312" w:hAnsi="仿宋_GB2312" w:eastAsia="仿宋_GB2312" w:cs="仿宋_GB2312"/>
          <w:color w:val="auto"/>
          <w:kern w:val="2"/>
          <w:sz w:val="32"/>
          <w:szCs w:val="32"/>
          <w:highlight w:val="none"/>
          <w:lang w:val="zh-CN" w:eastAsia="zh-CN" w:bidi="ar-SA"/>
        </w:rPr>
        <w:t>填报以下数据，并根据部门预算绩效评价指标体系“项目绩效”涉及二、三级指标进行逐项绩效分析并评分，依次包括项目</w:t>
      </w:r>
      <w:r>
        <w:rPr>
          <w:rFonts w:hint="eastAsia" w:ascii="仿宋_GB2312" w:hAnsi="仿宋_GB2312" w:eastAsia="仿宋_GB2312" w:cs="仿宋_GB2312"/>
          <w:color w:val="auto"/>
          <w:kern w:val="2"/>
          <w:sz w:val="32"/>
          <w:szCs w:val="32"/>
          <w:highlight w:val="none"/>
          <w:lang w:val="en-US" w:eastAsia="zh-CN" w:bidi="ar-SA"/>
        </w:rPr>
        <w:t>决策、项目执行、目标实现等情况。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both"/>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常年项目绩效分析。</w:t>
      </w:r>
      <w:r>
        <w:rPr>
          <w:rFonts w:hint="eastAsia" w:ascii="仿宋_GB2312" w:hAnsi="仿宋_GB2312" w:eastAsia="仿宋_GB2312" w:cs="仿宋_GB2312"/>
          <w:color w:val="auto"/>
          <w:kern w:val="2"/>
          <w:sz w:val="32"/>
          <w:szCs w:val="32"/>
          <w:highlight w:val="none"/>
          <w:lang w:val="zh-CN" w:eastAsia="zh-CN" w:bidi="ar-SA"/>
        </w:rPr>
        <w:t>该类项目总数</w:t>
      </w:r>
      <w:r>
        <w:rPr>
          <w:rFonts w:hint="eastAsia" w:ascii="仿宋_GB2312" w:hAnsi="仿宋_GB2312" w:eastAsia="仿宋_GB2312" w:cs="仿宋_GB2312"/>
          <w:color w:val="auto"/>
          <w:kern w:val="2"/>
          <w:sz w:val="32"/>
          <w:szCs w:val="32"/>
          <w:highlight w:val="none"/>
          <w:lang w:val="en-US" w:eastAsia="zh-CN" w:bidi="ar-SA"/>
        </w:rPr>
        <w:t>10</w:t>
      </w:r>
      <w:r>
        <w:rPr>
          <w:rFonts w:hint="eastAsia" w:ascii="仿宋_GB2312" w:hAnsi="仿宋_GB2312" w:eastAsia="仿宋_GB2312" w:cs="仿宋_GB2312"/>
          <w:color w:val="auto"/>
          <w:kern w:val="2"/>
          <w:sz w:val="32"/>
          <w:szCs w:val="32"/>
          <w:highlight w:val="none"/>
          <w:lang w:val="zh-CN" w:eastAsia="zh-CN" w:bidi="ar-SA"/>
        </w:rPr>
        <w:t>个，涉及预算总金额</w:t>
      </w:r>
      <w:r>
        <w:rPr>
          <w:rFonts w:hint="eastAsia" w:ascii="仿宋_GB2312" w:hAnsi="仿宋_GB2312" w:eastAsia="仿宋_GB2312" w:cs="仿宋_GB2312"/>
          <w:color w:val="auto"/>
          <w:kern w:val="2"/>
          <w:sz w:val="32"/>
          <w:szCs w:val="32"/>
          <w:highlight w:val="none"/>
          <w:lang w:val="en-US" w:eastAsia="zh-CN" w:bidi="ar-SA"/>
        </w:rPr>
        <w:t>372.67</w:t>
      </w:r>
      <w:r>
        <w:rPr>
          <w:rFonts w:hint="eastAsia" w:ascii="仿宋_GB2312" w:hAnsi="仿宋_GB2312" w:eastAsia="仿宋_GB2312" w:cs="仿宋_GB2312"/>
          <w:color w:val="auto"/>
          <w:kern w:val="2"/>
          <w:sz w:val="32"/>
          <w:szCs w:val="32"/>
          <w:highlight w:val="none"/>
          <w:lang w:val="zh-CN" w:eastAsia="zh-CN" w:bidi="ar-SA"/>
        </w:rPr>
        <w:t>万元，1—1</w:t>
      </w:r>
      <w:r>
        <w:rPr>
          <w:rFonts w:hint="eastAsia" w:ascii="仿宋_GB2312" w:hAnsi="仿宋_GB2312" w:eastAsia="仿宋_GB2312" w:cs="仿宋_GB2312"/>
          <w:color w:val="auto"/>
          <w:kern w:val="2"/>
          <w:sz w:val="32"/>
          <w:szCs w:val="32"/>
          <w:highlight w:val="none"/>
          <w:lang w:val="en-US" w:eastAsia="zh-CN" w:bidi="ar-SA"/>
        </w:rPr>
        <w:t>2</w:t>
      </w:r>
      <w:r>
        <w:rPr>
          <w:rFonts w:hint="eastAsia" w:ascii="仿宋_GB2312" w:hAnsi="仿宋_GB2312" w:eastAsia="仿宋_GB2312" w:cs="仿宋_GB2312"/>
          <w:color w:val="auto"/>
          <w:kern w:val="2"/>
          <w:sz w:val="32"/>
          <w:szCs w:val="32"/>
          <w:highlight w:val="none"/>
          <w:lang w:val="zh-CN" w:eastAsia="zh-CN" w:bidi="ar-SA"/>
        </w:rPr>
        <w:t>月预算执行总体进度为</w:t>
      </w:r>
      <w:r>
        <w:rPr>
          <w:rFonts w:hint="eastAsia" w:ascii="仿宋_GB2312" w:hAnsi="仿宋_GB2312" w:eastAsia="仿宋_GB2312" w:cs="仿宋_GB2312"/>
          <w:color w:val="auto"/>
          <w:kern w:val="2"/>
          <w:sz w:val="32"/>
          <w:szCs w:val="32"/>
          <w:highlight w:val="none"/>
          <w:lang w:val="en-US" w:eastAsia="zh-CN" w:bidi="ar-SA"/>
        </w:rPr>
        <w:t>100</w:t>
      </w:r>
      <w:r>
        <w:rPr>
          <w:rFonts w:hint="eastAsia" w:ascii="仿宋_GB2312" w:hAnsi="仿宋_GB2312" w:eastAsia="仿宋_GB2312" w:cs="仿宋_GB2312"/>
          <w:color w:val="auto"/>
          <w:kern w:val="2"/>
          <w:sz w:val="32"/>
          <w:szCs w:val="32"/>
          <w:highlight w:val="none"/>
          <w:lang w:val="zh-CN" w:eastAsia="zh-CN" w:bidi="ar-SA"/>
        </w:rPr>
        <w:t>%，其中：预算结余率大于</w:t>
      </w:r>
      <w:r>
        <w:rPr>
          <w:rFonts w:hint="eastAsia" w:ascii="仿宋_GB2312" w:hAnsi="仿宋_GB2312" w:eastAsia="仿宋_GB2312" w:cs="仿宋_GB2312"/>
          <w:color w:val="auto"/>
          <w:kern w:val="2"/>
          <w:sz w:val="32"/>
          <w:szCs w:val="32"/>
          <w:highlight w:val="none"/>
          <w:lang w:val="en-US" w:eastAsia="zh-CN" w:bidi="ar-SA"/>
        </w:rPr>
        <w:t>10%</w:t>
      </w:r>
      <w:r>
        <w:rPr>
          <w:rFonts w:hint="eastAsia" w:ascii="仿宋_GB2312" w:hAnsi="仿宋_GB2312" w:eastAsia="仿宋_GB2312" w:cs="仿宋_GB2312"/>
          <w:color w:val="auto"/>
          <w:kern w:val="2"/>
          <w:sz w:val="32"/>
          <w:szCs w:val="32"/>
          <w:highlight w:val="none"/>
          <w:lang w:val="zh-CN" w:eastAsia="zh-CN" w:bidi="ar-SA"/>
        </w:rPr>
        <w:t>的项目共计</w:t>
      </w:r>
      <w:r>
        <w:rPr>
          <w:rFonts w:hint="eastAsia" w:ascii="仿宋_GB2312" w:hAnsi="仿宋_GB2312" w:eastAsia="仿宋_GB2312" w:cs="仿宋_GB2312"/>
          <w:color w:val="auto"/>
          <w:kern w:val="2"/>
          <w:sz w:val="32"/>
          <w:szCs w:val="32"/>
          <w:highlight w:val="none"/>
          <w:lang w:val="en-US" w:eastAsia="zh-CN" w:bidi="ar-SA"/>
        </w:rPr>
        <w:t>0</w:t>
      </w:r>
      <w:r>
        <w:rPr>
          <w:rFonts w:hint="eastAsia" w:ascii="仿宋_GB2312" w:hAnsi="仿宋_GB2312" w:eastAsia="仿宋_GB2312" w:cs="仿宋_GB2312"/>
          <w:color w:val="auto"/>
          <w:kern w:val="2"/>
          <w:sz w:val="32"/>
          <w:szCs w:val="32"/>
          <w:highlight w:val="none"/>
          <w:lang w:val="zh-CN" w:eastAsia="zh-CN" w:bidi="ar-SA"/>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both"/>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阶段（一次性）项目绩效分析。</w:t>
      </w:r>
      <w:r>
        <w:rPr>
          <w:rFonts w:hint="eastAsia" w:ascii="仿宋_GB2312" w:hAnsi="仿宋_GB2312" w:eastAsia="仿宋_GB2312" w:cs="仿宋_GB2312"/>
          <w:color w:val="auto"/>
          <w:kern w:val="2"/>
          <w:sz w:val="32"/>
          <w:szCs w:val="32"/>
          <w:highlight w:val="none"/>
          <w:lang w:val="zh-CN" w:eastAsia="zh-CN" w:bidi="ar-SA"/>
        </w:rPr>
        <w:t>该类项目总数</w:t>
      </w:r>
      <w:r>
        <w:rPr>
          <w:rFonts w:hint="eastAsia" w:ascii="仿宋_GB2312" w:hAnsi="仿宋_GB2312" w:eastAsia="仿宋_GB2312" w:cs="仿宋_GB2312"/>
          <w:color w:val="auto"/>
          <w:kern w:val="2"/>
          <w:sz w:val="32"/>
          <w:szCs w:val="32"/>
          <w:highlight w:val="none"/>
          <w:lang w:val="en-US" w:eastAsia="zh-CN" w:bidi="ar-SA"/>
        </w:rPr>
        <w:t>5</w:t>
      </w:r>
      <w:r>
        <w:rPr>
          <w:rFonts w:hint="eastAsia" w:ascii="仿宋_GB2312" w:hAnsi="仿宋_GB2312" w:eastAsia="仿宋_GB2312" w:cs="仿宋_GB2312"/>
          <w:color w:val="auto"/>
          <w:kern w:val="2"/>
          <w:sz w:val="32"/>
          <w:szCs w:val="32"/>
          <w:highlight w:val="none"/>
          <w:lang w:val="zh-CN" w:eastAsia="zh-CN" w:bidi="ar-SA"/>
        </w:rPr>
        <w:t>个，涉及预算总金额</w:t>
      </w:r>
      <w:r>
        <w:rPr>
          <w:rFonts w:hint="eastAsia" w:ascii="仿宋_GB2312" w:hAnsi="仿宋_GB2312" w:eastAsia="仿宋_GB2312" w:cs="仿宋_GB2312"/>
          <w:color w:val="auto"/>
          <w:kern w:val="2"/>
          <w:sz w:val="32"/>
          <w:szCs w:val="32"/>
          <w:highlight w:val="none"/>
          <w:lang w:val="en-US" w:eastAsia="zh-CN" w:bidi="ar-SA"/>
        </w:rPr>
        <w:t>1716.72</w:t>
      </w:r>
      <w:r>
        <w:rPr>
          <w:rFonts w:hint="eastAsia" w:ascii="仿宋_GB2312" w:hAnsi="仿宋_GB2312" w:eastAsia="仿宋_GB2312" w:cs="仿宋_GB2312"/>
          <w:color w:val="auto"/>
          <w:kern w:val="2"/>
          <w:sz w:val="32"/>
          <w:szCs w:val="32"/>
          <w:highlight w:val="none"/>
          <w:lang w:val="zh-CN" w:eastAsia="zh-CN" w:bidi="ar-SA"/>
        </w:rPr>
        <w:t>万元，1—1</w:t>
      </w:r>
      <w:r>
        <w:rPr>
          <w:rFonts w:hint="eastAsia" w:ascii="仿宋_GB2312" w:hAnsi="仿宋_GB2312" w:eastAsia="仿宋_GB2312" w:cs="仿宋_GB2312"/>
          <w:color w:val="auto"/>
          <w:kern w:val="2"/>
          <w:sz w:val="32"/>
          <w:szCs w:val="32"/>
          <w:highlight w:val="none"/>
          <w:lang w:val="en-US" w:eastAsia="zh-CN" w:bidi="ar-SA"/>
        </w:rPr>
        <w:t>2</w:t>
      </w:r>
      <w:r>
        <w:rPr>
          <w:rFonts w:hint="eastAsia" w:ascii="仿宋_GB2312" w:hAnsi="仿宋_GB2312" w:eastAsia="仿宋_GB2312" w:cs="仿宋_GB2312"/>
          <w:color w:val="auto"/>
          <w:kern w:val="2"/>
          <w:sz w:val="32"/>
          <w:szCs w:val="32"/>
          <w:highlight w:val="none"/>
          <w:lang w:val="zh-CN" w:eastAsia="zh-CN" w:bidi="ar-SA"/>
        </w:rPr>
        <w:t>月预算执行总体进度为</w:t>
      </w:r>
      <w:r>
        <w:rPr>
          <w:rFonts w:hint="eastAsia" w:ascii="仿宋_GB2312" w:hAnsi="仿宋_GB2312" w:eastAsia="仿宋_GB2312" w:cs="仿宋_GB2312"/>
          <w:color w:val="auto"/>
          <w:kern w:val="2"/>
          <w:sz w:val="32"/>
          <w:szCs w:val="32"/>
          <w:highlight w:val="none"/>
          <w:lang w:val="en-US" w:eastAsia="zh-CN" w:bidi="ar-SA"/>
        </w:rPr>
        <w:t>100</w:t>
      </w:r>
      <w:r>
        <w:rPr>
          <w:rFonts w:hint="eastAsia" w:ascii="仿宋_GB2312" w:hAnsi="仿宋_GB2312" w:eastAsia="仿宋_GB2312" w:cs="仿宋_GB2312"/>
          <w:color w:val="auto"/>
          <w:kern w:val="2"/>
          <w:sz w:val="32"/>
          <w:szCs w:val="32"/>
          <w:highlight w:val="none"/>
          <w:lang w:val="zh-CN" w:eastAsia="zh-CN" w:bidi="ar-SA"/>
        </w:rPr>
        <w:t>%，其中：预算结余率大于</w:t>
      </w:r>
      <w:r>
        <w:rPr>
          <w:rFonts w:hint="eastAsia" w:ascii="仿宋_GB2312" w:hAnsi="仿宋_GB2312" w:eastAsia="仿宋_GB2312" w:cs="仿宋_GB2312"/>
          <w:color w:val="auto"/>
          <w:kern w:val="2"/>
          <w:sz w:val="32"/>
          <w:szCs w:val="32"/>
          <w:highlight w:val="none"/>
          <w:lang w:val="en-US" w:eastAsia="zh-CN" w:bidi="ar-SA"/>
        </w:rPr>
        <w:t>10%</w:t>
      </w:r>
      <w:r>
        <w:rPr>
          <w:rFonts w:hint="eastAsia" w:ascii="仿宋_GB2312" w:hAnsi="仿宋_GB2312" w:eastAsia="仿宋_GB2312" w:cs="仿宋_GB2312"/>
          <w:color w:val="auto"/>
          <w:kern w:val="2"/>
          <w:sz w:val="32"/>
          <w:szCs w:val="32"/>
          <w:highlight w:val="none"/>
          <w:lang w:val="zh-CN" w:eastAsia="zh-CN" w:bidi="ar-SA"/>
        </w:rPr>
        <w:t>的项目共计</w:t>
      </w:r>
      <w:r>
        <w:rPr>
          <w:rFonts w:hint="eastAsia" w:ascii="仿宋_GB2312" w:hAnsi="仿宋_GB2312" w:eastAsia="仿宋_GB2312" w:cs="仿宋_GB2312"/>
          <w:color w:val="auto"/>
          <w:kern w:val="2"/>
          <w:sz w:val="32"/>
          <w:szCs w:val="32"/>
          <w:highlight w:val="none"/>
          <w:lang w:val="en-US" w:eastAsia="zh-CN" w:bidi="ar-SA"/>
        </w:rPr>
        <w:t>0</w:t>
      </w:r>
      <w:r>
        <w:rPr>
          <w:rFonts w:hint="eastAsia" w:ascii="仿宋_GB2312" w:hAnsi="仿宋_GB2312" w:eastAsia="仿宋_GB2312" w:cs="仿宋_GB2312"/>
          <w:color w:val="auto"/>
          <w:kern w:val="2"/>
          <w:sz w:val="32"/>
          <w:szCs w:val="32"/>
          <w:highlight w:val="none"/>
          <w:lang w:val="zh-CN" w:eastAsia="zh-CN" w:bidi="ar-SA"/>
        </w:rPr>
        <w:t>个。</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1.</w:t>
      </w:r>
      <w:r>
        <w:rPr>
          <w:rFonts w:hint="eastAsia" w:ascii="仿宋_GB2312" w:hAnsi="仿宋_GB2312" w:eastAsia="仿宋_GB2312" w:cs="仿宋_GB2312"/>
          <w:kern w:val="0"/>
          <w:sz w:val="32"/>
          <w:szCs w:val="32"/>
          <w:shd w:val="clear" w:color="auto" w:fill="FFFFFF"/>
          <w:lang w:val="zh-CN"/>
        </w:rPr>
        <w:t>项目决策。</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我单位所有项目均按照上级要求级单位内控制度，开展项目决算，在项目入库时设置项目绩效目标，确保能定期、按照目标要求完成项目。</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2.项目执行</w:t>
      </w:r>
      <w:r>
        <w:rPr>
          <w:rFonts w:hint="eastAsia" w:ascii="仿宋_GB2312" w:hAnsi="仿宋_GB2312" w:eastAsia="仿宋_GB2312" w:cs="仿宋_GB2312"/>
          <w:kern w:val="0"/>
          <w:sz w:val="32"/>
          <w:szCs w:val="32"/>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我单位项目分为年初预算项目、上级专项项目、其他收入项目（县财政保障州财政代管资金采购项目）三类，我单位年初预算项目完全能按照年初目标设置完成并及时支付；上级专项项目完全按照资金投向使用，及时调整项目目标绩效，按照项目进度支付项目资金；其他收入项目为县财政保障采购项目资金，按照采购要求，及时签订采购合同，并按照项目进度支付资金。</w:t>
      </w:r>
    </w:p>
    <w:p>
      <w:pPr>
        <w:keepNext w:val="0"/>
        <w:keepLines w:val="0"/>
        <w:pageBreakBefore w:val="0"/>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rPr>
        <w:t>3.</w:t>
      </w:r>
      <w:r>
        <w:rPr>
          <w:rFonts w:hint="eastAsia" w:ascii="仿宋_GB2312" w:hAnsi="仿宋_GB2312" w:eastAsia="仿宋_GB2312" w:cs="仿宋_GB2312"/>
          <w:kern w:val="0"/>
          <w:sz w:val="32"/>
          <w:szCs w:val="32"/>
          <w:shd w:val="clear" w:color="auto" w:fill="FFFFFF"/>
          <w:lang w:val="zh-CN"/>
        </w:rPr>
        <w:t>目标实现。</w:t>
      </w:r>
    </w:p>
    <w:p>
      <w:pPr>
        <w:keepNext w:val="0"/>
        <w:keepLines w:val="0"/>
        <w:pageBreakBefore w:val="0"/>
        <w:widowControl w:val="0"/>
        <w:kinsoku/>
        <w:wordWrap/>
        <w:overflowPunct/>
        <w:topLinePunct w:val="0"/>
        <w:autoSpaceDE/>
        <w:autoSpaceDN/>
        <w:bidi w:val="0"/>
        <w:snapToGrid w:val="0"/>
        <w:spacing w:line="560" w:lineRule="exact"/>
        <w:ind w:leftChars="0" w:firstLine="640" w:firstLineChars="200"/>
        <w:textAlignment w:val="auto"/>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我单位对照基本支出和项目支出，基本能完成项目目标，并及时设置年度绩效目标，如出现预警等情况，我单位及时调整目标，确保项目目标的实现。</w:t>
      </w:r>
    </w:p>
    <w:p>
      <w:pPr>
        <w:keepNext w:val="0"/>
        <w:keepLines w:val="0"/>
        <w:pageBreakBefore w:val="0"/>
        <w:widowControl w:val="0"/>
        <w:kinsoku/>
        <w:wordWrap/>
        <w:overflowPunct/>
        <w:topLinePunct w:val="0"/>
        <w:autoSpaceDE/>
        <w:autoSpaceDN/>
        <w:bidi w:val="0"/>
        <w:snapToGrid w:val="0"/>
        <w:spacing w:line="560" w:lineRule="exact"/>
        <w:ind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省级部门对2024年度一般公共预算、政府性基金预算、国有资本经营预算安排的常年项目、阶段项目绩效目标完成情况，以及债券资金、政府购买服务有关情况进行梳理阐述。</w:t>
      </w:r>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43" w:firstLineChars="200"/>
        <w:contextualSpacing/>
        <w:jc w:val="left"/>
        <w:textAlignment w:val="auto"/>
        <w:rPr>
          <w:rFonts w:hint="eastAsia" w:ascii="仿宋_GB2312" w:hAnsi="仿宋_GB2312" w:eastAsia="仿宋_GB2312" w:cs="仿宋_GB2312"/>
          <w:sz w:val="32"/>
          <w:szCs w:val="32"/>
          <w:highlight w:val="none"/>
          <w:u w:val="none"/>
          <w:lang w:bidi="ar"/>
        </w:rPr>
      </w:pP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bCs/>
          <w:color w:val="000000"/>
          <w:kern w:val="0"/>
          <w:sz w:val="32"/>
          <w:szCs w:val="32"/>
          <w:highlight w:val="none"/>
          <w:shd w:val="clear" w:color="auto" w:fill="FFFFFF"/>
          <w:lang w:val="en-US" w:eastAsia="zh-CN"/>
        </w:rPr>
        <w:t>三</w:t>
      </w:r>
      <w:r>
        <w:rPr>
          <w:rFonts w:hint="eastAsia" w:ascii="仿宋_GB2312" w:hAnsi="仿宋_GB2312" w:eastAsia="仿宋_GB2312" w:cs="仿宋_GB2312"/>
          <w:b/>
          <w:bCs/>
          <w:color w:val="000000"/>
          <w:kern w:val="0"/>
          <w:sz w:val="32"/>
          <w:szCs w:val="32"/>
          <w:highlight w:val="none"/>
          <w:shd w:val="clear" w:color="auto" w:fill="FFFFFF"/>
          <w:lang w:val="zh-CN" w:eastAsia="zh-CN"/>
        </w:rPr>
        <w:t>）绩效结果应用情况。</w:t>
      </w:r>
      <w:r>
        <w:rPr>
          <w:rFonts w:hint="eastAsia" w:ascii="仿宋_GB2312" w:hAnsi="仿宋_GB2312" w:eastAsia="仿宋_GB2312" w:cs="仿宋_GB2312"/>
          <w:color w:val="000000"/>
          <w:kern w:val="0"/>
          <w:sz w:val="32"/>
          <w:szCs w:val="32"/>
          <w:shd w:val="clear" w:color="auto" w:fill="FFFFFF"/>
        </w:rPr>
        <w:t>我单位</w:t>
      </w:r>
      <w:r>
        <w:rPr>
          <w:rFonts w:hint="eastAsia" w:ascii="仿宋_GB2312" w:hAnsi="仿宋_GB2312" w:eastAsia="仿宋_GB2312" w:cs="仿宋_GB2312"/>
          <w:sz w:val="32"/>
          <w:szCs w:val="32"/>
        </w:rPr>
        <w:t>按照规定编制年度预算，取得的各项收入据实入账，无隐瞒，更无另设账户或者私设小金库。单位编制的支出预算，保证本单位履行基本职能所需人员经费和公用经费。对其他专项支出严格控制。项目资金严格管理，坚持专款专用，资金拨付采取先检查申请，后拨付。做到内容真实、数据准确、资料可靠。做到账务处理及时、会计核算规范、账账相符、账实相符。及时公开单位预决算和项目绩效评价信息。</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eastAsia" w:ascii="仿宋_GB2312" w:hAnsi="仿宋_GB2312" w:eastAsia="仿宋_GB2312" w:cs="仿宋_GB2312"/>
          <w:color w:val="000000"/>
          <w:kern w:val="0"/>
          <w:sz w:val="32"/>
          <w:szCs w:val="32"/>
          <w:highlight w:val="none"/>
          <w:shd w:val="clear" w:color="auto" w:fill="FFFFFF"/>
          <w:lang w:val="zh-CN"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600" w:firstLineChars="200"/>
        <w:contextualSpacing/>
        <w:jc w:val="left"/>
        <w:textAlignment w:val="auto"/>
        <w:outlineLvl w:val="9"/>
        <w:rPr>
          <w:rFonts w:hint="default" w:ascii="Times New Roman" w:hAnsi="Times New Roman" w:eastAsia="黑体" w:cs="Times New Roman"/>
          <w:color w:val="000000"/>
          <w:kern w:val="0"/>
          <w:sz w:val="30"/>
          <w:szCs w:val="30"/>
          <w:highlight w:val="none"/>
          <w:shd w:val="clear" w:color="auto" w:fill="FFFFFF"/>
          <w:lang w:val="zh-CN"/>
        </w:rPr>
      </w:pPr>
      <w:r>
        <w:rPr>
          <w:rFonts w:hint="default" w:ascii="Times New Roman" w:hAnsi="Times New Roman" w:eastAsia="黑体" w:cs="Times New Roman"/>
          <w:color w:val="000000"/>
          <w:kern w:val="0"/>
          <w:sz w:val="30"/>
          <w:szCs w:val="30"/>
          <w:highlight w:val="none"/>
          <w:shd w:val="clear" w:color="auto" w:fill="FFFFFF"/>
          <w:lang w:val="zh-CN" w:eastAsia="zh-CN"/>
        </w:rPr>
        <w:t>四、</w:t>
      </w:r>
      <w:r>
        <w:rPr>
          <w:rFonts w:hint="default" w:ascii="Times New Roman" w:hAnsi="Times New Roman" w:eastAsia="黑体" w:cs="Times New Roman"/>
          <w:color w:val="000000"/>
          <w:kern w:val="0"/>
          <w:sz w:val="30"/>
          <w:szCs w:val="30"/>
          <w:highlight w:val="none"/>
          <w:shd w:val="clear" w:color="auto" w:fill="FFFFFF"/>
          <w:lang w:val="zh-CN"/>
        </w:rPr>
        <w:t>评价结论及建议</w:t>
      </w:r>
    </w:p>
    <w:p>
      <w:pPr>
        <w:keepNext w:val="0"/>
        <w:keepLines w:val="0"/>
        <w:pageBreakBefore w:val="0"/>
        <w:widowControl/>
        <w:kinsoku/>
        <w:wordWrap/>
        <w:overflowPunct/>
        <w:topLinePunct w:val="0"/>
        <w:autoSpaceDE/>
        <w:autoSpaceDN/>
        <w:bidi w:val="0"/>
        <w:adjustRightInd w:val="0"/>
        <w:snapToGrid w:val="0"/>
        <w:spacing w:line="560" w:lineRule="exact"/>
        <w:ind w:leftChars="0" w:firstLine="643" w:firstLineChars="200"/>
        <w:jc w:val="left"/>
        <w:textAlignment w:val="auto"/>
        <w:rPr>
          <w:rFonts w:hint="eastAsia" w:ascii="楷体_GB2312" w:hAnsi="楷体_GB2312" w:eastAsia="楷体_GB2312" w:cs="楷体_GB2312"/>
          <w:b/>
          <w:bCs/>
          <w:color w:val="000000"/>
          <w:kern w:val="0"/>
          <w:sz w:val="32"/>
          <w:szCs w:val="32"/>
          <w:highlight w:val="none"/>
          <w:shd w:val="clear" w:color="auto" w:fill="FFFFFF"/>
          <w:lang w:val="en-US" w:eastAsia="zh-CN"/>
        </w:rPr>
      </w:pPr>
      <w:r>
        <w:rPr>
          <w:rFonts w:hint="eastAsia" w:ascii="楷体_GB2312" w:hAnsi="楷体_GB2312" w:eastAsia="楷体_GB2312" w:cs="楷体_GB2312"/>
          <w:b/>
          <w:bCs/>
          <w:color w:val="000000"/>
          <w:kern w:val="0"/>
          <w:sz w:val="32"/>
          <w:szCs w:val="32"/>
          <w:highlight w:val="none"/>
          <w:shd w:val="clear" w:color="auto" w:fill="FFFFFF"/>
          <w:lang w:val="zh-CN"/>
        </w:rPr>
        <w:t>（一）评价结</w:t>
      </w:r>
      <w:r>
        <w:rPr>
          <w:rFonts w:hint="eastAsia" w:ascii="楷体_GB2312" w:hAnsi="楷体_GB2312" w:eastAsia="楷体_GB2312" w:cs="楷体_GB2312"/>
          <w:b/>
          <w:bCs/>
          <w:color w:val="000000"/>
          <w:kern w:val="0"/>
          <w:sz w:val="32"/>
          <w:szCs w:val="32"/>
          <w:highlight w:val="none"/>
          <w:shd w:val="clear" w:color="auto" w:fill="FFFFFF"/>
          <w:lang w:val="en-US" w:eastAsia="zh-CN"/>
        </w:rPr>
        <w:t>论。</w:t>
      </w:r>
    </w:p>
    <w:p>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jc w:val="left"/>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kern w:val="0"/>
          <w:sz w:val="32"/>
          <w:szCs w:val="32"/>
          <w:shd w:val="clear" w:color="auto" w:fill="FFFFFF"/>
        </w:rPr>
        <w:t>根据考核评分细则，我单位整体支出，严格按照国家的相关财务管理制度规定，财务制度健全，会计核算规范，依照计划管理使用，整体支出对保障部门工作的正常运行，依法履行法定工作职能，强化部门责任，在生态环境保护工作中取得了较好的成绩，自评</w:t>
      </w:r>
      <w:r>
        <w:rPr>
          <w:rFonts w:hint="eastAsia" w:ascii="仿宋_GB2312" w:hAnsi="仿宋_GB2312" w:eastAsia="仿宋_GB2312" w:cs="仿宋_GB2312"/>
          <w:sz w:val="32"/>
          <w:szCs w:val="32"/>
        </w:rPr>
        <w:t>分为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eastAsia" w:ascii="仿宋_GB2312" w:hAnsi="仿宋_GB2312" w:eastAsia="仿宋_GB2312" w:cs="仿宋_GB2312"/>
          <w:sz w:val="32"/>
          <w:szCs w:val="32"/>
          <w:u w:val="none"/>
          <w:lang w:val="en-US" w:eastAsia="zh-CN" w:bidi="ar"/>
        </w:rPr>
      </w:pPr>
      <w:r>
        <w:rPr>
          <w:rFonts w:hint="eastAsia" w:ascii="仿宋_GB2312" w:hAnsi="仿宋_GB2312" w:eastAsia="仿宋_GB2312" w:cs="仿宋_GB2312"/>
          <w:sz w:val="32"/>
          <w:szCs w:val="32"/>
          <w:u w:val="none"/>
          <w:lang w:val="en-US" w:eastAsia="zh-CN" w:bidi="ar"/>
        </w:rPr>
        <w:t>简要阐述部门预算绩效自评总体结论，其中必须包含自评得分。</w:t>
      </w:r>
    </w:p>
    <w:p>
      <w:pPr>
        <w:pStyle w:val="5"/>
        <w:keepNext w:val="0"/>
        <w:keepLines w:val="0"/>
        <w:pageBreakBefore w:val="0"/>
        <w:numPr>
          <w:ilvl w:val="0"/>
          <w:numId w:val="3"/>
        </w:numPr>
        <w:kinsoku/>
        <w:wordWrap/>
        <w:overflowPunct/>
        <w:topLinePunct w:val="0"/>
        <w:autoSpaceDE/>
        <w:autoSpaceDN/>
        <w:bidi w:val="0"/>
        <w:spacing w:line="560" w:lineRule="exact"/>
        <w:ind w:leftChars="0" w:firstLine="643"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存在问题。</w:t>
      </w:r>
    </w:p>
    <w:p>
      <w:pPr>
        <w:pStyle w:val="5"/>
        <w:keepNext w:val="0"/>
        <w:keepLines w:val="0"/>
        <w:pageBreakBefore w:val="0"/>
        <w:numPr>
          <w:ilvl w:val="0"/>
          <w:numId w:val="0"/>
        </w:numPr>
        <w:kinsoku/>
        <w:wordWrap/>
        <w:overflowPunct/>
        <w:topLinePunct w:val="0"/>
        <w:autoSpaceDE/>
        <w:autoSpaceDN/>
        <w:bidi w:val="0"/>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1.对于绩效评价的认识不够深入，把预算绩效简单等同于工作目标、工作考核和业务管理。</w:t>
      </w:r>
    </w:p>
    <w:p>
      <w:pPr>
        <w:pStyle w:val="5"/>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2.绩效目标和指标往往根据项实际完成情况制定，对执行过程有效约束不够，存在一定的偏差。</w:t>
      </w:r>
    </w:p>
    <w:p>
      <w:pPr>
        <w:pStyle w:val="5"/>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3.部分项目执行进度较慢影响了整体项目支出绩效。</w:t>
      </w:r>
    </w:p>
    <w:p>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eastAsia" w:ascii="Times New Roman" w:hAnsi="Times New Roman" w:eastAsia="仿宋_GB2312" w:cs="Times New Roman"/>
          <w:sz w:val="32"/>
          <w:szCs w:val="32"/>
          <w:u w:val="none"/>
          <w:lang w:val="en-US" w:eastAsia="zh-CN" w:bidi="ar"/>
        </w:rPr>
      </w:pPr>
      <w:r>
        <w:rPr>
          <w:rFonts w:hint="eastAsia" w:ascii="Times New Roman" w:hAnsi="Times New Roman" w:eastAsia="仿宋_GB2312" w:cs="Times New Roman"/>
          <w:sz w:val="32"/>
          <w:szCs w:val="32"/>
          <w:u w:val="none"/>
          <w:lang w:val="en-US" w:eastAsia="zh-CN" w:bidi="ar"/>
        </w:rPr>
        <w:t>简要阐述部门预算绩效自评发现的主要问题。</w:t>
      </w:r>
    </w:p>
    <w:p>
      <w:pPr>
        <w:keepNext w:val="0"/>
        <w:keepLines w:val="0"/>
        <w:pageBreakBefore w:val="0"/>
        <w:numPr>
          <w:ilvl w:val="0"/>
          <w:numId w:val="3"/>
        </w:numPr>
        <w:kinsoku/>
        <w:wordWrap/>
        <w:overflowPunct/>
        <w:topLinePunct w:val="0"/>
        <w:autoSpaceDE/>
        <w:autoSpaceDN/>
        <w:bidi w:val="0"/>
        <w:spacing w:line="560" w:lineRule="exact"/>
        <w:ind w:left="0" w:leftChars="0" w:firstLine="643"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改进建议。</w:t>
      </w:r>
    </w:p>
    <w:p>
      <w:pPr>
        <w:keepNext w:val="0"/>
        <w:keepLines w:val="0"/>
        <w:pageBreakBefore w:val="0"/>
        <w:numPr>
          <w:ilvl w:val="0"/>
          <w:numId w:val="0"/>
        </w:numPr>
        <w:kinsoku/>
        <w:wordWrap/>
        <w:overflowPunct/>
        <w:topLinePunct w:val="0"/>
        <w:autoSpaceDE/>
        <w:autoSpaceDN/>
        <w:bidi w:val="0"/>
        <w:spacing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shd w:val="clear" w:color="auto" w:fill="FFFFFF"/>
          <w:lang w:val="en-US" w:eastAsia="zh-CN" w:bidi="ar-SA"/>
        </w:rPr>
        <w:t>1.</w:t>
      </w:r>
      <w:r>
        <w:rPr>
          <w:rFonts w:hint="eastAsia" w:ascii="仿宋_GB2312" w:hAnsi="仿宋_GB2312" w:eastAsia="仿宋_GB2312" w:cs="仿宋_GB2312"/>
          <w:sz w:val="32"/>
          <w:szCs w:val="32"/>
        </w:rPr>
        <w:t>建议财政部门多开展部门预算绩效评价工作的业务工作培训，组织开展部门之间、单位之间的经验交流，特别是要组织非财务部门的人员参与评价工作，切实推进绩效评价工作的开展。</w:t>
      </w:r>
    </w:p>
    <w:p>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kern w:val="2"/>
          <w:sz w:val="32"/>
          <w:szCs w:val="32"/>
          <w:shd w:val="clear" w:color="auto" w:fill="FFFFFF"/>
          <w:lang w:val="en-US" w:eastAsia="zh-CN" w:bidi="ar-SA"/>
        </w:rPr>
        <w:t>2.</w:t>
      </w:r>
      <w:r>
        <w:rPr>
          <w:rFonts w:hint="eastAsia" w:ascii="仿宋_GB2312" w:hAnsi="仿宋_GB2312" w:eastAsia="仿宋_GB2312" w:cs="仿宋_GB2312"/>
          <w:sz w:val="32"/>
          <w:szCs w:val="32"/>
        </w:rPr>
        <w:t>进一步加强内控管理,提高认知程度,加强思想灌输,从思想上强化内部控制管理制度。强化单位纪检监督作用。</w:t>
      </w:r>
      <w:r>
        <w:rPr>
          <w:rFonts w:hint="eastAsia" w:ascii="仿宋_GB2312" w:hAnsi="仿宋_GB2312" w:eastAsia="仿宋_GB2312" w:cs="仿宋_GB2312"/>
          <w:sz w:val="32"/>
          <w:szCs w:val="32"/>
          <w:shd w:val="clear" w:color="auto" w:fill="FFFFFF"/>
        </w:rPr>
        <w:t>提高预算执行的科学化、规范化、精细化水平。</w:t>
      </w:r>
    </w:p>
    <w:p>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val="en-US" w:eastAsia="zh-CN"/>
        </w:rPr>
        <w:t>3</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加强项目管理，提高项目执行进度，提高项目支出效率，确保项目按时完成。</w:t>
      </w:r>
    </w:p>
    <w:p>
      <w:pPr>
        <w:pStyle w:val="5"/>
        <w:keepNext w:val="0"/>
        <w:keepLines w:val="0"/>
        <w:pageBreakBefore w:val="0"/>
        <w:kinsoku/>
        <w:wordWrap/>
        <w:overflowPunct/>
        <w:topLinePunct w:val="0"/>
        <w:autoSpaceDE/>
        <w:autoSpaceDN/>
        <w:bidi w:val="0"/>
        <w:spacing w:line="560" w:lineRule="exact"/>
        <w:ind w:leftChars="0" w:firstLine="600" w:firstLineChars="200"/>
        <w:textAlignment w:val="auto"/>
        <w:rPr>
          <w:rFonts w:hint="eastAsia" w:ascii="仿宋_GB2312" w:hAnsi="仿宋_GB2312" w:eastAsia="仿宋_GB2312" w:cs="仿宋_GB2312"/>
          <w:sz w:val="30"/>
          <w:szCs w:val="30"/>
          <w:shd w:val="clear" w:color="auto" w:fill="FFFFFF"/>
        </w:rPr>
      </w:pPr>
    </w:p>
    <w:tbl>
      <w:tblPr>
        <w:tblStyle w:val="17"/>
        <w:tblW w:w="5000" w:type="pct"/>
        <w:tblInd w:w="0" w:type="dxa"/>
        <w:shd w:val="clear" w:color="auto" w:fill="auto"/>
        <w:tblLayout w:type="autofit"/>
        <w:tblCellMar>
          <w:top w:w="0" w:type="dxa"/>
          <w:left w:w="0" w:type="dxa"/>
          <w:bottom w:w="0" w:type="dxa"/>
          <w:right w:w="0" w:type="dxa"/>
        </w:tblCellMar>
      </w:tblPr>
      <w:tblGrid>
        <w:gridCol w:w="426"/>
        <w:gridCol w:w="1280"/>
        <w:gridCol w:w="1108"/>
        <w:gridCol w:w="1413"/>
        <w:gridCol w:w="330"/>
        <w:gridCol w:w="1048"/>
        <w:gridCol w:w="325"/>
        <w:gridCol w:w="684"/>
        <w:gridCol w:w="314"/>
        <w:gridCol w:w="284"/>
        <w:gridCol w:w="1607"/>
      </w:tblGrid>
      <w:tr>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51320022R000005203810-追加州级部门建房补贴</w:t>
            </w:r>
          </w:p>
        </w:tc>
      </w:tr>
      <w:tr>
        <w:tblPrEx>
          <w:tblCellMar>
            <w:top w:w="0" w:type="dxa"/>
            <w:left w:w="0" w:type="dxa"/>
            <w:bottom w:w="0" w:type="dxa"/>
            <w:right w:w="0" w:type="dxa"/>
          </w:tblCellMar>
        </w:tblPrEx>
        <w:trPr>
          <w:trHeight w:val="512"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7"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9"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shd w:val="clear" w:color="auto" w:fill="auto"/>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6"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shd w:val="clear" w:color="auto" w:fill="auto"/>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36"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shd w:val="clear" w:color="auto" w:fill="auto"/>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3750"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2584"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5"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r>
        <w:tblPrEx>
          <w:shd w:val="clear" w:color="auto" w:fill="auto"/>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CellMar>
            <w:top w:w="0" w:type="dxa"/>
            <w:left w:w="0" w:type="dxa"/>
            <w:bottom w:w="0" w:type="dxa"/>
            <w:right w:w="0" w:type="dxa"/>
          </w:tblCellMar>
        </w:tblPrEx>
        <w:trPr>
          <w:trHeight w:val="286"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51320022T000000341876-生态环境宣传教育培训费</w:t>
            </w:r>
          </w:p>
        </w:tc>
      </w:tr>
      <w:tr>
        <w:tblPrEx>
          <w:tblCellMar>
            <w:top w:w="0" w:type="dxa"/>
            <w:left w:w="0" w:type="dxa"/>
            <w:bottom w:w="0" w:type="dxa"/>
            <w:right w:w="0" w:type="dxa"/>
          </w:tblCellMar>
        </w:tblPrEx>
        <w:trPr>
          <w:trHeight w:val="512" w:hRule="atLeast"/>
        </w:trPr>
        <w:tc>
          <w:tcPr>
            <w:tcW w:w="968"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7"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9"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shd w:val="clear" w:color="auto" w:fill="auto"/>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6"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shd w:val="clear" w:color="auto" w:fill="auto"/>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4"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有效开展各类生态环境培训宣传能使广大干部群众切实增强保护环境，爱护环境的意识</w:t>
            </w:r>
          </w:p>
        </w:tc>
        <w:tc>
          <w:tcPr>
            <w:tcW w:w="1636"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shd w:val="clear" w:color="auto" w:fill="auto"/>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1"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shd w:val="clear" w:color="auto" w:fill="auto"/>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开展宣传教育6次</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提高群众生态环境保护意识</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全年开展宣传次数至少6次</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提高受众生态环境保护能力</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96</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生态环境质量得到有效改善</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处</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62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该项目预算经费6万元</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w:t>
            </w:r>
          </w:p>
        </w:tc>
        <w:tc>
          <w:tcPr>
            <w:tcW w:w="3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286" w:hRule="atLeast"/>
        </w:trPr>
        <w:tc>
          <w:tcPr>
            <w:tcW w:w="3750"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shd w:val="clear" w:color="auto" w:fill="auto"/>
          <w:tblCellMar>
            <w:top w:w="0" w:type="dxa"/>
            <w:left w:w="0" w:type="dxa"/>
            <w:bottom w:w="0" w:type="dxa"/>
            <w:right w:w="0" w:type="dxa"/>
          </w:tblCellMar>
        </w:tblPrEx>
        <w:trPr>
          <w:trHeight w:val="286" w:hRule="atLeast"/>
        </w:trPr>
        <w:tc>
          <w:tcPr>
            <w:tcW w:w="2584"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5"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3"/>
        <w:gridCol w:w="328"/>
        <w:gridCol w:w="1048"/>
        <w:gridCol w:w="326"/>
        <w:gridCol w:w="683"/>
        <w:gridCol w:w="314"/>
        <w:gridCol w:w="284"/>
        <w:gridCol w:w="1605"/>
      </w:tblGrid>
      <w:tr>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51320022T000000341914-开展环境执法应急监测重点污染源监督性监测及监测运维费</w:t>
            </w:r>
          </w:p>
        </w:tc>
      </w:tr>
      <w:tr>
        <w:tblPrEx>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shd w:val="clear" w:color="auto" w:fill="auto"/>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shd w:val="clear" w:color="auto" w:fill="auto"/>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完成2024年环境应急执法监督性监测及运维</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shd w:val="clear" w:color="auto" w:fill="auto"/>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shd w:val="clear" w:color="auto" w:fill="auto"/>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完成监督性监测1次</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套</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应急事件生态环境质量监测</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突发环境事件及时做好应急监测</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及时</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为应急事故提供理论依据</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准确</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篇</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突发环境应急事件的生态环境监测</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服务对象满意度达到95%</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项目工作预算经费5万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shd w:val="clear" w:color="auto" w:fill="auto"/>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shd w:val="clear" w:color="auto" w:fill="auto"/>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2"/>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3"/>
        <w:gridCol w:w="328"/>
        <w:gridCol w:w="1048"/>
        <w:gridCol w:w="326"/>
        <w:gridCol w:w="683"/>
        <w:gridCol w:w="314"/>
        <w:gridCol w:w="284"/>
        <w:gridCol w:w="1605"/>
      </w:tblGrid>
      <w:tr>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51320022T000000342809-生态环境监察执法工作经费</w:t>
            </w:r>
          </w:p>
        </w:tc>
      </w:tr>
      <w:tr>
        <w:tblPrEx>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全面开展县域内生态环境执法检查、严惩环境违法犯罪行为。项目包括：“双随机”检查、片区交叉执法检查、执法大练兵检查等系列环保专项检查行动经费。</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shd w:val="clear" w:color="auto" w:fill="auto"/>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开展执法5月/次</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大气、水、土壤，优良率100%</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全年完成至少60次执法检查</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改善环境，提高我县生态环境质量</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改善生态环境质量</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群众满意度100%</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该项目预算经费7.2万元</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shd w:val="clear" w:color="auto" w:fill="auto"/>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132"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5"/>
        <w:rPr>
          <w:rFonts w:hint="eastAsia"/>
          <w:lang w:val="zh-CN" w:eastAsia="zh-CN"/>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3"/>
        <w:gridCol w:w="328"/>
        <w:gridCol w:w="1048"/>
        <w:gridCol w:w="326"/>
        <w:gridCol w:w="683"/>
        <w:gridCol w:w="314"/>
        <w:gridCol w:w="284"/>
        <w:gridCol w:w="1605"/>
      </w:tblGrid>
      <w:tr>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51320022T000007181871-嘉陵江流域白水江九寨沟县县城上游段水生态保护修复项目</w:t>
            </w:r>
          </w:p>
        </w:tc>
      </w:tr>
      <w:tr>
        <w:tblPrEx>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shd w:val="clear" w:color="auto" w:fill="auto"/>
          <w:tblCellMar>
            <w:top w:w="0" w:type="dxa"/>
            <w:left w:w="0" w:type="dxa"/>
            <w:bottom w:w="0" w:type="dxa"/>
            <w:right w:w="0" w:type="dxa"/>
          </w:tblCellMar>
        </w:tblPrEx>
        <w:trPr>
          <w:trHeight w:val="1130"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嘉陵江流域白水江九寨沟县县城上游段水生态保护修复项目为长江流域上游水生态保护修复体系的一部分，通过项目的实施，白水江九寨沟县县城上游段生态环境得到明显改善，生态保护基础设施建设安全稳定，河道采砂及人为活动对河道的影响显著下降，河道两侧生态结构基本合理，生物多样性显著增加，河道水质稳定在Ⅱ类水质及以上。</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shd w:val="clear" w:color="auto" w:fill="auto"/>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622.81</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622.81</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622.81</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622.81</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生态护岸（m）</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水质达标率（%）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建设周期（月）</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带动就业（人）</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沿线居民对项目实施满意度（%）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项目总投资（万元）</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14976.78</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shd w:val="clear" w:color="auto" w:fill="auto"/>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3"/>
        <w:gridCol w:w="328"/>
        <w:gridCol w:w="1048"/>
        <w:gridCol w:w="326"/>
        <w:gridCol w:w="683"/>
        <w:gridCol w:w="314"/>
        <w:gridCol w:w="284"/>
        <w:gridCol w:w="1605"/>
      </w:tblGrid>
      <w:tr>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51320022T000007325143-九寨沟县声环境功能区自动监测网络体系建设项目</w:t>
            </w:r>
          </w:p>
        </w:tc>
      </w:tr>
      <w:tr>
        <w:tblPrEx>
          <w:shd w:val="clear" w:color="auto" w:fill="auto"/>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904"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九寨沟县创建全国文明城市测评体系操作手册网报材料责任分工要求，深入推进我县全国文明城市创建工作，加强噪声污染防治，改善城乡环境声质量，保护群众身体健康，开展声环境功能区自动监测网络体系建设，完成3个自动监测点建设.</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shd w:val="clear" w:color="auto" w:fill="auto"/>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1.46</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1.46</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shd w:val="clear" w:color="auto" w:fill="auto"/>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1.46</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1.46</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自动监测点数量</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我县全国文明城市创建指标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完成时限</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噪声污染防治技术和装备应用</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实现声环境质量自动监测</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建成噪声监测设施</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完成成本</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48.75</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shd w:val="clear" w:color="auto" w:fill="auto"/>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5"/>
        <w:rPr>
          <w:rFonts w:hint="eastAsia"/>
          <w:lang w:val="zh-CN" w:eastAsia="zh-CN"/>
        </w:rPr>
      </w:pPr>
    </w:p>
    <w:p>
      <w:pPr>
        <w:pStyle w:val="5"/>
        <w:rPr>
          <w:rFonts w:hint="eastAsia"/>
          <w:lang w:val="zh-CN" w:eastAsia="zh-CN"/>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3"/>
        <w:gridCol w:w="328"/>
        <w:gridCol w:w="1048"/>
        <w:gridCol w:w="326"/>
        <w:gridCol w:w="683"/>
        <w:gridCol w:w="314"/>
        <w:gridCol w:w="284"/>
        <w:gridCol w:w="1605"/>
      </w:tblGrid>
      <w:tr>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51320023R000009914893-工资性支出</w:t>
            </w:r>
          </w:p>
        </w:tc>
      </w:tr>
      <w:tr>
        <w:tblPrEx>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shd w:val="clear" w:color="auto" w:fill="auto"/>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shd w:val="clear" w:color="auto" w:fill="auto"/>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shd w:val="clear" w:color="auto" w:fill="auto"/>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135.58</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136.61</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136.61</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shd w:val="clear" w:color="auto" w:fill="auto"/>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135.58</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136.61</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136.61</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shd w:val="clear" w:color="auto" w:fill="auto"/>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shd w:val="clear" w:color="auto" w:fill="auto"/>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5"/>
        <w:rPr>
          <w:rFonts w:hint="eastAsia"/>
          <w:lang w:val="zh-CN" w:eastAsia="zh-CN"/>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3"/>
        <w:gridCol w:w="328"/>
        <w:gridCol w:w="1048"/>
        <w:gridCol w:w="326"/>
        <w:gridCol w:w="683"/>
        <w:gridCol w:w="314"/>
        <w:gridCol w:w="284"/>
        <w:gridCol w:w="1605"/>
      </w:tblGrid>
      <w:tr>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51320023R000009915221-单位缴费</w:t>
            </w:r>
          </w:p>
        </w:tc>
      </w:tr>
      <w:tr>
        <w:tblPrEx>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shd w:val="clear" w:color="auto" w:fill="auto"/>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95.16</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91.80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91.80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shd w:val="clear" w:color="auto" w:fill="auto"/>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95.16</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91.80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91.80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shd w:val="clear" w:color="auto" w:fill="auto"/>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5"/>
        <w:rPr>
          <w:rFonts w:hint="eastAsia"/>
          <w:lang w:val="zh-CN" w:eastAsia="zh-CN"/>
        </w:rPr>
      </w:pPr>
    </w:p>
    <w:p>
      <w:pPr>
        <w:pStyle w:val="5"/>
        <w:rPr>
          <w:rFonts w:hint="eastAsia"/>
          <w:lang w:val="zh-CN" w:eastAsia="zh-CN"/>
        </w:rPr>
      </w:pPr>
    </w:p>
    <w:p>
      <w:pPr>
        <w:pStyle w:val="5"/>
        <w:rPr>
          <w:rFonts w:hint="eastAsia"/>
          <w:lang w:val="zh-CN" w:eastAsia="zh-CN"/>
        </w:rPr>
      </w:pPr>
    </w:p>
    <w:p>
      <w:pPr>
        <w:pStyle w:val="5"/>
        <w:rPr>
          <w:rFonts w:hint="eastAsia"/>
          <w:lang w:val="zh-CN" w:eastAsia="zh-CN"/>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3"/>
        <w:gridCol w:w="328"/>
        <w:gridCol w:w="1048"/>
        <w:gridCol w:w="326"/>
        <w:gridCol w:w="683"/>
        <w:gridCol w:w="314"/>
        <w:gridCol w:w="284"/>
        <w:gridCol w:w="1605"/>
      </w:tblGrid>
      <w:tr>
        <w:tblPrEx>
          <w:shd w:val="clear" w:color="auto" w:fill="auto"/>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51320023R000009915925-聘用人员经费</w:t>
            </w:r>
          </w:p>
        </w:tc>
      </w:tr>
      <w:tr>
        <w:tblPrEx>
          <w:shd w:val="clear" w:color="auto" w:fill="auto"/>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shd w:val="clear" w:color="auto" w:fill="auto"/>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shd w:val="clear" w:color="auto" w:fill="auto"/>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shd w:val="clear" w:color="auto" w:fill="auto"/>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shd w:val="clear" w:color="auto" w:fill="auto"/>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8.27</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8.27</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8.27</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shd w:val="clear" w:color="auto" w:fill="auto"/>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8.27</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8.27</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8.27</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shd w:val="clear" w:color="auto" w:fill="auto"/>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shd w:val="clear" w:color="auto" w:fill="auto"/>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shd w:val="clear" w:color="auto" w:fill="auto"/>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3"/>
        <w:gridCol w:w="328"/>
        <w:gridCol w:w="1048"/>
        <w:gridCol w:w="326"/>
        <w:gridCol w:w="683"/>
        <w:gridCol w:w="314"/>
        <w:gridCol w:w="284"/>
        <w:gridCol w:w="1605"/>
      </w:tblGrid>
      <w:tr>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51320023T000008549760-2023年九寨沟县生态环境质量监测项目</w:t>
            </w:r>
          </w:p>
        </w:tc>
      </w:tr>
      <w:tr>
        <w:tblPrEx>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shd w:val="clear" w:color="auto" w:fill="auto"/>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shd w:val="clear" w:color="auto" w:fill="auto"/>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阿坝州生态环境局关于印发&lt;2022年阿坝州生态环境监测方案&gt;的通知》（阿州环函〔2022〕36号）要求，开展2023年环境质量监测监测，掌握全县环境空气质量、水质及土壤状况，确保大气、水和土壤环境安全。</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shd w:val="clear" w:color="auto" w:fill="auto"/>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shd w:val="clear" w:color="auto" w:fill="auto"/>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59.40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59.40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shd w:val="clear" w:color="auto" w:fill="auto"/>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59.40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59.40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shd w:val="clear" w:color="auto" w:fill="auto"/>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完成2023年九寨沟县环境质量监测任务</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生态环境质量监测</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次/年</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完成时限</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环境公共服务程度</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生态环境质量监测</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shd w:val="clear" w:color="auto" w:fill="auto"/>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5"/>
        <w:rPr>
          <w:rFonts w:hint="eastAsia" w:ascii="Times New Roman" w:hAnsi="Times New Roman" w:eastAsia="仿宋_GB2312" w:cs="Times New Roman"/>
          <w:kern w:val="2"/>
          <w:sz w:val="32"/>
          <w:szCs w:val="32"/>
          <w:u w:val="none"/>
          <w:lang w:val="zh-CN" w:eastAsia="zh-CN" w:bidi="ar"/>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5"/>
        <w:gridCol w:w="326"/>
        <w:gridCol w:w="1048"/>
        <w:gridCol w:w="328"/>
        <w:gridCol w:w="683"/>
        <w:gridCol w:w="314"/>
        <w:gridCol w:w="284"/>
        <w:gridCol w:w="1603"/>
      </w:tblGrid>
      <w:tr>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51320023T000008606480-嘉陵江流域白水江九寨沟县县城上游段水生态保护修复项目（1090万元）</w:t>
            </w:r>
          </w:p>
        </w:tc>
      </w:tr>
      <w:tr>
        <w:tblPrEx>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1130"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嘉陵江流域白水江九寨沟县县城上游段水生态保护修复项目为长江流域上游水生态保护修复体系的一部分，通过12个月项目期的实施，工程完工后，白水江九寨沟县县城上游段生态环境得到明显改善，生态保护基础设施建设安全稳定，河道采砂及人为活动对河道的影响显著下降，河道两侧生态结构基本合理，生物多样性显著增加，河道水质稳定在Ⅱ类水质及以上。</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shd w:val="clear" w:color="auto" w:fill="auto"/>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1,090.00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1,090.00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shd w:val="clear" w:color="auto" w:fill="auto"/>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1,090.00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1,090.00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指标2：缓冲带修复面积（亩）</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343</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亩</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指标1：水质达标率（%）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指标1：建设周期（月）</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月</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指标1:带动就业（人）</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指标1：生物多样性指数</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指标1：沿线居民对项目实施满意度（%</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指标1：项目总投资（万元）</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14976.78</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shd w:val="clear" w:color="auto" w:fill="auto"/>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shd w:val="clear" w:color="auto" w:fill="auto"/>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5"/>
        <w:rPr>
          <w:rFonts w:hint="eastAsia" w:ascii="Times New Roman" w:hAnsi="Times New Roman" w:eastAsia="仿宋_GB2312" w:cs="Times New Roman"/>
          <w:kern w:val="2"/>
          <w:sz w:val="32"/>
          <w:szCs w:val="32"/>
          <w:u w:val="none"/>
          <w:lang w:val="zh-CN" w:eastAsia="zh-CN" w:bidi="ar"/>
        </w:rPr>
      </w:pPr>
    </w:p>
    <w:p>
      <w:pPr>
        <w:pStyle w:val="5"/>
        <w:rPr>
          <w:rFonts w:hint="eastAsia" w:ascii="Times New Roman" w:hAnsi="Times New Roman" w:eastAsia="仿宋_GB2312" w:cs="Times New Roman"/>
          <w:kern w:val="2"/>
          <w:sz w:val="32"/>
          <w:szCs w:val="32"/>
          <w:u w:val="none"/>
          <w:lang w:val="zh-CN" w:eastAsia="zh-CN" w:bidi="ar"/>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5"/>
        <w:gridCol w:w="326"/>
        <w:gridCol w:w="1048"/>
        <w:gridCol w:w="328"/>
        <w:gridCol w:w="683"/>
        <w:gridCol w:w="314"/>
        <w:gridCol w:w="284"/>
        <w:gridCol w:w="1603"/>
      </w:tblGrid>
      <w:tr>
        <w:tblPrEx>
          <w:shd w:val="clear" w:color="auto" w:fill="auto"/>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51320023Y000009917272-日常公用经费</w:t>
            </w:r>
          </w:p>
        </w:tc>
      </w:tr>
      <w:tr>
        <w:tblPrEx>
          <w:shd w:val="clear" w:color="auto" w:fill="auto"/>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shd w:val="clear" w:color="auto" w:fill="auto"/>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shd w:val="clear" w:color="auto" w:fill="auto"/>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shd w:val="clear" w:color="auto" w:fill="auto"/>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60.76</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58.40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58.40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60.76</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58.40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58.40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67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904"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shd w:val="clear" w:color="auto" w:fill="auto"/>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5"/>
        <w:rPr>
          <w:rFonts w:hint="eastAsia" w:ascii="Times New Roman" w:hAnsi="Times New Roman" w:eastAsia="仿宋_GB2312" w:cs="Times New Roman"/>
          <w:kern w:val="2"/>
          <w:sz w:val="32"/>
          <w:szCs w:val="32"/>
          <w:u w:val="none"/>
          <w:lang w:val="zh-CN" w:eastAsia="zh-CN" w:bidi="ar"/>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3"/>
        <w:gridCol w:w="328"/>
        <w:gridCol w:w="1048"/>
        <w:gridCol w:w="326"/>
        <w:gridCol w:w="683"/>
        <w:gridCol w:w="314"/>
        <w:gridCol w:w="284"/>
        <w:gridCol w:w="1605"/>
      </w:tblGrid>
      <w:tr>
        <w:tblPrEx>
          <w:shd w:val="clear" w:color="auto" w:fill="auto"/>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51320024T000011151709-水污染防治监管能力建设工作</w:t>
            </w:r>
          </w:p>
        </w:tc>
      </w:tr>
      <w:tr>
        <w:tblPrEx>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合理</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规范使用水生态环境激励资金。</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22.96</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22.96</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22.96</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22.96</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全县12个乡镇河道管理</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严格落实河长制次数</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一年巡护24次</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提升我县地表水在全省的排名</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国考断面达到国家考核要求的个数</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生态环境成本指标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项目投资30万元</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5"/>
        <w:rPr>
          <w:rFonts w:hint="eastAsia" w:ascii="Times New Roman" w:hAnsi="Times New Roman" w:eastAsia="仿宋_GB2312" w:cs="Times New Roman"/>
          <w:kern w:val="2"/>
          <w:sz w:val="32"/>
          <w:szCs w:val="32"/>
          <w:u w:val="none"/>
          <w:lang w:val="zh-CN" w:eastAsia="zh-CN" w:bidi="ar"/>
        </w:rPr>
      </w:pPr>
    </w:p>
    <w:p>
      <w:pPr>
        <w:pStyle w:val="5"/>
        <w:rPr>
          <w:rFonts w:hint="eastAsia" w:ascii="Times New Roman" w:hAnsi="Times New Roman" w:eastAsia="仿宋_GB2312" w:cs="Times New Roman"/>
          <w:kern w:val="2"/>
          <w:sz w:val="32"/>
          <w:szCs w:val="32"/>
          <w:u w:val="none"/>
          <w:lang w:val="zh-CN" w:eastAsia="zh-CN" w:bidi="ar"/>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3"/>
        <w:gridCol w:w="328"/>
        <w:gridCol w:w="1048"/>
        <w:gridCol w:w="326"/>
        <w:gridCol w:w="683"/>
        <w:gridCol w:w="314"/>
        <w:gridCol w:w="284"/>
        <w:gridCol w:w="1605"/>
      </w:tblGrid>
      <w:tr>
        <w:tblPrEx>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blPrEx>
          <w:shd w:val="clear" w:color="auto" w:fill="auto"/>
          <w:tblCellMar>
            <w:top w:w="0" w:type="dxa"/>
            <w:left w:w="0" w:type="dxa"/>
            <w:bottom w:w="0" w:type="dxa"/>
            <w:right w:w="0" w:type="dxa"/>
          </w:tblCellMar>
        </w:tblPrEx>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51320024T000011154943-九寨沟县大气环境管理能力提升工作经费</w:t>
            </w:r>
          </w:p>
        </w:tc>
      </w:tr>
      <w:tr>
        <w:tblPrEx>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shd w:val="clear" w:color="auto" w:fill="auto"/>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全县空气质量指数优良天数100%</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22.50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空气自动监测站</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空气质量双优</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按计划完成</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小时</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实时向社会公布</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条</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优良天数100%</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群众满意度达80%</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80</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该项目投入资金61万元</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61</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shd w:val="clear" w:color="auto" w:fill="auto"/>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5"/>
        <w:rPr>
          <w:rFonts w:hint="eastAsia" w:ascii="Times New Roman" w:hAnsi="Times New Roman" w:eastAsia="仿宋_GB2312" w:cs="Times New Roman"/>
          <w:kern w:val="2"/>
          <w:sz w:val="32"/>
          <w:szCs w:val="32"/>
          <w:u w:val="none"/>
          <w:lang w:val="zh-CN" w:eastAsia="zh-CN" w:bidi="ar"/>
        </w:rPr>
      </w:pPr>
    </w:p>
    <w:tbl>
      <w:tblPr>
        <w:tblStyle w:val="17"/>
        <w:tblW w:w="5000" w:type="pct"/>
        <w:tblInd w:w="0" w:type="dxa"/>
        <w:shd w:val="clear" w:color="auto" w:fill="auto"/>
        <w:tblLayout w:type="autofit"/>
        <w:tblCellMar>
          <w:top w:w="0" w:type="dxa"/>
          <w:left w:w="0" w:type="dxa"/>
          <w:bottom w:w="0" w:type="dxa"/>
          <w:right w:w="0" w:type="dxa"/>
        </w:tblCellMar>
      </w:tblPr>
      <w:tblGrid>
        <w:gridCol w:w="427"/>
        <w:gridCol w:w="1282"/>
        <w:gridCol w:w="1109"/>
        <w:gridCol w:w="1413"/>
        <w:gridCol w:w="328"/>
        <w:gridCol w:w="1048"/>
        <w:gridCol w:w="326"/>
        <w:gridCol w:w="683"/>
        <w:gridCol w:w="314"/>
        <w:gridCol w:w="284"/>
        <w:gridCol w:w="1605"/>
      </w:tblGrid>
      <w:tr>
        <w:tblPrEx>
          <w:shd w:val="clear" w:color="auto" w:fill="auto"/>
          <w:tblCellMar>
            <w:top w:w="0" w:type="dxa"/>
            <w:left w:w="0" w:type="dxa"/>
            <w:bottom w:w="0" w:type="dxa"/>
            <w:right w:w="0"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trPr>
          <w:trHeight w:val="286"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51320025R000012338995-追加人员工资性支出</w:t>
            </w:r>
          </w:p>
        </w:tc>
      </w:tr>
      <w:tr>
        <w:tblPrEx>
          <w:shd w:val="clear" w:color="auto" w:fill="auto"/>
          <w:tblCellMar>
            <w:top w:w="0" w:type="dxa"/>
            <w:left w:w="0" w:type="dxa"/>
            <w:bottom w:w="0" w:type="dxa"/>
            <w:right w:w="0" w:type="dxa"/>
          </w:tblCellMar>
        </w:tblPrEx>
        <w:trPr>
          <w:trHeight w:val="512" w:hRule="atLeast"/>
        </w:trPr>
        <w:tc>
          <w:tcPr>
            <w:tcW w:w="969"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州生态环境局部门</w:t>
            </w:r>
          </w:p>
        </w:tc>
        <w:tc>
          <w:tcPr>
            <w:tcW w:w="386" w:type="pct"/>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1248"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九寨沟县生态环境局</w:t>
            </w:r>
          </w:p>
        </w:tc>
      </w:tr>
      <w:tr>
        <w:tblPrEx>
          <w:shd w:val="clear" w:color="auto" w:fill="auto"/>
          <w:tblCellMar>
            <w:top w:w="0" w:type="dxa"/>
            <w:left w:w="0" w:type="dxa"/>
            <w:bottom w:w="0" w:type="dxa"/>
            <w:right w:w="0" w:type="dxa"/>
          </w:tblCellMar>
        </w:tblPrEx>
        <w:trPr>
          <w:trHeight w:val="286"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72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blPrEx>
          <w:tblCellMar>
            <w:top w:w="0" w:type="dxa"/>
            <w:left w:w="0" w:type="dxa"/>
            <w:bottom w:w="0" w:type="dxa"/>
            <w:right w:w="0" w:type="dxa"/>
          </w:tblCellMar>
        </w:tblPrEx>
        <w:trPr>
          <w:trHeight w:val="708"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9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3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对照年度目标，说明相关任务目标的完成情况（100字以内）</w:t>
            </w:r>
          </w:p>
        </w:tc>
      </w:tr>
      <w:tr>
        <w:tblPrEx>
          <w:shd w:val="clear" w:color="auto" w:fill="auto"/>
          <w:tblCellMar>
            <w:top w:w="0" w:type="dxa"/>
            <w:left w:w="0" w:type="dxa"/>
            <w:bottom w:w="0" w:type="dxa"/>
            <w:right w:w="0" w:type="dxa"/>
          </w:tblCellMar>
        </w:tblPrEx>
        <w:trPr>
          <w:trHeight w:val="693"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30" w:type="pct"/>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CellMar>
            <w:top w:w="0" w:type="dxa"/>
            <w:left w:w="0" w:type="dxa"/>
            <w:bottom w:w="0" w:type="dxa"/>
            <w:right w:w="0" w:type="dxa"/>
          </w:tblCellMar>
        </w:tblPrEx>
        <w:trPr>
          <w:trHeight w:val="346"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1.45</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shd w:val="clear" w:color="auto" w:fill="auto"/>
          <w:tblCellMar>
            <w:top w:w="0" w:type="dxa"/>
            <w:left w:w="0" w:type="dxa"/>
            <w:bottom w:w="0" w:type="dxa"/>
            <w:right w:w="0" w:type="dxa"/>
          </w:tblCellMar>
        </w:tblPrEx>
        <w:trPr>
          <w:trHeight w:val="39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1.45</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1.45</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407"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tblCellMar>
            <w:top w:w="0" w:type="dxa"/>
            <w:left w:w="0" w:type="dxa"/>
            <w:bottom w:w="0" w:type="dxa"/>
            <w:right w:w="0" w:type="dxa"/>
          </w:tblCellMar>
        </w:tblPrEx>
        <w:trPr>
          <w:trHeight w:val="361"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64"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黑体" w:hAnsi="黑体" w:eastAsia="黑体" w:cs="黑体"/>
                <w:i/>
                <w:color w:val="000000"/>
                <w:sz w:val="18"/>
                <w:szCs w:val="18"/>
                <w:u w:val="none"/>
              </w:rPr>
            </w:pPr>
          </w:p>
        </w:tc>
      </w:tr>
      <w:tr>
        <w:tblPrEx>
          <w:shd w:val="clear" w:color="auto" w:fill="auto"/>
          <w:tblCellMar>
            <w:top w:w="0" w:type="dxa"/>
            <w:left w:w="0" w:type="dxa"/>
            <w:bottom w:w="0" w:type="dxa"/>
            <w:right w:w="0" w:type="dxa"/>
          </w:tblCellMar>
        </w:tblPrEx>
        <w:trPr>
          <w:trHeight w:val="452" w:hRule="atLeast"/>
        </w:trPr>
        <w:tc>
          <w:tcPr>
            <w:tcW w:w="24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CellMar>
            <w:top w:w="0" w:type="dxa"/>
            <w:left w:w="0" w:type="dxa"/>
            <w:bottom w:w="0" w:type="dxa"/>
            <w:right w:w="0" w:type="dxa"/>
          </w:tblCellMar>
        </w:tblPrEx>
        <w:trPr>
          <w:trHeight w:val="339" w:hRule="atLeast"/>
        </w:trPr>
        <w:tc>
          <w:tcPr>
            <w:tcW w:w="24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blPrEx>
          <w:shd w:val="clear" w:color="auto" w:fill="auto"/>
          <w:tblCellMar>
            <w:top w:w="0" w:type="dxa"/>
            <w:left w:w="0" w:type="dxa"/>
            <w:bottom w:w="0" w:type="dxa"/>
            <w:right w:w="0" w:type="dxa"/>
          </w:tblCellMar>
        </w:tblPrEx>
        <w:trPr>
          <w:trHeight w:val="286" w:hRule="atLeast"/>
        </w:trPr>
        <w:tc>
          <w:tcPr>
            <w:tcW w:w="3751" w:type="pct"/>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17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60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shd w:val="clear" w:color="auto" w:fill="auto"/>
          <w:tblCellMar>
            <w:top w:w="0" w:type="dxa"/>
            <w:left w:w="0" w:type="dxa"/>
            <w:bottom w:w="0" w:type="dxa"/>
            <w:right w:w="0" w:type="dxa"/>
          </w:tblCellMar>
        </w:tblPrEx>
        <w:trPr>
          <w:trHeight w:val="572"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CellMar>
            <w:top w:w="0" w:type="dxa"/>
            <w:left w:w="0" w:type="dxa"/>
            <w:bottom w:w="0" w:type="dxa"/>
            <w:right w:w="0" w:type="dxa"/>
          </w:tblCellMar>
        </w:tblPrEx>
        <w:trPr>
          <w:trHeight w:val="633" w:hRule="atLeast"/>
        </w:trPr>
        <w:tc>
          <w:tcPr>
            <w:tcW w:w="24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757" w:type="pct"/>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CellMar>
            <w:top w:w="0" w:type="dxa"/>
            <w:left w:w="0" w:type="dxa"/>
            <w:bottom w:w="0" w:type="dxa"/>
            <w:right w:w="0" w:type="dxa"/>
          </w:tblCellMar>
        </w:tblPrEx>
        <w:trPr>
          <w:trHeight w:val="286" w:hRule="atLeast"/>
        </w:trPr>
        <w:tc>
          <w:tcPr>
            <w:tcW w:w="2585"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项目负责人：</w:t>
            </w:r>
          </w:p>
        </w:tc>
        <w:tc>
          <w:tcPr>
            <w:tcW w:w="2414"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财务负责人：</w:t>
            </w:r>
          </w:p>
        </w:tc>
      </w:tr>
    </w:tbl>
    <w:p>
      <w:pPr>
        <w:pStyle w:val="5"/>
        <w:rPr>
          <w:rFonts w:hint="eastAsia" w:ascii="Times New Roman" w:hAnsi="Times New Roman" w:eastAsia="仿宋_GB2312" w:cs="Times New Roman"/>
          <w:kern w:val="2"/>
          <w:sz w:val="32"/>
          <w:szCs w:val="32"/>
          <w:u w:val="none"/>
          <w:lang w:val="zh-CN" w:eastAsia="zh-CN" w:bidi="ar"/>
        </w:rPr>
      </w:pPr>
    </w:p>
    <w:p>
      <w:pPr>
        <w:pStyle w:val="5"/>
        <w:rPr>
          <w:rFonts w:hint="eastAsia" w:ascii="Times New Roman" w:hAnsi="Times New Roman" w:eastAsia="仿宋_GB2312" w:cs="Times New Roman"/>
          <w:kern w:val="2"/>
          <w:sz w:val="32"/>
          <w:szCs w:val="32"/>
          <w:u w:val="none"/>
          <w:lang w:val="zh-CN" w:eastAsia="zh-CN" w:bidi="ar"/>
        </w:rPr>
      </w:pPr>
    </w:p>
    <w:p>
      <w:pPr>
        <w:pStyle w:val="5"/>
        <w:rPr>
          <w:rFonts w:hint="eastAsia" w:ascii="Times New Roman" w:hAnsi="Times New Roman" w:eastAsia="仿宋_GB2312" w:cs="Times New Roman"/>
          <w:kern w:val="2"/>
          <w:sz w:val="32"/>
          <w:szCs w:val="32"/>
          <w:u w:val="none"/>
          <w:lang w:val="zh-CN" w:eastAsia="zh-CN" w:bidi="ar"/>
        </w:rPr>
      </w:pPr>
    </w:p>
    <w:p>
      <w:pPr>
        <w:pStyle w:val="5"/>
        <w:rPr>
          <w:rFonts w:hint="eastAsia" w:ascii="Times New Roman" w:hAnsi="Times New Roman" w:eastAsia="仿宋_GB2312" w:cs="Times New Roman"/>
          <w:kern w:val="2"/>
          <w:sz w:val="32"/>
          <w:szCs w:val="32"/>
          <w:u w:val="none"/>
          <w:lang w:val="zh-CN" w:eastAsia="zh-CN" w:bidi="ar"/>
        </w:rPr>
      </w:pPr>
    </w:p>
    <w:p>
      <w:pPr>
        <w:pStyle w:val="5"/>
        <w:rPr>
          <w:rFonts w:hint="eastAsia" w:ascii="Times New Roman" w:hAnsi="Times New Roman" w:eastAsia="仿宋_GB2312" w:cs="Times New Roman"/>
          <w:kern w:val="2"/>
          <w:sz w:val="32"/>
          <w:szCs w:val="32"/>
          <w:u w:val="none"/>
          <w:lang w:val="zh-CN" w:eastAsia="zh-CN" w:bidi="ar"/>
        </w:rPr>
      </w:pPr>
    </w:p>
    <w:p>
      <w:pPr>
        <w:widowControl/>
        <w:jc w:val="center"/>
        <w:rPr>
          <w:rFonts w:hint="eastAsia" w:ascii="Times New Roman" w:hAnsi="Times New Roman" w:eastAsia="黑体"/>
          <w:color w:val="auto"/>
          <w:sz w:val="44"/>
          <w:szCs w:val="44"/>
          <w:highlight w:val="none"/>
        </w:rPr>
      </w:pPr>
      <w:bookmarkStart w:id="58" w:name="_Toc15396618"/>
    </w:p>
    <w:p>
      <w:pPr>
        <w:widowControl/>
        <w:jc w:val="center"/>
        <w:rPr>
          <w:rFonts w:hint="eastAsia" w:ascii="Times New Roman" w:hAnsi="Times New Roman" w:eastAsia="黑体"/>
          <w:color w:val="auto"/>
          <w:sz w:val="44"/>
          <w:szCs w:val="44"/>
          <w:highlight w:val="none"/>
        </w:rPr>
      </w:pPr>
    </w:p>
    <w:p>
      <w:pPr>
        <w:widowControl/>
        <w:jc w:val="both"/>
        <w:rPr>
          <w:rFonts w:hint="eastAsia" w:ascii="Times New Roman" w:hAnsi="Times New Roman" w:eastAsia="黑体"/>
          <w:color w:val="auto"/>
          <w:sz w:val="44"/>
          <w:szCs w:val="44"/>
          <w:highlight w:val="none"/>
        </w:rPr>
      </w:pP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1"/>
          <w:rFonts w:hint="eastAsia" w:ascii="Times New Roman" w:hAnsi="Times New Roman" w:eastAsia="黑体"/>
          <w:b w:val="0"/>
          <w:color w:val="auto"/>
          <w:highlight w:val="none"/>
        </w:rPr>
        <w:t>五部分 附表</w:t>
      </w:r>
      <w:bookmarkEnd w:id="54"/>
      <w:bookmarkEnd w:id="58"/>
      <w:bookmarkStart w:id="59" w:name="_Toc15396619"/>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9"/>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0"/>
      <w:r>
        <w:rPr>
          <w:rFonts w:hint="eastAsia" w:ascii="Times New Roman" w:hAnsi="Times New Roman" w:eastAsia="仿宋_GB2312" w:cs="仿宋_GB2312"/>
          <w:color w:val="auto"/>
          <w:sz w:val="32"/>
          <w:szCs w:val="32"/>
          <w:highlight w:val="none"/>
        </w:rPr>
        <w:t>二、收入决算表</w:t>
      </w:r>
      <w:bookmarkEnd w:id="60"/>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1"/>
      <w:r>
        <w:rPr>
          <w:rFonts w:hint="eastAsia" w:ascii="Times New Roman" w:hAnsi="Times New Roman" w:eastAsia="仿宋_GB2312" w:cs="仿宋_GB2312"/>
          <w:color w:val="auto"/>
          <w:sz w:val="32"/>
          <w:szCs w:val="32"/>
          <w:highlight w:val="none"/>
        </w:rPr>
        <w:t>三、支出决算表</w:t>
      </w:r>
      <w:bookmarkEnd w:id="61"/>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2"/>
      <w:r>
        <w:rPr>
          <w:rFonts w:hint="eastAsia" w:ascii="Times New Roman" w:hAnsi="Times New Roman" w:eastAsia="仿宋_GB2312" w:cs="仿宋_GB2312"/>
          <w:color w:val="auto"/>
          <w:sz w:val="32"/>
          <w:szCs w:val="32"/>
          <w:highlight w:val="none"/>
        </w:rPr>
        <w:t>四、财政拨款收入支出决算总表</w:t>
      </w:r>
      <w:bookmarkEnd w:id="62"/>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3"/>
      <w:r>
        <w:rPr>
          <w:rFonts w:hint="eastAsia" w:ascii="Times New Roman" w:hAnsi="Times New Roman" w:eastAsia="仿宋_GB2312" w:cs="仿宋_GB2312"/>
          <w:color w:val="auto"/>
          <w:sz w:val="32"/>
          <w:szCs w:val="32"/>
          <w:highlight w:val="none"/>
        </w:rPr>
        <w:t>五、财政拨款支出决算明细表</w:t>
      </w:r>
      <w:bookmarkEnd w:id="63"/>
      <w:bookmarkStart w:id="64" w:name="_Toc15396624"/>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4"/>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5"/>
      <w:r>
        <w:rPr>
          <w:rFonts w:hint="eastAsia" w:ascii="Times New Roman" w:hAnsi="Times New Roman" w:eastAsia="仿宋_GB2312" w:cs="仿宋_GB2312"/>
          <w:color w:val="auto"/>
          <w:sz w:val="32"/>
          <w:szCs w:val="32"/>
          <w:highlight w:val="none"/>
        </w:rPr>
        <w:t>七、一般公共预算财政拨款支出决算明细表</w:t>
      </w:r>
      <w:bookmarkEnd w:id="65"/>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6"/>
      <w:r>
        <w:rPr>
          <w:rFonts w:hint="eastAsia" w:ascii="Times New Roman" w:hAnsi="Times New Roman" w:eastAsia="仿宋_GB2312" w:cs="仿宋_GB2312"/>
          <w:color w:val="auto"/>
          <w:sz w:val="32"/>
          <w:szCs w:val="32"/>
          <w:highlight w:val="none"/>
        </w:rPr>
        <w:t>八、一般公共预算财政拨款基本支出决算表</w:t>
      </w:r>
      <w:bookmarkEnd w:id="66"/>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7"/>
      <w:r>
        <w:rPr>
          <w:rFonts w:hint="eastAsia" w:ascii="Times New Roman" w:hAnsi="Times New Roman" w:eastAsia="仿宋_GB2312" w:cs="仿宋_GB2312"/>
          <w:color w:val="auto"/>
          <w:sz w:val="32"/>
          <w:szCs w:val="32"/>
          <w:highlight w:val="none"/>
        </w:rPr>
        <w:t>九、一般公共预算财政拨款项目支出决算表</w:t>
      </w:r>
      <w:bookmarkEnd w:id="67"/>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8"/>
      <w:r>
        <w:rPr>
          <w:rFonts w:hint="eastAsia" w:ascii="Times New Roman" w:hAnsi="Times New Roman" w:eastAsia="仿宋_GB2312" w:cs="仿宋_GB2312"/>
          <w:color w:val="auto"/>
          <w:sz w:val="32"/>
          <w:szCs w:val="32"/>
          <w:highlight w:val="none"/>
        </w:rPr>
        <w:t>十、</w:t>
      </w:r>
      <w:bookmarkEnd w:id="68"/>
      <w:r>
        <w:rPr>
          <w:rFonts w:hint="eastAsia" w:ascii="Times New Roman" w:hAnsi="Times New Roman" w:eastAsia="仿宋_GB2312" w:cs="仿宋_GB2312"/>
          <w:color w:val="auto"/>
          <w:sz w:val="32"/>
          <w:szCs w:val="32"/>
          <w:highlight w:val="none"/>
        </w:rPr>
        <w:t>政府性基金预算财政拨款收入支出决算表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29"/>
      <w:r>
        <w:rPr>
          <w:rFonts w:hint="eastAsia" w:ascii="Times New Roman" w:hAnsi="Times New Roman" w:eastAsia="仿宋_GB2312" w:cs="仿宋_GB2312"/>
          <w:color w:val="auto"/>
          <w:sz w:val="32"/>
          <w:szCs w:val="32"/>
          <w:highlight w:val="none"/>
        </w:rPr>
        <w:t>十一、</w:t>
      </w:r>
      <w:bookmarkEnd w:id="6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0" w:name="_Toc15396630"/>
      <w:r>
        <w:rPr>
          <w:rFonts w:hint="eastAsia" w:ascii="Times New Roman" w:hAnsi="Times New Roman" w:eastAsia="仿宋_GB2312" w:cs="仿宋_GB2312"/>
          <w:color w:val="auto"/>
          <w:sz w:val="32"/>
          <w:szCs w:val="32"/>
          <w:highlight w:val="none"/>
        </w:rPr>
        <w:t>十二、</w:t>
      </w:r>
      <w:bookmarkEnd w:id="70"/>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1" w:name="_Toc15396631"/>
      <w:r>
        <w:rPr>
          <w:rFonts w:hint="eastAsia" w:ascii="Times New Roman" w:hAnsi="Times New Roman" w:eastAsia="仿宋_GB2312" w:cs="仿宋_GB2312"/>
          <w:color w:val="auto"/>
          <w:sz w:val="32"/>
          <w:szCs w:val="32"/>
          <w:highlight w:val="none"/>
        </w:rPr>
        <w:t>十三、</w:t>
      </w:r>
      <w:bookmarkEnd w:id="71"/>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6" w:type="first"/>
      <w:footerReference r:id="rId5" w:type="default"/>
      <w:pgSz w:w="11850" w:h="16783"/>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FCBC8E"/>
    <w:multiLevelType w:val="singleLevel"/>
    <w:tmpl w:val="A7FCBC8E"/>
    <w:lvl w:ilvl="0" w:tentative="0">
      <w:start w:val="1"/>
      <w:numFmt w:val="chineseCounting"/>
      <w:suff w:val="nothing"/>
      <w:lvlText w:val="%1、"/>
      <w:lvlJc w:val="left"/>
      <w:rPr>
        <w:rFonts w:hint="eastAsia"/>
      </w:rPr>
    </w:lvl>
  </w:abstractNum>
  <w:abstractNum w:abstractNumId="1">
    <w:nsid w:val="DD6E07ED"/>
    <w:multiLevelType w:val="singleLevel"/>
    <w:tmpl w:val="DD6E07ED"/>
    <w:lvl w:ilvl="0" w:tentative="0">
      <w:start w:val="2"/>
      <w:numFmt w:val="chineseCounting"/>
      <w:suff w:val="nothing"/>
      <w:lvlText w:val="（%1）"/>
      <w:lvlJc w:val="left"/>
      <w:rPr>
        <w:rFonts w:hint="eastAsia"/>
      </w:rPr>
    </w:lvl>
  </w:abstractNum>
  <w:abstractNum w:abstractNumId="2">
    <w:nsid w:val="5F23ADF2"/>
    <w:multiLevelType w:val="singleLevel"/>
    <w:tmpl w:val="5F23ADF2"/>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760705"/>
    <w:rsid w:val="07996F6E"/>
    <w:rsid w:val="07DFD8BA"/>
    <w:rsid w:val="08AA7514"/>
    <w:rsid w:val="09867E8F"/>
    <w:rsid w:val="0A2032A3"/>
    <w:rsid w:val="0C3D4E8C"/>
    <w:rsid w:val="0CA8290A"/>
    <w:rsid w:val="0D35B1ED"/>
    <w:rsid w:val="0E254B6B"/>
    <w:rsid w:val="0F98263C"/>
    <w:rsid w:val="101860EC"/>
    <w:rsid w:val="101F47CC"/>
    <w:rsid w:val="10C055FF"/>
    <w:rsid w:val="11694EBD"/>
    <w:rsid w:val="11772AA4"/>
    <w:rsid w:val="118107EC"/>
    <w:rsid w:val="12E24EE2"/>
    <w:rsid w:val="13D50BC4"/>
    <w:rsid w:val="14B17F78"/>
    <w:rsid w:val="15CE5152"/>
    <w:rsid w:val="165E0673"/>
    <w:rsid w:val="16B831D5"/>
    <w:rsid w:val="16BB723D"/>
    <w:rsid w:val="17E50567"/>
    <w:rsid w:val="18571B7F"/>
    <w:rsid w:val="186504BB"/>
    <w:rsid w:val="18EE3742"/>
    <w:rsid w:val="19A445FC"/>
    <w:rsid w:val="1BE8440E"/>
    <w:rsid w:val="1D155CEE"/>
    <w:rsid w:val="1D1638FE"/>
    <w:rsid w:val="1E312DEB"/>
    <w:rsid w:val="1E740ACF"/>
    <w:rsid w:val="1FF35744"/>
    <w:rsid w:val="1FF6BC77"/>
    <w:rsid w:val="2186353C"/>
    <w:rsid w:val="23860B96"/>
    <w:rsid w:val="240371BF"/>
    <w:rsid w:val="244F3473"/>
    <w:rsid w:val="24C143B8"/>
    <w:rsid w:val="24C97D99"/>
    <w:rsid w:val="25A718F0"/>
    <w:rsid w:val="25B01A85"/>
    <w:rsid w:val="25BB59F6"/>
    <w:rsid w:val="260F557C"/>
    <w:rsid w:val="26970054"/>
    <w:rsid w:val="281408E2"/>
    <w:rsid w:val="29B217A8"/>
    <w:rsid w:val="29FD04D3"/>
    <w:rsid w:val="2BFF7BC6"/>
    <w:rsid w:val="2C8A61B5"/>
    <w:rsid w:val="2DF04E50"/>
    <w:rsid w:val="2E586DFA"/>
    <w:rsid w:val="2F040D46"/>
    <w:rsid w:val="2F6B035B"/>
    <w:rsid w:val="2FAE5751"/>
    <w:rsid w:val="2FB1A395"/>
    <w:rsid w:val="2FD9A7D8"/>
    <w:rsid w:val="2FDBF714"/>
    <w:rsid w:val="30AB6865"/>
    <w:rsid w:val="30EF5673"/>
    <w:rsid w:val="319F7F4E"/>
    <w:rsid w:val="32BD1EF1"/>
    <w:rsid w:val="3304709D"/>
    <w:rsid w:val="330C03EE"/>
    <w:rsid w:val="33A773CB"/>
    <w:rsid w:val="349D6851"/>
    <w:rsid w:val="36AA5135"/>
    <w:rsid w:val="36BE0DA7"/>
    <w:rsid w:val="376B6AA6"/>
    <w:rsid w:val="376D39B2"/>
    <w:rsid w:val="37E16F03"/>
    <w:rsid w:val="37F53A3B"/>
    <w:rsid w:val="389B6C89"/>
    <w:rsid w:val="38D469F0"/>
    <w:rsid w:val="39627CCD"/>
    <w:rsid w:val="397BAF1F"/>
    <w:rsid w:val="3AAC79AB"/>
    <w:rsid w:val="3AB79AF3"/>
    <w:rsid w:val="3AE834C0"/>
    <w:rsid w:val="3B7EF35A"/>
    <w:rsid w:val="3B9FDB6C"/>
    <w:rsid w:val="3BF5BC2F"/>
    <w:rsid w:val="3CEBA265"/>
    <w:rsid w:val="3D98207C"/>
    <w:rsid w:val="3DEE7CF3"/>
    <w:rsid w:val="3E5244AE"/>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526C39"/>
    <w:rsid w:val="5D695134"/>
    <w:rsid w:val="5DAE1B18"/>
    <w:rsid w:val="5DE7D9E5"/>
    <w:rsid w:val="5ECEC941"/>
    <w:rsid w:val="5FBF9FF3"/>
    <w:rsid w:val="5FCD4E2C"/>
    <w:rsid w:val="5FEF394A"/>
    <w:rsid w:val="5FF67715"/>
    <w:rsid w:val="62BF3928"/>
    <w:rsid w:val="63B3701E"/>
    <w:rsid w:val="647F5392"/>
    <w:rsid w:val="65E66580"/>
    <w:rsid w:val="662B1DC4"/>
    <w:rsid w:val="664B1D71"/>
    <w:rsid w:val="664B4E8E"/>
    <w:rsid w:val="67277B67"/>
    <w:rsid w:val="67AA3209"/>
    <w:rsid w:val="698D0931"/>
    <w:rsid w:val="6A7FE5F3"/>
    <w:rsid w:val="6B053271"/>
    <w:rsid w:val="6BDD78B3"/>
    <w:rsid w:val="6C4A05C8"/>
    <w:rsid w:val="6C8742B8"/>
    <w:rsid w:val="6DBF5E93"/>
    <w:rsid w:val="6DED4287"/>
    <w:rsid w:val="6DFF077E"/>
    <w:rsid w:val="6E714EF0"/>
    <w:rsid w:val="6E7E3605"/>
    <w:rsid w:val="6E7FDCC7"/>
    <w:rsid w:val="6ED6A62E"/>
    <w:rsid w:val="6EE00B15"/>
    <w:rsid w:val="6F5F592C"/>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DC2712"/>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DE53B0B"/>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7">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firstLineChars="200"/>
    </w:pPr>
  </w:style>
  <w:style w:type="paragraph" w:styleId="3">
    <w:name w:val="Body Text Indent"/>
    <w:basedOn w:val="1"/>
    <w:next w:val="4"/>
    <w:qFormat/>
    <w:uiPriority w:val="0"/>
    <w:pPr>
      <w:spacing w:after="120"/>
      <w:ind w:leftChars="200"/>
    </w:pPr>
    <w:rPr>
      <w:rFonts w:ascii="仿宋_GB2312"/>
      <w:szCs w:val="32"/>
    </w:rPr>
  </w:style>
  <w:style w:type="paragraph" w:styleId="4">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5">
    <w:name w:val="Plain Text"/>
    <w:basedOn w:val="1"/>
    <w:qFormat/>
    <w:uiPriority w:val="0"/>
    <w:rPr>
      <w:rFonts w:ascii="宋体" w:hAnsi="Courier New"/>
    </w:rPr>
  </w:style>
  <w:style w:type="paragraph" w:styleId="9">
    <w:name w:val="Normal Indent"/>
    <w:basedOn w:val="1"/>
    <w:unhideWhenUsed/>
    <w:qFormat/>
    <w:uiPriority w:val="99"/>
    <w:pPr>
      <w:ind w:firstLine="680"/>
    </w:pPr>
  </w:style>
  <w:style w:type="paragraph" w:styleId="10">
    <w:name w:val="Body Text"/>
    <w:basedOn w:val="1"/>
    <w:link w:val="28"/>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4"/>
    <w:semiHidden/>
    <w:unhideWhenUsed/>
    <w:qFormat/>
    <w:uiPriority w:val="99"/>
    <w:rPr>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2"/>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BodyText"/>
    <w:basedOn w:val="1"/>
    <w:qFormat/>
    <w:uiPriority w:val="0"/>
    <w:pPr>
      <w:spacing w:after="120"/>
      <w:textAlignment w:val="baseline"/>
    </w:p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8"/>
    <w:semiHidden/>
    <w:qFormat/>
    <w:uiPriority w:val="99"/>
    <w:rPr>
      <w:rFonts w:ascii="Times New Roman" w:hAnsi="Times New Roman"/>
      <w:sz w:val="18"/>
      <w:szCs w:val="18"/>
    </w:rPr>
  </w:style>
  <w:style w:type="character" w:customStyle="1" w:styleId="24">
    <w:name w:val="页眉 Char"/>
    <w:link w:val="13"/>
    <w:semiHidden/>
    <w:qFormat/>
    <w:locked/>
    <w:uiPriority w:val="99"/>
    <w:rPr>
      <w:sz w:val="18"/>
    </w:rPr>
  </w:style>
  <w:style w:type="character" w:customStyle="1" w:styleId="25">
    <w:name w:val="Footer Char"/>
    <w:basedOn w:val="18"/>
    <w:semiHidden/>
    <w:qFormat/>
    <w:uiPriority w:val="99"/>
    <w:rPr>
      <w:rFonts w:ascii="Times New Roman" w:hAnsi="Times New Roman"/>
      <w:sz w:val="18"/>
      <w:szCs w:val="18"/>
    </w:rPr>
  </w:style>
  <w:style w:type="character" w:customStyle="1" w:styleId="26">
    <w:name w:val="页脚 Char"/>
    <w:link w:val="4"/>
    <w:qFormat/>
    <w:locked/>
    <w:uiPriority w:val="99"/>
    <w:rPr>
      <w:sz w:val="18"/>
    </w:rPr>
  </w:style>
  <w:style w:type="character" w:customStyle="1" w:styleId="27">
    <w:name w:val="Body Text Char"/>
    <w:basedOn w:val="18"/>
    <w:semiHidden/>
    <w:qFormat/>
    <w:uiPriority w:val="99"/>
    <w:rPr>
      <w:rFonts w:ascii="Times New Roman" w:hAnsi="Times New Roman"/>
      <w:szCs w:val="24"/>
    </w:rPr>
  </w:style>
  <w:style w:type="character" w:customStyle="1" w:styleId="28">
    <w:name w:val="正文文本 Char"/>
    <w:link w:val="10"/>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8"/>
    <w:link w:val="6"/>
    <w:qFormat/>
    <w:uiPriority w:val="9"/>
    <w:rPr>
      <w:rFonts w:ascii="Times New Roman" w:hAnsi="Times New Roman"/>
      <w:b/>
      <w:bCs/>
      <w:kern w:val="44"/>
      <w:sz w:val="44"/>
      <w:szCs w:val="44"/>
    </w:rPr>
  </w:style>
  <w:style w:type="character" w:customStyle="1" w:styleId="32">
    <w:name w:val="标题 2 Char"/>
    <w:basedOn w:val="18"/>
    <w:link w:val="7"/>
    <w:qFormat/>
    <w:uiPriority w:val="9"/>
    <w:rPr>
      <w:rFonts w:asciiTheme="majorHAnsi" w:hAnsiTheme="majorHAnsi" w:eastAsiaTheme="majorEastAsia" w:cstheme="majorBidi"/>
      <w:b/>
      <w:bCs/>
      <w:kern w:val="2"/>
      <w:sz w:val="32"/>
      <w:szCs w:val="32"/>
    </w:rPr>
  </w:style>
  <w:style w:type="paragraph" w:customStyle="1" w:styleId="33">
    <w:name w:val="TOC 标题1"/>
    <w:basedOn w:val="6"/>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8"/>
    <w:link w:val="12"/>
    <w:semiHidden/>
    <w:qFormat/>
    <w:uiPriority w:val="99"/>
    <w:rPr>
      <w:rFonts w:ascii="Times New Roman" w:hAnsi="Times New Roman"/>
      <w:kern w:val="2"/>
      <w:sz w:val="18"/>
      <w:szCs w:val="18"/>
    </w:rPr>
  </w:style>
  <w:style w:type="character" w:customStyle="1" w:styleId="35">
    <w:name w:val="标题 3 Char"/>
    <w:basedOn w:val="18"/>
    <w:link w:val="8"/>
    <w:qFormat/>
    <w:uiPriority w:val="9"/>
    <w:rPr>
      <w:rFonts w:ascii="Times New Roman" w:hAnsi="Times New Roman"/>
      <w:b/>
      <w:bCs/>
      <w:kern w:val="2"/>
      <w:sz w:val="32"/>
      <w:szCs w:val="32"/>
    </w:rPr>
  </w:style>
  <w:style w:type="paragraph" w:customStyle="1" w:styleId="36">
    <w:name w:val="TOC Heading"/>
    <w:basedOn w:val="6"/>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2023年</c:v>
                </c:pt>
                <c:pt idx="1">
                  <c:v>2024年</c:v>
                </c:pt>
              </c:strCache>
            </c:strRef>
          </c:cat>
          <c:val>
            <c:numRef>
              <c:f>Sheet1!$B$2:$B$3</c:f>
              <c:numCache>
                <c:formatCode>General</c:formatCode>
                <c:ptCount val="2"/>
                <c:pt idx="0">
                  <c:v>1086.15</c:v>
                </c:pt>
                <c:pt idx="1">
                  <c:v>3081.82</c:v>
                </c:pt>
              </c:numCache>
            </c:numRef>
          </c:val>
        </c:ser>
        <c:ser>
          <c:idx val="1"/>
          <c:order val="1"/>
          <c:tx>
            <c:strRef>
              <c:f>Sheet1!$C$1</c:f>
              <c:strCache>
                <c:ptCount val="1"/>
                <c:pt idx="0">
                  <c:v>系列 2</c:v>
                </c:pt>
              </c:strCache>
            </c:strRef>
          </c:tx>
          <c:spPr>
            <a:solidFill>
              <a:schemeClr val="accent2"/>
            </a:solidFill>
            <a:ln>
              <a:noFill/>
            </a:ln>
            <a:effectLst/>
          </c:spPr>
          <c:invertIfNegative val="0"/>
          <c:dLbls>
            <c:delete val="1"/>
          </c:dLbls>
          <c:cat>
            <c:strRef>
              <c:f>Sheet1!$A$2:$A$3</c:f>
              <c:strCache>
                <c:ptCount val="2"/>
                <c:pt idx="0">
                  <c:v>2023年</c:v>
                </c:pt>
                <c:pt idx="1">
                  <c:v>2024年</c:v>
                </c:pt>
              </c:strCache>
            </c:strRef>
          </c:cat>
          <c:val>
            <c:numRef>
              <c:f>Sheet1!$C$2:$C$3</c:f>
              <c:numCache>
                <c:formatCode>General</c:formatCode>
                <c:ptCount val="2"/>
                <c:pt idx="0">
                  <c:v>1086.15</c:v>
                </c:pt>
                <c:pt idx="1">
                  <c:v>3081.82</c:v>
                </c:pt>
              </c:numCache>
            </c:numRef>
          </c:val>
        </c:ser>
        <c:dLbls>
          <c:showLegendKey val="0"/>
          <c:showVal val="0"/>
          <c:showCatName val="0"/>
          <c:showSerName val="0"/>
          <c:showPercent val="0"/>
          <c:showBubbleSize val="0"/>
        </c:dLbls>
        <c:gapWidth val="219"/>
        <c:overlap val="-27"/>
        <c:axId val="445565170"/>
        <c:axId val="933321892"/>
      </c:barChart>
      <c:catAx>
        <c:axId val="4455651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3321892"/>
        <c:crosses val="autoZero"/>
        <c:auto val="1"/>
        <c:lblAlgn val="ctr"/>
        <c:lblOffset val="100"/>
        <c:noMultiLvlLbl val="0"/>
      </c:catAx>
      <c:valAx>
        <c:axId val="9333218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556517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2073.99</c:v>
                </c:pt>
                <c:pt idx="1">
                  <c:v>1007.84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436.21</c:v>
                </c:pt>
                <c:pt idx="1">
                  <c:v>2645.61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财政拨款收、支对比图（万元）</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851.72</c:v>
                </c:pt>
                <c:pt idx="1">
                  <c:v>2073.99</c:v>
                </c:pt>
              </c:numCache>
            </c:numRef>
          </c:val>
        </c:ser>
        <c:ser>
          <c:idx val="1"/>
          <c:order val="1"/>
          <c:tx>
            <c:strRef>
              <c:f>Sheet1!$C$1</c:f>
              <c:strCache>
                <c:ptCount val="1"/>
                <c:pt idx="0">
                  <c:v>财政拨款支出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851.72</c:v>
                </c:pt>
                <c:pt idx="1">
                  <c:v>2073.99</c:v>
                </c:pt>
              </c:numCache>
            </c:numRef>
          </c:val>
        </c:ser>
        <c:dLbls>
          <c:showLegendKey val="0"/>
          <c:showVal val="1"/>
          <c:showCatName val="0"/>
          <c:showSerName val="0"/>
          <c:showPercent val="0"/>
          <c:showBubbleSize val="0"/>
        </c:dLbls>
        <c:gapWidth val="219"/>
        <c:overlap val="-27"/>
        <c:axId val="722650307"/>
        <c:axId val="162135868"/>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2023年</c:v>
                      </c:pt>
                      <c:pt idx="1">
                        <c:v>2024年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72265030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135868"/>
        <c:crosses val="autoZero"/>
        <c:auto val="1"/>
        <c:lblAlgn val="ctr"/>
        <c:lblOffset val="100"/>
        <c:noMultiLvlLbl val="0"/>
      </c:catAx>
      <c:valAx>
        <c:axId val="162135868"/>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265030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一般公共预算财政拨款支出决算数（万元）</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Sheet1!$A$2:$A$5</c15:sqref>
                  </c15:fullRef>
                </c:ext>
              </c:extLst>
              <c:f>Sheet1!$A$2:$A$3</c:f>
              <c:strCache>
                <c:ptCount val="2"/>
                <c:pt idx="0">
                  <c:v>2023年</c:v>
                </c:pt>
                <c:pt idx="1">
                  <c:v>2024年</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851.72</c:v>
                </c:pt>
                <c:pt idx="1">
                  <c:v>2073.99</c:v>
                </c:pt>
              </c:numCache>
            </c:numRef>
          </c:val>
        </c:ser>
        <c:dLbls>
          <c:showLegendKey val="0"/>
          <c:showVal val="0"/>
          <c:showCatName val="0"/>
          <c:showSerName val="0"/>
          <c:showPercent val="0"/>
          <c:showBubbleSize val="0"/>
        </c:dLbls>
        <c:gapWidth val="150"/>
        <c:overlap val="0"/>
        <c:axId val="326381714"/>
        <c:axId val="177517854"/>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系列 2</c:v>
                      </c:pt>
                    </c:strCache>
                  </c:strRef>
                </c:tx>
                <c:spPr>
                  <a:solidFill>
                    <a:schemeClr val="accent2"/>
                  </a:solidFill>
                  <a:ln>
                    <a:noFill/>
                  </a:ln>
                  <a:effectLst/>
                </c:spPr>
                <c:invertIfNegative val="0"/>
                <c:dLbls>
                  <c:delete val="1"/>
                </c:dLbls>
                <c:cat>
                  <c:strRef>
                    <c:extLst>
                      <c:ext uri="{02D57815-91ED-43cb-92C2-25804820EDAC}">
                        <c15:fullRef>
                          <c15:sqref>Sheet1!$A$2:$A$5</c15:sqref>
                        </c15:fullRef>
                        <c15:formulaRef>
                          <c15:sqref>Sheet1!$A$2:$A$3</c15:sqref>
                        </c15:formulaRef>
                      </c:ext>
                    </c:extLst>
                    <c:strCache>
                      <c:ptCount val="2"/>
                      <c:pt idx="0">
                        <c:v>2023年</c:v>
                      </c:pt>
                      <c:pt idx="1">
                        <c:v>2024年</c:v>
                      </c:pt>
                    </c:strCache>
                  </c:strRef>
                </c:cat>
                <c:val>
                  <c:numRef>
                    <c:extLst>
                      <c:ext uri="{02D57815-91ED-43cb-92C2-25804820EDAC}">
                        <c15:fullRef>
                          <c15:sqref>Sheet1!$C$2:$C$5</c15:sqref>
                        </c15:fullRef>
                        <c15:formulaRef>
                          <c15:sqref>Sheet1!$C$2:$C$3</c15:sqref>
                        </c15:formulaRef>
                      </c:ext>
                    </c:extLst>
                    <c:numCache>
                      <c:formatCode>General</c:formatCode>
                      <c:ptCount val="2"/>
                      <c:pt idx="0">
                        <c:v>2.4</c:v>
                      </c:pt>
                      <c:pt idx="1">
                        <c:v>4.4</c:v>
                      </c:pt>
                    </c:numCache>
                  </c:numRef>
                </c:val>
              </c15:ser>
            </c15:filteredBarSeries>
            <c15:filteredBarSeries>
              <c15:ser>
                <c:idx val="2"/>
                <c:order val="2"/>
                <c:tx>
                  <c:strRef>
                    <c:extLst>
                      <c:ext uri="{02D57815-91ED-43cb-92C2-25804820EDAC}">
                        <c15:formulaRef>
                          <c15:sqref>Sheet1!$D$1</c15:sqref>
                        </c15:formulaRef>
                      </c:ext>
                    </c:extLst>
                    <c:strCache>
                      <c:ptCount val="1"/>
                      <c:pt idx="0">
                        <c:v>系列 3</c:v>
                      </c:pt>
                    </c:strCache>
                  </c:strRef>
                </c:tx>
                <c:spPr>
                  <a:solidFill>
                    <a:schemeClr val="accent3"/>
                  </a:solidFill>
                  <a:ln>
                    <a:noFill/>
                  </a:ln>
                  <a:effectLst/>
                </c:spPr>
                <c:invertIfNegative val="0"/>
                <c:dLbls>
                  <c:delete val="1"/>
                </c:dLbls>
                <c:cat>
                  <c:strRef>
                    <c:extLst>
                      <c:ext uri="{02D57815-91ED-43cb-92C2-25804820EDAC}">
                        <c15:fullRef>
                          <c15:sqref>Sheet1!$A$2:$A$5</c15:sqref>
                        </c15:fullRef>
                        <c15:formulaRef>
                          <c15:sqref>Sheet1!$A$2:$A$3</c15:sqref>
                        </c15:formulaRef>
                      </c:ext>
                    </c:extLst>
                    <c:strCache>
                      <c:ptCount val="2"/>
                      <c:pt idx="0">
                        <c:v>2023年</c:v>
                      </c:pt>
                      <c:pt idx="1">
                        <c:v>2024年</c:v>
                      </c:pt>
                    </c:strCache>
                  </c:strRef>
                </c:cat>
                <c:val>
                  <c:numRef>
                    <c:extLst>
                      <c:ext uri="{02D57815-91ED-43cb-92C2-25804820EDAC}">
                        <c15:fullRef>
                          <c15:sqref>Sheet1!$D$2:$D$5</c15:sqref>
                        </c15:fullRef>
                        <c15:formulaRef>
                          <c15:sqref>Sheet1!$D$2:$D$3</c15:sqref>
                        </c15:formulaRef>
                      </c:ext>
                    </c:extLst>
                    <c:numCache>
                      <c:formatCode>General</c:formatCode>
                      <c:ptCount val="2"/>
                      <c:pt idx="0">
                        <c:v>2</c:v>
                      </c:pt>
                      <c:pt idx="1">
                        <c:v>2</c:v>
                      </c:pt>
                    </c:numCache>
                  </c:numRef>
                </c:val>
              </c15:ser>
            </c15:filteredBarSeries>
          </c:ext>
        </c:extLst>
      </c:barChart>
      <c:catAx>
        <c:axId val="32638171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7517854"/>
        <c:crosses val="autoZero"/>
        <c:auto val="1"/>
        <c:lblAlgn val="ctr"/>
        <c:lblOffset val="100"/>
        <c:noMultiLvlLbl val="0"/>
      </c:catAx>
      <c:valAx>
        <c:axId val="177517854"/>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638171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一般公共预算财政拨款支出数（万元）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社会保障和就业支出数</c:v>
                </c:pt>
                <c:pt idx="1">
                  <c:v>卫生健康支出数</c:v>
                </c:pt>
                <c:pt idx="2">
                  <c:v>节能环保支出数</c:v>
                </c:pt>
                <c:pt idx="3">
                  <c:v>住房保障支出数</c:v>
                </c:pt>
              </c:strCache>
            </c:strRef>
          </c:cat>
          <c:val>
            <c:numRef>
              <c:f>Sheet1!$B$2:$B$5</c:f>
              <c:numCache>
                <c:formatCode>General</c:formatCode>
                <c:ptCount val="4"/>
                <c:pt idx="0">
                  <c:v>47.07</c:v>
                </c:pt>
                <c:pt idx="1">
                  <c:v>17.87</c:v>
                </c:pt>
                <c:pt idx="2">
                  <c:v>1984.52</c:v>
                </c:pt>
                <c:pt idx="3">
                  <c:v>24.53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三公经费支出决算数（万元）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公务接待支出决算数</c:v>
                </c:pt>
                <c:pt idx="1">
                  <c:v>公务用车运行维护费支出决算数</c:v>
                </c:pt>
              </c:strCache>
            </c:strRef>
          </c:cat>
          <c:val>
            <c:numRef>
              <c:f>Sheet1!$B$2:$B$3</c:f>
              <c:numCache>
                <c:formatCode>General</c:formatCode>
                <c:ptCount val="2"/>
                <c:pt idx="0">
                  <c:v>0.9</c:v>
                </c:pt>
                <c:pt idx="1">
                  <c:v>18.72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53</Pages>
  <Words>21286</Words>
  <Characters>24172</Characters>
  <Lines>61</Lines>
  <Paragraphs>17</Paragraphs>
  <TotalTime>16</TotalTime>
  <ScaleCrop>false</ScaleCrop>
  <LinksUpToDate>false</LinksUpToDate>
  <CharactersWithSpaces>24260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开心</cp:lastModifiedBy>
  <cp:lastPrinted>2025-08-06T17:34:00Z</cp:lastPrinted>
  <dcterms:modified xsi:type="dcterms:W3CDTF">2026-04-20T01:29:26Z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04787F2533EB45DC91BCDE4AB213247F</vt:lpwstr>
  </property>
</Properties>
</file>