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jc w:val="both"/>
        <w:rPr>
          <w:rFonts w:hint="eastAsia" w:ascii="Times New Roman" w:hAnsi="Times New Roman" w:eastAsia="方正小标宋简体" w:cs="Times New Roman"/>
          <w:color w:val="auto"/>
          <w:kern w:val="2"/>
          <w:sz w:val="44"/>
          <w:szCs w:val="44"/>
          <w:highlight w:val="none"/>
          <w:lang w:val="en-US" w:eastAsia="zh-CN" w:bidi="ar-SA"/>
        </w:rPr>
      </w:pPr>
      <w:bookmarkStart w:id="0" w:name="_Toc15377193"/>
      <w:bookmarkStart w:id="1" w:name="_Toc15377425"/>
      <w:bookmarkStart w:id="2" w:name="_Toc15396475"/>
      <w:bookmarkStart w:id="3" w:name="_Toc15396597"/>
      <w:bookmarkStart w:id="4" w:name="_Toc15378441"/>
      <w:bookmarkStart w:id="5" w:name="_Toc15306267"/>
    </w:p>
    <w:p>
      <w:pPr>
        <w:pStyle w:val="6"/>
        <w:jc w:val="center"/>
        <w:rPr>
          <w:rFonts w:hint="eastAsia" w:ascii="Times New Roman" w:hAnsi="Times New Roman" w:eastAsia="方正小标宋简体" w:cs="Times New Roman"/>
          <w:color w:val="auto"/>
          <w:kern w:val="2"/>
          <w:sz w:val="44"/>
          <w:szCs w:val="44"/>
          <w:highlight w:val="none"/>
          <w:lang w:val="en-US" w:eastAsia="zh-CN" w:bidi="ar-SA"/>
        </w:rPr>
      </w:pPr>
    </w:p>
    <w:p>
      <w:pPr>
        <w:pStyle w:val="6"/>
        <w:jc w:val="center"/>
        <w:rPr>
          <w:rFonts w:hint="eastAsia" w:ascii="Times New Roman" w:hAnsi="Times New Roman" w:eastAsia="方正小标宋简体" w:cs="Times New Roman"/>
          <w:color w:val="auto"/>
          <w:kern w:val="2"/>
          <w:sz w:val="44"/>
          <w:szCs w:val="44"/>
          <w:highlight w:val="none"/>
          <w:lang w:val="en-US" w:eastAsia="zh-CN" w:bidi="ar-SA"/>
        </w:rPr>
      </w:pPr>
    </w:p>
    <w:p>
      <w:pPr>
        <w:pStyle w:val="6"/>
        <w:jc w:val="center"/>
        <w:rPr>
          <w:rFonts w:hint="eastAsia" w:ascii="Times New Roman" w:hAnsi="Times New Roman" w:eastAsia="方正小标宋简体" w:cs="Times New Roman"/>
          <w:color w:val="auto"/>
          <w:kern w:val="2"/>
          <w:sz w:val="44"/>
          <w:szCs w:val="44"/>
          <w:highlight w:val="none"/>
          <w:lang w:val="en-US" w:eastAsia="zh-CN" w:bidi="ar-SA"/>
        </w:rPr>
      </w:pPr>
    </w:p>
    <w:bookmarkEnd w:id="0"/>
    <w:bookmarkEnd w:id="1"/>
    <w:bookmarkEnd w:id="2"/>
    <w:bookmarkEnd w:id="3"/>
    <w:bookmarkEnd w:id="4"/>
    <w:bookmarkEnd w:id="5"/>
    <w:p>
      <w:pPr>
        <w:pStyle w:val="2"/>
        <w:ind w:firstLine="0"/>
      </w:pPr>
    </w:p>
    <w:p>
      <w:pPr>
        <w:jc w:val="center"/>
        <w:rPr>
          <w:rFonts w:hint="eastAsia" w:ascii="方正小标宋简体" w:hAnsi="方正小标宋简体" w:eastAsia="方正小标宋简体" w:cs="方正小标宋简体"/>
          <w:b w:val="0"/>
          <w:bCs/>
          <w:sz w:val="72"/>
          <w:szCs w:val="72"/>
        </w:rPr>
      </w:pPr>
      <w:r>
        <w:rPr>
          <w:rFonts w:hint="eastAsia" w:ascii="方正小标宋简体" w:hAnsi="方正小标宋简体" w:eastAsia="方正小标宋简体" w:cs="方正小标宋简体"/>
          <w:b w:val="0"/>
          <w:bCs/>
          <w:sz w:val="72"/>
          <w:szCs w:val="72"/>
        </w:rPr>
        <w:t>202</w:t>
      </w:r>
      <w:r>
        <w:rPr>
          <w:rFonts w:hint="eastAsia" w:ascii="方正小标宋简体" w:hAnsi="方正小标宋简体" w:eastAsia="方正小标宋简体" w:cs="方正小标宋简体"/>
          <w:b w:val="0"/>
          <w:bCs/>
          <w:sz w:val="72"/>
          <w:szCs w:val="72"/>
          <w:lang w:val="en-US" w:eastAsia="zh-CN"/>
        </w:rPr>
        <w:t>3</w:t>
      </w:r>
      <w:r>
        <w:rPr>
          <w:rFonts w:hint="eastAsia" w:ascii="方正小标宋简体" w:hAnsi="方正小标宋简体" w:eastAsia="方正小标宋简体" w:cs="方正小标宋简体"/>
          <w:b w:val="0"/>
          <w:bCs/>
          <w:sz w:val="72"/>
          <w:u w:color="auto"/>
        </w:rPr>
        <w:t>年度</w:t>
      </w:r>
    </w:p>
    <w:p>
      <w:pPr>
        <w:jc w:val="center"/>
        <w:rPr>
          <w:rFonts w:hint="eastAsia" w:ascii="方正小标宋简体" w:hAnsi="方正小标宋简体" w:eastAsia="方正小标宋简体" w:cs="方正小标宋简体"/>
          <w:b w:val="0"/>
          <w:bCs/>
          <w:sz w:val="72"/>
          <w:szCs w:val="72"/>
          <w:lang w:val="en-US" w:eastAsia="zh-CN"/>
        </w:rPr>
      </w:pPr>
      <w:bookmarkStart w:id="6" w:name="_Toc15306268"/>
      <w:bookmarkStart w:id="7" w:name="_Toc15396476"/>
      <w:bookmarkStart w:id="8" w:name="_Toc15396598"/>
      <w:bookmarkStart w:id="9" w:name="_Toc15377194"/>
      <w:bookmarkStart w:id="10" w:name="_Toc15378442"/>
      <w:bookmarkStart w:id="11" w:name="_Toc15377426"/>
      <w:r>
        <w:rPr>
          <w:rFonts w:hint="eastAsia" w:ascii="方正小标宋简体" w:hAnsi="方正小标宋简体" w:eastAsia="方正小标宋简体" w:cs="方正小标宋简体"/>
          <w:b w:val="0"/>
          <w:bCs/>
          <w:sz w:val="72"/>
          <w:szCs w:val="72"/>
        </w:rPr>
        <w:t>阿坝州九寨沟环境监测站部门决算</w:t>
      </w:r>
      <w:bookmarkEnd w:id="6"/>
      <w:bookmarkEnd w:id="7"/>
      <w:bookmarkEnd w:id="8"/>
      <w:bookmarkEnd w:id="9"/>
      <w:bookmarkEnd w:id="10"/>
      <w:bookmarkEnd w:id="11"/>
      <w:r>
        <w:rPr>
          <w:rFonts w:hint="eastAsia" w:ascii="方正小标宋简体" w:hAnsi="方正小标宋简体" w:eastAsia="方正小标宋简体" w:cs="方正小标宋简体"/>
          <w:b w:val="0"/>
          <w:bCs/>
          <w:sz w:val="72"/>
          <w:szCs w:val="72"/>
          <w:lang w:val="en-US" w:eastAsia="zh-CN"/>
        </w:rPr>
        <w:t>报告</w:t>
      </w: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tabs>
          <w:tab w:val="left" w:pos="3600"/>
        </w:tabs>
      </w:pPr>
      <w:r>
        <w:tab/>
      </w:r>
    </w:p>
    <w:p>
      <w:pPr>
        <w:pStyle w:val="2"/>
      </w:pPr>
    </w:p>
    <w:p>
      <w:pPr>
        <w:pStyle w:val="2"/>
      </w:pPr>
    </w:p>
    <w:p>
      <w:pPr>
        <w:pStyle w:val="2"/>
      </w:pPr>
    </w:p>
    <w:p>
      <w:pPr>
        <w:pStyle w:val="2"/>
      </w:pPr>
    </w:p>
    <w:p>
      <w:pPr>
        <w:pStyle w:val="2"/>
        <w:ind w:left="0" w:leftChars="0" w:firstLine="0" w:firstLineChars="0"/>
      </w:pPr>
    </w:p>
    <w:p>
      <w:pPr>
        <w:pStyle w:val="2"/>
      </w:pPr>
    </w:p>
    <w:p>
      <w:pPr>
        <w:pStyle w:val="2"/>
      </w:pPr>
    </w:p>
    <w:p>
      <w:pPr>
        <w:pStyle w:val="2"/>
      </w:pPr>
    </w:p>
    <w:p>
      <w:pPr>
        <w:autoSpaceDE w:val="0"/>
        <w:autoSpaceDN w:val="0"/>
        <w:adjustRightInd w:val="0"/>
        <w:ind w:left="420" w:leftChars="200"/>
        <w:jc w:val="left"/>
        <w:rPr>
          <w:rFonts w:ascii="宋体" w:hAnsi="宋体"/>
          <w:sz w:val="32"/>
          <w:szCs w:val="32"/>
        </w:rPr>
      </w:pPr>
      <w:r>
        <w:rPr>
          <w:rFonts w:hint="eastAsia" w:ascii="宋体" w:hAnsi="宋体" w:cs="仿宋_GB2312"/>
          <w:sz w:val="32"/>
          <w:szCs w:val="32"/>
        </w:rPr>
        <w:t>保密审查情况：已审查，内容审定</w:t>
      </w:r>
    </w:p>
    <w:p>
      <w:pPr>
        <w:autoSpaceDE w:val="0"/>
        <w:autoSpaceDN w:val="0"/>
        <w:adjustRightInd w:val="0"/>
        <w:ind w:left="420" w:leftChars="200"/>
        <w:jc w:val="left"/>
        <w:rPr>
          <w:rFonts w:ascii="宋体" w:hAnsi="宋体"/>
          <w:sz w:val="32"/>
          <w:szCs w:val="32"/>
        </w:rPr>
      </w:pPr>
      <w:r>
        <w:rPr>
          <w:rFonts w:hint="eastAsia" w:ascii="宋体" w:hAnsi="宋体" w:cs="仿宋_GB2312"/>
          <w:sz w:val="32"/>
          <w:szCs w:val="32"/>
        </w:rPr>
        <w:t>部门主要负责人审签情况：已审签，同意对外公开</w:t>
      </w:r>
    </w:p>
    <w:p>
      <w:pPr>
        <w:widowControl/>
        <w:jc w:val="center"/>
        <w:rPr>
          <w:rFonts w:ascii="Times New Roman" w:hAnsi="Times New Roman" w:eastAsia="黑体"/>
          <w:color w:val="auto"/>
          <w:sz w:val="48"/>
          <w:szCs w:val="48"/>
          <w:highlight w:val="none"/>
        </w:rPr>
      </w:pPr>
      <w:r>
        <w:rPr>
          <w:rFonts w:hint="eastAsia" w:ascii="Times New Roman" w:hAnsi="Times New Roman" w:eastAsia="黑体"/>
          <w:color w:val="auto"/>
          <w:sz w:val="48"/>
          <w:szCs w:val="48"/>
          <w:highlight w:val="none"/>
        </w:rPr>
        <w:t>目录</w:t>
      </w:r>
    </w:p>
    <w:p>
      <w:pPr>
        <w:widowControl/>
        <w:jc w:val="center"/>
        <w:rPr>
          <w:rFonts w:ascii="Times New Roman" w:hAnsi="Times New Roman" w:eastAsia="黑体" w:cstheme="minorBidi"/>
          <w:color w:val="auto"/>
          <w:sz w:val="28"/>
          <w:szCs w:val="28"/>
          <w:highlight w:val="none"/>
        </w:rPr>
      </w:pPr>
    </w:p>
    <w:p>
      <w:pPr>
        <w:pStyle w:val="13"/>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公开时间：20</w:t>
      </w:r>
      <w:r>
        <w:rPr>
          <w:rFonts w:hint="eastAsia" w:ascii="Times New Roman" w:hAnsi="Times New Roman" w:eastAsia="仿宋_GB2312" w:cs="仿宋_GB2312"/>
          <w:color w:val="auto"/>
          <w:sz w:val="32"/>
          <w:szCs w:val="32"/>
          <w:highlight w:val="none"/>
          <w:lang w:val="en-US" w:eastAsia="zh-CN"/>
        </w:rPr>
        <w:t>24</w:t>
      </w:r>
      <w:r>
        <w:rPr>
          <w:rFonts w:hint="eastAsia" w:ascii="Times New Roman" w:hAnsi="Times New Roman" w:eastAsia="仿宋_GB2312" w:cs="仿宋_GB2312"/>
          <w:color w:val="auto"/>
          <w:sz w:val="32"/>
          <w:szCs w:val="32"/>
          <w:highlight w:val="none"/>
        </w:rPr>
        <w:t>年</w:t>
      </w:r>
      <w:r>
        <w:rPr>
          <w:rFonts w:hint="eastAsia" w:ascii="Times New Roman" w:hAnsi="Times New Roman" w:eastAsia="仿宋_GB2312" w:cs="仿宋_GB2312"/>
          <w:color w:val="auto"/>
          <w:sz w:val="32"/>
          <w:szCs w:val="32"/>
          <w:highlight w:val="none"/>
          <w:lang w:val="en-US" w:eastAsia="zh-CN"/>
        </w:rPr>
        <w:t xml:space="preserve">  </w:t>
      </w:r>
      <w:r>
        <w:rPr>
          <w:rFonts w:hint="eastAsia" w:ascii="Times New Roman" w:hAnsi="Times New Roman" w:eastAsia="仿宋_GB2312" w:cs="仿宋_GB2312"/>
          <w:color w:val="auto"/>
          <w:sz w:val="32"/>
          <w:szCs w:val="32"/>
          <w:highlight w:val="none"/>
        </w:rPr>
        <w:t>月</w:t>
      </w:r>
      <w:r>
        <w:rPr>
          <w:rFonts w:hint="eastAsia" w:ascii="Times New Roman" w:hAnsi="Times New Roman" w:eastAsia="仿宋_GB2312" w:cs="仿宋_GB2312"/>
          <w:color w:val="auto"/>
          <w:sz w:val="32"/>
          <w:szCs w:val="32"/>
          <w:highlight w:val="none"/>
          <w:lang w:val="en-US" w:eastAsia="zh-CN"/>
        </w:rPr>
        <w:t xml:space="preserve">  </w:t>
      </w:r>
      <w:r>
        <w:rPr>
          <w:rFonts w:hint="eastAsia" w:ascii="Times New Roman" w:hAnsi="Times New Roman" w:eastAsia="仿宋_GB2312" w:cs="仿宋_GB2312"/>
          <w:color w:val="auto"/>
          <w:sz w:val="32"/>
          <w:szCs w:val="32"/>
          <w:highlight w:val="none"/>
        </w:rPr>
        <w:t>日</w:t>
      </w:r>
    </w:p>
    <w:p>
      <w:pPr>
        <w:rPr>
          <w:rFonts w:ascii="Times New Roman" w:hAnsi="Times New Roman"/>
          <w:color w:val="auto"/>
          <w:highlight w:val="none"/>
        </w:rPr>
      </w:pPr>
    </w:p>
    <w:p>
      <w:pPr>
        <w:pStyle w:val="13"/>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eastAsia" w:ascii="Times New Roman" w:hAnsi="Times New Roman" w:eastAsia="黑体" w:cs="黑体"/>
          <w:color w:val="auto"/>
          <w:sz w:val="32"/>
          <w:szCs w:val="32"/>
          <w:highlight w:val="none"/>
        </w:rPr>
      </w:pPr>
      <w:r>
        <w:rPr>
          <w:rFonts w:hint="eastAsia" w:ascii="Times New Roman" w:hAnsi="Times New Roman" w:eastAsia="黑体" w:cs="黑体"/>
          <w:color w:val="auto"/>
          <w:sz w:val="32"/>
          <w:szCs w:val="32"/>
          <w:highlight w:val="none"/>
        </w:rPr>
        <w:t>第一部分 部门概况</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一、</w:t>
      </w:r>
      <w:r>
        <w:rPr>
          <w:rFonts w:hint="eastAsia" w:ascii="Times New Roman" w:hAnsi="Times New Roman" w:eastAsia="仿宋_GB2312" w:cs="仿宋_GB2312"/>
          <w:color w:val="auto"/>
          <w:sz w:val="32"/>
          <w:szCs w:val="32"/>
          <w:highlight w:val="none"/>
          <w:lang w:eastAsia="zh-CN"/>
        </w:rPr>
        <w:t>部门职责</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二、机构设置</w:t>
      </w:r>
    </w:p>
    <w:p>
      <w:pPr>
        <w:pStyle w:val="13"/>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eastAsia" w:ascii="Times New Roman" w:hAnsi="Times New Roman" w:eastAsia="黑体" w:cs="黑体"/>
          <w:color w:val="auto"/>
          <w:sz w:val="32"/>
          <w:szCs w:val="32"/>
          <w:highlight w:val="none"/>
        </w:rPr>
      </w:pPr>
      <w:r>
        <w:rPr>
          <w:rFonts w:hint="eastAsia" w:ascii="Times New Roman" w:hAnsi="Times New Roman" w:eastAsia="黑体" w:cs="黑体"/>
          <w:color w:val="auto"/>
          <w:sz w:val="32"/>
          <w:szCs w:val="32"/>
          <w:highlight w:val="none"/>
        </w:rPr>
        <w:t>第二部分</w:t>
      </w:r>
      <w:r>
        <w:rPr>
          <w:rFonts w:hint="eastAsia" w:ascii="Times New Roman" w:hAnsi="Times New Roman" w:eastAsia="黑体" w:cs="黑体"/>
          <w:color w:val="auto"/>
          <w:sz w:val="32"/>
          <w:szCs w:val="32"/>
          <w:highlight w:val="none"/>
          <w:lang w:val="en-US" w:eastAsia="zh-CN"/>
        </w:rPr>
        <w:t xml:space="preserve"> 2024年度</w:t>
      </w:r>
      <w:r>
        <w:rPr>
          <w:rFonts w:hint="eastAsia" w:ascii="Times New Roman" w:hAnsi="Times New Roman" w:eastAsia="黑体" w:cs="黑体"/>
          <w:color w:val="auto"/>
          <w:sz w:val="32"/>
          <w:szCs w:val="32"/>
          <w:highlight w:val="none"/>
        </w:rPr>
        <w:t>部门决算情况说明</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一、收入支出决算总体情况说明</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二、收入决算情况说明</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三、支出决算情况说明</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四、财政拨款收入支出决算总体情况说明</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五、一般公共预算财政拨款支出决算情况说明</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六、一般公共预算财政拨款基本支出决算情况说明</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七、财政拨款</w:t>
      </w:r>
      <w:r>
        <w:rPr>
          <w:rFonts w:hint="eastAsia" w:ascii="Times New Roman" w:hAnsi="Times New Roman" w:eastAsia="仿宋_GB2312" w:cs="仿宋_GB2312"/>
          <w:color w:val="auto"/>
          <w:sz w:val="32"/>
          <w:szCs w:val="32"/>
          <w:highlight w:val="none"/>
          <w:lang w:eastAsia="zh-CN"/>
        </w:rPr>
        <w:t>“</w:t>
      </w:r>
      <w:r>
        <w:rPr>
          <w:rFonts w:hint="eastAsia" w:ascii="Times New Roman" w:hAnsi="Times New Roman" w:eastAsia="仿宋_GB2312" w:cs="仿宋_GB2312"/>
          <w:color w:val="auto"/>
          <w:sz w:val="32"/>
          <w:szCs w:val="32"/>
          <w:highlight w:val="none"/>
        </w:rPr>
        <w:t>三公”经费支出决算情况说明</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八、政府性基金预算支出决算情况说明</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九、</w:t>
      </w:r>
      <w:r>
        <w:rPr>
          <w:rFonts w:hint="eastAsia" w:ascii="Times New Roman" w:hAnsi="Times New Roman" w:eastAsia="仿宋_GB2312" w:cs="仿宋_GB2312"/>
          <w:color w:val="auto"/>
          <w:sz w:val="32"/>
          <w:szCs w:val="32"/>
          <w:highlight w:val="none"/>
          <w:lang w:eastAsia="zh-CN"/>
        </w:rPr>
        <w:t>国</w:t>
      </w:r>
      <w:r>
        <w:rPr>
          <w:rFonts w:hint="eastAsia" w:ascii="Times New Roman" w:hAnsi="Times New Roman" w:eastAsia="仿宋_GB2312" w:cs="仿宋_GB2312"/>
          <w:color w:val="auto"/>
          <w:sz w:val="32"/>
          <w:szCs w:val="32"/>
          <w:highlight w:val="none"/>
        </w:rPr>
        <w:t>有资本经营预算支出决算情况说明</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lang w:eastAsia="zh-CN"/>
        </w:rPr>
        <w:t>十</w:t>
      </w:r>
      <w:r>
        <w:rPr>
          <w:rFonts w:hint="eastAsia" w:ascii="Times New Roman" w:hAnsi="Times New Roman" w:eastAsia="仿宋_GB2312" w:cs="仿宋_GB2312"/>
          <w:color w:val="auto"/>
          <w:sz w:val="32"/>
          <w:szCs w:val="32"/>
          <w:highlight w:val="none"/>
        </w:rPr>
        <w:t>、其他重要事项的情况说明</w:t>
      </w:r>
    </w:p>
    <w:p>
      <w:pPr>
        <w:pStyle w:val="13"/>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eastAsia" w:ascii="Times New Roman" w:hAnsi="Times New Roman" w:eastAsia="黑体" w:cs="黑体"/>
          <w:color w:val="auto"/>
          <w:sz w:val="32"/>
          <w:szCs w:val="32"/>
          <w:highlight w:val="none"/>
        </w:rPr>
      </w:pPr>
      <w:r>
        <w:rPr>
          <w:rFonts w:hint="eastAsia" w:ascii="Times New Roman" w:hAnsi="Times New Roman" w:eastAsia="黑体" w:cs="黑体"/>
          <w:color w:val="auto"/>
          <w:sz w:val="32"/>
          <w:szCs w:val="32"/>
          <w:highlight w:val="none"/>
        </w:rPr>
        <w:t>第三部分 名词解释</w:t>
      </w:r>
    </w:p>
    <w:p>
      <w:pPr>
        <w:pStyle w:val="13"/>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eastAsia" w:ascii="Times New Roman" w:hAnsi="Times New Roman" w:eastAsia="黑体" w:cs="黑体"/>
          <w:color w:val="auto"/>
          <w:sz w:val="32"/>
          <w:szCs w:val="32"/>
          <w:highlight w:val="none"/>
        </w:rPr>
      </w:pPr>
      <w:r>
        <w:rPr>
          <w:rFonts w:hint="eastAsia" w:ascii="Times New Roman" w:hAnsi="Times New Roman" w:eastAsia="黑体" w:cs="黑体"/>
          <w:color w:val="auto"/>
          <w:sz w:val="32"/>
          <w:szCs w:val="32"/>
          <w:highlight w:val="none"/>
        </w:rPr>
        <w:t>第四部分 附件</w:t>
      </w:r>
    </w:p>
    <w:p>
      <w:pPr>
        <w:pStyle w:val="13"/>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eastAsia" w:ascii="Times New Roman" w:hAnsi="Times New Roman" w:eastAsia="黑体" w:cs="黑体"/>
          <w:color w:val="auto"/>
          <w:sz w:val="32"/>
          <w:szCs w:val="32"/>
          <w:highlight w:val="none"/>
        </w:rPr>
      </w:pPr>
      <w:r>
        <w:rPr>
          <w:rFonts w:hint="eastAsia" w:ascii="Times New Roman" w:hAnsi="Times New Roman" w:eastAsia="黑体" w:cs="黑体"/>
          <w:color w:val="auto"/>
          <w:sz w:val="32"/>
          <w:szCs w:val="32"/>
          <w:highlight w:val="none"/>
        </w:rPr>
        <w:t>第五部分 附表</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一、收入支出决算总表</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二、收入决算表</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三、支出决算表</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四、财政拨款收入支出决算总表</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五、财政拨款支出决算明细表</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六、一般公共预算财政拨款支出决算表</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七、一般公共预算财政拨款支出决算明细表</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八、一般公共预算财政拨款基本支出决算</w:t>
      </w:r>
      <w:r>
        <w:rPr>
          <w:rFonts w:hint="eastAsia" w:ascii="Times New Roman" w:hAnsi="Times New Roman" w:eastAsia="仿宋_GB2312" w:cs="仿宋_GB2312"/>
          <w:color w:val="auto"/>
          <w:sz w:val="32"/>
          <w:szCs w:val="32"/>
          <w:highlight w:val="none"/>
          <w:lang w:eastAsia="zh-CN"/>
        </w:rPr>
        <w:t>明细</w:t>
      </w:r>
      <w:r>
        <w:rPr>
          <w:rFonts w:hint="eastAsia" w:ascii="Times New Roman" w:hAnsi="Times New Roman" w:eastAsia="仿宋_GB2312" w:cs="仿宋_GB2312"/>
          <w:color w:val="auto"/>
          <w:sz w:val="32"/>
          <w:szCs w:val="32"/>
          <w:highlight w:val="none"/>
        </w:rPr>
        <w:t>表</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九、一般公共预算财政拨款项目支出决算表</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十、政府性基金预算财政拨款收入支出决算表</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十一、国有资本经营预算财政拨款收入支出决算表</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十二、</w:t>
      </w:r>
      <w:r>
        <w:rPr>
          <w:rFonts w:hint="eastAsia" w:ascii="Times New Roman" w:hAnsi="Times New Roman" w:eastAsia="仿宋_GB2312" w:cs="仿宋_GB2312"/>
          <w:color w:val="auto"/>
          <w:sz w:val="32"/>
          <w:szCs w:val="32"/>
          <w:highlight w:val="none"/>
          <w:lang w:val="en-US" w:eastAsia="zh-CN"/>
        </w:rPr>
        <w:t>国有资本经营预算财政拨款支出决算表</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十三、财政拨款“三公”经费支出决算表</w:t>
      </w:r>
    </w:p>
    <w:p>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3" w:firstLineChars="200"/>
        <w:jc w:val="left"/>
        <w:textAlignment w:val="auto"/>
        <w:rPr>
          <w:rFonts w:hint="eastAsia" w:ascii="Times New Roman" w:hAnsi="Times New Roman" w:eastAsia="仿宋_GB2312" w:cs="仿宋_GB2312"/>
          <w:b/>
          <w:bCs/>
          <w:color w:val="auto"/>
          <w:sz w:val="32"/>
          <w:szCs w:val="32"/>
          <w:highlight w:val="none"/>
          <w:lang w:eastAsia="zh-CN"/>
        </w:rPr>
      </w:pPr>
      <w:r>
        <w:rPr>
          <w:rFonts w:hint="eastAsia" w:ascii="Times New Roman" w:hAnsi="Times New Roman" w:eastAsia="仿宋_GB2312" w:cs="仿宋_GB2312"/>
          <w:b/>
          <w:bCs/>
          <w:color w:val="auto"/>
          <w:sz w:val="32"/>
          <w:szCs w:val="32"/>
          <w:highlight w:val="none"/>
          <w:lang w:eastAsia="zh-CN"/>
        </w:rPr>
        <w:t>（</w:t>
      </w:r>
      <w:r>
        <w:rPr>
          <w:rFonts w:hint="eastAsia" w:ascii="Times New Roman" w:hAnsi="Times New Roman" w:eastAsia="仿宋_GB2312" w:cs="仿宋_GB2312"/>
          <w:b/>
          <w:bCs/>
          <w:color w:val="auto"/>
          <w:sz w:val="32"/>
          <w:szCs w:val="32"/>
          <w:highlight w:val="none"/>
        </w:rPr>
        <w:t>注：请部门根据实际注明页码</w:t>
      </w:r>
      <w:r>
        <w:rPr>
          <w:rFonts w:hint="eastAsia" w:ascii="Times New Roman" w:hAnsi="Times New Roman" w:eastAsia="仿宋_GB2312" w:cs="仿宋_GB2312"/>
          <w:b/>
          <w:bCs/>
          <w:color w:val="auto"/>
          <w:sz w:val="32"/>
          <w:szCs w:val="32"/>
          <w:highlight w:val="none"/>
          <w:lang w:eastAsia="zh-CN"/>
        </w:rPr>
        <w:t>）</w:t>
      </w:r>
    </w:p>
    <w:p>
      <w:pPr>
        <w:keepNext w:val="0"/>
        <w:keepLines w:val="0"/>
        <w:pageBreakBefore w:val="0"/>
        <w:widowControl/>
        <w:kinsoku/>
        <w:wordWrap/>
        <w:overflowPunct/>
        <w:topLinePunct w:val="0"/>
        <w:autoSpaceDE/>
        <w:autoSpaceDN/>
        <w:bidi w:val="0"/>
        <w:spacing w:line="560" w:lineRule="exact"/>
        <w:jc w:val="left"/>
        <w:textAlignment w:val="auto"/>
        <w:rPr>
          <w:rFonts w:hint="eastAsia" w:ascii="Times New Roman" w:hAnsi="Times New Roman" w:eastAsia="仿宋_GB2312" w:cs="仿宋_GB2312"/>
          <w:bCs/>
          <w:color w:val="auto"/>
          <w:kern w:val="44"/>
          <w:sz w:val="32"/>
          <w:szCs w:val="32"/>
          <w:highlight w:val="none"/>
        </w:rPr>
      </w:pPr>
      <w:bookmarkStart w:id="12" w:name="_Toc15377196"/>
      <w:bookmarkStart w:id="13" w:name="_Toc15396599"/>
      <w:r>
        <w:rPr>
          <w:rFonts w:hint="eastAsia" w:ascii="Times New Roman" w:hAnsi="Times New Roman" w:eastAsia="仿宋_GB2312" w:cs="仿宋_GB2312"/>
          <w:b/>
          <w:color w:val="auto"/>
          <w:sz w:val="32"/>
          <w:szCs w:val="32"/>
          <w:highlight w:val="none"/>
        </w:rPr>
        <w:br w:type="page"/>
      </w:r>
    </w:p>
    <w:p>
      <w:pPr>
        <w:pStyle w:val="3"/>
        <w:jc w:val="center"/>
        <w:rPr>
          <w:rStyle w:val="29"/>
          <w:rFonts w:hint="eastAsia" w:ascii="Times New Roman" w:hAnsi="Times New Roman" w:eastAsia="方正小标宋简体" w:cs="方正小标宋简体"/>
          <w:b/>
          <w:bCs w:val="0"/>
          <w:color w:val="auto"/>
          <w:highlight w:val="none"/>
        </w:rPr>
      </w:pPr>
      <w:r>
        <w:rPr>
          <w:rFonts w:hint="eastAsia" w:ascii="Times New Roman" w:hAnsi="Times New Roman" w:eastAsia="方正小标宋简体" w:cs="方正小标宋简体"/>
          <w:b w:val="0"/>
          <w:color w:val="auto"/>
          <w:highlight w:val="none"/>
        </w:rPr>
        <w:t>第一部分</w:t>
      </w:r>
      <w:r>
        <w:rPr>
          <w:rFonts w:hint="eastAsia" w:ascii="Times New Roman" w:hAnsi="Times New Roman" w:eastAsia="方正小标宋简体" w:cs="方正小标宋简体"/>
          <w:b w:val="0"/>
          <w:color w:val="auto"/>
          <w:highlight w:val="none"/>
          <w:lang w:val="en-US" w:eastAsia="zh-CN"/>
        </w:rPr>
        <w:t xml:space="preserve"> </w:t>
      </w:r>
      <w:r>
        <w:rPr>
          <w:rFonts w:hint="eastAsia" w:ascii="Times New Roman" w:hAnsi="Times New Roman" w:eastAsia="方正小标宋简体" w:cs="方正小标宋简体"/>
          <w:b w:val="0"/>
          <w:color w:val="auto"/>
          <w:highlight w:val="none"/>
        </w:rPr>
        <w:t xml:space="preserve"> </w:t>
      </w:r>
      <w:r>
        <w:rPr>
          <w:rStyle w:val="29"/>
          <w:rFonts w:hint="eastAsia" w:ascii="Times New Roman" w:hAnsi="Times New Roman" w:eastAsia="方正小标宋简体" w:cs="方正小标宋简体"/>
          <w:b w:val="0"/>
          <w:bCs w:val="0"/>
          <w:color w:val="auto"/>
          <w:highlight w:val="none"/>
        </w:rPr>
        <w:t>部门概况</w:t>
      </w:r>
      <w:bookmarkEnd w:id="12"/>
      <w:bookmarkEnd w:id="13"/>
    </w:p>
    <w:p>
      <w:pPr>
        <w:widowControl/>
        <w:jc w:val="left"/>
        <w:rPr>
          <w:rFonts w:ascii="Times New Roman" w:hAnsi="Times New Roman" w:eastAsia="黑体"/>
          <w:color w:val="auto"/>
          <w:sz w:val="32"/>
          <w:szCs w:val="32"/>
          <w:highlight w:val="none"/>
        </w:rPr>
      </w:pPr>
    </w:p>
    <w:p>
      <w:pPr>
        <w:pStyle w:val="4"/>
        <w:numPr>
          <w:ilvl w:val="0"/>
          <w:numId w:val="1"/>
        </w:numPr>
        <w:rPr>
          <w:rFonts w:hint="eastAsia" w:ascii="Times New Roman" w:hAnsi="Times New Roman" w:eastAsia="黑体"/>
          <w:b w:val="0"/>
          <w:color w:val="auto"/>
          <w:highlight w:val="none"/>
          <w:lang w:eastAsia="zh-CN"/>
        </w:rPr>
      </w:pPr>
      <w:r>
        <w:rPr>
          <w:rFonts w:hint="eastAsia" w:ascii="Times New Roman" w:hAnsi="Times New Roman" w:eastAsia="黑体"/>
          <w:b w:val="0"/>
          <w:color w:val="auto"/>
          <w:highlight w:val="none"/>
          <w:lang w:eastAsia="zh-CN"/>
        </w:rPr>
        <w:t>部门职责</w:t>
      </w:r>
    </w:p>
    <w:p>
      <w:pPr>
        <w:pageBreakBefore w:val="0"/>
        <w:widowControl w:val="0"/>
        <w:kinsoku/>
        <w:wordWrap/>
        <w:overflowPunct/>
        <w:topLinePunct w:val="0"/>
        <w:autoSpaceDE/>
        <w:autoSpaceDN/>
        <w:bidi w:val="0"/>
        <w:adjustRightInd/>
        <w:snapToGrid/>
        <w:spacing w:line="560" w:lineRule="exact"/>
        <w:ind w:firstLine="640" w:firstLineChars="200"/>
        <w:textAlignment w:val="auto"/>
      </w:pPr>
      <w:r>
        <w:rPr>
          <w:rFonts w:ascii="仿宋" w:hAnsi="仿宋" w:eastAsia="仿宋"/>
          <w:color w:val="000000"/>
          <w:sz w:val="32"/>
          <w:szCs w:val="32"/>
        </w:rPr>
        <w:t>开展环境质量监测、污染源监督性监测和突发环境污染事件应急监测；承担环境监测网建设和运行，收集、管理环境监测数据，开展环境状况调查和评价，编制环境监测报告；负责环境监测人员的技术培训；开展环境监测领域科学研究，承担环境监测技术规范、方法研究以及国际合作和交流；承担环境保护部门委托的其他环境监测技术支持工作。</w:t>
      </w:r>
    </w:p>
    <w:p>
      <w:pPr>
        <w:numPr>
          <w:numId w:val="0"/>
        </w:numPr>
        <w:rPr>
          <w:rFonts w:hint="eastAsia"/>
          <w:lang w:eastAsia="zh-CN"/>
        </w:rPr>
      </w:pPr>
    </w:p>
    <w:p>
      <w:pPr>
        <w:pStyle w:val="4"/>
        <w:rPr>
          <w:rStyle w:val="30"/>
          <w:rFonts w:ascii="Times New Roman" w:hAnsi="Times New Roman"/>
          <w:b w:val="0"/>
          <w:bCs w:val="0"/>
          <w:color w:val="auto"/>
          <w:highlight w:val="none"/>
        </w:rPr>
      </w:pPr>
      <w:bookmarkStart w:id="14" w:name="_Toc15377200"/>
      <w:bookmarkStart w:id="15" w:name="_Toc15396601"/>
      <w:r>
        <w:rPr>
          <w:rFonts w:hint="eastAsia" w:ascii="Times New Roman" w:hAnsi="Times New Roman" w:eastAsia="黑体"/>
          <w:b w:val="0"/>
          <w:color w:val="auto"/>
          <w:highlight w:val="none"/>
        </w:rPr>
        <w:t>二、机</w:t>
      </w:r>
      <w:r>
        <w:rPr>
          <w:rStyle w:val="30"/>
          <w:rFonts w:hint="eastAsia" w:ascii="Times New Roman" w:hAnsi="Times New Roman" w:eastAsia="黑体"/>
          <w:b w:val="0"/>
          <w:bCs w:val="0"/>
          <w:color w:val="auto"/>
          <w:highlight w:val="none"/>
        </w:rPr>
        <w:t>构设置</w:t>
      </w:r>
      <w:bookmarkEnd w:id="14"/>
      <w:bookmarkEnd w:id="15"/>
    </w:p>
    <w:p>
      <w:pPr>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 w:hAnsi="仿宋" w:eastAsia="仿宋"/>
          <w:color w:val="000000"/>
          <w:sz w:val="32"/>
          <w:szCs w:val="32"/>
        </w:rPr>
      </w:pPr>
      <w:r>
        <w:rPr>
          <w:rFonts w:ascii="仿宋" w:hAnsi="仿宋" w:eastAsia="仿宋"/>
          <w:color w:val="000000"/>
          <w:sz w:val="32"/>
          <w:szCs w:val="32"/>
        </w:rPr>
        <w:t>阿坝州九寨沟县环境监测站无下设机构，事业编制数14人，目前专业技术人员14人，无空编。</w:t>
      </w:r>
    </w:p>
    <w:p>
      <w:pPr>
        <w:widowControl/>
        <w:jc w:val="left"/>
        <w:rPr>
          <w:rFonts w:ascii="Times New Roman" w:hAnsi="Times New Roman" w:eastAsia="仿宋"/>
          <w:color w:val="auto"/>
          <w:kern w:val="0"/>
          <w:sz w:val="32"/>
          <w:szCs w:val="32"/>
          <w:highlight w:val="none"/>
        </w:rPr>
      </w:pPr>
    </w:p>
    <w:p>
      <w:pPr>
        <w:pStyle w:val="3"/>
        <w:jc w:val="center"/>
        <w:rPr>
          <w:rFonts w:hint="eastAsia" w:ascii="Times New Roman" w:hAnsi="Times New Roman" w:eastAsia="方正小标宋简体" w:cs="方正小标宋简体"/>
          <w:b w:val="0"/>
          <w:color w:val="auto"/>
          <w:highlight w:val="none"/>
        </w:rPr>
      </w:pPr>
      <w:bookmarkStart w:id="16" w:name="_Toc15377204"/>
      <w:bookmarkStart w:id="17" w:name="_Toc15396602"/>
      <w:r>
        <w:rPr>
          <w:rFonts w:hint="eastAsia" w:ascii="Times New Roman" w:hAnsi="Times New Roman" w:eastAsia="方正小标宋简体" w:cs="方正小标宋简体"/>
          <w:b w:val="0"/>
          <w:color w:val="auto"/>
          <w:highlight w:val="none"/>
        </w:rPr>
        <w:t>第二部分</w:t>
      </w:r>
      <w:r>
        <w:rPr>
          <w:rFonts w:hint="eastAsia" w:ascii="Times New Roman" w:hAnsi="Times New Roman" w:eastAsia="方正小标宋简体" w:cs="方正小标宋简体"/>
          <w:b w:val="0"/>
          <w:color w:val="auto"/>
          <w:highlight w:val="none"/>
          <w:lang w:val="en-US" w:eastAsia="zh-CN"/>
        </w:rPr>
        <w:t xml:space="preserve"> </w:t>
      </w:r>
      <w:r>
        <w:rPr>
          <w:rFonts w:hint="eastAsia" w:ascii="Times New Roman" w:hAnsi="Times New Roman" w:eastAsia="方正小标宋简体" w:cs="方正小标宋简体"/>
          <w:b w:val="0"/>
          <w:color w:val="auto"/>
          <w:highlight w:val="none"/>
        </w:rPr>
        <w:t xml:space="preserve"> </w:t>
      </w:r>
      <w:r>
        <w:rPr>
          <w:rFonts w:hint="eastAsia" w:ascii="Times New Roman" w:hAnsi="Times New Roman" w:eastAsia="方正小标宋简体" w:cs="方正小标宋简体"/>
          <w:b w:val="0"/>
          <w:color w:val="auto"/>
          <w:highlight w:val="none"/>
          <w:lang w:val="en-US" w:eastAsia="zh-CN"/>
        </w:rPr>
        <w:t>2024年度</w:t>
      </w:r>
      <w:r>
        <w:rPr>
          <w:rFonts w:hint="eastAsia" w:ascii="Times New Roman" w:hAnsi="Times New Roman" w:eastAsia="方正小标宋简体" w:cs="方正小标宋简体"/>
          <w:b w:val="0"/>
          <w:color w:val="auto"/>
          <w:highlight w:val="none"/>
        </w:rPr>
        <w:t>部门决算情况说明</w:t>
      </w:r>
      <w:bookmarkEnd w:id="16"/>
      <w:bookmarkEnd w:id="17"/>
    </w:p>
    <w:p>
      <w:pPr>
        <w:rPr>
          <w:rFonts w:ascii="Times New Roman" w:hAnsi="Times New Roman"/>
          <w:color w:val="auto"/>
          <w:highlight w:val="none"/>
        </w:rPr>
      </w:pPr>
    </w:p>
    <w:p>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Style w:val="30"/>
          <w:rFonts w:hint="eastAsia" w:ascii="Times New Roman" w:hAnsi="Times New Roman" w:eastAsia="黑体"/>
          <w:b w:val="0"/>
          <w:color w:val="auto"/>
          <w:highlight w:val="none"/>
        </w:rPr>
      </w:pPr>
      <w:bookmarkStart w:id="18" w:name="_Toc15396603"/>
      <w:bookmarkStart w:id="19" w:name="_Toc15377205"/>
      <w:r>
        <w:rPr>
          <w:rFonts w:hint="eastAsia" w:ascii="Times New Roman" w:hAnsi="Times New Roman" w:eastAsia="黑体"/>
          <w:color w:val="auto"/>
          <w:sz w:val="32"/>
          <w:szCs w:val="32"/>
          <w:highlight w:val="none"/>
          <w:lang w:eastAsia="zh-CN"/>
        </w:rPr>
        <w:t>一、</w:t>
      </w:r>
      <w:r>
        <w:rPr>
          <w:rFonts w:hint="eastAsia" w:ascii="Times New Roman" w:hAnsi="Times New Roman" w:eastAsia="黑体"/>
          <w:color w:val="auto"/>
          <w:sz w:val="32"/>
          <w:szCs w:val="32"/>
          <w:highlight w:val="none"/>
        </w:rPr>
        <w:t>收</w:t>
      </w:r>
      <w:r>
        <w:rPr>
          <w:rStyle w:val="30"/>
          <w:rFonts w:hint="eastAsia" w:ascii="Times New Roman" w:hAnsi="Times New Roman" w:eastAsia="黑体"/>
          <w:b w:val="0"/>
          <w:color w:val="auto"/>
          <w:highlight w:val="none"/>
        </w:rPr>
        <w:t>入支出决算总体情况说明</w:t>
      </w:r>
      <w:bookmarkEnd w:id="18"/>
      <w:bookmarkEnd w:id="19"/>
    </w:p>
    <w:p>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lang w:eastAsia="zh-CN"/>
        </w:rPr>
        <w:t>2024年度收入</w:t>
      </w:r>
      <w:r>
        <w:rPr>
          <w:rFonts w:hint="eastAsia" w:ascii="Times New Roman" w:hAnsi="Times New Roman" w:eastAsia="仿宋_GB2312" w:cs="仿宋_GB2312"/>
          <w:color w:val="auto"/>
          <w:sz w:val="32"/>
          <w:szCs w:val="32"/>
          <w:highlight w:val="none"/>
        </w:rPr>
        <w:t>、</w:t>
      </w:r>
      <w:r>
        <w:rPr>
          <w:rFonts w:hint="eastAsia" w:ascii="Times New Roman" w:hAnsi="Times New Roman" w:eastAsia="仿宋_GB2312" w:cs="仿宋_GB2312"/>
          <w:color w:val="auto"/>
          <w:sz w:val="32"/>
          <w:szCs w:val="32"/>
          <w:highlight w:val="none"/>
          <w:lang w:eastAsia="zh-CN"/>
        </w:rPr>
        <w:t>支出</w:t>
      </w:r>
      <w:r>
        <w:rPr>
          <w:rFonts w:hint="eastAsia" w:ascii="Times New Roman" w:hAnsi="Times New Roman" w:eastAsia="仿宋_GB2312" w:cs="仿宋_GB2312"/>
          <w:color w:val="auto"/>
          <w:sz w:val="32"/>
          <w:szCs w:val="32"/>
          <w:highlight w:val="none"/>
        </w:rPr>
        <w:t>总计</w:t>
      </w:r>
      <w:r>
        <w:rPr>
          <w:rFonts w:hint="eastAsia" w:ascii="Times New Roman" w:hAnsi="Times New Roman" w:eastAsia="仿宋_GB2312" w:cs="仿宋_GB2312"/>
          <w:color w:val="auto"/>
          <w:sz w:val="32"/>
          <w:szCs w:val="32"/>
          <w:highlight w:val="none"/>
          <w:lang w:eastAsia="zh-CN"/>
        </w:rPr>
        <w:t>均为</w:t>
      </w:r>
      <w:r>
        <w:rPr>
          <w:rFonts w:hint="eastAsia" w:ascii="仿宋_GB2312" w:hAnsi="仿宋_GB2312" w:eastAsia="仿宋_GB2312" w:cs="仿宋_GB2312"/>
          <w:sz w:val="32"/>
          <w:szCs w:val="32"/>
        </w:rPr>
        <w:t>227.14</w:t>
      </w:r>
      <w:r>
        <w:rPr>
          <w:rFonts w:hint="eastAsia" w:ascii="Times New Roman" w:hAnsi="Times New Roman" w:eastAsia="仿宋_GB2312" w:cs="仿宋_GB2312"/>
          <w:color w:val="auto"/>
          <w:sz w:val="32"/>
          <w:szCs w:val="32"/>
          <w:highlight w:val="none"/>
        </w:rPr>
        <w:t>万元。与</w:t>
      </w:r>
      <w:r>
        <w:rPr>
          <w:rFonts w:hint="eastAsia" w:ascii="Times New Roman" w:hAnsi="Times New Roman" w:eastAsia="仿宋_GB2312" w:cs="仿宋_GB2312"/>
          <w:color w:val="auto"/>
          <w:sz w:val="32"/>
          <w:szCs w:val="32"/>
          <w:highlight w:val="none"/>
          <w:lang w:eastAsia="zh-CN"/>
        </w:rPr>
        <w:t>202</w:t>
      </w:r>
      <w:r>
        <w:rPr>
          <w:rFonts w:hint="eastAsia" w:ascii="Times New Roman" w:hAnsi="Times New Roman" w:eastAsia="仿宋_GB2312" w:cs="仿宋_GB2312"/>
          <w:color w:val="auto"/>
          <w:sz w:val="32"/>
          <w:szCs w:val="32"/>
          <w:highlight w:val="none"/>
          <w:lang w:val="en-US" w:eastAsia="zh-CN"/>
        </w:rPr>
        <w:t>3</w:t>
      </w:r>
      <w:r>
        <w:rPr>
          <w:rFonts w:hint="eastAsia" w:ascii="Times New Roman" w:hAnsi="Times New Roman" w:eastAsia="仿宋_GB2312" w:cs="仿宋_GB2312"/>
          <w:color w:val="auto"/>
          <w:sz w:val="32"/>
          <w:szCs w:val="32"/>
          <w:highlight w:val="none"/>
        </w:rPr>
        <w:t>年</w:t>
      </w:r>
      <w:r>
        <w:rPr>
          <w:rFonts w:hint="eastAsia" w:ascii="Times New Roman" w:hAnsi="Times New Roman" w:eastAsia="仿宋_GB2312" w:cs="仿宋_GB2312"/>
          <w:color w:val="auto"/>
          <w:sz w:val="32"/>
          <w:szCs w:val="32"/>
          <w:highlight w:val="none"/>
          <w:lang w:eastAsia="zh-CN"/>
        </w:rPr>
        <w:t>度</w:t>
      </w:r>
      <w:r>
        <w:rPr>
          <w:rFonts w:hint="eastAsia" w:ascii="Times New Roman" w:hAnsi="Times New Roman" w:eastAsia="仿宋_GB2312" w:cs="仿宋_GB2312"/>
          <w:color w:val="auto"/>
          <w:sz w:val="32"/>
          <w:szCs w:val="32"/>
          <w:highlight w:val="none"/>
        </w:rPr>
        <w:t>相比，</w:t>
      </w:r>
      <w:r>
        <w:rPr>
          <w:rFonts w:hint="eastAsia" w:ascii="Times New Roman" w:hAnsi="Times New Roman" w:eastAsia="仿宋_GB2312" w:cs="仿宋_GB2312"/>
          <w:color w:val="auto"/>
          <w:sz w:val="32"/>
          <w:szCs w:val="32"/>
          <w:highlight w:val="none"/>
          <w:lang w:eastAsia="zh-CN"/>
        </w:rPr>
        <w:t>收入</w:t>
      </w:r>
      <w:r>
        <w:rPr>
          <w:rFonts w:hint="eastAsia" w:ascii="Times New Roman" w:hAnsi="Times New Roman" w:eastAsia="仿宋_GB2312" w:cs="仿宋_GB2312"/>
          <w:color w:val="auto"/>
          <w:sz w:val="32"/>
          <w:szCs w:val="32"/>
          <w:highlight w:val="none"/>
        </w:rPr>
        <w:t>、</w:t>
      </w:r>
      <w:r>
        <w:rPr>
          <w:rFonts w:hint="eastAsia" w:ascii="Times New Roman" w:hAnsi="Times New Roman" w:eastAsia="仿宋_GB2312" w:cs="仿宋_GB2312"/>
          <w:color w:val="auto"/>
          <w:sz w:val="32"/>
          <w:szCs w:val="32"/>
          <w:highlight w:val="none"/>
          <w:lang w:eastAsia="zh-CN"/>
        </w:rPr>
        <w:t>支出</w:t>
      </w:r>
      <w:r>
        <w:rPr>
          <w:rFonts w:hint="eastAsia" w:ascii="Times New Roman" w:hAnsi="Times New Roman" w:eastAsia="仿宋_GB2312" w:cs="仿宋_GB2312"/>
          <w:color w:val="auto"/>
          <w:sz w:val="32"/>
          <w:szCs w:val="32"/>
          <w:highlight w:val="none"/>
        </w:rPr>
        <w:t>总计各增加</w:t>
      </w:r>
      <w:r>
        <w:rPr>
          <w:rFonts w:hint="eastAsia" w:eastAsia="仿宋_GB2312" w:cs="仿宋_GB2312"/>
          <w:color w:val="auto"/>
          <w:sz w:val="32"/>
          <w:szCs w:val="32"/>
          <w:highlight w:val="none"/>
          <w:lang w:val="en-US" w:eastAsia="zh-CN"/>
        </w:rPr>
        <w:t>9.19</w:t>
      </w:r>
      <w:r>
        <w:rPr>
          <w:rFonts w:hint="eastAsia" w:ascii="Times New Roman" w:hAnsi="Times New Roman" w:eastAsia="仿宋_GB2312" w:cs="仿宋_GB2312"/>
          <w:color w:val="auto"/>
          <w:sz w:val="32"/>
          <w:szCs w:val="32"/>
          <w:highlight w:val="none"/>
        </w:rPr>
        <w:t>万元，增长</w:t>
      </w:r>
      <w:r>
        <w:rPr>
          <w:rFonts w:hint="eastAsia" w:eastAsia="仿宋_GB2312" w:cs="仿宋_GB2312"/>
          <w:color w:val="auto"/>
          <w:sz w:val="32"/>
          <w:szCs w:val="32"/>
          <w:highlight w:val="none"/>
          <w:lang w:val="en-US" w:eastAsia="zh-CN"/>
        </w:rPr>
        <w:t>4.22</w:t>
      </w:r>
      <w:r>
        <w:rPr>
          <w:rFonts w:hint="eastAsia" w:ascii="Times New Roman" w:hAnsi="Times New Roman" w:eastAsia="仿宋_GB2312" w:cs="仿宋_GB2312"/>
          <w:color w:val="auto"/>
          <w:sz w:val="32"/>
          <w:szCs w:val="32"/>
          <w:highlight w:val="none"/>
        </w:rPr>
        <w:t>%。主要变动原因是</w:t>
      </w:r>
      <w:r>
        <w:rPr>
          <w:rFonts w:hint="eastAsia" w:ascii="仿宋" w:hAnsi="仿宋" w:eastAsia="仿宋"/>
          <w:color w:val="000000"/>
          <w:sz w:val="32"/>
          <w:szCs w:val="32"/>
          <w:lang w:val="en-US" w:eastAsia="zh-CN"/>
        </w:rPr>
        <w:t>岗位变动工资基数增加，保险增加。</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仿宋_GB2312" w:cs="仿宋_GB2312"/>
          <w:color w:val="auto"/>
          <w:sz w:val="32"/>
          <w:szCs w:val="32"/>
          <w:highlight w:val="none"/>
        </w:rPr>
      </w:pP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Times New Roman" w:hAnsi="Times New Roman" w:eastAsia="仿宋_GB2312" w:cs="仿宋_GB2312"/>
          <w:color w:val="auto"/>
          <w:sz w:val="32"/>
          <w:szCs w:val="32"/>
          <w:highlight w:val="none"/>
        </w:rPr>
      </w:pPr>
      <w:r>
        <w:rPr>
          <w:rFonts w:hint="eastAsia" w:eastAsia="宋体"/>
          <w:lang w:eastAsia="zh-CN"/>
        </w:rPr>
        <w:drawing>
          <wp:inline distT="0" distB="0" distL="114300" distR="114300">
            <wp:extent cx="5080000" cy="3810000"/>
            <wp:effectExtent l="4445" t="4445" r="20955" b="14605"/>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（图1：</w:t>
      </w:r>
      <w:r>
        <w:rPr>
          <w:rFonts w:hint="eastAsia" w:ascii="Times New Roman" w:hAnsi="Times New Roman" w:eastAsia="仿宋_GB2312" w:cs="仿宋_GB2312"/>
          <w:color w:val="auto"/>
          <w:sz w:val="32"/>
          <w:szCs w:val="32"/>
          <w:highlight w:val="none"/>
          <w:lang w:eastAsia="zh-CN"/>
        </w:rPr>
        <w:t>收入</w:t>
      </w:r>
      <w:r>
        <w:rPr>
          <w:rFonts w:hint="eastAsia" w:ascii="Times New Roman" w:hAnsi="Times New Roman" w:eastAsia="仿宋_GB2312" w:cs="仿宋_GB2312"/>
          <w:color w:val="auto"/>
          <w:sz w:val="32"/>
          <w:szCs w:val="32"/>
          <w:highlight w:val="none"/>
        </w:rPr>
        <w:t>、</w:t>
      </w:r>
      <w:r>
        <w:rPr>
          <w:rFonts w:hint="eastAsia" w:ascii="Times New Roman" w:hAnsi="Times New Roman" w:eastAsia="仿宋_GB2312" w:cs="仿宋_GB2312"/>
          <w:color w:val="auto"/>
          <w:sz w:val="32"/>
          <w:szCs w:val="32"/>
          <w:highlight w:val="none"/>
          <w:lang w:eastAsia="zh-CN"/>
        </w:rPr>
        <w:t>支出</w:t>
      </w:r>
      <w:r>
        <w:rPr>
          <w:rFonts w:hint="eastAsia" w:ascii="Times New Roman" w:hAnsi="Times New Roman" w:eastAsia="仿宋_GB2312" w:cs="仿宋_GB2312"/>
          <w:color w:val="auto"/>
          <w:sz w:val="32"/>
          <w:szCs w:val="32"/>
          <w:highlight w:val="none"/>
        </w:rPr>
        <w:t>决算总计变动情况图）（柱状图）</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仿宋_GB2312" w:cs="仿宋_GB2312"/>
          <w:color w:val="auto"/>
          <w:sz w:val="32"/>
          <w:szCs w:val="32"/>
          <w:highlight w:val="none"/>
        </w:rPr>
      </w:pPr>
    </w:p>
    <w:p>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Times New Roman" w:hAnsi="Times New Roman" w:eastAsia="黑体"/>
          <w:color w:val="auto"/>
          <w:sz w:val="32"/>
          <w:szCs w:val="32"/>
          <w:highlight w:val="none"/>
          <w:lang w:eastAsia="zh-CN"/>
        </w:rPr>
      </w:pPr>
      <w:bookmarkStart w:id="20" w:name="_Toc15377206"/>
      <w:bookmarkStart w:id="21" w:name="_Toc15396604"/>
      <w:r>
        <w:rPr>
          <w:rFonts w:hint="eastAsia" w:ascii="Times New Roman" w:hAnsi="Times New Roman" w:eastAsia="黑体"/>
          <w:color w:val="auto"/>
          <w:sz w:val="32"/>
          <w:szCs w:val="32"/>
          <w:highlight w:val="none"/>
          <w:lang w:eastAsia="zh-CN"/>
        </w:rPr>
        <w:t>二、收入决算情况说明</w:t>
      </w:r>
      <w:bookmarkEnd w:id="20"/>
      <w:bookmarkEnd w:id="21"/>
    </w:p>
    <w:p>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outlineLvl w:val="1"/>
        <w:rPr>
          <w:rFonts w:hint="eastAsia" w:ascii="Times New Roman" w:hAnsi="Times New Roman" w:eastAsia="仿宋_GB2312" w:cs="仿宋_GB2312"/>
          <w:b/>
          <w:bCs/>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2024年度本年收入合计</w:t>
      </w:r>
      <w:r>
        <w:rPr>
          <w:rFonts w:hint="eastAsia" w:ascii="仿宋_GB2312" w:hAnsi="仿宋_GB2312" w:eastAsia="仿宋_GB2312" w:cs="仿宋_GB2312"/>
          <w:sz w:val="32"/>
          <w:szCs w:val="32"/>
        </w:rPr>
        <w:t>227.14万元，其中：一般公共预算财政拨款收入227.14</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100</w:t>
      </w:r>
      <w:r>
        <w:rPr>
          <w:rFonts w:hint="eastAsia" w:ascii="仿宋_GB2312" w:hAnsi="仿宋_GB2312" w:eastAsia="仿宋_GB2312" w:cs="仿宋_GB2312"/>
          <w:color w:val="auto"/>
          <w:sz w:val="32"/>
          <w:szCs w:val="32"/>
          <w:highlight w:val="none"/>
          <w:lang w:eastAsia="zh-CN"/>
        </w:rPr>
        <w:t>%；政府性基金预算财政拨款收入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%；国有资本经营预算财政拨款收入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%；上级补助收入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%；事业收入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%；经营收入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%；附属单位上缴收入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%；其他收入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w:t>
      </w:r>
      <w:r>
        <w:rPr>
          <w:rFonts w:hint="eastAsia" w:ascii="Times New Roman" w:hAnsi="Times New Roman" w:eastAsia="仿宋_GB2312" w:cs="仿宋_GB2312"/>
          <w:b/>
          <w:bCs/>
          <w:color w:val="auto"/>
          <w:sz w:val="32"/>
          <w:szCs w:val="32"/>
          <w:highlight w:val="none"/>
          <w:lang w:eastAsia="zh-CN"/>
        </w:rPr>
        <w:t>（注：仅罗列本部门涉及的收入）</w:t>
      </w:r>
    </w:p>
    <w:p>
      <w:pPr>
        <w:ind w:firstLine="800" w:firstLineChars="250"/>
        <w:rPr>
          <w:rFonts w:hint="eastAsia" w:ascii="Times New Roman" w:hAnsi="Times New Roman" w:eastAsia="仿宋_GB2312" w:cs="仿宋_GB2312"/>
          <w:color w:val="auto"/>
          <w:sz w:val="32"/>
          <w:szCs w:val="32"/>
          <w:highlight w:val="none"/>
          <w:lang w:eastAsia="zh-CN"/>
        </w:rPr>
      </w:pPr>
    </w:p>
    <w:p>
      <w:pPr>
        <w:rPr>
          <w:rFonts w:hint="eastAsia" w:ascii="Times New Roman" w:hAnsi="Times New Roman" w:eastAsia="仿宋_GB2312" w:cs="仿宋_GB2312"/>
          <w:color w:val="auto"/>
          <w:sz w:val="32"/>
          <w:szCs w:val="32"/>
          <w:highlight w:val="none"/>
          <w:lang w:eastAsia="zh-CN"/>
        </w:rPr>
      </w:pPr>
    </w:p>
    <w:p>
      <w:pPr>
        <w:rPr>
          <w:rFonts w:hint="eastAsia" w:ascii="Times New Roman" w:hAnsi="Times New Roman" w:eastAsia="仿宋_GB2312" w:cs="仿宋_GB2312"/>
          <w:color w:val="auto"/>
          <w:sz w:val="32"/>
          <w:szCs w:val="32"/>
          <w:highlight w:val="none"/>
          <w:lang w:eastAsia="zh-CN"/>
        </w:rPr>
      </w:pPr>
      <w:r>
        <w:rPr>
          <w:rFonts w:hint="eastAsia" w:ascii="仿宋_GB2312" w:eastAsia="仿宋_GB2312"/>
          <w:color w:val="FF0000"/>
          <w:sz w:val="32"/>
          <w:szCs w:val="32"/>
        </w:rPr>
        <w:drawing>
          <wp:inline distT="0" distB="0" distL="114300" distR="114300">
            <wp:extent cx="5066665" cy="3390900"/>
            <wp:effectExtent l="4445" t="4445" r="15240" b="14605"/>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ind w:firstLine="800" w:firstLineChars="250"/>
        <w:rPr>
          <w:rFonts w:hint="eastAsia" w:ascii="Times New Roman" w:hAnsi="Times New Roman" w:eastAsia="仿宋_GB2312" w:cs="仿宋_GB2312"/>
          <w:color w:val="auto"/>
          <w:sz w:val="32"/>
          <w:szCs w:val="32"/>
          <w:highlight w:val="none"/>
          <w:lang w:eastAsia="zh-CN"/>
        </w:rPr>
      </w:pPr>
    </w:p>
    <w:p>
      <w:pPr>
        <w:ind w:firstLine="800" w:firstLineChars="250"/>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t>（图2：收入决算结构图）（饼状图）</w:t>
      </w:r>
    </w:p>
    <w:p>
      <w:pPr>
        <w:ind w:firstLine="800" w:firstLineChars="250"/>
        <w:rPr>
          <w:rFonts w:hint="eastAsia" w:ascii="Times New Roman" w:hAnsi="Times New Roman" w:eastAsia="仿宋_GB2312" w:cs="仿宋_GB2312"/>
          <w:color w:val="auto"/>
          <w:sz w:val="32"/>
          <w:szCs w:val="32"/>
          <w:highlight w:val="none"/>
          <w:lang w:eastAsia="zh-CN"/>
        </w:rPr>
      </w:pPr>
    </w:p>
    <w:p>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Style w:val="30"/>
          <w:rFonts w:hint="eastAsia" w:ascii="Times New Roman" w:hAnsi="Times New Roman" w:eastAsia="黑体"/>
          <w:b w:val="0"/>
          <w:color w:val="auto"/>
          <w:highlight w:val="none"/>
        </w:rPr>
      </w:pPr>
      <w:bookmarkStart w:id="22" w:name="_Toc15396605"/>
      <w:bookmarkStart w:id="23" w:name="_Toc15377207"/>
      <w:r>
        <w:rPr>
          <w:rFonts w:hint="eastAsia" w:ascii="Times New Roman" w:hAnsi="Times New Roman" w:eastAsia="黑体"/>
          <w:color w:val="auto"/>
          <w:sz w:val="32"/>
          <w:szCs w:val="32"/>
          <w:highlight w:val="none"/>
          <w:lang w:eastAsia="zh-CN"/>
        </w:rPr>
        <w:t>三、</w:t>
      </w:r>
      <w:r>
        <w:rPr>
          <w:rFonts w:hint="eastAsia" w:ascii="Times New Roman" w:hAnsi="Times New Roman" w:eastAsia="黑体"/>
          <w:color w:val="auto"/>
          <w:sz w:val="32"/>
          <w:szCs w:val="32"/>
          <w:highlight w:val="none"/>
        </w:rPr>
        <w:t>支</w:t>
      </w:r>
      <w:r>
        <w:rPr>
          <w:rStyle w:val="30"/>
          <w:rFonts w:hint="eastAsia" w:ascii="Times New Roman" w:hAnsi="Times New Roman" w:eastAsia="黑体"/>
          <w:b w:val="0"/>
          <w:color w:val="auto"/>
          <w:highlight w:val="none"/>
        </w:rPr>
        <w:t>出决算情况说明</w:t>
      </w:r>
      <w:bookmarkEnd w:id="22"/>
      <w:bookmarkEnd w:id="23"/>
    </w:p>
    <w:p>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outlineLvl w:val="1"/>
        <w:rPr>
          <w:rFonts w:hint="eastAsia" w:ascii="Times New Roman" w:hAnsi="Times New Roman"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2024年度本年支出合计</w:t>
      </w:r>
      <w:r>
        <w:rPr>
          <w:rFonts w:hint="eastAsia" w:ascii="仿宋_GB2312" w:hAnsi="仿宋_GB2312" w:eastAsia="仿宋_GB2312" w:cs="仿宋_GB2312"/>
          <w:sz w:val="32"/>
          <w:szCs w:val="32"/>
        </w:rPr>
        <w:t>227.14</w:t>
      </w:r>
      <w:r>
        <w:rPr>
          <w:rFonts w:hint="eastAsia" w:ascii="仿宋_GB2312" w:hAnsi="仿宋_GB2312" w:eastAsia="仿宋_GB2312" w:cs="仿宋_GB2312"/>
          <w:color w:val="auto"/>
          <w:sz w:val="32"/>
          <w:szCs w:val="32"/>
          <w:highlight w:val="none"/>
          <w:lang w:eastAsia="zh-CN"/>
        </w:rPr>
        <w:t>万元，其中：基本支出</w:t>
      </w:r>
      <w:r>
        <w:rPr>
          <w:rFonts w:hint="eastAsia" w:ascii="仿宋_GB2312" w:hAnsi="仿宋_GB2312" w:eastAsia="仿宋_GB2312" w:cs="仿宋_GB2312"/>
          <w:sz w:val="32"/>
          <w:szCs w:val="32"/>
        </w:rPr>
        <w:t>227.14</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100</w:t>
      </w:r>
      <w:r>
        <w:rPr>
          <w:rFonts w:hint="eastAsia" w:ascii="仿宋_GB2312" w:hAnsi="仿宋_GB2312" w:eastAsia="仿宋_GB2312" w:cs="仿宋_GB2312"/>
          <w:color w:val="auto"/>
          <w:sz w:val="32"/>
          <w:szCs w:val="32"/>
          <w:highlight w:val="none"/>
          <w:lang w:eastAsia="zh-CN"/>
        </w:rPr>
        <w:t>%；项目支出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%；上缴上级支出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%；经营支出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%；对附属单位补助支出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w:t>
      </w:r>
      <w:r>
        <w:rPr>
          <w:rFonts w:hint="eastAsia" w:ascii="Times New Roman" w:hAnsi="Times New Roman" w:eastAsia="仿宋_GB2312" w:cs="仿宋_GB2312"/>
          <w:b/>
          <w:bCs/>
          <w:color w:val="auto"/>
          <w:sz w:val="32"/>
          <w:szCs w:val="32"/>
          <w:highlight w:val="none"/>
          <w:lang w:eastAsia="zh-CN"/>
        </w:rPr>
        <w:t>（注：仅罗列本部门涉及的支出）</w:t>
      </w:r>
    </w:p>
    <w:p>
      <w:pPr>
        <w:ind w:firstLine="800" w:firstLineChars="250"/>
        <w:rPr>
          <w:rFonts w:hint="eastAsia" w:ascii="Times New Roman" w:hAnsi="Times New Roman" w:eastAsia="仿宋_GB2312" w:cs="仿宋_GB2312"/>
          <w:color w:val="auto"/>
          <w:sz w:val="32"/>
          <w:szCs w:val="32"/>
          <w:highlight w:val="none"/>
          <w:lang w:eastAsia="zh-CN"/>
        </w:rPr>
      </w:pPr>
    </w:p>
    <w:p>
      <w:pPr>
        <w:ind w:firstLine="800" w:firstLineChars="250"/>
        <w:rPr>
          <w:rFonts w:hint="eastAsia" w:ascii="Times New Roman" w:hAnsi="Times New Roman" w:eastAsia="仿宋_GB2312" w:cs="仿宋_GB2312"/>
          <w:color w:val="auto"/>
          <w:sz w:val="32"/>
          <w:szCs w:val="32"/>
          <w:highlight w:val="none"/>
          <w:lang w:eastAsia="zh-CN"/>
        </w:rPr>
      </w:pPr>
    </w:p>
    <w:p>
      <w:pPr>
        <w:ind w:firstLine="800" w:firstLineChars="250"/>
        <w:rPr>
          <w:rFonts w:hint="eastAsia" w:ascii="Times New Roman" w:hAnsi="Times New Roman" w:eastAsia="仿宋_GB2312" w:cs="仿宋_GB2312"/>
          <w:color w:val="auto"/>
          <w:sz w:val="32"/>
          <w:szCs w:val="32"/>
          <w:highlight w:val="none"/>
          <w:lang w:eastAsia="zh-CN"/>
        </w:rPr>
      </w:pPr>
    </w:p>
    <w:p>
      <w:pPr>
        <w:rPr>
          <w:rFonts w:hint="eastAsia" w:ascii="Times New Roman" w:hAnsi="Times New Roman" w:eastAsia="仿宋_GB2312" w:cs="仿宋_GB2312"/>
          <w:color w:val="auto"/>
          <w:sz w:val="32"/>
          <w:szCs w:val="32"/>
          <w:highlight w:val="none"/>
          <w:lang w:eastAsia="zh-CN"/>
        </w:rPr>
      </w:pPr>
      <w:r>
        <w:rPr>
          <w:rFonts w:hint="eastAsia" w:ascii="仿宋_GB2312" w:eastAsia="仿宋_GB2312"/>
          <w:color w:val="FF0000"/>
          <w:sz w:val="32"/>
          <w:szCs w:val="32"/>
        </w:rPr>
        <w:drawing>
          <wp:inline distT="0" distB="0" distL="114300" distR="114300">
            <wp:extent cx="5304155" cy="3429000"/>
            <wp:effectExtent l="4445" t="4445" r="6350" b="14605"/>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bookmarkStart w:id="68" w:name="_GoBack"/>
      <w:bookmarkEnd w:id="68"/>
    </w:p>
    <w:p>
      <w:pPr>
        <w:ind w:firstLine="800" w:firstLineChars="250"/>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t>（图3：支出决算结构图）（饼状图）</w:t>
      </w:r>
    </w:p>
    <w:p>
      <w:pPr>
        <w:ind w:firstLine="800" w:firstLineChars="250"/>
        <w:rPr>
          <w:rFonts w:hint="eastAsia" w:ascii="Times New Roman" w:hAnsi="Times New Roman" w:eastAsia="仿宋_GB2312" w:cs="仿宋_GB2312"/>
          <w:color w:val="auto"/>
          <w:sz w:val="32"/>
          <w:szCs w:val="32"/>
          <w:highlight w:val="none"/>
          <w:lang w:eastAsia="zh-CN"/>
        </w:rPr>
      </w:pPr>
    </w:p>
    <w:p>
      <w:pPr>
        <w:spacing w:line="600" w:lineRule="exact"/>
        <w:ind w:firstLine="640" w:firstLineChars="200"/>
        <w:outlineLvl w:val="1"/>
        <w:rPr>
          <w:rStyle w:val="30"/>
          <w:rFonts w:ascii="Times New Roman" w:hAnsi="Times New Roman" w:eastAsia="黑体"/>
          <w:b w:val="0"/>
          <w:color w:val="auto"/>
          <w:highlight w:val="none"/>
        </w:rPr>
      </w:pPr>
      <w:bookmarkStart w:id="24" w:name="_Toc15396606"/>
      <w:bookmarkStart w:id="25" w:name="_Toc15377208"/>
      <w:r>
        <w:rPr>
          <w:rFonts w:hint="eastAsia" w:ascii="Times New Roman" w:hAnsi="Times New Roman" w:eastAsia="黑体"/>
          <w:color w:val="auto"/>
          <w:sz w:val="32"/>
          <w:szCs w:val="32"/>
          <w:highlight w:val="none"/>
        </w:rPr>
        <w:t>四、财</w:t>
      </w:r>
      <w:r>
        <w:rPr>
          <w:rStyle w:val="30"/>
          <w:rFonts w:hint="eastAsia" w:ascii="Times New Roman" w:hAnsi="Times New Roman" w:eastAsia="黑体"/>
          <w:b w:val="0"/>
          <w:color w:val="auto"/>
          <w:highlight w:val="none"/>
        </w:rPr>
        <w:t>政拨款收入支出决算总体情况说明</w:t>
      </w:r>
      <w:bookmarkEnd w:id="24"/>
      <w:bookmarkEnd w:id="25"/>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2024年度财政拨款收入、支出总计均为</w:t>
      </w:r>
      <w:r>
        <w:rPr>
          <w:rFonts w:hint="eastAsia" w:ascii="仿宋_GB2312" w:hAnsi="仿宋_GB2312" w:eastAsia="仿宋_GB2312" w:cs="仿宋_GB2312"/>
          <w:sz w:val="32"/>
          <w:szCs w:val="32"/>
        </w:rPr>
        <w:t>227.14</w:t>
      </w:r>
      <w:r>
        <w:rPr>
          <w:rFonts w:hint="eastAsia" w:ascii="Times New Roman" w:hAnsi="Times New Roman" w:eastAsia="仿宋_GB2312" w:cs="仿宋_GB2312"/>
          <w:color w:val="auto"/>
          <w:kern w:val="2"/>
          <w:sz w:val="32"/>
          <w:szCs w:val="32"/>
          <w:highlight w:val="none"/>
          <w:lang w:val="en-US" w:eastAsia="zh-CN" w:bidi="ar-SA"/>
        </w:rPr>
        <w:t>万元。与2023年度相比，财政拨款收入总计、支出总计各增加/减少**万元，增长/下降**%。主要变动原因是……</w:t>
      </w:r>
    </w:p>
    <w:p>
      <w:pPr>
        <w:spacing w:line="600" w:lineRule="exact"/>
        <w:ind w:firstLine="640" w:firstLineChars="20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（图4：财政拨款收、支决算总计变动情况）（柱状图）</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pPr>
        <w:spacing w:line="600" w:lineRule="exact"/>
        <w:ind w:firstLine="640" w:firstLineChars="200"/>
        <w:outlineLvl w:val="1"/>
        <w:rPr>
          <w:rStyle w:val="30"/>
          <w:rFonts w:ascii="Times New Roman" w:hAnsi="Times New Roman" w:eastAsia="黑体"/>
          <w:b w:val="0"/>
          <w:color w:val="auto"/>
          <w:highlight w:val="none"/>
        </w:rPr>
      </w:pPr>
      <w:bookmarkStart w:id="26" w:name="_Toc15377209"/>
      <w:bookmarkStart w:id="27" w:name="_Toc15396607"/>
      <w:r>
        <w:rPr>
          <w:rFonts w:hint="eastAsia" w:ascii="Times New Roman" w:hAnsi="Times New Roman" w:eastAsia="黑体"/>
          <w:color w:val="auto"/>
          <w:sz w:val="32"/>
          <w:szCs w:val="32"/>
          <w:highlight w:val="none"/>
        </w:rPr>
        <w:t>五、</w:t>
      </w:r>
      <w:r>
        <w:rPr>
          <w:rFonts w:hint="eastAsia" w:ascii="Times New Roman" w:hAnsi="Times New Roman" w:eastAsia="黑体"/>
          <w:b/>
          <w:color w:val="auto"/>
          <w:sz w:val="32"/>
          <w:szCs w:val="32"/>
          <w:highlight w:val="none"/>
        </w:rPr>
        <w:t>一</w:t>
      </w:r>
      <w:r>
        <w:rPr>
          <w:rStyle w:val="30"/>
          <w:rFonts w:hint="eastAsia" w:ascii="Times New Roman" w:hAnsi="Times New Roman" w:eastAsia="黑体"/>
          <w:b w:val="0"/>
          <w:color w:val="auto"/>
          <w:highlight w:val="none"/>
        </w:rPr>
        <w:t>般公共预算财政拨款支出决算情况说明</w:t>
      </w:r>
      <w:bookmarkEnd w:id="26"/>
      <w:bookmarkEnd w:id="27"/>
    </w:p>
    <w:p>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28" w:name="_Toc15377210"/>
      <w:r>
        <w:rPr>
          <w:rFonts w:hint="eastAsia" w:ascii="Times New Roman" w:hAnsi="Times New Roman" w:eastAsia="楷体_GB2312" w:cs="楷体_GB2312"/>
          <w:b/>
          <w:color w:val="auto"/>
          <w:sz w:val="32"/>
          <w:szCs w:val="32"/>
          <w:highlight w:val="none"/>
        </w:rPr>
        <w:t>（一）一般公共预算财政拨款支出决算总体情况</w:t>
      </w:r>
      <w:bookmarkEnd w:id="28"/>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2024年度一般公共预算财政拨款支出</w:t>
      </w:r>
      <w:r>
        <w:rPr>
          <w:rFonts w:hint="eastAsia" w:ascii="仿宋_GB2312" w:hAnsi="仿宋_GB2312" w:eastAsia="仿宋_GB2312" w:cs="仿宋_GB2312"/>
          <w:sz w:val="32"/>
          <w:szCs w:val="32"/>
        </w:rPr>
        <w:t>227.14</w:t>
      </w:r>
      <w:r>
        <w:rPr>
          <w:rFonts w:hint="eastAsia" w:ascii="仿宋_GB2312" w:hAnsi="仿宋_GB2312" w:eastAsia="仿宋_GB2312" w:cs="仿宋_GB2312"/>
          <w:color w:val="auto"/>
          <w:kern w:val="2"/>
          <w:sz w:val="32"/>
          <w:szCs w:val="32"/>
          <w:highlight w:val="none"/>
          <w:lang w:val="en-US" w:eastAsia="zh-CN" w:bidi="ar-SA"/>
        </w:rPr>
        <w:t>万元，占本年支出合计的</w:t>
      </w:r>
      <w:r>
        <w:rPr>
          <w:rFonts w:hint="eastAsia" w:ascii="仿宋_GB2312" w:hAnsi="仿宋_GB2312" w:eastAsia="仿宋_GB2312" w:cs="仿宋_GB2312"/>
          <w:sz w:val="32"/>
          <w:szCs w:val="32"/>
        </w:rPr>
        <w:t>100</w:t>
      </w:r>
      <w:r>
        <w:rPr>
          <w:rFonts w:hint="eastAsia" w:ascii="仿宋_GB2312" w:hAnsi="仿宋_GB2312" w:eastAsia="仿宋_GB2312" w:cs="仿宋_GB2312"/>
          <w:color w:val="auto"/>
          <w:kern w:val="2"/>
          <w:sz w:val="32"/>
          <w:szCs w:val="32"/>
          <w:highlight w:val="none"/>
          <w:lang w:val="en-US" w:eastAsia="zh-CN" w:bidi="ar-SA"/>
        </w:rPr>
        <w:t>%。与2023年度相比，一般公共预算财政拨款支出增加/减少**万元，增长/下降**%。主要变动原因是……</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（图5：一般公共预算财政拨款支出决算变动情况）（柱状图）</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29" w:name="_Toc15377211"/>
      <w:r>
        <w:rPr>
          <w:rFonts w:hint="eastAsia" w:ascii="Times New Roman" w:hAnsi="Times New Roman" w:eastAsia="楷体_GB2312" w:cs="楷体_GB2312"/>
          <w:b/>
          <w:color w:val="auto"/>
          <w:sz w:val="32"/>
          <w:szCs w:val="32"/>
          <w:highlight w:val="none"/>
        </w:rPr>
        <w:t>（二）一般公共预算财政拨款支出决算结构情况</w:t>
      </w:r>
      <w:bookmarkEnd w:id="29"/>
    </w:p>
    <w:p>
      <w:pPr>
        <w:spacing w:line="600" w:lineRule="exact"/>
        <w:ind w:firstLine="640"/>
        <w:rPr>
          <w:rFonts w:hint="eastAsia" w:ascii="Times New Roman" w:hAnsi="Times New Roman" w:eastAsia="仿宋_GB2312" w:cs="仿宋_GB2312"/>
          <w:b/>
          <w:bCs/>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2024年度一般公共预算财政拨款支出</w:t>
      </w:r>
      <w:r>
        <w:rPr>
          <w:rFonts w:hint="eastAsia" w:ascii="仿宋_GB2312" w:hAnsi="仿宋_GB2312" w:eastAsia="仿宋_GB2312" w:cs="仿宋_GB2312"/>
          <w:sz w:val="32"/>
          <w:szCs w:val="32"/>
        </w:rPr>
        <w:t>227.14</w:t>
      </w:r>
      <w:r>
        <w:rPr>
          <w:rFonts w:hint="eastAsia" w:ascii="仿宋_GB2312" w:hAnsi="仿宋_GB2312" w:eastAsia="仿宋_GB2312" w:cs="仿宋_GB2312"/>
          <w:color w:val="auto"/>
          <w:kern w:val="2"/>
          <w:sz w:val="32"/>
          <w:szCs w:val="32"/>
          <w:highlight w:val="none"/>
          <w:lang w:val="en-US" w:eastAsia="zh-CN" w:bidi="ar-SA"/>
        </w:rPr>
        <w:t>万元</w:t>
      </w:r>
      <w:r>
        <w:rPr>
          <w:rFonts w:hint="eastAsia" w:ascii="Times New Roman" w:hAnsi="Times New Roman" w:eastAsia="仿宋_GB2312" w:cs="仿宋_GB2312"/>
          <w:color w:val="auto"/>
          <w:kern w:val="2"/>
          <w:sz w:val="32"/>
          <w:szCs w:val="32"/>
          <w:highlight w:val="none"/>
          <w:lang w:val="en-US" w:eastAsia="zh-CN" w:bidi="ar-SA"/>
        </w:rPr>
        <w:t>，主要用于以下方面</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一般公共服务支出**万元，占**%；教育支出**万元，占**%；科学技术支出**万元，占**%；文化旅游体育与传媒支出**万元，占**%；社会保障和就业支出**万元，占**%；卫生健康支出**万元，占**%；住房保障支出**万元，占**%；……</w:t>
      </w:r>
      <w:r>
        <w:rPr>
          <w:rFonts w:hint="eastAsia" w:ascii="Times New Roman" w:hAnsi="Times New Roman" w:eastAsia="仿宋_GB2312" w:cs="仿宋_GB2312"/>
          <w:b/>
          <w:bCs/>
          <w:color w:val="auto"/>
          <w:kern w:val="2"/>
          <w:sz w:val="32"/>
          <w:szCs w:val="32"/>
          <w:highlight w:val="none"/>
          <w:lang w:val="en-US" w:eastAsia="zh-CN" w:bidi="ar-SA"/>
        </w:rPr>
        <w:t>（注：仅罗列本部门涉及的全部功能分类科目，至类级）</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（图6：一般公共预算财政拨款支出决算结构）（饼状图）</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30" w:name="_Toc15377212"/>
      <w:r>
        <w:rPr>
          <w:rFonts w:hint="eastAsia" w:ascii="Times New Roman" w:hAnsi="Times New Roman" w:eastAsia="楷体_GB2312" w:cs="楷体_GB2312"/>
          <w:b/>
          <w:color w:val="auto"/>
          <w:sz w:val="32"/>
          <w:szCs w:val="32"/>
          <w:highlight w:val="none"/>
        </w:rPr>
        <w:t>（三）一般公共预算财政拨款支出决算具体情况</w:t>
      </w:r>
      <w:bookmarkEnd w:id="30"/>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bookmarkStart w:id="31" w:name="_Toc15377444"/>
      <w:bookmarkStart w:id="32" w:name="_Toc15378460"/>
      <w:bookmarkStart w:id="33" w:name="_Toc15377213"/>
      <w:r>
        <w:rPr>
          <w:rFonts w:hint="eastAsia" w:ascii="Times New Roman" w:hAnsi="Times New Roman" w:eastAsia="仿宋_GB2312" w:cs="仿宋_GB2312"/>
          <w:color w:val="auto"/>
          <w:kern w:val="2"/>
          <w:sz w:val="32"/>
          <w:szCs w:val="32"/>
          <w:highlight w:val="none"/>
          <w:lang w:val="en-US" w:eastAsia="zh-CN" w:bidi="ar-SA"/>
        </w:rPr>
        <w:t>2024年度一般公共预算财政拨款支出决算数为</w:t>
      </w:r>
      <w:r>
        <w:rPr>
          <w:rFonts w:hint="eastAsia" w:ascii="仿宋_GB2312" w:hAnsi="仿宋_GB2312" w:eastAsia="仿宋_GB2312" w:cs="仿宋_GB2312"/>
          <w:sz w:val="32"/>
          <w:szCs w:val="32"/>
        </w:rPr>
        <w:t>227.14</w:t>
      </w:r>
      <w:r>
        <w:rPr>
          <w:rFonts w:hint="eastAsia" w:ascii="仿宋_GB2312" w:hAnsi="仿宋_GB2312"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完成预算**%。其中：</w:t>
      </w:r>
      <w:bookmarkEnd w:id="31"/>
      <w:bookmarkEnd w:id="32"/>
      <w:bookmarkEnd w:id="33"/>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一般公共服务（类）***（款）***（项）</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支出决算为**万元，完成预算**%，决算数小于/等于预算数的主要原因是……</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2.教育（类）***（款）***（项）: 支出决算为**万元，完成预算**%，决算数小于/等于预算数的主要原因是……</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3.科学技术（类）***（款）***（项）</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支出决算为**万元，完成预算**%，决算数小于/等于预算数的主要原因是……</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4.文化旅游体育与传媒（类）***（款）***（项）</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支出决算为**万元，完成预算**%，决算数小于/等于预算数的主要原因是……</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5.社会保障和就业（类）***（款）***（项）</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支出决算为**万元，完成预算**%，决算数小于/等于预算数的主要原因是……</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6.卫生健康（类）***（款）***（项）</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支出决算为**万元，完成预算**%，决算数小于/等于预算数的主要原因是……</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w:t>
      </w:r>
    </w:p>
    <w:p>
      <w:pPr>
        <w:spacing w:line="600" w:lineRule="exact"/>
        <w:ind w:firstLine="640"/>
        <w:rPr>
          <w:rFonts w:hint="eastAsia" w:ascii="Times New Roman" w:hAnsi="Times New Roman" w:eastAsia="仿宋_GB2312" w:cs="仿宋_GB2312"/>
          <w:b/>
          <w:bCs/>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（注：仅罗列本部门涉及的全部功能分类科目，至项级。上述“预算”口径为全年预算数。增减变动原因为决算数&lt;项级&gt;和全年预算数&lt;项级&gt;比较，与预算数持平可以不写原因）</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pPr>
        <w:tabs>
          <w:tab w:val="right" w:pos="8306"/>
        </w:tabs>
        <w:spacing w:line="600" w:lineRule="exact"/>
        <w:ind w:firstLine="640"/>
        <w:outlineLvl w:val="1"/>
        <w:rPr>
          <w:rStyle w:val="30"/>
          <w:rFonts w:ascii="Times New Roman" w:hAnsi="Times New Roman"/>
          <w:color w:val="auto"/>
          <w:highlight w:val="none"/>
        </w:rPr>
      </w:pPr>
      <w:bookmarkStart w:id="34" w:name="_Toc15396608"/>
      <w:bookmarkStart w:id="35" w:name="_Toc15377214"/>
      <w:r>
        <w:rPr>
          <w:rFonts w:hint="eastAsia" w:ascii="Times New Roman" w:hAnsi="Times New Roman" w:eastAsia="黑体"/>
          <w:color w:val="auto"/>
          <w:sz w:val="32"/>
          <w:szCs w:val="32"/>
          <w:highlight w:val="none"/>
        </w:rPr>
        <w:t>六</w:t>
      </w:r>
      <w:r>
        <w:rPr>
          <w:rFonts w:hint="eastAsia" w:ascii="Times New Roman" w:hAnsi="Times New Roman" w:eastAsia="黑体"/>
          <w:b/>
          <w:color w:val="auto"/>
          <w:sz w:val="32"/>
          <w:szCs w:val="32"/>
          <w:highlight w:val="none"/>
        </w:rPr>
        <w:t>、一</w:t>
      </w:r>
      <w:r>
        <w:rPr>
          <w:rStyle w:val="30"/>
          <w:rFonts w:hint="eastAsia" w:ascii="Times New Roman" w:hAnsi="Times New Roman" w:eastAsia="黑体"/>
          <w:b w:val="0"/>
          <w:color w:val="auto"/>
          <w:highlight w:val="none"/>
        </w:rPr>
        <w:t>般公共预算财政拨款基本支出决算情况说明</w:t>
      </w:r>
      <w:bookmarkEnd w:id="34"/>
      <w:bookmarkEnd w:id="35"/>
      <w:r>
        <w:rPr>
          <w:rStyle w:val="30"/>
          <w:rFonts w:ascii="Times New Roman" w:hAnsi="Times New Roman" w:eastAsia="黑体"/>
          <w:b w:val="0"/>
          <w:color w:val="auto"/>
          <w:highlight w:val="none"/>
        </w:rPr>
        <w:tab/>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2024年度一般公共预算财政拨款基本支出</w:t>
      </w:r>
      <w:r>
        <w:rPr>
          <w:rFonts w:hint="eastAsia" w:ascii="仿宋_GB2312" w:hAnsi="仿宋_GB2312" w:eastAsia="仿宋_GB2312" w:cs="仿宋_GB2312"/>
          <w:sz w:val="32"/>
          <w:szCs w:val="32"/>
        </w:rPr>
        <w:t>227.14</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元，其中：</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人员经费</w:t>
      </w:r>
      <w:r>
        <w:rPr>
          <w:rFonts w:hint="eastAsia" w:ascii="仿宋_GB2312" w:hAnsi="仿宋_GB2312" w:eastAsia="仿宋_GB2312" w:cs="仿宋_GB2312"/>
          <w:sz w:val="32"/>
          <w:szCs w:val="32"/>
        </w:rPr>
        <w:t>197.54</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hint="eastAsia" w:ascii="Times New Roman" w:hAnsi="Times New Roman" w:eastAsia="仿宋_GB2312" w:cs="仿宋_GB2312"/>
          <w:color w:val="auto"/>
          <w:kern w:val="2"/>
          <w:sz w:val="32"/>
          <w:szCs w:val="32"/>
          <w:highlight w:val="none"/>
          <w:lang w:val="en-US" w:eastAsia="zh-CN" w:bidi="ar-SA"/>
        </w:rPr>
        <w:br w:type="textWrapping"/>
      </w:r>
      <w:r>
        <w:rPr>
          <w:rFonts w:hint="eastAsia" w:ascii="Times New Roman" w:hAnsi="Times New Roman" w:eastAsia="仿宋_GB2312" w:cs="仿宋_GB2312"/>
          <w:color w:val="auto"/>
          <w:kern w:val="2"/>
          <w:sz w:val="32"/>
          <w:szCs w:val="32"/>
          <w:highlight w:val="none"/>
          <w:lang w:val="en-US" w:eastAsia="zh-CN" w:bidi="ar-SA"/>
        </w:rPr>
        <w:t>　　公用经费</w:t>
      </w:r>
      <w:r>
        <w:rPr>
          <w:rFonts w:hint="eastAsia" w:ascii="仿宋_GB2312" w:hAnsi="仿宋_GB2312" w:eastAsia="仿宋_GB2312" w:cs="仿宋_GB2312"/>
          <w:sz w:val="32"/>
          <w:szCs w:val="32"/>
        </w:rPr>
        <w:t>29.6</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spacing w:line="600" w:lineRule="exact"/>
        <w:ind w:firstLine="640"/>
        <w:rPr>
          <w:rFonts w:hint="eastAsia" w:ascii="Times New Roman" w:hAnsi="Times New Roman" w:eastAsia="仿宋_GB2312" w:cs="仿宋_GB2312"/>
          <w:b/>
          <w:bCs/>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（注：仅罗列本部门实际支出涉及的经济分类科目）</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pPr>
        <w:spacing w:line="600" w:lineRule="exact"/>
        <w:ind w:firstLine="640"/>
        <w:outlineLvl w:val="1"/>
        <w:rPr>
          <w:rStyle w:val="30"/>
          <w:rFonts w:ascii="Times New Roman" w:hAnsi="Times New Roman" w:eastAsia="黑体"/>
          <w:b w:val="0"/>
          <w:color w:val="auto"/>
          <w:highlight w:val="none"/>
        </w:rPr>
      </w:pPr>
      <w:bookmarkStart w:id="36" w:name="_Toc15377215"/>
      <w:bookmarkStart w:id="37" w:name="_Toc15396609"/>
      <w:r>
        <w:rPr>
          <w:rFonts w:hint="eastAsia" w:ascii="Times New Roman" w:hAnsi="Times New Roman" w:eastAsia="黑体"/>
          <w:color w:val="auto"/>
          <w:sz w:val="32"/>
          <w:szCs w:val="32"/>
          <w:highlight w:val="none"/>
        </w:rPr>
        <w:t>七、</w:t>
      </w:r>
      <w:r>
        <w:rPr>
          <w:rStyle w:val="30"/>
          <w:rFonts w:hint="eastAsia" w:ascii="Times New Roman" w:hAnsi="Times New Roman" w:eastAsia="黑体"/>
          <w:b w:val="0"/>
          <w:color w:val="auto"/>
          <w:highlight w:val="none"/>
        </w:rPr>
        <w:t>财政拨款</w:t>
      </w:r>
      <w:r>
        <w:rPr>
          <w:rStyle w:val="30"/>
          <w:rFonts w:hint="eastAsia" w:ascii="Times New Roman" w:hAnsi="Times New Roman" w:eastAsia="黑体"/>
          <w:color w:val="auto"/>
          <w:highlight w:val="none"/>
        </w:rPr>
        <w:t>“</w:t>
      </w:r>
      <w:r>
        <w:rPr>
          <w:rStyle w:val="30"/>
          <w:rFonts w:hint="eastAsia" w:ascii="Times New Roman" w:hAnsi="Times New Roman" w:eastAsia="黑体"/>
          <w:b w:val="0"/>
          <w:color w:val="auto"/>
          <w:highlight w:val="none"/>
        </w:rPr>
        <w:t>三公”经费支出决算情况说明</w:t>
      </w:r>
      <w:bookmarkEnd w:id="36"/>
      <w:bookmarkEnd w:id="37"/>
    </w:p>
    <w:p>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38" w:name="_Toc15377216"/>
      <w:r>
        <w:rPr>
          <w:rFonts w:hint="eastAsia" w:ascii="Times New Roman" w:hAnsi="Times New Roman" w:eastAsia="楷体_GB2312" w:cs="楷体_GB2312"/>
          <w:b/>
          <w:color w:val="auto"/>
          <w:sz w:val="32"/>
          <w:szCs w:val="32"/>
          <w:highlight w:val="none"/>
        </w:rPr>
        <w:t>（一）“三公”经费财政拨款支出决算总体情况说明</w:t>
      </w:r>
      <w:bookmarkEnd w:id="38"/>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2024年度“三公”经费财政拨款支出决算为</w:t>
      </w:r>
      <w:r>
        <w:rPr>
          <w:rFonts w:hint="eastAsia" w:ascii="仿宋_GB2312" w:hAnsi="仿宋_GB2312" w:eastAsia="仿宋_GB2312" w:cs="仿宋_GB2312"/>
          <w:sz w:val="32"/>
          <w:szCs w:val="32"/>
        </w:rPr>
        <w:t>0.36</w:t>
      </w:r>
      <w:r>
        <w:rPr>
          <w:rFonts w:hint="eastAsia" w:ascii="仿宋_GB2312" w:hAnsi="仿宋_GB2312" w:eastAsia="仿宋_GB2312" w:cs="仿宋_GB2312"/>
          <w:color w:val="auto"/>
          <w:kern w:val="2"/>
          <w:sz w:val="32"/>
          <w:szCs w:val="32"/>
          <w:highlight w:val="none"/>
          <w:lang w:val="en-US" w:eastAsia="zh-CN" w:bidi="ar-SA"/>
        </w:rPr>
        <w:t>万元，完成预算</w:t>
      </w:r>
      <w:r>
        <w:rPr>
          <w:rFonts w:hint="eastAsia" w:ascii="仿宋_GB2312" w:hAnsi="仿宋_GB2312" w:eastAsia="仿宋_GB2312" w:cs="仿宋_GB2312"/>
          <w:sz w:val="32"/>
          <w:szCs w:val="32"/>
        </w:rPr>
        <w:t>100</w:t>
      </w:r>
      <w:r>
        <w:rPr>
          <w:rFonts w:hint="eastAsia" w:ascii="仿宋_GB2312" w:hAnsi="仿宋_GB2312"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较上年度增加/减少**万元，增长/下降**%。决算数小于预算数（或与预算数持平）的主要原因是……</w:t>
      </w:r>
    </w:p>
    <w:p>
      <w:pPr>
        <w:spacing w:line="600" w:lineRule="exact"/>
        <w:ind w:firstLine="640"/>
        <w:rPr>
          <w:rFonts w:hint="eastAsia" w:ascii="Times New Roman" w:hAnsi="Times New Roman" w:eastAsia="仿宋_GB2312" w:cs="仿宋_GB2312"/>
          <w:b/>
          <w:bCs/>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（注：上述“预算”口径为全年预算数，包括一般公共预算和政府性基金预算财政拨款支出决算情况）</w:t>
      </w:r>
    </w:p>
    <w:p>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39" w:name="_Toc15377217"/>
      <w:r>
        <w:rPr>
          <w:rFonts w:hint="eastAsia" w:ascii="Times New Roman" w:hAnsi="Times New Roman" w:eastAsia="楷体_GB2312" w:cs="楷体_GB2312"/>
          <w:b/>
          <w:color w:val="auto"/>
          <w:sz w:val="32"/>
          <w:szCs w:val="32"/>
          <w:highlight w:val="none"/>
        </w:rPr>
        <w:t>（二）“三公”经费财政拨款支出决算具体情况说明</w:t>
      </w:r>
      <w:bookmarkEnd w:id="39"/>
    </w:p>
    <w:p>
      <w:pPr>
        <w:spacing w:line="600" w:lineRule="exact"/>
        <w:ind w:firstLine="64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2024年度“三公”经费财政拨款支出决算中，因公出国（境）费支出决算</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万元，占**%；公务用车购置及运行维护费支出决算</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万元，占**%；公务接待费支出决算</w:t>
      </w:r>
      <w:r>
        <w:rPr>
          <w:rFonts w:hint="eastAsia" w:ascii="仿宋_GB2312" w:hAnsi="仿宋_GB2312" w:eastAsia="仿宋_GB2312" w:cs="仿宋_GB2312"/>
          <w:sz w:val="32"/>
          <w:szCs w:val="32"/>
        </w:rPr>
        <w:t>0.36</w:t>
      </w:r>
      <w:r>
        <w:rPr>
          <w:rFonts w:hint="eastAsia" w:ascii="仿宋_GB2312" w:hAnsi="仿宋_GB2312" w:eastAsia="仿宋_GB2312" w:cs="仿宋_GB2312"/>
          <w:color w:val="auto"/>
          <w:kern w:val="2"/>
          <w:sz w:val="32"/>
          <w:szCs w:val="32"/>
          <w:highlight w:val="none"/>
          <w:lang w:val="en-US" w:eastAsia="zh-CN" w:bidi="ar-SA"/>
        </w:rPr>
        <w:t>万元，占**%。具体情况如下：</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（图7：“三公”经费财政拨款支出结构）（饼状图）</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1.因公出国（境）经费支出**万元，完成预算**%。</w:t>
      </w:r>
      <w:r>
        <w:rPr>
          <w:rFonts w:hint="eastAsia" w:ascii="Times New Roman" w:hAnsi="Times New Roman" w:eastAsia="仿宋_GB2312" w:cs="仿宋_GB2312"/>
          <w:color w:val="auto"/>
          <w:kern w:val="2"/>
          <w:sz w:val="32"/>
          <w:szCs w:val="32"/>
          <w:highlight w:val="none"/>
          <w:lang w:val="en-US" w:eastAsia="zh-CN" w:bidi="ar-SA"/>
        </w:rPr>
        <w:t>全年安排因公出国（境）团</w:t>
      </w:r>
      <w:r>
        <w:rPr>
          <w:rFonts w:hint="eastAsia" w:ascii="仿宋_GB2312" w:hAnsi="仿宋_GB2312" w:eastAsia="仿宋_GB2312" w:cs="仿宋_GB2312"/>
          <w:color w:val="auto"/>
          <w:kern w:val="2"/>
          <w:sz w:val="32"/>
          <w:szCs w:val="32"/>
          <w:highlight w:val="none"/>
          <w:lang w:val="en-US" w:eastAsia="zh-CN" w:bidi="ar-SA"/>
        </w:rPr>
        <w:t>组</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次，出国（境）</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人</w:t>
      </w:r>
      <w:r>
        <w:rPr>
          <w:rFonts w:hint="eastAsia" w:ascii="Times New Roman" w:hAnsi="Times New Roman" w:eastAsia="仿宋_GB2312" w:cs="仿宋_GB2312"/>
          <w:color w:val="auto"/>
          <w:kern w:val="2"/>
          <w:sz w:val="32"/>
          <w:szCs w:val="32"/>
          <w:highlight w:val="none"/>
          <w:lang w:val="en-US" w:eastAsia="zh-CN" w:bidi="ar-SA"/>
        </w:rPr>
        <w:t>。因公出国（境）支出决算比2023年增加/减少**万元，增长/下降**%。主要原因是……</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开支内容包括：……（团组名称、出访地点、取得成效等）</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2.公务用车购置及运行维护费支出</w:t>
      </w:r>
      <w:r>
        <w:rPr>
          <w:rFonts w:hint="eastAsia" w:ascii="仿宋_GB2312" w:hAnsi="仿宋_GB2312" w:eastAsia="仿宋_GB2312" w:cs="仿宋_GB2312"/>
          <w:b/>
          <w:bCs/>
          <w:color w:val="auto"/>
          <w:kern w:val="2"/>
          <w:sz w:val="32"/>
          <w:szCs w:val="32"/>
          <w:highlight w:val="none"/>
          <w:lang w:val="en-US" w:eastAsia="zh-CN" w:bidi="ar-SA"/>
        </w:rPr>
        <w:t>0万</w:t>
      </w:r>
      <w:r>
        <w:rPr>
          <w:rFonts w:hint="eastAsia" w:ascii="Times New Roman" w:hAnsi="Times New Roman" w:eastAsia="仿宋_GB2312" w:cs="仿宋_GB2312"/>
          <w:b/>
          <w:bCs/>
          <w:color w:val="auto"/>
          <w:kern w:val="2"/>
          <w:sz w:val="32"/>
          <w:szCs w:val="32"/>
          <w:highlight w:val="none"/>
          <w:lang w:val="en-US" w:eastAsia="zh-CN" w:bidi="ar-SA"/>
        </w:rPr>
        <w:t>元</w:t>
      </w:r>
      <w:r>
        <w:rPr>
          <w:rFonts w:hint="eastAsia"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b/>
          <w:bCs/>
          <w:color w:val="auto"/>
          <w:kern w:val="2"/>
          <w:sz w:val="32"/>
          <w:szCs w:val="32"/>
          <w:highlight w:val="none"/>
          <w:lang w:val="en-US" w:eastAsia="zh-CN" w:bidi="ar-SA"/>
        </w:rPr>
        <w:t>完成预算**%。</w:t>
      </w:r>
      <w:r>
        <w:rPr>
          <w:rFonts w:hint="eastAsia" w:ascii="Times New Roman" w:hAnsi="Times New Roman" w:eastAsia="仿宋_GB2312" w:cs="仿宋_GB2312"/>
          <w:color w:val="auto"/>
          <w:kern w:val="2"/>
          <w:sz w:val="32"/>
          <w:szCs w:val="32"/>
          <w:highlight w:val="none"/>
          <w:lang w:val="en-US" w:eastAsia="zh-CN" w:bidi="ar-SA"/>
        </w:rPr>
        <w:t>公务用车购置及运行维护费支出决算比2023年度增加/减少**万元，增长/下降**%。主要原因是……</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其中：公务用车购置支</w:t>
      </w:r>
      <w:r>
        <w:rPr>
          <w:rFonts w:hint="eastAsia" w:ascii="仿宋_GB2312" w:hAnsi="仿宋_GB2312" w:eastAsia="仿宋_GB2312" w:cs="仿宋_GB2312"/>
          <w:color w:val="auto"/>
          <w:kern w:val="2"/>
          <w:sz w:val="32"/>
          <w:szCs w:val="32"/>
          <w:highlight w:val="none"/>
          <w:lang w:val="en-US" w:eastAsia="zh-CN" w:bidi="ar-SA"/>
        </w:rPr>
        <w:t>出</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万元。全年按规定更新购置公务用车**辆，其中：轿车**辆、金额**万元，越野车**辆、金额**万元，载客汽车**辆、金额**万元，主要用于……。截至2024年12月31日，单位共有公务用车**辆，其中：轿车**辆、越野车**辆、载客汽车**辆。</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公务用车运行维护费支</w:t>
      </w:r>
      <w:r>
        <w:rPr>
          <w:rFonts w:hint="eastAsia" w:ascii="仿宋_GB2312" w:hAnsi="仿宋_GB2312" w:eastAsia="仿宋_GB2312" w:cs="仿宋_GB2312"/>
          <w:color w:val="auto"/>
          <w:kern w:val="2"/>
          <w:sz w:val="32"/>
          <w:szCs w:val="32"/>
          <w:highlight w:val="none"/>
          <w:lang w:val="en-US" w:eastAsia="zh-CN" w:bidi="ar-SA"/>
        </w:rPr>
        <w:t>出</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万元。主要用于……（具体工作）所需的公务用车燃料费、维修费、过路过桥费、保险费等支出。</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3.公务接待费支出</w:t>
      </w:r>
      <w:r>
        <w:rPr>
          <w:rFonts w:hint="eastAsia" w:ascii="仿宋_GB2312" w:hAnsi="仿宋_GB2312" w:eastAsia="仿宋_GB2312" w:cs="仿宋_GB2312"/>
          <w:b/>
          <w:bCs/>
          <w:color w:val="auto"/>
          <w:kern w:val="2"/>
          <w:sz w:val="32"/>
          <w:szCs w:val="32"/>
          <w:highlight w:val="none"/>
          <w:lang w:val="en-US" w:eastAsia="zh-CN" w:bidi="ar-SA"/>
        </w:rPr>
        <w:t>0.36万</w:t>
      </w:r>
      <w:r>
        <w:rPr>
          <w:rFonts w:hint="eastAsia" w:ascii="Times New Roman" w:hAnsi="Times New Roman" w:eastAsia="仿宋_GB2312" w:cs="仿宋_GB2312"/>
          <w:b/>
          <w:bCs/>
          <w:color w:val="auto"/>
          <w:kern w:val="2"/>
          <w:sz w:val="32"/>
          <w:szCs w:val="32"/>
          <w:highlight w:val="none"/>
          <w:lang w:val="en-US" w:eastAsia="zh-CN" w:bidi="ar-SA"/>
        </w:rPr>
        <w:t>元，完成预算**%。</w:t>
      </w:r>
      <w:r>
        <w:rPr>
          <w:rFonts w:hint="eastAsia" w:ascii="Times New Roman" w:hAnsi="Times New Roman" w:eastAsia="仿宋_GB2312" w:cs="仿宋_GB2312"/>
          <w:color w:val="auto"/>
          <w:kern w:val="2"/>
          <w:sz w:val="32"/>
          <w:szCs w:val="32"/>
          <w:highlight w:val="none"/>
          <w:lang w:val="en-US" w:eastAsia="zh-CN" w:bidi="ar-SA"/>
        </w:rPr>
        <w:t>公务接待费支出决算比2023年度增加/减少**万元，增长/下降**%。主要原因是……。其中：</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国内公务接待支</w:t>
      </w:r>
      <w:r>
        <w:rPr>
          <w:rFonts w:hint="eastAsia" w:ascii="仿宋_GB2312" w:hAnsi="仿宋_GB2312" w:eastAsia="仿宋_GB2312" w:cs="仿宋_GB2312"/>
          <w:color w:val="auto"/>
          <w:kern w:val="2"/>
          <w:sz w:val="32"/>
          <w:szCs w:val="32"/>
          <w:highlight w:val="none"/>
          <w:lang w:val="en-US" w:eastAsia="zh-CN" w:bidi="ar-SA"/>
        </w:rPr>
        <w:t>出</w:t>
      </w:r>
      <w:r>
        <w:rPr>
          <w:rFonts w:hint="eastAsia" w:ascii="仿宋_GB2312" w:hAnsi="仿宋_GB2312" w:eastAsia="仿宋_GB2312" w:cs="仿宋_GB2312"/>
          <w:sz w:val="32"/>
          <w:szCs w:val="32"/>
        </w:rPr>
        <w:t>0.36</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元，主要用于……(执行公务、开展业务活动开支的交通费、住宿费、用餐费等)。国内公务接</w:t>
      </w:r>
      <w:r>
        <w:rPr>
          <w:rFonts w:hint="eastAsia" w:ascii="仿宋_GB2312" w:hAnsi="仿宋_GB2312" w:eastAsia="仿宋_GB2312" w:cs="仿宋_GB2312"/>
          <w:color w:val="auto"/>
          <w:kern w:val="2"/>
          <w:sz w:val="32"/>
          <w:szCs w:val="32"/>
          <w:highlight w:val="none"/>
          <w:lang w:val="en-US" w:eastAsia="zh-CN" w:bidi="ar-SA"/>
        </w:rPr>
        <w:t>待</w:t>
      </w:r>
      <w:r>
        <w:rPr>
          <w:rFonts w:hint="eastAsia" w:ascii="仿宋_GB2312" w:hAnsi="仿宋_GB2312" w:eastAsia="仿宋_GB2312" w:cs="仿宋_GB2312"/>
          <w:sz w:val="32"/>
          <w:szCs w:val="32"/>
        </w:rPr>
        <w:t>6</w:t>
      </w:r>
      <w:r>
        <w:rPr>
          <w:rFonts w:hint="eastAsia" w:ascii="仿宋_GB2312" w:hAnsi="仿宋_GB2312" w:eastAsia="仿宋_GB2312" w:cs="仿宋_GB2312"/>
          <w:color w:val="auto"/>
          <w:kern w:val="2"/>
          <w:sz w:val="32"/>
          <w:szCs w:val="32"/>
          <w:highlight w:val="none"/>
          <w:lang w:val="en-US" w:eastAsia="zh-CN" w:bidi="ar-SA"/>
        </w:rPr>
        <w:t>批次，</w:t>
      </w:r>
      <w:r>
        <w:rPr>
          <w:rFonts w:hint="eastAsia" w:ascii="仿宋_GB2312" w:hAnsi="仿宋_GB2312" w:eastAsia="仿宋_GB2312" w:cs="仿宋_GB2312"/>
          <w:sz w:val="32"/>
          <w:szCs w:val="32"/>
        </w:rPr>
        <w:t>30</w:t>
      </w:r>
      <w:r>
        <w:rPr>
          <w:rFonts w:hint="eastAsia" w:ascii="Times New Roman" w:hAnsi="Times New Roman" w:eastAsia="仿宋_GB2312" w:cs="仿宋_GB2312"/>
          <w:color w:val="auto"/>
          <w:kern w:val="2"/>
          <w:sz w:val="32"/>
          <w:szCs w:val="32"/>
          <w:highlight w:val="none"/>
          <w:lang w:val="en-US" w:eastAsia="zh-CN" w:bidi="ar-SA"/>
        </w:rPr>
        <w:t>人次（不包括陪同人员），共计支出**万元，具体内容包括：……（接待具体项目、金额）。</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外事接待支</w:t>
      </w:r>
      <w:r>
        <w:rPr>
          <w:rFonts w:hint="eastAsia" w:ascii="仿宋_GB2312" w:hAnsi="仿宋_GB2312" w:eastAsia="仿宋_GB2312" w:cs="仿宋_GB2312"/>
          <w:color w:val="auto"/>
          <w:kern w:val="2"/>
          <w:sz w:val="32"/>
          <w:szCs w:val="32"/>
          <w:highlight w:val="none"/>
          <w:lang w:val="en-US" w:eastAsia="zh-CN" w:bidi="ar-SA"/>
        </w:rPr>
        <w:t>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万元，主要用于……（具体项目）。外事接待</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批次，</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人次（不包括陪同人员），共计支出**万</w:t>
      </w:r>
      <w:r>
        <w:rPr>
          <w:rFonts w:hint="eastAsia" w:ascii="Times New Roman" w:hAnsi="Times New Roman" w:eastAsia="仿宋_GB2312" w:cs="仿宋_GB2312"/>
          <w:color w:val="auto"/>
          <w:kern w:val="2"/>
          <w:sz w:val="32"/>
          <w:szCs w:val="32"/>
          <w:highlight w:val="none"/>
          <w:lang w:val="en-US" w:eastAsia="zh-CN" w:bidi="ar-SA"/>
        </w:rPr>
        <w:t>元。</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bookmarkStart w:id="40" w:name="_Toc15377218"/>
      <w:bookmarkStart w:id="41" w:name="_Toc15396610"/>
    </w:p>
    <w:p>
      <w:pPr>
        <w:spacing w:line="600" w:lineRule="exact"/>
        <w:ind w:firstLine="640"/>
        <w:outlineLvl w:val="1"/>
        <w:rPr>
          <w:rStyle w:val="30"/>
          <w:rFonts w:ascii="Times New Roman" w:hAnsi="Times New Roman" w:eastAsia="黑体"/>
          <w:color w:val="auto"/>
          <w:highlight w:val="none"/>
        </w:rPr>
      </w:pPr>
      <w:r>
        <w:rPr>
          <w:rFonts w:hint="eastAsia" w:ascii="Times New Roman" w:hAnsi="Times New Roman" w:eastAsia="黑体"/>
          <w:color w:val="auto"/>
          <w:sz w:val="32"/>
          <w:szCs w:val="32"/>
          <w:highlight w:val="none"/>
        </w:rPr>
        <w:t>八、</w:t>
      </w:r>
      <w:r>
        <w:rPr>
          <w:rStyle w:val="30"/>
          <w:rFonts w:hint="eastAsia" w:ascii="Times New Roman" w:hAnsi="Times New Roman" w:eastAsia="黑体"/>
          <w:b w:val="0"/>
          <w:color w:val="auto"/>
          <w:highlight w:val="none"/>
        </w:rPr>
        <w:t>政府性基金预算支出决算情况说明</w:t>
      </w:r>
      <w:bookmarkEnd w:id="40"/>
      <w:bookmarkEnd w:id="41"/>
    </w:p>
    <w:p>
      <w:pPr>
        <w:spacing w:line="600" w:lineRule="exact"/>
        <w:ind w:firstLine="640"/>
        <w:rPr>
          <w:rFonts w:hint="eastAsia" w:ascii="Times New Roman" w:hAnsi="Times New Roman" w:eastAsia="仿宋_GB2312" w:cs="仿宋_GB2312"/>
          <w:b/>
          <w:bCs/>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2024年度政府性基金预算财政拨款支出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万元，占本年支出合计的</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。与2023年度相比，政府性基金预算财政拨款支出增加/减少**万元，增长/下降**%。主要变动原因是……</w:t>
      </w:r>
      <w:r>
        <w:rPr>
          <w:rFonts w:hint="eastAsia" w:ascii="Times New Roman" w:hAnsi="Times New Roman" w:eastAsia="仿宋_GB2312" w:cs="仿宋_GB2312"/>
          <w:b/>
          <w:bCs/>
          <w:color w:val="auto"/>
          <w:kern w:val="2"/>
          <w:sz w:val="32"/>
          <w:szCs w:val="32"/>
          <w:highlight w:val="none"/>
          <w:lang w:val="en-US" w:eastAsia="zh-CN" w:bidi="ar-SA"/>
        </w:rPr>
        <w:t>（注：支出数与上年持平可以不写原因）</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pPr>
        <w:numPr>
          <w:ilvl w:val="0"/>
          <w:numId w:val="0"/>
        </w:numPr>
        <w:spacing w:line="600" w:lineRule="exact"/>
        <w:ind w:left="630" w:leftChars="0"/>
        <w:outlineLvl w:val="1"/>
        <w:rPr>
          <w:rStyle w:val="30"/>
          <w:rFonts w:ascii="Times New Roman" w:hAnsi="Times New Roman" w:eastAsia="黑体"/>
          <w:b w:val="0"/>
          <w:color w:val="auto"/>
          <w:highlight w:val="none"/>
        </w:rPr>
      </w:pPr>
      <w:bookmarkStart w:id="42" w:name="_Toc15396611"/>
      <w:bookmarkStart w:id="43" w:name="_Toc15377219"/>
      <w:r>
        <w:rPr>
          <w:rStyle w:val="30"/>
          <w:rFonts w:hint="eastAsia" w:ascii="Times New Roman" w:hAnsi="Times New Roman" w:eastAsia="黑体"/>
          <w:b w:val="0"/>
          <w:color w:val="auto"/>
          <w:highlight w:val="none"/>
          <w:lang w:eastAsia="zh-CN"/>
        </w:rPr>
        <w:t>九、</w:t>
      </w:r>
      <w:r>
        <w:rPr>
          <w:rStyle w:val="30"/>
          <w:rFonts w:hint="eastAsia" w:ascii="Times New Roman" w:hAnsi="Times New Roman" w:eastAsia="黑体"/>
          <w:b w:val="0"/>
          <w:color w:val="auto"/>
          <w:highlight w:val="none"/>
        </w:rPr>
        <w:t>国有资本经营预算支出决算情况说明</w:t>
      </w:r>
      <w:bookmarkEnd w:id="42"/>
      <w:bookmarkEnd w:id="43"/>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2024年度国有资本经营预算财政拨款支出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万元，占本年支出合计的</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。与2023年度相比，国有资本经营预算财政拨款支出增加/减少**万元，增长/下降**%。主要变动原因是……</w:t>
      </w:r>
      <w:r>
        <w:rPr>
          <w:rFonts w:hint="eastAsia" w:ascii="Times New Roman" w:hAnsi="Times New Roman" w:eastAsia="仿宋_GB2312" w:cs="仿宋_GB2312"/>
          <w:b/>
          <w:bCs/>
          <w:color w:val="auto"/>
          <w:kern w:val="2"/>
          <w:sz w:val="32"/>
          <w:szCs w:val="32"/>
          <w:highlight w:val="none"/>
          <w:lang w:val="en-US" w:eastAsia="zh-CN" w:bidi="ar-SA"/>
        </w:rPr>
        <w:t>（注：支出数与上年持平可以不写原因）</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pPr>
        <w:numPr>
          <w:ilvl w:val="0"/>
          <w:numId w:val="0"/>
        </w:numPr>
        <w:spacing w:line="600" w:lineRule="exact"/>
        <w:ind w:left="630" w:leftChars="0"/>
        <w:outlineLvl w:val="1"/>
        <w:rPr>
          <w:rStyle w:val="30"/>
          <w:rFonts w:hint="eastAsia" w:ascii="Times New Roman" w:hAnsi="Times New Roman" w:eastAsia="黑体"/>
          <w:b w:val="0"/>
          <w:color w:val="auto"/>
          <w:highlight w:val="none"/>
        </w:rPr>
      </w:pPr>
      <w:bookmarkStart w:id="44" w:name="_Toc15396612"/>
      <w:bookmarkStart w:id="45" w:name="_Toc15377221"/>
      <w:r>
        <w:rPr>
          <w:rStyle w:val="30"/>
          <w:rFonts w:hint="eastAsia" w:ascii="Times New Roman" w:hAnsi="Times New Roman" w:eastAsia="黑体"/>
          <w:b w:val="0"/>
          <w:color w:val="auto"/>
          <w:highlight w:val="none"/>
          <w:lang w:eastAsia="zh-CN"/>
        </w:rPr>
        <w:t>十、</w:t>
      </w:r>
      <w:r>
        <w:rPr>
          <w:rStyle w:val="30"/>
          <w:rFonts w:hint="eastAsia" w:ascii="Times New Roman" w:hAnsi="Times New Roman" w:eastAsia="黑体"/>
          <w:b w:val="0"/>
          <w:color w:val="auto"/>
          <w:highlight w:val="none"/>
        </w:rPr>
        <w:t>其他重要事项的情况说明</w:t>
      </w:r>
      <w:bookmarkEnd w:id="44"/>
      <w:bookmarkEnd w:id="45"/>
    </w:p>
    <w:p>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46" w:name="_Toc15377222"/>
      <w:r>
        <w:rPr>
          <w:rFonts w:hint="eastAsia" w:ascii="Times New Roman" w:hAnsi="Times New Roman" w:eastAsia="楷体_GB2312" w:cs="楷体_GB2312"/>
          <w:b/>
          <w:color w:val="auto"/>
          <w:sz w:val="32"/>
          <w:szCs w:val="32"/>
          <w:highlight w:val="none"/>
        </w:rPr>
        <w:t>（一）机关运行经费支出情况</w:t>
      </w:r>
      <w:bookmarkEnd w:id="46"/>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w:t>
      </w:r>
      <w:r>
        <w:rPr>
          <w:rFonts w:hint="eastAsia" w:ascii="仿宋_GB2312" w:hAnsi="仿宋_GB2312" w:eastAsia="仿宋_GB2312" w:cs="仿宋_GB2312"/>
          <w:color w:val="auto"/>
          <w:kern w:val="2"/>
          <w:sz w:val="32"/>
          <w:szCs w:val="32"/>
          <w:highlight w:val="none"/>
          <w:lang w:val="en-US" w:eastAsia="zh-CN" w:bidi="ar-SA"/>
        </w:rPr>
        <w:t>，</w:t>
      </w:r>
      <w:r>
        <w:rPr>
          <w:rFonts w:hint="eastAsia" w:ascii="仿宋_GB2312" w:hAnsi="仿宋_GB2312" w:eastAsia="仿宋_GB2312" w:cs="仿宋_GB2312"/>
          <w:sz w:val="32"/>
          <w:szCs w:val="32"/>
        </w:rPr>
        <w:t>阿坝州九寨沟环境监测站</w:t>
      </w:r>
      <w:r>
        <w:rPr>
          <w:rFonts w:hint="eastAsia" w:ascii="仿宋_GB2312" w:hAnsi="仿宋_GB2312" w:eastAsia="仿宋_GB2312" w:cs="仿宋_GB2312"/>
          <w:color w:val="auto"/>
          <w:kern w:val="2"/>
          <w:sz w:val="32"/>
          <w:szCs w:val="32"/>
          <w:highlight w:val="none"/>
          <w:lang w:val="en-US" w:eastAsia="zh-CN" w:bidi="ar-SA"/>
        </w:rPr>
        <w:t>机关运行经费支出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元，比2023年度增加/减少**万元，增长/下降**%（或与2023年度决算数持平）。主要原因是……</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47" w:name="_Toc15377223"/>
      <w:r>
        <w:rPr>
          <w:rFonts w:hint="eastAsia" w:ascii="Times New Roman" w:hAnsi="Times New Roman" w:eastAsia="楷体_GB2312" w:cs="楷体_GB2312"/>
          <w:b/>
          <w:color w:val="auto"/>
          <w:sz w:val="32"/>
          <w:szCs w:val="32"/>
          <w:highlight w:val="none"/>
        </w:rPr>
        <w:t>（二）政府采购支出情况</w:t>
      </w:r>
      <w:bookmarkEnd w:id="47"/>
    </w:p>
    <w:p>
      <w:pPr>
        <w:spacing w:line="600" w:lineRule="exact"/>
        <w:ind w:firstLine="64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w:t>
      </w:r>
      <w:r>
        <w:rPr>
          <w:rFonts w:hint="eastAsia" w:ascii="仿宋_GB2312" w:hAnsi="仿宋_GB2312" w:eastAsia="仿宋_GB2312" w:cs="仿宋_GB2312"/>
          <w:sz w:val="32"/>
          <w:szCs w:val="32"/>
        </w:rPr>
        <w:t>阿坝州九寨沟环境监测站</w:t>
      </w:r>
      <w:r>
        <w:rPr>
          <w:rFonts w:hint="eastAsia" w:ascii="仿宋_GB2312" w:hAnsi="仿宋_GB2312" w:eastAsia="仿宋_GB2312" w:cs="仿宋_GB2312"/>
          <w:color w:val="auto"/>
          <w:kern w:val="2"/>
          <w:sz w:val="32"/>
          <w:szCs w:val="32"/>
          <w:highlight w:val="none"/>
          <w:lang w:val="en-US" w:eastAsia="zh-CN" w:bidi="ar-SA"/>
        </w:rPr>
        <w:t>政府采购支出总额</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万元，其中：政府采购货物支出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万元、政府采购工程支出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万元、政府采购服务支出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万元。主要用于……（具体工作）。授予中小企业合同金额</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万元，占政府采购支出总额的</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%，其中：授予小微企业合同金额</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万元，占政府采购支出总额的</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48" w:name="_Toc15377224"/>
      <w:r>
        <w:rPr>
          <w:rFonts w:hint="eastAsia" w:ascii="Times New Roman" w:hAnsi="Times New Roman" w:eastAsia="楷体_GB2312" w:cs="楷体_GB2312"/>
          <w:b/>
          <w:color w:val="auto"/>
          <w:sz w:val="32"/>
          <w:szCs w:val="32"/>
          <w:highlight w:val="none"/>
        </w:rPr>
        <w:t>（三）国有资产占有使用情况</w:t>
      </w:r>
      <w:bookmarkEnd w:id="48"/>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截至2024年12月31日，</w:t>
      </w:r>
      <w:r>
        <w:rPr>
          <w:rFonts w:hint="eastAsia" w:ascii="仿宋_GB2312" w:hAnsi="仿宋_GB2312" w:eastAsia="仿宋_GB2312" w:cs="仿宋_GB2312"/>
          <w:sz w:val="32"/>
          <w:szCs w:val="32"/>
        </w:rPr>
        <w:t>阿坝州九寨沟环境监测站</w:t>
      </w:r>
      <w:r>
        <w:rPr>
          <w:rFonts w:hint="eastAsia" w:ascii="仿宋_GB2312" w:hAnsi="仿宋_GB2312" w:eastAsia="仿宋_GB2312" w:cs="仿宋_GB2312"/>
          <w:color w:val="auto"/>
          <w:kern w:val="2"/>
          <w:sz w:val="32"/>
          <w:szCs w:val="32"/>
          <w:highlight w:val="none"/>
          <w:lang w:val="en-US" w:eastAsia="zh-CN" w:bidi="ar-SA"/>
        </w:rPr>
        <w:t>共有车辆</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辆，其中：主要负责人用车</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辆、机要通信用车</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辆、应急保障用车</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辆、其他用车</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辆，其他用车主要是用于……。单价100万元（含）以上设备（不含车辆）</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台（套）</w:t>
      </w:r>
      <w:r>
        <w:rPr>
          <w:rFonts w:hint="eastAsia" w:ascii="Times New Roman" w:hAnsi="Times New Roman" w:eastAsia="仿宋_GB2312" w:cs="仿宋_GB2312"/>
          <w:color w:val="auto"/>
          <w:kern w:val="2"/>
          <w:sz w:val="32"/>
          <w:szCs w:val="32"/>
          <w:highlight w:val="none"/>
          <w:lang w:val="en-US" w:eastAsia="zh-CN" w:bidi="ar-SA"/>
        </w:rPr>
        <w:t>。</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r>
        <w:rPr>
          <w:rFonts w:hint="eastAsia" w:ascii="Times New Roman" w:hAnsi="Times New Roman" w:eastAsia="楷体_GB2312" w:cs="楷体_GB2312"/>
          <w:b/>
          <w:color w:val="auto"/>
          <w:sz w:val="32"/>
          <w:szCs w:val="32"/>
          <w:highlight w:val="none"/>
        </w:rPr>
        <w:t>（四）预算绩效管理情况</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根据预算绩效管理要求，***在2024年度预算编制阶段，组织对***（项目名称）等***个项目开展了预算事前绩效评估，对***个项目编制了绩效目标，预算执行过程中，选取***个项目开展绩效监控。</w:t>
      </w:r>
    </w:p>
    <w:p>
      <w:pPr>
        <w:spacing w:line="600" w:lineRule="exact"/>
        <w:ind w:firstLine="640"/>
        <w:rPr>
          <w:rFonts w:hint="eastAsia" w:ascii="Times New Roman" w:hAnsi="Times New Roman" w:eastAsia="仿宋_GB2312" w:cs="仿宋_GB2312"/>
          <w:b/>
          <w:bCs/>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组织对2024年度一般公共预算、政府性基金预算、国有资本经营预算、社会保险基金预算以及资本资产、债券资金等全面开展绩效自评，形成***部门整体（含部门预算项目）绩效自评报告、***等专项预算项目绩效自评报告，其中，***部门整体（含部门预算项目）绩效自评得分为***分，绩效自评综述……；***专项预算项目绩效自评得分为***分，绩效自评综述……。绩效自评报告详见附件。</w:t>
      </w:r>
      <w:r>
        <w:rPr>
          <w:rFonts w:hint="eastAsia" w:ascii="Times New Roman" w:hAnsi="Times New Roman" w:eastAsia="仿宋_GB2312" w:cs="仿宋_GB2312"/>
          <w:b/>
          <w:bCs/>
          <w:color w:val="auto"/>
          <w:kern w:val="2"/>
          <w:sz w:val="32"/>
          <w:szCs w:val="32"/>
          <w:highlight w:val="none"/>
          <w:lang w:val="en-US" w:eastAsia="zh-CN" w:bidi="ar-SA"/>
        </w:rPr>
        <w:t>（</w:t>
      </w:r>
      <w:r>
        <w:rPr>
          <w:rFonts w:hint="eastAsia" w:eastAsia="仿宋_GB2312" w:cs="仿宋_GB2312"/>
          <w:b/>
          <w:bCs/>
          <w:color w:val="auto"/>
          <w:kern w:val="2"/>
          <w:sz w:val="32"/>
          <w:szCs w:val="32"/>
          <w:highlight w:val="none"/>
          <w:lang w:val="en-US" w:eastAsia="zh-CN" w:bidi="ar-SA"/>
        </w:rPr>
        <w:t>注：</w:t>
      </w:r>
      <w:r>
        <w:rPr>
          <w:rFonts w:hint="eastAsia" w:ascii="Times New Roman" w:hAnsi="Times New Roman" w:eastAsia="仿宋_GB2312" w:cs="仿宋_GB2312"/>
          <w:b/>
          <w:bCs/>
          <w:color w:val="auto"/>
          <w:kern w:val="2"/>
          <w:sz w:val="32"/>
          <w:szCs w:val="32"/>
          <w:highlight w:val="none"/>
          <w:lang w:val="en-US" w:eastAsia="zh-CN" w:bidi="ar-SA"/>
        </w:rPr>
        <w:t>如不涉及，可根据实际修改表述。）</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pPr>
        <w:numPr>
          <w:ilvl w:val="0"/>
          <w:numId w:val="0"/>
        </w:numPr>
        <w:spacing w:line="600" w:lineRule="exact"/>
        <w:jc w:val="center"/>
        <w:outlineLvl w:val="0"/>
        <w:rPr>
          <w:rFonts w:hint="eastAsia" w:ascii="Times New Roman" w:hAnsi="Times New Roman" w:eastAsia="黑体"/>
          <w:color w:val="auto"/>
          <w:sz w:val="44"/>
          <w:szCs w:val="44"/>
          <w:highlight w:val="none"/>
        </w:rPr>
      </w:pPr>
      <w:bookmarkStart w:id="49" w:name="_Toc15377225"/>
      <w:bookmarkStart w:id="50" w:name="_Toc15396613"/>
      <w:r>
        <w:rPr>
          <w:rFonts w:hint="eastAsia" w:ascii="Times New Roman" w:hAnsi="Times New Roman" w:eastAsia="黑体"/>
          <w:color w:val="auto"/>
          <w:sz w:val="44"/>
          <w:szCs w:val="44"/>
          <w:highlight w:val="none"/>
        </w:rPr>
        <w:t>第</w:t>
      </w:r>
      <w:r>
        <w:rPr>
          <w:rFonts w:hint="eastAsia" w:eastAsia="黑体"/>
          <w:color w:val="auto"/>
          <w:sz w:val="44"/>
          <w:szCs w:val="44"/>
          <w:highlight w:val="none"/>
          <w:lang w:eastAsia="zh-CN"/>
        </w:rPr>
        <w:t>三</w:t>
      </w:r>
      <w:r>
        <w:rPr>
          <w:rFonts w:hint="eastAsia" w:ascii="Times New Roman" w:hAnsi="Times New Roman" w:eastAsia="黑体"/>
          <w:color w:val="auto"/>
          <w:sz w:val="44"/>
          <w:szCs w:val="44"/>
          <w:highlight w:val="none"/>
        </w:rPr>
        <w:t>部分</w:t>
      </w:r>
      <w:r>
        <w:rPr>
          <w:rFonts w:hint="eastAsia" w:ascii="Times New Roman" w:hAnsi="Times New Roman" w:eastAsia="黑体"/>
          <w:color w:val="auto"/>
          <w:sz w:val="44"/>
          <w:szCs w:val="44"/>
          <w:highlight w:val="none"/>
          <w:lang w:val="en-US" w:eastAsia="zh-CN"/>
        </w:rPr>
        <w:t xml:space="preserve"> </w:t>
      </w:r>
      <w:r>
        <w:rPr>
          <w:rFonts w:hint="eastAsia" w:eastAsia="黑体"/>
          <w:color w:val="auto"/>
          <w:sz w:val="44"/>
          <w:szCs w:val="44"/>
          <w:highlight w:val="none"/>
          <w:lang w:val="en-US" w:eastAsia="zh-CN"/>
        </w:rPr>
        <w:t xml:space="preserve"> </w:t>
      </w:r>
      <w:r>
        <w:rPr>
          <w:rFonts w:hint="eastAsia" w:ascii="Times New Roman" w:hAnsi="Times New Roman" w:eastAsia="黑体"/>
          <w:color w:val="auto"/>
          <w:sz w:val="44"/>
          <w:szCs w:val="44"/>
          <w:highlight w:val="none"/>
        </w:rPr>
        <w:t>名词解释</w:t>
      </w:r>
      <w:bookmarkEnd w:id="49"/>
      <w:bookmarkEnd w:id="50"/>
    </w:p>
    <w:p>
      <w:pPr>
        <w:spacing w:line="600" w:lineRule="exact"/>
        <w:jc w:val="left"/>
        <w:rPr>
          <w:rFonts w:ascii="Times New Roman" w:hAnsi="Times New Roman"/>
          <w:b/>
          <w:color w:val="auto"/>
          <w:sz w:val="44"/>
          <w:szCs w:val="44"/>
          <w:highlight w:val="none"/>
        </w:rPr>
      </w:pP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1.财政拨款收入：指单位从同级财政部门取得的财政预算资金。</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2.事业收入：指事业单位开展专业业务活动及辅助活动取得的收入。如……（二级预算单位事业收入情况）等。</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3.经营收入：指事业单位在专业业务活动及其辅助活动之外开展非独立核算经营活动取得的收入。如……（二级预算单位经营收入情况）等。</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 xml:space="preserve">4.其他收入：指单位取得的除上述收入以外的各项收入。主要是……（收入类型）等。 </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 xml:space="preserve">5.使用非财政拨款结余（含专用结余）：指事业单位使用以前年度积累的非财政拨款结余弥补当年收支差额的金额。 </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 xml:space="preserve">6.年初结转和结余：指以前年度尚未完成、结转到本年按有关规定继续使用的资金。 </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7.结余分配：指事业单位按照会计制度规定缴纳的所得税、提取的专用结余以及转入非财政拨款结余的金额等。</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8.年末结转和结余：指单位按有关规定结转到下年或以后年度继续使用的资金。</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9.一般公共服务（类）……（款）……（项）：指……</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10.外交（类）……（款）……（项）：指……</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11.公共安全（类）……（款）……（项）：指……</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12.教育（类）……（款）……（项）：指……</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13.科学技术（类）……（款）……（项）：指……</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14.文化旅游体育与传媒（类）……（款）……（项）：指……</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15.社会保障和就业（类）……（款）……（项）：指……</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16.卫生健康（类）……（款）……（项）：指……</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17.节能环保（类）……（款）……（项）</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指……</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18.城乡社区（类）……（款）……（项）：指……</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19.农林水（类）……（款）……（项）：指……</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20.交通运输（类）……（款）……（项）：指……</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21.资源勘探工业信息等（类）……（款）……（项）：指……</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22.商业服务业（类）……（款）……（项）：指……</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23.金融（类）……（款）……（项）：指……</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24.自然资源海洋气象等（类）……（款）……（项）：指……</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25.住房保障（类）……（款）……（项）：指……</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26.粮油物资储备（类）……（款）……（项）：指……</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w:t>
      </w:r>
      <w:r>
        <w:rPr>
          <w:rFonts w:hint="eastAsia" w:eastAsia="仿宋_GB2312" w:cs="仿宋_GB2312"/>
          <w:b/>
          <w:bCs/>
          <w:color w:val="auto"/>
          <w:kern w:val="2"/>
          <w:sz w:val="32"/>
          <w:szCs w:val="32"/>
          <w:highlight w:val="none"/>
          <w:lang w:val="en-US" w:eastAsia="zh-CN" w:bidi="ar-SA"/>
        </w:rPr>
        <w:t>注：</w:t>
      </w:r>
      <w:r>
        <w:rPr>
          <w:rFonts w:hint="eastAsia" w:ascii="Times New Roman" w:hAnsi="Times New Roman" w:eastAsia="仿宋_GB2312" w:cs="仿宋_GB2312"/>
          <w:b/>
          <w:bCs/>
          <w:color w:val="auto"/>
          <w:kern w:val="2"/>
          <w:sz w:val="32"/>
          <w:szCs w:val="32"/>
          <w:highlight w:val="none"/>
          <w:lang w:val="en-US" w:eastAsia="zh-CN" w:bidi="ar-SA"/>
        </w:rPr>
        <w:t>解释本部门决算报表中涉及的全部功能分类科目至项级，不涉及的科目请自行删除。请参照</w:t>
      </w:r>
      <w:r>
        <w:rPr>
          <w:rFonts w:hint="eastAsia"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b/>
          <w:bCs/>
          <w:color w:val="auto"/>
          <w:kern w:val="2"/>
          <w:sz w:val="32"/>
          <w:szCs w:val="32"/>
          <w:highlight w:val="none"/>
          <w:lang w:val="en-US" w:eastAsia="zh-CN" w:bidi="ar-SA"/>
        </w:rPr>
        <w:t>202</w:t>
      </w:r>
      <w:r>
        <w:rPr>
          <w:rFonts w:hint="eastAsia" w:eastAsia="仿宋_GB2312" w:cs="仿宋_GB2312"/>
          <w:b/>
          <w:bCs/>
          <w:color w:val="auto"/>
          <w:kern w:val="2"/>
          <w:sz w:val="32"/>
          <w:szCs w:val="32"/>
          <w:highlight w:val="none"/>
          <w:lang w:val="en-US" w:eastAsia="zh-CN" w:bidi="ar-SA"/>
        </w:rPr>
        <w:t>4</w:t>
      </w:r>
      <w:r>
        <w:rPr>
          <w:rFonts w:hint="eastAsia" w:ascii="Times New Roman" w:hAnsi="Times New Roman" w:eastAsia="仿宋_GB2312" w:cs="仿宋_GB2312"/>
          <w:b/>
          <w:bCs/>
          <w:color w:val="auto"/>
          <w:kern w:val="2"/>
          <w:sz w:val="32"/>
          <w:szCs w:val="32"/>
          <w:highlight w:val="none"/>
          <w:lang w:val="en-US" w:eastAsia="zh-CN" w:bidi="ar-SA"/>
        </w:rPr>
        <w:t>年政府收支分类科目</w:t>
      </w:r>
      <w:r>
        <w:rPr>
          <w:rFonts w:hint="eastAsia"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b/>
          <w:bCs/>
          <w:color w:val="auto"/>
          <w:kern w:val="2"/>
          <w:sz w:val="32"/>
          <w:szCs w:val="32"/>
          <w:highlight w:val="none"/>
          <w:lang w:val="en-US" w:eastAsia="zh-CN" w:bidi="ar-SA"/>
        </w:rPr>
        <w:t>增减内容）</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27.基本支出：指为保障机构正常运转、完成日常工作任务而发生的人员支出和公用支出。</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 xml:space="preserve">28.项目支出：指在基本支出之外为完成特定行政任务和事业发展目标所发生的支出。 </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29.经营支出：指事业单位在专业业务活动及其辅助活动之外开展非独立核算经营活动发生的支出。</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30.</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三公</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31.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32.……</w:t>
      </w:r>
    </w:p>
    <w:p>
      <w:pPr>
        <w:spacing w:line="600" w:lineRule="exact"/>
        <w:ind w:firstLine="640"/>
        <w:rPr>
          <w:rFonts w:hint="eastAsia" w:ascii="Times New Roman" w:hAnsi="Times New Roman" w:eastAsia="仿宋_GB2312" w:cs="仿宋_GB2312"/>
          <w:b/>
          <w:bCs/>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（注：名词解释部分请根据各部门实际列支情况罗列，并根据本部门职责职能增减名词解释内容）</w:t>
      </w:r>
    </w:p>
    <w:p>
      <w:pPr>
        <w:spacing w:line="600" w:lineRule="exact"/>
        <w:jc w:val="center"/>
        <w:rPr>
          <w:rStyle w:val="29"/>
          <w:rFonts w:hint="eastAsia" w:ascii="Times New Roman" w:hAnsi="Times New Roman" w:eastAsia="黑体"/>
          <w:b w:val="0"/>
          <w:color w:val="auto"/>
          <w:highlight w:val="none"/>
          <w:lang w:eastAsia="zh-CN"/>
        </w:rPr>
      </w:pPr>
      <w:bookmarkStart w:id="51" w:name="_Toc15377226"/>
      <w:r>
        <w:rPr>
          <w:rFonts w:hint="eastAsia" w:ascii="Times New Roman" w:hAnsi="Times New Roman" w:eastAsia="仿宋_GB2312" w:cs="仿宋_GB2312"/>
          <w:color w:val="auto"/>
          <w:kern w:val="2"/>
          <w:sz w:val="32"/>
          <w:szCs w:val="32"/>
          <w:highlight w:val="none"/>
          <w:lang w:val="en-US" w:eastAsia="zh-CN" w:bidi="ar-SA"/>
        </w:rPr>
        <w:br w:type="page"/>
      </w:r>
      <w:bookmarkStart w:id="52" w:name="_Toc15396614"/>
      <w:r>
        <w:rPr>
          <w:rFonts w:hint="eastAsia" w:ascii="Times New Roman" w:hAnsi="Times New Roman" w:eastAsia="黑体"/>
          <w:color w:val="auto"/>
          <w:sz w:val="44"/>
          <w:szCs w:val="44"/>
          <w:highlight w:val="none"/>
        </w:rPr>
        <w:t>第四部分</w:t>
      </w:r>
      <w:r>
        <w:rPr>
          <w:rFonts w:hint="eastAsia" w:ascii="Times New Roman" w:hAnsi="Times New Roman" w:eastAsia="黑体"/>
          <w:color w:val="auto"/>
          <w:sz w:val="44"/>
          <w:szCs w:val="44"/>
          <w:highlight w:val="none"/>
          <w:lang w:val="en-US" w:eastAsia="zh-CN"/>
        </w:rPr>
        <w:t xml:space="preserve"> </w:t>
      </w:r>
      <w:r>
        <w:rPr>
          <w:rFonts w:hint="eastAsia" w:ascii="Times New Roman" w:hAnsi="Times New Roman" w:eastAsia="黑体"/>
          <w:color w:val="auto"/>
          <w:sz w:val="44"/>
          <w:szCs w:val="44"/>
          <w:highlight w:val="none"/>
        </w:rPr>
        <w:t xml:space="preserve"> 附件</w:t>
      </w:r>
      <w:bookmarkEnd w:id="52"/>
    </w:p>
    <w:p>
      <w:pPr>
        <w:keepNext w:val="0"/>
        <w:keepLines w:val="0"/>
        <w:pageBreakBefore w:val="0"/>
        <w:kinsoku/>
        <w:wordWrap/>
        <w:overflowPunct/>
        <w:topLinePunct w:val="0"/>
        <w:autoSpaceDE/>
        <w:autoSpaceDN/>
        <w:bidi w:val="0"/>
        <w:spacing w:line="572" w:lineRule="exact"/>
        <w:jc w:val="left"/>
        <w:textAlignment w:val="auto"/>
        <w:outlineLvl w:val="0"/>
        <w:rPr>
          <w:rFonts w:hint="eastAsia" w:ascii="Times New Roman" w:hAnsi="Times New Roman" w:eastAsia="黑体" w:cs="黑体"/>
          <w:color w:val="FF0000"/>
          <w:sz w:val="32"/>
          <w:szCs w:val="32"/>
          <w:highlight w:val="none"/>
        </w:rPr>
      </w:pPr>
    </w:p>
    <w:p>
      <w:pPr>
        <w:keepNext w:val="0"/>
        <w:keepLines w:val="0"/>
        <w:pageBreakBefore w:val="0"/>
        <w:kinsoku/>
        <w:wordWrap/>
        <w:overflowPunct/>
        <w:topLinePunct w:val="0"/>
        <w:autoSpaceDE/>
        <w:autoSpaceDN/>
        <w:bidi w:val="0"/>
        <w:spacing w:line="572" w:lineRule="exact"/>
        <w:jc w:val="left"/>
        <w:textAlignment w:val="auto"/>
        <w:outlineLvl w:val="0"/>
        <w:rPr>
          <w:rFonts w:hint="eastAsia" w:ascii="Times New Roman" w:hAnsi="Times New Roman" w:eastAsia="黑体" w:cs="方正小标宋简体"/>
          <w:color w:val="auto"/>
          <w:sz w:val="44"/>
          <w:szCs w:val="44"/>
          <w:highlight w:val="none"/>
          <w:lang w:val="en-US" w:eastAsia="zh-CN"/>
        </w:rPr>
      </w:pPr>
      <w:r>
        <w:rPr>
          <w:rFonts w:hint="eastAsia" w:ascii="Times New Roman" w:hAnsi="Times New Roman" w:eastAsia="黑体" w:cs="黑体"/>
          <w:color w:val="auto"/>
          <w:sz w:val="32"/>
          <w:szCs w:val="32"/>
          <w:highlight w:val="none"/>
        </w:rPr>
        <w:t>附件</w:t>
      </w:r>
      <w:r>
        <w:rPr>
          <w:rFonts w:hint="eastAsia" w:ascii="Times New Roman" w:hAnsi="Times New Roman" w:eastAsia="黑体" w:cs="黑体"/>
          <w:color w:val="auto"/>
          <w:sz w:val="32"/>
          <w:szCs w:val="32"/>
          <w:highlight w:val="none"/>
          <w:lang w:val="en-US" w:eastAsia="zh-CN"/>
        </w:rPr>
        <w:t>1</w:t>
      </w:r>
    </w:p>
    <w:p>
      <w:pPr>
        <w:keepNext w:val="0"/>
        <w:keepLines w:val="0"/>
        <w:pageBreakBefore w:val="0"/>
        <w:widowControl/>
        <w:kinsoku/>
        <w:wordWrap/>
        <w:overflowPunct/>
        <w:topLinePunct w:val="0"/>
        <w:autoSpaceDE/>
        <w:autoSpaceDN/>
        <w:bidi w:val="0"/>
        <w:spacing w:line="578" w:lineRule="exact"/>
        <w:contextualSpacing/>
        <w:jc w:val="center"/>
        <w:textAlignment w:val="auto"/>
        <w:outlineLvl w:val="9"/>
        <w:rPr>
          <w:rFonts w:hint="default" w:ascii="Times New Roman" w:hAnsi="Times New Roman" w:eastAsia="方正小标宋简体" w:cs="Times New Roman"/>
          <w:b w:val="0"/>
          <w:bCs/>
          <w:sz w:val="44"/>
          <w:szCs w:val="44"/>
          <w:highlight w:val="none"/>
          <w:shd w:val="clear" w:color="auto" w:fill="FFFFFF"/>
        </w:rPr>
      </w:pPr>
    </w:p>
    <w:p>
      <w:pPr>
        <w:keepNext w:val="0"/>
        <w:keepLines w:val="0"/>
        <w:pageBreakBefore w:val="0"/>
        <w:widowControl/>
        <w:kinsoku/>
        <w:wordWrap/>
        <w:overflowPunct/>
        <w:topLinePunct w:val="0"/>
        <w:autoSpaceDE/>
        <w:autoSpaceDN/>
        <w:bidi w:val="0"/>
        <w:spacing w:line="578" w:lineRule="exact"/>
        <w:contextualSpacing/>
        <w:jc w:val="center"/>
        <w:textAlignment w:val="auto"/>
        <w:outlineLvl w:val="9"/>
        <w:rPr>
          <w:rFonts w:hint="default" w:ascii="Times New Roman" w:hAnsi="Times New Roman" w:eastAsia="方正小标宋简体" w:cs="Times New Roman"/>
          <w:b w:val="0"/>
          <w:bCs/>
          <w:sz w:val="44"/>
          <w:szCs w:val="44"/>
          <w:highlight w:val="none"/>
          <w:shd w:val="clear" w:color="auto" w:fill="FFFFFF"/>
        </w:rPr>
      </w:pPr>
      <w:r>
        <w:rPr>
          <w:rFonts w:hint="default" w:ascii="Times New Roman" w:hAnsi="Times New Roman" w:eastAsia="方正小标宋简体" w:cs="Times New Roman"/>
          <w:b w:val="0"/>
          <w:bCs/>
          <w:sz w:val="44"/>
          <w:szCs w:val="44"/>
          <w:highlight w:val="none"/>
          <w:shd w:val="clear" w:color="auto" w:fill="FFFFFF"/>
        </w:rPr>
        <w:t>部门</w:t>
      </w:r>
      <w:r>
        <w:rPr>
          <w:rFonts w:hint="default" w:ascii="Times New Roman" w:hAnsi="Times New Roman" w:eastAsia="方正小标宋简体" w:cs="Times New Roman"/>
          <w:b w:val="0"/>
          <w:bCs/>
          <w:sz w:val="44"/>
          <w:szCs w:val="44"/>
          <w:highlight w:val="none"/>
          <w:shd w:val="clear" w:color="auto" w:fill="FFFFFF"/>
          <w:lang w:eastAsia="zh-CN"/>
        </w:rPr>
        <w:t>预算</w:t>
      </w:r>
      <w:r>
        <w:rPr>
          <w:rFonts w:hint="default" w:ascii="Times New Roman" w:hAnsi="Times New Roman" w:eastAsia="方正小标宋简体" w:cs="Times New Roman"/>
          <w:b w:val="0"/>
          <w:bCs/>
          <w:sz w:val="44"/>
          <w:szCs w:val="44"/>
          <w:highlight w:val="none"/>
          <w:shd w:val="clear" w:color="auto" w:fill="FFFFFF"/>
        </w:rPr>
        <w:t>绩效</w:t>
      </w:r>
      <w:r>
        <w:rPr>
          <w:rFonts w:hint="eastAsia" w:ascii="Times New Roman" w:hAnsi="Times New Roman" w:eastAsia="方正小标宋简体" w:cs="Times New Roman"/>
          <w:b w:val="0"/>
          <w:bCs/>
          <w:sz w:val="44"/>
          <w:szCs w:val="44"/>
          <w:highlight w:val="none"/>
          <w:shd w:val="clear" w:color="auto" w:fill="FFFFFF"/>
          <w:lang w:eastAsia="zh-CN"/>
        </w:rPr>
        <w:t>评价</w:t>
      </w:r>
      <w:r>
        <w:rPr>
          <w:rFonts w:hint="default" w:ascii="Times New Roman" w:hAnsi="Times New Roman" w:eastAsia="方正小标宋简体" w:cs="Times New Roman"/>
          <w:b w:val="0"/>
          <w:bCs/>
          <w:sz w:val="44"/>
          <w:szCs w:val="44"/>
          <w:highlight w:val="none"/>
          <w:shd w:val="clear" w:color="auto" w:fill="FFFFFF"/>
        </w:rPr>
        <w:t>报告范本</w:t>
      </w:r>
    </w:p>
    <w:p>
      <w:pPr>
        <w:keepNext w:val="0"/>
        <w:keepLines w:val="0"/>
        <w:pageBreakBefore w:val="0"/>
        <w:widowControl/>
        <w:kinsoku/>
        <w:wordWrap/>
        <w:overflowPunct/>
        <w:topLinePunct w:val="0"/>
        <w:autoSpaceDE/>
        <w:autoSpaceDN/>
        <w:bidi w:val="0"/>
        <w:spacing w:line="578" w:lineRule="exact"/>
        <w:contextualSpacing/>
        <w:jc w:val="center"/>
        <w:textAlignment w:val="auto"/>
        <w:outlineLvl w:val="9"/>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（报告范围包括机关和下属单位）</w:t>
      </w:r>
    </w:p>
    <w:p>
      <w:pPr>
        <w:keepNext w:val="0"/>
        <w:keepLines w:val="0"/>
        <w:pageBreakBefore w:val="0"/>
        <w:widowControl/>
        <w:kinsoku/>
        <w:wordWrap/>
        <w:overflowPunct/>
        <w:topLinePunct w:val="0"/>
        <w:autoSpaceDE/>
        <w:autoSpaceDN/>
        <w:bidi w:val="0"/>
        <w:adjustRightInd w:val="0"/>
        <w:snapToGrid w:val="0"/>
        <w:spacing w:line="578" w:lineRule="exact"/>
        <w:ind w:firstLine="480" w:firstLineChars="200"/>
        <w:contextualSpacing/>
        <w:jc w:val="left"/>
        <w:textAlignment w:val="auto"/>
        <w:outlineLvl w:val="9"/>
        <w:rPr>
          <w:rFonts w:hint="default" w:ascii="Times New Roman" w:hAnsi="Times New Roman" w:eastAsia="黑体" w:cs="Times New Roman"/>
          <w:color w:val="000000"/>
          <w:kern w:val="0"/>
          <w:sz w:val="24"/>
          <w:szCs w:val="32"/>
          <w:highlight w:val="none"/>
          <w:shd w:val="clear" w:color="auto" w:fill="FFFFFF"/>
        </w:rPr>
      </w:pP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Times New Roman" w:hAnsi="Times New Roman" w:eastAsia="黑体" w:cs="Times New Roman"/>
          <w:color w:val="000000"/>
          <w:kern w:val="0"/>
          <w:sz w:val="32"/>
          <w:szCs w:val="32"/>
          <w:highlight w:val="none"/>
          <w:shd w:val="clear" w:color="auto" w:fill="FFFFFF"/>
          <w:lang w:val="zh-CN"/>
        </w:rPr>
      </w:pPr>
      <w:r>
        <w:rPr>
          <w:rFonts w:hint="eastAsia" w:ascii="Times New Roman" w:hAnsi="Times New Roman" w:eastAsia="黑体" w:cs="Times New Roman"/>
          <w:color w:val="000000"/>
          <w:kern w:val="0"/>
          <w:sz w:val="32"/>
          <w:szCs w:val="32"/>
          <w:highlight w:val="none"/>
          <w:shd w:val="clear" w:color="auto" w:fill="FFFFFF"/>
          <w:lang w:val="zh-CN"/>
        </w:rPr>
        <w:t>一、</w:t>
      </w:r>
      <w:r>
        <w:rPr>
          <w:rFonts w:hint="default" w:ascii="Times New Roman" w:hAnsi="Times New Roman" w:eastAsia="黑体" w:cs="Times New Roman"/>
          <w:color w:val="000000"/>
          <w:kern w:val="0"/>
          <w:sz w:val="32"/>
          <w:szCs w:val="32"/>
          <w:highlight w:val="none"/>
          <w:shd w:val="clear" w:color="auto" w:fill="FFFFFF"/>
          <w:lang w:val="zh-CN"/>
        </w:rPr>
        <w:t>部门（单位）基本情况</w:t>
      </w: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default" w:ascii="Times New Roman" w:hAnsi="Times New Roman" w:cs="Times New Roman"/>
          <w:szCs w:val="32"/>
        </w:rPr>
      </w:pPr>
      <w:r>
        <w:rPr>
          <w:rFonts w:hint="eastAsia" w:ascii="Times New Roman" w:hAnsi="Times New Roman" w:eastAsia="楷体_GB2312" w:cs="楷体_GB2312"/>
          <w:b/>
          <w:color w:val="auto"/>
          <w:sz w:val="32"/>
          <w:szCs w:val="32"/>
          <w:highlight w:val="none"/>
          <w:lang w:val="zh-CN"/>
        </w:rPr>
        <w:t>（一）</w:t>
      </w:r>
      <w:r>
        <w:rPr>
          <w:rFonts w:hint="default" w:ascii="Times New Roman" w:hAnsi="Times New Roman" w:eastAsia="楷体_GB2312" w:cs="楷体_GB2312"/>
          <w:b/>
          <w:color w:val="auto"/>
          <w:sz w:val="32"/>
          <w:szCs w:val="32"/>
          <w:highlight w:val="none"/>
          <w:lang w:val="zh-CN"/>
        </w:rPr>
        <w:t>机构组成。</w:t>
      </w:r>
      <w:r>
        <w:rPr>
          <w:rFonts w:hint="eastAsia" w:ascii="Times New Roman" w:hAnsi="Times New Roman" w:eastAsia="仿宋_GB2312" w:cs="仿宋_GB2312"/>
          <w:color w:val="auto"/>
          <w:kern w:val="2"/>
          <w:sz w:val="32"/>
          <w:szCs w:val="32"/>
          <w:highlight w:val="none"/>
          <w:lang w:val="en-US" w:eastAsia="zh-CN" w:bidi="ar-SA"/>
        </w:rPr>
        <w:t>***内设</w:t>
      </w:r>
      <w:r>
        <w:rPr>
          <w:rFonts w:hint="default" w:ascii="Times New Roman" w:hAnsi="Times New Roman" w:eastAsia="仿宋_GB2312" w:cs="仿宋_GB2312"/>
          <w:color w:val="auto"/>
          <w:kern w:val="2"/>
          <w:sz w:val="32"/>
          <w:szCs w:val="32"/>
          <w:highlight w:val="none"/>
          <w:lang w:val="en-US" w:eastAsia="zh-CN" w:bidi="ar-SA"/>
        </w:rPr>
        <w:t>处室</w:t>
      </w:r>
      <w:r>
        <w:rPr>
          <w:rFonts w:hint="eastAsia" w:ascii="Times New Roman" w:hAnsi="Times New Roman" w:eastAsia="仿宋_GB2312" w:cs="仿宋_GB2312"/>
          <w:color w:val="auto"/>
          <w:kern w:val="2"/>
          <w:sz w:val="32"/>
          <w:szCs w:val="32"/>
          <w:highlight w:val="none"/>
          <w:lang w:val="en-US" w:eastAsia="zh-CN" w:bidi="ar-SA"/>
        </w:rPr>
        <w:t>及下属单位情况</w:t>
      </w:r>
      <w:r>
        <w:rPr>
          <w:rFonts w:hint="default" w:ascii="Times New Roman" w:hAnsi="Times New Roman" w:eastAsia="仿宋_GB2312" w:cs="仿宋_GB2312"/>
          <w:color w:val="auto"/>
          <w:kern w:val="2"/>
          <w:sz w:val="32"/>
          <w:szCs w:val="32"/>
          <w:highlight w:val="none"/>
          <w:lang w:val="en-US" w:eastAsia="zh-CN" w:bidi="ar-SA"/>
        </w:rPr>
        <w:t>。</w:t>
      </w:r>
    </w:p>
    <w:p>
      <w:pPr>
        <w:keepNext w:val="0"/>
        <w:keepLines w:val="0"/>
        <w:pageBreakBefore w:val="0"/>
        <w:widowControl/>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default" w:ascii="Times New Roman" w:hAnsi="Times New Roman" w:eastAsia="楷体_GB2312" w:cs="Times New Roman"/>
          <w:b/>
          <w:bCs/>
          <w:color w:val="000000"/>
          <w:kern w:val="0"/>
          <w:szCs w:val="32"/>
          <w:highlight w:val="none"/>
          <w:shd w:val="clear" w:color="auto" w:fill="FFFFFF"/>
          <w:lang w:val="zh-CN"/>
        </w:rPr>
      </w:pPr>
      <w:r>
        <w:rPr>
          <w:rFonts w:hint="default" w:ascii="Times New Roman" w:hAnsi="Times New Roman" w:eastAsia="楷体_GB2312" w:cs="楷体_GB2312"/>
          <w:b/>
          <w:color w:val="auto"/>
          <w:sz w:val="32"/>
          <w:szCs w:val="32"/>
          <w:highlight w:val="none"/>
          <w:lang w:val="zh-CN"/>
        </w:rPr>
        <w:t>（二）机构职能</w:t>
      </w:r>
      <w:r>
        <w:rPr>
          <w:rFonts w:hint="eastAsia" w:ascii="Times New Roman" w:hAnsi="Times New Roman" w:eastAsia="楷体_GB2312" w:cs="楷体_GB2312"/>
          <w:b/>
          <w:color w:val="auto"/>
          <w:sz w:val="32"/>
          <w:szCs w:val="32"/>
          <w:highlight w:val="none"/>
          <w:lang w:val="zh-CN"/>
        </w:rPr>
        <w:t>。</w:t>
      </w:r>
      <w:r>
        <w:rPr>
          <w:rFonts w:hint="eastAsia" w:ascii="Times New Roman" w:hAnsi="Times New Roman" w:eastAsia="仿宋_GB2312" w:cs="仿宋_GB2312"/>
          <w:color w:val="auto"/>
          <w:kern w:val="2"/>
          <w:sz w:val="32"/>
          <w:szCs w:val="32"/>
          <w:highlight w:val="none"/>
          <w:lang w:val="en-US" w:eastAsia="zh-CN" w:bidi="ar-SA"/>
        </w:rPr>
        <w:t>***</w:t>
      </w:r>
      <w:r>
        <w:rPr>
          <w:rFonts w:hint="eastAsia" w:ascii="Times New Roman" w:hAnsi="Times New Roman" w:eastAsia="仿宋_GB2312" w:cs="Times New Roman"/>
          <w:sz w:val="32"/>
          <w:szCs w:val="32"/>
          <w:lang w:val="en-US" w:eastAsia="zh-CN"/>
        </w:rPr>
        <w:t>职责和功能。</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cs="Times New Roman"/>
          <w:szCs w:val="32"/>
        </w:rPr>
      </w:pPr>
      <w:r>
        <w:rPr>
          <w:rFonts w:hint="default" w:ascii="Times New Roman" w:hAnsi="Times New Roman" w:eastAsia="楷体_GB2312" w:cs="Times New Roman"/>
          <w:b/>
          <w:bCs/>
          <w:color w:val="000000"/>
          <w:kern w:val="0"/>
          <w:sz w:val="32"/>
          <w:szCs w:val="32"/>
          <w:highlight w:val="none"/>
          <w:shd w:val="clear" w:color="auto" w:fill="FFFFFF"/>
          <w:lang w:val="zh-CN"/>
        </w:rPr>
        <w:t>（</w:t>
      </w:r>
      <w:r>
        <w:rPr>
          <w:rFonts w:hint="eastAsia" w:ascii="Times New Roman" w:hAnsi="Times New Roman" w:eastAsia="楷体_GB2312" w:cs="Times New Roman"/>
          <w:b/>
          <w:bCs/>
          <w:color w:val="000000"/>
          <w:kern w:val="0"/>
          <w:sz w:val="32"/>
          <w:szCs w:val="32"/>
          <w:highlight w:val="none"/>
          <w:shd w:val="clear" w:color="auto" w:fill="FFFFFF"/>
          <w:lang w:val="zh-CN"/>
        </w:rPr>
        <w:t>三</w:t>
      </w:r>
      <w:r>
        <w:rPr>
          <w:rFonts w:hint="default" w:ascii="Times New Roman" w:hAnsi="Times New Roman" w:eastAsia="楷体_GB2312" w:cs="Times New Roman"/>
          <w:b/>
          <w:bCs/>
          <w:color w:val="000000"/>
          <w:kern w:val="0"/>
          <w:sz w:val="32"/>
          <w:szCs w:val="32"/>
          <w:highlight w:val="none"/>
          <w:shd w:val="clear" w:color="auto" w:fill="FFFFFF"/>
          <w:lang w:val="zh-CN"/>
        </w:rPr>
        <w:t>）人员概况</w:t>
      </w:r>
      <w:r>
        <w:rPr>
          <w:rFonts w:hint="eastAsia" w:ascii="Times New Roman" w:hAnsi="Times New Roman" w:eastAsia="楷体_GB2312" w:cs="Times New Roman"/>
          <w:b/>
          <w:bCs/>
          <w:color w:val="000000"/>
          <w:kern w:val="0"/>
          <w:sz w:val="32"/>
          <w:szCs w:val="32"/>
          <w:highlight w:val="none"/>
          <w:shd w:val="clear" w:color="auto" w:fill="FFFFFF"/>
          <w:lang w:val="zh-CN"/>
        </w:rPr>
        <w:t>。</w:t>
      </w:r>
      <w:r>
        <w:rPr>
          <w:rFonts w:hint="default" w:ascii="Times New Roman" w:hAnsi="Times New Roman" w:eastAsia="仿宋_GB2312" w:cs="Times New Roman"/>
          <w:sz w:val="32"/>
          <w:szCs w:val="32"/>
          <w:lang w:val="en-US" w:eastAsia="zh-CN"/>
        </w:rPr>
        <w:t>截至202</w:t>
      </w:r>
      <w:r>
        <w:rPr>
          <w:rFonts w:hint="eastAsia"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lang w:val="en-US" w:eastAsia="zh-CN"/>
        </w:rPr>
        <w:t>年末，</w:t>
      </w:r>
      <w:r>
        <w:rPr>
          <w:rFonts w:hint="eastAsia" w:ascii="Times New Roman" w:hAnsi="Times New Roman" w:eastAsia="仿宋_GB2312" w:cs="仿宋_GB2312"/>
          <w:color w:val="auto"/>
          <w:kern w:val="2"/>
          <w:sz w:val="32"/>
          <w:szCs w:val="32"/>
          <w:highlight w:val="none"/>
          <w:lang w:val="en-US" w:eastAsia="zh-CN" w:bidi="ar-SA"/>
        </w:rPr>
        <w:t>***</w:t>
      </w:r>
      <w:r>
        <w:rPr>
          <w:rFonts w:hint="default" w:ascii="Times New Roman" w:hAnsi="Times New Roman" w:eastAsia="仿宋_GB2312" w:cs="Times New Roman"/>
          <w:sz w:val="32"/>
          <w:szCs w:val="32"/>
          <w:lang w:val="en-US" w:eastAsia="zh-CN"/>
        </w:rPr>
        <w:t>及下属单位编制</w:t>
      </w:r>
      <w:r>
        <w:rPr>
          <w:rFonts w:hint="eastAsia" w:ascii="Times New Roman" w:hAnsi="Times New Roman" w:eastAsia="仿宋_GB2312" w:cs="Times New Roman"/>
          <w:sz w:val="32"/>
          <w:szCs w:val="32"/>
          <w:lang w:val="en-US" w:eastAsia="zh-CN"/>
        </w:rPr>
        <w:t>情况、</w:t>
      </w:r>
      <w:r>
        <w:rPr>
          <w:rFonts w:hint="default" w:ascii="Times New Roman" w:hAnsi="Times New Roman" w:eastAsia="仿宋_GB2312" w:cs="Times New Roman"/>
          <w:sz w:val="32"/>
          <w:szCs w:val="32"/>
          <w:lang w:val="en-US" w:eastAsia="zh-CN"/>
        </w:rPr>
        <w:t>年末实有人数</w:t>
      </w:r>
      <w:r>
        <w:rPr>
          <w:rFonts w:hint="eastAsia" w:ascii="Times New Roman" w:hAnsi="Times New Roman" w:eastAsia="仿宋_GB2312" w:cs="Times New Roman"/>
          <w:sz w:val="32"/>
          <w:szCs w:val="32"/>
          <w:lang w:val="en-US" w:eastAsia="zh-CN"/>
        </w:rPr>
        <w:t>情况。</w:t>
      </w: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Times New Roman" w:hAnsi="Times New Roman" w:eastAsia="黑体" w:cs="Times New Roman"/>
          <w:color w:val="000000"/>
          <w:kern w:val="0"/>
          <w:sz w:val="32"/>
          <w:szCs w:val="32"/>
          <w:highlight w:val="none"/>
          <w:shd w:val="clear" w:color="auto" w:fill="FFFFFF"/>
          <w:lang w:val="zh-CN" w:eastAsia="zh-CN"/>
        </w:rPr>
      </w:pPr>
      <w:r>
        <w:rPr>
          <w:rFonts w:hint="default" w:ascii="Times New Roman" w:hAnsi="Times New Roman" w:eastAsia="黑体" w:cs="Times New Roman"/>
          <w:color w:val="000000"/>
          <w:kern w:val="0"/>
          <w:sz w:val="32"/>
          <w:szCs w:val="32"/>
          <w:highlight w:val="none"/>
          <w:shd w:val="clear" w:color="auto" w:fill="FFFFFF"/>
          <w:lang w:val="zh-CN" w:eastAsia="zh-CN"/>
        </w:rPr>
        <w:t>二、部门资金收支情况</w:t>
      </w:r>
    </w:p>
    <w:p>
      <w:pPr>
        <w:keepNext w:val="0"/>
        <w:keepLines w:val="0"/>
        <w:pageBreakBefore w:val="0"/>
        <w:widowControl/>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default" w:ascii="Times New Roman" w:hAnsi="Times New Roman" w:eastAsia="楷体_GB2312" w:cs="Times New Roman"/>
          <w:b/>
          <w:bCs/>
          <w:color w:val="000000"/>
          <w:kern w:val="0"/>
          <w:szCs w:val="32"/>
          <w:highlight w:val="none"/>
          <w:shd w:val="clear" w:color="auto" w:fill="FFFFFF"/>
          <w:lang w:val="en-US"/>
        </w:rPr>
      </w:pPr>
      <w:r>
        <w:rPr>
          <w:rFonts w:hint="default" w:ascii="Times New Roman" w:hAnsi="Times New Roman" w:eastAsia="楷体_GB2312" w:cs="Times New Roman"/>
          <w:b/>
          <w:bCs/>
          <w:color w:val="000000"/>
          <w:kern w:val="0"/>
          <w:sz w:val="32"/>
          <w:szCs w:val="32"/>
          <w:highlight w:val="none"/>
          <w:shd w:val="clear" w:color="auto" w:fill="FFFFFF"/>
          <w:lang w:val="zh-CN"/>
        </w:rPr>
        <w:t>（一）</w:t>
      </w:r>
      <w:r>
        <w:rPr>
          <w:rFonts w:hint="eastAsia" w:ascii="Times New Roman" w:hAnsi="Times New Roman" w:eastAsia="楷体_GB2312" w:cs="Times New Roman"/>
          <w:b/>
          <w:bCs/>
          <w:color w:val="000000"/>
          <w:kern w:val="0"/>
          <w:sz w:val="32"/>
          <w:szCs w:val="32"/>
          <w:highlight w:val="none"/>
          <w:shd w:val="clear" w:color="auto" w:fill="FFFFFF"/>
          <w:lang w:val="zh-CN"/>
        </w:rPr>
        <w:t>收入情况</w:t>
      </w:r>
      <w:r>
        <w:rPr>
          <w:rFonts w:hint="default" w:ascii="Times New Roman" w:hAnsi="Times New Roman" w:eastAsia="楷体_GB2312" w:cs="Times New Roman"/>
          <w:b/>
          <w:bCs/>
          <w:color w:val="000000"/>
          <w:kern w:val="0"/>
          <w:sz w:val="32"/>
          <w:szCs w:val="32"/>
          <w:highlight w:val="none"/>
          <w:shd w:val="clear" w:color="auto" w:fill="FFFFFF"/>
          <w:lang w:val="zh-CN"/>
        </w:rPr>
        <w:t>。</w:t>
      </w:r>
      <w:r>
        <w:rPr>
          <w:rFonts w:hint="eastAsia" w:ascii="Times New Roman" w:hAnsi="Times New Roman" w:eastAsia="仿宋_GB2312" w:cs="仿宋_GB2312"/>
          <w:color w:val="auto"/>
          <w:kern w:val="2"/>
          <w:sz w:val="32"/>
          <w:szCs w:val="32"/>
          <w:highlight w:val="none"/>
          <w:lang w:val="en-US" w:eastAsia="zh-CN" w:bidi="ar-SA"/>
        </w:rPr>
        <w:t>***</w:t>
      </w:r>
      <w:r>
        <w:rPr>
          <w:rFonts w:hint="eastAsia" w:ascii="Times New Roman" w:hAnsi="Times New Roman" w:eastAsia="仿宋_GB2312" w:cs="Times New Roman"/>
          <w:sz w:val="32"/>
          <w:szCs w:val="32"/>
          <w:lang w:val="en-US" w:eastAsia="zh-CN"/>
        </w:rPr>
        <w:t>2024年年初预算收入情况、决算报表收入情况。</w:t>
      </w:r>
    </w:p>
    <w:p>
      <w:pPr>
        <w:keepNext w:val="0"/>
        <w:keepLines w:val="0"/>
        <w:pageBreakBefore w:val="0"/>
        <w:widowControl/>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default" w:ascii="Times New Roman" w:hAnsi="Times New Roman" w:cs="Times New Roman"/>
          <w:szCs w:val="32"/>
          <w:lang w:val="zh-CN" w:eastAsia="zh-CN"/>
        </w:rPr>
      </w:pPr>
      <w:r>
        <w:rPr>
          <w:rFonts w:hint="default" w:ascii="Times New Roman" w:hAnsi="Times New Roman" w:eastAsia="楷体_GB2312" w:cs="Times New Roman"/>
          <w:b/>
          <w:bCs/>
          <w:color w:val="000000"/>
          <w:kern w:val="0"/>
          <w:sz w:val="32"/>
          <w:szCs w:val="32"/>
          <w:highlight w:val="none"/>
          <w:shd w:val="clear" w:color="auto" w:fill="FFFFFF"/>
          <w:lang w:val="zh-CN"/>
        </w:rPr>
        <w:t>（</w:t>
      </w:r>
      <w:r>
        <w:rPr>
          <w:rFonts w:hint="eastAsia" w:ascii="Times New Roman" w:hAnsi="Times New Roman" w:eastAsia="楷体_GB2312" w:cs="Times New Roman"/>
          <w:b/>
          <w:bCs/>
          <w:color w:val="000000"/>
          <w:kern w:val="0"/>
          <w:sz w:val="32"/>
          <w:szCs w:val="32"/>
          <w:highlight w:val="none"/>
          <w:shd w:val="clear" w:color="auto" w:fill="FFFFFF"/>
          <w:lang w:val="zh-CN"/>
        </w:rPr>
        <w:t>二</w:t>
      </w:r>
      <w:r>
        <w:rPr>
          <w:rFonts w:hint="default" w:ascii="Times New Roman" w:hAnsi="Times New Roman" w:eastAsia="楷体_GB2312" w:cs="Times New Roman"/>
          <w:b/>
          <w:bCs/>
          <w:color w:val="000000"/>
          <w:kern w:val="0"/>
          <w:sz w:val="32"/>
          <w:szCs w:val="32"/>
          <w:highlight w:val="none"/>
          <w:shd w:val="clear" w:color="auto" w:fill="FFFFFF"/>
          <w:lang w:val="zh-CN"/>
        </w:rPr>
        <w:t>）</w:t>
      </w:r>
      <w:r>
        <w:rPr>
          <w:rFonts w:hint="eastAsia" w:ascii="Times New Roman" w:hAnsi="Times New Roman" w:eastAsia="楷体_GB2312" w:cs="Times New Roman"/>
          <w:b/>
          <w:bCs/>
          <w:color w:val="000000"/>
          <w:kern w:val="0"/>
          <w:sz w:val="32"/>
          <w:szCs w:val="32"/>
          <w:highlight w:val="none"/>
          <w:shd w:val="clear" w:color="auto" w:fill="FFFFFF"/>
          <w:lang w:val="zh-CN"/>
        </w:rPr>
        <w:t>支出情况</w:t>
      </w:r>
      <w:r>
        <w:rPr>
          <w:rFonts w:hint="default" w:ascii="Times New Roman" w:hAnsi="Times New Roman" w:eastAsia="楷体_GB2312" w:cs="Times New Roman"/>
          <w:b/>
          <w:bCs/>
          <w:color w:val="000000"/>
          <w:kern w:val="0"/>
          <w:sz w:val="32"/>
          <w:szCs w:val="32"/>
          <w:highlight w:val="none"/>
          <w:shd w:val="clear" w:color="auto" w:fill="FFFFFF"/>
          <w:lang w:val="zh-CN"/>
        </w:rPr>
        <w:t>。</w:t>
      </w:r>
      <w:r>
        <w:rPr>
          <w:rFonts w:hint="eastAsia" w:ascii="Times New Roman" w:hAnsi="Times New Roman" w:eastAsia="仿宋_GB2312" w:cs="仿宋_GB2312"/>
          <w:color w:val="auto"/>
          <w:kern w:val="2"/>
          <w:sz w:val="32"/>
          <w:szCs w:val="32"/>
          <w:highlight w:val="none"/>
          <w:lang w:val="en-US" w:eastAsia="zh-CN" w:bidi="ar-SA"/>
        </w:rPr>
        <w:t>***</w:t>
      </w:r>
      <w:r>
        <w:rPr>
          <w:rFonts w:hint="eastAsia" w:ascii="Times New Roman" w:hAnsi="Times New Roman" w:eastAsia="仿宋_GB2312" w:cs="Times New Roman"/>
          <w:sz w:val="32"/>
          <w:szCs w:val="32"/>
          <w:lang w:val="en-US" w:eastAsia="zh-CN"/>
        </w:rPr>
        <w:t>2024年年初预算支出情况、决算报表支出情况。</w:t>
      </w:r>
    </w:p>
    <w:p>
      <w:pPr>
        <w:keepNext w:val="0"/>
        <w:keepLines w:val="0"/>
        <w:pageBreakBefore w:val="0"/>
        <w:widowControl/>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default" w:ascii="Times New Roman" w:hAnsi="Times New Roman" w:eastAsia="仿宋_GB2312" w:cs="Times New Roman"/>
          <w:b w:val="0"/>
          <w:bCs w:val="0"/>
          <w:color w:val="000000"/>
          <w:kern w:val="0"/>
          <w:szCs w:val="32"/>
          <w:highlight w:val="none"/>
          <w:shd w:val="clear" w:color="auto" w:fill="FFFFFF"/>
          <w:lang w:val="zh-CN" w:eastAsia="zh-CN"/>
        </w:rPr>
      </w:pPr>
      <w:r>
        <w:rPr>
          <w:rFonts w:hint="default" w:ascii="Times New Roman" w:hAnsi="Times New Roman" w:eastAsia="楷体_GB2312" w:cs="Times New Roman"/>
          <w:b/>
          <w:bCs/>
          <w:color w:val="000000"/>
          <w:kern w:val="0"/>
          <w:sz w:val="32"/>
          <w:szCs w:val="32"/>
          <w:highlight w:val="none"/>
          <w:shd w:val="clear" w:color="auto" w:fill="FFFFFF"/>
          <w:lang w:val="zh-CN"/>
        </w:rPr>
        <w:t>（</w:t>
      </w:r>
      <w:r>
        <w:rPr>
          <w:rFonts w:hint="eastAsia" w:ascii="Times New Roman" w:hAnsi="Times New Roman" w:eastAsia="楷体_GB2312" w:cs="Times New Roman"/>
          <w:b/>
          <w:bCs/>
          <w:color w:val="000000"/>
          <w:kern w:val="0"/>
          <w:sz w:val="32"/>
          <w:szCs w:val="32"/>
          <w:highlight w:val="none"/>
          <w:shd w:val="clear" w:color="auto" w:fill="FFFFFF"/>
          <w:lang w:val="zh-CN"/>
        </w:rPr>
        <w:t>三</w:t>
      </w:r>
      <w:r>
        <w:rPr>
          <w:rFonts w:hint="default" w:ascii="Times New Roman" w:hAnsi="Times New Roman" w:eastAsia="楷体_GB2312" w:cs="Times New Roman"/>
          <w:b/>
          <w:bCs/>
          <w:color w:val="000000"/>
          <w:kern w:val="0"/>
          <w:sz w:val="32"/>
          <w:szCs w:val="32"/>
          <w:highlight w:val="none"/>
          <w:shd w:val="clear" w:color="auto" w:fill="FFFFFF"/>
          <w:lang w:val="zh-CN"/>
        </w:rPr>
        <w:t>）结余分配和结转结余情况</w:t>
      </w:r>
      <w:r>
        <w:rPr>
          <w:rFonts w:hint="eastAsia" w:ascii="Times New Roman" w:hAnsi="Times New Roman" w:eastAsia="楷体_GB2312" w:cs="Times New Roman"/>
          <w:b/>
          <w:bCs/>
          <w:color w:val="000000"/>
          <w:kern w:val="0"/>
          <w:sz w:val="32"/>
          <w:szCs w:val="32"/>
          <w:highlight w:val="none"/>
          <w:shd w:val="clear" w:color="auto" w:fill="FFFFFF"/>
          <w:lang w:val="zh-CN" w:eastAsia="zh-CN"/>
        </w:rPr>
        <w:t>。</w:t>
      </w:r>
      <w:r>
        <w:rPr>
          <w:rFonts w:hint="eastAsia" w:ascii="Times New Roman" w:hAnsi="Times New Roman" w:eastAsia="仿宋_GB2312" w:cs="仿宋_GB2312"/>
          <w:color w:val="auto"/>
          <w:kern w:val="2"/>
          <w:sz w:val="32"/>
          <w:szCs w:val="32"/>
          <w:highlight w:val="none"/>
          <w:lang w:val="en-US" w:eastAsia="zh-CN" w:bidi="ar-SA"/>
        </w:rPr>
        <w:t>***</w:t>
      </w:r>
      <w:r>
        <w:rPr>
          <w:rFonts w:hint="eastAsia" w:ascii="Times New Roman" w:hAnsi="Times New Roman" w:eastAsia="仿宋_GB2312" w:cs="Times New Roman"/>
          <w:sz w:val="32"/>
          <w:szCs w:val="32"/>
          <w:lang w:val="en-US" w:eastAsia="zh-CN"/>
        </w:rPr>
        <w:t>2024年决算报表</w:t>
      </w:r>
      <w:r>
        <w:rPr>
          <w:rFonts w:hint="default" w:ascii="Times New Roman" w:hAnsi="Times New Roman" w:eastAsia="仿宋_GB2312" w:cs="Times New Roman"/>
          <w:sz w:val="32"/>
          <w:szCs w:val="32"/>
          <w:lang w:val="en-US" w:eastAsia="zh-CN"/>
        </w:rPr>
        <w:t>结转结余</w:t>
      </w:r>
      <w:r>
        <w:rPr>
          <w:rFonts w:hint="eastAsia" w:ascii="Times New Roman" w:hAnsi="Times New Roman" w:eastAsia="仿宋_GB2312" w:cs="Times New Roman"/>
          <w:sz w:val="32"/>
          <w:szCs w:val="32"/>
          <w:lang w:val="en-US" w:eastAsia="zh-CN"/>
        </w:rPr>
        <w:t>情况</w:t>
      </w:r>
      <w:r>
        <w:rPr>
          <w:rFonts w:hint="default" w:ascii="Times New Roman" w:hAnsi="Times New Roman" w:eastAsia="仿宋_GB2312" w:cs="Times New Roman"/>
          <w:sz w:val="32"/>
          <w:szCs w:val="32"/>
          <w:lang w:val="en-US" w:eastAsia="zh-CN"/>
        </w:rPr>
        <w:t>。</w:t>
      </w: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Times New Roman" w:hAnsi="Times New Roman" w:eastAsia="黑体" w:cs="Times New Roman"/>
          <w:color w:val="000000"/>
          <w:kern w:val="0"/>
          <w:sz w:val="32"/>
          <w:szCs w:val="32"/>
          <w:highlight w:val="none"/>
          <w:shd w:val="clear" w:color="auto" w:fill="FFFFFF"/>
          <w:lang w:val="zh-CN" w:eastAsia="zh-CN"/>
        </w:rPr>
      </w:pPr>
      <w:r>
        <w:rPr>
          <w:rFonts w:hint="default" w:ascii="Times New Roman" w:hAnsi="Times New Roman" w:eastAsia="黑体" w:cs="Times New Roman"/>
          <w:color w:val="000000"/>
          <w:kern w:val="0"/>
          <w:sz w:val="32"/>
          <w:szCs w:val="32"/>
          <w:highlight w:val="none"/>
          <w:shd w:val="clear" w:color="auto" w:fill="FFFFFF"/>
          <w:lang w:val="zh-CN" w:eastAsia="zh-CN"/>
        </w:rPr>
        <w:t>三、部门预算绩效分析</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default" w:ascii="Times New Roman" w:hAnsi="Times New Roman" w:eastAsia="仿宋_GB2312" w:cs="仿宋_GB2312"/>
          <w:color w:val="auto"/>
          <w:kern w:val="2"/>
          <w:sz w:val="32"/>
          <w:szCs w:val="32"/>
          <w:highlight w:val="none"/>
          <w:lang w:val="zh-CN" w:eastAsia="zh-CN" w:bidi="ar-SA"/>
        </w:rPr>
      </w:pPr>
      <w:r>
        <w:rPr>
          <w:rFonts w:hint="default" w:ascii="Times New Roman" w:hAnsi="Times New Roman" w:eastAsia="楷体_GB2312" w:cs="Times New Roman"/>
          <w:b/>
          <w:bCs/>
          <w:color w:val="000000"/>
          <w:kern w:val="0"/>
          <w:sz w:val="32"/>
          <w:szCs w:val="32"/>
          <w:highlight w:val="none"/>
          <w:shd w:val="clear" w:color="auto" w:fill="FFFFFF"/>
          <w:lang w:val="zh-CN"/>
        </w:rPr>
        <w:t>（一）</w:t>
      </w:r>
      <w:r>
        <w:rPr>
          <w:rFonts w:hint="eastAsia" w:ascii="Times New Roman" w:hAnsi="Times New Roman" w:eastAsia="楷体_GB2312" w:cs="Times New Roman"/>
          <w:b/>
          <w:bCs/>
          <w:color w:val="000000"/>
          <w:kern w:val="0"/>
          <w:sz w:val="32"/>
          <w:szCs w:val="32"/>
          <w:highlight w:val="none"/>
          <w:shd w:val="clear" w:color="auto" w:fill="FFFFFF"/>
          <w:lang w:val="zh-CN"/>
        </w:rPr>
        <w:t>部门预算</w:t>
      </w:r>
      <w:r>
        <w:rPr>
          <w:rFonts w:hint="default" w:ascii="Times New Roman" w:hAnsi="Times New Roman" w:eastAsia="楷体_GB2312" w:cs="Times New Roman"/>
          <w:b/>
          <w:bCs/>
          <w:color w:val="000000"/>
          <w:kern w:val="0"/>
          <w:sz w:val="32"/>
          <w:szCs w:val="32"/>
          <w:highlight w:val="none"/>
          <w:shd w:val="clear" w:color="auto" w:fill="FFFFFF"/>
          <w:lang w:val="zh-CN"/>
        </w:rPr>
        <w:t>总体绩效分析。</w:t>
      </w:r>
      <w:r>
        <w:rPr>
          <w:rFonts w:hint="default" w:ascii="Times New Roman" w:hAnsi="Times New Roman" w:eastAsia="仿宋_GB2312" w:cs="仿宋_GB2312"/>
          <w:color w:val="auto"/>
          <w:kern w:val="2"/>
          <w:sz w:val="32"/>
          <w:szCs w:val="32"/>
          <w:highlight w:val="none"/>
          <w:lang w:val="zh-CN" w:eastAsia="zh-CN" w:bidi="ar-SA"/>
        </w:rPr>
        <w:t>根据部门预算绩效评价指标体系</w:t>
      </w:r>
      <w:r>
        <w:rPr>
          <w:rFonts w:hint="eastAsia" w:ascii="Times New Roman" w:hAnsi="Times New Roman" w:eastAsia="仿宋_GB2312" w:cs="仿宋_GB2312"/>
          <w:color w:val="auto"/>
          <w:kern w:val="2"/>
          <w:sz w:val="32"/>
          <w:szCs w:val="32"/>
          <w:highlight w:val="none"/>
          <w:lang w:val="zh-CN" w:eastAsia="zh-CN" w:bidi="ar-SA"/>
        </w:rPr>
        <w:t>“</w:t>
      </w:r>
      <w:r>
        <w:rPr>
          <w:rFonts w:hint="default" w:ascii="Times New Roman" w:hAnsi="Times New Roman" w:eastAsia="仿宋_GB2312" w:cs="仿宋_GB2312"/>
          <w:color w:val="auto"/>
          <w:kern w:val="2"/>
          <w:sz w:val="32"/>
          <w:szCs w:val="32"/>
          <w:highlight w:val="none"/>
          <w:lang w:val="zh-CN" w:eastAsia="zh-CN" w:bidi="ar-SA"/>
        </w:rPr>
        <w:t>总体绩效</w:t>
      </w:r>
      <w:r>
        <w:rPr>
          <w:rFonts w:hint="eastAsia" w:ascii="Times New Roman" w:hAnsi="Times New Roman" w:eastAsia="仿宋_GB2312" w:cs="仿宋_GB2312"/>
          <w:color w:val="auto"/>
          <w:kern w:val="2"/>
          <w:sz w:val="32"/>
          <w:szCs w:val="32"/>
          <w:highlight w:val="none"/>
          <w:lang w:val="zh-CN" w:eastAsia="zh-CN" w:bidi="ar-SA"/>
        </w:rPr>
        <w:t>”</w:t>
      </w:r>
      <w:r>
        <w:rPr>
          <w:rFonts w:hint="default" w:ascii="Times New Roman" w:hAnsi="Times New Roman" w:eastAsia="仿宋_GB2312" w:cs="仿宋_GB2312"/>
          <w:color w:val="auto"/>
          <w:kern w:val="2"/>
          <w:sz w:val="32"/>
          <w:szCs w:val="32"/>
          <w:highlight w:val="none"/>
          <w:lang w:val="zh-CN" w:eastAsia="zh-CN" w:bidi="ar-SA"/>
        </w:rPr>
        <w:t>涉及</w:t>
      </w:r>
      <w:r>
        <w:rPr>
          <w:rFonts w:hint="eastAsia" w:ascii="Times New Roman" w:hAnsi="Times New Roman" w:eastAsia="仿宋_GB2312" w:cs="仿宋_GB2312"/>
          <w:color w:val="auto"/>
          <w:kern w:val="2"/>
          <w:sz w:val="32"/>
          <w:szCs w:val="32"/>
          <w:highlight w:val="none"/>
          <w:lang w:val="zh-CN" w:eastAsia="zh-CN" w:bidi="ar-SA"/>
        </w:rPr>
        <w:t>二、三级</w:t>
      </w:r>
      <w:r>
        <w:rPr>
          <w:rFonts w:hint="default" w:ascii="Times New Roman" w:hAnsi="Times New Roman" w:eastAsia="仿宋_GB2312" w:cs="仿宋_GB2312"/>
          <w:color w:val="auto"/>
          <w:kern w:val="2"/>
          <w:sz w:val="32"/>
          <w:szCs w:val="32"/>
          <w:highlight w:val="none"/>
          <w:lang w:val="zh-CN" w:eastAsia="zh-CN" w:bidi="ar-SA"/>
        </w:rPr>
        <w:t>指标进行</w:t>
      </w:r>
      <w:r>
        <w:rPr>
          <w:rFonts w:hint="eastAsia" w:ascii="Times New Roman" w:hAnsi="Times New Roman" w:eastAsia="仿宋_GB2312" w:cs="仿宋_GB2312"/>
          <w:color w:val="auto"/>
          <w:kern w:val="2"/>
          <w:sz w:val="32"/>
          <w:szCs w:val="32"/>
          <w:highlight w:val="none"/>
          <w:lang w:val="zh-CN" w:eastAsia="zh-CN" w:bidi="ar-SA"/>
        </w:rPr>
        <w:t>逐项</w:t>
      </w:r>
      <w:r>
        <w:rPr>
          <w:rFonts w:hint="default" w:ascii="Times New Roman" w:hAnsi="Times New Roman" w:eastAsia="仿宋_GB2312" w:cs="仿宋_GB2312"/>
          <w:color w:val="auto"/>
          <w:kern w:val="2"/>
          <w:sz w:val="32"/>
          <w:szCs w:val="32"/>
          <w:highlight w:val="none"/>
          <w:lang w:val="zh-CN" w:eastAsia="zh-CN" w:bidi="ar-SA"/>
        </w:rPr>
        <w:t>绩效分析</w:t>
      </w:r>
      <w:r>
        <w:rPr>
          <w:rFonts w:hint="eastAsia" w:ascii="Times New Roman" w:hAnsi="Times New Roman" w:eastAsia="仿宋_GB2312" w:cs="仿宋_GB2312"/>
          <w:color w:val="auto"/>
          <w:kern w:val="2"/>
          <w:sz w:val="32"/>
          <w:szCs w:val="32"/>
          <w:highlight w:val="none"/>
          <w:lang w:val="zh-CN" w:eastAsia="zh-CN" w:bidi="ar-SA"/>
        </w:rPr>
        <w:t>并评分</w:t>
      </w:r>
      <w:r>
        <w:rPr>
          <w:rFonts w:hint="default" w:ascii="Times New Roman" w:hAnsi="Times New Roman" w:eastAsia="仿宋_GB2312" w:cs="仿宋_GB2312"/>
          <w:color w:val="auto"/>
          <w:kern w:val="2"/>
          <w:sz w:val="32"/>
          <w:szCs w:val="32"/>
          <w:highlight w:val="none"/>
          <w:lang w:val="zh-CN" w:eastAsia="zh-CN" w:bidi="ar-SA"/>
        </w:rPr>
        <w:t>，依次包括履职效能、预算管理、财务管理、资产管理、采购管理等情况。</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Times New Roman" w:hAnsi="Times New Roman" w:eastAsia="仿宋_GB2312" w:cs="仿宋_GB2312"/>
          <w:color w:val="auto"/>
          <w:kern w:val="2"/>
          <w:sz w:val="32"/>
          <w:szCs w:val="32"/>
          <w:highlight w:val="none"/>
          <w:lang w:val="zh-CN" w:eastAsia="zh-CN" w:bidi="ar-SA"/>
        </w:rPr>
      </w:pPr>
      <w:r>
        <w:rPr>
          <w:rFonts w:hint="eastAsia" w:ascii="Times New Roman" w:hAnsi="Times New Roman" w:eastAsia="仿宋_GB2312" w:cs="仿宋_GB2312"/>
          <w:color w:val="auto"/>
          <w:kern w:val="2"/>
          <w:sz w:val="32"/>
          <w:szCs w:val="32"/>
          <w:highlight w:val="none"/>
          <w:lang w:val="en-US" w:eastAsia="zh-CN" w:bidi="ar-SA"/>
        </w:rPr>
        <w:t>1.</w:t>
      </w:r>
      <w:r>
        <w:rPr>
          <w:rFonts w:hint="eastAsia" w:ascii="Times New Roman" w:hAnsi="Times New Roman" w:eastAsia="仿宋_GB2312" w:cs="仿宋_GB2312"/>
          <w:color w:val="auto"/>
          <w:kern w:val="2"/>
          <w:sz w:val="32"/>
          <w:szCs w:val="32"/>
          <w:highlight w:val="none"/>
          <w:lang w:val="zh-CN" w:eastAsia="zh-CN" w:bidi="ar-SA"/>
        </w:rPr>
        <w:t>履职效能。部门整体绩效目标中选定3-5个核心职能目标，对职能目标完成效果情况绩效分析。</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Times New Roman" w:hAnsi="Times New Roman" w:eastAsia="仿宋_GB2312" w:cs="仿宋_GB2312"/>
          <w:color w:val="auto"/>
          <w:kern w:val="2"/>
          <w:sz w:val="32"/>
          <w:szCs w:val="32"/>
          <w:highlight w:val="none"/>
          <w:lang w:val="zh-CN" w:eastAsia="zh-CN" w:bidi="ar-SA"/>
        </w:rPr>
      </w:pPr>
      <w:r>
        <w:rPr>
          <w:rFonts w:hint="eastAsia" w:ascii="Times New Roman" w:hAnsi="Times New Roman" w:eastAsia="仿宋_GB2312" w:cs="仿宋_GB2312"/>
          <w:color w:val="auto"/>
          <w:kern w:val="2"/>
          <w:sz w:val="32"/>
          <w:szCs w:val="32"/>
          <w:highlight w:val="none"/>
          <w:lang w:val="en-US" w:eastAsia="zh-CN" w:bidi="ar-SA"/>
        </w:rPr>
        <w:t>2.</w:t>
      </w:r>
      <w:r>
        <w:rPr>
          <w:rFonts w:hint="default" w:ascii="Times New Roman" w:hAnsi="Times New Roman" w:eastAsia="仿宋_GB2312" w:cs="仿宋_GB2312"/>
          <w:color w:val="auto"/>
          <w:kern w:val="2"/>
          <w:sz w:val="32"/>
          <w:szCs w:val="32"/>
          <w:highlight w:val="none"/>
          <w:lang w:val="zh-CN" w:eastAsia="zh-CN" w:bidi="ar-SA"/>
        </w:rPr>
        <w:t>预算管理</w:t>
      </w:r>
      <w:r>
        <w:rPr>
          <w:rFonts w:hint="eastAsia" w:ascii="Times New Roman" w:hAnsi="Times New Roman" w:eastAsia="仿宋_GB2312" w:cs="仿宋_GB2312"/>
          <w:color w:val="auto"/>
          <w:kern w:val="2"/>
          <w:sz w:val="32"/>
          <w:szCs w:val="32"/>
          <w:highlight w:val="none"/>
          <w:lang w:val="zh-CN" w:eastAsia="zh-CN" w:bidi="ar-SA"/>
        </w:rPr>
        <w:t>。围绕预算编制质量、单位收入统筹、支出执行进度、预算年终结余、严控一般性支出</w:t>
      </w:r>
      <w:r>
        <w:rPr>
          <w:rFonts w:hint="default" w:ascii="Times New Roman" w:hAnsi="Times New Roman" w:eastAsia="仿宋_GB2312" w:cs="仿宋_GB2312"/>
          <w:color w:val="auto"/>
          <w:kern w:val="2"/>
          <w:sz w:val="32"/>
          <w:szCs w:val="32"/>
          <w:highlight w:val="none"/>
          <w:lang w:val="zh-CN" w:eastAsia="zh-CN" w:bidi="ar-SA"/>
        </w:rPr>
        <w:t>进行绩效分析</w:t>
      </w:r>
      <w:r>
        <w:rPr>
          <w:rFonts w:hint="eastAsia" w:ascii="Times New Roman" w:hAnsi="Times New Roman" w:eastAsia="仿宋_GB2312" w:cs="仿宋_GB2312"/>
          <w:color w:val="auto"/>
          <w:kern w:val="2"/>
          <w:sz w:val="32"/>
          <w:szCs w:val="32"/>
          <w:highlight w:val="none"/>
          <w:lang w:val="zh-CN" w:eastAsia="zh-CN" w:bidi="ar-SA"/>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Times New Roman" w:hAnsi="Times New Roman" w:eastAsia="仿宋_GB2312" w:cs="仿宋_GB2312"/>
          <w:color w:val="auto"/>
          <w:kern w:val="2"/>
          <w:sz w:val="32"/>
          <w:szCs w:val="32"/>
          <w:highlight w:val="none"/>
          <w:lang w:val="zh-CN" w:eastAsia="zh-CN" w:bidi="ar-SA"/>
        </w:rPr>
      </w:pPr>
      <w:r>
        <w:rPr>
          <w:rFonts w:hint="eastAsia" w:ascii="Times New Roman" w:hAnsi="Times New Roman" w:eastAsia="仿宋_GB2312" w:cs="仿宋_GB2312"/>
          <w:color w:val="auto"/>
          <w:kern w:val="2"/>
          <w:sz w:val="32"/>
          <w:szCs w:val="32"/>
          <w:highlight w:val="none"/>
          <w:lang w:val="en-US" w:eastAsia="zh-CN" w:bidi="ar-SA"/>
        </w:rPr>
        <w:t>3.</w:t>
      </w:r>
      <w:r>
        <w:rPr>
          <w:rFonts w:hint="default" w:ascii="Times New Roman" w:hAnsi="Times New Roman" w:eastAsia="仿宋_GB2312" w:cs="仿宋_GB2312"/>
          <w:color w:val="auto"/>
          <w:kern w:val="2"/>
          <w:sz w:val="32"/>
          <w:szCs w:val="32"/>
          <w:highlight w:val="none"/>
          <w:lang w:val="zh-CN" w:eastAsia="zh-CN" w:bidi="ar-SA"/>
        </w:rPr>
        <w:t>财务管理</w:t>
      </w:r>
      <w:r>
        <w:rPr>
          <w:rFonts w:hint="eastAsia" w:ascii="Times New Roman" w:hAnsi="Times New Roman" w:eastAsia="仿宋_GB2312" w:cs="仿宋_GB2312"/>
          <w:color w:val="auto"/>
          <w:kern w:val="2"/>
          <w:sz w:val="32"/>
          <w:szCs w:val="32"/>
          <w:highlight w:val="none"/>
          <w:lang w:val="zh-CN" w:eastAsia="zh-CN" w:bidi="ar-SA"/>
        </w:rPr>
        <w:t>。围绕财务管理制度、财务岗位设置、资金使用规范</w:t>
      </w:r>
      <w:r>
        <w:rPr>
          <w:rFonts w:hint="default" w:ascii="Times New Roman" w:hAnsi="Times New Roman" w:eastAsia="仿宋_GB2312" w:cs="仿宋_GB2312"/>
          <w:color w:val="auto"/>
          <w:kern w:val="2"/>
          <w:sz w:val="32"/>
          <w:szCs w:val="32"/>
          <w:highlight w:val="none"/>
          <w:lang w:val="zh-CN" w:eastAsia="zh-CN" w:bidi="ar-SA"/>
        </w:rPr>
        <w:t>进行绩效分析</w:t>
      </w:r>
      <w:r>
        <w:rPr>
          <w:rFonts w:hint="eastAsia" w:ascii="Times New Roman" w:hAnsi="Times New Roman" w:eastAsia="仿宋_GB2312" w:cs="仿宋_GB2312"/>
          <w:color w:val="auto"/>
          <w:kern w:val="2"/>
          <w:sz w:val="32"/>
          <w:szCs w:val="32"/>
          <w:highlight w:val="none"/>
          <w:lang w:val="zh-CN" w:eastAsia="zh-CN" w:bidi="ar-SA"/>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Times New Roman" w:hAnsi="Times New Roman" w:eastAsia="仿宋_GB2312" w:cs="仿宋_GB2312"/>
          <w:color w:val="auto"/>
          <w:kern w:val="2"/>
          <w:sz w:val="32"/>
          <w:szCs w:val="32"/>
          <w:highlight w:val="none"/>
          <w:lang w:val="zh-CN" w:eastAsia="zh-CN" w:bidi="ar-SA"/>
        </w:rPr>
      </w:pPr>
      <w:r>
        <w:rPr>
          <w:rFonts w:hint="eastAsia" w:ascii="Times New Roman" w:hAnsi="Times New Roman" w:eastAsia="仿宋_GB2312" w:cs="仿宋_GB2312"/>
          <w:color w:val="auto"/>
          <w:kern w:val="2"/>
          <w:sz w:val="32"/>
          <w:szCs w:val="32"/>
          <w:highlight w:val="none"/>
          <w:lang w:val="en-US" w:eastAsia="zh-CN" w:bidi="ar-SA"/>
        </w:rPr>
        <w:t>4.</w:t>
      </w:r>
      <w:r>
        <w:rPr>
          <w:rFonts w:hint="default" w:ascii="Times New Roman" w:hAnsi="Times New Roman" w:eastAsia="仿宋_GB2312" w:cs="仿宋_GB2312"/>
          <w:color w:val="auto"/>
          <w:kern w:val="2"/>
          <w:sz w:val="32"/>
          <w:szCs w:val="32"/>
          <w:highlight w:val="none"/>
          <w:lang w:val="zh-CN" w:eastAsia="zh-CN" w:bidi="ar-SA"/>
        </w:rPr>
        <w:t>资产管理</w:t>
      </w:r>
      <w:r>
        <w:rPr>
          <w:rFonts w:hint="eastAsia" w:ascii="Times New Roman" w:hAnsi="Times New Roman" w:eastAsia="仿宋_GB2312" w:cs="仿宋_GB2312"/>
          <w:color w:val="auto"/>
          <w:kern w:val="2"/>
          <w:sz w:val="32"/>
          <w:szCs w:val="32"/>
          <w:highlight w:val="none"/>
          <w:lang w:val="zh-CN" w:eastAsia="zh-CN" w:bidi="ar-SA"/>
        </w:rPr>
        <w:t>。围绕人均资产变化率、资产利用率、资产盘活率</w:t>
      </w:r>
      <w:r>
        <w:rPr>
          <w:rFonts w:hint="default" w:ascii="Times New Roman" w:hAnsi="Times New Roman" w:eastAsia="仿宋_GB2312" w:cs="仿宋_GB2312"/>
          <w:color w:val="auto"/>
          <w:kern w:val="2"/>
          <w:sz w:val="32"/>
          <w:szCs w:val="32"/>
          <w:highlight w:val="none"/>
          <w:lang w:val="zh-CN" w:eastAsia="zh-CN" w:bidi="ar-SA"/>
        </w:rPr>
        <w:t>进行绩效分析</w:t>
      </w:r>
      <w:r>
        <w:rPr>
          <w:rFonts w:hint="eastAsia" w:ascii="Times New Roman" w:hAnsi="Times New Roman" w:eastAsia="仿宋_GB2312" w:cs="仿宋_GB2312"/>
          <w:color w:val="auto"/>
          <w:kern w:val="2"/>
          <w:sz w:val="32"/>
          <w:szCs w:val="32"/>
          <w:highlight w:val="none"/>
          <w:lang w:val="zh-CN" w:eastAsia="zh-CN" w:bidi="ar-SA"/>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Times New Roman" w:hAnsi="Times New Roman" w:eastAsia="仿宋_GB2312" w:cs="仿宋_GB2312"/>
          <w:color w:val="auto"/>
          <w:kern w:val="2"/>
          <w:sz w:val="32"/>
          <w:szCs w:val="32"/>
          <w:highlight w:val="none"/>
          <w:lang w:val="zh-CN" w:eastAsia="zh-CN" w:bidi="ar-SA"/>
        </w:rPr>
      </w:pPr>
      <w:r>
        <w:rPr>
          <w:rFonts w:hint="eastAsia" w:ascii="Times New Roman" w:hAnsi="Times New Roman" w:eastAsia="仿宋_GB2312" w:cs="仿宋_GB2312"/>
          <w:color w:val="auto"/>
          <w:kern w:val="2"/>
          <w:sz w:val="32"/>
          <w:szCs w:val="32"/>
          <w:highlight w:val="none"/>
          <w:lang w:val="en-US" w:eastAsia="zh-CN" w:bidi="ar-SA"/>
        </w:rPr>
        <w:t>5.</w:t>
      </w:r>
      <w:r>
        <w:rPr>
          <w:rFonts w:hint="default" w:ascii="Times New Roman" w:hAnsi="Times New Roman" w:eastAsia="仿宋_GB2312" w:cs="仿宋_GB2312"/>
          <w:color w:val="auto"/>
          <w:kern w:val="2"/>
          <w:sz w:val="32"/>
          <w:szCs w:val="32"/>
          <w:highlight w:val="none"/>
          <w:lang w:val="zh-CN" w:eastAsia="zh-CN" w:bidi="ar-SA"/>
        </w:rPr>
        <w:t>采购管理</w:t>
      </w:r>
      <w:r>
        <w:rPr>
          <w:rFonts w:hint="eastAsia" w:ascii="Times New Roman" w:hAnsi="Times New Roman" w:eastAsia="仿宋_GB2312" w:cs="仿宋_GB2312"/>
          <w:color w:val="auto"/>
          <w:kern w:val="2"/>
          <w:sz w:val="32"/>
          <w:szCs w:val="32"/>
          <w:highlight w:val="none"/>
          <w:lang w:val="zh-CN" w:eastAsia="zh-CN" w:bidi="ar-SA"/>
        </w:rPr>
        <w:t>。围绕支持中小企业发展、采购执行率</w:t>
      </w:r>
      <w:r>
        <w:rPr>
          <w:rFonts w:hint="default" w:ascii="Times New Roman" w:hAnsi="Times New Roman" w:eastAsia="仿宋_GB2312" w:cs="仿宋_GB2312"/>
          <w:color w:val="auto"/>
          <w:kern w:val="2"/>
          <w:sz w:val="32"/>
          <w:szCs w:val="32"/>
          <w:highlight w:val="none"/>
          <w:lang w:val="zh-CN" w:eastAsia="zh-CN" w:bidi="ar-SA"/>
        </w:rPr>
        <w:t>进行绩效分析</w:t>
      </w:r>
      <w:r>
        <w:rPr>
          <w:rFonts w:hint="eastAsia" w:ascii="Times New Roman" w:hAnsi="Times New Roman" w:eastAsia="仿宋_GB2312" w:cs="仿宋_GB2312"/>
          <w:color w:val="auto"/>
          <w:kern w:val="2"/>
          <w:sz w:val="32"/>
          <w:szCs w:val="32"/>
          <w:highlight w:val="none"/>
          <w:lang w:val="zh-CN" w:eastAsia="zh-CN" w:bidi="ar-SA"/>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3" w:firstLineChars="200"/>
        <w:contextualSpacing/>
        <w:jc w:val="both"/>
        <w:textAlignment w:val="auto"/>
        <w:outlineLvl w:val="9"/>
        <w:rPr>
          <w:rFonts w:hint="default" w:ascii="Times New Roman" w:hAnsi="Times New Roman" w:eastAsia="仿宋_GB2312" w:cs="仿宋_GB2312"/>
          <w:color w:val="auto"/>
          <w:kern w:val="2"/>
          <w:sz w:val="32"/>
          <w:szCs w:val="32"/>
          <w:highlight w:val="none"/>
          <w:lang w:val="en-US" w:eastAsia="zh-CN" w:bidi="ar-SA"/>
        </w:rPr>
      </w:pPr>
      <w:r>
        <w:rPr>
          <w:rFonts w:hint="default" w:ascii="Times New Roman" w:hAnsi="Times New Roman" w:eastAsia="楷体_GB2312" w:cs="Times New Roman"/>
          <w:b/>
          <w:bCs/>
          <w:color w:val="000000"/>
          <w:kern w:val="0"/>
          <w:sz w:val="32"/>
          <w:szCs w:val="32"/>
          <w:highlight w:val="none"/>
          <w:shd w:val="clear" w:color="auto" w:fill="FFFFFF"/>
          <w:lang w:val="zh-CN"/>
        </w:rPr>
        <w:t>（二）部门预算项目绩效分析。</w:t>
      </w:r>
      <w:r>
        <w:rPr>
          <w:rFonts w:hint="eastAsia" w:ascii="Times New Roman" w:hAnsi="Times New Roman" w:eastAsia="仿宋_GB2312" w:cs="仿宋_GB2312"/>
          <w:color w:val="auto"/>
          <w:kern w:val="2"/>
          <w:sz w:val="32"/>
          <w:szCs w:val="32"/>
          <w:highlight w:val="none"/>
          <w:lang w:val="zh-CN" w:eastAsia="zh-CN" w:bidi="ar-SA"/>
        </w:rPr>
        <w:t>填报以下数据，并</w:t>
      </w:r>
      <w:r>
        <w:rPr>
          <w:rFonts w:hint="default" w:ascii="Times New Roman" w:hAnsi="Times New Roman" w:eastAsia="仿宋_GB2312" w:cs="仿宋_GB2312"/>
          <w:color w:val="auto"/>
          <w:kern w:val="2"/>
          <w:sz w:val="32"/>
          <w:szCs w:val="32"/>
          <w:highlight w:val="none"/>
          <w:lang w:val="zh-CN" w:eastAsia="zh-CN" w:bidi="ar-SA"/>
        </w:rPr>
        <w:t>根据部门预算绩效评价指标体系</w:t>
      </w:r>
      <w:r>
        <w:rPr>
          <w:rFonts w:hint="eastAsia" w:ascii="Times New Roman" w:hAnsi="Times New Roman" w:eastAsia="仿宋_GB2312" w:cs="仿宋_GB2312"/>
          <w:color w:val="auto"/>
          <w:kern w:val="2"/>
          <w:sz w:val="32"/>
          <w:szCs w:val="32"/>
          <w:highlight w:val="none"/>
          <w:lang w:val="zh-CN" w:eastAsia="zh-CN" w:bidi="ar-SA"/>
        </w:rPr>
        <w:t>“</w:t>
      </w:r>
      <w:r>
        <w:rPr>
          <w:rFonts w:hint="default" w:ascii="Times New Roman" w:hAnsi="Times New Roman" w:eastAsia="仿宋_GB2312" w:cs="仿宋_GB2312"/>
          <w:color w:val="auto"/>
          <w:kern w:val="2"/>
          <w:sz w:val="32"/>
          <w:szCs w:val="32"/>
          <w:highlight w:val="none"/>
          <w:lang w:val="zh-CN" w:eastAsia="zh-CN" w:bidi="ar-SA"/>
        </w:rPr>
        <w:t>项目绩效</w:t>
      </w:r>
      <w:r>
        <w:rPr>
          <w:rFonts w:hint="eastAsia" w:ascii="Times New Roman" w:hAnsi="Times New Roman" w:eastAsia="仿宋_GB2312" w:cs="仿宋_GB2312"/>
          <w:color w:val="auto"/>
          <w:kern w:val="2"/>
          <w:sz w:val="32"/>
          <w:szCs w:val="32"/>
          <w:highlight w:val="none"/>
          <w:lang w:val="zh-CN" w:eastAsia="zh-CN" w:bidi="ar-SA"/>
        </w:rPr>
        <w:t>”</w:t>
      </w:r>
      <w:r>
        <w:rPr>
          <w:rFonts w:hint="default" w:ascii="Times New Roman" w:hAnsi="Times New Roman" w:eastAsia="仿宋_GB2312" w:cs="仿宋_GB2312"/>
          <w:color w:val="auto"/>
          <w:kern w:val="2"/>
          <w:sz w:val="32"/>
          <w:szCs w:val="32"/>
          <w:highlight w:val="none"/>
          <w:lang w:val="zh-CN" w:eastAsia="zh-CN" w:bidi="ar-SA"/>
        </w:rPr>
        <w:t>涉及</w:t>
      </w:r>
      <w:r>
        <w:rPr>
          <w:rFonts w:hint="eastAsia" w:ascii="Times New Roman" w:hAnsi="Times New Roman" w:eastAsia="仿宋_GB2312" w:cs="仿宋_GB2312"/>
          <w:color w:val="auto"/>
          <w:kern w:val="2"/>
          <w:sz w:val="32"/>
          <w:szCs w:val="32"/>
          <w:highlight w:val="none"/>
          <w:lang w:val="zh-CN" w:eastAsia="zh-CN" w:bidi="ar-SA"/>
        </w:rPr>
        <w:t>二、三级</w:t>
      </w:r>
      <w:r>
        <w:rPr>
          <w:rFonts w:hint="default" w:ascii="Times New Roman" w:hAnsi="Times New Roman" w:eastAsia="仿宋_GB2312" w:cs="仿宋_GB2312"/>
          <w:color w:val="auto"/>
          <w:kern w:val="2"/>
          <w:sz w:val="32"/>
          <w:szCs w:val="32"/>
          <w:highlight w:val="none"/>
          <w:lang w:val="zh-CN" w:eastAsia="zh-CN" w:bidi="ar-SA"/>
        </w:rPr>
        <w:t>指标进行</w:t>
      </w:r>
      <w:r>
        <w:rPr>
          <w:rFonts w:hint="eastAsia" w:ascii="Times New Roman" w:hAnsi="Times New Roman" w:eastAsia="仿宋_GB2312" w:cs="仿宋_GB2312"/>
          <w:color w:val="auto"/>
          <w:kern w:val="2"/>
          <w:sz w:val="32"/>
          <w:szCs w:val="32"/>
          <w:highlight w:val="none"/>
          <w:lang w:val="zh-CN" w:eastAsia="zh-CN" w:bidi="ar-SA"/>
        </w:rPr>
        <w:t>逐项</w:t>
      </w:r>
      <w:r>
        <w:rPr>
          <w:rFonts w:hint="default" w:ascii="Times New Roman" w:hAnsi="Times New Roman" w:eastAsia="仿宋_GB2312" w:cs="仿宋_GB2312"/>
          <w:color w:val="auto"/>
          <w:kern w:val="2"/>
          <w:sz w:val="32"/>
          <w:szCs w:val="32"/>
          <w:highlight w:val="none"/>
          <w:lang w:val="zh-CN" w:eastAsia="zh-CN" w:bidi="ar-SA"/>
        </w:rPr>
        <w:t>绩效分析</w:t>
      </w:r>
      <w:r>
        <w:rPr>
          <w:rFonts w:hint="eastAsia" w:ascii="Times New Roman" w:hAnsi="Times New Roman" w:eastAsia="仿宋_GB2312" w:cs="仿宋_GB2312"/>
          <w:color w:val="auto"/>
          <w:kern w:val="2"/>
          <w:sz w:val="32"/>
          <w:szCs w:val="32"/>
          <w:highlight w:val="none"/>
          <w:lang w:val="zh-CN" w:eastAsia="zh-CN" w:bidi="ar-SA"/>
        </w:rPr>
        <w:t>并评分</w:t>
      </w:r>
      <w:r>
        <w:rPr>
          <w:rFonts w:hint="default" w:ascii="Times New Roman" w:hAnsi="Times New Roman" w:eastAsia="仿宋_GB2312" w:cs="仿宋_GB2312"/>
          <w:color w:val="auto"/>
          <w:kern w:val="2"/>
          <w:sz w:val="32"/>
          <w:szCs w:val="32"/>
          <w:highlight w:val="none"/>
          <w:lang w:val="zh-CN" w:eastAsia="zh-CN" w:bidi="ar-SA"/>
        </w:rPr>
        <w:t>，依次包括项目</w:t>
      </w:r>
      <w:r>
        <w:rPr>
          <w:rFonts w:hint="default" w:ascii="Times New Roman" w:hAnsi="Times New Roman" w:eastAsia="仿宋_GB2312" w:cs="仿宋_GB2312"/>
          <w:color w:val="auto"/>
          <w:kern w:val="2"/>
          <w:sz w:val="32"/>
          <w:szCs w:val="32"/>
          <w:highlight w:val="none"/>
          <w:lang w:val="en-US" w:eastAsia="zh-CN" w:bidi="ar-SA"/>
        </w:rPr>
        <w:t>决策、项目执行、目标实现等情况</w:t>
      </w:r>
      <w:r>
        <w:rPr>
          <w:rFonts w:hint="eastAsia" w:ascii="Times New Roman" w:hAnsi="Times New Roman" w:eastAsia="仿宋_GB2312" w:cs="仿宋_GB2312"/>
          <w:color w:val="auto"/>
          <w:kern w:val="2"/>
          <w:sz w:val="32"/>
          <w:szCs w:val="32"/>
          <w:highlight w:val="none"/>
          <w:lang w:val="en-US" w:eastAsia="zh-CN" w:bidi="ar-SA"/>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both"/>
        <w:textAlignment w:val="auto"/>
        <w:outlineLvl w:val="9"/>
        <w:rPr>
          <w:rFonts w:hint="default" w:ascii="Times New Roman" w:hAnsi="Times New Roman" w:eastAsia="仿宋_GB2312" w:cs="仿宋_GB2312"/>
          <w:color w:val="auto"/>
          <w:kern w:val="2"/>
          <w:sz w:val="32"/>
          <w:szCs w:val="32"/>
          <w:highlight w:val="none"/>
          <w:lang w:val="zh-CN" w:eastAsia="zh-CN" w:bidi="ar-SA"/>
        </w:rPr>
      </w:pPr>
      <w:r>
        <w:rPr>
          <w:rFonts w:hint="default" w:ascii="Times New Roman" w:hAnsi="Times New Roman" w:eastAsia="仿宋_GB2312" w:cs="仿宋_GB2312"/>
          <w:color w:val="auto"/>
          <w:kern w:val="2"/>
          <w:sz w:val="32"/>
          <w:szCs w:val="32"/>
          <w:highlight w:val="none"/>
          <w:lang w:val="en-US" w:eastAsia="zh-CN" w:bidi="ar-SA"/>
        </w:rPr>
        <w:t>常年项目绩效分析。</w:t>
      </w:r>
      <w:r>
        <w:rPr>
          <w:rFonts w:hint="default" w:ascii="Times New Roman" w:hAnsi="Times New Roman" w:eastAsia="仿宋_GB2312" w:cs="仿宋_GB2312"/>
          <w:color w:val="auto"/>
          <w:kern w:val="2"/>
          <w:sz w:val="32"/>
          <w:szCs w:val="32"/>
          <w:highlight w:val="none"/>
          <w:lang w:val="zh-CN" w:eastAsia="zh-CN" w:bidi="ar-SA"/>
        </w:rPr>
        <w:t>该类项目总数</w:t>
      </w:r>
      <w:r>
        <w:rPr>
          <w:rFonts w:hint="eastAsia" w:ascii="Times New Roman" w:hAnsi="Times New Roman" w:eastAsia="仿宋_GB2312" w:cs="仿宋_GB2312"/>
          <w:color w:val="auto"/>
          <w:kern w:val="2"/>
          <w:sz w:val="32"/>
          <w:szCs w:val="32"/>
          <w:highlight w:val="none"/>
          <w:lang w:val="en-US" w:eastAsia="zh-CN" w:bidi="ar-SA"/>
        </w:rPr>
        <w:t>***</w:t>
      </w:r>
      <w:r>
        <w:rPr>
          <w:rFonts w:hint="default" w:ascii="Times New Roman" w:hAnsi="Times New Roman" w:eastAsia="仿宋_GB2312" w:cs="仿宋_GB2312"/>
          <w:color w:val="auto"/>
          <w:kern w:val="2"/>
          <w:sz w:val="32"/>
          <w:szCs w:val="32"/>
          <w:highlight w:val="none"/>
          <w:lang w:val="zh-CN" w:eastAsia="zh-CN" w:bidi="ar-SA"/>
        </w:rPr>
        <w:t>个，涉及预算总金额</w:t>
      </w:r>
      <w:r>
        <w:rPr>
          <w:rFonts w:hint="eastAsia" w:ascii="Times New Roman" w:hAnsi="Times New Roman" w:eastAsia="仿宋_GB2312" w:cs="仿宋_GB2312"/>
          <w:color w:val="auto"/>
          <w:kern w:val="2"/>
          <w:sz w:val="32"/>
          <w:szCs w:val="32"/>
          <w:highlight w:val="none"/>
          <w:lang w:val="en-US" w:eastAsia="zh-CN" w:bidi="ar-SA"/>
        </w:rPr>
        <w:t>***</w:t>
      </w:r>
      <w:r>
        <w:rPr>
          <w:rFonts w:hint="default" w:ascii="Times New Roman" w:hAnsi="Times New Roman" w:eastAsia="仿宋_GB2312" w:cs="仿宋_GB2312"/>
          <w:color w:val="auto"/>
          <w:kern w:val="2"/>
          <w:sz w:val="32"/>
          <w:szCs w:val="32"/>
          <w:highlight w:val="none"/>
          <w:lang w:val="zh-CN" w:eastAsia="zh-CN" w:bidi="ar-SA"/>
        </w:rPr>
        <w:t>万元，1</w:t>
      </w:r>
      <w:r>
        <w:rPr>
          <w:rFonts w:hint="eastAsia" w:ascii="Times New Roman" w:hAnsi="Times New Roman" w:eastAsia="仿宋_GB2312" w:cs="仿宋_GB2312"/>
          <w:color w:val="auto"/>
          <w:kern w:val="2"/>
          <w:sz w:val="32"/>
          <w:szCs w:val="32"/>
          <w:highlight w:val="none"/>
          <w:lang w:val="zh-CN" w:eastAsia="zh-CN" w:bidi="ar-SA"/>
        </w:rPr>
        <w:t>—</w:t>
      </w:r>
      <w:r>
        <w:rPr>
          <w:rFonts w:hint="default" w:ascii="Times New Roman" w:hAnsi="Times New Roman" w:eastAsia="仿宋_GB2312" w:cs="仿宋_GB2312"/>
          <w:color w:val="auto"/>
          <w:kern w:val="2"/>
          <w:sz w:val="32"/>
          <w:szCs w:val="32"/>
          <w:highlight w:val="none"/>
          <w:lang w:val="zh-CN" w:eastAsia="zh-CN" w:bidi="ar-SA"/>
        </w:rPr>
        <w:t>1</w:t>
      </w:r>
      <w:r>
        <w:rPr>
          <w:rFonts w:hint="default" w:ascii="Times New Roman" w:hAnsi="Times New Roman" w:eastAsia="仿宋_GB2312" w:cs="仿宋_GB2312"/>
          <w:color w:val="auto"/>
          <w:kern w:val="2"/>
          <w:sz w:val="32"/>
          <w:szCs w:val="32"/>
          <w:highlight w:val="none"/>
          <w:lang w:val="en-US" w:eastAsia="zh-CN" w:bidi="ar-SA"/>
        </w:rPr>
        <w:t>2</w:t>
      </w:r>
      <w:r>
        <w:rPr>
          <w:rFonts w:hint="default" w:ascii="Times New Roman" w:hAnsi="Times New Roman" w:eastAsia="仿宋_GB2312" w:cs="仿宋_GB2312"/>
          <w:color w:val="auto"/>
          <w:kern w:val="2"/>
          <w:sz w:val="32"/>
          <w:szCs w:val="32"/>
          <w:highlight w:val="none"/>
          <w:lang w:val="zh-CN" w:eastAsia="zh-CN" w:bidi="ar-SA"/>
        </w:rPr>
        <w:t>月预算执行总体进度为</w:t>
      </w:r>
      <w:r>
        <w:rPr>
          <w:rFonts w:hint="eastAsia" w:ascii="Times New Roman" w:hAnsi="Times New Roman" w:eastAsia="仿宋_GB2312" w:cs="仿宋_GB2312"/>
          <w:color w:val="auto"/>
          <w:kern w:val="2"/>
          <w:sz w:val="32"/>
          <w:szCs w:val="32"/>
          <w:highlight w:val="none"/>
          <w:lang w:val="en-US" w:eastAsia="zh-CN" w:bidi="ar-SA"/>
        </w:rPr>
        <w:t>***</w:t>
      </w:r>
      <w:r>
        <w:rPr>
          <w:rFonts w:hint="default" w:ascii="Times New Roman" w:hAnsi="Times New Roman" w:eastAsia="仿宋_GB2312" w:cs="仿宋_GB2312"/>
          <w:color w:val="auto"/>
          <w:kern w:val="2"/>
          <w:sz w:val="32"/>
          <w:szCs w:val="32"/>
          <w:highlight w:val="none"/>
          <w:lang w:val="zh-CN" w:eastAsia="zh-CN" w:bidi="ar-SA"/>
        </w:rPr>
        <w:t>%，其中：预算结余率大于</w:t>
      </w:r>
      <w:r>
        <w:rPr>
          <w:rFonts w:hint="default" w:ascii="Times New Roman" w:hAnsi="Times New Roman" w:eastAsia="仿宋_GB2312" w:cs="仿宋_GB2312"/>
          <w:color w:val="auto"/>
          <w:kern w:val="2"/>
          <w:sz w:val="32"/>
          <w:szCs w:val="32"/>
          <w:highlight w:val="none"/>
          <w:lang w:val="en-US" w:eastAsia="zh-CN" w:bidi="ar-SA"/>
        </w:rPr>
        <w:t>10%</w:t>
      </w:r>
      <w:r>
        <w:rPr>
          <w:rFonts w:hint="default" w:ascii="Times New Roman" w:hAnsi="Times New Roman" w:eastAsia="仿宋_GB2312" w:cs="仿宋_GB2312"/>
          <w:color w:val="auto"/>
          <w:kern w:val="2"/>
          <w:sz w:val="32"/>
          <w:szCs w:val="32"/>
          <w:highlight w:val="none"/>
          <w:lang w:val="zh-CN" w:eastAsia="zh-CN" w:bidi="ar-SA"/>
        </w:rPr>
        <w:t>的项目共计</w:t>
      </w:r>
      <w:r>
        <w:rPr>
          <w:rFonts w:hint="eastAsia" w:ascii="Times New Roman" w:hAnsi="Times New Roman" w:eastAsia="仿宋_GB2312" w:cs="仿宋_GB2312"/>
          <w:color w:val="auto"/>
          <w:kern w:val="2"/>
          <w:sz w:val="32"/>
          <w:szCs w:val="32"/>
          <w:highlight w:val="none"/>
          <w:lang w:val="en-US" w:eastAsia="zh-CN" w:bidi="ar-SA"/>
        </w:rPr>
        <w:t>***</w:t>
      </w:r>
      <w:r>
        <w:rPr>
          <w:rFonts w:hint="default" w:ascii="Times New Roman" w:hAnsi="Times New Roman" w:eastAsia="仿宋_GB2312" w:cs="仿宋_GB2312"/>
          <w:color w:val="auto"/>
          <w:kern w:val="2"/>
          <w:sz w:val="32"/>
          <w:szCs w:val="32"/>
          <w:highlight w:val="none"/>
          <w:lang w:val="zh-CN" w:eastAsia="zh-CN" w:bidi="ar-SA"/>
        </w:rPr>
        <w:t>个。</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both"/>
        <w:textAlignment w:val="auto"/>
        <w:outlineLvl w:val="9"/>
        <w:rPr>
          <w:rFonts w:hint="default" w:ascii="Times New Roman" w:hAnsi="Times New Roman" w:eastAsia="仿宋_GB2312" w:cs="仿宋_GB2312"/>
          <w:color w:val="auto"/>
          <w:kern w:val="2"/>
          <w:sz w:val="32"/>
          <w:szCs w:val="32"/>
          <w:highlight w:val="none"/>
          <w:lang w:val="zh-CN" w:eastAsia="zh-CN" w:bidi="ar-SA"/>
        </w:rPr>
      </w:pPr>
      <w:r>
        <w:rPr>
          <w:rFonts w:hint="default" w:ascii="Times New Roman" w:hAnsi="Times New Roman" w:eastAsia="仿宋_GB2312" w:cs="仿宋_GB2312"/>
          <w:color w:val="auto"/>
          <w:kern w:val="2"/>
          <w:sz w:val="32"/>
          <w:szCs w:val="32"/>
          <w:highlight w:val="none"/>
          <w:lang w:val="en-US" w:eastAsia="zh-CN" w:bidi="ar-SA"/>
        </w:rPr>
        <w:t>阶段</w:t>
      </w:r>
      <w:r>
        <w:rPr>
          <w:rFonts w:hint="eastAsia" w:ascii="Times New Roman" w:hAnsi="Times New Roman" w:eastAsia="仿宋_GB2312" w:cs="仿宋_GB2312"/>
          <w:color w:val="auto"/>
          <w:kern w:val="2"/>
          <w:sz w:val="32"/>
          <w:szCs w:val="32"/>
          <w:highlight w:val="none"/>
          <w:lang w:val="en-US" w:eastAsia="zh-CN" w:bidi="ar-SA"/>
        </w:rPr>
        <w:t>（</w:t>
      </w:r>
      <w:r>
        <w:rPr>
          <w:rFonts w:hint="default" w:ascii="Times New Roman" w:hAnsi="Times New Roman" w:eastAsia="仿宋_GB2312" w:cs="仿宋_GB2312"/>
          <w:color w:val="auto"/>
          <w:kern w:val="2"/>
          <w:sz w:val="32"/>
          <w:szCs w:val="32"/>
          <w:highlight w:val="none"/>
          <w:lang w:val="en-US" w:eastAsia="zh-CN" w:bidi="ar-SA"/>
        </w:rPr>
        <w:t>一次性</w:t>
      </w:r>
      <w:r>
        <w:rPr>
          <w:rFonts w:hint="eastAsia" w:ascii="Times New Roman" w:hAnsi="Times New Roman" w:eastAsia="仿宋_GB2312" w:cs="仿宋_GB2312"/>
          <w:color w:val="auto"/>
          <w:kern w:val="2"/>
          <w:sz w:val="32"/>
          <w:szCs w:val="32"/>
          <w:highlight w:val="none"/>
          <w:lang w:val="en-US" w:eastAsia="zh-CN" w:bidi="ar-SA"/>
        </w:rPr>
        <w:t>）</w:t>
      </w:r>
      <w:r>
        <w:rPr>
          <w:rFonts w:hint="default" w:ascii="Times New Roman" w:hAnsi="Times New Roman" w:eastAsia="仿宋_GB2312" w:cs="仿宋_GB2312"/>
          <w:color w:val="auto"/>
          <w:kern w:val="2"/>
          <w:sz w:val="32"/>
          <w:szCs w:val="32"/>
          <w:highlight w:val="none"/>
          <w:lang w:val="en-US" w:eastAsia="zh-CN" w:bidi="ar-SA"/>
        </w:rPr>
        <w:t>项目绩效分析。</w:t>
      </w:r>
      <w:r>
        <w:rPr>
          <w:rFonts w:hint="default" w:ascii="Times New Roman" w:hAnsi="Times New Roman" w:eastAsia="仿宋_GB2312" w:cs="仿宋_GB2312"/>
          <w:color w:val="auto"/>
          <w:kern w:val="2"/>
          <w:sz w:val="32"/>
          <w:szCs w:val="32"/>
          <w:highlight w:val="none"/>
          <w:lang w:val="zh-CN" w:eastAsia="zh-CN" w:bidi="ar-SA"/>
        </w:rPr>
        <w:t>该类项目总数</w:t>
      </w:r>
      <w:r>
        <w:rPr>
          <w:rFonts w:hint="eastAsia" w:ascii="Times New Roman" w:hAnsi="Times New Roman" w:eastAsia="仿宋_GB2312" w:cs="仿宋_GB2312"/>
          <w:color w:val="auto"/>
          <w:kern w:val="2"/>
          <w:sz w:val="32"/>
          <w:szCs w:val="32"/>
          <w:highlight w:val="none"/>
          <w:lang w:val="en-US" w:eastAsia="zh-CN" w:bidi="ar-SA"/>
        </w:rPr>
        <w:t>***</w:t>
      </w:r>
      <w:r>
        <w:rPr>
          <w:rFonts w:hint="default" w:ascii="Times New Roman" w:hAnsi="Times New Roman" w:eastAsia="仿宋_GB2312" w:cs="仿宋_GB2312"/>
          <w:color w:val="auto"/>
          <w:kern w:val="2"/>
          <w:sz w:val="32"/>
          <w:szCs w:val="32"/>
          <w:highlight w:val="none"/>
          <w:lang w:val="zh-CN" w:eastAsia="zh-CN" w:bidi="ar-SA"/>
        </w:rPr>
        <w:t>个，涉及预算总金额</w:t>
      </w:r>
      <w:r>
        <w:rPr>
          <w:rFonts w:hint="eastAsia" w:ascii="Times New Roman" w:hAnsi="Times New Roman" w:eastAsia="仿宋_GB2312" w:cs="仿宋_GB2312"/>
          <w:color w:val="auto"/>
          <w:kern w:val="2"/>
          <w:sz w:val="32"/>
          <w:szCs w:val="32"/>
          <w:highlight w:val="none"/>
          <w:lang w:val="en-US" w:eastAsia="zh-CN" w:bidi="ar-SA"/>
        </w:rPr>
        <w:t>***</w:t>
      </w:r>
      <w:r>
        <w:rPr>
          <w:rFonts w:hint="default" w:ascii="Times New Roman" w:hAnsi="Times New Roman" w:eastAsia="仿宋_GB2312" w:cs="仿宋_GB2312"/>
          <w:color w:val="auto"/>
          <w:kern w:val="2"/>
          <w:sz w:val="32"/>
          <w:szCs w:val="32"/>
          <w:highlight w:val="none"/>
          <w:lang w:val="zh-CN" w:eastAsia="zh-CN" w:bidi="ar-SA"/>
        </w:rPr>
        <w:t>万元，1</w:t>
      </w:r>
      <w:r>
        <w:rPr>
          <w:rFonts w:hint="eastAsia" w:ascii="Times New Roman" w:hAnsi="Times New Roman" w:eastAsia="仿宋_GB2312" w:cs="仿宋_GB2312"/>
          <w:color w:val="auto"/>
          <w:kern w:val="2"/>
          <w:sz w:val="32"/>
          <w:szCs w:val="32"/>
          <w:highlight w:val="none"/>
          <w:lang w:val="zh-CN" w:eastAsia="zh-CN" w:bidi="ar-SA"/>
        </w:rPr>
        <w:t>—</w:t>
      </w:r>
      <w:r>
        <w:rPr>
          <w:rFonts w:hint="default" w:ascii="Times New Roman" w:hAnsi="Times New Roman" w:eastAsia="仿宋_GB2312" w:cs="仿宋_GB2312"/>
          <w:color w:val="auto"/>
          <w:kern w:val="2"/>
          <w:sz w:val="32"/>
          <w:szCs w:val="32"/>
          <w:highlight w:val="none"/>
          <w:lang w:val="zh-CN" w:eastAsia="zh-CN" w:bidi="ar-SA"/>
        </w:rPr>
        <w:t>1</w:t>
      </w:r>
      <w:r>
        <w:rPr>
          <w:rFonts w:hint="default" w:ascii="Times New Roman" w:hAnsi="Times New Roman" w:eastAsia="仿宋_GB2312" w:cs="仿宋_GB2312"/>
          <w:color w:val="auto"/>
          <w:kern w:val="2"/>
          <w:sz w:val="32"/>
          <w:szCs w:val="32"/>
          <w:highlight w:val="none"/>
          <w:lang w:val="en-US" w:eastAsia="zh-CN" w:bidi="ar-SA"/>
        </w:rPr>
        <w:t>2</w:t>
      </w:r>
      <w:r>
        <w:rPr>
          <w:rFonts w:hint="default" w:ascii="Times New Roman" w:hAnsi="Times New Roman" w:eastAsia="仿宋_GB2312" w:cs="仿宋_GB2312"/>
          <w:color w:val="auto"/>
          <w:kern w:val="2"/>
          <w:sz w:val="32"/>
          <w:szCs w:val="32"/>
          <w:highlight w:val="none"/>
          <w:lang w:val="zh-CN" w:eastAsia="zh-CN" w:bidi="ar-SA"/>
        </w:rPr>
        <w:t>月预算执行总体进度为</w:t>
      </w:r>
      <w:r>
        <w:rPr>
          <w:rFonts w:hint="eastAsia" w:ascii="Times New Roman" w:hAnsi="Times New Roman" w:eastAsia="仿宋_GB2312" w:cs="仿宋_GB2312"/>
          <w:color w:val="auto"/>
          <w:kern w:val="2"/>
          <w:sz w:val="32"/>
          <w:szCs w:val="32"/>
          <w:highlight w:val="none"/>
          <w:lang w:val="en-US" w:eastAsia="zh-CN" w:bidi="ar-SA"/>
        </w:rPr>
        <w:t>***</w:t>
      </w:r>
      <w:r>
        <w:rPr>
          <w:rFonts w:hint="default" w:ascii="Times New Roman" w:hAnsi="Times New Roman" w:eastAsia="仿宋_GB2312" w:cs="仿宋_GB2312"/>
          <w:color w:val="auto"/>
          <w:kern w:val="2"/>
          <w:sz w:val="32"/>
          <w:szCs w:val="32"/>
          <w:highlight w:val="none"/>
          <w:lang w:val="zh-CN" w:eastAsia="zh-CN" w:bidi="ar-SA"/>
        </w:rPr>
        <w:t>%，其中：预算结余率大于</w:t>
      </w:r>
      <w:r>
        <w:rPr>
          <w:rFonts w:hint="default" w:ascii="Times New Roman" w:hAnsi="Times New Roman" w:eastAsia="仿宋_GB2312" w:cs="仿宋_GB2312"/>
          <w:color w:val="auto"/>
          <w:kern w:val="2"/>
          <w:sz w:val="32"/>
          <w:szCs w:val="32"/>
          <w:highlight w:val="none"/>
          <w:lang w:val="en-US" w:eastAsia="zh-CN" w:bidi="ar-SA"/>
        </w:rPr>
        <w:t>10%</w:t>
      </w:r>
      <w:r>
        <w:rPr>
          <w:rFonts w:hint="default" w:ascii="Times New Roman" w:hAnsi="Times New Roman" w:eastAsia="仿宋_GB2312" w:cs="仿宋_GB2312"/>
          <w:color w:val="auto"/>
          <w:kern w:val="2"/>
          <w:sz w:val="32"/>
          <w:szCs w:val="32"/>
          <w:highlight w:val="none"/>
          <w:lang w:val="zh-CN" w:eastAsia="zh-CN" w:bidi="ar-SA"/>
        </w:rPr>
        <w:t>的项目共计</w:t>
      </w:r>
      <w:r>
        <w:rPr>
          <w:rFonts w:hint="eastAsia" w:ascii="Times New Roman" w:hAnsi="Times New Roman" w:eastAsia="仿宋_GB2312" w:cs="仿宋_GB2312"/>
          <w:color w:val="auto"/>
          <w:kern w:val="2"/>
          <w:sz w:val="32"/>
          <w:szCs w:val="32"/>
          <w:highlight w:val="none"/>
          <w:lang w:val="en-US" w:eastAsia="zh-CN" w:bidi="ar-SA"/>
        </w:rPr>
        <w:t>***</w:t>
      </w:r>
      <w:r>
        <w:rPr>
          <w:rFonts w:hint="default" w:ascii="Times New Roman" w:hAnsi="Times New Roman" w:eastAsia="仿宋_GB2312" w:cs="仿宋_GB2312"/>
          <w:color w:val="auto"/>
          <w:kern w:val="2"/>
          <w:sz w:val="32"/>
          <w:szCs w:val="32"/>
          <w:highlight w:val="none"/>
          <w:lang w:val="zh-CN" w:eastAsia="zh-CN" w:bidi="ar-SA"/>
        </w:rPr>
        <w:t>个。</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both"/>
        <w:textAlignment w:val="auto"/>
        <w:outlineLvl w:val="9"/>
        <w:rPr>
          <w:rFonts w:hint="eastAsia" w:ascii="Times New Roman" w:hAnsi="Times New Roman" w:eastAsia="仿宋_GB2312" w:cs="仿宋_GB2312"/>
          <w:color w:val="auto"/>
          <w:kern w:val="2"/>
          <w:sz w:val="32"/>
          <w:szCs w:val="32"/>
          <w:highlight w:val="none"/>
          <w:lang w:val="zh-CN" w:eastAsia="zh-CN" w:bidi="ar-SA"/>
        </w:rPr>
      </w:pPr>
      <w:r>
        <w:rPr>
          <w:rFonts w:hint="eastAsia" w:ascii="Times New Roman" w:hAnsi="Times New Roman" w:eastAsia="仿宋_GB2312" w:cs="仿宋_GB2312"/>
          <w:color w:val="auto"/>
          <w:kern w:val="2"/>
          <w:sz w:val="32"/>
          <w:szCs w:val="32"/>
          <w:highlight w:val="none"/>
          <w:lang w:val="en-US" w:eastAsia="zh-CN" w:bidi="ar-SA"/>
        </w:rPr>
        <w:t>1.</w:t>
      </w:r>
      <w:r>
        <w:rPr>
          <w:rFonts w:hint="eastAsia" w:ascii="Times New Roman" w:hAnsi="Times New Roman" w:eastAsia="仿宋_GB2312" w:cs="仿宋_GB2312"/>
          <w:color w:val="auto"/>
          <w:kern w:val="2"/>
          <w:sz w:val="32"/>
          <w:szCs w:val="32"/>
          <w:highlight w:val="none"/>
          <w:lang w:val="zh-CN" w:eastAsia="zh-CN" w:bidi="ar-SA"/>
        </w:rPr>
        <w:t>项目决策。围绕决策程序、目标设置、项目入库</w:t>
      </w:r>
      <w:r>
        <w:rPr>
          <w:rFonts w:hint="default" w:ascii="Times New Roman" w:hAnsi="Times New Roman" w:eastAsia="仿宋_GB2312" w:cs="仿宋_GB2312"/>
          <w:color w:val="auto"/>
          <w:kern w:val="2"/>
          <w:sz w:val="32"/>
          <w:szCs w:val="32"/>
          <w:highlight w:val="none"/>
          <w:lang w:val="zh-CN" w:eastAsia="zh-CN" w:bidi="ar-SA"/>
        </w:rPr>
        <w:t>进行绩效分析</w:t>
      </w:r>
      <w:r>
        <w:rPr>
          <w:rFonts w:hint="eastAsia" w:ascii="Times New Roman" w:hAnsi="Times New Roman" w:eastAsia="仿宋_GB2312" w:cs="仿宋_GB2312"/>
          <w:color w:val="auto"/>
          <w:kern w:val="2"/>
          <w:sz w:val="32"/>
          <w:szCs w:val="32"/>
          <w:highlight w:val="none"/>
          <w:lang w:val="zh-CN" w:eastAsia="zh-CN" w:bidi="ar-SA"/>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both"/>
        <w:textAlignment w:val="auto"/>
        <w:outlineLvl w:val="9"/>
        <w:rPr>
          <w:rFonts w:hint="eastAsia" w:ascii="Times New Roman" w:hAnsi="Times New Roman" w:eastAsia="仿宋_GB2312" w:cs="仿宋_GB2312"/>
          <w:color w:val="auto"/>
          <w:kern w:val="2"/>
          <w:sz w:val="32"/>
          <w:szCs w:val="32"/>
          <w:highlight w:val="none"/>
          <w:lang w:val="zh-CN" w:eastAsia="zh-CN" w:bidi="ar-SA"/>
        </w:rPr>
      </w:pPr>
      <w:r>
        <w:rPr>
          <w:rFonts w:hint="eastAsia" w:ascii="Times New Roman" w:hAnsi="Times New Roman" w:eastAsia="仿宋_GB2312" w:cs="仿宋_GB2312"/>
          <w:color w:val="auto"/>
          <w:kern w:val="2"/>
          <w:sz w:val="32"/>
          <w:szCs w:val="32"/>
          <w:highlight w:val="none"/>
          <w:lang w:val="en-US" w:eastAsia="zh-CN" w:bidi="ar-SA"/>
        </w:rPr>
        <w:t>2.项目执行</w:t>
      </w:r>
      <w:r>
        <w:rPr>
          <w:rFonts w:hint="eastAsia" w:ascii="Times New Roman" w:hAnsi="Times New Roman" w:eastAsia="仿宋_GB2312" w:cs="仿宋_GB2312"/>
          <w:color w:val="auto"/>
          <w:kern w:val="2"/>
          <w:sz w:val="32"/>
          <w:szCs w:val="32"/>
          <w:highlight w:val="none"/>
          <w:lang w:val="zh-CN" w:eastAsia="zh-CN" w:bidi="ar-SA"/>
        </w:rPr>
        <w:t>。围绕资金执行同向、项目调整、执行结果</w:t>
      </w:r>
      <w:r>
        <w:rPr>
          <w:rFonts w:hint="default" w:ascii="Times New Roman" w:hAnsi="Times New Roman" w:eastAsia="仿宋_GB2312" w:cs="仿宋_GB2312"/>
          <w:color w:val="auto"/>
          <w:kern w:val="2"/>
          <w:sz w:val="32"/>
          <w:szCs w:val="32"/>
          <w:highlight w:val="none"/>
          <w:lang w:val="zh-CN" w:eastAsia="zh-CN" w:bidi="ar-SA"/>
        </w:rPr>
        <w:t>进行绩效分析</w:t>
      </w:r>
      <w:r>
        <w:rPr>
          <w:rFonts w:hint="eastAsia" w:ascii="Times New Roman" w:hAnsi="Times New Roman" w:eastAsia="仿宋_GB2312" w:cs="仿宋_GB2312"/>
          <w:color w:val="auto"/>
          <w:kern w:val="2"/>
          <w:sz w:val="32"/>
          <w:szCs w:val="32"/>
          <w:highlight w:val="none"/>
          <w:lang w:val="zh-CN" w:eastAsia="zh-CN" w:bidi="ar-SA"/>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both"/>
        <w:textAlignment w:val="auto"/>
        <w:outlineLvl w:val="9"/>
        <w:rPr>
          <w:rFonts w:hint="eastAsia" w:ascii="Times New Roman" w:hAnsi="Times New Roman" w:eastAsia="仿宋_GB2312" w:cs="仿宋_GB2312"/>
          <w:color w:val="auto"/>
          <w:kern w:val="2"/>
          <w:sz w:val="32"/>
          <w:szCs w:val="32"/>
          <w:highlight w:val="none"/>
          <w:lang w:val="zh-CN" w:eastAsia="zh-CN" w:bidi="ar-SA"/>
        </w:rPr>
      </w:pPr>
      <w:r>
        <w:rPr>
          <w:rFonts w:hint="eastAsia" w:ascii="Times New Roman" w:hAnsi="Times New Roman" w:eastAsia="仿宋_GB2312" w:cs="仿宋_GB2312"/>
          <w:color w:val="auto"/>
          <w:kern w:val="2"/>
          <w:sz w:val="32"/>
          <w:szCs w:val="32"/>
          <w:highlight w:val="none"/>
          <w:lang w:val="en-US" w:eastAsia="zh-CN" w:bidi="ar-SA"/>
        </w:rPr>
        <w:t>3.</w:t>
      </w:r>
      <w:r>
        <w:rPr>
          <w:rFonts w:hint="eastAsia" w:ascii="Times New Roman" w:hAnsi="Times New Roman" w:eastAsia="仿宋_GB2312" w:cs="仿宋_GB2312"/>
          <w:color w:val="auto"/>
          <w:kern w:val="2"/>
          <w:sz w:val="32"/>
          <w:szCs w:val="32"/>
          <w:highlight w:val="none"/>
          <w:lang w:val="zh-CN" w:eastAsia="zh-CN" w:bidi="ar-SA"/>
        </w:rPr>
        <w:t>目标实现。围绕目标完成、目标偏离、实现效果</w:t>
      </w:r>
      <w:r>
        <w:rPr>
          <w:rFonts w:hint="default" w:ascii="Times New Roman" w:hAnsi="Times New Roman" w:eastAsia="仿宋_GB2312" w:cs="仿宋_GB2312"/>
          <w:color w:val="auto"/>
          <w:kern w:val="2"/>
          <w:sz w:val="32"/>
          <w:szCs w:val="32"/>
          <w:highlight w:val="none"/>
          <w:lang w:val="zh-CN" w:eastAsia="zh-CN" w:bidi="ar-SA"/>
        </w:rPr>
        <w:t>进行绩效分析</w:t>
      </w:r>
      <w:r>
        <w:rPr>
          <w:rFonts w:hint="eastAsia" w:ascii="Times New Roman" w:hAnsi="Times New Roman" w:eastAsia="仿宋_GB2312" w:cs="仿宋_GB2312"/>
          <w:color w:val="auto"/>
          <w:kern w:val="2"/>
          <w:sz w:val="32"/>
          <w:szCs w:val="32"/>
          <w:highlight w:val="none"/>
          <w:lang w:val="zh-CN" w:eastAsia="zh-CN" w:bidi="ar-SA"/>
        </w:rPr>
        <w:t>。</w:t>
      </w:r>
    </w:p>
    <w:p>
      <w:pPr>
        <w:keepNext w:val="0"/>
        <w:keepLines w:val="0"/>
        <w:pageBreakBefore w:val="0"/>
        <w:widowControl w:val="0"/>
        <w:kinsoku/>
        <w:wordWrap/>
        <w:overflowPunct/>
        <w:topLinePunct w:val="0"/>
        <w:autoSpaceDE/>
        <w:autoSpaceDN/>
        <w:bidi w:val="0"/>
        <w:snapToGrid w:val="0"/>
        <w:spacing w:line="600" w:lineRule="exact"/>
        <w:ind w:firstLine="640" w:firstLineChars="200"/>
        <w:textAlignment w:val="auto"/>
        <w:rPr>
          <w:rFonts w:hint="eastAsia"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省级部门对2024年度一般公共预算、政府性基金预算、国有资本经营预算安排的常年项目、阶段项目绩效目标完成情况，以及债券资金、政府购买服务有关情况进行梳理阐述</w:t>
      </w:r>
      <w:r>
        <w:rPr>
          <w:rFonts w:hint="eastAsia" w:ascii="Times New Roman" w:hAnsi="Times New Roman" w:eastAsia="仿宋_GB2312" w:cs="Times New Roman"/>
          <w:sz w:val="32"/>
          <w:szCs w:val="32"/>
          <w:highlight w:val="none"/>
          <w:lang w:val="en-US" w:eastAsia="zh-CN"/>
        </w:rPr>
        <w:t>。</w:t>
      </w:r>
    </w:p>
    <w:p>
      <w:pPr>
        <w:keepNext w:val="0"/>
        <w:keepLines w:val="0"/>
        <w:pageBreakBefore w:val="0"/>
        <w:widowControl w:val="0"/>
        <w:kinsoku/>
        <w:wordWrap/>
        <w:overflowPunct/>
        <w:topLinePunct w:val="0"/>
        <w:autoSpaceDE/>
        <w:autoSpaceDN/>
        <w:bidi w:val="0"/>
        <w:snapToGrid w:val="0"/>
        <w:spacing w:line="600" w:lineRule="exact"/>
        <w:ind w:firstLine="643" w:firstLineChars="200"/>
        <w:textAlignment w:val="auto"/>
        <w:rPr>
          <w:rFonts w:hint="default" w:ascii="Times New Roman" w:hAnsi="Times New Roman" w:eastAsia="仿宋_GB2312" w:cs="Times New Roman"/>
          <w:sz w:val="32"/>
          <w:szCs w:val="32"/>
          <w:highlight w:val="none"/>
          <w:u w:val="none"/>
          <w:lang w:bidi="ar"/>
        </w:rPr>
      </w:pPr>
      <w:r>
        <w:rPr>
          <w:rFonts w:hint="default" w:ascii="Times New Roman" w:hAnsi="Times New Roman" w:eastAsia="楷体_GB2312" w:cs="Times New Roman"/>
          <w:b/>
          <w:bCs/>
          <w:color w:val="000000"/>
          <w:kern w:val="0"/>
          <w:sz w:val="32"/>
          <w:szCs w:val="32"/>
          <w:highlight w:val="none"/>
          <w:shd w:val="clear" w:color="auto" w:fill="FFFFFF"/>
          <w:lang w:val="zh-CN" w:eastAsia="zh-CN"/>
        </w:rPr>
        <w:t>（</w:t>
      </w:r>
      <w:r>
        <w:rPr>
          <w:rFonts w:hint="eastAsia" w:eastAsia="楷体_GB2312" w:cs="Times New Roman"/>
          <w:b/>
          <w:bCs/>
          <w:color w:val="000000"/>
          <w:kern w:val="0"/>
          <w:sz w:val="32"/>
          <w:szCs w:val="32"/>
          <w:highlight w:val="none"/>
          <w:shd w:val="clear" w:color="auto" w:fill="FFFFFF"/>
          <w:lang w:val="en-US" w:eastAsia="zh-CN"/>
        </w:rPr>
        <w:t>三</w:t>
      </w:r>
      <w:r>
        <w:rPr>
          <w:rFonts w:hint="default" w:ascii="Times New Roman" w:hAnsi="Times New Roman" w:eastAsia="楷体_GB2312" w:cs="Times New Roman"/>
          <w:b/>
          <w:bCs/>
          <w:color w:val="000000"/>
          <w:kern w:val="0"/>
          <w:sz w:val="32"/>
          <w:szCs w:val="32"/>
          <w:highlight w:val="none"/>
          <w:shd w:val="clear" w:color="auto" w:fill="FFFFFF"/>
          <w:lang w:val="zh-CN" w:eastAsia="zh-CN"/>
        </w:rPr>
        <w:t>）绩效结果应用情况</w:t>
      </w:r>
      <w:r>
        <w:rPr>
          <w:rFonts w:hint="eastAsia" w:ascii="Times New Roman" w:hAnsi="Times New Roman" w:eastAsia="楷体_GB2312" w:cs="Times New Roman"/>
          <w:b/>
          <w:bCs/>
          <w:color w:val="000000"/>
          <w:kern w:val="0"/>
          <w:sz w:val="32"/>
          <w:szCs w:val="32"/>
          <w:highlight w:val="none"/>
          <w:shd w:val="clear" w:color="auto" w:fill="FFFFFF"/>
          <w:lang w:val="zh-CN" w:eastAsia="zh-CN"/>
        </w:rPr>
        <w:t>。</w:t>
      </w:r>
      <w:r>
        <w:rPr>
          <w:rFonts w:hint="eastAsia" w:ascii="Times New Roman" w:hAnsi="Times New Roman" w:eastAsia="仿宋_GB2312" w:cs="Times New Roman"/>
          <w:sz w:val="32"/>
          <w:szCs w:val="32"/>
          <w:highlight w:val="none"/>
          <w:u w:val="none"/>
          <w:lang w:val="zh-CN" w:eastAsia="zh-CN" w:bidi="ar"/>
        </w:rPr>
        <w:t>围绕内部应用情况、</w:t>
      </w:r>
      <w:r>
        <w:rPr>
          <w:rFonts w:hint="default" w:ascii="Times New Roman" w:hAnsi="Times New Roman" w:eastAsia="仿宋_GB2312" w:cs="Times New Roman"/>
          <w:sz w:val="32"/>
          <w:szCs w:val="32"/>
          <w:highlight w:val="none"/>
          <w:u w:val="none"/>
          <w:lang w:val="zh-CN" w:eastAsia="zh-CN" w:bidi="ar"/>
        </w:rPr>
        <w:t>信息公开情况</w:t>
      </w:r>
      <w:r>
        <w:rPr>
          <w:rFonts w:hint="eastAsia" w:ascii="Times New Roman" w:hAnsi="Times New Roman" w:eastAsia="仿宋_GB2312" w:cs="Times New Roman"/>
          <w:sz w:val="32"/>
          <w:szCs w:val="32"/>
          <w:highlight w:val="none"/>
          <w:u w:val="none"/>
          <w:lang w:val="zh-CN" w:eastAsia="zh-CN" w:bidi="ar"/>
        </w:rPr>
        <w:t>、</w:t>
      </w:r>
      <w:r>
        <w:rPr>
          <w:rFonts w:hint="default" w:ascii="Times New Roman" w:hAnsi="Times New Roman" w:eastAsia="仿宋_GB2312" w:cs="Times New Roman"/>
          <w:sz w:val="32"/>
          <w:szCs w:val="32"/>
          <w:highlight w:val="none"/>
          <w:u w:val="none"/>
          <w:lang w:val="zh-CN" w:eastAsia="zh-CN" w:bidi="ar"/>
        </w:rPr>
        <w:t>整改反馈情况</w:t>
      </w:r>
      <w:r>
        <w:rPr>
          <w:rFonts w:hint="eastAsia" w:ascii="Times New Roman" w:hAnsi="Times New Roman" w:eastAsia="仿宋_GB2312" w:cs="Times New Roman"/>
          <w:sz w:val="32"/>
          <w:szCs w:val="32"/>
          <w:highlight w:val="none"/>
          <w:u w:val="none"/>
          <w:lang w:val="zh-CN" w:eastAsia="zh-CN" w:bidi="ar"/>
        </w:rPr>
        <w:t>进行分析。</w:t>
      </w: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Times New Roman" w:hAnsi="Times New Roman" w:eastAsia="黑体" w:cs="Times New Roman"/>
          <w:color w:val="000000"/>
          <w:kern w:val="0"/>
          <w:sz w:val="32"/>
          <w:szCs w:val="32"/>
          <w:highlight w:val="none"/>
          <w:shd w:val="clear" w:color="auto" w:fill="FFFFFF"/>
          <w:lang w:val="zh-CN"/>
        </w:rPr>
      </w:pPr>
      <w:r>
        <w:rPr>
          <w:rFonts w:hint="default" w:ascii="Times New Roman" w:hAnsi="Times New Roman" w:eastAsia="黑体" w:cs="Times New Roman"/>
          <w:color w:val="000000"/>
          <w:kern w:val="0"/>
          <w:sz w:val="32"/>
          <w:szCs w:val="32"/>
          <w:highlight w:val="none"/>
          <w:shd w:val="clear" w:color="auto" w:fill="FFFFFF"/>
          <w:lang w:val="zh-CN" w:eastAsia="zh-CN"/>
        </w:rPr>
        <w:t>四、</w:t>
      </w:r>
      <w:r>
        <w:rPr>
          <w:rFonts w:hint="default" w:ascii="Times New Roman" w:hAnsi="Times New Roman" w:eastAsia="黑体" w:cs="Times New Roman"/>
          <w:color w:val="000000"/>
          <w:kern w:val="0"/>
          <w:sz w:val="32"/>
          <w:szCs w:val="32"/>
          <w:highlight w:val="none"/>
          <w:shd w:val="clear" w:color="auto" w:fill="FFFFFF"/>
          <w:lang w:val="zh-CN"/>
        </w:rPr>
        <w:t>评价结论及建议</w:t>
      </w:r>
    </w:p>
    <w:p>
      <w:pPr>
        <w:keepNext w:val="0"/>
        <w:keepLines w:val="0"/>
        <w:pageBreakBefore w:val="0"/>
        <w:widowControl/>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default" w:ascii="Times New Roman" w:hAnsi="Times New Roman" w:eastAsia="仿宋_GB2312" w:cs="Times New Roman"/>
          <w:sz w:val="32"/>
          <w:szCs w:val="32"/>
          <w:u w:val="none"/>
          <w:lang w:val="en-US" w:eastAsia="zh-CN" w:bidi="ar"/>
        </w:rPr>
      </w:pPr>
      <w:r>
        <w:rPr>
          <w:rFonts w:hint="default" w:ascii="Times New Roman" w:hAnsi="Times New Roman" w:eastAsia="楷体_GB2312" w:cs="Times New Roman"/>
          <w:b/>
          <w:bCs/>
          <w:color w:val="000000"/>
          <w:kern w:val="0"/>
          <w:sz w:val="32"/>
          <w:szCs w:val="32"/>
          <w:highlight w:val="none"/>
          <w:shd w:val="clear" w:color="auto" w:fill="FFFFFF"/>
          <w:lang w:val="zh-CN"/>
        </w:rPr>
        <w:t>（一）评价结论。</w:t>
      </w:r>
      <w:r>
        <w:rPr>
          <w:rFonts w:hint="eastAsia" w:ascii="Times New Roman" w:hAnsi="Times New Roman" w:eastAsia="仿宋_GB2312" w:cs="Times New Roman"/>
          <w:sz w:val="32"/>
          <w:szCs w:val="32"/>
          <w:u w:val="none"/>
          <w:lang w:val="en-US" w:eastAsia="zh-CN" w:bidi="ar"/>
        </w:rPr>
        <w:t>简要阐述部门预算绩效自评总体结论，其中必须包含自评得分。</w:t>
      </w:r>
    </w:p>
    <w:p>
      <w:pPr>
        <w:keepNext w:val="0"/>
        <w:keepLines w:val="0"/>
        <w:pageBreakBefore w:val="0"/>
        <w:widowControl/>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eastAsia" w:ascii="Times New Roman" w:hAnsi="Times New Roman" w:eastAsia="仿宋_GB2312" w:cs="Times New Roman"/>
          <w:sz w:val="32"/>
          <w:szCs w:val="32"/>
          <w:u w:val="none"/>
          <w:lang w:val="en-US" w:eastAsia="zh-CN" w:bidi="ar"/>
        </w:rPr>
      </w:pPr>
      <w:r>
        <w:rPr>
          <w:rFonts w:hint="default" w:ascii="Times New Roman" w:hAnsi="Times New Roman" w:eastAsia="楷体_GB2312" w:cs="Times New Roman"/>
          <w:b/>
          <w:bCs/>
          <w:color w:val="000000"/>
          <w:kern w:val="0"/>
          <w:sz w:val="32"/>
          <w:szCs w:val="32"/>
          <w:highlight w:val="none"/>
          <w:shd w:val="clear" w:color="auto" w:fill="FFFFFF"/>
          <w:lang w:val="zh-CN"/>
        </w:rPr>
        <w:t>（二）存在问题。</w:t>
      </w:r>
      <w:r>
        <w:rPr>
          <w:rFonts w:hint="eastAsia" w:ascii="Times New Roman" w:hAnsi="Times New Roman" w:eastAsia="仿宋_GB2312" w:cs="Times New Roman"/>
          <w:sz w:val="32"/>
          <w:szCs w:val="32"/>
          <w:u w:val="none"/>
          <w:lang w:val="en-US" w:eastAsia="zh-CN" w:bidi="ar"/>
        </w:rPr>
        <w:t>简要阐述部门预算绩效自评发现的主要问题。</w:t>
      </w:r>
    </w:p>
    <w:p>
      <w:pPr>
        <w:keepNext w:val="0"/>
        <w:keepLines w:val="0"/>
        <w:pageBreakBefore w:val="0"/>
        <w:widowControl/>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eastAsia" w:ascii="Times New Roman" w:hAnsi="Times New Roman" w:eastAsia="仿宋_GB2312" w:cs="Times New Roman"/>
          <w:sz w:val="32"/>
          <w:szCs w:val="32"/>
          <w:u w:val="none"/>
          <w:lang w:val="en" w:eastAsia="zh-CN" w:bidi="ar"/>
        </w:rPr>
      </w:pPr>
      <w:r>
        <w:rPr>
          <w:rFonts w:hint="default" w:ascii="Times New Roman" w:hAnsi="Times New Roman" w:eastAsia="楷体_GB2312" w:cs="Times New Roman"/>
          <w:b/>
          <w:bCs/>
          <w:color w:val="000000"/>
          <w:kern w:val="0"/>
          <w:sz w:val="32"/>
          <w:szCs w:val="32"/>
          <w:highlight w:val="none"/>
          <w:shd w:val="clear" w:color="auto" w:fill="FFFFFF"/>
          <w:lang w:val="zh-CN" w:eastAsia="zh-CN"/>
        </w:rPr>
        <w:t>（三）改进建议。</w:t>
      </w:r>
      <w:r>
        <w:rPr>
          <w:rFonts w:hint="eastAsia" w:ascii="Times New Roman" w:hAnsi="Times New Roman" w:eastAsia="仿宋_GB2312" w:cs="Times New Roman"/>
          <w:sz w:val="32"/>
          <w:szCs w:val="32"/>
          <w:u w:val="none"/>
          <w:lang w:val="en-US" w:eastAsia="zh-CN" w:bidi="ar"/>
        </w:rPr>
        <w:t>简要阐述</w:t>
      </w:r>
      <w:bookmarkStart w:id="53" w:name="_Hlk110546638"/>
      <w:r>
        <w:rPr>
          <w:rFonts w:hint="eastAsia" w:ascii="Times New Roman" w:hAnsi="Times New Roman" w:eastAsia="仿宋_GB2312" w:cs="Times New Roman"/>
          <w:sz w:val="32"/>
          <w:szCs w:val="32"/>
          <w:u w:val="none"/>
          <w:lang w:val="en" w:eastAsia="zh-CN" w:bidi="ar"/>
        </w:rPr>
        <w:t>预算安排、完善政策、改进管理等方面的</w:t>
      </w:r>
      <w:r>
        <w:rPr>
          <w:rFonts w:hint="eastAsia" w:ascii="Times New Roman" w:hAnsi="Times New Roman" w:eastAsia="仿宋_GB2312" w:cs="Times New Roman"/>
          <w:sz w:val="32"/>
          <w:szCs w:val="32"/>
          <w:u w:val="none"/>
          <w:lang w:val="en-US" w:eastAsia="zh-CN" w:bidi="ar"/>
        </w:rPr>
        <w:t>措施</w:t>
      </w:r>
      <w:r>
        <w:rPr>
          <w:rFonts w:hint="eastAsia" w:ascii="Times New Roman" w:hAnsi="Times New Roman" w:eastAsia="仿宋_GB2312" w:cs="Times New Roman"/>
          <w:sz w:val="32"/>
          <w:szCs w:val="32"/>
          <w:u w:val="none"/>
          <w:lang w:val="en" w:eastAsia="zh-CN" w:bidi="ar"/>
        </w:rPr>
        <w:t>建议，其中</w:t>
      </w:r>
      <w:r>
        <w:rPr>
          <w:rFonts w:hint="eastAsia" w:ascii="Times New Roman" w:hAnsi="Times New Roman" w:eastAsia="仿宋_GB2312" w:cs="Times New Roman"/>
          <w:sz w:val="32"/>
          <w:szCs w:val="32"/>
          <w:u w:val="none"/>
          <w:lang w:val="en-US" w:eastAsia="zh-CN" w:bidi="ar"/>
        </w:rPr>
        <w:t>必须对应评价发现的主要问题一一提出措施建议。</w:t>
      </w:r>
    </w:p>
    <w:bookmarkEnd w:id="53"/>
    <w:p>
      <w:pPr>
        <w:pStyle w:val="8"/>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Times New Roman"/>
          <w:kern w:val="2"/>
          <w:sz w:val="32"/>
          <w:szCs w:val="32"/>
          <w:u w:val="none"/>
          <w:lang w:val="zh-CN" w:eastAsia="zh-CN" w:bidi="ar"/>
        </w:rPr>
      </w:pPr>
    </w:p>
    <w:p>
      <w:pPr>
        <w:pStyle w:val="8"/>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Times New Roman"/>
          <w:kern w:val="2"/>
          <w:sz w:val="32"/>
          <w:szCs w:val="32"/>
          <w:u w:val="none"/>
          <w:lang w:val="zh-CN" w:eastAsia="zh-CN" w:bidi="ar"/>
        </w:rPr>
      </w:pPr>
      <w:r>
        <w:rPr>
          <w:rFonts w:hint="eastAsia" w:ascii="Times New Roman" w:hAnsi="Times New Roman" w:eastAsia="仿宋_GB2312" w:cs="Times New Roman"/>
          <w:kern w:val="2"/>
          <w:sz w:val="32"/>
          <w:szCs w:val="32"/>
          <w:u w:val="none"/>
          <w:lang w:val="zh-CN" w:eastAsia="zh-CN" w:bidi="ar"/>
        </w:rPr>
        <w:t>附表：</w:t>
      </w:r>
      <w:r>
        <w:rPr>
          <w:rFonts w:hint="eastAsia" w:ascii="Times New Roman" w:hAnsi="Times New Roman" w:eastAsia="仿宋_GB2312" w:cs="Times New Roman"/>
          <w:kern w:val="2"/>
          <w:sz w:val="32"/>
          <w:szCs w:val="32"/>
          <w:u w:val="none"/>
          <w:lang w:val="en-US" w:eastAsia="zh-CN" w:bidi="ar"/>
        </w:rPr>
        <w:t>部门预算项目支出绩效自评表（2024年度）</w:t>
      </w:r>
    </w:p>
    <w:p>
      <w:pPr>
        <w:pStyle w:val="8"/>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（注：按照绩效自评工作安排，各部门已在预算管理一体化系统绩效自评模块上传“部门预算项目支出绩效自评表（2024年度）”，该表格应作为附表予以公开）</w:t>
      </w:r>
    </w:p>
    <w:p>
      <w:pPr>
        <w:pStyle w:val="8"/>
        <w:keepNext w:val="0"/>
        <w:keepLines w:val="0"/>
        <w:pageBreakBefore w:val="0"/>
        <w:numPr>
          <w:ilvl w:val="0"/>
          <w:numId w:val="0"/>
        </w:numPr>
        <w:kinsoku/>
        <w:wordWrap/>
        <w:overflowPunct/>
        <w:topLinePunct w:val="0"/>
        <w:autoSpaceDE/>
        <w:autoSpaceDN/>
        <w:bidi w:val="0"/>
        <w:spacing w:line="560" w:lineRule="exact"/>
        <w:textAlignment w:val="auto"/>
        <w:rPr>
          <w:rFonts w:hint="eastAsia" w:ascii="Times New Roman" w:hAnsi="Times New Roman" w:cs="Times New Roman"/>
          <w:sz w:val="32"/>
          <w:szCs w:val="32"/>
          <w:highlight w:val="yellow"/>
          <w:lang w:val="zh-CN" w:eastAsia="zh-CN"/>
        </w:rPr>
      </w:pPr>
    </w:p>
    <w:p>
      <w:pPr>
        <w:pStyle w:val="6"/>
        <w:rPr>
          <w:rFonts w:hint="eastAsia" w:ascii="Times New Roman" w:hAnsi="Times New Roman" w:cs="宋体"/>
          <w:color w:val="FF0000"/>
          <w:kern w:val="0"/>
          <w:sz w:val="32"/>
          <w:szCs w:val="32"/>
          <w:highlight w:val="yellow"/>
          <w:shd w:val="clear" w:color="auto" w:fill="FFFFFF"/>
          <w:lang w:val="zh-CN"/>
        </w:rPr>
      </w:pPr>
    </w:p>
    <w:p>
      <w:pPr>
        <w:rPr>
          <w:rFonts w:hint="eastAsia" w:ascii="Times New Roman" w:hAnsi="Times New Roman" w:eastAsia="黑体" w:cs="黑体"/>
          <w:color w:val="auto"/>
          <w:kern w:val="0"/>
          <w:sz w:val="32"/>
          <w:szCs w:val="32"/>
          <w:highlight w:val="none"/>
          <w:shd w:val="clear" w:color="auto" w:fill="FFFFFF"/>
          <w:lang w:val="zh-CN"/>
        </w:rPr>
      </w:pPr>
      <w:r>
        <w:rPr>
          <w:rFonts w:hint="eastAsia" w:ascii="Times New Roman" w:hAnsi="Times New Roman" w:eastAsia="黑体" w:cs="黑体"/>
          <w:color w:val="auto"/>
          <w:kern w:val="0"/>
          <w:sz w:val="32"/>
          <w:szCs w:val="32"/>
          <w:highlight w:val="none"/>
          <w:shd w:val="clear" w:color="auto" w:fill="FFFFFF"/>
          <w:lang w:val="zh-CN"/>
        </w:rPr>
        <w:br w:type="page"/>
      </w:r>
    </w:p>
    <w:p>
      <w:pPr>
        <w:pStyle w:val="6"/>
        <w:rPr>
          <w:rFonts w:hint="eastAsia" w:ascii="Times New Roman" w:hAnsi="Times New Roman" w:eastAsia="黑体" w:cs="黑体"/>
          <w:color w:val="auto"/>
          <w:sz w:val="32"/>
          <w:szCs w:val="32"/>
          <w:highlight w:val="none"/>
          <w:lang w:val="en-US" w:eastAsia="zh-CN"/>
        </w:rPr>
      </w:pPr>
      <w:r>
        <w:rPr>
          <w:rFonts w:hint="eastAsia" w:ascii="Times New Roman" w:hAnsi="Times New Roman" w:eastAsia="黑体" w:cs="黑体"/>
          <w:color w:val="auto"/>
          <w:kern w:val="0"/>
          <w:sz w:val="32"/>
          <w:szCs w:val="32"/>
          <w:highlight w:val="none"/>
          <w:shd w:val="clear" w:color="auto" w:fill="FFFFFF"/>
          <w:lang w:val="zh-CN"/>
        </w:rPr>
        <w:t>附件</w:t>
      </w:r>
      <w:r>
        <w:rPr>
          <w:rFonts w:hint="eastAsia" w:ascii="Times New Roman" w:hAnsi="Times New Roman" w:eastAsia="黑体" w:cs="黑体"/>
          <w:color w:val="auto"/>
          <w:kern w:val="0"/>
          <w:sz w:val="32"/>
          <w:szCs w:val="32"/>
          <w:highlight w:val="none"/>
          <w:shd w:val="clear" w:color="auto" w:fill="FFFFFF"/>
          <w:lang w:val="en-US" w:eastAsia="zh-CN"/>
        </w:rPr>
        <w:t>2</w:t>
      </w:r>
    </w:p>
    <w:p>
      <w:pPr>
        <w:pStyle w:val="35"/>
        <w:keepNext w:val="0"/>
        <w:keepLines w:val="0"/>
        <w:pageBreakBefore w:val="0"/>
        <w:widowControl w:val="0"/>
        <w:kinsoku/>
        <w:wordWrap/>
        <w:overflowPunct/>
        <w:topLinePunct w:val="0"/>
        <w:autoSpaceDE/>
        <w:autoSpaceDN/>
        <w:bidi w:val="0"/>
        <w:spacing w:line="578" w:lineRule="exact"/>
        <w:ind w:left="0" w:leftChars="0"/>
        <w:jc w:val="center"/>
        <w:textAlignment w:val="auto"/>
        <w:rPr>
          <w:rFonts w:hint="eastAsia" w:ascii="Times New Roman" w:hAnsi="Times New Roman" w:eastAsia="方正小标宋简体" w:cs="方正小标宋简体"/>
          <w:color w:val="auto"/>
          <w:kern w:val="2"/>
          <w:sz w:val="44"/>
          <w:szCs w:val="44"/>
          <w:highlight w:val="none"/>
          <w:lang w:val="en-US" w:eastAsia="zh-CN"/>
        </w:rPr>
      </w:pPr>
    </w:p>
    <w:p>
      <w:pPr>
        <w:pStyle w:val="35"/>
        <w:keepNext w:val="0"/>
        <w:keepLines w:val="0"/>
        <w:pageBreakBefore w:val="0"/>
        <w:widowControl w:val="0"/>
        <w:kinsoku/>
        <w:wordWrap/>
        <w:overflowPunct/>
        <w:topLinePunct w:val="0"/>
        <w:autoSpaceDE/>
        <w:autoSpaceDN/>
        <w:bidi w:val="0"/>
        <w:spacing w:line="578" w:lineRule="exact"/>
        <w:ind w:left="0" w:leftChars="0"/>
        <w:jc w:val="center"/>
        <w:textAlignment w:val="auto"/>
        <w:rPr>
          <w:rFonts w:hint="eastAsia" w:ascii="Times New Roman" w:hAnsi="Times New Roman" w:eastAsia="方正小标宋简体" w:cs="方正小标宋简体"/>
          <w:color w:val="auto"/>
          <w:kern w:val="2"/>
          <w:sz w:val="44"/>
          <w:szCs w:val="44"/>
          <w:highlight w:val="none"/>
          <w:lang w:val="en-US" w:eastAsia="zh-CN"/>
        </w:rPr>
      </w:pPr>
      <w:r>
        <w:rPr>
          <w:rFonts w:hint="eastAsia" w:ascii="Times New Roman" w:hAnsi="Times New Roman" w:eastAsia="方正小标宋简体" w:cs="方正小标宋简体"/>
          <w:color w:val="auto"/>
          <w:kern w:val="2"/>
          <w:sz w:val="44"/>
          <w:szCs w:val="44"/>
          <w:highlight w:val="none"/>
          <w:lang w:val="en-US" w:eastAsia="zh-CN"/>
        </w:rPr>
        <w:t>专项预算项目绩效评价报告范本</w:t>
      </w:r>
    </w:p>
    <w:p>
      <w:pPr>
        <w:pStyle w:val="35"/>
        <w:keepNext w:val="0"/>
        <w:keepLines w:val="0"/>
        <w:pageBreakBefore w:val="0"/>
        <w:widowControl w:val="0"/>
        <w:kinsoku/>
        <w:wordWrap/>
        <w:overflowPunct/>
        <w:topLinePunct w:val="0"/>
        <w:autoSpaceDE/>
        <w:autoSpaceDN/>
        <w:bidi w:val="0"/>
        <w:spacing w:line="578" w:lineRule="exact"/>
        <w:ind w:left="0" w:leftChars="0" w:firstLine="640"/>
        <w:jc w:val="center"/>
        <w:textAlignment w:val="auto"/>
        <w:rPr>
          <w:rFonts w:ascii="Times New Roman" w:hAnsi="Times New Roman"/>
          <w:color w:val="auto"/>
          <w:kern w:val="2"/>
          <w:sz w:val="32"/>
          <w:szCs w:val="32"/>
          <w:highlight w:val="none"/>
        </w:rPr>
      </w:pPr>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ascii="Times New Roman" w:hAnsi="Times New Roman" w:eastAsia="黑体"/>
          <w:sz w:val="32"/>
          <w:szCs w:val="32"/>
          <w:highlight w:val="none"/>
          <w:lang w:val="zh-CN"/>
        </w:rPr>
      </w:pPr>
      <w:r>
        <w:rPr>
          <w:rFonts w:hint="eastAsia" w:ascii="Times New Roman" w:hAnsi="Times New Roman" w:eastAsia="黑体"/>
          <w:sz w:val="32"/>
          <w:szCs w:val="32"/>
          <w:highlight w:val="none"/>
        </w:rPr>
        <w:t>一、</w:t>
      </w:r>
      <w:r>
        <w:rPr>
          <w:rFonts w:hint="eastAsia" w:ascii="Times New Roman" w:hAnsi="Times New Roman" w:eastAsia="黑体"/>
          <w:sz w:val="32"/>
          <w:szCs w:val="32"/>
          <w:highlight w:val="none"/>
          <w:lang w:val="zh-CN"/>
        </w:rPr>
        <w:t>项目概况</w:t>
      </w: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3" w:firstLineChars="200"/>
        <w:contextualSpacing/>
        <w:jc w:val="left"/>
        <w:textAlignment w:val="auto"/>
        <w:rPr>
          <w:rFonts w:hint="eastAsia" w:ascii="Times New Roman" w:hAnsi="Times New Roman" w:eastAsia="仿宋_GB2312" w:cs="仿宋_GB2312"/>
          <w:color w:val="auto"/>
          <w:kern w:val="0"/>
          <w:sz w:val="32"/>
          <w:szCs w:val="32"/>
          <w:highlight w:val="none"/>
          <w:u w:val="none"/>
          <w:shd w:val="clear" w:color="auto" w:fill="FFFFFF"/>
          <w:lang w:val="zh-CN"/>
        </w:rPr>
      </w:pPr>
      <w:r>
        <w:rPr>
          <w:rFonts w:hint="eastAsia" w:ascii="Times New Roman" w:hAnsi="Times New Roman" w:eastAsia="楷体_GB2312"/>
          <w:b/>
          <w:color w:val="auto"/>
          <w:sz w:val="32"/>
          <w:szCs w:val="32"/>
          <w:highlight w:val="none"/>
          <w:u w:val="none"/>
          <w:lang w:val="zh-CN"/>
        </w:rPr>
        <w:t>（一）设立背景及基本情况。</w:t>
      </w:r>
      <w:r>
        <w:rPr>
          <w:rFonts w:hint="eastAsia" w:ascii="Times New Roman" w:hAnsi="Times New Roman" w:eastAsia="仿宋_GB2312" w:cs="仿宋_GB2312"/>
          <w:b w:val="0"/>
          <w:bCs w:val="0"/>
          <w:kern w:val="0"/>
          <w:position w:val="0"/>
          <w:sz w:val="32"/>
          <w:szCs w:val="32"/>
          <w:highlight w:val="none"/>
          <w:lang w:val="en-US" w:eastAsia="zh-CN" w:bidi="ar-SA"/>
        </w:rPr>
        <w:t>项目设立原因及背景，</w:t>
      </w:r>
      <w:r>
        <w:rPr>
          <w:rFonts w:hint="eastAsia" w:ascii="Times New Roman" w:hAnsi="Times New Roman" w:eastAsia="仿宋_GB2312" w:cs="仿宋_GB2312"/>
          <w:b w:val="0"/>
          <w:bCs w:val="0"/>
          <w:kern w:val="0"/>
          <w:position w:val="0"/>
          <w:sz w:val="32"/>
          <w:szCs w:val="32"/>
          <w:highlight w:val="none"/>
          <w:lang w:val="zh-CN" w:eastAsia="zh-CN" w:bidi="ar-SA"/>
        </w:rPr>
        <w:t>项目立项、资金申报的依据，项目主要内容</w:t>
      </w:r>
      <w:r>
        <w:rPr>
          <w:rFonts w:hint="eastAsia" w:ascii="Times New Roman" w:hAnsi="Times New Roman" w:eastAsia="仿宋_GB2312" w:cs="仿宋_GB2312"/>
          <w:b w:val="0"/>
          <w:bCs w:val="0"/>
          <w:kern w:val="0"/>
          <w:position w:val="0"/>
          <w:sz w:val="32"/>
          <w:szCs w:val="32"/>
          <w:highlight w:val="none"/>
          <w:lang w:val="en-US" w:eastAsia="zh-CN" w:bidi="ar-SA"/>
        </w:rPr>
        <w:t>。</w:t>
      </w:r>
      <w:r>
        <w:rPr>
          <w:rFonts w:hint="eastAsia" w:ascii="Times New Roman" w:hAnsi="Times New Roman" w:eastAsia="仿宋_GB2312" w:cs="仿宋_GB2312"/>
          <w:b w:val="0"/>
          <w:bCs w:val="0"/>
          <w:kern w:val="0"/>
          <w:position w:val="0"/>
          <w:sz w:val="32"/>
          <w:szCs w:val="32"/>
          <w:highlight w:val="none"/>
          <w:lang w:val="zh-CN" w:eastAsia="zh-CN" w:bidi="ar-SA"/>
        </w:rPr>
        <w:t>主管部门职能</w:t>
      </w:r>
      <w:r>
        <w:rPr>
          <w:rFonts w:hint="eastAsia" w:ascii="Times New Roman" w:hAnsi="Times New Roman" w:eastAsia="仿宋_GB2312" w:cs="仿宋_GB2312"/>
          <w:color w:val="auto"/>
          <w:kern w:val="0"/>
          <w:sz w:val="32"/>
          <w:szCs w:val="32"/>
          <w:highlight w:val="none"/>
          <w:u w:val="none"/>
          <w:shd w:val="clear" w:color="auto" w:fill="FFFFFF"/>
          <w:lang w:val="zh-CN"/>
        </w:rPr>
        <w:t>。</w:t>
      </w:r>
    </w:p>
    <w:p>
      <w:pPr>
        <w:keepNext w:val="0"/>
        <w:keepLines w:val="0"/>
        <w:pageBreakBefore w:val="0"/>
        <w:kinsoku/>
        <w:wordWrap/>
        <w:overflowPunct/>
        <w:topLinePunct w:val="0"/>
        <w:autoSpaceDE/>
        <w:autoSpaceDN/>
        <w:bidi w:val="0"/>
        <w:adjustRightInd w:val="0"/>
        <w:snapToGrid w:val="0"/>
        <w:spacing w:line="578" w:lineRule="exact"/>
        <w:ind w:left="0" w:leftChars="0" w:firstLine="643" w:firstLineChars="200"/>
        <w:textAlignment w:val="auto"/>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楷体_GB2312"/>
          <w:b/>
          <w:color w:val="auto"/>
          <w:sz w:val="32"/>
          <w:szCs w:val="32"/>
          <w:highlight w:val="none"/>
          <w:u w:val="none"/>
          <w:lang w:val="zh-CN"/>
        </w:rPr>
        <w:t>（</w:t>
      </w:r>
      <w:r>
        <w:rPr>
          <w:rFonts w:hint="eastAsia" w:ascii="Times New Roman" w:hAnsi="Times New Roman" w:eastAsia="楷体_GB2312" w:cs="Times New Roman"/>
          <w:b/>
          <w:color w:val="auto"/>
          <w:sz w:val="32"/>
          <w:szCs w:val="32"/>
          <w:highlight w:val="none"/>
          <w:u w:val="none"/>
          <w:lang w:val="zh-CN"/>
        </w:rPr>
        <w:t>二）</w:t>
      </w:r>
      <w:r>
        <w:rPr>
          <w:rFonts w:hint="default" w:ascii="Times New Roman" w:hAnsi="Times New Roman" w:eastAsia="楷体_GB2312" w:cs="Times New Roman"/>
          <w:b/>
          <w:color w:val="auto"/>
          <w:sz w:val="32"/>
          <w:szCs w:val="32"/>
          <w:highlight w:val="none"/>
          <w:u w:val="none"/>
          <w:lang w:val="en-US" w:eastAsia="zh-CN"/>
        </w:rPr>
        <w:t>实施目的及支持方向</w:t>
      </w:r>
      <w:r>
        <w:rPr>
          <w:rFonts w:hint="eastAsia" w:ascii="Times New Roman" w:hAnsi="Times New Roman" w:eastAsia="楷体_GB2312" w:cs="Times New Roman"/>
          <w:b/>
          <w:color w:val="auto"/>
          <w:sz w:val="32"/>
          <w:szCs w:val="32"/>
          <w:highlight w:val="none"/>
          <w:u w:val="none"/>
          <w:lang w:val="en-US" w:eastAsia="zh-CN"/>
        </w:rPr>
        <w:t>。</w:t>
      </w:r>
      <w:r>
        <w:rPr>
          <w:rFonts w:hint="eastAsia" w:ascii="Times New Roman" w:hAnsi="Times New Roman" w:eastAsia="仿宋_GB2312" w:cs="仿宋_GB2312"/>
          <w:b w:val="0"/>
          <w:bCs w:val="0"/>
          <w:kern w:val="0"/>
          <w:position w:val="0"/>
          <w:sz w:val="32"/>
          <w:szCs w:val="32"/>
          <w:highlight w:val="none"/>
          <w:lang w:val="en-US" w:eastAsia="zh-CN" w:bidi="ar-SA"/>
        </w:rPr>
        <w:t>项目资金</w:t>
      </w:r>
      <w:r>
        <w:rPr>
          <w:rFonts w:hint="eastAsia" w:ascii="Times New Roman" w:hAnsi="Times New Roman" w:eastAsia="仿宋_GB2312" w:cs="仿宋_GB2312"/>
          <w:b w:val="0"/>
          <w:bCs w:val="0"/>
          <w:kern w:val="0"/>
          <w:position w:val="0"/>
          <w:sz w:val="32"/>
          <w:szCs w:val="32"/>
          <w:highlight w:val="none"/>
          <w:lang w:val="zh-CN" w:eastAsia="zh-CN" w:bidi="ar-SA"/>
        </w:rPr>
        <w:t>管理办法制定情况，项目实施目的和主要工作任务，项目支持方向。</w:t>
      </w: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3" w:firstLineChars="200"/>
        <w:contextualSpacing/>
        <w:jc w:val="left"/>
        <w:textAlignment w:val="auto"/>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楷体_GB2312" w:cs="Times New Roman"/>
          <w:b/>
          <w:color w:val="auto"/>
          <w:sz w:val="32"/>
          <w:szCs w:val="32"/>
          <w:highlight w:val="none"/>
          <w:u w:val="none"/>
          <w:lang w:val="zh-CN" w:eastAsia="zh-CN"/>
        </w:rPr>
        <w:t>（三）</w:t>
      </w:r>
      <w:r>
        <w:rPr>
          <w:rFonts w:hint="default" w:ascii="Times New Roman" w:hAnsi="Times New Roman" w:eastAsia="楷体_GB2312" w:cs="Times New Roman"/>
          <w:b/>
          <w:color w:val="auto"/>
          <w:sz w:val="32"/>
          <w:szCs w:val="32"/>
          <w:highlight w:val="none"/>
          <w:u w:val="none"/>
          <w:lang w:val="en-US" w:eastAsia="zh-CN"/>
        </w:rPr>
        <w:t>预算安排及分配管理</w:t>
      </w:r>
      <w:r>
        <w:rPr>
          <w:rFonts w:hint="eastAsia" w:ascii="Times New Roman" w:hAnsi="Times New Roman" w:eastAsia="楷体_GB2312" w:cs="Times New Roman"/>
          <w:b/>
          <w:color w:val="auto"/>
          <w:sz w:val="32"/>
          <w:szCs w:val="32"/>
          <w:highlight w:val="none"/>
          <w:u w:val="none"/>
          <w:lang w:val="zh-CN" w:eastAsia="zh-CN"/>
        </w:rPr>
        <w:t>。</w:t>
      </w:r>
      <w:r>
        <w:rPr>
          <w:rFonts w:hint="eastAsia" w:ascii="Times New Roman" w:hAnsi="Times New Roman" w:eastAsia="仿宋_GB2312" w:cs="仿宋_GB2312"/>
          <w:b w:val="0"/>
          <w:bCs w:val="0"/>
          <w:kern w:val="0"/>
          <w:position w:val="0"/>
          <w:sz w:val="32"/>
          <w:szCs w:val="32"/>
          <w:highlight w:val="none"/>
          <w:lang w:val="zh-CN" w:eastAsia="zh-CN" w:bidi="ar-SA"/>
        </w:rPr>
        <w:t>项目预算安排情况，项目资金分配原则及考虑因素，项目资金分配情况。</w:t>
      </w:r>
    </w:p>
    <w:p>
      <w:pPr>
        <w:keepNext w:val="0"/>
        <w:keepLines w:val="0"/>
        <w:pageBreakBefore w:val="0"/>
        <w:kinsoku/>
        <w:wordWrap/>
        <w:overflowPunct/>
        <w:topLinePunct w:val="0"/>
        <w:autoSpaceDE/>
        <w:autoSpaceDN/>
        <w:bidi w:val="0"/>
        <w:adjustRightInd w:val="0"/>
        <w:snapToGrid w:val="0"/>
        <w:spacing w:line="578" w:lineRule="exact"/>
        <w:ind w:left="0" w:leftChars="0" w:firstLine="643" w:firstLineChars="200"/>
        <w:textAlignment w:val="auto"/>
        <w:rPr>
          <w:rFonts w:hint="default"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楷体_GB2312" w:cs="Times New Roman"/>
          <w:b/>
          <w:color w:val="auto"/>
          <w:sz w:val="32"/>
          <w:szCs w:val="32"/>
          <w:highlight w:val="none"/>
          <w:u w:val="none"/>
          <w:lang w:val="zh-CN" w:eastAsia="zh-CN"/>
        </w:rPr>
        <w:t>（四）项目绩效目标设置。</w:t>
      </w:r>
      <w:r>
        <w:rPr>
          <w:rFonts w:hint="eastAsia" w:ascii="Times New Roman" w:hAnsi="Times New Roman" w:eastAsia="仿宋_GB2312" w:cs="仿宋_GB2312"/>
          <w:b w:val="0"/>
          <w:bCs w:val="0"/>
          <w:kern w:val="0"/>
          <w:position w:val="0"/>
          <w:sz w:val="32"/>
          <w:szCs w:val="32"/>
          <w:highlight w:val="none"/>
          <w:lang w:val="zh-CN" w:eastAsia="zh-CN" w:bidi="ar-SA"/>
        </w:rPr>
        <w:t>项目整体、区域和具体绩效目标设置情况，项目自评工作开展情况。</w:t>
      </w:r>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outlineLvl w:val="9"/>
        <w:rPr>
          <w:rFonts w:hint="eastAsia" w:ascii="Times New Roman" w:hAnsi="Times New Roman" w:eastAsia="黑体"/>
          <w:sz w:val="32"/>
          <w:szCs w:val="32"/>
          <w:highlight w:val="none"/>
          <w:lang w:eastAsia="zh-CN"/>
        </w:rPr>
      </w:pPr>
      <w:r>
        <w:rPr>
          <w:rFonts w:hint="eastAsia" w:ascii="Times New Roman" w:hAnsi="Times New Roman" w:eastAsia="黑体"/>
          <w:sz w:val="32"/>
          <w:szCs w:val="32"/>
          <w:highlight w:val="none"/>
        </w:rPr>
        <w:t>二、</w:t>
      </w:r>
      <w:r>
        <w:rPr>
          <w:rFonts w:hint="eastAsia" w:ascii="Times New Roman" w:hAnsi="Times New Roman" w:eastAsia="黑体"/>
          <w:sz w:val="32"/>
          <w:szCs w:val="32"/>
          <w:highlight w:val="none"/>
          <w:lang w:eastAsia="zh-CN"/>
        </w:rPr>
        <w:t>评价实施</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楷体_GB2312"/>
          <w:b/>
          <w:color w:val="auto"/>
          <w:sz w:val="32"/>
          <w:szCs w:val="32"/>
          <w:highlight w:val="none"/>
          <w:u w:val="none"/>
          <w:lang w:val="zh-CN"/>
        </w:rPr>
        <w:t>（一）评价目的。</w:t>
      </w:r>
      <w:r>
        <w:rPr>
          <w:rFonts w:hint="eastAsia" w:ascii="Times New Roman" w:hAnsi="Times New Roman" w:eastAsia="仿宋_GB2312" w:cs="仿宋_GB2312"/>
          <w:b w:val="0"/>
          <w:bCs w:val="0"/>
          <w:kern w:val="0"/>
          <w:position w:val="0"/>
          <w:sz w:val="32"/>
          <w:szCs w:val="32"/>
          <w:highlight w:val="none"/>
          <w:lang w:val="zh-CN" w:eastAsia="zh-CN" w:bidi="ar-SA"/>
        </w:rPr>
        <w:t>通过项目绩效自评要实现的目的。</w:t>
      </w:r>
    </w:p>
    <w:p>
      <w:pPr>
        <w:keepNext w:val="0"/>
        <w:keepLines w:val="0"/>
        <w:pageBreakBefore w:val="0"/>
        <w:widowControl w:val="0"/>
        <w:kinsoku/>
        <w:wordWrap/>
        <w:overflowPunct/>
        <w:topLinePunct w:val="0"/>
        <w:autoSpaceDE/>
        <w:autoSpaceDN/>
        <w:bidi w:val="0"/>
        <w:adjustRightInd w:val="0"/>
        <w:snapToGrid w:val="0"/>
        <w:spacing w:line="578" w:lineRule="exact"/>
        <w:ind w:left="0" w:leftChars="0" w:firstLine="643" w:firstLineChars="200"/>
        <w:textAlignment w:val="auto"/>
        <w:outlineLvl w:val="9"/>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楷体_GB2312"/>
          <w:b/>
          <w:color w:val="auto"/>
          <w:sz w:val="32"/>
          <w:szCs w:val="32"/>
          <w:highlight w:val="none"/>
          <w:u w:val="none"/>
          <w:lang w:val="zh-CN"/>
        </w:rPr>
        <w:t>（二）预设问题及评价重点。</w:t>
      </w:r>
      <w:r>
        <w:rPr>
          <w:rFonts w:hint="eastAsia" w:ascii="Times New Roman" w:hAnsi="Times New Roman" w:eastAsia="仿宋_GB2312" w:cs="仿宋_GB2312"/>
          <w:b w:val="0"/>
          <w:bCs w:val="0"/>
          <w:kern w:val="0"/>
          <w:position w:val="0"/>
          <w:sz w:val="32"/>
          <w:szCs w:val="32"/>
          <w:highlight w:val="none"/>
          <w:lang w:val="zh-CN" w:eastAsia="zh-CN" w:bidi="ar-SA"/>
        </w:rPr>
        <w:t>按照绩效评价指标体系，对资金支出使用全过程及其实施效果进行综合评价和判断。</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楷体_GB2312"/>
          <w:b/>
          <w:color w:val="auto"/>
          <w:sz w:val="32"/>
          <w:szCs w:val="32"/>
          <w:highlight w:val="none"/>
          <w:u w:val="none"/>
          <w:lang w:val="zh-CN"/>
        </w:rPr>
      </w:pPr>
      <w:r>
        <w:rPr>
          <w:rFonts w:hint="eastAsia" w:ascii="Times New Roman" w:hAnsi="Times New Roman" w:eastAsia="楷体_GB2312"/>
          <w:b/>
          <w:color w:val="auto"/>
          <w:sz w:val="32"/>
          <w:szCs w:val="32"/>
          <w:highlight w:val="none"/>
          <w:u w:val="none"/>
          <w:lang w:val="zh-CN"/>
        </w:rPr>
        <w:t>（三）评价选点。</w:t>
      </w:r>
      <w:r>
        <w:rPr>
          <w:rFonts w:hint="eastAsia" w:ascii="Times New Roman" w:hAnsi="Times New Roman" w:eastAsia="仿宋_GB2312" w:cs="仿宋_GB2312"/>
          <w:b w:val="0"/>
          <w:color w:val="auto"/>
          <w:kern w:val="0"/>
          <w:sz w:val="32"/>
          <w:szCs w:val="32"/>
          <w:highlight w:val="none"/>
          <w:u w:val="none"/>
          <w:lang w:val="zh-CN"/>
        </w:rPr>
        <w:t>项目绩效自评所抽样点位情况。每个专项预算项目应选取专项资金分配涉及市县总数的20%、总计不超过20个的市县点位进行实地踏勘，且点位清单应作为自评附表。</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楷体_GB2312"/>
          <w:b/>
          <w:color w:val="auto"/>
          <w:sz w:val="32"/>
          <w:szCs w:val="32"/>
          <w:highlight w:val="none"/>
          <w:u w:val="none"/>
          <w:lang w:val="zh-CN"/>
        </w:rPr>
        <w:t>（四）评价方法。</w:t>
      </w:r>
      <w:r>
        <w:rPr>
          <w:rFonts w:hint="eastAsia" w:ascii="Times New Roman" w:hAnsi="Times New Roman" w:eastAsia="仿宋_GB2312" w:cs="仿宋_GB2312"/>
          <w:b w:val="0"/>
          <w:bCs w:val="0"/>
          <w:kern w:val="0"/>
          <w:position w:val="0"/>
          <w:sz w:val="32"/>
          <w:szCs w:val="32"/>
          <w:highlight w:val="none"/>
          <w:lang w:val="zh-CN" w:eastAsia="zh-CN" w:bidi="ar-SA"/>
        </w:rPr>
        <w:t>根据项目情况和评价重点，用来收集相关材料和开展具体评价的方法。包括：采用成本效益分析法、标杆管理法、案卷研究法、单位自评法、实地勘察法、问卷调查法、座谈调研法等多种方法。</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Times New Roman"/>
          <w:bCs/>
          <w:lang w:eastAsia="zh-CN"/>
        </w:rPr>
      </w:pPr>
      <w:r>
        <w:rPr>
          <w:rFonts w:hint="eastAsia" w:ascii="Times New Roman" w:hAnsi="Times New Roman" w:eastAsia="楷体_GB2312"/>
          <w:b/>
          <w:color w:val="auto"/>
          <w:sz w:val="32"/>
          <w:szCs w:val="32"/>
          <w:highlight w:val="none"/>
          <w:u w:val="none"/>
          <w:lang w:val="zh-CN"/>
        </w:rPr>
        <w:t>（五）评价组织。</w:t>
      </w:r>
      <w:r>
        <w:rPr>
          <w:rFonts w:hint="eastAsia" w:ascii="Times New Roman" w:hAnsi="Times New Roman" w:eastAsia="仿宋_GB2312" w:cs="仿宋_GB2312"/>
          <w:b w:val="0"/>
          <w:bCs w:val="0"/>
          <w:kern w:val="0"/>
          <w:position w:val="0"/>
          <w:sz w:val="32"/>
          <w:szCs w:val="32"/>
          <w:highlight w:val="none"/>
          <w:lang w:val="zh-CN" w:eastAsia="zh-CN" w:bidi="ar-SA"/>
        </w:rPr>
        <w:t>评价组人员构成和职责分工。</w:t>
      </w:r>
    </w:p>
    <w:p>
      <w:pPr>
        <w:keepNext w:val="0"/>
        <w:keepLines w:val="0"/>
        <w:pageBreakBefore w:val="0"/>
        <w:kinsoku/>
        <w:wordWrap/>
        <w:overflowPunct/>
        <w:topLinePunct w:val="0"/>
        <w:autoSpaceDE/>
        <w:autoSpaceDN/>
        <w:bidi w:val="0"/>
        <w:adjustRightInd w:val="0"/>
        <w:snapToGrid w:val="0"/>
        <w:spacing w:line="578" w:lineRule="exact"/>
        <w:ind w:firstLine="640" w:firstLineChars="200"/>
        <w:textAlignment w:val="auto"/>
        <w:rPr>
          <w:rFonts w:ascii="Times New Roman" w:hAnsi="Times New Roman"/>
          <w:color w:val="auto"/>
          <w:sz w:val="32"/>
          <w:szCs w:val="32"/>
          <w:highlight w:val="none"/>
          <w:u w:val="none"/>
          <w:lang w:val="zh-CN"/>
        </w:rPr>
      </w:pPr>
      <w:r>
        <w:rPr>
          <w:rFonts w:hint="eastAsia" w:ascii="Times New Roman" w:hAnsi="Times New Roman" w:eastAsia="黑体"/>
          <w:color w:val="auto"/>
          <w:sz w:val="32"/>
          <w:szCs w:val="32"/>
          <w:highlight w:val="none"/>
          <w:u w:val="none"/>
        </w:rPr>
        <w:t>三、</w:t>
      </w:r>
      <w:r>
        <w:rPr>
          <w:rFonts w:hint="eastAsia" w:ascii="Times New Roman" w:hAnsi="Times New Roman" w:eastAsia="黑体"/>
          <w:color w:val="auto"/>
          <w:sz w:val="32"/>
          <w:szCs w:val="32"/>
          <w:highlight w:val="none"/>
          <w:u w:val="none"/>
          <w:lang w:eastAsia="zh-CN"/>
        </w:rPr>
        <w:t>绩效分析</w:t>
      </w:r>
      <w:r>
        <w:rPr>
          <w:rFonts w:hint="eastAsia" w:ascii="Times New Roman" w:hAnsi="Times New Roman"/>
          <w:color w:val="auto"/>
          <w:sz w:val="32"/>
          <w:szCs w:val="32"/>
          <w:highlight w:val="none"/>
          <w:u w:val="none"/>
          <w:lang w:val="zh-CN"/>
        </w:rPr>
        <w:tab/>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default" w:ascii="Times New Roman" w:hAnsi="Times New Roman" w:eastAsia="仿宋_GB2312" w:cs="仿宋_GB2312"/>
          <w:b w:val="0"/>
          <w:bCs w:val="0"/>
          <w:kern w:val="0"/>
          <w:position w:val="0"/>
          <w:sz w:val="32"/>
          <w:szCs w:val="32"/>
          <w:highlight w:val="none"/>
          <w:lang w:val="zh-CN" w:eastAsia="zh-CN" w:bidi="ar-SA"/>
        </w:rPr>
        <w:t>根据</w:t>
      </w:r>
      <w:r>
        <w:rPr>
          <w:rFonts w:hint="eastAsia" w:ascii="Times New Roman" w:hAnsi="Times New Roman" w:eastAsia="仿宋_GB2312" w:cs="仿宋_GB2312"/>
          <w:b w:val="0"/>
          <w:bCs w:val="0"/>
          <w:kern w:val="0"/>
          <w:position w:val="0"/>
          <w:sz w:val="32"/>
          <w:szCs w:val="32"/>
          <w:highlight w:val="none"/>
          <w:lang w:val="zh-CN" w:eastAsia="zh-CN" w:bidi="ar-SA"/>
        </w:rPr>
        <w:t>项目</w:t>
      </w:r>
      <w:r>
        <w:rPr>
          <w:rFonts w:hint="default" w:ascii="Times New Roman" w:hAnsi="Times New Roman" w:eastAsia="仿宋_GB2312" w:cs="仿宋_GB2312"/>
          <w:b w:val="0"/>
          <w:bCs w:val="0"/>
          <w:kern w:val="0"/>
          <w:position w:val="0"/>
          <w:sz w:val="32"/>
          <w:szCs w:val="32"/>
          <w:highlight w:val="none"/>
          <w:lang w:val="zh-CN" w:eastAsia="zh-CN" w:bidi="ar-SA"/>
        </w:rPr>
        <w:t>预算绩效评价指标体系</w:t>
      </w:r>
      <w:r>
        <w:rPr>
          <w:rFonts w:hint="eastAsia" w:ascii="Times New Roman" w:hAnsi="Times New Roman" w:eastAsia="仿宋_GB2312" w:cs="仿宋_GB2312"/>
          <w:b w:val="0"/>
          <w:bCs w:val="0"/>
          <w:kern w:val="0"/>
          <w:position w:val="0"/>
          <w:sz w:val="32"/>
          <w:szCs w:val="32"/>
          <w:highlight w:val="none"/>
          <w:lang w:val="zh-CN" w:eastAsia="zh-CN" w:bidi="ar-SA"/>
        </w:rPr>
        <w:t>通用指标、专用指标、个性指标</w:t>
      </w:r>
      <w:r>
        <w:rPr>
          <w:rFonts w:hint="default" w:ascii="Times New Roman" w:hAnsi="Times New Roman" w:eastAsia="仿宋_GB2312" w:cs="仿宋_GB2312"/>
          <w:b w:val="0"/>
          <w:bCs w:val="0"/>
          <w:kern w:val="0"/>
          <w:position w:val="0"/>
          <w:sz w:val="32"/>
          <w:szCs w:val="32"/>
          <w:highlight w:val="none"/>
          <w:lang w:val="zh-CN" w:eastAsia="zh-CN" w:bidi="ar-SA"/>
        </w:rPr>
        <w:t>涉及</w:t>
      </w:r>
      <w:r>
        <w:rPr>
          <w:rFonts w:hint="eastAsia" w:ascii="Times New Roman" w:hAnsi="Times New Roman" w:eastAsia="仿宋_GB2312" w:cs="仿宋_GB2312"/>
          <w:b w:val="0"/>
          <w:bCs w:val="0"/>
          <w:kern w:val="0"/>
          <w:position w:val="0"/>
          <w:sz w:val="32"/>
          <w:szCs w:val="32"/>
          <w:highlight w:val="none"/>
          <w:lang w:val="zh-CN" w:eastAsia="zh-CN" w:bidi="ar-SA"/>
        </w:rPr>
        <w:t>二、三级</w:t>
      </w:r>
      <w:r>
        <w:rPr>
          <w:rFonts w:hint="default" w:ascii="Times New Roman" w:hAnsi="Times New Roman" w:eastAsia="仿宋_GB2312" w:cs="仿宋_GB2312"/>
          <w:b w:val="0"/>
          <w:bCs w:val="0"/>
          <w:kern w:val="0"/>
          <w:position w:val="0"/>
          <w:sz w:val="32"/>
          <w:szCs w:val="32"/>
          <w:highlight w:val="none"/>
          <w:lang w:val="zh-CN" w:eastAsia="zh-CN" w:bidi="ar-SA"/>
        </w:rPr>
        <w:t>指标进行</w:t>
      </w:r>
      <w:r>
        <w:rPr>
          <w:rFonts w:hint="eastAsia" w:ascii="Times New Roman" w:hAnsi="Times New Roman" w:eastAsia="仿宋_GB2312" w:cs="仿宋_GB2312"/>
          <w:b w:val="0"/>
          <w:bCs w:val="0"/>
          <w:kern w:val="0"/>
          <w:position w:val="0"/>
          <w:sz w:val="32"/>
          <w:szCs w:val="32"/>
          <w:highlight w:val="none"/>
          <w:lang w:val="zh-CN" w:eastAsia="zh-CN" w:bidi="ar-SA"/>
        </w:rPr>
        <w:t>逐项</w:t>
      </w:r>
      <w:r>
        <w:rPr>
          <w:rFonts w:hint="default" w:ascii="Times New Roman" w:hAnsi="Times New Roman" w:eastAsia="仿宋_GB2312" w:cs="仿宋_GB2312"/>
          <w:b w:val="0"/>
          <w:bCs w:val="0"/>
          <w:kern w:val="0"/>
          <w:position w:val="0"/>
          <w:sz w:val="32"/>
          <w:szCs w:val="32"/>
          <w:highlight w:val="none"/>
          <w:lang w:val="zh-CN" w:eastAsia="zh-CN" w:bidi="ar-SA"/>
        </w:rPr>
        <w:t>绩效分析</w:t>
      </w:r>
      <w:r>
        <w:rPr>
          <w:rFonts w:hint="eastAsia" w:ascii="Times New Roman" w:hAnsi="Times New Roman" w:eastAsia="仿宋_GB2312" w:cs="仿宋_GB2312"/>
          <w:b w:val="0"/>
          <w:bCs w:val="0"/>
          <w:kern w:val="0"/>
          <w:position w:val="0"/>
          <w:sz w:val="32"/>
          <w:szCs w:val="32"/>
          <w:highlight w:val="none"/>
          <w:lang w:val="zh-CN" w:eastAsia="zh-CN" w:bidi="ar-SA"/>
        </w:rPr>
        <w:t>并评分</w:t>
      </w:r>
      <w:r>
        <w:rPr>
          <w:rFonts w:hint="eastAsia" w:ascii="Times New Roman" w:hAnsi="Times New Roman" w:eastAsia="仿宋_GB2312" w:cs="仿宋_GB2312"/>
          <w:b w:val="0"/>
          <w:bCs w:val="0"/>
          <w:kern w:val="0"/>
          <w:position w:val="0"/>
          <w:sz w:val="32"/>
          <w:szCs w:val="32"/>
          <w:highlight w:val="none"/>
          <w:lang w:val="en-US" w:eastAsia="zh-CN" w:bidi="ar-SA"/>
        </w:rPr>
        <w:t>。</w:t>
      </w:r>
    </w:p>
    <w:p>
      <w:pPr>
        <w:keepNext w:val="0"/>
        <w:keepLines w:val="0"/>
        <w:pageBreakBefore w:val="0"/>
        <w:widowControl w:val="0"/>
        <w:kinsoku/>
        <w:wordWrap/>
        <w:overflowPunct/>
        <w:topLinePunct w:val="0"/>
        <w:autoSpaceDE/>
        <w:autoSpaceDN/>
        <w:bidi w:val="0"/>
        <w:adjustRightInd/>
        <w:snapToGrid/>
        <w:spacing w:line="578" w:lineRule="exact"/>
        <w:ind w:firstLine="640"/>
        <w:textAlignment w:val="auto"/>
        <w:outlineLvl w:val="9"/>
        <w:rPr>
          <w:rFonts w:hint="eastAsia" w:ascii="Times New Roman" w:hAnsi="Times New Roman" w:eastAsia="楷体_GB2312" w:cs="Times New Roman"/>
          <w:b/>
          <w:color w:val="auto"/>
          <w:sz w:val="32"/>
          <w:szCs w:val="32"/>
          <w:highlight w:val="none"/>
          <w:u w:val="none"/>
          <w:lang w:val="en-US" w:eastAsia="zh-CN"/>
        </w:rPr>
      </w:pPr>
      <w:r>
        <w:rPr>
          <w:rFonts w:hint="eastAsia" w:ascii="Times New Roman" w:hAnsi="Times New Roman" w:eastAsia="楷体_GB2312" w:cs="Times New Roman"/>
          <w:b/>
          <w:color w:val="auto"/>
          <w:sz w:val="32"/>
          <w:szCs w:val="32"/>
          <w:highlight w:val="none"/>
          <w:u w:val="none"/>
          <w:lang w:val="zh-CN"/>
        </w:rPr>
        <w:t>（一）</w:t>
      </w:r>
      <w:r>
        <w:rPr>
          <w:rFonts w:hint="eastAsia" w:ascii="Times New Roman" w:hAnsi="Times New Roman" w:eastAsia="楷体_GB2312" w:cs="Times New Roman"/>
          <w:b/>
          <w:color w:val="auto"/>
          <w:sz w:val="32"/>
          <w:szCs w:val="32"/>
          <w:highlight w:val="none"/>
          <w:u w:val="none"/>
          <w:lang w:val="en-US" w:eastAsia="zh-CN"/>
        </w:rPr>
        <w:t>通用指标</w:t>
      </w:r>
      <w:r>
        <w:rPr>
          <w:rFonts w:hint="default" w:ascii="Times New Roman" w:hAnsi="Times New Roman" w:eastAsia="楷体_GB2312" w:cs="Times New Roman"/>
          <w:b/>
          <w:bCs/>
          <w:color w:val="000000"/>
          <w:kern w:val="0"/>
          <w:sz w:val="32"/>
          <w:szCs w:val="32"/>
          <w:highlight w:val="none"/>
          <w:shd w:val="clear" w:color="auto" w:fill="FFFFFF"/>
          <w:lang w:val="zh-CN"/>
        </w:rPr>
        <w:t>绩效分析。</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1.</w:t>
      </w:r>
      <w:r>
        <w:rPr>
          <w:rFonts w:hint="eastAsia" w:ascii="Times New Roman" w:hAnsi="Times New Roman" w:eastAsia="仿宋_GB2312" w:cs="仿宋_GB2312"/>
          <w:b w:val="0"/>
          <w:bCs w:val="0"/>
          <w:kern w:val="0"/>
          <w:position w:val="0"/>
          <w:sz w:val="32"/>
          <w:szCs w:val="32"/>
          <w:highlight w:val="none"/>
          <w:lang w:val="zh-CN" w:eastAsia="zh-CN" w:bidi="ar-SA"/>
        </w:rPr>
        <w:t>项目决策。围绕决策程序、规划论证、资金投向进行绩效分析。</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2.</w:t>
      </w:r>
      <w:r>
        <w:rPr>
          <w:rFonts w:hint="eastAsia" w:ascii="Times New Roman" w:hAnsi="Times New Roman" w:eastAsia="仿宋_GB2312" w:cs="仿宋_GB2312"/>
          <w:b w:val="0"/>
          <w:bCs w:val="0"/>
          <w:kern w:val="0"/>
          <w:position w:val="0"/>
          <w:sz w:val="32"/>
          <w:szCs w:val="32"/>
          <w:highlight w:val="none"/>
          <w:lang w:val="zh-CN" w:eastAsia="zh-CN" w:bidi="ar-SA"/>
        </w:rPr>
        <w:t>项目管理。围绕制度办法、分配管理、绩效监管进行绩效分析。</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3.项目实施。</w:t>
      </w:r>
      <w:r>
        <w:rPr>
          <w:rFonts w:hint="eastAsia" w:ascii="Times New Roman" w:hAnsi="Times New Roman" w:eastAsia="仿宋_GB2312" w:cs="仿宋_GB2312"/>
          <w:b w:val="0"/>
          <w:bCs w:val="0"/>
          <w:kern w:val="0"/>
          <w:position w:val="0"/>
          <w:sz w:val="32"/>
          <w:szCs w:val="32"/>
          <w:highlight w:val="none"/>
          <w:lang w:val="zh-CN" w:eastAsia="zh-CN" w:bidi="ar-SA"/>
        </w:rPr>
        <w:t>围绕预算执行、资金使用进行绩效分析。</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4.项目结果。围绕</w:t>
      </w:r>
      <w:r>
        <w:rPr>
          <w:rFonts w:hint="eastAsia" w:ascii="Times New Roman" w:hAnsi="Times New Roman" w:eastAsia="仿宋_GB2312" w:cs="仿宋_GB2312"/>
          <w:b w:val="0"/>
          <w:bCs w:val="0"/>
          <w:kern w:val="0"/>
          <w:position w:val="0"/>
          <w:sz w:val="32"/>
          <w:szCs w:val="32"/>
          <w:highlight w:val="none"/>
          <w:lang w:val="zh-CN" w:eastAsia="zh-CN" w:bidi="ar-SA"/>
        </w:rPr>
        <w:t>目标完成、完成时效进行绩效分析。</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楷体_GB2312" w:cs="Times New Roman"/>
          <w:b/>
          <w:color w:val="auto"/>
          <w:sz w:val="32"/>
          <w:szCs w:val="32"/>
          <w:highlight w:val="none"/>
          <w:u w:val="none"/>
          <w:lang w:val="zh-CN"/>
        </w:rPr>
        <w:t>（二）</w:t>
      </w:r>
      <w:r>
        <w:rPr>
          <w:rFonts w:hint="eastAsia" w:ascii="Times New Roman" w:hAnsi="Times New Roman" w:eastAsia="楷体_GB2312" w:cs="Times New Roman"/>
          <w:b/>
          <w:color w:val="auto"/>
          <w:sz w:val="32"/>
          <w:szCs w:val="32"/>
          <w:highlight w:val="none"/>
          <w:u w:val="none"/>
          <w:lang w:val="en-US" w:eastAsia="zh-CN"/>
        </w:rPr>
        <w:t>专用指标</w:t>
      </w:r>
      <w:r>
        <w:rPr>
          <w:rFonts w:hint="default" w:ascii="Times New Roman" w:hAnsi="Times New Roman" w:eastAsia="楷体_GB2312" w:cs="Times New Roman"/>
          <w:b/>
          <w:bCs/>
          <w:color w:val="000000"/>
          <w:kern w:val="0"/>
          <w:sz w:val="32"/>
          <w:szCs w:val="32"/>
          <w:highlight w:val="none"/>
          <w:shd w:val="clear" w:color="auto" w:fill="FFFFFF"/>
          <w:lang w:val="zh-CN"/>
        </w:rPr>
        <w:t>绩效分析。</w:t>
      </w:r>
      <w:r>
        <w:rPr>
          <w:rFonts w:hint="eastAsia" w:ascii="Times New Roman" w:hAnsi="Times New Roman" w:eastAsia="仿宋_GB2312" w:cs="仿宋_GB2312"/>
          <w:b w:val="0"/>
          <w:bCs w:val="0"/>
          <w:kern w:val="0"/>
          <w:position w:val="0"/>
          <w:sz w:val="32"/>
          <w:szCs w:val="32"/>
          <w:highlight w:val="none"/>
          <w:lang w:val="zh-CN" w:eastAsia="zh-CN" w:bidi="ar-SA"/>
        </w:rPr>
        <w:t>根据</w:t>
      </w:r>
      <w:r>
        <w:rPr>
          <w:rFonts w:hint="eastAsia" w:ascii="Times New Roman" w:hAnsi="Times New Roman" w:eastAsia="仿宋_GB2312" w:cs="仿宋_GB2312"/>
          <w:b w:val="0"/>
          <w:bCs w:val="0"/>
          <w:kern w:val="0"/>
          <w:position w:val="0"/>
          <w:sz w:val="32"/>
          <w:szCs w:val="32"/>
          <w:highlight w:val="none"/>
          <w:lang w:val="en-US" w:eastAsia="zh-CN" w:bidi="ar-SA"/>
        </w:rPr>
        <w:t>专项预算项目资金支持对象选择所属指标进行绩效分析。支持对象</w:t>
      </w:r>
      <w:r>
        <w:rPr>
          <w:rFonts w:hint="eastAsia" w:ascii="Times New Roman" w:hAnsi="Times New Roman" w:eastAsia="仿宋_GB2312" w:cs="仿宋_GB2312"/>
          <w:b w:val="0"/>
          <w:bCs w:val="0"/>
          <w:kern w:val="0"/>
          <w:position w:val="0"/>
          <w:sz w:val="32"/>
          <w:szCs w:val="32"/>
          <w:highlight w:val="none"/>
          <w:lang w:val="zh-CN" w:eastAsia="zh-CN" w:bidi="ar-SA"/>
        </w:rPr>
        <w:t>包括产业发展、民生保障、基础设施、行政运转等方面。</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1.产业发展。围绕符合性、成长性、经济性进行绩效分析。</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2.</w:t>
      </w:r>
      <w:r>
        <w:rPr>
          <w:rFonts w:hint="eastAsia" w:ascii="Times New Roman" w:hAnsi="Times New Roman" w:eastAsia="仿宋_GB2312" w:cs="仿宋_GB2312"/>
          <w:b w:val="0"/>
          <w:bCs w:val="0"/>
          <w:kern w:val="0"/>
          <w:position w:val="0"/>
          <w:sz w:val="32"/>
          <w:szCs w:val="32"/>
          <w:highlight w:val="none"/>
          <w:lang w:val="zh-CN" w:eastAsia="zh-CN" w:bidi="ar-SA"/>
        </w:rPr>
        <w:t>民生保障。</w:t>
      </w:r>
      <w:r>
        <w:rPr>
          <w:rFonts w:hint="eastAsia" w:ascii="Times New Roman" w:hAnsi="Times New Roman" w:eastAsia="仿宋_GB2312" w:cs="仿宋_GB2312"/>
          <w:b w:val="0"/>
          <w:bCs w:val="0"/>
          <w:kern w:val="0"/>
          <w:position w:val="0"/>
          <w:sz w:val="32"/>
          <w:szCs w:val="32"/>
          <w:highlight w:val="none"/>
          <w:lang w:val="en-US" w:eastAsia="zh-CN" w:bidi="ar-SA"/>
        </w:rPr>
        <w:t>围绕区域均衡性、对象精准性、标准合理性、群众满意度进行绩效分析。</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3.基础设施。在建项目围绕工程进度和资金拨付进行绩效分析；建成项目围绕项目验收、功能实现、后续管护进行</w:t>
      </w:r>
      <w:r>
        <w:rPr>
          <w:rFonts w:hint="eastAsia" w:ascii="Times New Roman" w:hAnsi="Times New Roman" w:eastAsia="仿宋_GB2312" w:cs="仿宋_GB2312"/>
          <w:b w:val="0"/>
          <w:bCs w:val="0"/>
          <w:kern w:val="0"/>
          <w:position w:val="0"/>
          <w:sz w:val="32"/>
          <w:szCs w:val="32"/>
          <w:highlight w:val="none"/>
          <w:lang w:val="zh-CN" w:eastAsia="zh-CN" w:bidi="ar-SA"/>
        </w:rPr>
        <w:t>绩效分析。</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4.</w:t>
      </w:r>
      <w:r>
        <w:rPr>
          <w:rFonts w:hint="eastAsia" w:ascii="Times New Roman" w:hAnsi="Times New Roman" w:eastAsia="仿宋_GB2312" w:cs="仿宋_GB2312"/>
          <w:b w:val="0"/>
          <w:bCs w:val="0"/>
          <w:kern w:val="0"/>
          <w:position w:val="0"/>
          <w:sz w:val="32"/>
          <w:szCs w:val="32"/>
          <w:highlight w:val="none"/>
          <w:lang w:val="zh-CN" w:eastAsia="zh-CN" w:bidi="ar-SA"/>
        </w:rPr>
        <w:t>行政运转。围绕用途合规性、程序合规性、标准合规性进行绩效分析。</w:t>
      </w:r>
    </w:p>
    <w:p>
      <w:pPr>
        <w:keepNext w:val="0"/>
        <w:keepLines w:val="0"/>
        <w:pageBreakBefore w:val="0"/>
        <w:widowControl w:val="0"/>
        <w:kinsoku/>
        <w:wordWrap/>
        <w:overflowPunct/>
        <w:topLinePunct w:val="0"/>
        <w:autoSpaceDE/>
        <w:autoSpaceDN/>
        <w:bidi w:val="0"/>
        <w:adjustRightInd/>
        <w:snapToGrid/>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楷体_GB2312" w:cs="Times New Roman"/>
          <w:b/>
          <w:color w:val="auto"/>
          <w:sz w:val="32"/>
          <w:szCs w:val="32"/>
          <w:highlight w:val="none"/>
          <w:u w:val="none"/>
          <w:lang w:val="zh-CN"/>
        </w:rPr>
        <w:t>（三）</w:t>
      </w:r>
      <w:r>
        <w:rPr>
          <w:rFonts w:hint="eastAsia" w:ascii="Times New Roman" w:hAnsi="Times New Roman" w:eastAsia="楷体_GB2312" w:cs="Times New Roman"/>
          <w:b/>
          <w:color w:val="auto"/>
          <w:sz w:val="32"/>
          <w:szCs w:val="32"/>
          <w:highlight w:val="none"/>
          <w:u w:val="none"/>
          <w:lang w:val="en-US" w:eastAsia="zh-CN"/>
        </w:rPr>
        <w:t>个性指标</w:t>
      </w:r>
      <w:r>
        <w:rPr>
          <w:rFonts w:hint="default" w:ascii="Times New Roman" w:hAnsi="Times New Roman" w:eastAsia="楷体_GB2312" w:cs="Times New Roman"/>
          <w:b/>
          <w:bCs/>
          <w:color w:val="000000"/>
          <w:kern w:val="0"/>
          <w:sz w:val="32"/>
          <w:szCs w:val="32"/>
          <w:highlight w:val="none"/>
          <w:shd w:val="clear" w:color="auto" w:fill="FFFFFF"/>
          <w:lang w:val="zh-CN"/>
        </w:rPr>
        <w:t>绩效分析。</w:t>
      </w:r>
      <w:r>
        <w:rPr>
          <w:rFonts w:hint="eastAsia" w:ascii="Times New Roman" w:hAnsi="Times New Roman" w:eastAsia="仿宋_GB2312" w:cs="仿宋_GB2312"/>
          <w:b w:val="0"/>
          <w:bCs w:val="0"/>
          <w:kern w:val="0"/>
          <w:position w:val="0"/>
          <w:sz w:val="32"/>
          <w:szCs w:val="32"/>
          <w:highlight w:val="none"/>
          <w:lang w:val="zh-CN" w:eastAsia="zh-CN" w:bidi="ar-SA"/>
        </w:rPr>
        <w:t>根据项目个性自行设定部分指标，反映该项指标执行完成情况。</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黑体" w:hAnsi="黑体" w:eastAsia="黑体" w:cs="黑体"/>
          <w:b w:val="0"/>
          <w:bCs w:val="0"/>
          <w:kern w:val="0"/>
          <w:position w:val="0"/>
          <w:sz w:val="32"/>
          <w:szCs w:val="32"/>
          <w:highlight w:val="none"/>
          <w:lang w:val="en-US" w:eastAsia="zh-CN" w:bidi="ar-SA"/>
        </w:rPr>
      </w:pPr>
      <w:r>
        <w:rPr>
          <w:rFonts w:hint="eastAsia" w:ascii="黑体" w:hAnsi="黑体" w:eastAsia="黑体" w:cs="黑体"/>
          <w:b w:val="0"/>
          <w:bCs w:val="0"/>
          <w:kern w:val="0"/>
          <w:position w:val="0"/>
          <w:sz w:val="32"/>
          <w:szCs w:val="32"/>
          <w:highlight w:val="none"/>
          <w:lang w:val="en-US" w:eastAsia="zh-CN" w:bidi="ar-SA"/>
        </w:rPr>
        <w:t>四、评价结论</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简要阐述专项预算项目绩效自评总体结论，包含评价总分、</w:t>
      </w:r>
      <w:r>
        <w:rPr>
          <w:rFonts w:hint="eastAsia" w:ascii="Times New Roman" w:hAnsi="Times New Roman" w:eastAsia="仿宋_GB2312" w:cs="仿宋_GB2312"/>
          <w:b w:val="0"/>
          <w:bCs w:val="0"/>
          <w:kern w:val="0"/>
          <w:position w:val="0"/>
          <w:sz w:val="32"/>
          <w:szCs w:val="32"/>
          <w:highlight w:val="none"/>
          <w:lang w:val="zh-CN" w:eastAsia="zh-CN" w:bidi="ar-SA"/>
        </w:rPr>
        <w:t>项目实施情况。</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黑体" w:hAnsi="黑体" w:eastAsia="黑体" w:cs="黑体"/>
          <w:b w:val="0"/>
          <w:bCs w:val="0"/>
          <w:kern w:val="0"/>
          <w:position w:val="0"/>
          <w:sz w:val="32"/>
          <w:szCs w:val="32"/>
          <w:highlight w:val="none"/>
          <w:lang w:val="en-US" w:eastAsia="zh-CN" w:bidi="ar-SA"/>
        </w:rPr>
      </w:pPr>
      <w:r>
        <w:rPr>
          <w:rFonts w:hint="eastAsia" w:ascii="黑体" w:hAnsi="黑体" w:eastAsia="黑体" w:cs="黑体"/>
          <w:b w:val="0"/>
          <w:bCs w:val="0"/>
          <w:kern w:val="0"/>
          <w:position w:val="0"/>
          <w:sz w:val="32"/>
          <w:szCs w:val="32"/>
          <w:highlight w:val="none"/>
          <w:lang w:val="en-US" w:eastAsia="zh-CN" w:bidi="ar-SA"/>
        </w:rPr>
        <w:t>五、存在主要问题</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简要阐述专项预算项目绩效自评发现的主要问题。</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黑体" w:hAnsi="黑体" w:eastAsia="黑体" w:cs="黑体"/>
          <w:b w:val="0"/>
          <w:bCs w:val="0"/>
          <w:kern w:val="0"/>
          <w:position w:val="0"/>
          <w:sz w:val="32"/>
          <w:szCs w:val="32"/>
          <w:highlight w:val="none"/>
          <w:lang w:val="zh-CN" w:eastAsia="zh-CN" w:bidi="ar-SA"/>
        </w:rPr>
      </w:pPr>
      <w:r>
        <w:rPr>
          <w:rFonts w:hint="eastAsia" w:ascii="黑体" w:hAnsi="黑体" w:eastAsia="黑体" w:cs="黑体"/>
          <w:b w:val="0"/>
          <w:bCs w:val="0"/>
          <w:kern w:val="0"/>
          <w:position w:val="0"/>
          <w:sz w:val="32"/>
          <w:szCs w:val="32"/>
          <w:highlight w:val="none"/>
          <w:lang w:val="zh-CN" w:eastAsia="zh-CN" w:bidi="ar-SA"/>
        </w:rPr>
        <w:t>六、改进建议</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简要阐述专项预算项目在</w:t>
      </w:r>
      <w:r>
        <w:rPr>
          <w:rFonts w:hint="eastAsia" w:ascii="Times New Roman" w:hAnsi="Times New Roman" w:eastAsia="仿宋_GB2312" w:cs="仿宋_GB2312"/>
          <w:b w:val="0"/>
          <w:bCs w:val="0"/>
          <w:kern w:val="0"/>
          <w:position w:val="0"/>
          <w:sz w:val="32"/>
          <w:szCs w:val="32"/>
          <w:highlight w:val="none"/>
          <w:lang w:val="en" w:eastAsia="zh-CN" w:bidi="ar-SA"/>
        </w:rPr>
        <w:t>预算安排、完善政策、改进管理等方面的</w:t>
      </w:r>
      <w:r>
        <w:rPr>
          <w:rFonts w:hint="eastAsia" w:ascii="Times New Roman" w:hAnsi="Times New Roman" w:eastAsia="仿宋_GB2312" w:cs="仿宋_GB2312"/>
          <w:b w:val="0"/>
          <w:bCs w:val="0"/>
          <w:kern w:val="0"/>
          <w:position w:val="0"/>
          <w:sz w:val="32"/>
          <w:szCs w:val="32"/>
          <w:highlight w:val="none"/>
          <w:lang w:val="en-US" w:eastAsia="zh-CN" w:bidi="ar-SA"/>
        </w:rPr>
        <w:t>措施</w:t>
      </w:r>
      <w:r>
        <w:rPr>
          <w:rFonts w:hint="eastAsia" w:ascii="Times New Roman" w:hAnsi="Times New Roman" w:eastAsia="仿宋_GB2312" w:cs="仿宋_GB2312"/>
          <w:b w:val="0"/>
          <w:bCs w:val="0"/>
          <w:kern w:val="0"/>
          <w:position w:val="0"/>
          <w:sz w:val="32"/>
          <w:szCs w:val="32"/>
          <w:highlight w:val="none"/>
          <w:lang w:val="en" w:eastAsia="zh-CN" w:bidi="ar-SA"/>
        </w:rPr>
        <w:t>建议，其中</w:t>
      </w:r>
      <w:r>
        <w:rPr>
          <w:rFonts w:hint="eastAsia" w:ascii="Times New Roman" w:hAnsi="Times New Roman" w:eastAsia="仿宋_GB2312" w:cs="仿宋_GB2312"/>
          <w:b w:val="0"/>
          <w:bCs w:val="0"/>
          <w:kern w:val="0"/>
          <w:position w:val="0"/>
          <w:sz w:val="32"/>
          <w:szCs w:val="32"/>
          <w:highlight w:val="none"/>
          <w:lang w:val="en-US" w:eastAsia="zh-CN" w:bidi="ar-SA"/>
        </w:rPr>
        <w:t>必须对应评价发现的主要问题一一提出措施建议。</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w:t>
      </w:r>
      <w:r>
        <w:rPr>
          <w:rFonts w:hint="eastAsia" w:eastAsia="仿宋_GB2312" w:cs="仿宋_GB2312"/>
          <w:b w:val="0"/>
          <w:bCs w:val="0"/>
          <w:kern w:val="0"/>
          <w:position w:val="0"/>
          <w:sz w:val="32"/>
          <w:szCs w:val="32"/>
          <w:highlight w:val="none"/>
          <w:lang w:val="en-US" w:eastAsia="zh-CN" w:bidi="ar-SA"/>
        </w:rPr>
        <w:t>注：</w:t>
      </w:r>
      <w:r>
        <w:rPr>
          <w:rFonts w:hint="eastAsia" w:ascii="Times New Roman" w:hAnsi="Times New Roman" w:eastAsia="仿宋_GB2312" w:cs="仿宋_GB2312"/>
          <w:b w:val="0"/>
          <w:bCs w:val="0"/>
          <w:kern w:val="0"/>
          <w:position w:val="0"/>
          <w:sz w:val="32"/>
          <w:szCs w:val="32"/>
          <w:highlight w:val="none"/>
          <w:lang w:val="en-US" w:eastAsia="zh-CN" w:bidi="ar-SA"/>
        </w:rPr>
        <w:t>以上绩效自评报告，除涉密敏感内容外，原则上都应予以公开）</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bookmarkStart w:id="54" w:name="_Toc15396618"/>
      <w:r>
        <w:rPr>
          <w:rFonts w:hint="eastAsia" w:ascii="Times New Roman" w:hAnsi="Times New Roman" w:eastAsia="仿宋_GB2312" w:cs="仿宋_GB2312"/>
          <w:b w:val="0"/>
          <w:bCs w:val="0"/>
          <w:kern w:val="0"/>
          <w:position w:val="0"/>
          <w:sz w:val="32"/>
          <w:szCs w:val="32"/>
          <w:highlight w:val="none"/>
          <w:lang w:val="en-US" w:eastAsia="zh-CN" w:bidi="ar-SA"/>
        </w:rPr>
        <w:br w:type="page"/>
      </w:r>
    </w:p>
    <w:p>
      <w:pPr>
        <w:widowControl/>
        <w:jc w:val="center"/>
        <w:rPr>
          <w:rFonts w:hint="eastAsia" w:ascii="Times New Roman" w:hAnsi="Times New Roman" w:eastAsia="仿宋"/>
          <w:b w:val="0"/>
          <w:color w:val="auto"/>
          <w:highlight w:val="none"/>
        </w:rPr>
      </w:pPr>
      <w:r>
        <w:rPr>
          <w:rFonts w:hint="eastAsia" w:ascii="Times New Roman" w:hAnsi="Times New Roman" w:eastAsia="黑体"/>
          <w:color w:val="auto"/>
          <w:sz w:val="44"/>
          <w:szCs w:val="44"/>
          <w:highlight w:val="none"/>
        </w:rPr>
        <w:t>第</w:t>
      </w:r>
      <w:r>
        <w:rPr>
          <w:rStyle w:val="29"/>
          <w:rFonts w:hint="eastAsia" w:ascii="Times New Roman" w:hAnsi="Times New Roman" w:eastAsia="黑体"/>
          <w:b w:val="0"/>
          <w:color w:val="auto"/>
          <w:highlight w:val="none"/>
        </w:rPr>
        <w:t>五部分 附表</w:t>
      </w:r>
      <w:bookmarkEnd w:id="51"/>
      <w:bookmarkEnd w:id="54"/>
      <w:bookmarkStart w:id="55" w:name="_Toc15396619"/>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一、收入支出决算总表</w:t>
      </w:r>
      <w:bookmarkEnd w:id="55"/>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6" w:name="_Toc15396620"/>
      <w:r>
        <w:rPr>
          <w:rFonts w:hint="eastAsia" w:ascii="Times New Roman" w:hAnsi="Times New Roman" w:eastAsia="仿宋_GB2312" w:cs="仿宋_GB2312"/>
          <w:color w:val="auto"/>
          <w:sz w:val="32"/>
          <w:szCs w:val="32"/>
          <w:highlight w:val="none"/>
        </w:rPr>
        <w:t>二、收入决算表</w:t>
      </w:r>
      <w:bookmarkEnd w:id="56"/>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7" w:name="_Toc15396621"/>
      <w:r>
        <w:rPr>
          <w:rFonts w:hint="eastAsia" w:ascii="Times New Roman" w:hAnsi="Times New Roman" w:eastAsia="仿宋_GB2312" w:cs="仿宋_GB2312"/>
          <w:color w:val="auto"/>
          <w:sz w:val="32"/>
          <w:szCs w:val="32"/>
          <w:highlight w:val="none"/>
        </w:rPr>
        <w:t>三、支出决算表</w:t>
      </w:r>
      <w:bookmarkEnd w:id="57"/>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8" w:name="_Toc15396622"/>
      <w:r>
        <w:rPr>
          <w:rFonts w:hint="eastAsia" w:ascii="Times New Roman" w:hAnsi="Times New Roman" w:eastAsia="仿宋_GB2312" w:cs="仿宋_GB2312"/>
          <w:color w:val="auto"/>
          <w:sz w:val="32"/>
          <w:szCs w:val="32"/>
          <w:highlight w:val="none"/>
        </w:rPr>
        <w:t>四、财政拨款收入支出决算总表</w:t>
      </w:r>
      <w:bookmarkEnd w:id="58"/>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9" w:name="_Toc15396623"/>
      <w:r>
        <w:rPr>
          <w:rFonts w:hint="eastAsia" w:ascii="Times New Roman" w:hAnsi="Times New Roman" w:eastAsia="仿宋_GB2312" w:cs="仿宋_GB2312"/>
          <w:color w:val="auto"/>
          <w:sz w:val="32"/>
          <w:szCs w:val="32"/>
          <w:highlight w:val="none"/>
        </w:rPr>
        <w:t>五、财政拨款支出决算明细表</w:t>
      </w:r>
      <w:bookmarkEnd w:id="59"/>
      <w:bookmarkStart w:id="60" w:name="_Toc15396624"/>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六、一般公共预算财政拨款支出决算表</w:t>
      </w:r>
      <w:bookmarkEnd w:id="60"/>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1" w:name="_Toc15396625"/>
      <w:r>
        <w:rPr>
          <w:rFonts w:hint="eastAsia" w:ascii="Times New Roman" w:hAnsi="Times New Roman" w:eastAsia="仿宋_GB2312" w:cs="仿宋_GB2312"/>
          <w:color w:val="auto"/>
          <w:sz w:val="32"/>
          <w:szCs w:val="32"/>
          <w:highlight w:val="none"/>
        </w:rPr>
        <w:t>七、一般公共预算财政拨款支出决算明细表</w:t>
      </w:r>
      <w:bookmarkEnd w:id="61"/>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2" w:name="_Toc15396626"/>
      <w:r>
        <w:rPr>
          <w:rFonts w:hint="eastAsia" w:ascii="Times New Roman" w:hAnsi="Times New Roman" w:eastAsia="仿宋_GB2312" w:cs="仿宋_GB2312"/>
          <w:color w:val="auto"/>
          <w:sz w:val="32"/>
          <w:szCs w:val="32"/>
          <w:highlight w:val="none"/>
        </w:rPr>
        <w:t>八、一般公共预算财政拨款基本支出决算表</w:t>
      </w:r>
      <w:bookmarkEnd w:id="62"/>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3" w:name="_Toc15396627"/>
      <w:r>
        <w:rPr>
          <w:rFonts w:hint="eastAsia" w:ascii="Times New Roman" w:hAnsi="Times New Roman" w:eastAsia="仿宋_GB2312" w:cs="仿宋_GB2312"/>
          <w:color w:val="auto"/>
          <w:sz w:val="32"/>
          <w:szCs w:val="32"/>
          <w:highlight w:val="none"/>
        </w:rPr>
        <w:t>九、一般公共预算财政拨款项目支出决算表</w:t>
      </w:r>
      <w:bookmarkEnd w:id="63"/>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4" w:name="_Toc15396628"/>
      <w:r>
        <w:rPr>
          <w:rFonts w:hint="eastAsia" w:ascii="Times New Roman" w:hAnsi="Times New Roman" w:eastAsia="仿宋_GB2312" w:cs="仿宋_GB2312"/>
          <w:color w:val="auto"/>
          <w:sz w:val="32"/>
          <w:szCs w:val="32"/>
          <w:highlight w:val="none"/>
        </w:rPr>
        <w:t>十、</w:t>
      </w:r>
      <w:bookmarkEnd w:id="64"/>
      <w:r>
        <w:rPr>
          <w:rFonts w:hint="eastAsia" w:ascii="Times New Roman" w:hAnsi="Times New Roman" w:eastAsia="仿宋_GB2312" w:cs="仿宋_GB2312"/>
          <w:color w:val="auto"/>
          <w:sz w:val="32"/>
          <w:szCs w:val="32"/>
          <w:highlight w:val="none"/>
        </w:rPr>
        <w:t>政府性基金预算财政拨款收入支出决算表</w:t>
      </w:r>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5" w:name="_Toc15396629"/>
      <w:r>
        <w:rPr>
          <w:rFonts w:hint="eastAsia" w:ascii="Times New Roman" w:hAnsi="Times New Roman" w:eastAsia="仿宋_GB2312" w:cs="仿宋_GB2312"/>
          <w:color w:val="auto"/>
          <w:sz w:val="32"/>
          <w:szCs w:val="32"/>
          <w:highlight w:val="none"/>
        </w:rPr>
        <w:t>十一、</w:t>
      </w:r>
      <w:bookmarkEnd w:id="65"/>
      <w:r>
        <w:rPr>
          <w:rFonts w:hint="eastAsia" w:ascii="Times New Roman" w:hAnsi="Times New Roman" w:eastAsia="仿宋_GB2312" w:cs="仿宋_GB2312"/>
          <w:color w:val="auto"/>
          <w:sz w:val="32"/>
          <w:szCs w:val="32"/>
          <w:highlight w:val="none"/>
        </w:rPr>
        <w:t>国有资本经营预算</w:t>
      </w:r>
      <w:r>
        <w:rPr>
          <w:rFonts w:hint="eastAsia" w:ascii="Times New Roman" w:hAnsi="Times New Roman" w:eastAsia="仿宋_GB2312" w:cs="仿宋_GB2312"/>
          <w:color w:val="auto"/>
          <w:sz w:val="32"/>
          <w:szCs w:val="32"/>
          <w:highlight w:val="none"/>
          <w:lang w:eastAsia="zh-CN"/>
        </w:rPr>
        <w:t>财政拨款收入</w:t>
      </w:r>
      <w:r>
        <w:rPr>
          <w:rFonts w:hint="eastAsia" w:ascii="Times New Roman" w:hAnsi="Times New Roman" w:eastAsia="仿宋_GB2312" w:cs="仿宋_GB2312"/>
          <w:color w:val="auto"/>
          <w:sz w:val="32"/>
          <w:szCs w:val="32"/>
          <w:highlight w:val="none"/>
        </w:rPr>
        <w:t>支出决算表</w:t>
      </w:r>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6" w:name="_Toc15396630"/>
      <w:r>
        <w:rPr>
          <w:rFonts w:hint="eastAsia" w:ascii="Times New Roman" w:hAnsi="Times New Roman" w:eastAsia="仿宋_GB2312" w:cs="仿宋_GB2312"/>
          <w:color w:val="auto"/>
          <w:sz w:val="32"/>
          <w:szCs w:val="32"/>
          <w:highlight w:val="none"/>
        </w:rPr>
        <w:t>十二、</w:t>
      </w:r>
      <w:bookmarkEnd w:id="66"/>
      <w:r>
        <w:rPr>
          <w:rFonts w:hint="eastAsia" w:ascii="Times New Roman" w:hAnsi="Times New Roman" w:eastAsia="仿宋_GB2312" w:cs="仿宋_GB2312"/>
          <w:color w:val="auto"/>
          <w:sz w:val="32"/>
          <w:szCs w:val="32"/>
          <w:highlight w:val="none"/>
          <w:lang w:eastAsia="zh-CN"/>
        </w:rPr>
        <w:t>国有资本经营预算财政拨款支出决算表</w:t>
      </w:r>
    </w:p>
    <w:p>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lang w:eastAsia="zh-CN"/>
        </w:rPr>
      </w:pPr>
      <w:bookmarkStart w:id="67" w:name="_Toc15396631"/>
      <w:r>
        <w:rPr>
          <w:rFonts w:hint="eastAsia" w:ascii="Times New Roman" w:hAnsi="Times New Roman" w:eastAsia="仿宋_GB2312" w:cs="仿宋_GB2312"/>
          <w:color w:val="auto"/>
          <w:sz w:val="32"/>
          <w:szCs w:val="32"/>
          <w:highlight w:val="none"/>
        </w:rPr>
        <w:t>十三、</w:t>
      </w:r>
      <w:bookmarkEnd w:id="67"/>
      <w:r>
        <w:rPr>
          <w:rFonts w:hint="eastAsia" w:ascii="Times New Roman" w:hAnsi="Times New Roman" w:eastAsia="仿宋_GB2312" w:cs="仿宋_GB2312"/>
          <w:color w:val="auto"/>
          <w:sz w:val="32"/>
          <w:szCs w:val="32"/>
          <w:highlight w:val="none"/>
          <w:lang w:eastAsia="zh-CN"/>
        </w:rPr>
        <w:t>财政拨款“三公”经费支出决算表</w:t>
      </w:r>
    </w:p>
    <w:p>
      <w:pPr>
        <w:rPr>
          <w:rFonts w:hint="eastAsia" w:ascii="Times New Roman" w:hAnsi="Times New Roman"/>
          <w:lang w:eastAsia="zh-CN"/>
        </w:rPr>
      </w:pPr>
    </w:p>
    <w:sectPr>
      <w:footerReference r:id="rId5" w:type="first"/>
      <w:headerReference r:id="rId3" w:type="default"/>
      <w:footerReference r:id="rId4" w:type="default"/>
      <w:pgSz w:w="11906" w:h="16838"/>
      <w:pgMar w:top="1440" w:right="1800" w:bottom="1440" w:left="1800" w:header="851" w:footer="992" w:gutter="0"/>
      <w:pgNumType w:fmt="numberInDash"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Segoe Print"/>
    <w:panose1 w:val="00000000000000000000"/>
    <w:charset w:val="00"/>
    <w:family w:val="roman"/>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p>
  <w:p>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E5C10E9"/>
    <w:multiLevelType w:val="singleLevel"/>
    <w:tmpl w:val="BE5C10E9"/>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4633"/>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2A5EC2"/>
    <w:rsid w:val="015975B8"/>
    <w:rsid w:val="02FEBE30"/>
    <w:rsid w:val="04916F1E"/>
    <w:rsid w:val="04B87432"/>
    <w:rsid w:val="061E35DE"/>
    <w:rsid w:val="066E0107"/>
    <w:rsid w:val="07996F6E"/>
    <w:rsid w:val="07DFD8BA"/>
    <w:rsid w:val="09867E8F"/>
    <w:rsid w:val="0A2032A3"/>
    <w:rsid w:val="0CA8290A"/>
    <w:rsid w:val="0D35B1ED"/>
    <w:rsid w:val="0E254B6B"/>
    <w:rsid w:val="0F98263C"/>
    <w:rsid w:val="101860EC"/>
    <w:rsid w:val="101F47CC"/>
    <w:rsid w:val="10C055FF"/>
    <w:rsid w:val="11694EBD"/>
    <w:rsid w:val="11772AA4"/>
    <w:rsid w:val="118107EC"/>
    <w:rsid w:val="12E24EE2"/>
    <w:rsid w:val="13D50BC4"/>
    <w:rsid w:val="14B17F78"/>
    <w:rsid w:val="165E0673"/>
    <w:rsid w:val="16B831D5"/>
    <w:rsid w:val="16BB723D"/>
    <w:rsid w:val="17E50567"/>
    <w:rsid w:val="186504BB"/>
    <w:rsid w:val="19A445FC"/>
    <w:rsid w:val="1BE8440E"/>
    <w:rsid w:val="1D155CEE"/>
    <w:rsid w:val="1D1638FE"/>
    <w:rsid w:val="1E312DEB"/>
    <w:rsid w:val="1E740ACF"/>
    <w:rsid w:val="1FF35744"/>
    <w:rsid w:val="1FF6BC77"/>
    <w:rsid w:val="2186353C"/>
    <w:rsid w:val="23860B96"/>
    <w:rsid w:val="240371BF"/>
    <w:rsid w:val="244F3473"/>
    <w:rsid w:val="24C97D99"/>
    <w:rsid w:val="25A718F0"/>
    <w:rsid w:val="25BB59F6"/>
    <w:rsid w:val="260F557C"/>
    <w:rsid w:val="26970054"/>
    <w:rsid w:val="281408E2"/>
    <w:rsid w:val="29B540F4"/>
    <w:rsid w:val="29FD04D3"/>
    <w:rsid w:val="2BFF7BC6"/>
    <w:rsid w:val="2C8A61B5"/>
    <w:rsid w:val="2DF04E50"/>
    <w:rsid w:val="2E586DFA"/>
    <w:rsid w:val="2F040D46"/>
    <w:rsid w:val="2F6B035B"/>
    <w:rsid w:val="2FAE5751"/>
    <w:rsid w:val="2FB1A395"/>
    <w:rsid w:val="2FD9A7D8"/>
    <w:rsid w:val="2FDBF714"/>
    <w:rsid w:val="30AB6865"/>
    <w:rsid w:val="319F7F4E"/>
    <w:rsid w:val="32BD1EF1"/>
    <w:rsid w:val="3304709D"/>
    <w:rsid w:val="33A773CB"/>
    <w:rsid w:val="349D6851"/>
    <w:rsid w:val="36AA5135"/>
    <w:rsid w:val="36BE0DA7"/>
    <w:rsid w:val="376B6AA6"/>
    <w:rsid w:val="376D39B2"/>
    <w:rsid w:val="37E16F03"/>
    <w:rsid w:val="37F53A3B"/>
    <w:rsid w:val="389B6C89"/>
    <w:rsid w:val="38D469F0"/>
    <w:rsid w:val="39627CCD"/>
    <w:rsid w:val="397BAF1F"/>
    <w:rsid w:val="3AB79AF3"/>
    <w:rsid w:val="3AE834C0"/>
    <w:rsid w:val="3B7EF35A"/>
    <w:rsid w:val="3B9FDB6C"/>
    <w:rsid w:val="3BF5BC2F"/>
    <w:rsid w:val="3CEBA265"/>
    <w:rsid w:val="3D98207C"/>
    <w:rsid w:val="3DEE7CF3"/>
    <w:rsid w:val="3E740A63"/>
    <w:rsid w:val="3E78745D"/>
    <w:rsid w:val="3EE17838"/>
    <w:rsid w:val="3F55381A"/>
    <w:rsid w:val="3F7F7599"/>
    <w:rsid w:val="3FF4CAE0"/>
    <w:rsid w:val="3FF7B227"/>
    <w:rsid w:val="431676D5"/>
    <w:rsid w:val="44E268DA"/>
    <w:rsid w:val="450D13D7"/>
    <w:rsid w:val="45506656"/>
    <w:rsid w:val="486A6C7A"/>
    <w:rsid w:val="4A627F82"/>
    <w:rsid w:val="4B0E749A"/>
    <w:rsid w:val="4B2477C4"/>
    <w:rsid w:val="4B4F25DA"/>
    <w:rsid w:val="4BE068DB"/>
    <w:rsid w:val="4D577224"/>
    <w:rsid w:val="4DBF1CEB"/>
    <w:rsid w:val="4DF0007C"/>
    <w:rsid w:val="4EAB630A"/>
    <w:rsid w:val="4ECE2238"/>
    <w:rsid w:val="4F833267"/>
    <w:rsid w:val="4FE9BD67"/>
    <w:rsid w:val="4FFB052F"/>
    <w:rsid w:val="537E6D0A"/>
    <w:rsid w:val="53F74C96"/>
    <w:rsid w:val="55170BA8"/>
    <w:rsid w:val="553218C9"/>
    <w:rsid w:val="567E1AA5"/>
    <w:rsid w:val="56E47B74"/>
    <w:rsid w:val="57175D52"/>
    <w:rsid w:val="57BD3DD4"/>
    <w:rsid w:val="5AF92295"/>
    <w:rsid w:val="5B250254"/>
    <w:rsid w:val="5BDD79E6"/>
    <w:rsid w:val="5BF561CA"/>
    <w:rsid w:val="5BFF5DFC"/>
    <w:rsid w:val="5CD71FC4"/>
    <w:rsid w:val="5D1F11B5"/>
    <w:rsid w:val="5D695134"/>
    <w:rsid w:val="5DAE1B18"/>
    <w:rsid w:val="5DE7D9E5"/>
    <w:rsid w:val="5ECEC941"/>
    <w:rsid w:val="5FBF9FF3"/>
    <w:rsid w:val="5FCD4E2C"/>
    <w:rsid w:val="5FEF394A"/>
    <w:rsid w:val="5FF67715"/>
    <w:rsid w:val="62BF3928"/>
    <w:rsid w:val="63B3701E"/>
    <w:rsid w:val="647F5392"/>
    <w:rsid w:val="65E66580"/>
    <w:rsid w:val="664B1D71"/>
    <w:rsid w:val="664B4E8E"/>
    <w:rsid w:val="67277B67"/>
    <w:rsid w:val="67AA3209"/>
    <w:rsid w:val="698D0931"/>
    <w:rsid w:val="6A7FE5F3"/>
    <w:rsid w:val="6B053271"/>
    <w:rsid w:val="6BDD78B3"/>
    <w:rsid w:val="6C4A05C8"/>
    <w:rsid w:val="6C8742B8"/>
    <w:rsid w:val="6DBF5E93"/>
    <w:rsid w:val="6DFF077E"/>
    <w:rsid w:val="6E714EF0"/>
    <w:rsid w:val="6E7E3605"/>
    <w:rsid w:val="6E7FDCC7"/>
    <w:rsid w:val="6ED6A62E"/>
    <w:rsid w:val="6EE00B15"/>
    <w:rsid w:val="6F6FB3EB"/>
    <w:rsid w:val="6F8731EA"/>
    <w:rsid w:val="6FCE6052"/>
    <w:rsid w:val="6FD57C00"/>
    <w:rsid w:val="6FEFFFD8"/>
    <w:rsid w:val="6FF5CC65"/>
    <w:rsid w:val="6FFB47EC"/>
    <w:rsid w:val="6FFF034A"/>
    <w:rsid w:val="70484440"/>
    <w:rsid w:val="712A28F1"/>
    <w:rsid w:val="715C0E4B"/>
    <w:rsid w:val="71992E7C"/>
    <w:rsid w:val="72233669"/>
    <w:rsid w:val="72734D90"/>
    <w:rsid w:val="73160E6D"/>
    <w:rsid w:val="7332FE48"/>
    <w:rsid w:val="73AB61DA"/>
    <w:rsid w:val="73AD73D5"/>
    <w:rsid w:val="73B6EB34"/>
    <w:rsid w:val="73FA497D"/>
    <w:rsid w:val="744731E5"/>
    <w:rsid w:val="74BBD01D"/>
    <w:rsid w:val="74ED5379"/>
    <w:rsid w:val="75DEEEC2"/>
    <w:rsid w:val="75E32345"/>
    <w:rsid w:val="76E3355F"/>
    <w:rsid w:val="76FF5125"/>
    <w:rsid w:val="776F6FFA"/>
    <w:rsid w:val="778769C8"/>
    <w:rsid w:val="77A75DCA"/>
    <w:rsid w:val="77DC22F5"/>
    <w:rsid w:val="783E271A"/>
    <w:rsid w:val="78616DE9"/>
    <w:rsid w:val="78E875D7"/>
    <w:rsid w:val="79086DAD"/>
    <w:rsid w:val="79D7FD79"/>
    <w:rsid w:val="79EE5BA4"/>
    <w:rsid w:val="7A894339"/>
    <w:rsid w:val="7AD284E8"/>
    <w:rsid w:val="7AFF7572"/>
    <w:rsid w:val="7B6C7DFB"/>
    <w:rsid w:val="7BBFBED0"/>
    <w:rsid w:val="7BC3E394"/>
    <w:rsid w:val="7C1F3737"/>
    <w:rsid w:val="7CBFC87B"/>
    <w:rsid w:val="7CFE0F48"/>
    <w:rsid w:val="7D272ABC"/>
    <w:rsid w:val="7D7EC23E"/>
    <w:rsid w:val="7E8ADEBF"/>
    <w:rsid w:val="7EEF11D3"/>
    <w:rsid w:val="7EFE4840"/>
    <w:rsid w:val="7F0971A6"/>
    <w:rsid w:val="7F1D62E7"/>
    <w:rsid w:val="7F3F679B"/>
    <w:rsid w:val="7F4FC4EF"/>
    <w:rsid w:val="7F5E4D54"/>
    <w:rsid w:val="7F6E0135"/>
    <w:rsid w:val="7F79F205"/>
    <w:rsid w:val="7FA30C79"/>
    <w:rsid w:val="7FA79C44"/>
    <w:rsid w:val="7FAF8ABF"/>
    <w:rsid w:val="7FB7269E"/>
    <w:rsid w:val="7FC96657"/>
    <w:rsid w:val="7FDA9588"/>
    <w:rsid w:val="7FDF220F"/>
    <w:rsid w:val="7FEDC5F7"/>
    <w:rsid w:val="7FEDD9DE"/>
    <w:rsid w:val="7FF5890D"/>
    <w:rsid w:val="7FF93490"/>
    <w:rsid w:val="99FF2014"/>
    <w:rsid w:val="A6DD0D7F"/>
    <w:rsid w:val="ACFF4FBB"/>
    <w:rsid w:val="ADC6F725"/>
    <w:rsid w:val="B7CF06AB"/>
    <w:rsid w:val="B7CFA926"/>
    <w:rsid w:val="B7F8786B"/>
    <w:rsid w:val="BABB6AA1"/>
    <w:rsid w:val="BB2F4199"/>
    <w:rsid w:val="BCFFB442"/>
    <w:rsid w:val="BD079C78"/>
    <w:rsid w:val="BD733540"/>
    <w:rsid w:val="BF3735D5"/>
    <w:rsid w:val="BF7F09AC"/>
    <w:rsid w:val="BFD475C3"/>
    <w:rsid w:val="BFDE5EA6"/>
    <w:rsid w:val="CF6FC6F3"/>
    <w:rsid w:val="CFD3D3D7"/>
    <w:rsid w:val="CFDF1009"/>
    <w:rsid w:val="D7D7B16A"/>
    <w:rsid w:val="D8D6DB89"/>
    <w:rsid w:val="DB6F4CAB"/>
    <w:rsid w:val="DB777682"/>
    <w:rsid w:val="DD1FB521"/>
    <w:rsid w:val="DEFBFEAE"/>
    <w:rsid w:val="DF1F3B80"/>
    <w:rsid w:val="DF6F9789"/>
    <w:rsid w:val="DFE9BE81"/>
    <w:rsid w:val="DFFFA9E8"/>
    <w:rsid w:val="E5F4E9DC"/>
    <w:rsid w:val="E70FE695"/>
    <w:rsid w:val="EB2E368B"/>
    <w:rsid w:val="ECFED1BC"/>
    <w:rsid w:val="ED1D69BB"/>
    <w:rsid w:val="ED7FD312"/>
    <w:rsid w:val="EF2E1AC6"/>
    <w:rsid w:val="EF53993F"/>
    <w:rsid w:val="EF6FD633"/>
    <w:rsid w:val="EFBFB2F4"/>
    <w:rsid w:val="EFBFFA21"/>
    <w:rsid w:val="F2BEBCB8"/>
    <w:rsid w:val="F36FB518"/>
    <w:rsid w:val="F3DE1A04"/>
    <w:rsid w:val="F3F722E5"/>
    <w:rsid w:val="F4FBCD07"/>
    <w:rsid w:val="FA5F1E70"/>
    <w:rsid w:val="FA5FDB97"/>
    <w:rsid w:val="FB7F486A"/>
    <w:rsid w:val="FBFF5B2E"/>
    <w:rsid w:val="FD7FFE2B"/>
    <w:rsid w:val="FDEE196B"/>
    <w:rsid w:val="FDFE6575"/>
    <w:rsid w:val="FEDFDDC2"/>
    <w:rsid w:val="FEED32F6"/>
    <w:rsid w:val="FEF781DD"/>
    <w:rsid w:val="FF3F7E3F"/>
    <w:rsid w:val="FFBA12D7"/>
    <w:rsid w:val="FFCBD314"/>
    <w:rsid w:val="FFDFF91C"/>
    <w:rsid w:val="FFDFFAEE"/>
    <w:rsid w:val="FFEF6777"/>
    <w:rsid w:val="FFF9B57B"/>
    <w:rsid w:val="FFFD61D9"/>
    <w:rsid w:val="FFFD8F59"/>
    <w:rsid w:val="FFFF2BB1"/>
    <w:rsid w:val="FFFFB0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9"/>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30"/>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3"/>
    <w:unhideWhenUsed/>
    <w:qFormat/>
    <w:uiPriority w:val="9"/>
    <w:pPr>
      <w:keepNext/>
      <w:keepLines/>
      <w:spacing w:before="260" w:after="260" w:line="416" w:lineRule="auto"/>
      <w:outlineLvl w:val="2"/>
    </w:pPr>
    <w:rPr>
      <w:b/>
      <w:bCs/>
      <w:sz w:val="32"/>
      <w:szCs w:val="32"/>
    </w:rPr>
  </w:style>
  <w:style w:type="character" w:default="1" w:styleId="17">
    <w:name w:val="Default Paragraph Font"/>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Normal Indent"/>
    <w:basedOn w:val="1"/>
    <w:unhideWhenUsed/>
    <w:qFormat/>
    <w:uiPriority w:val="99"/>
    <w:pPr>
      <w:ind w:firstLine="680"/>
    </w:pPr>
  </w:style>
  <w:style w:type="paragraph" w:styleId="6">
    <w:name w:val="Body Text"/>
    <w:basedOn w:val="1"/>
    <w:link w:val="26"/>
    <w:qFormat/>
    <w:uiPriority w:val="99"/>
    <w:pPr>
      <w:spacing w:beforeLines="30"/>
    </w:pPr>
    <w:rPr>
      <w:rFonts w:ascii="仿宋_GB2312" w:eastAsia="仿宋_GB2312"/>
      <w:kern w:val="0"/>
      <w:sz w:val="30"/>
    </w:rPr>
  </w:style>
  <w:style w:type="paragraph" w:styleId="7">
    <w:name w:val="Body Text Indent"/>
    <w:basedOn w:val="1"/>
    <w:next w:val="8"/>
    <w:qFormat/>
    <w:uiPriority w:val="0"/>
    <w:pPr>
      <w:spacing w:after="120"/>
      <w:ind w:leftChars="200"/>
    </w:pPr>
    <w:rPr>
      <w:rFonts w:ascii="仿宋_GB2312"/>
      <w:szCs w:val="32"/>
    </w:rPr>
  </w:style>
  <w:style w:type="paragraph" w:styleId="8">
    <w:name w:val="Body Text First Indent 2"/>
    <w:basedOn w:val="7"/>
    <w:unhideWhenUsed/>
    <w:qFormat/>
    <w:uiPriority w:val="99"/>
    <w:pPr>
      <w:ind w:firstLine="420" w:firstLineChars="200"/>
    </w:pPr>
  </w:style>
  <w:style w:type="paragraph" w:styleId="9">
    <w:name w:val="toc 3"/>
    <w:basedOn w:val="1"/>
    <w:next w:val="1"/>
    <w:unhideWhenUsed/>
    <w:qFormat/>
    <w:uiPriority w:val="39"/>
    <w:pPr>
      <w:tabs>
        <w:tab w:val="right" w:leader="dot" w:pos="8296"/>
      </w:tabs>
      <w:ind w:left="840" w:leftChars="400"/>
    </w:pPr>
  </w:style>
  <w:style w:type="paragraph" w:styleId="10">
    <w:name w:val="Balloon Text"/>
    <w:basedOn w:val="1"/>
    <w:link w:val="32"/>
    <w:semiHidden/>
    <w:unhideWhenUsed/>
    <w:qFormat/>
    <w:uiPriority w:val="99"/>
    <w:rPr>
      <w:sz w:val="18"/>
      <w:szCs w:val="18"/>
    </w:rPr>
  </w:style>
  <w:style w:type="paragraph" w:styleId="11">
    <w:name w:val="footer"/>
    <w:basedOn w:val="1"/>
    <w:link w:val="24"/>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22"/>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4">
    <w:name w:val="footnote text"/>
    <w:basedOn w:val="1"/>
    <w:next w:val="8"/>
    <w:semiHidden/>
    <w:qFormat/>
    <w:uiPriority w:val="0"/>
    <w:pPr>
      <w:snapToGrid w:val="0"/>
      <w:jc w:val="left"/>
    </w:pPr>
    <w:rPr>
      <w:sz w:val="18"/>
      <w:szCs w:val="18"/>
    </w:rPr>
  </w:style>
  <w:style w:type="paragraph" w:styleId="15">
    <w:name w:val="toc 2"/>
    <w:basedOn w:val="1"/>
    <w:next w:val="1"/>
    <w:unhideWhenUsed/>
    <w:qFormat/>
    <w:uiPriority w:val="39"/>
    <w:pPr>
      <w:tabs>
        <w:tab w:val="right" w:leader="dot" w:pos="8296"/>
      </w:tabs>
      <w:ind w:left="420" w:leftChars="200"/>
    </w:pPr>
  </w:style>
  <w:style w:type="character" w:styleId="18">
    <w:name w:val="Strong"/>
    <w:basedOn w:val="17"/>
    <w:qFormat/>
    <w:uiPriority w:val="99"/>
    <w:rPr>
      <w:b/>
    </w:rPr>
  </w:style>
  <w:style w:type="character" w:styleId="19">
    <w:name w:val="Hyperlink"/>
    <w:basedOn w:val="17"/>
    <w:unhideWhenUsed/>
    <w:qFormat/>
    <w:uiPriority w:val="99"/>
    <w:rPr>
      <w:color w:val="0000FF" w:themeColor="hyperlink"/>
      <w:u w:val="single"/>
      <w14:textFill>
        <w14:solidFill>
          <w14:schemeClr w14:val="hlink"/>
        </w14:solidFill>
      </w14:textFill>
    </w:rPr>
  </w:style>
  <w:style w:type="paragraph" w:customStyle="1" w:styleId="20">
    <w:name w:val="标题 5（有编号）（绿盟科技）"/>
    <w:next w:val="1"/>
    <w:qFormat/>
    <w:uiPriority w:val="99"/>
    <w:pPr>
      <w:keepNext/>
      <w:keepLines/>
      <w:widowControl w:val="0"/>
      <w:spacing w:before="280" w:after="156" w:line="377" w:lineRule="auto"/>
      <w:jc w:val="left"/>
      <w:outlineLvl w:val="4"/>
    </w:pPr>
    <w:rPr>
      <w:rFonts w:ascii="Arial" w:hAnsi="Arial" w:eastAsia="黑体" w:cs="Times New Roman"/>
      <w:b/>
      <w:kern w:val="2"/>
      <w:sz w:val="24"/>
      <w:szCs w:val="28"/>
      <w:lang w:val="en-US" w:eastAsia="zh-CN" w:bidi="ar-SA"/>
    </w:rPr>
  </w:style>
  <w:style w:type="character" w:customStyle="1" w:styleId="21">
    <w:name w:val="Header Char"/>
    <w:basedOn w:val="17"/>
    <w:semiHidden/>
    <w:qFormat/>
    <w:uiPriority w:val="99"/>
    <w:rPr>
      <w:rFonts w:ascii="Times New Roman" w:hAnsi="Times New Roman"/>
      <w:sz w:val="18"/>
      <w:szCs w:val="18"/>
    </w:rPr>
  </w:style>
  <w:style w:type="character" w:customStyle="1" w:styleId="22">
    <w:name w:val="页眉 Char"/>
    <w:link w:val="12"/>
    <w:semiHidden/>
    <w:qFormat/>
    <w:locked/>
    <w:uiPriority w:val="99"/>
    <w:rPr>
      <w:sz w:val="18"/>
    </w:rPr>
  </w:style>
  <w:style w:type="character" w:customStyle="1" w:styleId="23">
    <w:name w:val="Footer Char"/>
    <w:basedOn w:val="17"/>
    <w:semiHidden/>
    <w:qFormat/>
    <w:uiPriority w:val="99"/>
    <w:rPr>
      <w:rFonts w:ascii="Times New Roman" w:hAnsi="Times New Roman"/>
      <w:sz w:val="18"/>
      <w:szCs w:val="18"/>
    </w:rPr>
  </w:style>
  <w:style w:type="character" w:customStyle="1" w:styleId="24">
    <w:name w:val="页脚 Char"/>
    <w:link w:val="11"/>
    <w:qFormat/>
    <w:locked/>
    <w:uiPriority w:val="99"/>
    <w:rPr>
      <w:sz w:val="18"/>
    </w:rPr>
  </w:style>
  <w:style w:type="character" w:customStyle="1" w:styleId="25">
    <w:name w:val="Body Text Char"/>
    <w:basedOn w:val="17"/>
    <w:semiHidden/>
    <w:qFormat/>
    <w:uiPriority w:val="99"/>
    <w:rPr>
      <w:rFonts w:ascii="Times New Roman" w:hAnsi="Times New Roman"/>
      <w:szCs w:val="24"/>
    </w:rPr>
  </w:style>
  <w:style w:type="character" w:customStyle="1" w:styleId="26">
    <w:name w:val="正文文本 Char"/>
    <w:link w:val="6"/>
    <w:qFormat/>
    <w:locked/>
    <w:uiPriority w:val="99"/>
    <w:rPr>
      <w:rFonts w:ascii="仿宋_GB2312" w:hAnsi="Times New Roman" w:eastAsia="仿宋_GB2312"/>
      <w:sz w:val="24"/>
    </w:rPr>
  </w:style>
  <w:style w:type="paragraph" w:customStyle="1" w:styleId="27">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8">
    <w:name w:val="List Paragraph"/>
    <w:basedOn w:val="1"/>
    <w:qFormat/>
    <w:uiPriority w:val="34"/>
    <w:pPr>
      <w:ind w:firstLine="420" w:firstLineChars="200"/>
    </w:pPr>
  </w:style>
  <w:style w:type="character" w:customStyle="1" w:styleId="29">
    <w:name w:val="标题 1 Char"/>
    <w:basedOn w:val="17"/>
    <w:link w:val="3"/>
    <w:qFormat/>
    <w:uiPriority w:val="9"/>
    <w:rPr>
      <w:rFonts w:ascii="Times New Roman" w:hAnsi="Times New Roman"/>
      <w:b/>
      <w:bCs/>
      <w:kern w:val="44"/>
      <w:sz w:val="44"/>
      <w:szCs w:val="44"/>
    </w:rPr>
  </w:style>
  <w:style w:type="character" w:customStyle="1" w:styleId="30">
    <w:name w:val="标题 2 Char"/>
    <w:basedOn w:val="17"/>
    <w:link w:val="4"/>
    <w:qFormat/>
    <w:uiPriority w:val="9"/>
    <w:rPr>
      <w:rFonts w:asciiTheme="majorHAnsi" w:hAnsiTheme="majorHAnsi" w:eastAsiaTheme="majorEastAsia" w:cstheme="majorBidi"/>
      <w:b/>
      <w:bCs/>
      <w:kern w:val="2"/>
      <w:sz w:val="32"/>
      <w:szCs w:val="32"/>
    </w:rPr>
  </w:style>
  <w:style w:type="paragraph" w:customStyle="1" w:styleId="31">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2">
    <w:name w:val="批注框文本 Char"/>
    <w:basedOn w:val="17"/>
    <w:link w:val="10"/>
    <w:semiHidden/>
    <w:qFormat/>
    <w:uiPriority w:val="99"/>
    <w:rPr>
      <w:rFonts w:ascii="Times New Roman" w:hAnsi="Times New Roman"/>
      <w:kern w:val="2"/>
      <w:sz w:val="18"/>
      <w:szCs w:val="18"/>
    </w:rPr>
  </w:style>
  <w:style w:type="character" w:customStyle="1" w:styleId="33">
    <w:name w:val="标题 3 Char"/>
    <w:basedOn w:val="17"/>
    <w:link w:val="5"/>
    <w:qFormat/>
    <w:uiPriority w:val="9"/>
    <w:rPr>
      <w:rFonts w:ascii="Times New Roman" w:hAnsi="Times New Roman"/>
      <w:b/>
      <w:bCs/>
      <w:kern w:val="2"/>
      <w:sz w:val="32"/>
      <w:szCs w:val="32"/>
    </w:rPr>
  </w:style>
  <w:style w:type="paragraph" w:customStyle="1" w:styleId="34">
    <w:name w:val="TOC Heading"/>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5">
    <w:name w:val="四号正文"/>
    <w:basedOn w:val="1"/>
    <w:qFormat/>
    <w:uiPriority w:val="0"/>
    <w:pPr>
      <w:spacing w:line="360" w:lineRule="auto"/>
    </w:pPr>
    <w:rPr>
      <w:rFonts w:ascii="??" w:hAnsi="??" w:eastAsia="宋体"/>
      <w:color w:val="000000"/>
      <w:kern w:val="0"/>
      <w:sz w:val="28"/>
      <w:szCs w:val="21"/>
      <w:lang w:val="zh-CN" w:eastAsia="zh-CN"/>
    </w:rPr>
  </w:style>
</w:styles>
</file>

<file path=word/_rels/document.xml.rels><?xml version="1.0" encoding="UTF-8" standalone="yes"?>
<Relationships xmlns="http://schemas.openxmlformats.org/package/2006/relationships"><Relationship Id="rId9" Type="http://schemas.openxmlformats.org/officeDocument/2006/relationships/chart" Target="charts/chart3.xml"/><Relationship Id="rId8" Type="http://schemas.openxmlformats.org/officeDocument/2006/relationships/chart" Target="charts/chart2.xml"/><Relationship Id="rId7" Type="http://schemas.openxmlformats.org/officeDocument/2006/relationships/chart" Target="charts/chart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800" b="1" i="0" u="none" strike="noStrike" kern="1200" baseline="0">
              <a:solidFill>
                <a:schemeClr val="dk1">
                  <a:lumMod val="75000"/>
                  <a:lumOff val="25000"/>
                </a:schemeClr>
              </a:solidFill>
              <a:latin typeface="+mn-lt"/>
              <a:ea typeface="+mn-ea"/>
              <a:cs typeface="+mn-cs"/>
            </a:defRPr>
          </a:pPr>
        </a:p>
      </c:txPr>
    </c:title>
    <c:autoTitleDeleted val="0"/>
    <c:plotArea>
      <c:layout>
        <c:manualLayout>
          <c:layoutTarget val="inner"/>
          <c:xMode val="edge"/>
          <c:yMode val="edge"/>
          <c:x val="0.0275"/>
          <c:y val="0.143"/>
          <c:w val="0.86675"/>
          <c:h val="0.7009"/>
        </c:manualLayout>
      </c:layout>
      <c:barChart>
        <c:barDir val="col"/>
        <c:grouping val="clustered"/>
        <c:varyColors val="0"/>
        <c:ser>
          <c:idx val="0"/>
          <c:order val="0"/>
          <c:tx>
            <c:strRef>
              <c:f>Sheet1!$B$1</c:f>
              <c:strCache>
                <c:ptCount val="1"/>
                <c:pt idx="0">
                  <c:v>收入</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1" i="0" u="none" strike="noStrike" kern="1200" baseline="0">
                    <a:solidFill>
                      <a:schemeClr val="lt1"/>
                    </a:solidFill>
                    <a:latin typeface="+mn-lt"/>
                    <a:ea typeface="+mn-ea"/>
                    <a:cs typeface="+mn-cs"/>
                  </a:defRPr>
                </a:pPr>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Sheet1!$A$2:$A$3</c:f>
              <c:strCache>
                <c:ptCount val="2"/>
                <c:pt idx="0">
                  <c:v>2023年</c:v>
                </c:pt>
                <c:pt idx="1">
                  <c:v>2024年</c:v>
                </c:pt>
              </c:strCache>
            </c:strRef>
          </c:cat>
          <c:val>
            <c:numRef>
              <c:f>Sheet1!$B$2:$B$3</c:f>
              <c:numCache>
                <c:formatCode>General</c:formatCode>
                <c:ptCount val="2"/>
                <c:pt idx="0">
                  <c:v>217.95</c:v>
                </c:pt>
                <c:pt idx="1">
                  <c:v>227.14</c:v>
                </c:pt>
              </c:numCache>
            </c:numRef>
          </c:val>
        </c:ser>
        <c:ser>
          <c:idx val="1"/>
          <c:order val="1"/>
          <c:tx>
            <c:strRef>
              <c:f>Sheet1!$C$1</c:f>
              <c:strCache>
                <c:ptCount val="1"/>
                <c:pt idx="0">
                  <c:v>支出</c:v>
                </c:pt>
              </c:strCache>
            </c:strRef>
          </c:tx>
          <c:spPr>
            <a:solidFill>
              <a:schemeClr val="accent2">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1" i="0" u="none" strike="noStrike" kern="1200" baseline="0">
                    <a:solidFill>
                      <a:schemeClr val="lt1"/>
                    </a:solidFill>
                    <a:latin typeface="+mn-lt"/>
                    <a:ea typeface="+mn-ea"/>
                    <a:cs typeface="+mn-cs"/>
                  </a:defRPr>
                </a:pPr>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Sheet1!$A$2:$A$3</c:f>
              <c:strCache>
                <c:ptCount val="2"/>
                <c:pt idx="0">
                  <c:v>2023年</c:v>
                </c:pt>
                <c:pt idx="1">
                  <c:v>2024年</c:v>
                </c:pt>
              </c:strCache>
            </c:strRef>
          </c:cat>
          <c:val>
            <c:numRef>
              <c:f>Sheet1!$C$2:$C$3</c:f>
              <c:numCache>
                <c:formatCode>General</c:formatCode>
                <c:ptCount val="2"/>
                <c:pt idx="0">
                  <c:v>217.95</c:v>
                </c:pt>
                <c:pt idx="1">
                  <c:v>227.14</c:v>
                </c:pt>
              </c:numCache>
            </c:numRef>
          </c:val>
        </c:ser>
        <c:ser>
          <c:idx val="2"/>
          <c:order val="2"/>
          <c:tx>
            <c:strRef>
              <c:f>Sheet1!#REF!</c:f>
              <c:strCache>
                <c:ptCount val="1"/>
                <c:pt idx="0">
                  <c:v/>
                </c:pt>
              </c:strCache>
            </c:strRef>
          </c:tx>
          <c:spPr>
            <a:solidFill>
              <a:schemeClr val="accent3">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1" i="0" u="none" strike="noStrike" kern="1200" baseline="0">
                    <a:solidFill>
                      <a:schemeClr val="lt1"/>
                    </a:solidFill>
                    <a:latin typeface="+mn-lt"/>
                    <a:ea typeface="+mn-ea"/>
                    <a:cs typeface="+mn-cs"/>
                  </a:defRPr>
                </a:pPr>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Sheet1!$A$2:$A$3</c:f>
              <c:strCache>
                <c:ptCount val="2"/>
                <c:pt idx="0">
                  <c:v>2023年</c:v>
                </c:pt>
                <c:pt idx="1">
                  <c:v>2024年</c:v>
                </c:pt>
              </c:strCache>
            </c:strRef>
          </c:cat>
          <c:val>
            <c:numRef>
              <c:f>Sheet1!#REF!</c:f>
              <c:numCache>
                <c:formatCode>General</c:formatCode>
                <c:ptCount val="1"/>
                <c:pt idx="0">
                  <c:v>1</c:v>
                </c:pt>
              </c:numCache>
            </c:numRef>
          </c:val>
        </c:ser>
        <c:dLbls>
          <c:showLegendKey val="0"/>
          <c:showVal val="1"/>
          <c:showCatName val="0"/>
          <c:showSerName val="0"/>
          <c:showPercent val="0"/>
          <c:showBubbleSize val="0"/>
        </c:dLbls>
        <c:gapWidth val="65"/>
        <c:overlap val="0"/>
        <c:axId val="23151908"/>
        <c:axId val="551985914"/>
      </c:barChart>
      <c:catAx>
        <c:axId val="23151908"/>
        <c:scaling>
          <c:orientation val="minMax"/>
        </c:scaling>
        <c:delete val="0"/>
        <c:axPos val="b"/>
        <c:majorTickMark val="none"/>
        <c:minorTickMark val="none"/>
        <c:tickLblPos val="nextTo"/>
        <c:spPr>
          <a:noFill/>
          <a:ln w="19050" cap="flat" cmpd="sng" algn="ctr">
            <a:solidFill>
              <a:schemeClr val="dk1">
                <a:lumMod val="75000"/>
                <a:lumOff val="25000"/>
              </a:schemeClr>
            </a:solidFill>
            <a:round/>
          </a:ln>
          <a:effectLst/>
        </c:spPr>
        <c:txPr>
          <a:bodyPr rot="-60000000" spcFirstLastPara="0" vertOverflow="ellipsis" vert="horz" wrap="square" anchor="ctr" anchorCtr="1"/>
          <a:lstStyle/>
          <a:p>
            <a:pPr>
              <a:defRPr lang="zh-CN" sz="900" b="0" i="0" u="none" strike="noStrike" kern="1200" cap="all" baseline="0">
                <a:solidFill>
                  <a:schemeClr val="dk1">
                    <a:lumMod val="75000"/>
                    <a:lumOff val="25000"/>
                  </a:schemeClr>
                </a:solidFill>
                <a:latin typeface="+mn-lt"/>
                <a:ea typeface="+mn-ea"/>
                <a:cs typeface="+mn-cs"/>
              </a:defRPr>
            </a:pPr>
          </a:p>
        </c:txPr>
        <c:crossAx val="551985914"/>
        <c:crosses val="autoZero"/>
        <c:auto val="1"/>
        <c:lblAlgn val="ctr"/>
        <c:lblOffset val="100"/>
        <c:noMultiLvlLbl val="0"/>
      </c:catAx>
      <c:valAx>
        <c:axId val="551985914"/>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txPr>
          <a:bodyPr rot="-6000000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crossAx val="23151908"/>
        <c:crosses val="autoZero"/>
        <c:crossBetween val="between"/>
      </c:valAx>
      <c:spPr>
        <a:noFill/>
        <a:ln>
          <a:noFill/>
        </a:ln>
        <a:effectLst/>
      </c:spPr>
    </c:plotArea>
    <c:legend>
      <c:legendPos val="b"/>
      <c:legendEntry>
        <c:idx val="2"/>
        <c:delete val="1"/>
      </c:legendEntry>
      <c:layout/>
      <c:overlay val="0"/>
      <c:spPr>
        <a:solidFill>
          <a:schemeClr val="lt1">
            <a:lumMod val="95000"/>
            <a:alpha val="39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800" b="1" i="0" u="none" strike="noStrike" kern="1200" baseline="0">
                <a:solidFill>
                  <a:schemeClr val="tx1"/>
                </a:solidFill>
                <a:latin typeface="+mn-lt"/>
                <a:ea typeface="+mn-ea"/>
                <a:cs typeface="+mn-cs"/>
              </a:defRPr>
            </a:pPr>
            <a:r>
              <a:rPr lang="zh-CN"/>
              <a:t>收入决算结构图</a:t>
            </a:r>
            <a:endParaRPr lang="en-US" sz="1100"/>
          </a:p>
        </c:rich>
      </c:tx>
      <c:layout/>
      <c:overlay val="0"/>
    </c:title>
    <c:autoTitleDeleted val="0"/>
    <c:plotArea>
      <c:layout/>
      <c:pieChart>
        <c:varyColors val="1"/>
        <c:ser>
          <c:idx val="1"/>
          <c:order val="0"/>
          <c:explosion val="0"/>
          <c:dPt>
            <c:idx val="0"/>
            <c:bubble3D val="0"/>
          </c:dPt>
          <c:dPt>
            <c:idx val="1"/>
            <c:bubble3D val="0"/>
          </c:dPt>
          <c:dPt>
            <c:idx val="2"/>
            <c:bubble3D val="0"/>
          </c:dPt>
          <c:dPt>
            <c:idx val="3"/>
            <c:bubble3D val="0"/>
          </c:dPt>
          <c:dPt>
            <c:idx val="4"/>
            <c:bubble3D val="0"/>
          </c:dPt>
          <c:dPt>
            <c:idx val="5"/>
            <c:bubble3D val="0"/>
          </c:dPt>
          <c:dPt>
            <c:idx val="6"/>
            <c:bubble3D val="0"/>
          </c:dPt>
          <c:dPt>
            <c:idx val="7"/>
            <c:bubble3D val="0"/>
          </c:dPt>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{"一般公共预算财政拨款收入","政府性基金预算财政拨款收入","国有资本经营预算财政拨款收入","上级补助收入","事业收入","经营收入","附属单位上缴收入","其他收入"}</c:f>
              <c:strCache>
                <c:ptCount val="8"/>
                <c:pt idx="0">
                  <c:v>一般公共预算财政拨款收入</c:v>
                </c:pt>
                <c:pt idx="1">
                  <c:v>政府性基金预算财政拨款收入</c:v>
                </c:pt>
                <c:pt idx="2">
                  <c:v>国有资本经营预算财政拨款收入</c:v>
                </c:pt>
                <c:pt idx="3">
                  <c:v>上级补助收入</c:v>
                </c:pt>
                <c:pt idx="4">
                  <c:v>事业收入</c:v>
                </c:pt>
                <c:pt idx="5">
                  <c:v>经营收入</c:v>
                </c:pt>
                <c:pt idx="6">
                  <c:v>附属单位上缴收入</c:v>
                </c:pt>
                <c:pt idx="7">
                  <c:v>其他收入</c:v>
                </c:pt>
              </c:strCache>
            </c:strRef>
          </c:cat>
          <c:val>
            <c:numRef>
              <c:f>{1960590.6,0,0,0,0,0,0,0}</c:f>
              <c:numCache>
                <c:formatCode>General</c:formatCode>
                <c:ptCount val="8"/>
                <c:pt idx="0">
                  <c:v>1960590.6</c:v>
                </c:pt>
                <c:pt idx="1">
                  <c:v>0</c:v>
                </c:pt>
                <c:pt idx="2">
                  <c:v>0</c:v>
                </c:pt>
                <c:pt idx="3">
                  <c:v>0</c:v>
                </c:pt>
                <c:pt idx="4">
                  <c:v>0</c:v>
                </c:pt>
                <c:pt idx="5">
                  <c:v>0</c:v>
                </c:pt>
                <c:pt idx="6">
                  <c:v>0</c:v>
                </c:pt>
                <c:pt idx="7">
                  <c:v>0</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solidFill>
          <a:schemeClr val="lt1">
            <a:lumMod val="95000"/>
            <a:alpha val="39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legend>
    <c:plotVisOnly val="1"/>
    <c:dispBlanksAs val="zero"/>
    <c:showDLblsOverMax val="0"/>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prstDash val="solid"/>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800" b="1" i="0" u="none" strike="noStrike" kern="1200" baseline="0">
                <a:solidFill>
                  <a:schemeClr val="tx1"/>
                </a:solidFill>
                <a:latin typeface="+mn-lt"/>
                <a:ea typeface="+mn-ea"/>
                <a:cs typeface="+mn-cs"/>
              </a:defRPr>
            </a:pPr>
            <a:r>
              <a:rPr lang="zh-CN"/>
              <a:t>支出决算结构图</a:t>
            </a:r>
            <a:endParaRPr lang="en-US" sz="1100"/>
          </a:p>
        </c:rich>
      </c:tx>
      <c:layout/>
      <c:overlay val="0"/>
    </c:title>
    <c:autoTitleDeleted val="0"/>
    <c:plotArea>
      <c:layout/>
      <c:pieChart>
        <c:varyColors val="1"/>
        <c:ser>
          <c:idx val="1"/>
          <c:order val="0"/>
          <c:explosion val="0"/>
          <c:dPt>
            <c:idx val="0"/>
            <c:bubble3D val="0"/>
          </c:dPt>
          <c:dPt>
            <c:idx val="1"/>
            <c:bubble3D val="0"/>
          </c:dPt>
          <c:dPt>
            <c:idx val="2"/>
            <c:bubble3D val="0"/>
          </c:dPt>
          <c:dPt>
            <c:idx val="3"/>
            <c:bubble3D val="0"/>
          </c:dPt>
          <c:dPt>
            <c:idx val="4"/>
            <c:bubble3D val="0"/>
          </c:dPt>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{"基本支出","项目支出","上缴上级支出","经营支出","对附属单位补助支出"}</c:f>
              <c:strCache>
                <c:ptCount val="5"/>
                <c:pt idx="0">
                  <c:v>基本支出</c:v>
                </c:pt>
                <c:pt idx="1">
                  <c:v>项目支出</c:v>
                </c:pt>
                <c:pt idx="2">
                  <c:v>上缴上级支出</c:v>
                </c:pt>
                <c:pt idx="3">
                  <c:v>经营支出</c:v>
                </c:pt>
                <c:pt idx="4">
                  <c:v>对附属单位补助支出</c:v>
                </c:pt>
              </c:strCache>
            </c:strRef>
          </c:cat>
          <c:val>
            <c:numRef>
              <c:f>{1960590.6,0,0,0,0}</c:f>
              <c:numCache>
                <c:formatCode>General</c:formatCode>
                <c:ptCount val="5"/>
                <c:pt idx="0">
                  <c:v>1960590.6</c:v>
                </c:pt>
                <c:pt idx="1">
                  <c:v>0</c:v>
                </c:pt>
                <c:pt idx="2">
                  <c:v>0</c:v>
                </c:pt>
                <c:pt idx="3">
                  <c:v>0</c:v>
                </c:pt>
                <c:pt idx="4">
                  <c:v>0</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solidFill>
          <a:schemeClr val="lt1">
            <a:lumMod val="95000"/>
            <a:alpha val="39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legend>
    <c:plotVisOnly val="1"/>
    <c:dispBlanksAs val="zero"/>
    <c:showDLblsOverMax val="0"/>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prstDash val="solid"/>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23</Pages>
  <Words>1299</Words>
  <Characters>7410</Characters>
  <Lines>61</Lines>
  <Paragraphs>17</Paragraphs>
  <TotalTime>8</TotalTime>
  <ScaleCrop>false</ScaleCrop>
  <LinksUpToDate>false</LinksUpToDate>
  <CharactersWithSpaces>8692</CharactersWithSpaces>
  <Application>WPS Office_11.1.0.9740_F1E327BC-269C-435d-A152-05C5408002CA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2020-08-09T09:49:00Z</dcterms:created>
  <dc:creator>曹颖</dc:creator>
  <cp:lastModifiedBy>Administrator</cp:lastModifiedBy>
  <cp:lastPrinted>2025-08-06T17:34:00Z</cp:lastPrinted>
  <dcterms:modified xsi:type="dcterms:W3CDTF">2025-09-10T01:26:59Z</dcterms:modified>
  <dc:title>四川省***</dc:title>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y fmtid="{D5CDD505-2E9C-101B-9397-08002B2CF9AE}" pid="3" name="ICV">
    <vt:lpwstr>04787F2533EB45DC91BCDE4AB213247F</vt:lpwstr>
  </property>
</Properties>
</file>