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17EA8">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78441"/>
      <w:bookmarkStart w:id="2" w:name="_Toc15396475"/>
      <w:bookmarkStart w:id="3" w:name="_Toc15396597"/>
      <w:bookmarkStart w:id="4" w:name="_Toc15377193"/>
      <w:bookmarkStart w:id="5" w:name="_Toc15306267"/>
    </w:p>
    <w:p w14:paraId="4C6CD65B">
      <w:pPr>
        <w:pStyle w:val="6"/>
        <w:rPr>
          <w:rFonts w:hint="eastAsia" w:ascii="Times New Roman" w:hAnsi="Times New Roman" w:eastAsia="方正小标宋简体" w:cs="Times New Roman"/>
          <w:color w:val="auto"/>
          <w:kern w:val="2"/>
          <w:sz w:val="72"/>
          <w:szCs w:val="72"/>
          <w:highlight w:val="none"/>
          <w:lang w:val="en-US" w:eastAsia="zh-CN" w:bidi="ar-SA"/>
        </w:rPr>
      </w:pPr>
    </w:p>
    <w:p w14:paraId="3E76E545">
      <w:pPr>
        <w:pStyle w:val="6"/>
        <w:rPr>
          <w:rFonts w:hint="eastAsia" w:ascii="Times New Roman" w:hAnsi="Times New Roman" w:eastAsia="方正小标宋简体" w:cs="Times New Roman"/>
          <w:color w:val="auto"/>
          <w:kern w:val="2"/>
          <w:sz w:val="72"/>
          <w:szCs w:val="72"/>
          <w:highlight w:val="none"/>
          <w:lang w:val="en-US" w:eastAsia="zh-CN" w:bidi="ar-SA"/>
        </w:rPr>
      </w:pPr>
    </w:p>
    <w:p w14:paraId="78EA7161">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2024年度省级部门（单位）决算</w:t>
      </w:r>
    </w:p>
    <w:p w14:paraId="64B14CE2">
      <w:pPr>
        <w:pStyle w:val="6"/>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公开文字说明范本</w:t>
      </w:r>
    </w:p>
    <w:p w14:paraId="4D143753">
      <w:pPr>
        <w:spacing w:line="600" w:lineRule="exact"/>
        <w:jc w:val="center"/>
        <w:outlineLvl w:val="0"/>
        <w:rPr>
          <w:rFonts w:ascii="Times New Roman" w:hAnsi="Times New Roman" w:eastAsia="方正小标宋简体"/>
          <w:color w:val="auto"/>
          <w:sz w:val="72"/>
          <w:szCs w:val="72"/>
          <w:highlight w:val="none"/>
        </w:rPr>
      </w:pPr>
    </w:p>
    <w:p w14:paraId="1A63AE9E">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1FE1A634">
      <w:pPr>
        <w:rPr>
          <w:rFonts w:ascii="Times New Roman" w:hAnsi="Times New Roman"/>
        </w:rPr>
      </w:pPr>
    </w:p>
    <w:p w14:paraId="59F5FF5F">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0B955A3E">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47D893B9">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1914CB96">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4E681FEC">
      <w:pPr>
        <w:pStyle w:val="6"/>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8442"/>
      <w:bookmarkStart w:id="7" w:name="_Toc15396476"/>
      <w:bookmarkStart w:id="8" w:name="_Toc15377426"/>
      <w:bookmarkStart w:id="9" w:name="_Toc15377194"/>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2024年度</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松潘环境监测站</w:t>
      </w: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14:paraId="1D49A1D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（注：</w:t>
      </w:r>
      <w:r>
        <w:rPr>
          <w:rFonts w:hint="eastAsia" w:eastAsia="仿宋_GB2312" w:cs="仿宋_GB2312"/>
          <w:color w:val="auto"/>
          <w:sz w:val="32"/>
          <w:szCs w:val="32"/>
          <w:highlight w:val="none"/>
          <w:lang w:val="en-US" w:eastAsia="zh-CN"/>
        </w:rPr>
        <w:t>以下为部门公开范本。单位公开内容应参照部门公开内容和报表格式，并与部门公开内容做好衔接）</w:t>
      </w:r>
    </w:p>
    <w:p w14:paraId="2C9DCE5F">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05DDF86F">
      <w:pPr>
        <w:widowControl/>
        <w:jc w:val="center"/>
        <w:rPr>
          <w:rFonts w:ascii="Times New Roman" w:hAnsi="Times New Roman" w:eastAsia="黑体" w:cstheme="minorBidi"/>
          <w:color w:val="auto"/>
          <w:sz w:val="28"/>
          <w:szCs w:val="28"/>
          <w:highlight w:val="none"/>
        </w:rPr>
      </w:pPr>
    </w:p>
    <w:p w14:paraId="274D014B">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16</w:t>
      </w:r>
      <w:r>
        <w:rPr>
          <w:rFonts w:hint="eastAsia" w:ascii="Times New Roman" w:hAnsi="Times New Roman" w:eastAsia="仿宋_GB2312" w:cs="仿宋_GB2312"/>
          <w:color w:val="auto"/>
          <w:sz w:val="32"/>
          <w:szCs w:val="32"/>
          <w:highlight w:val="none"/>
        </w:rPr>
        <w:t>日</w:t>
      </w:r>
    </w:p>
    <w:p w14:paraId="6C62C33D">
      <w:pPr>
        <w:rPr>
          <w:rFonts w:ascii="Times New Roman" w:hAnsi="Times New Roman"/>
          <w:color w:val="auto"/>
          <w:highlight w:val="none"/>
        </w:rPr>
      </w:pPr>
    </w:p>
    <w:p w14:paraId="1A84996B">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317F5EF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14:paraId="625751A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14:paraId="06759903">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57CAC9F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1BD8737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14:paraId="18D739D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14:paraId="2774CD1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14:paraId="511DACD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14:paraId="357AEDE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14:paraId="233C31E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0603E6F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14:paraId="627B13C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3C37643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14:paraId="1F125869">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14:paraId="0EB2D64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14:paraId="227D47E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71C5427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6AC6D7B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0D865F4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09C5508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24F4522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7F01413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3651B0F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721C6C1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57CED26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6C6C90D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50EF6A3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5E1FA0B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7D8DFB7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522F473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27D67B8E">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96599"/>
      <w:bookmarkStart w:id="13" w:name="_Toc15377196"/>
      <w:r>
        <w:rPr>
          <w:rFonts w:hint="eastAsia" w:ascii="Times New Roman" w:hAnsi="Times New Roman" w:eastAsia="仿宋_GB2312" w:cs="仿宋_GB2312"/>
          <w:b/>
          <w:color w:val="auto"/>
          <w:sz w:val="32"/>
          <w:szCs w:val="32"/>
          <w:highlight w:val="none"/>
        </w:rPr>
        <w:br w:type="page"/>
      </w:r>
    </w:p>
    <w:p w14:paraId="42F23CC4">
      <w:pPr>
        <w:pStyle w:val="3"/>
        <w:jc w:val="center"/>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12"/>
      <w:bookmarkEnd w:id="13"/>
    </w:p>
    <w:p w14:paraId="4681DAC5">
      <w:pPr>
        <w:widowControl/>
        <w:jc w:val="left"/>
        <w:rPr>
          <w:rFonts w:ascii="Times New Roman" w:hAnsi="Times New Roman" w:eastAsia="黑体"/>
          <w:color w:val="auto"/>
          <w:sz w:val="32"/>
          <w:szCs w:val="32"/>
          <w:highlight w:val="none"/>
        </w:rPr>
      </w:pPr>
    </w:p>
    <w:p w14:paraId="757B093A">
      <w:pPr>
        <w:pStyle w:val="4"/>
        <w:rPr>
          <w:rStyle w:val="31"/>
          <w:rFonts w:hint="eastAsia" w:ascii="Times New Roman" w:hAnsi="Times New Roman" w:eastAsia="黑体"/>
          <w:b w:val="0"/>
          <w:bCs w:val="0"/>
          <w:color w:val="auto"/>
          <w:highlight w:val="none"/>
          <w:lang w:eastAsia="zh-CN"/>
        </w:rPr>
      </w:pPr>
      <w:bookmarkStart w:id="14" w:name="_Toc15377197"/>
      <w:bookmarkStart w:id="15" w:name="_Toc15396600"/>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eastAsia="zh-CN"/>
        </w:rPr>
        <w:t>部门职责</w:t>
      </w:r>
    </w:p>
    <w:p w14:paraId="55309CCF">
      <w:pPr>
        <w:pStyle w:val="4"/>
        <w:rPr>
          <w:rStyle w:val="31"/>
          <w:rFonts w:ascii="Times New Roman" w:hAnsi="Times New Roman"/>
          <w:b w:val="0"/>
          <w:bCs w:val="0"/>
          <w:color w:val="auto"/>
          <w:highlight w:val="none"/>
        </w:rPr>
      </w:pPr>
      <w:bookmarkStart w:id="16" w:name="_Toc15396601"/>
      <w:bookmarkStart w:id="17" w:name="_Toc15377200"/>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6"/>
      <w:bookmarkEnd w:id="17"/>
    </w:p>
    <w:p w14:paraId="46369E8A">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阿坝藏族羌族自治州松潘县环境监测站</w:t>
      </w:r>
      <w:r>
        <w:rPr>
          <w:rFonts w:hint="eastAsia" w:ascii="Times New Roman" w:hAnsi="Times New Roman" w:eastAsia="仿宋_GB2312" w:cs="仿宋_GB2312"/>
          <w:color w:val="auto"/>
          <w:sz w:val="32"/>
          <w:szCs w:val="32"/>
          <w:highlight w:val="none"/>
        </w:rPr>
        <w:t>属</w:t>
      </w:r>
      <w:r>
        <w:rPr>
          <w:rFonts w:hint="eastAsia" w:eastAsia="仿宋_GB2312" w:cs="仿宋_GB2312"/>
          <w:color w:val="auto"/>
          <w:sz w:val="32"/>
          <w:szCs w:val="32"/>
          <w:highlight w:val="none"/>
          <w:lang w:eastAsia="zh-CN"/>
        </w:rPr>
        <w:t>于阿坝藏族羌族自治州松潘生态环境局</w:t>
      </w:r>
      <w:r>
        <w:rPr>
          <w:rFonts w:hint="eastAsia" w:ascii="Times New Roman" w:hAnsi="Times New Roman" w:eastAsia="仿宋_GB2312" w:cs="仿宋_GB2312"/>
          <w:color w:val="auto"/>
          <w:sz w:val="32"/>
          <w:szCs w:val="32"/>
          <w:highlight w:val="none"/>
        </w:rPr>
        <w:t>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p>
    <w:p w14:paraId="32BF195D">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纳入</w:t>
      </w:r>
      <w:r>
        <w:rPr>
          <w:sz w:val="32"/>
          <w:szCs w:val="32"/>
        </w:rPr>
        <w:t>阿坝藏族羌族自治州松潘县环境监测站</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r>
        <w:rPr>
          <w:rFonts w:hint="eastAsia" w:ascii="仿宋_GB2312" w:hAnsi="仿宋_GB2312" w:eastAsia="仿宋_GB2312" w:cs="仿宋_GB2312"/>
          <w:color w:val="auto"/>
          <w:sz w:val="32"/>
          <w:szCs w:val="32"/>
          <w:highlight w:val="none"/>
        </w:rPr>
        <w:t>松潘县环境监测站</w:t>
      </w:r>
      <w:r>
        <w:rPr>
          <w:rFonts w:hint="eastAsia" w:hAnsi="仿宋_GB2312" w:cs="仿宋_GB2312"/>
          <w:color w:val="auto"/>
          <w:sz w:val="32"/>
          <w:szCs w:val="32"/>
          <w:highlight w:val="none"/>
          <w:lang w:eastAsia="zh-CN"/>
        </w:rPr>
        <w:t>。</w:t>
      </w:r>
    </w:p>
    <w:p w14:paraId="34C3AC2B">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0D7C3950">
      <w:pPr>
        <w:pStyle w:val="3"/>
        <w:jc w:val="center"/>
        <w:rPr>
          <w:rFonts w:hint="eastAsia" w:ascii="Times New Roman" w:hAnsi="Times New Roman" w:eastAsia="方正小标宋简体" w:cs="方正小标宋简体"/>
          <w:b w:val="0"/>
          <w:color w:val="auto"/>
          <w:highlight w:val="none"/>
        </w:rPr>
      </w:pPr>
      <w:bookmarkStart w:id="18" w:name="_Toc15396602"/>
      <w:bookmarkStart w:id="19"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8"/>
      <w:bookmarkEnd w:id="19"/>
    </w:p>
    <w:p w14:paraId="50575B3A">
      <w:pPr>
        <w:rPr>
          <w:rFonts w:ascii="Times New Roman" w:hAnsi="Times New Roman"/>
          <w:color w:val="auto"/>
          <w:highlight w:val="none"/>
        </w:rPr>
      </w:pPr>
    </w:p>
    <w:p w14:paraId="4E948727">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0" w:name="_Toc15396603"/>
      <w:bookmarkStart w:id="21"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20"/>
      <w:bookmarkEnd w:id="21"/>
    </w:p>
    <w:p w14:paraId="43FDD503">
      <w:pPr>
        <w:snapToGrid w:val="0"/>
        <w:spacing w:line="520" w:lineRule="exact"/>
        <w:ind w:firstLine="640" w:firstLineChars="200"/>
        <w:rPr>
          <w:rFonts w:hint="eastAsia" w:ascii="仿宋" w:hAnsi="仿宋" w:eastAsia="仿宋" w:cs="仿宋"/>
          <w:sz w:val="32"/>
          <w:szCs w:val="32"/>
          <w:highlight w:val="none"/>
        </w:rPr>
      </w:pPr>
      <w:r>
        <w:rPr>
          <w:rFonts w:hint="eastAsia" w:ascii="仿宋_GB2312" w:hAnsi="仿宋" w:eastAsia="仿宋_GB2312"/>
          <w:sz w:val="32"/>
          <w:szCs w:val="32"/>
          <w:highlight w:val="none"/>
          <w:lang w:eastAsia="zh-CN"/>
        </w:rPr>
        <w:t>202</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lang w:eastAsia="zh-CN"/>
        </w:rPr>
        <w:t>年</w:t>
      </w:r>
      <w:r>
        <w:rPr>
          <w:rFonts w:hint="eastAsia" w:ascii="仿宋_GB2312" w:hAnsi="仿宋" w:eastAsia="仿宋_GB2312"/>
          <w:sz w:val="32"/>
          <w:szCs w:val="32"/>
          <w:highlight w:val="none"/>
        </w:rPr>
        <w:t>收入</w:t>
      </w:r>
      <w:r>
        <w:rPr>
          <w:rFonts w:hint="eastAsia" w:ascii="仿宋_GB2312" w:hAnsi="仿宋" w:eastAsia="仿宋_GB2312"/>
          <w:sz w:val="32"/>
          <w:szCs w:val="32"/>
          <w:highlight w:val="none"/>
          <w:lang w:val="en-US" w:eastAsia="zh-CN"/>
        </w:rPr>
        <w:t>合计</w:t>
      </w:r>
      <w:r>
        <w:rPr>
          <w:rFonts w:hint="eastAsia" w:ascii="仿宋" w:hAnsi="仿宋" w:eastAsia="仿宋"/>
          <w:color w:val="auto"/>
          <w:sz w:val="32"/>
          <w:szCs w:val="32"/>
          <w:highlight w:val="none"/>
          <w:lang w:val="en-US" w:eastAsia="zh-CN"/>
        </w:rPr>
        <w:t>230.48</w:t>
      </w:r>
      <w:r>
        <w:rPr>
          <w:rFonts w:hint="eastAsia" w:ascii="仿宋_GB2312" w:hAnsi="仿宋" w:eastAsia="仿宋_GB2312"/>
          <w:sz w:val="32"/>
          <w:szCs w:val="32"/>
          <w:highlight w:val="none"/>
        </w:rPr>
        <w:t>万元，</w:t>
      </w:r>
      <w:r>
        <w:rPr>
          <w:rFonts w:hint="eastAsia" w:ascii="仿宋" w:hAnsi="仿宋" w:eastAsia="仿宋"/>
          <w:color w:val="auto"/>
          <w:sz w:val="32"/>
          <w:szCs w:val="32"/>
          <w:highlight w:val="none"/>
          <w:lang w:val="en-US" w:eastAsia="zh-CN"/>
        </w:rPr>
        <w:t>较2023年增加50.02万元</w:t>
      </w:r>
      <w:r>
        <w:rPr>
          <w:rFonts w:hint="eastAsia" w:ascii="仿宋_GB2312" w:hAnsi="仿宋" w:eastAsia="仿宋_GB2312"/>
          <w:sz w:val="32"/>
          <w:szCs w:val="32"/>
          <w:highlight w:val="none"/>
        </w:rPr>
        <w:t>，</w:t>
      </w:r>
      <w:r>
        <w:rPr>
          <w:rFonts w:hint="eastAsia" w:ascii="仿宋" w:hAnsi="仿宋" w:eastAsia="仿宋"/>
          <w:color w:val="auto"/>
          <w:sz w:val="32"/>
          <w:szCs w:val="32"/>
          <w:highlight w:val="none"/>
          <w:lang w:val="en-US" w:eastAsia="zh-CN"/>
        </w:rPr>
        <w:t>上升27.72%</w:t>
      </w:r>
      <w:r>
        <w:rPr>
          <w:rFonts w:hint="eastAsia" w:ascii="仿宋_GB2312" w:hAnsi="仿宋" w:eastAsia="仿宋_GB2312"/>
          <w:sz w:val="32"/>
          <w:szCs w:val="32"/>
          <w:highlight w:val="none"/>
        </w:rPr>
        <w:t>；支出</w:t>
      </w:r>
      <w:r>
        <w:rPr>
          <w:rFonts w:hint="eastAsia" w:ascii="仿宋_GB2312" w:hAnsi="仿宋" w:eastAsia="仿宋_GB2312"/>
          <w:sz w:val="32"/>
          <w:szCs w:val="32"/>
          <w:highlight w:val="none"/>
          <w:lang w:val="en-US" w:eastAsia="zh-CN"/>
        </w:rPr>
        <w:t>合计</w:t>
      </w:r>
      <w:r>
        <w:rPr>
          <w:rFonts w:hint="eastAsia" w:ascii="仿宋" w:hAnsi="仿宋" w:eastAsia="仿宋"/>
          <w:color w:val="auto"/>
          <w:sz w:val="32"/>
          <w:szCs w:val="32"/>
          <w:highlight w:val="none"/>
          <w:lang w:val="en-US" w:eastAsia="zh-CN"/>
        </w:rPr>
        <w:t>230.48</w:t>
      </w:r>
      <w:r>
        <w:rPr>
          <w:rFonts w:hint="eastAsia" w:ascii="仿宋_GB2312" w:hAnsi="仿宋" w:eastAsia="仿宋_GB2312"/>
          <w:sz w:val="32"/>
          <w:szCs w:val="32"/>
          <w:highlight w:val="none"/>
        </w:rPr>
        <w:t>万元，</w:t>
      </w:r>
      <w:r>
        <w:rPr>
          <w:rFonts w:hint="eastAsia" w:ascii="仿宋" w:hAnsi="仿宋" w:eastAsia="仿宋"/>
          <w:color w:val="auto"/>
          <w:sz w:val="32"/>
          <w:szCs w:val="32"/>
          <w:highlight w:val="none"/>
          <w:lang w:val="en-US" w:eastAsia="zh-CN"/>
        </w:rPr>
        <w:t>较2023年增加50.02万元</w:t>
      </w:r>
      <w:r>
        <w:rPr>
          <w:rFonts w:hint="eastAsia" w:ascii="仿宋_GB2312" w:hAnsi="仿宋" w:eastAsia="仿宋_GB2312"/>
          <w:sz w:val="32"/>
          <w:szCs w:val="32"/>
          <w:highlight w:val="none"/>
        </w:rPr>
        <w:t>，</w:t>
      </w:r>
      <w:r>
        <w:rPr>
          <w:rFonts w:hint="eastAsia" w:ascii="仿宋" w:hAnsi="仿宋" w:eastAsia="仿宋"/>
          <w:color w:val="auto"/>
          <w:sz w:val="32"/>
          <w:szCs w:val="32"/>
          <w:highlight w:val="none"/>
          <w:lang w:val="en-US" w:eastAsia="zh-CN"/>
        </w:rPr>
        <w:t>上升27.72%</w:t>
      </w:r>
      <w:r>
        <w:rPr>
          <w:rFonts w:hint="eastAsia" w:ascii="仿宋_GB2312" w:hAnsi="仿宋" w:eastAsia="仿宋_GB2312"/>
          <w:sz w:val="32"/>
          <w:szCs w:val="32"/>
          <w:highlight w:val="none"/>
        </w:rPr>
        <w:t>，主要原因是</w:t>
      </w:r>
      <w:r>
        <w:rPr>
          <w:rFonts w:hint="eastAsia" w:ascii="仿宋" w:hAnsi="仿宋" w:eastAsia="仿宋"/>
          <w:color w:val="auto"/>
          <w:sz w:val="32"/>
          <w:szCs w:val="32"/>
          <w:highlight w:val="none"/>
          <w:lang w:val="en-US" w:eastAsia="zh-CN"/>
        </w:rPr>
        <w:t>新增人员，工资变动、社保基数上涨，所以支出增加</w:t>
      </w:r>
      <w:r>
        <w:rPr>
          <w:rFonts w:hint="eastAsia" w:ascii="仿宋_GB2312" w:hAnsi="仿宋" w:eastAsia="仿宋_GB2312"/>
          <w:sz w:val="32"/>
          <w:szCs w:val="32"/>
          <w:highlight w:val="none"/>
        </w:rPr>
        <w:t>。</w:t>
      </w:r>
    </w:p>
    <w:p w14:paraId="25CBC7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5CB7112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rPr>
          <w:highlight w:val="none"/>
        </w:rPr>
        <w:drawing>
          <wp:inline distT="0" distB="0" distL="114300" distR="114300">
            <wp:extent cx="5759450" cy="3455670"/>
            <wp:effectExtent l="0" t="0" r="12700" b="11430"/>
            <wp:docPr id="1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1"/>
                    <pic:cNvPicPr>
                      <a:picLocks noChangeAspect="1"/>
                    </pic:cNvPicPr>
                  </pic:nvPicPr>
                  <pic:blipFill>
                    <a:blip r:embed="rId8"/>
                    <a:stretch>
                      <a:fillRect/>
                    </a:stretch>
                  </pic:blipFill>
                  <pic:spPr>
                    <a:xfrm>
                      <a:off x="0" y="0"/>
                      <a:ext cx="5760000" cy="3456000"/>
                    </a:xfrm>
                    <a:prstGeom prst="rect">
                      <a:avLst/>
                    </a:prstGeom>
                  </pic:spPr>
                </pic:pic>
              </a:graphicData>
            </a:graphic>
          </wp:inline>
        </w:drawing>
      </w:r>
    </w:p>
    <w:p w14:paraId="0640BD6A">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77206"/>
      <w:bookmarkStart w:id="23" w:name="_Toc15396604"/>
      <w:r>
        <w:rPr>
          <w:rFonts w:hint="eastAsia" w:ascii="Times New Roman" w:hAnsi="Times New Roman" w:eastAsia="黑体"/>
          <w:color w:val="auto"/>
          <w:sz w:val="32"/>
          <w:szCs w:val="32"/>
          <w:highlight w:val="none"/>
          <w:lang w:eastAsia="zh-CN"/>
        </w:rPr>
        <w:t>二、收入决算情况说明</w:t>
      </w:r>
      <w:bookmarkEnd w:id="22"/>
      <w:bookmarkEnd w:id="23"/>
    </w:p>
    <w:p w14:paraId="5400071E">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230.48万元，其中：一般公共预算财政拨款收入230.48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761DB907">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3B1AF648">
      <w:pPr>
        <w:ind w:firstLine="525" w:firstLineChars="250"/>
        <w:rPr>
          <w:rFonts w:hint="eastAsia" w:ascii="Times New Roman" w:hAnsi="Times New Roman" w:eastAsia="仿宋_GB2312" w:cs="仿宋_GB2312"/>
          <w:color w:val="auto"/>
          <w:sz w:val="32"/>
          <w:szCs w:val="32"/>
          <w:highlight w:val="none"/>
          <w:lang w:eastAsia="zh-CN"/>
        </w:rPr>
      </w:pPr>
      <w:r>
        <w:rPr>
          <w:highlight w:val="none"/>
        </w:rPr>
        <w:drawing>
          <wp:inline distT="0" distB="0" distL="114300" distR="114300">
            <wp:extent cx="5759450" cy="5027930"/>
            <wp:effectExtent l="0" t="0" r="12700" b="1270"/>
            <wp:docPr id="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1"/>
                    <pic:cNvPicPr>
                      <a:picLocks noChangeAspect="1"/>
                    </pic:cNvPicPr>
                  </pic:nvPicPr>
                  <pic:blipFill>
                    <a:blip r:embed="rId9"/>
                    <a:stretch>
                      <a:fillRect/>
                    </a:stretch>
                  </pic:blipFill>
                  <pic:spPr>
                    <a:xfrm>
                      <a:off x="0" y="0"/>
                      <a:ext cx="5760000" cy="5028161"/>
                    </a:xfrm>
                    <a:prstGeom prst="rect">
                      <a:avLst/>
                    </a:prstGeom>
                  </pic:spPr>
                </pic:pic>
              </a:graphicData>
            </a:graphic>
          </wp:inline>
        </w:drawing>
      </w:r>
    </w:p>
    <w:p w14:paraId="3ACF9E55">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4" w:name="_Toc15377207"/>
      <w:bookmarkStart w:id="25"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4"/>
      <w:bookmarkEnd w:id="25"/>
    </w:p>
    <w:p w14:paraId="2336D9C4">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230.48</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230.48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4A7B8F9C">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0622E34F">
      <w:pPr>
        <w:ind w:firstLine="800" w:firstLineChars="250"/>
        <w:rPr>
          <w:rFonts w:hint="eastAsia" w:ascii="Times New Roman" w:hAnsi="Times New Roman" w:eastAsia="仿宋_GB2312" w:cs="仿宋_GB2312"/>
          <w:color w:val="auto"/>
          <w:sz w:val="32"/>
          <w:szCs w:val="32"/>
          <w:highlight w:val="none"/>
          <w:lang w:eastAsia="zh-CN"/>
        </w:rPr>
      </w:pPr>
    </w:p>
    <w:p w14:paraId="5219601F">
      <w:pPr>
        <w:spacing w:line="600" w:lineRule="exact"/>
        <w:ind w:firstLine="640" w:firstLineChars="200"/>
        <w:outlineLvl w:val="1"/>
        <w:rPr>
          <w:rStyle w:val="31"/>
          <w:rFonts w:ascii="Times New Roman" w:hAnsi="Times New Roman" w:eastAsia="黑体"/>
          <w:b w:val="0"/>
          <w:color w:val="auto"/>
          <w:highlight w:val="none"/>
        </w:rPr>
      </w:pPr>
      <w:bookmarkStart w:id="26" w:name="_Toc15377208"/>
      <w:bookmarkStart w:id="27" w:name="_Toc15396606"/>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26"/>
      <w:bookmarkEnd w:id="27"/>
    </w:p>
    <w:p w14:paraId="41D01211">
      <w:pPr>
        <w:snapToGrid w:val="0"/>
        <w:spacing w:line="52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230.48</w:t>
      </w:r>
      <w:r>
        <w:rPr>
          <w:rFonts w:hint="eastAsia" w:ascii="Times New Roman" w:hAnsi="Times New Roman" w:eastAsia="仿宋_GB2312" w:cs="仿宋_GB2312"/>
          <w:color w:val="auto"/>
          <w:kern w:val="2"/>
          <w:sz w:val="32"/>
          <w:szCs w:val="32"/>
          <w:highlight w:val="none"/>
          <w:lang w:val="en-US" w:eastAsia="zh-CN" w:bidi="ar-SA"/>
        </w:rPr>
        <w:t>万元。与2023年度相比，</w:t>
      </w:r>
      <w:r>
        <w:rPr>
          <w:rFonts w:hint="eastAsia" w:ascii="仿宋" w:hAnsi="仿宋" w:eastAsia="仿宋"/>
          <w:color w:val="auto"/>
          <w:sz w:val="32"/>
          <w:szCs w:val="32"/>
          <w:highlight w:val="none"/>
          <w:lang w:val="en-US" w:eastAsia="zh-CN"/>
        </w:rPr>
        <w:t>较2023年增加50.02万元</w:t>
      </w:r>
      <w:r>
        <w:rPr>
          <w:rFonts w:hint="eastAsia" w:ascii="仿宋_GB2312" w:hAnsi="仿宋" w:eastAsia="仿宋_GB2312"/>
          <w:sz w:val="32"/>
          <w:szCs w:val="32"/>
          <w:highlight w:val="none"/>
        </w:rPr>
        <w:t>，</w:t>
      </w:r>
      <w:r>
        <w:rPr>
          <w:rFonts w:hint="eastAsia" w:ascii="仿宋" w:hAnsi="仿宋" w:eastAsia="仿宋"/>
          <w:color w:val="auto"/>
          <w:sz w:val="32"/>
          <w:szCs w:val="32"/>
          <w:highlight w:val="none"/>
          <w:lang w:val="en-US" w:eastAsia="zh-CN"/>
        </w:rPr>
        <w:t>上升27.72%</w:t>
      </w:r>
      <w:r>
        <w:rPr>
          <w:rFonts w:hint="eastAsia" w:ascii="仿宋_GB2312" w:hAnsi="仿宋" w:eastAsia="仿宋_GB2312"/>
          <w:sz w:val="32"/>
          <w:szCs w:val="32"/>
          <w:highlight w:val="none"/>
        </w:rPr>
        <w:t>，主要原因是</w:t>
      </w:r>
      <w:r>
        <w:rPr>
          <w:rFonts w:hint="eastAsia" w:ascii="仿宋" w:hAnsi="仿宋" w:eastAsia="仿宋"/>
          <w:color w:val="auto"/>
          <w:sz w:val="32"/>
          <w:szCs w:val="32"/>
          <w:highlight w:val="none"/>
          <w:lang w:val="en-US" w:eastAsia="zh-CN"/>
        </w:rPr>
        <w:t>新增人员，工资变动、社保基数上涨，所以支出增加</w:t>
      </w:r>
      <w:r>
        <w:rPr>
          <w:rFonts w:hint="eastAsia" w:ascii="仿宋_GB2312" w:hAnsi="仿宋" w:eastAsia="仿宋_GB2312"/>
          <w:sz w:val="32"/>
          <w:szCs w:val="32"/>
          <w:highlight w:val="none"/>
        </w:rPr>
        <w:t>。</w:t>
      </w:r>
    </w:p>
    <w:p w14:paraId="556F0D93">
      <w:pPr>
        <w:spacing w:line="600" w:lineRule="exact"/>
        <w:ind w:firstLine="640" w:firstLineChars="200"/>
        <w:rPr>
          <w:highlight w:val="none"/>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5C323AB5">
      <w:pPr>
        <w:pStyle w:val="6"/>
        <w:rPr>
          <w:highlight w:val="none"/>
        </w:rPr>
      </w:pPr>
      <w:r>
        <w:rPr>
          <w:highlight w:val="none"/>
        </w:rPr>
        <w:drawing>
          <wp:inline distT="0" distB="0" distL="114300" distR="114300">
            <wp:extent cx="5759450" cy="3455670"/>
            <wp:effectExtent l="0" t="0" r="12700" b="11430"/>
            <wp:docPr id="1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Picture 1"/>
                    <pic:cNvPicPr>
                      <a:picLocks noChangeAspect="1"/>
                    </pic:cNvPicPr>
                  </pic:nvPicPr>
                  <pic:blipFill>
                    <a:blip r:embed="rId8"/>
                    <a:stretch>
                      <a:fillRect/>
                    </a:stretch>
                  </pic:blipFill>
                  <pic:spPr>
                    <a:xfrm>
                      <a:off x="0" y="0"/>
                      <a:ext cx="5760000" cy="3456000"/>
                    </a:xfrm>
                    <a:prstGeom prst="rect">
                      <a:avLst/>
                    </a:prstGeom>
                  </pic:spPr>
                </pic:pic>
              </a:graphicData>
            </a:graphic>
          </wp:inline>
        </w:drawing>
      </w:r>
    </w:p>
    <w:p w14:paraId="71D9ABF4">
      <w:pPr>
        <w:pStyle w:val="6"/>
        <w:rPr>
          <w:highlight w:val="none"/>
        </w:rPr>
      </w:pPr>
    </w:p>
    <w:p w14:paraId="57834BF4">
      <w:pPr>
        <w:pStyle w:val="6"/>
        <w:rPr>
          <w:highlight w:val="none"/>
        </w:rPr>
      </w:pPr>
    </w:p>
    <w:p w14:paraId="5C4F5160">
      <w:pPr>
        <w:pStyle w:val="6"/>
        <w:rPr>
          <w:highlight w:val="none"/>
        </w:rPr>
      </w:pPr>
    </w:p>
    <w:p w14:paraId="00F360B5">
      <w:pPr>
        <w:pStyle w:val="6"/>
        <w:rPr>
          <w:highlight w:val="none"/>
        </w:rPr>
      </w:pPr>
    </w:p>
    <w:p w14:paraId="29E87CF6">
      <w:pPr>
        <w:pStyle w:val="6"/>
        <w:rPr>
          <w:highlight w:val="none"/>
        </w:rPr>
      </w:pPr>
    </w:p>
    <w:p w14:paraId="210A6FDA">
      <w:pPr>
        <w:pStyle w:val="6"/>
        <w:rPr>
          <w:rFonts w:hint="eastAsia"/>
          <w:highlight w:val="none"/>
          <w:lang w:val="en-US" w:eastAsia="zh-CN"/>
        </w:rPr>
      </w:pPr>
    </w:p>
    <w:p w14:paraId="5E2BA04D">
      <w:pPr>
        <w:spacing w:line="600" w:lineRule="exact"/>
        <w:ind w:firstLine="640" w:firstLineChars="200"/>
        <w:outlineLvl w:val="1"/>
        <w:rPr>
          <w:rStyle w:val="31"/>
          <w:rFonts w:ascii="Times New Roman" w:hAnsi="Times New Roman" w:eastAsia="黑体"/>
          <w:b w:val="0"/>
          <w:color w:val="auto"/>
          <w:highlight w:val="none"/>
        </w:rPr>
      </w:pPr>
      <w:bookmarkStart w:id="28" w:name="_Toc15377209"/>
      <w:bookmarkStart w:id="29"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28"/>
      <w:bookmarkEnd w:id="29"/>
    </w:p>
    <w:p w14:paraId="7329801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14:paraId="28E3E01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230.48</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p>
    <w:p w14:paraId="3DC7EE27">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1AAFF57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1"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1"/>
    </w:p>
    <w:p w14:paraId="1C7EFA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230.48</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default" w:ascii="仿宋_GB2312" w:hAnsi="仿宋" w:eastAsia="仿宋_GB2312"/>
          <w:sz w:val="32"/>
          <w:szCs w:val="32"/>
          <w:highlight w:val="none"/>
          <w:lang w:val="en-US" w:eastAsia="zh-CN"/>
        </w:rPr>
        <w:t>社会保障和就业支出38.54万元，占16.72%；卫生健康支出15.25万元，占6.62%；节能环保支出156.25万元，占67.79%；住房保障支出20.44万元，占8.87%。</w:t>
      </w:r>
    </w:p>
    <w:p w14:paraId="0F2E3A2A">
      <w:pPr>
        <w:spacing w:line="600" w:lineRule="exact"/>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11D2F3A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544C2869">
      <w:pPr>
        <w:pStyle w:val="6"/>
        <w:rPr>
          <w:rFonts w:hint="eastAsia" w:ascii="Times New Roman" w:hAnsi="Times New Roman" w:eastAsia="仿宋_GB2312" w:cs="仿宋_GB2312"/>
          <w:color w:val="auto"/>
          <w:kern w:val="2"/>
          <w:sz w:val="32"/>
          <w:szCs w:val="32"/>
          <w:highlight w:val="none"/>
          <w:lang w:val="en-US" w:eastAsia="zh-CN" w:bidi="ar-SA"/>
        </w:rPr>
      </w:pPr>
    </w:p>
    <w:p w14:paraId="0F6A6968">
      <w:pPr>
        <w:pStyle w:val="6"/>
        <w:rPr>
          <w:rFonts w:hint="eastAsia" w:ascii="Times New Roman" w:hAnsi="Times New Roman" w:eastAsia="仿宋_GB2312" w:cs="仿宋_GB2312"/>
          <w:color w:val="auto"/>
          <w:kern w:val="2"/>
          <w:sz w:val="32"/>
          <w:szCs w:val="32"/>
          <w:highlight w:val="none"/>
          <w:lang w:val="en-US" w:eastAsia="zh-CN" w:bidi="ar-SA"/>
        </w:rPr>
      </w:pPr>
      <w:r>
        <w:rPr>
          <w:highlight w:val="none"/>
        </w:rPr>
        <w:drawing>
          <wp:inline distT="0" distB="0" distL="114300" distR="114300">
            <wp:extent cx="3590290" cy="3134360"/>
            <wp:effectExtent l="0" t="0" r="10160" b="8890"/>
            <wp:docPr id="1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Picture 1"/>
                    <pic:cNvPicPr>
                      <a:picLocks noChangeAspect="1"/>
                    </pic:cNvPicPr>
                  </pic:nvPicPr>
                  <pic:blipFill>
                    <a:blip r:embed="rId10"/>
                    <a:stretch>
                      <a:fillRect/>
                    </a:stretch>
                  </pic:blipFill>
                  <pic:spPr>
                    <a:xfrm>
                      <a:off x="0" y="0"/>
                      <a:ext cx="3590290" cy="3134360"/>
                    </a:xfrm>
                    <a:prstGeom prst="rect">
                      <a:avLst/>
                    </a:prstGeom>
                  </pic:spPr>
                </pic:pic>
              </a:graphicData>
            </a:graphic>
          </wp:inline>
        </w:drawing>
      </w:r>
    </w:p>
    <w:p w14:paraId="3D0E0A14">
      <w:pPr>
        <w:pStyle w:val="6"/>
        <w:rPr>
          <w:rFonts w:hint="eastAsia" w:ascii="Times New Roman" w:hAnsi="Times New Roman" w:eastAsia="仿宋_GB2312" w:cs="仿宋_GB2312"/>
          <w:color w:val="auto"/>
          <w:kern w:val="2"/>
          <w:sz w:val="32"/>
          <w:szCs w:val="32"/>
          <w:highlight w:val="none"/>
          <w:lang w:val="en-US" w:eastAsia="zh-CN" w:bidi="ar-SA"/>
        </w:rPr>
      </w:pPr>
    </w:p>
    <w:p w14:paraId="0D5D8F66">
      <w:pPr>
        <w:pStyle w:val="6"/>
        <w:rPr>
          <w:rFonts w:hint="eastAsia" w:ascii="Times New Roman" w:hAnsi="Times New Roman" w:eastAsia="仿宋_GB2312" w:cs="仿宋_GB2312"/>
          <w:color w:val="auto"/>
          <w:kern w:val="2"/>
          <w:sz w:val="32"/>
          <w:szCs w:val="32"/>
          <w:highlight w:val="none"/>
          <w:lang w:val="en-US" w:eastAsia="zh-CN" w:bidi="ar-SA"/>
        </w:rPr>
      </w:pPr>
    </w:p>
    <w:p w14:paraId="6D83339E">
      <w:pPr>
        <w:pStyle w:val="6"/>
        <w:rPr>
          <w:rFonts w:hint="eastAsia" w:ascii="Times New Roman" w:hAnsi="Times New Roman" w:eastAsia="仿宋_GB2312" w:cs="仿宋_GB2312"/>
          <w:color w:val="auto"/>
          <w:kern w:val="2"/>
          <w:sz w:val="32"/>
          <w:szCs w:val="32"/>
          <w:highlight w:val="none"/>
          <w:lang w:val="en-US" w:eastAsia="zh-CN" w:bidi="ar-SA"/>
        </w:rPr>
      </w:pPr>
    </w:p>
    <w:p w14:paraId="0D2CBA34">
      <w:pPr>
        <w:pStyle w:val="6"/>
        <w:rPr>
          <w:rFonts w:hint="eastAsia" w:ascii="Times New Roman" w:hAnsi="Times New Roman" w:eastAsia="仿宋_GB2312" w:cs="仿宋_GB2312"/>
          <w:color w:val="auto"/>
          <w:kern w:val="2"/>
          <w:sz w:val="32"/>
          <w:szCs w:val="32"/>
          <w:highlight w:val="none"/>
          <w:lang w:val="en-US" w:eastAsia="zh-CN" w:bidi="ar-SA"/>
        </w:rPr>
      </w:pPr>
    </w:p>
    <w:p w14:paraId="5A02A6A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2"/>
    </w:p>
    <w:p w14:paraId="2C4FE49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3" w:name="_Toc15377444"/>
      <w:bookmarkStart w:id="34" w:name="_Toc15378460"/>
      <w:bookmarkStart w:id="35"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230.48</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bookmarkEnd w:id="33"/>
      <w:bookmarkEnd w:id="34"/>
      <w:bookmarkEnd w:id="35"/>
    </w:p>
    <w:p w14:paraId="2A2054EC">
      <w:pPr>
        <w:tabs>
          <w:tab w:val="right" w:pos="8306"/>
        </w:tabs>
        <w:spacing w:line="600" w:lineRule="exact"/>
        <w:ind w:firstLine="640"/>
        <w:outlineLvl w:val="1"/>
        <w:rPr>
          <w:rStyle w:val="31"/>
          <w:rFonts w:ascii="Times New Roman" w:hAnsi="Times New Roman"/>
          <w:color w:val="auto"/>
          <w:highlight w:val="none"/>
        </w:rPr>
      </w:pPr>
      <w:bookmarkStart w:id="36" w:name="_Toc15396608"/>
      <w:bookmarkStart w:id="37"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36"/>
      <w:bookmarkEnd w:id="37"/>
      <w:r>
        <w:rPr>
          <w:rStyle w:val="31"/>
          <w:rFonts w:ascii="Times New Roman" w:hAnsi="Times New Roman" w:eastAsia="黑体"/>
          <w:b w:val="0"/>
          <w:color w:val="auto"/>
          <w:highlight w:val="none"/>
        </w:rPr>
        <w:tab/>
      </w:r>
    </w:p>
    <w:p w14:paraId="6BBE24A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230.48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3262112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204.11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26.36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D15DDF3">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1D5CEF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A919EB9">
      <w:pPr>
        <w:spacing w:line="600" w:lineRule="exact"/>
        <w:ind w:firstLine="640"/>
        <w:outlineLvl w:val="1"/>
        <w:rPr>
          <w:rStyle w:val="31"/>
          <w:rFonts w:ascii="Times New Roman" w:hAnsi="Times New Roman" w:eastAsia="黑体"/>
          <w:b w:val="0"/>
          <w:color w:val="auto"/>
          <w:highlight w:val="none"/>
        </w:rPr>
      </w:pPr>
      <w:bookmarkStart w:id="38" w:name="_Toc15396609"/>
      <w:bookmarkStart w:id="39" w:name="_Toc15377215"/>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38"/>
      <w:bookmarkEnd w:id="39"/>
    </w:p>
    <w:p w14:paraId="2C8B0E0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0"/>
    </w:p>
    <w:p w14:paraId="0518F52C">
      <w:pPr>
        <w:snapToGrid w:val="0"/>
        <w:spacing w:line="520" w:lineRule="exact"/>
        <w:ind w:firstLine="640" w:firstLineChars="200"/>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eastAsia="zh-CN"/>
        </w:rPr>
        <w:t>202</w:t>
      </w:r>
      <w:r>
        <w:rPr>
          <w:rFonts w:hint="eastAsia" w:ascii="仿宋_GB2312" w:hAnsi="宋体" w:eastAsia="仿宋_GB2312"/>
          <w:color w:val="auto"/>
          <w:sz w:val="32"/>
          <w:szCs w:val="32"/>
          <w:highlight w:val="none"/>
          <w:lang w:val="en-US" w:eastAsia="zh-CN"/>
        </w:rPr>
        <w:t>4</w:t>
      </w:r>
      <w:r>
        <w:rPr>
          <w:rFonts w:hint="eastAsia" w:ascii="仿宋_GB2312" w:hAnsi="宋体" w:eastAsia="仿宋_GB2312"/>
          <w:color w:val="auto"/>
          <w:sz w:val="32"/>
          <w:szCs w:val="32"/>
          <w:highlight w:val="none"/>
          <w:lang w:eastAsia="zh-CN"/>
        </w:rPr>
        <w:t>年</w:t>
      </w:r>
      <w:r>
        <w:rPr>
          <w:rFonts w:hint="eastAsia" w:ascii="仿宋_GB2312" w:hAnsi="宋体" w:eastAsia="仿宋_GB2312"/>
          <w:color w:val="auto"/>
          <w:sz w:val="32"/>
          <w:szCs w:val="32"/>
          <w:highlight w:val="none"/>
        </w:rPr>
        <w:t>“三公”经费总预算</w:t>
      </w:r>
      <w:r>
        <w:rPr>
          <w:rFonts w:hint="eastAsia" w:ascii="仿宋" w:hAnsi="仿宋" w:eastAsia="仿宋"/>
          <w:color w:val="auto"/>
          <w:sz w:val="32"/>
          <w:szCs w:val="32"/>
          <w:highlight w:val="none"/>
          <w:lang w:val="en-US" w:eastAsia="zh-CN"/>
        </w:rPr>
        <w:t>0.22</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，实际总支出</w:t>
      </w:r>
      <w:r>
        <w:rPr>
          <w:rFonts w:hint="eastAsia" w:ascii="仿宋" w:hAnsi="仿宋" w:eastAsia="仿宋"/>
          <w:color w:val="auto"/>
          <w:sz w:val="32"/>
          <w:szCs w:val="32"/>
          <w:highlight w:val="none"/>
          <w:lang w:val="en-US" w:eastAsia="zh-CN"/>
        </w:rPr>
        <w:t>0.22</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，其中：</w:t>
      </w:r>
      <w:r>
        <w:rPr>
          <w:rFonts w:hint="eastAsia" w:ascii="仿宋_GB2312" w:eastAsia="仿宋_GB2312"/>
          <w:color w:val="auto"/>
          <w:sz w:val="32"/>
          <w:szCs w:val="32"/>
          <w:highlight w:val="none"/>
        </w:rPr>
        <w:t>①</w:t>
      </w:r>
      <w:r>
        <w:rPr>
          <w:rFonts w:hint="eastAsia" w:ascii="仿宋_GB2312" w:hAnsi="宋体" w:eastAsia="仿宋_GB2312"/>
          <w:color w:val="auto"/>
          <w:sz w:val="32"/>
          <w:szCs w:val="32"/>
          <w:highlight w:val="none"/>
        </w:rPr>
        <w:t>因公出国（境）费预算</w:t>
      </w:r>
      <w:r>
        <w:rPr>
          <w:rFonts w:hint="eastAsia" w:ascii="仿宋" w:hAnsi="仿宋" w:eastAsia="仿宋"/>
          <w:color w:val="auto"/>
          <w:sz w:val="32"/>
          <w:szCs w:val="32"/>
          <w:highlight w:val="none"/>
          <w:lang w:val="en-US" w:eastAsia="zh-CN"/>
        </w:rPr>
        <w:t>0.00</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0.00</w:t>
      </w:r>
      <w:r>
        <w:rPr>
          <w:rFonts w:hint="eastAsia" w:ascii="仿宋_GB2312" w:hAnsi="宋体" w:eastAsia="仿宋_GB2312" w:cs="宋体"/>
          <w:color w:val="auto"/>
          <w:sz w:val="32"/>
          <w:szCs w:val="32"/>
          <w:highlight w:val="none"/>
        </w:rPr>
        <w:t>万元</w:t>
      </w:r>
      <w:r>
        <w:rPr>
          <w:rFonts w:hint="eastAsia" w:ascii="仿宋" w:hAnsi="仿宋" w:eastAsia="仿宋" w:cs="Times New Roman"/>
          <w:color w:val="auto"/>
          <w:kern w:val="2"/>
          <w:sz w:val="32"/>
          <w:szCs w:val="32"/>
          <w:highlight w:val="none"/>
          <w:lang w:val="en-US" w:eastAsia="zh-CN" w:bidi="ar-SA"/>
        </w:rPr>
        <w:t>，</w:t>
      </w:r>
      <w:r>
        <w:rPr>
          <w:rFonts w:hint="eastAsia" w:ascii="仿宋" w:hAnsi="仿宋" w:eastAsia="仿宋"/>
          <w:color w:val="auto"/>
          <w:sz w:val="32"/>
          <w:szCs w:val="32"/>
          <w:highlight w:val="none"/>
          <w:lang w:val="en-US" w:eastAsia="zh-CN"/>
        </w:rPr>
        <w:t>与上年持平</w:t>
      </w:r>
      <w:r>
        <w:rPr>
          <w:rFonts w:hint="eastAsia" w:ascii="仿宋_GB2312" w:hAnsi="宋体" w:eastAsia="仿宋_GB2312"/>
          <w:color w:val="auto"/>
          <w:sz w:val="32"/>
          <w:szCs w:val="32"/>
          <w:highlight w:val="none"/>
        </w:rPr>
        <w:t>；</w:t>
      </w:r>
      <w:r>
        <w:rPr>
          <w:rFonts w:hint="eastAsia" w:ascii="仿宋_GB2312" w:hAnsi="宋体" w:eastAsia="仿宋_GB2312" w:cs="宋体"/>
          <w:color w:val="auto"/>
          <w:sz w:val="32"/>
          <w:szCs w:val="32"/>
          <w:highlight w:val="none"/>
        </w:rPr>
        <w:t>②</w:t>
      </w:r>
      <w:r>
        <w:rPr>
          <w:rFonts w:hint="eastAsia" w:ascii="仿宋_GB2312" w:hAnsi="宋体" w:eastAsia="仿宋_GB2312"/>
          <w:color w:val="auto"/>
          <w:sz w:val="32"/>
          <w:szCs w:val="32"/>
          <w:highlight w:val="none"/>
          <w:lang w:eastAsia="zh-CN"/>
        </w:rPr>
        <w:t>单位公车保有量</w:t>
      </w:r>
      <w:r>
        <w:rPr>
          <w:rFonts w:hint="eastAsia" w:ascii="仿宋" w:hAnsi="仿宋" w:eastAsia="仿宋"/>
          <w:color w:val="auto"/>
          <w:sz w:val="32"/>
          <w:szCs w:val="32"/>
          <w:highlight w:val="none"/>
          <w:lang w:val="en-US" w:eastAsia="zh-CN"/>
        </w:rPr>
        <w:t>0</w:t>
      </w:r>
      <w:r>
        <w:rPr>
          <w:rFonts w:hint="eastAsia" w:ascii="仿宋_GB2312" w:hAnsi="宋体" w:eastAsia="仿宋_GB2312"/>
          <w:color w:val="auto"/>
          <w:sz w:val="32"/>
          <w:szCs w:val="32"/>
          <w:highlight w:val="none"/>
          <w:lang w:val="en-US" w:eastAsia="zh-CN"/>
        </w:rPr>
        <w:t>辆，公务</w:t>
      </w:r>
      <w:r>
        <w:rPr>
          <w:rFonts w:hint="eastAsia" w:ascii="仿宋_GB2312" w:hAnsi="宋体" w:eastAsia="仿宋_GB2312"/>
          <w:color w:val="auto"/>
          <w:sz w:val="32"/>
          <w:szCs w:val="32"/>
          <w:highlight w:val="none"/>
        </w:rPr>
        <w:t>用车公务用车购置及运行维护费预算</w:t>
      </w:r>
      <w:r>
        <w:rPr>
          <w:rFonts w:hint="eastAsia" w:ascii="仿宋" w:hAnsi="仿宋" w:eastAsia="仿宋"/>
          <w:color w:val="auto"/>
          <w:sz w:val="32"/>
          <w:szCs w:val="32"/>
          <w:highlight w:val="none"/>
          <w:lang w:val="en-US" w:eastAsia="zh-CN"/>
        </w:rPr>
        <w:t>0.00</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0.00</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w:t>
      </w:r>
      <w:r>
        <w:rPr>
          <w:rFonts w:hint="eastAsia" w:ascii="仿宋" w:hAnsi="仿宋" w:eastAsia="仿宋"/>
          <w:color w:val="auto"/>
          <w:sz w:val="32"/>
          <w:szCs w:val="32"/>
          <w:highlight w:val="none"/>
          <w:lang w:val="en-US" w:eastAsia="zh-CN"/>
        </w:rPr>
        <w:t>与上年持平</w:t>
      </w:r>
      <w:r>
        <w:rPr>
          <w:rFonts w:hint="eastAsia" w:ascii="仿宋_GB2312" w:hAnsi="宋体" w:eastAsia="仿宋_GB2312"/>
          <w:color w:val="auto"/>
          <w:sz w:val="32"/>
          <w:szCs w:val="32"/>
          <w:highlight w:val="none"/>
        </w:rPr>
        <w:t>；</w:t>
      </w:r>
      <w:r>
        <w:rPr>
          <w:rFonts w:hint="eastAsia" w:ascii="仿宋_GB2312" w:hAnsi="宋体" w:eastAsia="仿宋_GB2312" w:cs="宋体"/>
          <w:sz w:val="32"/>
          <w:szCs w:val="32"/>
          <w:highlight w:val="none"/>
        </w:rPr>
        <w:t>③</w:t>
      </w:r>
      <w:r>
        <w:rPr>
          <w:rFonts w:hint="eastAsia" w:ascii="仿宋_GB2312" w:hAnsi="宋体" w:eastAsia="仿宋_GB2312"/>
          <w:color w:val="auto"/>
          <w:sz w:val="32"/>
          <w:szCs w:val="32"/>
          <w:highlight w:val="none"/>
        </w:rPr>
        <w:t>公务接待费预算</w:t>
      </w:r>
      <w:r>
        <w:rPr>
          <w:rFonts w:hint="eastAsia" w:ascii="仿宋" w:hAnsi="仿宋" w:eastAsia="仿宋"/>
          <w:color w:val="auto"/>
          <w:sz w:val="32"/>
          <w:szCs w:val="32"/>
          <w:highlight w:val="none"/>
          <w:lang w:val="en-US" w:eastAsia="zh-CN"/>
        </w:rPr>
        <w:t>0.22</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0.22</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w:t>
      </w:r>
      <w:r>
        <w:rPr>
          <w:rFonts w:hint="eastAsia" w:ascii="仿宋" w:hAnsi="仿宋" w:eastAsia="仿宋"/>
          <w:color w:val="auto"/>
          <w:sz w:val="32"/>
          <w:szCs w:val="32"/>
          <w:highlight w:val="none"/>
          <w:lang w:val="en-US" w:eastAsia="zh-CN"/>
        </w:rPr>
        <w:t>较2023年减少0.04万元,原因是公务接待次数减少</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202</w:t>
      </w:r>
      <w:r>
        <w:rPr>
          <w:rFonts w:hint="eastAsia" w:ascii="仿宋_GB2312" w:hAnsi="宋体" w:eastAsia="仿宋_GB2312"/>
          <w:color w:val="auto"/>
          <w:sz w:val="32"/>
          <w:szCs w:val="32"/>
          <w:highlight w:val="none"/>
          <w:lang w:val="en-US" w:eastAsia="zh-CN"/>
        </w:rPr>
        <w:t>4</w:t>
      </w:r>
      <w:r>
        <w:rPr>
          <w:rFonts w:hint="eastAsia" w:ascii="仿宋_GB2312" w:hAnsi="宋体" w:eastAsia="仿宋_GB2312"/>
          <w:color w:val="auto"/>
          <w:sz w:val="32"/>
          <w:szCs w:val="32"/>
          <w:highlight w:val="none"/>
          <w:lang w:eastAsia="zh-CN"/>
        </w:rPr>
        <w:t>年</w:t>
      </w:r>
      <w:r>
        <w:rPr>
          <w:rFonts w:hint="eastAsia" w:ascii="仿宋_GB2312" w:hAnsi="宋体" w:eastAsia="仿宋_GB2312"/>
          <w:color w:val="auto"/>
          <w:sz w:val="32"/>
          <w:szCs w:val="32"/>
          <w:highlight w:val="none"/>
        </w:rPr>
        <w:t>本单位公务接待</w:t>
      </w:r>
      <w:r>
        <w:rPr>
          <w:rFonts w:hint="eastAsia" w:ascii="仿宋" w:hAnsi="仿宋" w:eastAsia="仿宋"/>
          <w:color w:val="auto"/>
          <w:sz w:val="32"/>
          <w:szCs w:val="32"/>
          <w:highlight w:val="none"/>
          <w:lang w:val="en-US" w:eastAsia="zh-CN"/>
        </w:rPr>
        <w:t>2</w:t>
      </w:r>
      <w:r>
        <w:rPr>
          <w:rFonts w:hint="eastAsia" w:ascii="仿宋_GB2312" w:hAnsi="宋体" w:eastAsia="仿宋_GB2312"/>
          <w:color w:val="auto"/>
          <w:sz w:val="32"/>
          <w:szCs w:val="32"/>
          <w:highlight w:val="none"/>
        </w:rPr>
        <w:t>批次，共计</w:t>
      </w:r>
      <w:r>
        <w:rPr>
          <w:rFonts w:hint="eastAsia" w:ascii="仿宋" w:hAnsi="仿宋" w:eastAsia="仿宋"/>
          <w:color w:val="auto"/>
          <w:sz w:val="32"/>
          <w:szCs w:val="32"/>
          <w:highlight w:val="none"/>
          <w:lang w:val="en-US" w:eastAsia="zh-CN"/>
        </w:rPr>
        <w:t>20</w:t>
      </w:r>
      <w:r>
        <w:rPr>
          <w:rFonts w:hint="eastAsia" w:ascii="仿宋_GB2312" w:hAnsi="宋体" w:eastAsia="仿宋_GB2312"/>
          <w:color w:val="auto"/>
          <w:sz w:val="32"/>
          <w:szCs w:val="32"/>
          <w:highlight w:val="none"/>
        </w:rPr>
        <w:t>人</w:t>
      </w:r>
      <w:r>
        <w:rPr>
          <w:rFonts w:hint="eastAsia" w:ascii="仿宋_GB2312" w:hAnsi="宋体" w:eastAsia="仿宋_GB2312"/>
          <w:color w:val="auto"/>
          <w:sz w:val="32"/>
          <w:szCs w:val="32"/>
          <w:highlight w:val="none"/>
          <w:lang w:val="en-US" w:eastAsia="zh-CN"/>
        </w:rPr>
        <w:t>次</w:t>
      </w:r>
      <w:r>
        <w:rPr>
          <w:rFonts w:hint="eastAsia" w:ascii="仿宋_GB2312" w:hAnsi="宋体" w:eastAsia="仿宋_GB2312"/>
          <w:color w:val="auto"/>
          <w:sz w:val="32"/>
          <w:szCs w:val="32"/>
          <w:highlight w:val="none"/>
          <w:lang w:eastAsia="zh-CN"/>
        </w:rPr>
        <w:t>。</w:t>
      </w:r>
    </w:p>
    <w:tbl>
      <w:tblPr>
        <w:tblStyle w:val="17"/>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392"/>
        <w:gridCol w:w="1423"/>
        <w:gridCol w:w="1239"/>
        <w:gridCol w:w="1269"/>
        <w:gridCol w:w="1187"/>
        <w:gridCol w:w="1044"/>
        <w:gridCol w:w="1191"/>
      </w:tblGrid>
      <w:tr w14:paraId="100A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040" w:type="dxa"/>
            <w:gridSpan w:val="8"/>
            <w:tcBorders>
              <w:top w:val="single" w:color="auto" w:sz="12" w:space="0"/>
              <w:left w:val="single" w:color="auto" w:sz="12" w:space="0"/>
              <w:bottom w:val="nil"/>
              <w:right w:val="single" w:color="auto" w:sz="12" w:space="0"/>
            </w:tcBorders>
            <w:vAlign w:val="top"/>
          </w:tcPr>
          <w:p w14:paraId="4758A0F1">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b/>
                <w:i w:val="0"/>
                <w:color w:val="000000"/>
                <w:kern w:val="0"/>
                <w:sz w:val="24"/>
                <w:szCs w:val="24"/>
                <w:highlight w:val="none"/>
                <w:u w:val="none"/>
                <w:lang w:val="en-US" w:eastAsia="zh-CN" w:bidi="ar"/>
              </w:rPr>
              <w:t>“三公”经费支出情况</w:t>
            </w:r>
          </w:p>
        </w:tc>
      </w:tr>
      <w:tr w14:paraId="3C49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0040" w:type="dxa"/>
            <w:gridSpan w:val="8"/>
            <w:tcBorders>
              <w:top w:val="nil"/>
              <w:left w:val="single" w:color="auto" w:sz="12" w:space="0"/>
              <w:bottom w:val="single" w:color="auto" w:sz="12" w:space="0"/>
              <w:right w:val="single" w:color="auto" w:sz="12" w:space="0"/>
            </w:tcBorders>
            <w:vAlign w:val="top"/>
          </w:tcPr>
          <w:p w14:paraId="3444E5E9">
            <w:pPr>
              <w:keepNext w:val="0"/>
              <w:keepLines w:val="0"/>
              <w:suppressLineNumbers w:val="0"/>
              <w:bidi w:val="0"/>
              <w:spacing w:before="0" w:beforeAutospacing="0" w:after="0" w:afterAutospacing="0"/>
              <w:ind w:left="0" w:right="0"/>
              <w:jc w:val="right"/>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单位：万元</w:t>
            </w:r>
          </w:p>
        </w:tc>
      </w:tr>
      <w:tr w14:paraId="7C03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295" w:type="dxa"/>
            <w:vMerge w:val="restart"/>
            <w:tcBorders>
              <w:top w:val="single" w:color="auto" w:sz="12" w:space="0"/>
              <w:left w:val="single" w:color="auto" w:sz="12" w:space="0"/>
              <w:right w:val="single" w:color="auto" w:sz="12" w:space="0"/>
            </w:tcBorders>
            <w:vAlign w:val="center"/>
          </w:tcPr>
          <w:p w14:paraId="3A07926F">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本年支出</w:t>
            </w:r>
          </w:p>
        </w:tc>
        <w:tc>
          <w:tcPr>
            <w:tcW w:w="1392" w:type="dxa"/>
            <w:vMerge w:val="restart"/>
            <w:tcBorders>
              <w:top w:val="single" w:color="auto" w:sz="12" w:space="0"/>
              <w:left w:val="single" w:color="auto" w:sz="12" w:space="0"/>
              <w:right w:val="single" w:color="auto" w:sz="12" w:space="0"/>
            </w:tcBorders>
            <w:vAlign w:val="center"/>
          </w:tcPr>
          <w:p w14:paraId="43223DCC">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比上年增减%</w:t>
            </w:r>
          </w:p>
        </w:tc>
        <w:tc>
          <w:tcPr>
            <w:tcW w:w="7353" w:type="dxa"/>
            <w:gridSpan w:val="6"/>
            <w:tcBorders>
              <w:top w:val="single" w:color="auto" w:sz="12" w:space="0"/>
              <w:left w:val="single" w:color="auto" w:sz="12" w:space="0"/>
              <w:bottom w:val="single" w:color="auto" w:sz="12" w:space="0"/>
              <w:right w:val="single" w:color="auto" w:sz="12" w:space="0"/>
            </w:tcBorders>
            <w:vAlign w:val="center"/>
          </w:tcPr>
          <w:p w14:paraId="0FE093FE">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其中：</w:t>
            </w:r>
          </w:p>
        </w:tc>
      </w:tr>
      <w:tr w14:paraId="42D2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295" w:type="dxa"/>
            <w:vMerge w:val="continue"/>
            <w:tcBorders>
              <w:left w:val="single" w:color="auto" w:sz="12" w:space="0"/>
              <w:bottom w:val="single" w:color="auto" w:sz="12" w:space="0"/>
              <w:right w:val="single" w:color="auto" w:sz="12" w:space="0"/>
            </w:tcBorders>
            <w:vAlign w:val="center"/>
          </w:tcPr>
          <w:p w14:paraId="46ADDE9F">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p>
        </w:tc>
        <w:tc>
          <w:tcPr>
            <w:tcW w:w="1392" w:type="dxa"/>
            <w:vMerge w:val="continue"/>
            <w:tcBorders>
              <w:left w:val="single" w:color="auto" w:sz="12" w:space="0"/>
              <w:bottom w:val="single" w:color="auto" w:sz="12" w:space="0"/>
              <w:right w:val="single" w:color="auto" w:sz="12" w:space="0"/>
            </w:tcBorders>
            <w:vAlign w:val="center"/>
          </w:tcPr>
          <w:p w14:paraId="5D28130B">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p>
        </w:tc>
        <w:tc>
          <w:tcPr>
            <w:tcW w:w="1423" w:type="dxa"/>
            <w:tcBorders>
              <w:top w:val="single" w:color="auto" w:sz="12" w:space="0"/>
              <w:left w:val="single" w:color="auto" w:sz="12" w:space="0"/>
              <w:bottom w:val="single" w:color="auto" w:sz="12" w:space="0"/>
              <w:right w:val="single" w:color="auto" w:sz="12" w:space="0"/>
            </w:tcBorders>
            <w:vAlign w:val="center"/>
          </w:tcPr>
          <w:p w14:paraId="333C7A0E">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公务用车购置及运行维护费</w:t>
            </w:r>
          </w:p>
        </w:tc>
        <w:tc>
          <w:tcPr>
            <w:tcW w:w="1239" w:type="dxa"/>
            <w:tcBorders>
              <w:top w:val="single" w:color="auto" w:sz="12" w:space="0"/>
              <w:left w:val="single" w:color="auto" w:sz="12" w:space="0"/>
              <w:bottom w:val="single" w:color="auto" w:sz="12" w:space="0"/>
              <w:right w:val="single" w:color="auto" w:sz="12" w:space="0"/>
            </w:tcBorders>
            <w:vAlign w:val="center"/>
          </w:tcPr>
          <w:p w14:paraId="53057308">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比上年增减%</w:t>
            </w:r>
          </w:p>
        </w:tc>
        <w:tc>
          <w:tcPr>
            <w:tcW w:w="1269" w:type="dxa"/>
            <w:tcBorders>
              <w:top w:val="single" w:color="auto" w:sz="12" w:space="0"/>
              <w:left w:val="single" w:color="auto" w:sz="12" w:space="0"/>
              <w:bottom w:val="single" w:color="auto" w:sz="12" w:space="0"/>
              <w:right w:val="single" w:color="auto" w:sz="12" w:space="0"/>
            </w:tcBorders>
            <w:vAlign w:val="center"/>
          </w:tcPr>
          <w:p w14:paraId="45045AD5">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公务接待费</w:t>
            </w:r>
          </w:p>
        </w:tc>
        <w:tc>
          <w:tcPr>
            <w:tcW w:w="1187" w:type="dxa"/>
            <w:tcBorders>
              <w:top w:val="single" w:color="auto" w:sz="12" w:space="0"/>
              <w:left w:val="single" w:color="auto" w:sz="12" w:space="0"/>
              <w:bottom w:val="single" w:color="auto" w:sz="12" w:space="0"/>
              <w:right w:val="single" w:color="auto" w:sz="12" w:space="0"/>
            </w:tcBorders>
            <w:vAlign w:val="center"/>
          </w:tcPr>
          <w:p w14:paraId="11961468">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比上年增减%</w:t>
            </w:r>
          </w:p>
        </w:tc>
        <w:tc>
          <w:tcPr>
            <w:tcW w:w="1044" w:type="dxa"/>
            <w:tcBorders>
              <w:top w:val="single" w:color="auto" w:sz="12" w:space="0"/>
              <w:left w:val="single" w:color="auto" w:sz="12" w:space="0"/>
              <w:bottom w:val="single" w:color="auto" w:sz="12" w:space="0"/>
              <w:right w:val="single" w:color="auto" w:sz="12" w:space="0"/>
            </w:tcBorders>
            <w:vAlign w:val="center"/>
          </w:tcPr>
          <w:p w14:paraId="3C1BC638">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因公出国（境）</w:t>
            </w:r>
          </w:p>
        </w:tc>
        <w:tc>
          <w:tcPr>
            <w:tcW w:w="1191" w:type="dxa"/>
            <w:tcBorders>
              <w:top w:val="single" w:color="auto" w:sz="12" w:space="0"/>
              <w:left w:val="single" w:color="auto" w:sz="12" w:space="0"/>
              <w:bottom w:val="single" w:color="auto" w:sz="12" w:space="0"/>
              <w:right w:val="single" w:color="auto" w:sz="12" w:space="0"/>
            </w:tcBorders>
            <w:vAlign w:val="center"/>
          </w:tcPr>
          <w:p w14:paraId="1220E00F">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比上年增减%</w:t>
            </w:r>
          </w:p>
        </w:tc>
      </w:tr>
      <w:tr w14:paraId="66F2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295" w:type="dxa"/>
            <w:tcBorders>
              <w:top w:val="single" w:color="auto" w:sz="12" w:space="0"/>
              <w:left w:val="single" w:color="auto" w:sz="12" w:space="0"/>
              <w:bottom w:val="single" w:color="auto" w:sz="12" w:space="0"/>
              <w:right w:val="single" w:color="auto" w:sz="12" w:space="0"/>
            </w:tcBorders>
            <w:vAlign w:val="center"/>
          </w:tcPr>
          <w:p w14:paraId="630B51A2">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rPr>
            </w:pPr>
            <w:r>
              <w:rPr>
                <w:rFonts w:hint="eastAsia" w:ascii="宋体" w:hAnsi="宋体" w:eastAsia="宋体" w:cs="宋体"/>
                <w:color w:val="auto"/>
                <w:sz w:val="24"/>
                <w:szCs w:val="24"/>
                <w:highlight w:val="none"/>
                <w:lang w:val="en-US" w:eastAsia="zh-CN"/>
              </w:rPr>
              <w:t>0.22</w:t>
            </w:r>
          </w:p>
        </w:tc>
        <w:tc>
          <w:tcPr>
            <w:tcW w:w="1392" w:type="dxa"/>
            <w:tcBorders>
              <w:top w:val="single" w:color="auto" w:sz="12" w:space="0"/>
              <w:left w:val="single" w:color="auto" w:sz="12" w:space="0"/>
              <w:bottom w:val="single" w:color="auto" w:sz="12" w:space="0"/>
              <w:right w:val="single" w:color="auto" w:sz="12" w:space="0"/>
            </w:tcBorders>
            <w:vAlign w:val="center"/>
          </w:tcPr>
          <w:p w14:paraId="6DAB0F9C">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val="en-US" w:eastAsia="zh-CN"/>
              </w:rPr>
              <w:t>下降15.06%</w:t>
            </w:r>
          </w:p>
        </w:tc>
        <w:tc>
          <w:tcPr>
            <w:tcW w:w="1423" w:type="dxa"/>
            <w:tcBorders>
              <w:top w:val="single" w:color="auto" w:sz="12" w:space="0"/>
              <w:left w:val="single" w:color="auto" w:sz="12" w:space="0"/>
              <w:bottom w:val="single" w:color="auto" w:sz="12" w:space="0"/>
              <w:right w:val="single" w:color="auto" w:sz="12" w:space="0"/>
            </w:tcBorders>
            <w:vAlign w:val="center"/>
          </w:tcPr>
          <w:p w14:paraId="7493E57C">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0.00</w:t>
            </w:r>
          </w:p>
        </w:tc>
        <w:tc>
          <w:tcPr>
            <w:tcW w:w="1239" w:type="dxa"/>
            <w:tcBorders>
              <w:top w:val="single" w:color="auto" w:sz="12" w:space="0"/>
              <w:left w:val="single" w:color="auto" w:sz="12" w:space="0"/>
              <w:bottom w:val="single" w:color="auto" w:sz="12" w:space="0"/>
              <w:right w:val="single" w:color="auto" w:sz="12" w:space="0"/>
            </w:tcBorders>
            <w:vAlign w:val="center"/>
          </w:tcPr>
          <w:p w14:paraId="30087F5C">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0</w:t>
            </w:r>
          </w:p>
        </w:tc>
        <w:tc>
          <w:tcPr>
            <w:tcW w:w="1269" w:type="dxa"/>
            <w:tcBorders>
              <w:top w:val="single" w:color="auto" w:sz="12" w:space="0"/>
              <w:left w:val="single" w:color="auto" w:sz="12" w:space="0"/>
              <w:bottom w:val="single" w:color="auto" w:sz="12" w:space="0"/>
              <w:right w:val="single" w:color="auto" w:sz="12" w:space="0"/>
            </w:tcBorders>
            <w:vAlign w:val="center"/>
          </w:tcPr>
          <w:p w14:paraId="65F2757D">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0.22</w:t>
            </w:r>
          </w:p>
        </w:tc>
        <w:tc>
          <w:tcPr>
            <w:tcW w:w="1187" w:type="dxa"/>
            <w:tcBorders>
              <w:top w:val="single" w:color="auto" w:sz="12" w:space="0"/>
              <w:left w:val="single" w:color="auto" w:sz="12" w:space="0"/>
              <w:bottom w:val="single" w:color="auto" w:sz="12" w:space="0"/>
              <w:right w:val="single" w:color="auto" w:sz="12" w:space="0"/>
            </w:tcBorders>
            <w:vAlign w:val="center"/>
          </w:tcPr>
          <w:p w14:paraId="5C0A4470">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下降15.06%</w:t>
            </w:r>
          </w:p>
        </w:tc>
        <w:tc>
          <w:tcPr>
            <w:tcW w:w="1044" w:type="dxa"/>
            <w:tcBorders>
              <w:top w:val="single" w:color="auto" w:sz="12" w:space="0"/>
              <w:left w:val="single" w:color="auto" w:sz="12" w:space="0"/>
              <w:bottom w:val="single" w:color="auto" w:sz="12" w:space="0"/>
              <w:right w:val="single" w:color="auto" w:sz="12" w:space="0"/>
            </w:tcBorders>
            <w:vAlign w:val="center"/>
          </w:tcPr>
          <w:p w14:paraId="1FDEEF75">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0.00</w:t>
            </w:r>
          </w:p>
        </w:tc>
        <w:tc>
          <w:tcPr>
            <w:tcW w:w="1191" w:type="dxa"/>
            <w:tcBorders>
              <w:top w:val="single" w:color="auto" w:sz="12" w:space="0"/>
              <w:left w:val="single" w:color="auto" w:sz="12" w:space="0"/>
              <w:bottom w:val="single" w:color="auto" w:sz="12" w:space="0"/>
              <w:right w:val="single" w:color="auto" w:sz="12" w:space="0"/>
            </w:tcBorders>
            <w:vAlign w:val="center"/>
          </w:tcPr>
          <w:p w14:paraId="75E06D91">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0</w:t>
            </w:r>
          </w:p>
        </w:tc>
      </w:tr>
    </w:tbl>
    <w:p w14:paraId="41ABFC5D">
      <w:pPr>
        <w:bidi w:val="0"/>
        <w:jc w:val="center"/>
        <w:rPr>
          <w:rFonts w:hint="eastAsia"/>
          <w:highlight w:val="none"/>
        </w:rPr>
      </w:pPr>
    </w:p>
    <w:p w14:paraId="6B3679C9">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37C97DB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1"/>
    </w:p>
    <w:p w14:paraId="5188BC29">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万元，占0%；公务接待费支出决算</w:t>
      </w:r>
      <w:r>
        <w:rPr>
          <w:rFonts w:hint="eastAsia" w:ascii="仿宋_GB2312" w:hAnsi="仿宋_GB2312" w:eastAsia="仿宋_GB2312" w:cs="仿宋_GB2312"/>
          <w:sz w:val="32"/>
          <w:szCs w:val="32"/>
        </w:rPr>
        <w:t>0.22</w:t>
      </w:r>
      <w:r>
        <w:rPr>
          <w:rFonts w:hint="eastAsia" w:ascii="仿宋_GB2312" w:hAnsi="仿宋_GB2312" w:eastAsia="仿宋_GB2312" w:cs="仿宋_GB2312"/>
          <w:color w:val="auto"/>
          <w:kern w:val="2"/>
          <w:sz w:val="32"/>
          <w:szCs w:val="32"/>
          <w:highlight w:val="none"/>
          <w:lang w:val="en-US" w:eastAsia="zh-CN" w:bidi="ar-SA"/>
        </w:rPr>
        <w:t>万元，占100%。具体情况如下：</w:t>
      </w:r>
    </w:p>
    <w:p w14:paraId="34E8809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bookmarkStart w:id="42" w:name="_Toc15377218"/>
      <w:bookmarkStart w:id="43" w:name="_Toc15396610"/>
    </w:p>
    <w:p w14:paraId="7294FBF1">
      <w:pPr>
        <w:spacing w:line="600" w:lineRule="exact"/>
        <w:ind w:firstLine="640"/>
        <w:rPr>
          <w:rStyle w:val="3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42"/>
      <w:bookmarkEnd w:id="43"/>
    </w:p>
    <w:p w14:paraId="3DBE6D27">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7AC37C6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69CE0E7">
      <w:pPr>
        <w:numPr>
          <w:ilvl w:val="0"/>
          <w:numId w:val="0"/>
        </w:numPr>
        <w:spacing w:line="600" w:lineRule="exact"/>
        <w:ind w:left="630" w:leftChars="0"/>
        <w:outlineLvl w:val="1"/>
        <w:rPr>
          <w:rStyle w:val="31"/>
          <w:rFonts w:ascii="Times New Roman" w:hAnsi="Times New Roman" w:eastAsia="黑体"/>
          <w:b w:val="0"/>
          <w:color w:val="auto"/>
          <w:highlight w:val="none"/>
        </w:rPr>
      </w:pPr>
      <w:bookmarkStart w:id="44" w:name="_Toc15396611"/>
      <w:bookmarkStart w:id="45" w:name="_Toc15377219"/>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44"/>
      <w:bookmarkEnd w:id="45"/>
    </w:p>
    <w:p w14:paraId="16CB1C0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w:t>
      </w:r>
      <w:r>
        <w:rPr>
          <w:rFonts w:hint="eastAsia" w:eastAsia="仿宋_GB2312" w:cs="仿宋_GB2312"/>
          <w:color w:val="auto"/>
          <w:kern w:val="2"/>
          <w:sz w:val="32"/>
          <w:szCs w:val="32"/>
          <w:highlight w:val="none"/>
          <w:lang w:val="en-US" w:eastAsia="zh-CN" w:bidi="ar-SA"/>
        </w:rPr>
        <w:t>持平。</w:t>
      </w:r>
    </w:p>
    <w:p w14:paraId="0109245D">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bookmarkStart w:id="46" w:name="_Toc15396612"/>
      <w:bookmarkStart w:id="47" w:name="_Toc15377221"/>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46"/>
      <w:bookmarkEnd w:id="47"/>
    </w:p>
    <w:p w14:paraId="6E9229C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2"/>
      <w:r>
        <w:rPr>
          <w:rFonts w:hint="eastAsia" w:ascii="Times New Roman" w:hAnsi="Times New Roman" w:eastAsia="楷体_GB2312" w:cs="楷体_GB2312"/>
          <w:b/>
          <w:color w:val="auto"/>
          <w:sz w:val="32"/>
          <w:szCs w:val="32"/>
          <w:highlight w:val="none"/>
        </w:rPr>
        <w:t>（一）机关运行经费支出情况</w:t>
      </w:r>
      <w:bookmarkEnd w:id="48"/>
    </w:p>
    <w:p w14:paraId="7A7ED9A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阿坝藏族羌族自治州松潘县环境监测站</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w:t>
      </w:r>
      <w:r>
        <w:rPr>
          <w:rFonts w:hint="eastAsia" w:eastAsia="仿宋_GB2312" w:cs="仿宋_GB2312"/>
          <w:color w:val="auto"/>
          <w:kern w:val="2"/>
          <w:sz w:val="32"/>
          <w:szCs w:val="32"/>
          <w:highlight w:val="none"/>
          <w:lang w:val="en-US" w:eastAsia="zh-CN" w:bidi="ar-SA"/>
        </w:rPr>
        <w:t>持平。</w:t>
      </w:r>
    </w:p>
    <w:p w14:paraId="03AA81C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9" w:name="_Toc15377223"/>
      <w:r>
        <w:rPr>
          <w:rFonts w:hint="eastAsia" w:ascii="Times New Roman" w:hAnsi="Times New Roman" w:eastAsia="楷体_GB2312" w:cs="楷体_GB2312"/>
          <w:b/>
          <w:color w:val="auto"/>
          <w:sz w:val="32"/>
          <w:szCs w:val="32"/>
          <w:highlight w:val="none"/>
        </w:rPr>
        <w:t>（二）政府采购支出情况</w:t>
      </w:r>
      <w:bookmarkEnd w:id="49"/>
    </w:p>
    <w:p w14:paraId="24B1225E">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阿坝藏族羌族自治州松潘县环境监测站</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33C094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E34229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4"/>
      <w:r>
        <w:rPr>
          <w:rFonts w:hint="eastAsia" w:ascii="Times New Roman" w:hAnsi="Times New Roman" w:eastAsia="楷体_GB2312" w:cs="楷体_GB2312"/>
          <w:b/>
          <w:color w:val="auto"/>
          <w:sz w:val="32"/>
          <w:szCs w:val="32"/>
          <w:highlight w:val="none"/>
        </w:rPr>
        <w:t>（三）国有资产占有使用情况</w:t>
      </w:r>
      <w:bookmarkEnd w:id="50"/>
    </w:p>
    <w:p w14:paraId="740505B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阿坝藏族羌族自治州松潘县环境监测站</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0275E4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1E8873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57B93BD">
      <w:pPr>
        <w:snapToGrid w:val="0"/>
        <w:spacing w:line="52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1.概述项目绩效目标完成情况。</w:t>
      </w:r>
    </w:p>
    <w:p w14:paraId="55BD1C8E">
      <w:pPr>
        <w:snapToGrid w:val="0"/>
        <w:spacing w:line="52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本单位在项目绩效目标完成方面，注重资金使用效益，确保各项工作的顺利开展。经过一年的努力，项目绩效目标完成情况良好。</w:t>
      </w:r>
    </w:p>
    <w:p w14:paraId="42D5DA6D">
      <w:pPr>
        <w:snapToGrid w:val="0"/>
        <w:spacing w:line="52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2.概述本单位整体支出绩效目标实现情况（如有）。</w:t>
      </w:r>
    </w:p>
    <w:p w14:paraId="3E57F025">
      <w:pPr>
        <w:ind w:firstLine="640" w:firstLineChars="200"/>
        <w:rPr>
          <w:rFonts w:ascii="仿宋_GB2312" w:hAnsi="仿宋" w:eastAsia="仿宋_GB2312" w:cs="仿宋"/>
          <w:color w:val="000000"/>
          <w:sz w:val="32"/>
          <w:szCs w:val="32"/>
          <w:highlight w:val="none"/>
        </w:rPr>
      </w:pPr>
      <w:r>
        <w:rPr>
          <w:rFonts w:hint="eastAsia" w:ascii="仿宋_GB2312" w:hAnsi="仿宋" w:eastAsia="仿宋_GB2312" w:cs="仿宋"/>
          <w:color w:val="000000"/>
          <w:sz w:val="32"/>
          <w:szCs w:val="32"/>
          <w:highlight w:val="none"/>
        </w:rPr>
        <w:t>本单位在整体支出绩效目标</w:t>
      </w:r>
      <w:r>
        <w:rPr>
          <w:rFonts w:hint="eastAsia" w:ascii="仿宋_GB2312" w:hAnsi="仿宋" w:eastAsia="仿宋_GB2312"/>
          <w:sz w:val="32"/>
          <w:szCs w:val="32"/>
          <w:highlight w:val="none"/>
        </w:rPr>
        <w:t>实现</w:t>
      </w:r>
      <w:r>
        <w:rPr>
          <w:rFonts w:hint="eastAsia" w:ascii="仿宋_GB2312" w:hAnsi="仿宋" w:eastAsia="仿宋_GB2312" w:cs="仿宋"/>
          <w:color w:val="000000"/>
          <w:sz w:val="32"/>
          <w:szCs w:val="32"/>
          <w:highlight w:val="none"/>
        </w:rPr>
        <w:t>方面，注重资金使用效益，确保各项工作的顺利开展。经过一年的努力，整体支出绩效目标实现情况良好。</w:t>
      </w:r>
    </w:p>
    <w:p w14:paraId="0E9905F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4AF1250">
      <w:pPr>
        <w:pStyle w:val="3"/>
        <w:jc w:val="center"/>
        <w:rPr>
          <w:rFonts w:ascii="黑体" w:hAnsi="黑体" w:eastAsia="黑体" w:cs="黑体"/>
          <w:color w:val="auto"/>
        </w:rPr>
      </w:pPr>
      <w:bookmarkStart w:id="51" w:name="_Toc2773"/>
      <w:bookmarkStart w:id="52" w:name="_Toc8049"/>
      <w:bookmarkStart w:id="53" w:name="_Toc12928"/>
      <w:bookmarkStart w:id="54" w:name="_Toc16463"/>
      <w:bookmarkStart w:id="55" w:name="_Toc111208509"/>
      <w:bookmarkStart w:id="56" w:name="_Toc15396614"/>
      <w:bookmarkStart w:id="57" w:name="_Toc15377226"/>
      <w:r>
        <w:rPr>
          <w:rFonts w:hint="eastAsia" w:ascii="黑体" w:hAnsi="黑体" w:eastAsia="黑体" w:cs="黑体"/>
          <w:color w:val="auto"/>
        </w:rPr>
        <w:t>第三部分 名词解释</w:t>
      </w:r>
      <w:bookmarkEnd w:id="51"/>
      <w:bookmarkEnd w:id="52"/>
      <w:bookmarkEnd w:id="53"/>
      <w:bookmarkEnd w:id="54"/>
      <w:bookmarkEnd w:id="55"/>
    </w:p>
    <w:p w14:paraId="1BB9E886">
      <w:pPr>
        <w:spacing w:line="600" w:lineRule="exact"/>
        <w:ind w:firstLine="640"/>
        <w:rPr>
          <w:rFonts w:ascii="仿宋" w:hAnsi="仿宋" w:eastAsia="仿宋"/>
          <w:color w:val="auto"/>
          <w:sz w:val="32"/>
          <w:szCs w:val="32"/>
        </w:rPr>
      </w:pPr>
      <w:r>
        <w:rPr>
          <w:rFonts w:ascii="仿宋" w:hAnsi="仿宋" w:eastAsia="仿宋"/>
          <w:color w:val="auto"/>
          <w:sz w:val="32"/>
          <w:szCs w:val="32"/>
        </w:rPr>
        <w:t>1.</w:t>
      </w:r>
      <w:r>
        <w:rPr>
          <w:rFonts w:hint="eastAsia" w:ascii="仿宋" w:hAnsi="仿宋" w:eastAsia="仿宋"/>
          <w:color w:val="auto"/>
          <w:sz w:val="32"/>
          <w:szCs w:val="32"/>
        </w:rPr>
        <w:t>财政拨款收入：指单位从同级财政部门取得的财政预算资金。</w:t>
      </w:r>
    </w:p>
    <w:p w14:paraId="71D182A7">
      <w:pPr>
        <w:spacing w:line="600" w:lineRule="exact"/>
        <w:ind w:firstLine="640"/>
        <w:rPr>
          <w:rFonts w:ascii="仿宋" w:hAnsi="仿宋" w:eastAsia="仿宋"/>
          <w:color w:val="auto"/>
          <w:sz w:val="32"/>
          <w:szCs w:val="32"/>
        </w:rPr>
      </w:pPr>
      <w:r>
        <w:rPr>
          <w:rFonts w:ascii="仿宋" w:hAnsi="仿宋" w:eastAsia="仿宋"/>
          <w:color w:val="auto"/>
          <w:sz w:val="32"/>
          <w:szCs w:val="32"/>
        </w:rPr>
        <w:t>2.</w:t>
      </w:r>
      <w:r>
        <w:rPr>
          <w:rFonts w:hint="eastAsia" w:ascii="仿宋" w:hAnsi="仿宋" w:eastAsia="仿宋"/>
          <w:color w:val="auto"/>
          <w:sz w:val="32"/>
          <w:szCs w:val="32"/>
        </w:rPr>
        <w:t>事业收入：指事业单位开展专业业务活动及辅助活动取得的收入。</w:t>
      </w:r>
    </w:p>
    <w:p w14:paraId="6D83A389">
      <w:pPr>
        <w:spacing w:line="600" w:lineRule="exact"/>
        <w:ind w:firstLine="640"/>
        <w:rPr>
          <w:rFonts w:ascii="仿宋" w:hAnsi="仿宋" w:eastAsia="仿宋"/>
          <w:color w:val="auto"/>
          <w:sz w:val="32"/>
          <w:szCs w:val="32"/>
        </w:rPr>
      </w:pPr>
      <w:r>
        <w:rPr>
          <w:rFonts w:ascii="仿宋" w:hAnsi="仿宋" w:eastAsia="仿宋"/>
          <w:color w:val="auto"/>
          <w:sz w:val="32"/>
          <w:szCs w:val="32"/>
        </w:rPr>
        <w:t>3.</w:t>
      </w:r>
      <w:r>
        <w:rPr>
          <w:rFonts w:hint="eastAsia" w:ascii="仿宋" w:hAnsi="仿宋" w:eastAsia="仿宋"/>
          <w:color w:val="auto"/>
          <w:sz w:val="32"/>
          <w:szCs w:val="32"/>
        </w:rPr>
        <w:t>经营收入：指事业单位在专业业务活动及其辅助活动之外开展非独立核算经营活动取得的收入</w:t>
      </w:r>
    </w:p>
    <w:p w14:paraId="67F4F126">
      <w:pPr>
        <w:spacing w:line="600" w:lineRule="exact"/>
        <w:ind w:firstLine="640"/>
        <w:rPr>
          <w:rFonts w:ascii="仿宋" w:hAnsi="仿宋" w:eastAsia="仿宋"/>
          <w:color w:val="auto"/>
          <w:sz w:val="32"/>
          <w:szCs w:val="32"/>
        </w:rPr>
      </w:pPr>
      <w:r>
        <w:rPr>
          <w:rFonts w:ascii="仿宋" w:hAnsi="仿宋" w:eastAsia="仿宋"/>
          <w:color w:val="auto"/>
          <w:sz w:val="32"/>
          <w:szCs w:val="32"/>
        </w:rPr>
        <w:t>4.</w:t>
      </w:r>
      <w:r>
        <w:rPr>
          <w:rFonts w:hint="eastAsia" w:ascii="仿宋" w:hAnsi="仿宋" w:eastAsia="仿宋"/>
          <w:color w:val="auto"/>
          <w:sz w:val="32"/>
          <w:szCs w:val="32"/>
        </w:rPr>
        <w:t>其他收入：指单位取得的除上述收入以外的各项收入。</w:t>
      </w:r>
    </w:p>
    <w:p w14:paraId="46DEFE6F">
      <w:pPr>
        <w:spacing w:line="600" w:lineRule="exact"/>
        <w:ind w:firstLine="640"/>
        <w:rPr>
          <w:rFonts w:ascii="仿宋" w:hAnsi="仿宋" w:eastAsia="仿宋"/>
          <w:color w:val="auto"/>
          <w:sz w:val="32"/>
          <w:szCs w:val="32"/>
        </w:rPr>
      </w:pPr>
      <w:r>
        <w:rPr>
          <w:rFonts w:ascii="仿宋" w:hAnsi="仿宋" w:eastAsia="仿宋"/>
          <w:color w:val="auto"/>
          <w:sz w:val="32"/>
          <w:szCs w:val="32"/>
        </w:rPr>
        <w:t>5.</w:t>
      </w:r>
      <w:r>
        <w:rPr>
          <w:rFonts w:hint="eastAsia" w:ascii="仿宋" w:hAnsi="仿宋" w:eastAsia="仿宋"/>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auto"/>
          <w:sz w:val="32"/>
          <w:szCs w:val="32"/>
        </w:rPr>
        <w:t xml:space="preserve"> </w:t>
      </w:r>
    </w:p>
    <w:p w14:paraId="338043AC">
      <w:pPr>
        <w:spacing w:line="600" w:lineRule="exact"/>
        <w:ind w:firstLine="640"/>
        <w:rPr>
          <w:rFonts w:ascii="仿宋" w:hAnsi="仿宋" w:eastAsia="仿宋"/>
          <w:color w:val="auto"/>
          <w:sz w:val="32"/>
          <w:szCs w:val="32"/>
        </w:rPr>
      </w:pPr>
      <w:r>
        <w:rPr>
          <w:rFonts w:ascii="仿宋" w:hAnsi="仿宋" w:eastAsia="仿宋"/>
          <w:color w:val="auto"/>
          <w:sz w:val="32"/>
          <w:szCs w:val="32"/>
        </w:rPr>
        <w:t>6.</w:t>
      </w:r>
      <w:r>
        <w:rPr>
          <w:rFonts w:hint="eastAsia" w:ascii="仿宋" w:hAnsi="仿宋" w:eastAsia="仿宋"/>
          <w:color w:val="auto"/>
          <w:sz w:val="32"/>
          <w:szCs w:val="32"/>
        </w:rPr>
        <w:t>年初结转和结余：指以前年度尚未完成、结转到本年按有关规定继续使用的资金。</w:t>
      </w:r>
      <w:r>
        <w:rPr>
          <w:rFonts w:ascii="仿宋" w:hAnsi="仿宋" w:eastAsia="仿宋"/>
          <w:color w:val="auto"/>
          <w:sz w:val="32"/>
          <w:szCs w:val="32"/>
        </w:rPr>
        <w:t xml:space="preserve"> </w:t>
      </w:r>
    </w:p>
    <w:p w14:paraId="61AA09FF">
      <w:pPr>
        <w:spacing w:line="600" w:lineRule="exact"/>
        <w:ind w:firstLine="640"/>
        <w:rPr>
          <w:rFonts w:ascii="仿宋" w:hAnsi="仿宋" w:eastAsia="仿宋"/>
          <w:color w:val="auto"/>
          <w:sz w:val="32"/>
          <w:szCs w:val="32"/>
        </w:rPr>
      </w:pPr>
      <w:r>
        <w:rPr>
          <w:rFonts w:ascii="仿宋" w:hAnsi="仿宋" w:eastAsia="仿宋"/>
          <w:color w:val="auto"/>
          <w:sz w:val="32"/>
          <w:szCs w:val="32"/>
        </w:rPr>
        <w:t>7.</w:t>
      </w:r>
      <w:r>
        <w:rPr>
          <w:rFonts w:hint="eastAsia" w:ascii="仿宋" w:hAnsi="仿宋" w:eastAsia="仿宋"/>
          <w:color w:val="auto"/>
          <w:sz w:val="32"/>
          <w:szCs w:val="32"/>
        </w:rPr>
        <w:t>结余分配：指事业单位按照事业单位会计制度的规定从非财政补助结余中分配的事业基金和职工福利基金等。</w:t>
      </w:r>
    </w:p>
    <w:p w14:paraId="058D5967">
      <w:pPr>
        <w:spacing w:line="600" w:lineRule="exact"/>
        <w:ind w:firstLine="640"/>
        <w:rPr>
          <w:rFonts w:ascii="仿宋" w:hAnsi="仿宋" w:eastAsia="仿宋"/>
          <w:color w:val="auto"/>
          <w:sz w:val="32"/>
          <w:szCs w:val="32"/>
        </w:rPr>
      </w:pPr>
      <w:r>
        <w:rPr>
          <w:rFonts w:ascii="仿宋" w:hAnsi="仿宋" w:eastAsia="仿宋"/>
          <w:color w:val="auto"/>
          <w:sz w:val="32"/>
          <w:szCs w:val="32"/>
        </w:rPr>
        <w:t>8</w:t>
      </w:r>
      <w:r>
        <w:rPr>
          <w:rFonts w:hint="eastAsia" w:ascii="仿宋" w:hAnsi="仿宋" w:eastAsia="仿宋"/>
          <w:color w:val="auto"/>
          <w:sz w:val="32"/>
          <w:szCs w:val="32"/>
        </w:rPr>
        <w:t>.年末结转和结余：指单位按有关规定结转到下年或以后年度继续使用的资金。</w:t>
      </w:r>
    </w:p>
    <w:p w14:paraId="54F01FEA">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9.社会保障和就业支出（208）行政事业单位养老支出（20805）机关事业单位基本养老保险缴费支出（2080505）：反映机关事业单位实施养老保险制度由单位缴纳的基本养老保险费支出。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auto"/>
          <w:sz w:val="32"/>
          <w:szCs w:val="32"/>
        </w:rPr>
        <w:cr/>
      </w:r>
      <w:r>
        <w:rPr>
          <w:rFonts w:hint="eastAsia" w:ascii="仿宋" w:hAnsi="仿宋" w:eastAsia="仿宋"/>
          <w:color w:val="auto"/>
          <w:sz w:val="32"/>
          <w:szCs w:val="32"/>
        </w:rPr>
        <w:t xml:space="preserve">    10.社会保障和就业支出（208）行政事业单位养老支出（20805）机关事业单位职业年金缴费支出（2080506）：反映机关事业单位实施养老保险制度由单位实际缴纳的职业年金支出。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auto"/>
          <w:sz w:val="32"/>
          <w:szCs w:val="32"/>
        </w:rPr>
        <w:cr/>
      </w:r>
      <w:r>
        <w:rPr>
          <w:rFonts w:hint="eastAsia" w:ascii="仿宋" w:hAnsi="仿宋" w:eastAsia="仿宋"/>
          <w:color w:val="auto"/>
          <w:sz w:val="32"/>
          <w:szCs w:val="32"/>
        </w:rPr>
        <w:t xml:space="preserve">    11.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olor w:val="auto"/>
          <w:sz w:val="32"/>
          <w:szCs w:val="32"/>
        </w:rPr>
        <w:cr/>
      </w:r>
      <w:r>
        <w:rPr>
          <w:rFonts w:hint="eastAsia" w:ascii="仿宋" w:hAnsi="仿宋" w:eastAsia="仿宋"/>
          <w:color w:val="auto"/>
          <w:sz w:val="32"/>
          <w:szCs w:val="32"/>
        </w:rPr>
        <w:t xml:space="preserve">    12.卫生健康支出（210）行政事业单位医疗（21011）公务员医疗补助（2101103）：反映财政部门安排的公务员医疗补助经费。</w:t>
      </w:r>
      <w:r>
        <w:rPr>
          <w:rFonts w:hint="eastAsia" w:ascii="仿宋" w:hAnsi="仿宋" w:eastAsia="仿宋"/>
          <w:color w:val="auto"/>
          <w:sz w:val="32"/>
          <w:szCs w:val="32"/>
        </w:rPr>
        <w:cr/>
      </w:r>
      <w:r>
        <w:rPr>
          <w:rFonts w:hint="eastAsia" w:ascii="仿宋" w:hAnsi="仿宋" w:eastAsia="仿宋"/>
          <w:color w:val="auto"/>
          <w:sz w:val="32"/>
          <w:szCs w:val="32"/>
        </w:rPr>
        <w:t xml:space="preserve">    13.节能环保支出（211）环境保护管理事务（21101）行政运行（2110101）：反映行政单位（包括实行公务员管理的事业单位）的基本支出。</w:t>
      </w:r>
      <w:r>
        <w:rPr>
          <w:rFonts w:hint="eastAsia" w:ascii="仿宋" w:hAnsi="仿宋" w:eastAsia="仿宋"/>
          <w:color w:val="auto"/>
          <w:sz w:val="32"/>
          <w:szCs w:val="32"/>
        </w:rPr>
        <w:cr/>
      </w:r>
      <w:r>
        <w:rPr>
          <w:rFonts w:hint="eastAsia" w:ascii="仿宋" w:hAnsi="仿宋" w:eastAsia="仿宋"/>
          <w:color w:val="auto"/>
          <w:sz w:val="32"/>
          <w:szCs w:val="32"/>
        </w:rPr>
        <w:t xml:space="preserve">    14.节能环保支出（211）环境保护管理事务（21101）生态环境保护宣传（2110104）：反映生态环境部门环境保护宣传教育方面的支出。</w:t>
      </w:r>
      <w:r>
        <w:rPr>
          <w:rFonts w:hint="eastAsia" w:ascii="仿宋" w:hAnsi="仿宋" w:eastAsia="仿宋"/>
          <w:color w:val="auto"/>
          <w:sz w:val="32"/>
          <w:szCs w:val="32"/>
        </w:rPr>
        <w:cr/>
      </w:r>
      <w:r>
        <w:rPr>
          <w:rFonts w:hint="eastAsia" w:ascii="仿宋" w:hAnsi="仿宋" w:eastAsia="仿宋"/>
          <w:color w:val="auto"/>
          <w:sz w:val="32"/>
          <w:szCs w:val="32"/>
        </w:rPr>
        <w:t xml:space="preserve">    15.节能环保支出（211）环境监测与监察（21102）其他环境监测与监察支出（2110299）：反映除上述项目以外其他用于环境监测与监察方面的支出。</w:t>
      </w:r>
      <w:r>
        <w:rPr>
          <w:rFonts w:hint="eastAsia" w:ascii="仿宋" w:hAnsi="仿宋" w:eastAsia="仿宋"/>
          <w:color w:val="auto"/>
          <w:sz w:val="32"/>
          <w:szCs w:val="32"/>
        </w:rPr>
        <w:cr/>
      </w:r>
      <w:r>
        <w:rPr>
          <w:rFonts w:hint="eastAsia" w:ascii="仿宋" w:hAnsi="仿宋" w:eastAsia="仿宋"/>
          <w:color w:val="auto"/>
          <w:sz w:val="32"/>
          <w:szCs w:val="32"/>
        </w:rPr>
        <w:t xml:space="preserve">    16.节能环保支出（211）其他节能环保支出（21199）其他节能环保支出（2119999）：反映除上述项目以外其他用于节能环保方面的支出。</w:t>
      </w:r>
      <w:r>
        <w:rPr>
          <w:rFonts w:hint="eastAsia" w:ascii="仿宋" w:hAnsi="仿宋" w:eastAsia="仿宋"/>
          <w:color w:val="auto"/>
          <w:sz w:val="32"/>
          <w:szCs w:val="32"/>
        </w:rPr>
        <w:cr/>
      </w:r>
      <w:r>
        <w:rPr>
          <w:rFonts w:hint="eastAsia" w:ascii="仿宋" w:hAnsi="仿宋" w:eastAsia="仿宋"/>
          <w:color w:val="auto"/>
          <w:sz w:val="32"/>
          <w:szCs w:val="32"/>
        </w:rPr>
        <w:t xml:space="preserve">    17.住房保障支出（221）住房改革支出（22102）住房公积金（2210201）：反映行政事业单位按人力资源和社会保障部、财政部规定的基本工资和津贴补贴以及规定比例为职工缴纳的住房公积金。</w:t>
      </w:r>
    </w:p>
    <w:p w14:paraId="2D05D83F">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18.基本支出：指为保障机构正常运转、完成日常工作任务而发生的人员支出和公用支出。</w:t>
      </w:r>
    </w:p>
    <w:p w14:paraId="75B121CF">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 xml:space="preserve">19.项目支出：指在基本支出之外为完成特定行政任务和事业发展目标所发生的支出。 </w:t>
      </w:r>
    </w:p>
    <w:p w14:paraId="1C053CC5">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20.经营支出：指事业单位在专业业务活动及其辅助活动之外开展非独立核算经营活动发生的支出。</w:t>
      </w:r>
    </w:p>
    <w:p w14:paraId="2006A2FC">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377B5E1">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F3DB07">
      <w:pPr>
        <w:spacing w:line="600" w:lineRule="exact"/>
        <w:ind w:firstLine="640"/>
        <w:rPr>
          <w:rFonts w:ascii="仿宋_GB2312" w:eastAsia="仿宋_GB2312" w:cs="黑体"/>
          <w:color w:val="auto"/>
          <w:sz w:val="32"/>
          <w:szCs w:val="32"/>
        </w:rPr>
      </w:pPr>
      <w:r>
        <w:rPr>
          <w:rFonts w:hint="eastAsia" w:ascii="仿宋" w:hAnsi="仿宋" w:eastAsia="仿宋"/>
          <w:color w:val="auto"/>
          <w:sz w:val="32"/>
          <w:szCs w:val="32"/>
        </w:rPr>
        <w:t>.财政应返还额度：为行政事业单位会计核算科目，用于核算实行国库集中支付的行政事业单位应收财政返还的资金额度。</w:t>
      </w:r>
    </w:p>
    <w:p w14:paraId="2F548A4D">
      <w:pPr>
        <w:widowControl/>
        <w:jc w:val="left"/>
        <w:rPr>
          <w:rStyle w:val="30"/>
          <w:rFonts w:ascii="黑体" w:hAnsi="黑体" w:eastAsia="黑体"/>
          <w:color w:val="auto"/>
        </w:rPr>
      </w:pPr>
      <w:r>
        <w:rPr>
          <w:rStyle w:val="30"/>
          <w:rFonts w:ascii="黑体" w:hAnsi="黑体" w:eastAsia="黑体"/>
          <w:color w:val="auto"/>
        </w:rPr>
        <w:br w:type="page"/>
      </w:r>
    </w:p>
    <w:p w14:paraId="6CE49A73">
      <w:pPr>
        <w:spacing w:line="600" w:lineRule="exact"/>
        <w:jc w:val="center"/>
        <w:rPr>
          <w:rStyle w:val="30"/>
          <w:rFonts w:hint="eastAsia" w:ascii="Times New Roman" w:hAnsi="Times New Roman" w:eastAsia="黑体"/>
          <w:b w:val="0"/>
          <w:color w:val="auto"/>
          <w:highlight w:val="none"/>
          <w:lang w:eastAsia="zh-CN"/>
        </w:rPr>
      </w:pPr>
      <w:bookmarkStart w:id="73" w:name="_GoBack"/>
      <w:bookmarkEnd w:id="73"/>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6"/>
    </w:p>
    <w:p w14:paraId="41DE1BC3">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598FC15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88BB082">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5B4CFA59">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33ED0608">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14:paraId="0908D546">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1D1FA71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62E5108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Times New Roman" w:hAnsi="Times New Roman" w:eastAsia="仿宋_GB2312" w:cs="仿宋_GB2312"/>
          <w:color w:val="auto"/>
          <w:kern w:val="2"/>
          <w:sz w:val="32"/>
          <w:szCs w:val="32"/>
          <w:highlight w:val="none"/>
          <w:lang w:val="en-US" w:eastAsia="zh-CN" w:bidi="ar-SA"/>
        </w:rPr>
        <w:t>***内设</w:t>
      </w:r>
      <w:r>
        <w:rPr>
          <w:rFonts w:hint="default" w:ascii="Times New Roman" w:hAnsi="Times New Roman" w:eastAsia="仿宋_GB2312" w:cs="仿宋_GB2312"/>
          <w:color w:val="auto"/>
          <w:kern w:val="2"/>
          <w:sz w:val="32"/>
          <w:szCs w:val="32"/>
          <w:highlight w:val="none"/>
          <w:lang w:val="en-US" w:eastAsia="zh-CN" w:bidi="ar-SA"/>
        </w:rPr>
        <w:t>处室</w:t>
      </w:r>
      <w:r>
        <w:rPr>
          <w:rFonts w:hint="eastAsia" w:ascii="Times New Roman" w:hAnsi="Times New Roman" w:eastAsia="仿宋_GB2312" w:cs="仿宋_GB2312"/>
          <w:color w:val="auto"/>
          <w:kern w:val="2"/>
          <w:sz w:val="32"/>
          <w:szCs w:val="32"/>
          <w:highlight w:val="none"/>
          <w:lang w:val="en-US" w:eastAsia="zh-CN" w:bidi="ar-SA"/>
        </w:rPr>
        <w:t>及下属单位情况</w:t>
      </w:r>
      <w:r>
        <w:rPr>
          <w:rFonts w:hint="default" w:ascii="Times New Roman" w:hAnsi="Times New Roman" w:eastAsia="仿宋_GB2312" w:cs="仿宋_GB2312"/>
          <w:color w:val="auto"/>
          <w:kern w:val="2"/>
          <w:sz w:val="32"/>
          <w:szCs w:val="32"/>
          <w:highlight w:val="none"/>
          <w:lang w:val="en-US" w:eastAsia="zh-CN" w:bidi="ar-SA"/>
        </w:rPr>
        <w:t>。</w:t>
      </w:r>
    </w:p>
    <w:p w14:paraId="4CB2329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Times New Roman"/>
          <w:sz w:val="32"/>
          <w:szCs w:val="32"/>
          <w:lang w:val="en-US" w:eastAsia="zh-CN"/>
        </w:rPr>
        <w:t>职责和功能。</w:t>
      </w:r>
    </w:p>
    <w:p w14:paraId="4CE125F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年末，</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sz w:val="32"/>
          <w:szCs w:val="32"/>
          <w:lang w:val="en-US" w:eastAsia="zh-CN"/>
        </w:rPr>
        <w:t>及下属单位编制</w:t>
      </w:r>
      <w:r>
        <w:rPr>
          <w:rFonts w:hint="eastAsia"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lang w:val="en-US" w:eastAsia="zh-CN"/>
        </w:rPr>
        <w:t>年末实有人数</w:t>
      </w:r>
      <w:r>
        <w:rPr>
          <w:rFonts w:hint="eastAsia" w:ascii="Times New Roman" w:hAnsi="Times New Roman" w:eastAsia="仿宋_GB2312" w:cs="Times New Roman"/>
          <w:sz w:val="32"/>
          <w:szCs w:val="32"/>
          <w:lang w:val="en-US" w:eastAsia="zh-CN"/>
        </w:rPr>
        <w:t>情况。</w:t>
      </w:r>
    </w:p>
    <w:p w14:paraId="70CDB19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4A9A5336">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Times New Roman"/>
          <w:sz w:val="32"/>
          <w:szCs w:val="32"/>
          <w:lang w:val="en-US" w:eastAsia="zh-CN"/>
        </w:rPr>
        <w:t>2024年年初预算收入情况、决算报表收入情况。</w:t>
      </w:r>
    </w:p>
    <w:p w14:paraId="13465B00">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Times New Roman"/>
          <w:sz w:val="32"/>
          <w:szCs w:val="32"/>
          <w:lang w:val="en-US" w:eastAsia="zh-CN"/>
        </w:rPr>
        <w:t>2024年年初预算支出情况、决算报表支出情况。</w:t>
      </w:r>
    </w:p>
    <w:p w14:paraId="34279EC2">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Times New Roman"/>
          <w:sz w:val="32"/>
          <w:szCs w:val="32"/>
          <w:lang w:val="en-US" w:eastAsia="zh-CN"/>
        </w:rPr>
        <w:t>2024年决算报表</w:t>
      </w:r>
      <w:r>
        <w:rPr>
          <w:rFonts w:hint="default" w:ascii="Times New Roman" w:hAnsi="Times New Roman" w:eastAsia="仿宋_GB2312" w:cs="Times New Roman"/>
          <w:sz w:val="32"/>
          <w:szCs w:val="32"/>
          <w:lang w:val="en-US" w:eastAsia="zh-CN"/>
        </w:rPr>
        <w:t>结转结余</w:t>
      </w:r>
      <w:r>
        <w:rPr>
          <w:rFonts w:hint="eastAsia"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lang w:val="en-US" w:eastAsia="zh-CN"/>
        </w:rPr>
        <w:t>。</w:t>
      </w:r>
    </w:p>
    <w:p w14:paraId="0227380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48CC5CF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default" w:ascii="Times New Roman" w:hAnsi="Times New Roman" w:eastAsia="仿宋_GB2312" w:cs="仿宋_GB2312"/>
          <w:color w:val="auto"/>
          <w:kern w:val="2"/>
          <w:sz w:val="32"/>
          <w:szCs w:val="32"/>
          <w:highlight w:val="none"/>
          <w:lang w:val="zh-CN" w:eastAsia="zh-CN" w:bidi="ar-SA"/>
        </w:rPr>
        <w:t>根据部门预算绩效评价指标体系</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总体绩效</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涉及</w:t>
      </w:r>
      <w:r>
        <w:rPr>
          <w:rFonts w:hint="eastAsia" w:ascii="Times New Roman" w:hAnsi="Times New Roman" w:eastAsia="仿宋_GB2312" w:cs="仿宋_GB2312"/>
          <w:color w:val="auto"/>
          <w:kern w:val="2"/>
          <w:sz w:val="32"/>
          <w:szCs w:val="32"/>
          <w:highlight w:val="none"/>
          <w:lang w:val="zh-CN" w:eastAsia="zh-CN" w:bidi="ar-SA"/>
        </w:rPr>
        <w:t>二、三级</w:t>
      </w:r>
      <w:r>
        <w:rPr>
          <w:rFonts w:hint="default" w:ascii="Times New Roman" w:hAnsi="Times New Roman" w:eastAsia="仿宋_GB2312" w:cs="仿宋_GB2312"/>
          <w:color w:val="auto"/>
          <w:kern w:val="2"/>
          <w:sz w:val="32"/>
          <w:szCs w:val="32"/>
          <w:highlight w:val="none"/>
          <w:lang w:val="zh-CN" w:eastAsia="zh-CN" w:bidi="ar-SA"/>
        </w:rPr>
        <w:t>指标进行</w:t>
      </w:r>
      <w:r>
        <w:rPr>
          <w:rFonts w:hint="eastAsia" w:ascii="Times New Roman" w:hAnsi="Times New Roman" w:eastAsia="仿宋_GB2312" w:cs="仿宋_GB2312"/>
          <w:color w:val="auto"/>
          <w:kern w:val="2"/>
          <w:sz w:val="32"/>
          <w:szCs w:val="32"/>
          <w:highlight w:val="none"/>
          <w:lang w:val="zh-CN" w:eastAsia="zh-CN" w:bidi="ar-SA"/>
        </w:rPr>
        <w:t>逐项</w:t>
      </w:r>
      <w:r>
        <w:rPr>
          <w:rFonts w:hint="default" w:ascii="Times New Roman" w:hAnsi="Times New Roman" w:eastAsia="仿宋_GB2312" w:cs="仿宋_GB2312"/>
          <w:color w:val="auto"/>
          <w:kern w:val="2"/>
          <w:sz w:val="32"/>
          <w:szCs w:val="32"/>
          <w:highlight w:val="none"/>
          <w:lang w:val="zh-CN" w:eastAsia="zh-CN" w:bidi="ar-SA"/>
        </w:rPr>
        <w:t>绩效分析</w:t>
      </w:r>
      <w:r>
        <w:rPr>
          <w:rFonts w:hint="eastAsia" w:ascii="Times New Roman" w:hAnsi="Times New Roman" w:eastAsia="仿宋_GB2312" w:cs="仿宋_GB2312"/>
          <w:color w:val="auto"/>
          <w:kern w:val="2"/>
          <w:sz w:val="32"/>
          <w:szCs w:val="32"/>
          <w:highlight w:val="none"/>
          <w:lang w:val="zh-CN" w:eastAsia="zh-CN" w:bidi="ar-SA"/>
        </w:rPr>
        <w:t>并评分</w:t>
      </w:r>
      <w:r>
        <w:rPr>
          <w:rFonts w:hint="default" w:ascii="Times New Roman" w:hAnsi="Times New Roman" w:eastAsia="仿宋_GB2312" w:cs="仿宋_GB2312"/>
          <w:color w:val="auto"/>
          <w:kern w:val="2"/>
          <w:sz w:val="32"/>
          <w:szCs w:val="32"/>
          <w:highlight w:val="none"/>
          <w:lang w:val="zh-CN" w:eastAsia="zh-CN" w:bidi="ar-SA"/>
        </w:rPr>
        <w:t>，依次包括履职效能、预算管理、财务管理、资产管理、采购管理等情况。</w:t>
      </w:r>
    </w:p>
    <w:p w14:paraId="31A75CF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履职效能。部门整体绩效目标中选定3-5个核心职能目标，对职能目标完成效果情况绩效分析。</w:t>
      </w:r>
    </w:p>
    <w:p w14:paraId="160276F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zh-CN" w:eastAsia="zh-CN" w:bidi="ar-SA"/>
        </w:rPr>
        <w:t>。围绕预算编制质量、单位收入统筹、支出执行进度、预算年终结余、严控一般性支出</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48BA8BF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default"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zh-CN" w:eastAsia="zh-CN" w:bidi="ar-SA"/>
        </w:rPr>
        <w:t>。围绕财务管理制度、财务岗位设置、资金使用规范</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3E20A6D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default"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zh-CN" w:eastAsia="zh-CN" w:bidi="ar-SA"/>
        </w:rPr>
        <w:t>。围绕人均资产变化率、资产利用率、资产盘活率</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2B391DF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zh-CN" w:eastAsia="zh-CN" w:bidi="ar-SA"/>
        </w:rPr>
        <w:t>。围绕支持中小企业发展、采购执行率</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2C87EE1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Times New Roman" w:hAnsi="Times New Roman" w:eastAsia="仿宋_GB2312" w:cs="仿宋_GB2312"/>
          <w:color w:val="auto"/>
          <w:kern w:val="2"/>
          <w:sz w:val="32"/>
          <w:szCs w:val="32"/>
          <w:highlight w:val="none"/>
          <w:lang w:val="zh-CN" w:eastAsia="zh-CN" w:bidi="ar-SA"/>
        </w:rPr>
        <w:t>填报以下数据，并</w:t>
      </w:r>
      <w:r>
        <w:rPr>
          <w:rFonts w:hint="default" w:ascii="Times New Roman" w:hAnsi="Times New Roman" w:eastAsia="仿宋_GB2312" w:cs="仿宋_GB2312"/>
          <w:color w:val="auto"/>
          <w:kern w:val="2"/>
          <w:sz w:val="32"/>
          <w:szCs w:val="32"/>
          <w:highlight w:val="none"/>
          <w:lang w:val="zh-CN" w:eastAsia="zh-CN" w:bidi="ar-SA"/>
        </w:rPr>
        <w:t>根据部门预算绩效评价指标体系</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项目绩效</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涉及</w:t>
      </w:r>
      <w:r>
        <w:rPr>
          <w:rFonts w:hint="eastAsia" w:ascii="Times New Roman" w:hAnsi="Times New Roman" w:eastAsia="仿宋_GB2312" w:cs="仿宋_GB2312"/>
          <w:color w:val="auto"/>
          <w:kern w:val="2"/>
          <w:sz w:val="32"/>
          <w:szCs w:val="32"/>
          <w:highlight w:val="none"/>
          <w:lang w:val="zh-CN" w:eastAsia="zh-CN" w:bidi="ar-SA"/>
        </w:rPr>
        <w:t>二、三级</w:t>
      </w:r>
      <w:r>
        <w:rPr>
          <w:rFonts w:hint="default" w:ascii="Times New Roman" w:hAnsi="Times New Roman" w:eastAsia="仿宋_GB2312" w:cs="仿宋_GB2312"/>
          <w:color w:val="auto"/>
          <w:kern w:val="2"/>
          <w:sz w:val="32"/>
          <w:szCs w:val="32"/>
          <w:highlight w:val="none"/>
          <w:lang w:val="zh-CN" w:eastAsia="zh-CN" w:bidi="ar-SA"/>
        </w:rPr>
        <w:t>指标进行</w:t>
      </w:r>
      <w:r>
        <w:rPr>
          <w:rFonts w:hint="eastAsia" w:ascii="Times New Roman" w:hAnsi="Times New Roman" w:eastAsia="仿宋_GB2312" w:cs="仿宋_GB2312"/>
          <w:color w:val="auto"/>
          <w:kern w:val="2"/>
          <w:sz w:val="32"/>
          <w:szCs w:val="32"/>
          <w:highlight w:val="none"/>
          <w:lang w:val="zh-CN" w:eastAsia="zh-CN" w:bidi="ar-SA"/>
        </w:rPr>
        <w:t>逐项</w:t>
      </w:r>
      <w:r>
        <w:rPr>
          <w:rFonts w:hint="default" w:ascii="Times New Roman" w:hAnsi="Times New Roman" w:eastAsia="仿宋_GB2312" w:cs="仿宋_GB2312"/>
          <w:color w:val="auto"/>
          <w:kern w:val="2"/>
          <w:sz w:val="32"/>
          <w:szCs w:val="32"/>
          <w:highlight w:val="none"/>
          <w:lang w:val="zh-CN" w:eastAsia="zh-CN" w:bidi="ar-SA"/>
        </w:rPr>
        <w:t>绩效分析</w:t>
      </w:r>
      <w:r>
        <w:rPr>
          <w:rFonts w:hint="eastAsia" w:ascii="Times New Roman" w:hAnsi="Times New Roman" w:eastAsia="仿宋_GB2312" w:cs="仿宋_GB2312"/>
          <w:color w:val="auto"/>
          <w:kern w:val="2"/>
          <w:sz w:val="32"/>
          <w:szCs w:val="32"/>
          <w:highlight w:val="none"/>
          <w:lang w:val="zh-CN" w:eastAsia="zh-CN" w:bidi="ar-SA"/>
        </w:rPr>
        <w:t>并评分</w:t>
      </w:r>
      <w:r>
        <w:rPr>
          <w:rFonts w:hint="default" w:ascii="Times New Roman" w:hAnsi="Times New Roman" w:eastAsia="仿宋_GB2312" w:cs="仿宋_GB2312"/>
          <w:color w:val="auto"/>
          <w:kern w:val="2"/>
          <w:sz w:val="32"/>
          <w:szCs w:val="32"/>
          <w:highlight w:val="none"/>
          <w:lang w:val="zh-CN" w:eastAsia="zh-CN" w:bidi="ar-SA"/>
        </w:rPr>
        <w:t>，依次包括项目</w:t>
      </w:r>
      <w:r>
        <w:rPr>
          <w:rFonts w:hint="default" w:ascii="Times New Roman" w:hAnsi="Times New Roman" w:eastAsia="仿宋_GB2312" w:cs="仿宋_GB2312"/>
          <w:color w:val="auto"/>
          <w:kern w:val="2"/>
          <w:sz w:val="32"/>
          <w:szCs w:val="32"/>
          <w:highlight w:val="none"/>
          <w:lang w:val="en-US" w:eastAsia="zh-CN" w:bidi="ar-SA"/>
        </w:rPr>
        <w:t>决策、项目执行、目标实现等情况</w:t>
      </w:r>
      <w:r>
        <w:rPr>
          <w:rFonts w:hint="eastAsia" w:ascii="Times New Roman" w:hAnsi="Times New Roman" w:eastAsia="仿宋_GB2312" w:cs="仿宋_GB2312"/>
          <w:color w:val="auto"/>
          <w:kern w:val="2"/>
          <w:sz w:val="32"/>
          <w:szCs w:val="32"/>
          <w:highlight w:val="none"/>
          <w:lang w:val="en-US" w:eastAsia="zh-CN" w:bidi="ar-SA"/>
        </w:rPr>
        <w:t>。</w:t>
      </w:r>
    </w:p>
    <w:p w14:paraId="6B075BE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常年项目绩效分析。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个。</w:t>
      </w:r>
    </w:p>
    <w:p w14:paraId="3FE8ECC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阶段</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一次性</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个。</w:t>
      </w:r>
    </w:p>
    <w:p w14:paraId="64FC5F6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项目决策。围绕决策程序、目标设置、项目入库</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2792420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2.项目执行</w:t>
      </w:r>
      <w:r>
        <w:rPr>
          <w:rFonts w:hint="eastAsia" w:ascii="Times New Roman" w:hAnsi="Times New Roman" w:eastAsia="仿宋_GB2312" w:cs="仿宋_GB2312"/>
          <w:color w:val="auto"/>
          <w:kern w:val="2"/>
          <w:sz w:val="32"/>
          <w:szCs w:val="32"/>
          <w:highlight w:val="none"/>
          <w:lang w:val="zh-CN" w:eastAsia="zh-CN" w:bidi="ar-SA"/>
        </w:rPr>
        <w:t>。围绕资金执行同向、项目调整、执行结果</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5E5A155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目标实现。围绕目标完成、目标偏离、实现效果</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1102A887">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省级部门对2024年度一般公共预算、政府性基金预算、国有资本经营预算安排的常年项目、阶段项目绩效目标完成情况，以及债券资金、政府购买服务有关情况进行梳理阐述</w:t>
      </w:r>
      <w:r>
        <w:rPr>
          <w:rFonts w:hint="eastAsia" w:ascii="Times New Roman" w:hAnsi="Times New Roman" w:eastAsia="仿宋_GB2312" w:cs="Times New Roman"/>
          <w:sz w:val="32"/>
          <w:szCs w:val="32"/>
          <w:highlight w:val="none"/>
          <w:lang w:val="en-US" w:eastAsia="zh-CN"/>
        </w:rPr>
        <w:t>。</w:t>
      </w:r>
    </w:p>
    <w:p w14:paraId="11574B81">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仿宋_GB2312" w:cs="Times New Roman"/>
          <w:sz w:val="32"/>
          <w:szCs w:val="32"/>
          <w:highlight w:val="none"/>
          <w:u w:val="none"/>
          <w:lang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Times New Roman"/>
          <w:sz w:val="32"/>
          <w:szCs w:val="32"/>
          <w:highlight w:val="none"/>
          <w:u w:val="none"/>
          <w:lang w:val="zh-CN" w:eastAsia="zh-CN" w:bidi="ar"/>
        </w:rPr>
        <w:t>围绕内部应用情况、</w:t>
      </w:r>
      <w:r>
        <w:rPr>
          <w:rFonts w:hint="default" w:ascii="Times New Roman" w:hAnsi="Times New Roman" w:eastAsia="仿宋_GB2312" w:cs="Times New Roman"/>
          <w:sz w:val="32"/>
          <w:szCs w:val="32"/>
          <w:highlight w:val="none"/>
          <w:u w:val="none"/>
          <w:lang w:val="zh-CN" w:eastAsia="zh-CN" w:bidi="ar"/>
        </w:rPr>
        <w:t>信息公开情况</w:t>
      </w:r>
      <w:r>
        <w:rPr>
          <w:rFonts w:hint="eastAsia" w:ascii="Times New Roman" w:hAnsi="Times New Roman" w:eastAsia="仿宋_GB2312" w:cs="Times New Roman"/>
          <w:sz w:val="32"/>
          <w:szCs w:val="32"/>
          <w:highlight w:val="none"/>
          <w:u w:val="none"/>
          <w:lang w:val="zh-CN" w:eastAsia="zh-CN" w:bidi="ar"/>
        </w:rPr>
        <w:t>、</w:t>
      </w:r>
      <w:r>
        <w:rPr>
          <w:rFonts w:hint="default" w:ascii="Times New Roman" w:hAnsi="Times New Roman" w:eastAsia="仿宋_GB2312" w:cs="Times New Roman"/>
          <w:sz w:val="32"/>
          <w:szCs w:val="32"/>
          <w:highlight w:val="none"/>
          <w:u w:val="none"/>
          <w:lang w:val="zh-CN" w:eastAsia="zh-CN" w:bidi="ar"/>
        </w:rPr>
        <w:t>整改反馈情况</w:t>
      </w:r>
      <w:r>
        <w:rPr>
          <w:rFonts w:hint="eastAsia" w:ascii="Times New Roman" w:hAnsi="Times New Roman" w:eastAsia="仿宋_GB2312" w:cs="Times New Roman"/>
          <w:sz w:val="32"/>
          <w:szCs w:val="32"/>
          <w:highlight w:val="none"/>
          <w:u w:val="none"/>
          <w:lang w:val="zh-CN" w:eastAsia="zh-CN" w:bidi="ar"/>
        </w:rPr>
        <w:t>进行分析。</w:t>
      </w:r>
    </w:p>
    <w:p w14:paraId="3AECAA6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030F531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Times New Roman" w:hAnsi="Times New Roman" w:eastAsia="仿宋_GB2312" w:cs="Times New Roman"/>
          <w:sz w:val="32"/>
          <w:szCs w:val="32"/>
          <w:u w:val="none"/>
          <w:lang w:val="en-US" w:eastAsia="zh-CN" w:bidi="ar"/>
        </w:rPr>
        <w:t>简要阐述部门预算绩效自评总体结论，其中必须包含自评得分。</w:t>
      </w:r>
    </w:p>
    <w:p w14:paraId="574CB66F">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Times New Roman" w:hAnsi="Times New Roman" w:eastAsia="仿宋_GB2312" w:cs="Times New Roman"/>
          <w:sz w:val="32"/>
          <w:szCs w:val="32"/>
          <w:u w:val="none"/>
          <w:lang w:val="en-US" w:eastAsia="zh-CN" w:bidi="ar"/>
        </w:rPr>
        <w:t>简要阐述部门预算绩效自评发现的主要问题。</w:t>
      </w:r>
    </w:p>
    <w:p w14:paraId="7C3A32B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r>
        <w:rPr>
          <w:rFonts w:hint="eastAsia" w:ascii="Times New Roman" w:hAnsi="Times New Roman" w:eastAsia="仿宋_GB2312" w:cs="Times New Roman"/>
          <w:sz w:val="32"/>
          <w:szCs w:val="32"/>
          <w:u w:val="none"/>
          <w:lang w:val="en-US" w:eastAsia="zh-CN" w:bidi="ar"/>
        </w:rPr>
        <w:t>简要阐述</w:t>
      </w:r>
      <w:bookmarkStart w:id="58" w:name="_Hlk110546638"/>
      <w:r>
        <w:rPr>
          <w:rFonts w:hint="eastAsia" w:ascii="Times New Roman" w:hAnsi="Times New Roman" w:eastAsia="仿宋_GB2312" w:cs="Times New Roman"/>
          <w:sz w:val="32"/>
          <w:szCs w:val="32"/>
          <w:u w:val="none"/>
          <w:lang w:val="en" w:eastAsia="zh-CN" w:bidi="ar"/>
        </w:rPr>
        <w:t>预算安排、完善政策、改进管理等方面的</w:t>
      </w:r>
      <w:r>
        <w:rPr>
          <w:rFonts w:hint="eastAsia" w:ascii="Times New Roman" w:hAnsi="Times New Roman" w:eastAsia="仿宋_GB2312" w:cs="Times New Roman"/>
          <w:sz w:val="32"/>
          <w:szCs w:val="32"/>
          <w:u w:val="none"/>
          <w:lang w:val="en-US" w:eastAsia="zh-CN" w:bidi="ar"/>
        </w:rPr>
        <w:t>措施</w:t>
      </w:r>
      <w:r>
        <w:rPr>
          <w:rFonts w:hint="eastAsia" w:ascii="Times New Roman" w:hAnsi="Times New Roman" w:eastAsia="仿宋_GB2312" w:cs="Times New Roman"/>
          <w:sz w:val="32"/>
          <w:szCs w:val="32"/>
          <w:u w:val="none"/>
          <w:lang w:val="en" w:eastAsia="zh-CN" w:bidi="ar"/>
        </w:rPr>
        <w:t>建议，其中</w:t>
      </w:r>
      <w:r>
        <w:rPr>
          <w:rFonts w:hint="eastAsia" w:ascii="Times New Roman" w:hAnsi="Times New Roman" w:eastAsia="仿宋_GB2312" w:cs="Times New Roman"/>
          <w:sz w:val="32"/>
          <w:szCs w:val="32"/>
          <w:u w:val="none"/>
          <w:lang w:val="en-US" w:eastAsia="zh-CN" w:bidi="ar"/>
        </w:rPr>
        <w:t>必须对应评价发现的主要问题一一提出措施建议。</w:t>
      </w:r>
    </w:p>
    <w:bookmarkEnd w:id="58"/>
    <w:p w14:paraId="48820C0C">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14:paraId="133051B6">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40202BAD">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14:paraId="5C0B2D04">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179F7462">
      <w:pPr>
        <w:pStyle w:val="6"/>
        <w:rPr>
          <w:rFonts w:hint="eastAsia" w:ascii="Times New Roman" w:hAnsi="Times New Roman" w:cs="宋体"/>
          <w:color w:val="FF0000"/>
          <w:kern w:val="0"/>
          <w:sz w:val="32"/>
          <w:szCs w:val="32"/>
          <w:highlight w:val="yellow"/>
          <w:shd w:val="clear" w:color="auto" w:fill="FFFFFF"/>
          <w:lang w:val="zh-CN"/>
        </w:rPr>
      </w:pPr>
    </w:p>
    <w:p w14:paraId="02A19F80">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67828EDD">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237686A9">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B4FC71B">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26AED87D">
      <w:pPr>
        <w:pStyle w:val="36"/>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5FDC6DB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41A3AC0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Times New Roman" w:hAnsi="Times New Roman" w:eastAsia="仿宋_GB2312" w:cs="仿宋_GB2312"/>
          <w:b w:val="0"/>
          <w:bCs w:val="0"/>
          <w:kern w:val="0"/>
          <w:position w:val="0"/>
          <w:sz w:val="32"/>
          <w:szCs w:val="32"/>
          <w:highlight w:val="none"/>
          <w:lang w:val="en-US" w:eastAsia="zh-CN" w:bidi="ar-SA"/>
        </w:rPr>
        <w:t>项目设立原因及背景，</w:t>
      </w:r>
      <w:r>
        <w:rPr>
          <w:rFonts w:hint="eastAsia" w:ascii="Times New Roman" w:hAnsi="Times New Roman" w:eastAsia="仿宋_GB2312" w:cs="仿宋_GB2312"/>
          <w:b w:val="0"/>
          <w:bCs w:val="0"/>
          <w:kern w:val="0"/>
          <w:position w:val="0"/>
          <w:sz w:val="32"/>
          <w:szCs w:val="32"/>
          <w:highlight w:val="none"/>
          <w:lang w:val="zh-CN" w:eastAsia="zh-CN" w:bidi="ar-SA"/>
        </w:rPr>
        <w:t>项目立项、资金申报的依据，项目主要内容</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主管部门职能</w:t>
      </w:r>
      <w:r>
        <w:rPr>
          <w:rFonts w:hint="eastAsia" w:ascii="Times New Roman" w:hAnsi="Times New Roman" w:eastAsia="仿宋_GB2312" w:cs="仿宋_GB2312"/>
          <w:color w:val="auto"/>
          <w:kern w:val="0"/>
          <w:sz w:val="32"/>
          <w:szCs w:val="32"/>
          <w:highlight w:val="none"/>
          <w:u w:val="none"/>
          <w:shd w:val="clear" w:color="auto" w:fill="FFFFFF"/>
          <w:lang w:val="zh-CN"/>
        </w:rPr>
        <w:t>。</w:t>
      </w:r>
    </w:p>
    <w:p w14:paraId="2648AF6F">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en-US" w:eastAsia="zh-CN" w:bidi="ar-SA"/>
        </w:rPr>
        <w:t>项目资金</w:t>
      </w:r>
      <w:r>
        <w:rPr>
          <w:rFonts w:hint="eastAsia" w:ascii="Times New Roman" w:hAnsi="Times New Roman" w:eastAsia="仿宋_GB2312" w:cs="仿宋_GB2312"/>
          <w:b w:val="0"/>
          <w:bCs w:val="0"/>
          <w:kern w:val="0"/>
          <w:position w:val="0"/>
          <w:sz w:val="32"/>
          <w:szCs w:val="32"/>
          <w:highlight w:val="none"/>
          <w:lang w:val="zh-CN" w:eastAsia="zh-CN" w:bidi="ar-SA"/>
        </w:rPr>
        <w:t>管理办法制定情况，项目实施目的和主要工作任务，项目支持方向。</w:t>
      </w:r>
    </w:p>
    <w:p w14:paraId="0AA345D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项目预算安排情况，项目资金分配原则及考虑因素，项目资金分配情况。</w:t>
      </w:r>
    </w:p>
    <w:p w14:paraId="23FCA23B">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项目整体、区域和具体绩效目标设置情况，项目自评工作开展情况。</w:t>
      </w:r>
    </w:p>
    <w:p w14:paraId="389A4D6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7BC0E59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通过项目绩效自评要实现的目的。</w:t>
      </w:r>
    </w:p>
    <w:p w14:paraId="7F3DF390">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按照绩效评价指标体系，对资金支出使用全过程及其实施效果进行综合评价和判断。</w:t>
      </w:r>
    </w:p>
    <w:p w14:paraId="0ECAE2A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项目绩效自评所抽样点位情况。每个专项预算项目应选取专项资金分配涉及市县总数的20%、总计不超过20个的市县点位进行实地踏勘，且点位清单应作为自评附表。</w:t>
      </w:r>
    </w:p>
    <w:p w14:paraId="5057D0F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根据项目情况和评价重点，用来收集相关材料和开展具体评价的方法。包括：采用成本效益分析法、标杆管理法、案卷研究法、单位自评法、实地勘察法、问卷调查法、座谈调研法等多种方法。</w:t>
      </w:r>
    </w:p>
    <w:p w14:paraId="286E2A7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评价组人员构成和职责分工。</w:t>
      </w:r>
    </w:p>
    <w:p w14:paraId="21A2D0AB">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0ED9C05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14:paraId="79CF15C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699495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项目决策。围绕决策程序、规划论证、资金投向进行绩效分析。</w:t>
      </w:r>
    </w:p>
    <w:p w14:paraId="6AAA06C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项目管理。围绕制度办法、分配管理、绩效监管进行绩效分析。</w:t>
      </w:r>
    </w:p>
    <w:p w14:paraId="65E5196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hint="eastAsia" w:ascii="Times New Roman" w:hAnsi="Times New Roman" w:eastAsia="仿宋_GB2312" w:cs="仿宋_GB2312"/>
          <w:b w:val="0"/>
          <w:bCs w:val="0"/>
          <w:kern w:val="0"/>
          <w:position w:val="0"/>
          <w:sz w:val="32"/>
          <w:szCs w:val="32"/>
          <w:highlight w:val="none"/>
          <w:lang w:val="zh-CN" w:eastAsia="zh-CN" w:bidi="ar-SA"/>
        </w:rPr>
        <w:t>围绕预算执行、资金使用进行绩效分析。</w:t>
      </w:r>
    </w:p>
    <w:p w14:paraId="3910E5E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4.项目结果。围绕</w:t>
      </w:r>
      <w:r>
        <w:rPr>
          <w:rFonts w:hint="eastAsia" w:ascii="Times New Roman" w:hAnsi="Times New Roman" w:eastAsia="仿宋_GB2312" w:cs="仿宋_GB2312"/>
          <w:b w:val="0"/>
          <w:bCs w:val="0"/>
          <w:kern w:val="0"/>
          <w:position w:val="0"/>
          <w:sz w:val="32"/>
          <w:szCs w:val="32"/>
          <w:highlight w:val="none"/>
          <w:lang w:val="zh-CN" w:eastAsia="zh-CN" w:bidi="ar-SA"/>
        </w:rPr>
        <w:t>目标完成、完成时效进行绩效分析。</w:t>
      </w:r>
    </w:p>
    <w:p w14:paraId="4AD3186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en-US" w:eastAsia="zh-CN" w:bidi="ar-SA"/>
        </w:rPr>
        <w:t>专项预算项目资金支持对象选择所属指标进行绩效分析。支持对象</w:t>
      </w:r>
      <w:r>
        <w:rPr>
          <w:rFonts w:hint="eastAsia" w:ascii="Times New Roman" w:hAnsi="Times New Roman" w:eastAsia="仿宋_GB2312" w:cs="仿宋_GB2312"/>
          <w:b w:val="0"/>
          <w:bCs w:val="0"/>
          <w:kern w:val="0"/>
          <w:position w:val="0"/>
          <w:sz w:val="32"/>
          <w:szCs w:val="32"/>
          <w:highlight w:val="none"/>
          <w:lang w:val="zh-CN" w:eastAsia="zh-CN" w:bidi="ar-SA"/>
        </w:rPr>
        <w:t>包括产业发展、民生保障、基础设施、行政运转等方面。</w:t>
      </w:r>
    </w:p>
    <w:p w14:paraId="6497377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1.产业发展。围绕符合性、成长性、经济性进行绩效分析。</w:t>
      </w:r>
    </w:p>
    <w:p w14:paraId="5AD6997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围绕区域均衡性、对象精准性、标准合理性、群众满意度进行绩效分析。</w:t>
      </w:r>
    </w:p>
    <w:p w14:paraId="78BB34E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3.基础设施。在建项目围绕工程进度和资金拨付进行绩效分析；建成项目围绕项目验收、功能实现、后续管护进行</w:t>
      </w:r>
      <w:r>
        <w:rPr>
          <w:rFonts w:hint="eastAsia" w:ascii="Times New Roman" w:hAnsi="Times New Roman" w:eastAsia="仿宋_GB2312" w:cs="仿宋_GB2312"/>
          <w:b w:val="0"/>
          <w:bCs w:val="0"/>
          <w:kern w:val="0"/>
          <w:position w:val="0"/>
          <w:sz w:val="32"/>
          <w:szCs w:val="32"/>
          <w:highlight w:val="none"/>
          <w:lang w:val="zh-CN" w:eastAsia="zh-CN" w:bidi="ar-SA"/>
        </w:rPr>
        <w:t>绩效分析。</w:t>
      </w:r>
    </w:p>
    <w:p w14:paraId="3737075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行政运转。围绕用途合规性、程序合规性、标准合规性进行绩效分析。</w:t>
      </w:r>
    </w:p>
    <w:p w14:paraId="1958110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p>
    <w:p w14:paraId="679A661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7F48EBD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kern w:val="0"/>
          <w:position w:val="0"/>
          <w:sz w:val="32"/>
          <w:szCs w:val="32"/>
          <w:highlight w:val="none"/>
          <w:lang w:val="zh-CN" w:eastAsia="zh-CN" w:bidi="ar-SA"/>
        </w:rPr>
        <w:t>项目实施情况。</w:t>
      </w:r>
    </w:p>
    <w:p w14:paraId="76CE413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7DD8A51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简要阐述专项预算项目绩效自评发现的主要问题。</w:t>
      </w:r>
    </w:p>
    <w:p w14:paraId="4FB2B02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2FC5B27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kern w:val="0"/>
          <w:position w:val="0"/>
          <w:sz w:val="32"/>
          <w:szCs w:val="32"/>
          <w:highlight w:val="none"/>
          <w:lang w:val="en-US" w:eastAsia="zh-CN" w:bidi="ar-SA"/>
        </w:rPr>
        <w:t>措施</w:t>
      </w:r>
      <w:r>
        <w:rPr>
          <w:rFonts w:hint="eastAsia" w:ascii="Times New Roman" w:hAnsi="Times New Roman" w:eastAsia="仿宋_GB2312" w:cs="仿宋_GB2312"/>
          <w:b w:val="0"/>
          <w:bCs w:val="0"/>
          <w:kern w:val="0"/>
          <w:position w:val="0"/>
          <w:sz w:val="32"/>
          <w:szCs w:val="32"/>
          <w:highlight w:val="none"/>
          <w:lang w:val="en" w:eastAsia="zh-CN" w:bidi="ar-SA"/>
        </w:rPr>
        <w:t>建议，其中</w:t>
      </w:r>
      <w:r>
        <w:rPr>
          <w:rFonts w:hint="eastAsia" w:ascii="Times New Roman" w:hAnsi="Times New Roman" w:eastAsia="仿宋_GB2312" w:cs="仿宋_GB2312"/>
          <w:b w:val="0"/>
          <w:bCs w:val="0"/>
          <w:kern w:val="0"/>
          <w:position w:val="0"/>
          <w:sz w:val="32"/>
          <w:szCs w:val="32"/>
          <w:highlight w:val="none"/>
          <w:lang w:val="en-US" w:eastAsia="zh-CN" w:bidi="ar-SA"/>
        </w:rPr>
        <w:t>必须对应评价发现的主要问题一一提出措施建议。</w:t>
      </w:r>
    </w:p>
    <w:p w14:paraId="6D3F4FF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注：</w:t>
      </w:r>
      <w:r>
        <w:rPr>
          <w:rFonts w:hint="eastAsia" w:ascii="Times New Roman" w:hAnsi="Times New Roman" w:eastAsia="仿宋_GB2312" w:cs="仿宋_GB2312"/>
          <w:b w:val="0"/>
          <w:bCs w:val="0"/>
          <w:kern w:val="0"/>
          <w:position w:val="0"/>
          <w:sz w:val="32"/>
          <w:szCs w:val="32"/>
          <w:highlight w:val="none"/>
          <w:lang w:val="en-US" w:eastAsia="zh-CN" w:bidi="ar-SA"/>
        </w:rPr>
        <w:t>以上绩效自评报告，除涉密敏感内容外，原则上都应予以公开）</w:t>
      </w:r>
    </w:p>
    <w:p w14:paraId="54C1142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60C479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284E7F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9"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5BCB59DC">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57"/>
      <w:bookmarkEnd w:id="59"/>
      <w:bookmarkStart w:id="60" w:name="_Toc15396619"/>
    </w:p>
    <w:p w14:paraId="6CD5DAA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136E4FF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60"/>
    </w:p>
    <w:p w14:paraId="1E79D1C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0"/>
      <w:r>
        <w:rPr>
          <w:rFonts w:hint="eastAsia" w:ascii="Times New Roman" w:hAnsi="Times New Roman" w:eastAsia="仿宋_GB2312" w:cs="仿宋_GB2312"/>
          <w:color w:val="auto"/>
          <w:sz w:val="32"/>
          <w:szCs w:val="32"/>
          <w:highlight w:val="none"/>
        </w:rPr>
        <w:t>二、收入决算表</w:t>
      </w:r>
      <w:bookmarkEnd w:id="61"/>
    </w:p>
    <w:p w14:paraId="1A8CA23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1"/>
      <w:r>
        <w:rPr>
          <w:rFonts w:hint="eastAsia" w:ascii="Times New Roman" w:hAnsi="Times New Roman" w:eastAsia="仿宋_GB2312" w:cs="仿宋_GB2312"/>
          <w:color w:val="auto"/>
          <w:sz w:val="32"/>
          <w:szCs w:val="32"/>
          <w:highlight w:val="none"/>
        </w:rPr>
        <w:t>三、支出决算表</w:t>
      </w:r>
      <w:bookmarkEnd w:id="62"/>
    </w:p>
    <w:p w14:paraId="1296616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2"/>
      <w:r>
        <w:rPr>
          <w:rFonts w:hint="eastAsia" w:ascii="Times New Roman" w:hAnsi="Times New Roman" w:eastAsia="仿宋_GB2312" w:cs="仿宋_GB2312"/>
          <w:color w:val="auto"/>
          <w:sz w:val="32"/>
          <w:szCs w:val="32"/>
          <w:highlight w:val="none"/>
        </w:rPr>
        <w:t>四、财政拨款收入支出决算总表</w:t>
      </w:r>
      <w:bookmarkEnd w:id="63"/>
    </w:p>
    <w:p w14:paraId="1B9516D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3"/>
      <w:r>
        <w:rPr>
          <w:rFonts w:hint="eastAsia" w:ascii="Times New Roman" w:hAnsi="Times New Roman" w:eastAsia="仿宋_GB2312" w:cs="仿宋_GB2312"/>
          <w:color w:val="auto"/>
          <w:sz w:val="32"/>
          <w:szCs w:val="32"/>
          <w:highlight w:val="none"/>
        </w:rPr>
        <w:t>五、财政拨款支出决算明细表</w:t>
      </w:r>
      <w:bookmarkEnd w:id="64"/>
      <w:bookmarkStart w:id="65" w:name="_Toc15396624"/>
    </w:p>
    <w:p w14:paraId="33F43E1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5"/>
    </w:p>
    <w:p w14:paraId="51BA0FE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5"/>
      <w:r>
        <w:rPr>
          <w:rFonts w:hint="eastAsia" w:ascii="Times New Roman" w:hAnsi="Times New Roman" w:eastAsia="仿宋_GB2312" w:cs="仿宋_GB2312"/>
          <w:color w:val="auto"/>
          <w:sz w:val="32"/>
          <w:szCs w:val="32"/>
          <w:highlight w:val="none"/>
        </w:rPr>
        <w:t>七、一般公共预算财政拨款支出决算明细表</w:t>
      </w:r>
      <w:bookmarkEnd w:id="66"/>
    </w:p>
    <w:p w14:paraId="22DA41D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6"/>
      <w:r>
        <w:rPr>
          <w:rFonts w:hint="eastAsia" w:ascii="Times New Roman" w:hAnsi="Times New Roman" w:eastAsia="仿宋_GB2312" w:cs="仿宋_GB2312"/>
          <w:color w:val="auto"/>
          <w:sz w:val="32"/>
          <w:szCs w:val="32"/>
          <w:highlight w:val="none"/>
        </w:rPr>
        <w:t>八、一般公共预算财政拨款基本支出决算表</w:t>
      </w:r>
      <w:bookmarkEnd w:id="67"/>
    </w:p>
    <w:p w14:paraId="3EC7FCE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7"/>
      <w:r>
        <w:rPr>
          <w:rFonts w:hint="eastAsia" w:ascii="Times New Roman" w:hAnsi="Times New Roman" w:eastAsia="仿宋_GB2312" w:cs="仿宋_GB2312"/>
          <w:color w:val="auto"/>
          <w:sz w:val="32"/>
          <w:szCs w:val="32"/>
          <w:highlight w:val="none"/>
        </w:rPr>
        <w:t>九、一般公共预算财政拨款项目支出决算表</w:t>
      </w:r>
      <w:bookmarkEnd w:id="68"/>
    </w:p>
    <w:p w14:paraId="72FB6BA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8"/>
      <w:r>
        <w:rPr>
          <w:rFonts w:hint="eastAsia" w:ascii="Times New Roman" w:hAnsi="Times New Roman" w:eastAsia="仿宋_GB2312" w:cs="仿宋_GB2312"/>
          <w:color w:val="auto"/>
          <w:sz w:val="32"/>
          <w:szCs w:val="32"/>
          <w:highlight w:val="none"/>
        </w:rPr>
        <w:t>十、</w:t>
      </w:r>
      <w:bookmarkEnd w:id="69"/>
      <w:r>
        <w:rPr>
          <w:rFonts w:hint="eastAsia" w:ascii="Times New Roman" w:hAnsi="Times New Roman" w:eastAsia="仿宋_GB2312" w:cs="仿宋_GB2312"/>
          <w:color w:val="auto"/>
          <w:sz w:val="32"/>
          <w:szCs w:val="32"/>
          <w:highlight w:val="none"/>
        </w:rPr>
        <w:t>政府性基金预算财政拨款收入支出决算表</w:t>
      </w:r>
    </w:p>
    <w:p w14:paraId="15EA569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29"/>
      <w:r>
        <w:rPr>
          <w:rFonts w:hint="eastAsia" w:ascii="Times New Roman" w:hAnsi="Times New Roman" w:eastAsia="仿宋_GB2312" w:cs="仿宋_GB2312"/>
          <w:color w:val="auto"/>
          <w:sz w:val="32"/>
          <w:szCs w:val="32"/>
          <w:highlight w:val="none"/>
        </w:rPr>
        <w:t>十一、</w:t>
      </w:r>
      <w:bookmarkEnd w:id="70"/>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688D76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1" w:name="_Toc15396630"/>
      <w:r>
        <w:rPr>
          <w:rFonts w:hint="eastAsia" w:ascii="Times New Roman" w:hAnsi="Times New Roman" w:eastAsia="仿宋_GB2312" w:cs="仿宋_GB2312"/>
          <w:color w:val="auto"/>
          <w:sz w:val="32"/>
          <w:szCs w:val="32"/>
          <w:highlight w:val="none"/>
        </w:rPr>
        <w:t>十二、</w:t>
      </w:r>
      <w:bookmarkEnd w:id="71"/>
      <w:r>
        <w:rPr>
          <w:rFonts w:hint="eastAsia" w:ascii="Times New Roman" w:hAnsi="Times New Roman" w:eastAsia="仿宋_GB2312" w:cs="仿宋_GB2312"/>
          <w:color w:val="auto"/>
          <w:sz w:val="32"/>
          <w:szCs w:val="32"/>
          <w:highlight w:val="none"/>
          <w:lang w:eastAsia="zh-CN"/>
        </w:rPr>
        <w:t>国有资本经营预算财政拨款支出决算表</w:t>
      </w:r>
    </w:p>
    <w:p w14:paraId="13D2CDC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2" w:name="_Toc15396631"/>
      <w:r>
        <w:rPr>
          <w:rFonts w:hint="eastAsia" w:ascii="Times New Roman" w:hAnsi="Times New Roman" w:eastAsia="仿宋_GB2312" w:cs="仿宋_GB2312"/>
          <w:color w:val="auto"/>
          <w:sz w:val="32"/>
          <w:szCs w:val="32"/>
          <w:highlight w:val="none"/>
        </w:rPr>
        <w:t>十三、</w:t>
      </w:r>
      <w:bookmarkEnd w:id="72"/>
      <w:r>
        <w:rPr>
          <w:rFonts w:hint="eastAsia" w:ascii="Times New Roman" w:hAnsi="Times New Roman" w:eastAsia="仿宋_GB2312" w:cs="仿宋_GB2312"/>
          <w:color w:val="auto"/>
          <w:sz w:val="32"/>
          <w:szCs w:val="32"/>
          <w:highlight w:val="none"/>
          <w:lang w:eastAsia="zh-CN"/>
        </w:rPr>
        <w:t>财政拨款“三公”经费支出决算表</w:t>
      </w:r>
    </w:p>
    <w:p w14:paraId="48FB4626">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8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73DE8">
    <w:pPr>
      <w:pStyle w:val="11"/>
      <w:jc w:val="center"/>
    </w:pPr>
  </w:p>
  <w:p w14:paraId="3FE55EE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F8E7C">
    <w:pPr>
      <w:pStyle w:val="11"/>
      <w:jc w:val="center"/>
    </w:pPr>
  </w:p>
  <w:p w14:paraId="4CCADFA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5041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9952E">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8CD51A8"/>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81423B"/>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144F3F"/>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8EB189F"/>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466CCA"/>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spacing w:after="120"/>
      <w:textAlignment w:val="baseline"/>
    </w:p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0</TotalTime>
  <ScaleCrop>false</ScaleCrop>
  <LinksUpToDate>false</LinksUpToDate>
  <CharactersWithSpaces>8692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2025-09-16T07:06:32Z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04787F2533EB45DC91BCDE4AB213247F</vt:lpwstr>
  </property>
  <property fmtid="{D5CDD505-2E9C-101B-9397-08002B2CF9AE}" pid="4" name="KSOTemplateDocerSaveRecord">
    <vt:lpwstr>eyJoZGlkIjoiOWU4ZGQwZTI1OTA5ODQyYTE3ODhhODBhOTBjYzhhMTMifQ==</vt:lpwstr>
  </property>
</Properties>
</file>