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D1823">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96475"/>
      <w:bookmarkStart w:id="2" w:name="_Toc15396597"/>
      <w:bookmarkStart w:id="3" w:name="_Toc15378441"/>
      <w:bookmarkStart w:id="4" w:name="_Toc15377425"/>
      <w:bookmarkStart w:id="5" w:name="_Toc15306267"/>
    </w:p>
    <w:p w14:paraId="4F173B5A">
      <w:pPr>
        <w:pStyle w:val="6"/>
        <w:rPr>
          <w:rFonts w:hint="eastAsia" w:ascii="Times New Roman" w:hAnsi="Times New Roman" w:eastAsia="方正小标宋简体" w:cs="Times New Roman"/>
          <w:color w:val="auto"/>
          <w:kern w:val="2"/>
          <w:sz w:val="72"/>
          <w:szCs w:val="72"/>
          <w:highlight w:val="none"/>
          <w:lang w:val="en-US" w:eastAsia="zh-CN" w:bidi="ar-SA"/>
        </w:rPr>
      </w:pPr>
    </w:p>
    <w:p w14:paraId="26CF706D">
      <w:pPr>
        <w:pStyle w:val="6"/>
        <w:rPr>
          <w:rFonts w:hint="eastAsia" w:ascii="Times New Roman" w:hAnsi="Times New Roman" w:eastAsia="方正小标宋简体" w:cs="Times New Roman"/>
          <w:color w:val="auto"/>
          <w:kern w:val="2"/>
          <w:sz w:val="72"/>
          <w:szCs w:val="72"/>
          <w:highlight w:val="none"/>
          <w:lang w:val="en-US" w:eastAsia="zh-CN" w:bidi="ar-SA"/>
        </w:rPr>
      </w:pPr>
    </w:p>
    <w:p w14:paraId="5FB6329C">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2024年度省级部门（单位）决算</w:t>
      </w:r>
    </w:p>
    <w:p w14:paraId="57A0077F">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公开文字说明范本</w:t>
      </w:r>
    </w:p>
    <w:p w14:paraId="226A819D">
      <w:pPr>
        <w:spacing w:line="600" w:lineRule="exact"/>
        <w:jc w:val="center"/>
        <w:outlineLvl w:val="0"/>
        <w:rPr>
          <w:rFonts w:ascii="Times New Roman" w:hAnsi="Times New Roman" w:eastAsia="方正小标宋简体"/>
          <w:color w:val="auto"/>
          <w:sz w:val="72"/>
          <w:szCs w:val="72"/>
          <w:highlight w:val="none"/>
        </w:rPr>
      </w:pPr>
    </w:p>
    <w:p w14:paraId="7D6AC5A7">
      <w:pPr>
        <w:pStyle w:val="21"/>
        <w:rPr>
          <w:rFonts w:ascii="Times New Roman" w:hAnsi="Times New Roman"/>
          <w:color w:val="auto"/>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49222247">
      <w:pPr>
        <w:rPr>
          <w:rFonts w:ascii="Times New Roman" w:hAnsi="Times New Roman"/>
          <w:color w:val="auto"/>
        </w:rPr>
      </w:pPr>
    </w:p>
    <w:p w14:paraId="0EA6FAB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48441078">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677A09B3">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16CC8893">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0C3262D6">
      <w:pPr>
        <w:pStyle w:val="6"/>
        <w:jc w:val="center"/>
        <w:rPr>
          <w:rFonts w:hint="eastAsia" w:ascii="Times New Roman" w:eastAsia="方正小标宋简体" w:cs="Times New Roman"/>
          <w:color w:val="auto"/>
          <w:kern w:val="2"/>
          <w:sz w:val="44"/>
          <w:szCs w:val="44"/>
          <w:highlight w:val="none"/>
          <w:lang w:val="en-US" w:eastAsia="zh-CN" w:bidi="ar-SA"/>
        </w:rPr>
      </w:pPr>
      <w:bookmarkStart w:id="6" w:name="_Toc15396476"/>
      <w:bookmarkStart w:id="7" w:name="_Toc15377426"/>
      <w:bookmarkStart w:id="8" w:name="_Toc15378442"/>
      <w:bookmarkStart w:id="9" w:name="_Toc15396598"/>
      <w:bookmarkStart w:id="10" w:name="_Toc15377194"/>
      <w:r>
        <w:rPr>
          <w:rFonts w:hint="eastAsia" w:ascii="Times New Roman" w:hAnsi="Times New Roman" w:eastAsia="方正小标宋简体" w:cs="Times New Roman"/>
          <w:color w:val="auto"/>
          <w:kern w:val="2"/>
          <w:sz w:val="44"/>
          <w:szCs w:val="44"/>
          <w:highlight w:val="none"/>
          <w:lang w:val="en-US" w:eastAsia="zh-CN" w:bidi="ar-SA"/>
        </w:rPr>
        <w:t>2024年度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阿坝藏族羌族自治州</w:t>
      </w:r>
    </w:p>
    <w:p w14:paraId="603ACD22">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松潘生态环境局</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14:paraId="5F52925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（注：</w:t>
      </w:r>
      <w:r>
        <w:rPr>
          <w:rFonts w:hint="eastAsia" w:eastAsia="仿宋_GB2312" w:cs="仿宋_GB2312"/>
          <w:color w:val="auto"/>
          <w:sz w:val="32"/>
          <w:szCs w:val="32"/>
          <w:highlight w:val="none"/>
          <w:lang w:val="en-US" w:eastAsia="zh-CN"/>
        </w:rPr>
        <w:t>以下为部门公开范本。单位公开内容应参照部门公开内容和报表格式，并与部门公开内容做好衔接）</w:t>
      </w:r>
    </w:p>
    <w:p w14:paraId="7467E243">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15392B53">
      <w:pPr>
        <w:widowControl/>
        <w:jc w:val="center"/>
        <w:rPr>
          <w:rFonts w:ascii="Times New Roman" w:hAnsi="Times New Roman" w:eastAsia="黑体" w:cstheme="minorBidi"/>
          <w:color w:val="auto"/>
          <w:sz w:val="28"/>
          <w:szCs w:val="28"/>
          <w:highlight w:val="none"/>
        </w:rPr>
      </w:pPr>
    </w:p>
    <w:p w14:paraId="01135246">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16</w:t>
      </w:r>
      <w:r>
        <w:rPr>
          <w:rFonts w:hint="eastAsia" w:ascii="Times New Roman" w:hAnsi="Times New Roman" w:eastAsia="仿宋_GB2312" w:cs="仿宋_GB2312"/>
          <w:color w:val="auto"/>
          <w:sz w:val="32"/>
          <w:szCs w:val="32"/>
          <w:highlight w:val="none"/>
        </w:rPr>
        <w:t>日</w:t>
      </w:r>
    </w:p>
    <w:p w14:paraId="1982F280">
      <w:pPr>
        <w:rPr>
          <w:rFonts w:ascii="Times New Roman" w:hAnsi="Times New Roman"/>
          <w:color w:val="auto"/>
          <w:highlight w:val="none"/>
        </w:rPr>
      </w:pPr>
    </w:p>
    <w:p w14:paraId="5DAA2F4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7EE2E22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30EC8CF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14:paraId="00F5C68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08E5B6B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4407B1D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14:paraId="7CC317B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14:paraId="7C83603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14:paraId="391F233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14:paraId="1A8CEFA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0CE5345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6CB06C7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0B2A814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5A5BA3C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68F4CFF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7BFB8DB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14:paraId="54DC302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0E999ED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0400346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63DD8B7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55AFF38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4B5DF50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22022BF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092AA80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155EB2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3490FC3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04509E1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5C97461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6E7F3ED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7EF9E48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738A563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039F9C04">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14:paraId="36FA53EA">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14:paraId="24F18AB5">
      <w:pPr>
        <w:widowControl/>
        <w:jc w:val="left"/>
        <w:rPr>
          <w:rFonts w:ascii="Times New Roman" w:hAnsi="Times New Roman" w:eastAsia="黑体"/>
          <w:color w:val="auto"/>
          <w:sz w:val="32"/>
          <w:szCs w:val="32"/>
          <w:highlight w:val="none"/>
        </w:rPr>
      </w:pPr>
    </w:p>
    <w:p w14:paraId="4585AA58">
      <w:pPr>
        <w:pStyle w:val="4"/>
        <w:rPr>
          <w:rStyle w:val="31"/>
          <w:rFonts w:hint="eastAsia" w:ascii="Times New Roman" w:hAnsi="Times New Roman" w:eastAsia="黑体"/>
          <w:b w:val="0"/>
          <w:bCs w:val="0"/>
          <w:color w:val="auto"/>
          <w:highlight w:val="none"/>
          <w:lang w:eastAsia="zh-CN"/>
        </w:rPr>
      </w:pPr>
      <w:bookmarkStart w:id="14" w:name="_Toc15377197"/>
      <w:bookmarkStart w:id="15" w:name="_Toc15396600"/>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p>
    <w:p w14:paraId="4AF62420">
      <w:pPr>
        <w:pStyle w:val="4"/>
        <w:rPr>
          <w:rStyle w:val="31"/>
          <w:rFonts w:ascii="Times New Roman" w:hAnsi="Times New Roman"/>
          <w:b w:val="0"/>
          <w:bCs w:val="0"/>
          <w:color w:val="auto"/>
          <w:highlight w:val="none"/>
        </w:rPr>
      </w:pPr>
      <w:bookmarkStart w:id="16" w:name="_Toc15396601"/>
      <w:bookmarkStart w:id="17" w:name="_Toc15377200"/>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6"/>
      <w:bookmarkEnd w:id="17"/>
    </w:p>
    <w:p w14:paraId="371B0C16">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阿坝藏族羌族自治州松潘生态环境局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12E8DE70">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color w:val="auto"/>
          <w:sz w:val="32"/>
          <w:szCs w:val="32"/>
        </w:rPr>
        <w:t>阿坝藏族羌族自治州松潘生态环境局</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626A593C">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8" w:name="_Toc15377433"/>
      <w:bookmarkStart w:id="19" w:name="_Toc15306276"/>
      <w:bookmarkStart w:id="20" w:name="_Toc15378449"/>
      <w:bookmarkStart w:id="21" w:name="_Toc15377202"/>
      <w:r>
        <w:rPr>
          <w:rFonts w:hint="eastAsia" w:ascii="Times New Roman" w:cs="仿宋_GB2312"/>
          <w:color w:val="auto"/>
          <w:sz w:val="32"/>
          <w:szCs w:val="32"/>
          <w:highlight w:val="none"/>
          <w:lang w:eastAsia="zh-CN"/>
        </w:rPr>
        <w:t>松潘县生态环境局</w:t>
      </w:r>
      <w:bookmarkEnd w:id="18"/>
      <w:bookmarkEnd w:id="19"/>
      <w:bookmarkEnd w:id="20"/>
      <w:bookmarkEnd w:id="21"/>
    </w:p>
    <w:p w14:paraId="17344CDC">
      <w:pPr>
        <w:pStyle w:val="6"/>
        <w:adjustRightInd w:val="0"/>
        <w:snapToGrid w:val="0"/>
        <w:spacing w:before="93"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2.</w:t>
      </w:r>
      <w:r>
        <w:rPr>
          <w:rFonts w:hint="eastAsia" w:ascii="Times New Roman" w:cs="仿宋_GB2312"/>
          <w:color w:val="auto"/>
          <w:sz w:val="32"/>
          <w:szCs w:val="32"/>
          <w:highlight w:val="none"/>
          <w:lang w:eastAsia="zh-CN"/>
        </w:rPr>
        <w:t>松潘县环境监测站</w:t>
      </w:r>
    </w:p>
    <w:p w14:paraId="120D74B9">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7C8174CB">
      <w:pPr>
        <w:pStyle w:val="3"/>
        <w:jc w:val="center"/>
        <w:rPr>
          <w:rFonts w:hint="eastAsia" w:ascii="Times New Roman" w:hAnsi="Times New Roman" w:eastAsia="方正小标宋简体" w:cs="方正小标宋简体"/>
          <w:b w:val="0"/>
          <w:color w:val="auto"/>
          <w:highlight w:val="none"/>
        </w:rPr>
      </w:pPr>
      <w:bookmarkStart w:id="22" w:name="_Toc15396602"/>
      <w:bookmarkStart w:id="23"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2"/>
      <w:bookmarkEnd w:id="23"/>
    </w:p>
    <w:p w14:paraId="5F882446">
      <w:pPr>
        <w:rPr>
          <w:rFonts w:ascii="Times New Roman" w:hAnsi="Times New Roman"/>
          <w:color w:val="auto"/>
          <w:highlight w:val="none"/>
        </w:rPr>
      </w:pPr>
    </w:p>
    <w:p w14:paraId="2CC2B79F">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4" w:name="_Toc15396603"/>
      <w:bookmarkStart w:id="25"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24"/>
      <w:bookmarkEnd w:id="25"/>
    </w:p>
    <w:p w14:paraId="43FDD503">
      <w:pPr>
        <w:snapToGrid w:val="0"/>
        <w:spacing w:line="520" w:lineRule="exact"/>
        <w:ind w:firstLine="640" w:firstLineChars="200"/>
        <w:rPr>
          <w:rFonts w:hint="eastAsia" w:ascii="仿宋" w:hAnsi="仿宋" w:eastAsia="仿宋" w:cs="仿宋"/>
          <w:color w:val="auto"/>
          <w:sz w:val="32"/>
          <w:szCs w:val="32"/>
          <w:highlight w:val="none"/>
        </w:rPr>
      </w:pPr>
      <w:r>
        <w:rPr>
          <w:rFonts w:hint="eastAsia" w:ascii="仿宋_GB2312" w:hAnsi="仿宋" w:eastAsia="仿宋_GB2312"/>
          <w:color w:val="auto"/>
          <w:sz w:val="32"/>
          <w:szCs w:val="32"/>
          <w:highlight w:val="none"/>
          <w:lang w:eastAsia="zh-CN"/>
        </w:rPr>
        <w:t>202</w:t>
      </w:r>
      <w:r>
        <w:rPr>
          <w:rFonts w:hint="eastAsia" w:ascii="仿宋_GB2312" w:hAnsi="仿宋" w:eastAsia="仿宋_GB2312"/>
          <w:color w:val="auto"/>
          <w:sz w:val="32"/>
          <w:szCs w:val="32"/>
          <w:highlight w:val="none"/>
          <w:lang w:val="en-US" w:eastAsia="zh-CN"/>
        </w:rPr>
        <w:t>4</w:t>
      </w:r>
      <w:r>
        <w:rPr>
          <w:rFonts w:hint="eastAsia" w:ascii="仿宋_GB2312" w:hAnsi="仿宋" w:eastAsia="仿宋_GB2312"/>
          <w:color w:val="auto"/>
          <w:sz w:val="32"/>
          <w:szCs w:val="32"/>
          <w:highlight w:val="none"/>
          <w:lang w:eastAsia="zh-CN"/>
        </w:rPr>
        <w:t>年</w:t>
      </w:r>
      <w:r>
        <w:rPr>
          <w:rFonts w:hint="eastAsia" w:ascii="仿宋_GB2312" w:hAnsi="仿宋" w:eastAsia="仿宋_GB2312"/>
          <w:color w:val="auto"/>
          <w:sz w:val="32"/>
          <w:szCs w:val="32"/>
          <w:highlight w:val="none"/>
        </w:rPr>
        <w:t>收入</w:t>
      </w:r>
      <w:r>
        <w:rPr>
          <w:rFonts w:hint="eastAsia" w:ascii="仿宋_GB2312" w:hAnsi="仿宋" w:eastAsia="仿宋_GB2312"/>
          <w:color w:val="auto"/>
          <w:sz w:val="32"/>
          <w:szCs w:val="32"/>
          <w:highlight w:val="none"/>
          <w:lang w:val="en-US" w:eastAsia="zh-CN"/>
        </w:rPr>
        <w:t>合计</w:t>
      </w:r>
      <w:r>
        <w:rPr>
          <w:rFonts w:hint="eastAsia" w:ascii="仿宋" w:hAnsi="仿宋" w:eastAsia="仿宋"/>
          <w:color w:val="auto"/>
          <w:sz w:val="32"/>
          <w:szCs w:val="32"/>
          <w:highlight w:val="none"/>
          <w:lang w:val="en-US" w:eastAsia="zh-CN"/>
        </w:rPr>
        <w:t>544.83</w:t>
      </w:r>
      <w:r>
        <w:rPr>
          <w:rFonts w:hint="eastAsia" w:ascii="仿宋_GB2312" w:hAnsi="仿宋" w:eastAsia="仿宋_GB2312"/>
          <w:color w:val="auto"/>
          <w:sz w:val="32"/>
          <w:szCs w:val="32"/>
          <w:highlight w:val="none"/>
        </w:rPr>
        <w:t>万元，</w:t>
      </w:r>
      <w:r>
        <w:rPr>
          <w:rFonts w:hint="eastAsia" w:ascii="仿宋" w:hAnsi="仿宋" w:eastAsia="仿宋"/>
          <w:color w:val="auto"/>
          <w:sz w:val="32"/>
          <w:szCs w:val="32"/>
          <w:highlight w:val="none"/>
          <w:lang w:val="en-US" w:eastAsia="zh-CN"/>
        </w:rPr>
        <w:t>较2023年增加248.85万元</w:t>
      </w:r>
      <w:r>
        <w:rPr>
          <w:rFonts w:hint="eastAsia" w:ascii="仿宋_GB2312" w:hAnsi="仿宋" w:eastAsia="仿宋_GB2312"/>
          <w:color w:val="auto"/>
          <w:sz w:val="32"/>
          <w:szCs w:val="32"/>
          <w:highlight w:val="none"/>
        </w:rPr>
        <w:t>，</w:t>
      </w:r>
      <w:r>
        <w:rPr>
          <w:rFonts w:hint="eastAsia" w:ascii="仿宋" w:hAnsi="仿宋" w:eastAsia="仿宋"/>
          <w:color w:val="auto"/>
          <w:sz w:val="32"/>
          <w:szCs w:val="32"/>
          <w:highlight w:val="none"/>
          <w:lang w:val="en-US" w:eastAsia="zh-CN"/>
        </w:rPr>
        <w:t>上升84.07%</w:t>
      </w:r>
      <w:r>
        <w:rPr>
          <w:rFonts w:hint="eastAsia" w:ascii="仿宋_GB2312" w:hAnsi="仿宋" w:eastAsia="仿宋_GB2312"/>
          <w:color w:val="auto"/>
          <w:sz w:val="32"/>
          <w:szCs w:val="32"/>
          <w:highlight w:val="none"/>
        </w:rPr>
        <w:t>；支出</w:t>
      </w:r>
      <w:r>
        <w:rPr>
          <w:rFonts w:hint="eastAsia" w:ascii="仿宋_GB2312" w:hAnsi="仿宋" w:eastAsia="仿宋_GB2312"/>
          <w:color w:val="auto"/>
          <w:sz w:val="32"/>
          <w:szCs w:val="32"/>
          <w:highlight w:val="none"/>
          <w:lang w:val="en-US" w:eastAsia="zh-CN"/>
        </w:rPr>
        <w:t>合计</w:t>
      </w:r>
      <w:r>
        <w:rPr>
          <w:rFonts w:hint="eastAsia" w:ascii="仿宋" w:hAnsi="仿宋" w:eastAsia="仿宋"/>
          <w:color w:val="auto"/>
          <w:sz w:val="32"/>
          <w:szCs w:val="32"/>
          <w:highlight w:val="none"/>
          <w:lang w:val="en-US" w:eastAsia="zh-CN"/>
        </w:rPr>
        <w:t>382.68</w:t>
      </w:r>
      <w:r>
        <w:rPr>
          <w:rFonts w:hint="eastAsia" w:ascii="仿宋_GB2312" w:hAnsi="仿宋" w:eastAsia="仿宋_GB2312"/>
          <w:color w:val="auto"/>
          <w:sz w:val="32"/>
          <w:szCs w:val="32"/>
          <w:highlight w:val="none"/>
        </w:rPr>
        <w:t>万元，</w:t>
      </w:r>
      <w:r>
        <w:rPr>
          <w:rFonts w:hint="eastAsia" w:ascii="仿宋" w:hAnsi="仿宋" w:eastAsia="仿宋"/>
          <w:color w:val="auto"/>
          <w:sz w:val="32"/>
          <w:szCs w:val="32"/>
          <w:highlight w:val="none"/>
          <w:lang w:val="en-US" w:eastAsia="zh-CN"/>
        </w:rPr>
        <w:t>较2023年增加86.70万元</w:t>
      </w:r>
      <w:r>
        <w:rPr>
          <w:rFonts w:hint="eastAsia" w:ascii="仿宋_GB2312" w:hAnsi="仿宋" w:eastAsia="仿宋_GB2312"/>
          <w:color w:val="auto"/>
          <w:sz w:val="32"/>
          <w:szCs w:val="32"/>
          <w:highlight w:val="none"/>
        </w:rPr>
        <w:t>，</w:t>
      </w:r>
      <w:r>
        <w:rPr>
          <w:rFonts w:hint="eastAsia" w:ascii="仿宋" w:hAnsi="仿宋" w:eastAsia="仿宋"/>
          <w:color w:val="auto"/>
          <w:sz w:val="32"/>
          <w:szCs w:val="32"/>
          <w:highlight w:val="none"/>
          <w:lang w:val="en-US" w:eastAsia="zh-CN"/>
        </w:rPr>
        <w:t>上升29.29%</w:t>
      </w:r>
      <w:r>
        <w:rPr>
          <w:rFonts w:hint="eastAsia" w:ascii="仿宋_GB2312" w:hAnsi="仿宋" w:eastAsia="仿宋_GB2312"/>
          <w:color w:val="auto"/>
          <w:sz w:val="32"/>
          <w:szCs w:val="32"/>
          <w:highlight w:val="none"/>
        </w:rPr>
        <w:t>，主要原因是</w:t>
      </w:r>
      <w:r>
        <w:rPr>
          <w:rFonts w:hint="eastAsia" w:ascii="仿宋" w:hAnsi="仿宋" w:eastAsia="仿宋"/>
          <w:color w:val="auto"/>
          <w:sz w:val="32"/>
          <w:szCs w:val="32"/>
          <w:highlight w:val="none"/>
          <w:lang w:val="en-US" w:eastAsia="zh-CN"/>
        </w:rPr>
        <w:t>本年项目增加</w:t>
      </w:r>
      <w:r>
        <w:rPr>
          <w:rFonts w:hint="eastAsia" w:ascii="仿宋_GB2312" w:hAnsi="仿宋" w:eastAsia="仿宋_GB2312"/>
          <w:color w:val="auto"/>
          <w:sz w:val="32"/>
          <w:szCs w:val="32"/>
          <w:highlight w:val="none"/>
        </w:rPr>
        <w:t>。</w:t>
      </w:r>
    </w:p>
    <w:p w14:paraId="213A98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rPr>
          <w:color w:val="auto"/>
          <w:highlight w:val="none"/>
        </w:rPr>
        <w:drawing>
          <wp:inline distT="0" distB="0" distL="114300" distR="114300">
            <wp:extent cx="5759450" cy="3455670"/>
            <wp:effectExtent l="0" t="0" r="12700" b="11430"/>
            <wp:docPr id="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1"/>
                    <pic:cNvPicPr>
                      <a:picLocks noChangeAspect="1"/>
                    </pic:cNvPicPr>
                  </pic:nvPicPr>
                  <pic:blipFill>
                    <a:blip r:embed="rId8"/>
                    <a:stretch>
                      <a:fillRect/>
                    </a:stretch>
                  </pic:blipFill>
                  <pic:spPr>
                    <a:xfrm>
                      <a:off x="0" y="0"/>
                      <a:ext cx="5760000" cy="3456000"/>
                    </a:xfrm>
                    <a:prstGeom prst="rect">
                      <a:avLst/>
                    </a:prstGeom>
                  </pic:spPr>
                </pic:pic>
              </a:graphicData>
            </a:graphic>
          </wp:inline>
        </w:drawing>
      </w:r>
    </w:p>
    <w:p w14:paraId="10BEFB4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6" w:name="_Toc15396604"/>
      <w:bookmarkStart w:id="27" w:name="_Toc15377206"/>
      <w:r>
        <w:rPr>
          <w:rFonts w:hint="eastAsia" w:ascii="Times New Roman" w:hAnsi="Times New Roman" w:eastAsia="黑体"/>
          <w:color w:val="auto"/>
          <w:sz w:val="32"/>
          <w:szCs w:val="32"/>
          <w:highlight w:val="none"/>
          <w:lang w:eastAsia="zh-CN"/>
        </w:rPr>
        <w:t>二、收入决算情况说明</w:t>
      </w:r>
      <w:bookmarkEnd w:id="26"/>
      <w:bookmarkEnd w:id="27"/>
    </w:p>
    <w:p w14:paraId="77A35BD2">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color w:val="auto"/>
          <w:sz w:val="32"/>
          <w:szCs w:val="32"/>
        </w:rPr>
        <w:t>544.83万元，其中：一般公共预算财政拨款收入382.68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70.23</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color w:val="auto"/>
          <w:sz w:val="32"/>
          <w:szCs w:val="32"/>
        </w:rPr>
        <w:t>162.15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29.76</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5BB39482">
      <w:pPr>
        <w:ind w:firstLine="525" w:firstLineChars="250"/>
        <w:rPr>
          <w:rFonts w:hint="eastAsia" w:ascii="Times New Roman" w:hAnsi="Times New Roman" w:eastAsia="仿宋_GB2312" w:cs="仿宋_GB2312"/>
          <w:color w:val="auto"/>
          <w:sz w:val="32"/>
          <w:szCs w:val="32"/>
          <w:highlight w:val="none"/>
          <w:lang w:eastAsia="zh-CN"/>
        </w:rPr>
      </w:pPr>
      <w:r>
        <w:rPr>
          <w:color w:val="auto"/>
          <w:highlight w:val="none"/>
        </w:rPr>
        <w:drawing>
          <wp:inline distT="0" distB="0" distL="114300" distR="114300">
            <wp:extent cx="5759450" cy="3455670"/>
            <wp:effectExtent l="0" t="0" r="1270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760000" cy="3456000"/>
                    </a:xfrm>
                    <a:prstGeom prst="rect">
                      <a:avLst/>
                    </a:prstGeom>
                  </pic:spPr>
                </pic:pic>
              </a:graphicData>
            </a:graphic>
          </wp:inline>
        </w:drawing>
      </w:r>
    </w:p>
    <w:p w14:paraId="7A110356">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8" w:name="_Toc15377207"/>
      <w:bookmarkStart w:id="29"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8"/>
      <w:bookmarkEnd w:id="29"/>
    </w:p>
    <w:p w14:paraId="2A1D2F4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color w:val="auto"/>
          <w:sz w:val="32"/>
          <w:szCs w:val="32"/>
        </w:rPr>
        <w:t>382.68</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color w:val="auto"/>
          <w:sz w:val="32"/>
          <w:szCs w:val="32"/>
        </w:rPr>
        <w:t>303.54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79.31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color w:val="auto"/>
          <w:sz w:val="32"/>
          <w:szCs w:val="32"/>
        </w:rPr>
        <w:t>79.14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20.68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282660CA">
      <w:pPr>
        <w:ind w:firstLine="525" w:firstLineChars="250"/>
        <w:rPr>
          <w:rFonts w:hint="eastAsia" w:ascii="Times New Roman" w:hAnsi="Times New Roman" w:eastAsia="仿宋_GB2312" w:cs="仿宋_GB2312"/>
          <w:color w:val="auto"/>
          <w:sz w:val="32"/>
          <w:szCs w:val="32"/>
          <w:highlight w:val="none"/>
          <w:lang w:eastAsia="zh-CN"/>
        </w:rPr>
      </w:pPr>
      <w:r>
        <w:rPr>
          <w:color w:val="auto"/>
          <w:highlight w:val="none"/>
        </w:rPr>
        <w:drawing>
          <wp:inline distT="0" distB="0" distL="114300" distR="114300">
            <wp:extent cx="5759450" cy="3455670"/>
            <wp:effectExtent l="0" t="0" r="12700" b="11430"/>
            <wp:docPr id="1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Picture 1"/>
                    <pic:cNvPicPr>
                      <a:picLocks noChangeAspect="1"/>
                    </pic:cNvPicPr>
                  </pic:nvPicPr>
                  <pic:blipFill>
                    <a:blip r:embed="rId9"/>
                    <a:stretch>
                      <a:fillRect/>
                    </a:stretch>
                  </pic:blipFill>
                  <pic:spPr>
                    <a:xfrm>
                      <a:off x="0" y="0"/>
                      <a:ext cx="5760000" cy="3456000"/>
                    </a:xfrm>
                    <a:prstGeom prst="rect">
                      <a:avLst/>
                    </a:prstGeom>
                  </pic:spPr>
                </pic:pic>
              </a:graphicData>
            </a:graphic>
          </wp:inline>
        </w:drawing>
      </w:r>
    </w:p>
    <w:p w14:paraId="347D099B">
      <w:pPr>
        <w:spacing w:line="600" w:lineRule="exact"/>
        <w:ind w:firstLine="640" w:firstLineChars="200"/>
        <w:outlineLvl w:val="1"/>
        <w:rPr>
          <w:rStyle w:val="31"/>
          <w:rFonts w:ascii="Times New Roman" w:hAnsi="Times New Roman" w:eastAsia="黑体"/>
          <w:b w:val="0"/>
          <w:color w:val="auto"/>
          <w:highlight w:val="none"/>
        </w:rPr>
      </w:pPr>
      <w:bookmarkStart w:id="30" w:name="_Toc15377208"/>
      <w:bookmarkStart w:id="31" w:name="_Toc15396606"/>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30"/>
      <w:bookmarkEnd w:id="31"/>
    </w:p>
    <w:p w14:paraId="188AA1C1">
      <w:pPr>
        <w:spacing w:line="600" w:lineRule="exact"/>
        <w:ind w:firstLine="640"/>
        <w:rPr>
          <w:rFonts w:hint="eastAsia" w:ascii="仿宋" w:hAnsi="仿宋" w:eastAsia="仿宋"/>
          <w:color w:val="auto"/>
          <w:sz w:val="32"/>
          <w:szCs w:val="32"/>
          <w:highlight w:val="none"/>
          <w:lang w:val="en-US" w:eastAsia="zh-CN"/>
        </w:rPr>
      </w:pPr>
      <w:r>
        <w:rPr>
          <w:rFonts w:ascii="仿宋_GB2312" w:hAnsi="宋体" w:eastAsia="仿宋_GB2312" w:cs="宋体"/>
          <w:color w:val="auto"/>
          <w:sz w:val="32"/>
          <w:szCs w:val="32"/>
          <w:highlight w:val="none"/>
        </w:rPr>
        <w:t>20</w:t>
      </w:r>
      <w:r>
        <w:rPr>
          <w:rFonts w:hint="eastAsia" w:ascii="仿宋_GB2312" w:hAnsi="宋体" w:eastAsia="仿宋_GB2312" w:cs="宋体"/>
          <w:color w:val="auto"/>
          <w:sz w:val="32"/>
          <w:szCs w:val="32"/>
          <w:highlight w:val="none"/>
        </w:rPr>
        <w:t>2</w:t>
      </w:r>
      <w:r>
        <w:rPr>
          <w:rFonts w:hint="eastAsia" w:ascii="仿宋_GB2312" w:hAnsi="宋体" w:eastAsia="仿宋_GB2312" w:cs="宋体"/>
          <w:color w:val="auto"/>
          <w:sz w:val="32"/>
          <w:szCs w:val="32"/>
          <w:highlight w:val="none"/>
          <w:lang w:val="en-US" w:eastAsia="zh-CN"/>
        </w:rPr>
        <w:t>4</w:t>
      </w:r>
      <w:r>
        <w:rPr>
          <w:rFonts w:hint="eastAsia" w:ascii="仿宋_GB2312" w:hAnsi="宋体" w:eastAsia="仿宋_GB2312" w:cs="宋体"/>
          <w:color w:val="auto"/>
          <w:sz w:val="32"/>
          <w:szCs w:val="32"/>
          <w:highlight w:val="none"/>
        </w:rPr>
        <w:t>年年初各项收入预算为</w:t>
      </w:r>
      <w:r>
        <w:rPr>
          <w:rFonts w:hint="eastAsia" w:ascii="仿宋" w:hAnsi="仿宋" w:eastAsia="仿宋"/>
          <w:color w:val="auto"/>
          <w:sz w:val="32"/>
          <w:szCs w:val="32"/>
          <w:highlight w:val="none"/>
          <w:lang w:val="en-US" w:eastAsia="zh-CN"/>
        </w:rPr>
        <w:t>382.68</w:t>
      </w:r>
      <w:r>
        <w:rPr>
          <w:rFonts w:hint="eastAsia" w:ascii="仿宋_GB2312" w:hAnsi="宋体" w:eastAsia="仿宋_GB2312" w:cs="宋体"/>
          <w:color w:val="auto"/>
          <w:sz w:val="32"/>
          <w:szCs w:val="32"/>
          <w:highlight w:val="none"/>
        </w:rPr>
        <w:t>万元，</w:t>
      </w:r>
      <w:r>
        <w:rPr>
          <w:rFonts w:hint="eastAsia" w:ascii="仿宋" w:hAnsi="仿宋" w:eastAsia="仿宋"/>
          <w:color w:val="auto"/>
          <w:sz w:val="32"/>
          <w:szCs w:val="32"/>
          <w:highlight w:val="none"/>
          <w:lang w:val="en-US" w:eastAsia="zh-CN"/>
        </w:rPr>
        <w:t>较2023年增加92.81万元</w:t>
      </w:r>
      <w:r>
        <w:rPr>
          <w:rFonts w:hint="eastAsia" w:ascii="仿宋_GB2312" w:hAnsi="宋体" w:eastAsia="仿宋_GB2312" w:cs="宋体"/>
          <w:color w:val="auto"/>
          <w:sz w:val="32"/>
          <w:szCs w:val="32"/>
          <w:highlight w:val="none"/>
        </w:rPr>
        <w:t>，</w:t>
      </w:r>
      <w:r>
        <w:rPr>
          <w:rFonts w:hint="eastAsia" w:ascii="仿宋" w:hAnsi="仿宋" w:eastAsia="仿宋"/>
          <w:color w:val="auto"/>
          <w:sz w:val="32"/>
          <w:szCs w:val="32"/>
          <w:highlight w:val="none"/>
          <w:lang w:val="en-US" w:eastAsia="zh-CN"/>
        </w:rPr>
        <w:t>上升32.02%</w:t>
      </w:r>
      <w:r>
        <w:rPr>
          <w:rFonts w:hint="eastAsia" w:ascii="仿宋" w:hAnsi="仿宋" w:eastAsia="仿宋" w:cs="Times New Roman"/>
          <w:color w:val="auto"/>
          <w:kern w:val="2"/>
          <w:sz w:val="32"/>
          <w:szCs w:val="32"/>
          <w:highlight w:val="none"/>
          <w:lang w:val="en-US" w:eastAsia="zh-CN" w:bidi="ar-SA"/>
        </w:rPr>
        <w:t>;</w:t>
      </w:r>
      <w:r>
        <w:rPr>
          <w:rFonts w:hint="eastAsia" w:ascii="仿宋_GB2312" w:hAnsi="宋体" w:eastAsia="仿宋_GB2312" w:cs="宋体"/>
          <w:color w:val="auto"/>
          <w:sz w:val="32"/>
          <w:szCs w:val="32"/>
          <w:highlight w:val="none"/>
          <w:lang w:eastAsia="zh-CN"/>
        </w:rPr>
        <w:t>202</w:t>
      </w:r>
      <w:r>
        <w:rPr>
          <w:rFonts w:hint="eastAsia" w:ascii="仿宋_GB2312" w:hAnsi="宋体" w:eastAsia="仿宋_GB2312" w:cs="宋体"/>
          <w:color w:val="auto"/>
          <w:sz w:val="32"/>
          <w:szCs w:val="32"/>
          <w:highlight w:val="none"/>
          <w:lang w:val="en-US" w:eastAsia="zh-CN"/>
        </w:rPr>
        <w:t>4</w:t>
      </w:r>
      <w:r>
        <w:rPr>
          <w:rFonts w:hint="eastAsia" w:ascii="仿宋_GB2312" w:hAnsi="宋体" w:eastAsia="仿宋_GB2312" w:cs="宋体"/>
          <w:color w:val="auto"/>
          <w:sz w:val="32"/>
          <w:szCs w:val="32"/>
          <w:highlight w:val="none"/>
          <w:lang w:eastAsia="zh-CN"/>
        </w:rPr>
        <w:t>年</w:t>
      </w:r>
      <w:r>
        <w:rPr>
          <w:rFonts w:hint="eastAsia" w:ascii="仿宋_GB2312" w:hAnsi="宋体" w:eastAsia="仿宋_GB2312" w:cs="宋体"/>
          <w:color w:val="auto"/>
          <w:sz w:val="32"/>
          <w:szCs w:val="32"/>
          <w:highlight w:val="none"/>
        </w:rPr>
        <w:t>年初各项</w:t>
      </w:r>
      <w:r>
        <w:rPr>
          <w:rFonts w:hint="eastAsia" w:ascii="仿宋_GB2312" w:hAnsi="宋体" w:eastAsia="仿宋_GB2312" w:cs="宋体"/>
          <w:color w:val="auto"/>
          <w:sz w:val="32"/>
          <w:szCs w:val="32"/>
          <w:highlight w:val="none"/>
          <w:lang w:val="en-US" w:eastAsia="zh-CN"/>
        </w:rPr>
        <w:t>支出</w:t>
      </w:r>
      <w:r>
        <w:rPr>
          <w:rFonts w:hint="eastAsia" w:ascii="仿宋_GB2312" w:hAnsi="宋体" w:eastAsia="仿宋_GB2312" w:cs="宋体"/>
          <w:color w:val="auto"/>
          <w:sz w:val="32"/>
          <w:szCs w:val="32"/>
          <w:highlight w:val="none"/>
        </w:rPr>
        <w:t>预算为</w:t>
      </w:r>
      <w:r>
        <w:rPr>
          <w:rFonts w:hint="eastAsia" w:ascii="仿宋" w:hAnsi="仿宋" w:eastAsia="仿宋"/>
          <w:color w:val="auto"/>
          <w:sz w:val="32"/>
          <w:szCs w:val="32"/>
          <w:highlight w:val="none"/>
          <w:lang w:val="en-US" w:eastAsia="zh-CN"/>
        </w:rPr>
        <w:t>382.68</w:t>
      </w:r>
      <w:r>
        <w:rPr>
          <w:rFonts w:hint="eastAsia" w:ascii="仿宋_GB2312" w:hAnsi="宋体" w:eastAsia="仿宋_GB2312" w:cs="宋体"/>
          <w:color w:val="auto"/>
          <w:sz w:val="32"/>
          <w:szCs w:val="32"/>
          <w:highlight w:val="none"/>
        </w:rPr>
        <w:t>万元，</w:t>
      </w:r>
      <w:r>
        <w:rPr>
          <w:rFonts w:hint="eastAsia" w:ascii="仿宋" w:hAnsi="仿宋" w:eastAsia="仿宋"/>
          <w:color w:val="auto"/>
          <w:sz w:val="32"/>
          <w:szCs w:val="32"/>
          <w:highlight w:val="none"/>
          <w:lang w:val="en-US" w:eastAsia="zh-CN"/>
        </w:rPr>
        <w:t>较2023年增加92.81万元</w:t>
      </w:r>
      <w:r>
        <w:rPr>
          <w:rFonts w:hint="eastAsia" w:ascii="仿宋_GB2312" w:hAnsi="宋体" w:eastAsia="仿宋_GB2312" w:cs="宋体"/>
          <w:color w:val="auto"/>
          <w:sz w:val="32"/>
          <w:szCs w:val="32"/>
          <w:highlight w:val="none"/>
        </w:rPr>
        <w:t>，</w:t>
      </w:r>
      <w:r>
        <w:rPr>
          <w:rFonts w:hint="eastAsia" w:ascii="仿宋" w:hAnsi="仿宋" w:eastAsia="仿宋"/>
          <w:color w:val="auto"/>
          <w:sz w:val="32"/>
          <w:szCs w:val="32"/>
          <w:highlight w:val="none"/>
          <w:lang w:val="en-US" w:eastAsia="zh-CN"/>
        </w:rPr>
        <w:t>上升32.02%</w:t>
      </w:r>
      <w:r>
        <w:rPr>
          <w:rFonts w:hint="eastAsia" w:ascii="仿宋" w:hAnsi="仿宋" w:eastAsia="仿宋" w:cs="Times New Roman"/>
          <w:color w:val="auto"/>
          <w:kern w:val="2"/>
          <w:sz w:val="32"/>
          <w:szCs w:val="32"/>
          <w:highlight w:val="none"/>
          <w:lang w:val="en-US" w:eastAsia="zh-CN" w:bidi="ar-SA"/>
        </w:rPr>
        <w:t>。</w:t>
      </w:r>
      <w:r>
        <w:rPr>
          <w:rFonts w:hint="eastAsia" w:ascii="仿宋_GB2312" w:hAnsi="宋体" w:eastAsia="仿宋_GB2312" w:cs="宋体"/>
          <w:color w:val="auto"/>
          <w:sz w:val="32"/>
          <w:szCs w:val="32"/>
          <w:highlight w:val="none"/>
        </w:rPr>
        <w:t>主要原因是</w:t>
      </w:r>
      <w:r>
        <w:rPr>
          <w:rFonts w:hint="eastAsia" w:ascii="仿宋" w:hAnsi="仿宋" w:eastAsia="仿宋"/>
          <w:color w:val="auto"/>
          <w:sz w:val="32"/>
          <w:szCs w:val="32"/>
          <w:highlight w:val="none"/>
          <w:lang w:val="en-US" w:eastAsia="zh-CN"/>
        </w:rPr>
        <w:t>本年项目增加。</w:t>
      </w:r>
    </w:p>
    <w:p w14:paraId="126AB04D">
      <w:pPr>
        <w:pStyle w:val="6"/>
        <w:rPr>
          <w:rFonts w:hint="eastAsia"/>
          <w:color w:val="auto"/>
          <w:lang w:val="en-US" w:eastAsia="zh-CN"/>
        </w:rPr>
      </w:pPr>
      <w:r>
        <w:rPr>
          <w:color w:val="auto"/>
          <w:highlight w:val="none"/>
        </w:rPr>
        <w:drawing>
          <wp:inline distT="0" distB="0" distL="114300" distR="114300">
            <wp:extent cx="5759450" cy="3455670"/>
            <wp:effectExtent l="0" t="0" r="12700" b="1143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9"/>
                    <a:stretch>
                      <a:fillRect/>
                    </a:stretch>
                  </pic:blipFill>
                  <pic:spPr>
                    <a:xfrm>
                      <a:off x="0" y="0"/>
                      <a:ext cx="5760000" cy="3456000"/>
                    </a:xfrm>
                    <a:prstGeom prst="rect">
                      <a:avLst/>
                    </a:prstGeom>
                  </pic:spPr>
                </pic:pic>
              </a:graphicData>
            </a:graphic>
          </wp:inline>
        </w:drawing>
      </w:r>
    </w:p>
    <w:p w14:paraId="58E0B695">
      <w:pPr>
        <w:spacing w:line="600" w:lineRule="exact"/>
        <w:ind w:firstLine="640" w:firstLineChars="200"/>
        <w:outlineLvl w:val="1"/>
        <w:rPr>
          <w:rStyle w:val="31"/>
          <w:rFonts w:ascii="Times New Roman" w:hAnsi="Times New Roman" w:eastAsia="黑体"/>
          <w:b w:val="0"/>
          <w:color w:val="auto"/>
          <w:highlight w:val="none"/>
        </w:rPr>
      </w:pPr>
      <w:bookmarkStart w:id="32" w:name="_Toc15377209"/>
      <w:bookmarkStart w:id="33"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32"/>
      <w:bookmarkEnd w:id="33"/>
    </w:p>
    <w:p w14:paraId="0F8C153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4"/>
    </w:p>
    <w:p w14:paraId="6BA4B5C5">
      <w:pPr>
        <w:spacing w:line="600" w:lineRule="exact"/>
        <w:ind w:firstLine="640"/>
        <w:rPr>
          <w:rFonts w:hint="eastAsia" w:ascii="仿宋" w:hAnsi="仿宋" w:eastAsia="仿宋"/>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color w:val="auto"/>
          <w:sz w:val="32"/>
          <w:szCs w:val="32"/>
        </w:rPr>
        <w:t>382</w:t>
      </w:r>
      <w:r>
        <w:rPr>
          <w:rFonts w:hint="eastAsia" w:ascii="仿宋_GB2312" w:hAnsi="仿宋_GB2312" w:eastAsia="仿宋_GB2312" w:cs="仿宋_GB2312"/>
          <w:color w:val="auto"/>
          <w:sz w:val="32"/>
          <w:szCs w:val="32"/>
        </w:rPr>
        <w:t>.68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%。与2023年度相比，一般公共预算财政拨款支出增加92.81万元，增长32.02%。</w:t>
      </w:r>
      <w:r>
        <w:rPr>
          <w:rFonts w:hint="eastAsia" w:ascii="仿宋_GB2312" w:hAnsi="宋体" w:eastAsia="仿宋_GB2312" w:cs="宋体"/>
          <w:color w:val="auto"/>
          <w:sz w:val="32"/>
          <w:szCs w:val="32"/>
          <w:highlight w:val="none"/>
        </w:rPr>
        <w:t>主要原因是</w:t>
      </w:r>
      <w:r>
        <w:rPr>
          <w:rFonts w:hint="eastAsia" w:ascii="仿宋" w:hAnsi="仿宋" w:eastAsia="仿宋"/>
          <w:color w:val="auto"/>
          <w:sz w:val="32"/>
          <w:szCs w:val="32"/>
          <w:highlight w:val="none"/>
          <w:lang w:val="en-US" w:eastAsia="zh-CN"/>
        </w:rPr>
        <w:t>本年项目增加。</w:t>
      </w:r>
    </w:p>
    <w:p w14:paraId="3EF716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9137B1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5"/>
    </w:p>
    <w:p w14:paraId="1C7EFA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color w:val="auto"/>
          <w:sz w:val="32"/>
          <w:szCs w:val="32"/>
        </w:rPr>
        <w:t>382.68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default" w:ascii="仿宋_GB2312" w:hAnsi="仿宋" w:eastAsia="仿宋_GB2312"/>
          <w:color w:val="auto"/>
          <w:sz w:val="32"/>
          <w:szCs w:val="32"/>
          <w:highlight w:val="none"/>
          <w:lang w:val="en-US" w:eastAsia="zh-CN"/>
        </w:rPr>
        <w:t>社会保障和就业支出42.16万元，占11.02%；卫生健康支出16.58万元，占4.33%；节能环保支出300.21万元，占78.45%；住房保障支出23.72万元，占6.20%。</w:t>
      </w:r>
    </w:p>
    <w:p w14:paraId="77E57D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42F36B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4597B8E">
      <w:pPr>
        <w:pStyle w:val="6"/>
        <w:rPr>
          <w:rFonts w:hint="eastAsia"/>
          <w:color w:val="auto"/>
          <w:lang w:val="en-US" w:eastAsia="zh-CN"/>
        </w:rPr>
      </w:pPr>
      <w:r>
        <w:rPr>
          <w:color w:val="auto"/>
          <w:highlight w:val="none"/>
        </w:rPr>
        <w:drawing>
          <wp:inline distT="0" distB="0" distL="114300" distR="114300">
            <wp:extent cx="5759450" cy="5010785"/>
            <wp:effectExtent l="0" t="0" r="12700" b="18415"/>
            <wp:docPr id="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Picture 1"/>
                    <pic:cNvPicPr>
                      <a:picLocks noChangeAspect="1"/>
                    </pic:cNvPicPr>
                  </pic:nvPicPr>
                  <pic:blipFill>
                    <a:blip r:embed="rId10"/>
                    <a:stretch>
                      <a:fillRect/>
                    </a:stretch>
                  </pic:blipFill>
                  <pic:spPr>
                    <a:xfrm>
                      <a:off x="0" y="0"/>
                      <a:ext cx="5760000" cy="5010942"/>
                    </a:xfrm>
                    <a:prstGeom prst="rect">
                      <a:avLst/>
                    </a:prstGeom>
                  </pic:spPr>
                </pic:pic>
              </a:graphicData>
            </a:graphic>
          </wp:inline>
        </w:drawing>
      </w:r>
      <w:bookmarkStart w:id="78" w:name="_GoBack"/>
      <w:bookmarkEnd w:id="78"/>
    </w:p>
    <w:p w14:paraId="3A8717F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6"/>
    </w:p>
    <w:p w14:paraId="39970549">
      <w:pPr>
        <w:spacing w:line="600" w:lineRule="exact"/>
        <w:ind w:firstLine="640"/>
        <w:rPr>
          <w:rFonts w:ascii="仿宋" w:hAnsi="仿宋" w:eastAsia="仿宋"/>
          <w:color w:val="auto"/>
          <w:sz w:val="32"/>
          <w:szCs w:val="32"/>
        </w:rPr>
      </w:pPr>
      <w:bookmarkStart w:id="37" w:name="_Toc15377444"/>
      <w:bookmarkStart w:id="38" w:name="_Toc15378460"/>
      <w:bookmarkStart w:id="39" w:name="_Toc15377213"/>
      <w:r>
        <w:rPr>
          <w:rFonts w:hint="eastAsia"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年度一般公共预算支出决算数为749.75万元，完成预算100</w:t>
      </w:r>
      <w:r>
        <w:rPr>
          <w:rFonts w:ascii="仿宋" w:hAnsi="仿宋" w:eastAsia="仿宋"/>
          <w:color w:val="auto"/>
          <w:sz w:val="32"/>
          <w:szCs w:val="32"/>
        </w:rPr>
        <w:t>%</w:t>
      </w:r>
      <w:r>
        <w:rPr>
          <w:rFonts w:hint="eastAsia" w:ascii="仿宋" w:hAnsi="仿宋" w:eastAsia="仿宋"/>
          <w:color w:val="auto"/>
          <w:sz w:val="32"/>
          <w:szCs w:val="32"/>
        </w:rPr>
        <w:t>。其中：</w:t>
      </w:r>
      <w:bookmarkEnd w:id="37"/>
      <w:bookmarkEnd w:id="38"/>
      <w:bookmarkEnd w:id="39"/>
    </w:p>
    <w:p w14:paraId="1D4245B8">
      <w:pPr>
        <w:numPr>
          <w:ilvl w:val="0"/>
          <w:numId w:val="2"/>
        </w:numPr>
        <w:spacing w:line="600" w:lineRule="exact"/>
        <w:ind w:firstLine="640"/>
        <w:rPr>
          <w:rFonts w:hint="eastAsia" w:ascii="仿宋" w:hAnsi="仿宋" w:eastAsia="仿宋"/>
          <w:color w:val="auto"/>
          <w:sz w:val="32"/>
          <w:szCs w:val="32"/>
        </w:rPr>
      </w:pPr>
      <w:r>
        <w:rPr>
          <w:rFonts w:hint="eastAsia" w:ascii="仿宋" w:hAnsi="仿宋" w:eastAsia="仿宋"/>
          <w:color w:val="auto"/>
          <w:sz w:val="32"/>
          <w:szCs w:val="32"/>
        </w:rPr>
        <w:t>社会保障和就业支出（208）行政事业单位养老支出（20805）机关事业单位基本养老保险缴费支出（2080505）支出决算</w:t>
      </w:r>
      <w:r>
        <w:rPr>
          <w:rFonts w:hint="eastAsia" w:ascii="仿宋" w:hAnsi="仿宋" w:eastAsia="仿宋"/>
          <w:color w:val="auto"/>
          <w:sz w:val="32"/>
          <w:szCs w:val="32"/>
          <w:lang w:val="en-US" w:eastAsia="zh-CN"/>
        </w:rPr>
        <w:t>28.11</w:t>
      </w:r>
      <w:r>
        <w:rPr>
          <w:rFonts w:hint="eastAsia" w:ascii="仿宋" w:hAnsi="仿宋" w:eastAsia="仿宋"/>
          <w:color w:val="auto"/>
          <w:sz w:val="32"/>
          <w:szCs w:val="32"/>
        </w:rPr>
        <w:t>万元，完成预算100%。</w:t>
      </w:r>
      <w:r>
        <w:rPr>
          <w:rFonts w:hint="eastAsia" w:ascii="仿宋" w:hAnsi="仿宋" w:eastAsia="仿宋"/>
          <w:color w:val="auto"/>
          <w:sz w:val="32"/>
          <w:szCs w:val="32"/>
        </w:rPr>
        <w:cr/>
      </w:r>
      <w:r>
        <w:rPr>
          <w:rFonts w:hint="eastAsia" w:ascii="仿宋" w:hAnsi="仿宋" w:eastAsia="仿宋"/>
          <w:color w:val="auto"/>
          <w:sz w:val="32"/>
          <w:szCs w:val="32"/>
        </w:rPr>
        <w:t xml:space="preserve">    2.社会保障和就业支出（208）行政事业单位养老支出（20805）机关事业单位职业年金缴费支出（2080506）支出决算14</w:t>
      </w:r>
      <w:r>
        <w:rPr>
          <w:rFonts w:hint="eastAsia" w:ascii="仿宋" w:hAnsi="仿宋" w:eastAsia="仿宋"/>
          <w:color w:val="auto"/>
          <w:sz w:val="32"/>
          <w:szCs w:val="32"/>
          <w:lang w:val="en-US" w:eastAsia="zh-CN"/>
        </w:rPr>
        <w:t>.05</w:t>
      </w:r>
      <w:r>
        <w:rPr>
          <w:rFonts w:hint="eastAsia" w:ascii="仿宋" w:hAnsi="仿宋" w:eastAsia="仿宋"/>
          <w:color w:val="auto"/>
          <w:sz w:val="32"/>
          <w:szCs w:val="32"/>
        </w:rPr>
        <w:t>万元，完成预算100%。</w:t>
      </w:r>
      <w:r>
        <w:rPr>
          <w:rFonts w:hint="eastAsia" w:ascii="仿宋" w:hAnsi="仿宋" w:eastAsia="仿宋"/>
          <w:color w:val="auto"/>
          <w:sz w:val="32"/>
          <w:szCs w:val="32"/>
        </w:rPr>
        <w:cr/>
      </w:r>
      <w:r>
        <w:rPr>
          <w:rFonts w:hint="eastAsia" w:ascii="仿宋" w:hAnsi="仿宋" w:eastAsia="仿宋"/>
          <w:color w:val="auto"/>
          <w:sz w:val="32"/>
          <w:szCs w:val="32"/>
        </w:rPr>
        <w:t xml:space="preserve">    3.卫生健康支出（210）行政事业单位医疗（21011）行政单位医疗（2101101）支出决算</w:t>
      </w:r>
      <w:r>
        <w:rPr>
          <w:rFonts w:hint="eastAsia" w:ascii="仿宋" w:hAnsi="仿宋" w:eastAsia="仿宋"/>
          <w:color w:val="auto"/>
          <w:sz w:val="32"/>
          <w:szCs w:val="32"/>
          <w:lang w:val="en-US" w:eastAsia="zh-CN"/>
        </w:rPr>
        <w:t>13.58</w:t>
      </w:r>
      <w:r>
        <w:rPr>
          <w:rFonts w:hint="eastAsia" w:ascii="仿宋" w:hAnsi="仿宋" w:eastAsia="仿宋"/>
          <w:color w:val="auto"/>
          <w:sz w:val="32"/>
          <w:szCs w:val="32"/>
        </w:rPr>
        <w:t>万元，完成预算100%。</w:t>
      </w:r>
      <w:r>
        <w:rPr>
          <w:rFonts w:hint="eastAsia" w:ascii="仿宋" w:hAnsi="仿宋" w:eastAsia="仿宋"/>
          <w:color w:val="auto"/>
          <w:sz w:val="32"/>
          <w:szCs w:val="32"/>
        </w:rPr>
        <w:cr/>
      </w:r>
      <w:r>
        <w:rPr>
          <w:rFonts w:hint="eastAsia" w:ascii="仿宋" w:hAnsi="仿宋" w:eastAsia="仿宋"/>
          <w:color w:val="auto"/>
          <w:sz w:val="32"/>
          <w:szCs w:val="32"/>
        </w:rPr>
        <w:t xml:space="preserve">    4.卫生健康支出（210）行政事业单位医疗（21011）公务员医疗补助（2101103）支出决算</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万元，完成预算100%。</w:t>
      </w:r>
      <w:r>
        <w:rPr>
          <w:rFonts w:hint="eastAsia" w:ascii="仿宋" w:hAnsi="仿宋" w:eastAsia="仿宋"/>
          <w:color w:val="auto"/>
          <w:sz w:val="32"/>
          <w:szCs w:val="32"/>
        </w:rPr>
        <w:cr/>
      </w:r>
      <w:r>
        <w:rPr>
          <w:rFonts w:hint="eastAsia" w:ascii="仿宋" w:hAnsi="仿宋" w:eastAsia="仿宋"/>
          <w:color w:val="auto"/>
          <w:sz w:val="32"/>
          <w:szCs w:val="32"/>
        </w:rPr>
        <w:t xml:space="preserve">    5.节能环保支出（211）环境保护管理事务（21101）行政运行（2110101）支出决算</w:t>
      </w:r>
      <w:r>
        <w:rPr>
          <w:rFonts w:hint="eastAsia" w:ascii="仿宋" w:hAnsi="仿宋" w:eastAsia="仿宋"/>
          <w:color w:val="auto"/>
          <w:sz w:val="32"/>
          <w:szCs w:val="32"/>
          <w:lang w:val="en-US" w:eastAsia="zh-CN"/>
        </w:rPr>
        <w:t>221.07</w:t>
      </w:r>
      <w:r>
        <w:rPr>
          <w:rFonts w:hint="eastAsia" w:ascii="仿宋" w:hAnsi="仿宋" w:eastAsia="仿宋"/>
          <w:color w:val="auto"/>
          <w:sz w:val="32"/>
          <w:szCs w:val="32"/>
        </w:rPr>
        <w:t>万元，完成预算100%。</w:t>
      </w:r>
      <w:r>
        <w:rPr>
          <w:rFonts w:hint="eastAsia" w:ascii="仿宋" w:hAnsi="仿宋" w:eastAsia="仿宋"/>
          <w:color w:val="auto"/>
          <w:sz w:val="32"/>
          <w:szCs w:val="32"/>
        </w:rPr>
        <w:cr/>
      </w:r>
      <w:r>
        <w:rPr>
          <w:rFonts w:hint="eastAsia" w:ascii="仿宋" w:hAnsi="仿宋" w:eastAsia="仿宋"/>
          <w:color w:val="auto"/>
          <w:sz w:val="32"/>
          <w:szCs w:val="32"/>
        </w:rPr>
        <w:t xml:space="preserve">    6.节能环保支出（211）环境保护管理事务（21101）环境保护管理事务（2110199）支出决算</w:t>
      </w:r>
      <w:r>
        <w:rPr>
          <w:rFonts w:hint="eastAsia" w:ascii="仿宋" w:hAnsi="仿宋" w:eastAsia="仿宋"/>
          <w:color w:val="auto"/>
          <w:sz w:val="32"/>
          <w:szCs w:val="32"/>
          <w:lang w:val="en-US" w:eastAsia="zh-CN"/>
        </w:rPr>
        <w:t>18.14</w:t>
      </w:r>
      <w:r>
        <w:rPr>
          <w:rFonts w:hint="eastAsia" w:ascii="仿宋" w:hAnsi="仿宋" w:eastAsia="仿宋"/>
          <w:color w:val="auto"/>
          <w:sz w:val="32"/>
          <w:szCs w:val="32"/>
        </w:rPr>
        <w:t>万元，完成预算100%。</w:t>
      </w:r>
      <w:r>
        <w:rPr>
          <w:rFonts w:hint="eastAsia" w:ascii="仿宋" w:hAnsi="仿宋" w:eastAsia="仿宋"/>
          <w:color w:val="auto"/>
          <w:sz w:val="32"/>
          <w:szCs w:val="32"/>
        </w:rPr>
        <w:cr/>
      </w:r>
      <w:r>
        <w:rPr>
          <w:rFonts w:hint="eastAsia" w:ascii="仿宋" w:hAnsi="仿宋" w:eastAsia="仿宋"/>
          <w:color w:val="auto"/>
          <w:sz w:val="32"/>
          <w:szCs w:val="32"/>
        </w:rPr>
        <w:t xml:space="preserve">    7.节能环保支出（211）污染防治（211</w:t>
      </w:r>
      <w:r>
        <w:rPr>
          <w:rFonts w:hint="eastAsia" w:ascii="仿宋" w:hAnsi="仿宋" w:eastAsia="仿宋"/>
          <w:color w:val="auto"/>
          <w:sz w:val="32"/>
          <w:szCs w:val="32"/>
          <w:lang w:val="en-US" w:eastAsia="zh-CN"/>
        </w:rPr>
        <w:t>03</w:t>
      </w:r>
      <w:r>
        <w:rPr>
          <w:rFonts w:hint="eastAsia" w:ascii="仿宋" w:hAnsi="仿宋" w:eastAsia="仿宋"/>
          <w:color w:val="auto"/>
          <w:sz w:val="32"/>
          <w:szCs w:val="32"/>
        </w:rPr>
        <w:t>）大气（211</w:t>
      </w:r>
      <w:r>
        <w:rPr>
          <w:rFonts w:hint="eastAsia" w:ascii="仿宋" w:hAnsi="仿宋" w:eastAsia="仿宋"/>
          <w:color w:val="auto"/>
          <w:sz w:val="32"/>
          <w:szCs w:val="32"/>
          <w:lang w:val="en-US" w:eastAsia="zh-CN"/>
        </w:rPr>
        <w:t>0301</w:t>
      </w:r>
      <w:r>
        <w:rPr>
          <w:rFonts w:hint="eastAsia" w:ascii="仿宋" w:hAnsi="仿宋" w:eastAsia="仿宋"/>
          <w:color w:val="auto"/>
          <w:sz w:val="32"/>
          <w:szCs w:val="32"/>
        </w:rPr>
        <w:t>）支出决算</w:t>
      </w:r>
      <w:r>
        <w:rPr>
          <w:rFonts w:hint="eastAsia" w:ascii="仿宋" w:hAnsi="仿宋" w:eastAsia="仿宋"/>
          <w:color w:val="auto"/>
          <w:sz w:val="32"/>
          <w:szCs w:val="32"/>
          <w:lang w:val="en-US" w:eastAsia="zh-CN"/>
        </w:rPr>
        <w:t>61</w:t>
      </w:r>
      <w:r>
        <w:rPr>
          <w:rFonts w:hint="eastAsia" w:ascii="仿宋" w:hAnsi="仿宋" w:eastAsia="仿宋"/>
          <w:color w:val="auto"/>
          <w:sz w:val="32"/>
          <w:szCs w:val="32"/>
        </w:rPr>
        <w:t>万元，完成预算100%。</w:t>
      </w:r>
    </w:p>
    <w:p w14:paraId="33576048">
      <w:pPr>
        <w:numPr>
          <w:ilvl w:val="0"/>
          <w:numId w:val="3"/>
        </w:numPr>
        <w:spacing w:line="600" w:lineRule="exact"/>
        <w:ind w:firstLine="640"/>
        <w:rPr>
          <w:rFonts w:hint="eastAsia" w:ascii="仿宋" w:hAnsi="仿宋" w:eastAsia="仿宋" w:cs="Times New Roman"/>
          <w:color w:val="auto"/>
          <w:sz w:val="32"/>
          <w:szCs w:val="32"/>
        </w:rPr>
      </w:pPr>
      <w:r>
        <w:rPr>
          <w:rFonts w:hint="eastAsia" w:ascii="仿宋" w:hAnsi="仿宋" w:eastAsia="仿宋"/>
          <w:color w:val="auto"/>
          <w:sz w:val="32"/>
          <w:szCs w:val="32"/>
        </w:rPr>
        <w:t>住房保障支出（221）住房改革支出（22102）住房公积金（2210201）支出决算</w:t>
      </w:r>
      <w:r>
        <w:rPr>
          <w:rFonts w:hint="eastAsia" w:ascii="仿宋" w:hAnsi="仿宋" w:eastAsia="仿宋"/>
          <w:color w:val="auto"/>
          <w:sz w:val="32"/>
          <w:szCs w:val="32"/>
          <w:lang w:val="en-US" w:eastAsia="zh-CN"/>
        </w:rPr>
        <w:t>22.72</w:t>
      </w:r>
      <w:r>
        <w:rPr>
          <w:rFonts w:hint="eastAsia" w:ascii="仿宋" w:hAnsi="仿宋" w:eastAsia="仿宋"/>
          <w:color w:val="auto"/>
          <w:sz w:val="32"/>
          <w:szCs w:val="32"/>
        </w:rPr>
        <w:t>万元，完成预算100%。</w:t>
      </w:r>
    </w:p>
    <w:p w14:paraId="3E5860C8">
      <w:pPr>
        <w:numPr>
          <w:ilvl w:val="0"/>
          <w:numId w:val="3"/>
        </w:numPr>
        <w:spacing w:line="600" w:lineRule="exact"/>
        <w:ind w:firstLine="640"/>
        <w:rPr>
          <w:color w:val="auto"/>
        </w:rPr>
      </w:pPr>
      <w:r>
        <w:rPr>
          <w:rFonts w:hint="eastAsia" w:ascii="仿宋" w:hAnsi="仿宋" w:eastAsia="仿宋" w:cs="Times New Roman"/>
          <w:color w:val="auto"/>
          <w:sz w:val="32"/>
          <w:szCs w:val="32"/>
          <w:lang w:val="en-US" w:eastAsia="zh-CN"/>
        </w:rPr>
        <w:t>9</w:t>
      </w:r>
      <w:r>
        <w:rPr>
          <w:rFonts w:hint="eastAsia"/>
          <w:color w:val="auto"/>
          <w:lang w:val="en-US" w:eastAsia="zh-CN"/>
        </w:rPr>
        <w:t xml:space="preserve">. </w:t>
      </w:r>
      <w:r>
        <w:rPr>
          <w:rFonts w:hint="eastAsia" w:ascii="仿宋" w:hAnsi="仿宋" w:eastAsia="仿宋"/>
          <w:color w:val="auto"/>
          <w:sz w:val="32"/>
          <w:szCs w:val="32"/>
        </w:rPr>
        <w:t>住房保障支出（221）住房改革支出（22102）</w:t>
      </w:r>
      <w:r>
        <w:rPr>
          <w:rFonts w:hint="eastAsia" w:ascii="仿宋" w:hAnsi="仿宋" w:eastAsia="仿宋"/>
          <w:color w:val="auto"/>
          <w:sz w:val="32"/>
          <w:szCs w:val="32"/>
          <w:lang w:eastAsia="zh-CN"/>
        </w:rPr>
        <w:t>购房补贴</w:t>
      </w:r>
      <w:r>
        <w:rPr>
          <w:rFonts w:hint="eastAsia" w:ascii="仿宋" w:hAnsi="仿宋" w:eastAsia="仿宋"/>
          <w:color w:val="auto"/>
          <w:sz w:val="32"/>
          <w:szCs w:val="32"/>
        </w:rPr>
        <w:t>（2210201）支出决算</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万元，完成预算100%。</w:t>
      </w:r>
    </w:p>
    <w:p w14:paraId="0C6B262E">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0BECB97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68A585">
      <w:pPr>
        <w:tabs>
          <w:tab w:val="right" w:pos="8306"/>
        </w:tabs>
        <w:spacing w:line="600" w:lineRule="exact"/>
        <w:ind w:firstLine="640"/>
        <w:outlineLvl w:val="1"/>
        <w:rPr>
          <w:rStyle w:val="31"/>
          <w:rFonts w:ascii="Times New Roman" w:hAnsi="Times New Roman"/>
          <w:color w:val="auto"/>
          <w:highlight w:val="none"/>
        </w:rPr>
      </w:pPr>
      <w:bookmarkStart w:id="40" w:name="_Toc15396608"/>
      <w:bookmarkStart w:id="41"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40"/>
      <w:bookmarkEnd w:id="41"/>
      <w:r>
        <w:rPr>
          <w:rStyle w:val="31"/>
          <w:rFonts w:ascii="Times New Roman" w:hAnsi="Times New Roman" w:eastAsia="黑体"/>
          <w:b w:val="0"/>
          <w:color w:val="auto"/>
          <w:highlight w:val="none"/>
        </w:rPr>
        <w:tab/>
      </w:r>
    </w:p>
    <w:p w14:paraId="6961055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color w:val="auto"/>
          <w:sz w:val="32"/>
          <w:szCs w:val="32"/>
        </w:rPr>
        <w:t>303.54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075D632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color w:val="auto"/>
          <w:sz w:val="32"/>
          <w:szCs w:val="32"/>
        </w:rPr>
        <w:t>223.97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color w:val="auto"/>
          <w:sz w:val="32"/>
          <w:szCs w:val="32"/>
        </w:rPr>
        <w:t>79.57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5116EF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62EFB2A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794D3E4">
      <w:pPr>
        <w:spacing w:line="600" w:lineRule="exact"/>
        <w:ind w:firstLine="640"/>
        <w:outlineLvl w:val="1"/>
        <w:rPr>
          <w:rStyle w:val="31"/>
          <w:rFonts w:ascii="Times New Roman" w:hAnsi="Times New Roman" w:eastAsia="黑体"/>
          <w:b w:val="0"/>
          <w:color w:val="auto"/>
          <w:highlight w:val="none"/>
        </w:rPr>
      </w:pPr>
      <w:bookmarkStart w:id="42" w:name="_Toc15396609"/>
      <w:bookmarkStart w:id="43" w:name="_Toc15377215"/>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42"/>
      <w:bookmarkEnd w:id="43"/>
    </w:p>
    <w:p w14:paraId="4CEA221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4"/>
    </w:p>
    <w:p w14:paraId="0518F52C">
      <w:pPr>
        <w:snapToGrid w:val="0"/>
        <w:spacing w:line="520" w:lineRule="exact"/>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eastAsia="zh-CN"/>
        </w:rPr>
        <w:t>202</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lang w:eastAsia="zh-CN"/>
        </w:rPr>
        <w:t>年</w:t>
      </w:r>
      <w:r>
        <w:rPr>
          <w:rFonts w:hint="eastAsia" w:ascii="仿宋_GB2312" w:hAnsi="宋体" w:eastAsia="仿宋_GB2312"/>
          <w:color w:val="auto"/>
          <w:sz w:val="32"/>
          <w:szCs w:val="32"/>
          <w:highlight w:val="none"/>
        </w:rPr>
        <w:t>“三公”经费总预算</w:t>
      </w:r>
      <w:r>
        <w:rPr>
          <w:rFonts w:hint="eastAsia" w:ascii="仿宋" w:hAnsi="仿宋" w:eastAsia="仿宋"/>
          <w:color w:val="auto"/>
          <w:sz w:val="32"/>
          <w:szCs w:val="32"/>
          <w:highlight w:val="none"/>
          <w:lang w:val="en-US" w:eastAsia="zh-CN"/>
        </w:rPr>
        <w:t>12.19</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，实际总支出</w:t>
      </w:r>
      <w:r>
        <w:rPr>
          <w:rFonts w:hint="eastAsia" w:ascii="仿宋" w:hAnsi="仿宋" w:eastAsia="仿宋"/>
          <w:color w:val="auto"/>
          <w:sz w:val="32"/>
          <w:szCs w:val="32"/>
          <w:highlight w:val="none"/>
          <w:lang w:val="en-US" w:eastAsia="zh-CN"/>
        </w:rPr>
        <w:t>12.19</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，其中：</w:t>
      </w:r>
      <w:r>
        <w:rPr>
          <w:rFonts w:hint="eastAsia" w:ascii="仿宋_GB2312" w:eastAsia="仿宋_GB2312"/>
          <w:color w:val="auto"/>
          <w:sz w:val="32"/>
          <w:szCs w:val="32"/>
          <w:highlight w:val="none"/>
        </w:rPr>
        <w:t>①</w:t>
      </w:r>
      <w:r>
        <w:rPr>
          <w:rFonts w:hint="eastAsia" w:ascii="仿宋_GB2312" w:hAnsi="宋体" w:eastAsia="仿宋_GB2312"/>
          <w:color w:val="auto"/>
          <w:sz w:val="32"/>
          <w:szCs w:val="32"/>
          <w:highlight w:val="none"/>
        </w:rPr>
        <w:t>因公出国（境）费预算</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 w:hAnsi="仿宋" w:eastAsia="仿宋" w:cs="Times New Roman"/>
          <w:color w:val="auto"/>
          <w:kern w:val="2"/>
          <w:sz w:val="32"/>
          <w:szCs w:val="32"/>
          <w:highlight w:val="none"/>
          <w:lang w:val="en-US" w:eastAsia="zh-CN" w:bidi="ar-SA"/>
        </w:rPr>
        <w:t>，</w:t>
      </w:r>
      <w:r>
        <w:rPr>
          <w:rFonts w:hint="eastAsia" w:ascii="仿宋" w:hAnsi="仿宋" w:eastAsia="仿宋"/>
          <w:color w:val="auto"/>
          <w:sz w:val="32"/>
          <w:szCs w:val="32"/>
          <w:highlight w:val="none"/>
          <w:lang w:val="en-US" w:eastAsia="zh-CN"/>
        </w:rPr>
        <w:t>与上年持平</w:t>
      </w:r>
      <w:r>
        <w:rPr>
          <w:rFonts w:hint="eastAsia" w:ascii="仿宋_GB2312" w:hAnsi="宋体" w:eastAsia="仿宋_GB2312"/>
          <w:color w:val="auto"/>
          <w:sz w:val="32"/>
          <w:szCs w:val="32"/>
          <w:highlight w:val="none"/>
        </w:rPr>
        <w:t>；</w:t>
      </w:r>
      <w:r>
        <w:rPr>
          <w:rFonts w:hint="eastAsia" w:ascii="仿宋_GB2312" w:hAnsi="宋体" w:eastAsia="仿宋_GB2312" w:cs="宋体"/>
          <w:color w:val="auto"/>
          <w:sz w:val="32"/>
          <w:szCs w:val="32"/>
          <w:highlight w:val="none"/>
        </w:rPr>
        <w:t>②</w:t>
      </w:r>
      <w:r>
        <w:rPr>
          <w:rFonts w:hint="eastAsia" w:ascii="仿宋_GB2312" w:hAnsi="宋体" w:eastAsia="仿宋_GB2312"/>
          <w:color w:val="auto"/>
          <w:sz w:val="32"/>
          <w:szCs w:val="32"/>
          <w:highlight w:val="none"/>
          <w:lang w:eastAsia="zh-CN"/>
        </w:rPr>
        <w:t>单位公车保有量</w:t>
      </w:r>
      <w:r>
        <w:rPr>
          <w:rFonts w:hint="eastAsia" w:ascii="仿宋" w:hAnsi="仿宋" w:eastAsia="仿宋"/>
          <w:color w:val="auto"/>
          <w:sz w:val="32"/>
          <w:szCs w:val="32"/>
          <w:highlight w:val="none"/>
          <w:lang w:val="en-US" w:eastAsia="zh-CN"/>
        </w:rPr>
        <w:t>3</w:t>
      </w:r>
      <w:r>
        <w:rPr>
          <w:rFonts w:hint="eastAsia" w:ascii="仿宋_GB2312" w:hAnsi="宋体" w:eastAsia="仿宋_GB2312"/>
          <w:color w:val="auto"/>
          <w:sz w:val="32"/>
          <w:szCs w:val="32"/>
          <w:highlight w:val="none"/>
          <w:lang w:val="en-US" w:eastAsia="zh-CN"/>
        </w:rPr>
        <w:t>辆，公务</w:t>
      </w:r>
      <w:r>
        <w:rPr>
          <w:rFonts w:hint="eastAsia" w:ascii="仿宋_GB2312" w:hAnsi="宋体" w:eastAsia="仿宋_GB2312"/>
          <w:color w:val="auto"/>
          <w:sz w:val="32"/>
          <w:szCs w:val="32"/>
          <w:highlight w:val="none"/>
        </w:rPr>
        <w:t>用车公务用车购置及运行维护费预算</w:t>
      </w:r>
      <w:r>
        <w:rPr>
          <w:rFonts w:hint="eastAsia" w:ascii="仿宋" w:hAnsi="仿宋" w:eastAsia="仿宋"/>
          <w:color w:val="auto"/>
          <w:sz w:val="32"/>
          <w:szCs w:val="32"/>
          <w:highlight w:val="none"/>
          <w:lang w:val="en-US" w:eastAsia="zh-CN"/>
        </w:rPr>
        <w:t>11.51</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11.51</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较2023年增加0.07万元</w:t>
      </w:r>
      <w:r>
        <w:rPr>
          <w:rFonts w:hint="eastAsia" w:ascii="仿宋_GB2312" w:hAnsi="宋体" w:eastAsia="仿宋_GB2312"/>
          <w:color w:val="auto"/>
          <w:sz w:val="32"/>
          <w:szCs w:val="32"/>
          <w:highlight w:val="none"/>
        </w:rPr>
        <w:t>；</w:t>
      </w:r>
      <w:r>
        <w:rPr>
          <w:rFonts w:hint="eastAsia" w:ascii="仿宋_GB2312" w:hAnsi="宋体" w:eastAsia="仿宋_GB2312" w:cs="宋体"/>
          <w:color w:val="auto"/>
          <w:sz w:val="32"/>
          <w:szCs w:val="32"/>
          <w:highlight w:val="none"/>
        </w:rPr>
        <w:t>③</w:t>
      </w:r>
      <w:r>
        <w:rPr>
          <w:rFonts w:hint="eastAsia" w:ascii="仿宋_GB2312" w:hAnsi="宋体" w:eastAsia="仿宋_GB2312"/>
          <w:color w:val="auto"/>
          <w:sz w:val="32"/>
          <w:szCs w:val="32"/>
          <w:highlight w:val="none"/>
        </w:rPr>
        <w:t>公务接待费预算</w:t>
      </w:r>
      <w:r>
        <w:rPr>
          <w:rFonts w:hint="eastAsia" w:ascii="仿宋" w:hAnsi="仿宋" w:eastAsia="仿宋"/>
          <w:color w:val="auto"/>
          <w:sz w:val="32"/>
          <w:szCs w:val="32"/>
          <w:highlight w:val="none"/>
          <w:lang w:val="en-US" w:eastAsia="zh-CN"/>
        </w:rPr>
        <w:t>0.68</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0.68</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较2023年增加0.03万元</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202</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lang w:eastAsia="zh-CN"/>
        </w:rPr>
        <w:t>年</w:t>
      </w:r>
      <w:r>
        <w:rPr>
          <w:rFonts w:hint="eastAsia" w:ascii="仿宋_GB2312" w:hAnsi="宋体" w:eastAsia="仿宋_GB2312"/>
          <w:color w:val="auto"/>
          <w:sz w:val="32"/>
          <w:szCs w:val="32"/>
          <w:highlight w:val="none"/>
        </w:rPr>
        <w:t>本单位公务接待</w:t>
      </w:r>
      <w:r>
        <w:rPr>
          <w:rFonts w:hint="eastAsia" w:ascii="仿宋" w:hAnsi="仿宋" w:eastAsia="仿宋"/>
          <w:color w:val="auto"/>
          <w:sz w:val="32"/>
          <w:szCs w:val="32"/>
          <w:highlight w:val="none"/>
          <w:lang w:val="en-US" w:eastAsia="zh-CN"/>
        </w:rPr>
        <w:t>10</w:t>
      </w:r>
      <w:r>
        <w:rPr>
          <w:rFonts w:hint="eastAsia" w:ascii="仿宋_GB2312" w:hAnsi="宋体" w:eastAsia="仿宋_GB2312"/>
          <w:color w:val="auto"/>
          <w:sz w:val="32"/>
          <w:szCs w:val="32"/>
          <w:highlight w:val="none"/>
        </w:rPr>
        <w:t>批次，共计</w:t>
      </w:r>
      <w:r>
        <w:rPr>
          <w:rFonts w:hint="eastAsia" w:ascii="仿宋" w:hAnsi="仿宋" w:eastAsia="仿宋"/>
          <w:color w:val="auto"/>
          <w:sz w:val="32"/>
          <w:szCs w:val="32"/>
          <w:highlight w:val="none"/>
          <w:lang w:val="en-US" w:eastAsia="zh-CN"/>
        </w:rPr>
        <w:t>50</w:t>
      </w:r>
      <w:r>
        <w:rPr>
          <w:rFonts w:hint="eastAsia" w:ascii="仿宋_GB2312" w:hAnsi="宋体" w:eastAsia="仿宋_GB2312"/>
          <w:color w:val="auto"/>
          <w:sz w:val="32"/>
          <w:szCs w:val="32"/>
          <w:highlight w:val="none"/>
        </w:rPr>
        <w:t>人</w:t>
      </w:r>
      <w:r>
        <w:rPr>
          <w:rFonts w:hint="eastAsia" w:ascii="仿宋_GB2312" w:hAnsi="宋体" w:eastAsia="仿宋_GB2312"/>
          <w:color w:val="auto"/>
          <w:sz w:val="32"/>
          <w:szCs w:val="32"/>
          <w:highlight w:val="none"/>
          <w:lang w:val="en-US" w:eastAsia="zh-CN"/>
        </w:rPr>
        <w:t>次</w:t>
      </w:r>
      <w:r>
        <w:rPr>
          <w:rFonts w:hint="eastAsia" w:ascii="仿宋_GB2312" w:hAnsi="宋体" w:eastAsia="仿宋_GB2312"/>
          <w:color w:val="auto"/>
          <w:sz w:val="32"/>
          <w:szCs w:val="32"/>
          <w:highlight w:val="none"/>
          <w:lang w:eastAsia="zh-CN"/>
        </w:rPr>
        <w:t>。</w:t>
      </w:r>
    </w:p>
    <w:p w14:paraId="6DDD909D">
      <w:pPr>
        <w:pStyle w:val="6"/>
        <w:rPr>
          <w:rFonts w:hint="eastAsia"/>
          <w:color w:val="auto"/>
          <w:lang w:eastAsia="zh-CN"/>
        </w:rPr>
      </w:pPr>
    </w:p>
    <w:tbl>
      <w:tblPr>
        <w:tblStyle w:val="17"/>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392"/>
        <w:gridCol w:w="1423"/>
        <w:gridCol w:w="1239"/>
        <w:gridCol w:w="1269"/>
        <w:gridCol w:w="1187"/>
        <w:gridCol w:w="1044"/>
        <w:gridCol w:w="1191"/>
      </w:tblGrid>
      <w:tr w14:paraId="100A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40" w:type="dxa"/>
            <w:gridSpan w:val="8"/>
            <w:tcBorders>
              <w:top w:val="single" w:color="auto" w:sz="12" w:space="0"/>
              <w:left w:val="single" w:color="auto" w:sz="12" w:space="0"/>
              <w:bottom w:val="nil"/>
              <w:right w:val="single" w:color="auto" w:sz="12" w:space="0"/>
            </w:tcBorders>
            <w:vAlign w:val="top"/>
          </w:tcPr>
          <w:p w14:paraId="4758A0F1">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i w:val="0"/>
                <w:color w:val="auto"/>
                <w:kern w:val="0"/>
                <w:sz w:val="24"/>
                <w:szCs w:val="24"/>
                <w:highlight w:val="none"/>
                <w:u w:val="none"/>
                <w:lang w:val="en-US" w:eastAsia="zh-CN" w:bidi="ar"/>
              </w:rPr>
              <w:t>“三公”经费支出情况</w:t>
            </w:r>
          </w:p>
        </w:tc>
      </w:tr>
      <w:tr w14:paraId="3C49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0040" w:type="dxa"/>
            <w:gridSpan w:val="8"/>
            <w:tcBorders>
              <w:top w:val="nil"/>
              <w:left w:val="single" w:color="auto" w:sz="12" w:space="0"/>
              <w:bottom w:val="single" w:color="auto" w:sz="12" w:space="0"/>
              <w:right w:val="single" w:color="auto" w:sz="12" w:space="0"/>
            </w:tcBorders>
            <w:vAlign w:val="top"/>
          </w:tcPr>
          <w:p w14:paraId="3444E5E9">
            <w:pPr>
              <w:keepNext w:val="0"/>
              <w:keepLines w:val="0"/>
              <w:suppressLineNumbers w:val="0"/>
              <w:bidi w:val="0"/>
              <w:spacing w:before="0" w:beforeAutospacing="0" w:after="0" w:afterAutospacing="0"/>
              <w:ind w:left="0" w:right="0"/>
              <w:jc w:val="right"/>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单位：万元</w:t>
            </w:r>
          </w:p>
        </w:tc>
      </w:tr>
      <w:tr w14:paraId="7C03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295" w:type="dxa"/>
            <w:vMerge w:val="restart"/>
            <w:tcBorders>
              <w:top w:val="single" w:color="auto" w:sz="12" w:space="0"/>
              <w:left w:val="single" w:color="auto" w:sz="12" w:space="0"/>
              <w:right w:val="single" w:color="auto" w:sz="12" w:space="0"/>
            </w:tcBorders>
            <w:vAlign w:val="center"/>
          </w:tcPr>
          <w:p w14:paraId="3A07926F">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本年支出</w:t>
            </w:r>
          </w:p>
        </w:tc>
        <w:tc>
          <w:tcPr>
            <w:tcW w:w="1392" w:type="dxa"/>
            <w:vMerge w:val="restart"/>
            <w:tcBorders>
              <w:top w:val="single" w:color="auto" w:sz="12" w:space="0"/>
              <w:left w:val="single" w:color="auto" w:sz="12" w:space="0"/>
              <w:right w:val="single" w:color="auto" w:sz="12" w:space="0"/>
            </w:tcBorders>
            <w:vAlign w:val="center"/>
          </w:tcPr>
          <w:p w14:paraId="43223DCC">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比上年增减%</w:t>
            </w:r>
          </w:p>
        </w:tc>
        <w:tc>
          <w:tcPr>
            <w:tcW w:w="7353" w:type="dxa"/>
            <w:gridSpan w:val="6"/>
            <w:tcBorders>
              <w:top w:val="single" w:color="auto" w:sz="12" w:space="0"/>
              <w:left w:val="single" w:color="auto" w:sz="12" w:space="0"/>
              <w:bottom w:val="single" w:color="auto" w:sz="12" w:space="0"/>
              <w:right w:val="single" w:color="auto" w:sz="12" w:space="0"/>
            </w:tcBorders>
            <w:vAlign w:val="center"/>
          </w:tcPr>
          <w:p w14:paraId="0FE093FE">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其中：</w:t>
            </w:r>
          </w:p>
        </w:tc>
      </w:tr>
      <w:tr w14:paraId="42D2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295" w:type="dxa"/>
            <w:vMerge w:val="continue"/>
            <w:tcBorders>
              <w:left w:val="single" w:color="auto" w:sz="12" w:space="0"/>
              <w:bottom w:val="single" w:color="auto" w:sz="12" w:space="0"/>
              <w:right w:val="single" w:color="auto" w:sz="12" w:space="0"/>
            </w:tcBorders>
            <w:vAlign w:val="center"/>
          </w:tcPr>
          <w:p w14:paraId="46ADDE9F">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p>
        </w:tc>
        <w:tc>
          <w:tcPr>
            <w:tcW w:w="1392" w:type="dxa"/>
            <w:vMerge w:val="continue"/>
            <w:tcBorders>
              <w:left w:val="single" w:color="auto" w:sz="12" w:space="0"/>
              <w:bottom w:val="single" w:color="auto" w:sz="12" w:space="0"/>
              <w:right w:val="single" w:color="auto" w:sz="12" w:space="0"/>
            </w:tcBorders>
            <w:vAlign w:val="center"/>
          </w:tcPr>
          <w:p w14:paraId="5D28130B">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p>
        </w:tc>
        <w:tc>
          <w:tcPr>
            <w:tcW w:w="1423" w:type="dxa"/>
            <w:tcBorders>
              <w:top w:val="single" w:color="auto" w:sz="12" w:space="0"/>
              <w:left w:val="single" w:color="auto" w:sz="12" w:space="0"/>
              <w:bottom w:val="single" w:color="auto" w:sz="12" w:space="0"/>
              <w:right w:val="single" w:color="auto" w:sz="12" w:space="0"/>
            </w:tcBorders>
            <w:vAlign w:val="center"/>
          </w:tcPr>
          <w:p w14:paraId="333C7A0E">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公务用车购置及运行维护费</w:t>
            </w:r>
          </w:p>
        </w:tc>
        <w:tc>
          <w:tcPr>
            <w:tcW w:w="1239" w:type="dxa"/>
            <w:tcBorders>
              <w:top w:val="single" w:color="auto" w:sz="12" w:space="0"/>
              <w:left w:val="single" w:color="auto" w:sz="12" w:space="0"/>
              <w:bottom w:val="single" w:color="auto" w:sz="12" w:space="0"/>
              <w:right w:val="single" w:color="auto" w:sz="12" w:space="0"/>
            </w:tcBorders>
            <w:vAlign w:val="center"/>
          </w:tcPr>
          <w:p w14:paraId="53057308">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比上年增减%</w:t>
            </w:r>
          </w:p>
        </w:tc>
        <w:tc>
          <w:tcPr>
            <w:tcW w:w="1269" w:type="dxa"/>
            <w:tcBorders>
              <w:top w:val="single" w:color="auto" w:sz="12" w:space="0"/>
              <w:left w:val="single" w:color="auto" w:sz="12" w:space="0"/>
              <w:bottom w:val="single" w:color="auto" w:sz="12" w:space="0"/>
              <w:right w:val="single" w:color="auto" w:sz="12" w:space="0"/>
            </w:tcBorders>
            <w:vAlign w:val="center"/>
          </w:tcPr>
          <w:p w14:paraId="45045AD5">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公务接待费</w:t>
            </w:r>
          </w:p>
        </w:tc>
        <w:tc>
          <w:tcPr>
            <w:tcW w:w="1187" w:type="dxa"/>
            <w:tcBorders>
              <w:top w:val="single" w:color="auto" w:sz="12" w:space="0"/>
              <w:left w:val="single" w:color="auto" w:sz="12" w:space="0"/>
              <w:bottom w:val="single" w:color="auto" w:sz="12" w:space="0"/>
              <w:right w:val="single" w:color="auto" w:sz="12" w:space="0"/>
            </w:tcBorders>
            <w:vAlign w:val="center"/>
          </w:tcPr>
          <w:p w14:paraId="11961468">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比上年增减%</w:t>
            </w:r>
          </w:p>
        </w:tc>
        <w:tc>
          <w:tcPr>
            <w:tcW w:w="1044" w:type="dxa"/>
            <w:tcBorders>
              <w:top w:val="single" w:color="auto" w:sz="12" w:space="0"/>
              <w:left w:val="single" w:color="auto" w:sz="12" w:space="0"/>
              <w:bottom w:val="single" w:color="auto" w:sz="12" w:space="0"/>
              <w:right w:val="single" w:color="auto" w:sz="12" w:space="0"/>
            </w:tcBorders>
            <w:vAlign w:val="center"/>
          </w:tcPr>
          <w:p w14:paraId="3C1BC638">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因公出国（境）</w:t>
            </w:r>
          </w:p>
        </w:tc>
        <w:tc>
          <w:tcPr>
            <w:tcW w:w="1191" w:type="dxa"/>
            <w:tcBorders>
              <w:top w:val="single" w:color="auto" w:sz="12" w:space="0"/>
              <w:left w:val="single" w:color="auto" w:sz="12" w:space="0"/>
              <w:bottom w:val="single" w:color="auto" w:sz="12" w:space="0"/>
              <w:right w:val="single" w:color="auto" w:sz="12" w:space="0"/>
            </w:tcBorders>
            <w:vAlign w:val="center"/>
          </w:tcPr>
          <w:p w14:paraId="1220E00F">
            <w:pPr>
              <w:keepNext w:val="0"/>
              <w:keepLines w:val="0"/>
              <w:suppressLineNumbers w:val="0"/>
              <w:bidi w:val="0"/>
              <w:spacing w:before="0" w:beforeAutospacing="0" w:after="0" w:afterAutospacing="0"/>
              <w:ind w:left="0" w:right="0"/>
              <w:jc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比上年增减%</w:t>
            </w:r>
          </w:p>
        </w:tc>
      </w:tr>
      <w:tr w14:paraId="66F2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295" w:type="dxa"/>
            <w:tcBorders>
              <w:top w:val="single" w:color="auto" w:sz="12" w:space="0"/>
              <w:left w:val="single" w:color="auto" w:sz="12" w:space="0"/>
              <w:bottom w:val="single" w:color="auto" w:sz="12" w:space="0"/>
              <w:right w:val="single" w:color="auto" w:sz="12" w:space="0"/>
            </w:tcBorders>
            <w:vAlign w:val="center"/>
          </w:tcPr>
          <w:p w14:paraId="630B51A2">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lang w:val="en-US" w:eastAsia="zh-CN"/>
              </w:rPr>
              <w:t>12.19</w:t>
            </w:r>
          </w:p>
        </w:tc>
        <w:tc>
          <w:tcPr>
            <w:tcW w:w="1392" w:type="dxa"/>
            <w:tcBorders>
              <w:top w:val="single" w:color="auto" w:sz="12" w:space="0"/>
              <w:left w:val="single" w:color="auto" w:sz="12" w:space="0"/>
              <w:bottom w:val="single" w:color="auto" w:sz="12" w:space="0"/>
              <w:right w:val="single" w:color="auto" w:sz="12" w:space="0"/>
            </w:tcBorders>
            <w:vAlign w:val="center"/>
          </w:tcPr>
          <w:p w14:paraId="6DAB0F9C">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上升0.82%</w:t>
            </w:r>
          </w:p>
        </w:tc>
        <w:tc>
          <w:tcPr>
            <w:tcW w:w="1423" w:type="dxa"/>
            <w:tcBorders>
              <w:top w:val="single" w:color="auto" w:sz="12" w:space="0"/>
              <w:left w:val="single" w:color="auto" w:sz="12" w:space="0"/>
              <w:bottom w:val="single" w:color="auto" w:sz="12" w:space="0"/>
              <w:right w:val="single" w:color="auto" w:sz="12" w:space="0"/>
            </w:tcBorders>
            <w:vAlign w:val="center"/>
          </w:tcPr>
          <w:p w14:paraId="7493E57C">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11.51</w:t>
            </w:r>
          </w:p>
        </w:tc>
        <w:tc>
          <w:tcPr>
            <w:tcW w:w="1239" w:type="dxa"/>
            <w:tcBorders>
              <w:top w:val="single" w:color="auto" w:sz="12" w:space="0"/>
              <w:left w:val="single" w:color="auto" w:sz="12" w:space="0"/>
              <w:bottom w:val="single" w:color="auto" w:sz="12" w:space="0"/>
              <w:right w:val="single" w:color="auto" w:sz="12" w:space="0"/>
            </w:tcBorders>
            <w:vAlign w:val="center"/>
          </w:tcPr>
          <w:p w14:paraId="30087F5C">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上升0.62%</w:t>
            </w:r>
          </w:p>
        </w:tc>
        <w:tc>
          <w:tcPr>
            <w:tcW w:w="1269" w:type="dxa"/>
            <w:tcBorders>
              <w:top w:val="single" w:color="auto" w:sz="12" w:space="0"/>
              <w:left w:val="single" w:color="auto" w:sz="12" w:space="0"/>
              <w:bottom w:val="single" w:color="auto" w:sz="12" w:space="0"/>
              <w:right w:val="single" w:color="auto" w:sz="12" w:space="0"/>
            </w:tcBorders>
            <w:vAlign w:val="center"/>
          </w:tcPr>
          <w:p w14:paraId="65F2757D">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0.68</w:t>
            </w:r>
          </w:p>
        </w:tc>
        <w:tc>
          <w:tcPr>
            <w:tcW w:w="1187" w:type="dxa"/>
            <w:tcBorders>
              <w:top w:val="single" w:color="auto" w:sz="12" w:space="0"/>
              <w:left w:val="single" w:color="auto" w:sz="12" w:space="0"/>
              <w:bottom w:val="single" w:color="auto" w:sz="12" w:space="0"/>
              <w:right w:val="single" w:color="auto" w:sz="12" w:space="0"/>
            </w:tcBorders>
            <w:vAlign w:val="center"/>
          </w:tcPr>
          <w:p w14:paraId="5C0A4470">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上升4.33%</w:t>
            </w:r>
          </w:p>
        </w:tc>
        <w:tc>
          <w:tcPr>
            <w:tcW w:w="1044" w:type="dxa"/>
            <w:tcBorders>
              <w:top w:val="single" w:color="auto" w:sz="12" w:space="0"/>
              <w:left w:val="single" w:color="auto" w:sz="12" w:space="0"/>
              <w:bottom w:val="single" w:color="auto" w:sz="12" w:space="0"/>
              <w:right w:val="single" w:color="auto" w:sz="12" w:space="0"/>
            </w:tcBorders>
            <w:vAlign w:val="center"/>
          </w:tcPr>
          <w:p w14:paraId="1FDEEF75">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0.00</w:t>
            </w:r>
          </w:p>
        </w:tc>
        <w:tc>
          <w:tcPr>
            <w:tcW w:w="1191" w:type="dxa"/>
            <w:tcBorders>
              <w:top w:val="single" w:color="auto" w:sz="12" w:space="0"/>
              <w:left w:val="single" w:color="auto" w:sz="12" w:space="0"/>
              <w:bottom w:val="single" w:color="auto" w:sz="12" w:space="0"/>
              <w:right w:val="single" w:color="auto" w:sz="12" w:space="0"/>
            </w:tcBorders>
            <w:vAlign w:val="center"/>
          </w:tcPr>
          <w:p w14:paraId="75E06D91">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w:t>
            </w:r>
          </w:p>
        </w:tc>
      </w:tr>
    </w:tbl>
    <w:p w14:paraId="41ABFC5D">
      <w:pPr>
        <w:bidi w:val="0"/>
        <w:jc w:val="center"/>
        <w:rPr>
          <w:rFonts w:hint="eastAsia"/>
          <w:color w:val="auto"/>
          <w:highlight w:val="none"/>
        </w:rPr>
      </w:pPr>
    </w:p>
    <w:p w14:paraId="13365D61">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04588E5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5"/>
    </w:p>
    <w:p w14:paraId="71F35EF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color w:val="auto"/>
          <w:sz w:val="32"/>
          <w:szCs w:val="32"/>
        </w:rPr>
        <w:t>11.51</w:t>
      </w:r>
      <w:r>
        <w:rPr>
          <w:rFonts w:hint="eastAsia" w:ascii="仿宋_GB2312" w:hAnsi="仿宋_GB2312" w:eastAsia="仿宋_GB2312" w:cs="仿宋_GB2312"/>
          <w:color w:val="auto"/>
          <w:kern w:val="2"/>
          <w:sz w:val="32"/>
          <w:szCs w:val="32"/>
          <w:highlight w:val="none"/>
          <w:lang w:val="en-US" w:eastAsia="zh-CN" w:bidi="ar-SA"/>
        </w:rPr>
        <w:t>万元，占94.42%；公务接待费支出决算</w:t>
      </w:r>
      <w:r>
        <w:rPr>
          <w:rFonts w:hint="eastAsia" w:ascii="仿宋_GB2312" w:hAnsi="仿宋_GB2312" w:eastAsia="仿宋_GB2312" w:cs="仿宋_GB2312"/>
          <w:color w:val="auto"/>
          <w:sz w:val="32"/>
          <w:szCs w:val="32"/>
        </w:rPr>
        <w:t>0.68</w:t>
      </w:r>
      <w:r>
        <w:rPr>
          <w:rFonts w:hint="eastAsia" w:ascii="仿宋_GB2312" w:hAnsi="仿宋_GB2312" w:eastAsia="仿宋_GB2312" w:cs="仿宋_GB2312"/>
          <w:color w:val="auto"/>
          <w:kern w:val="2"/>
          <w:sz w:val="32"/>
          <w:szCs w:val="32"/>
          <w:highlight w:val="none"/>
          <w:lang w:val="en-US" w:eastAsia="zh-CN" w:bidi="ar-SA"/>
        </w:rPr>
        <w:t>万元，占50.58%。具体情况如下：</w:t>
      </w:r>
    </w:p>
    <w:p w14:paraId="0A002E1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38A5A0FF">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color w:val="auto"/>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p>
    <w:p w14:paraId="070268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11.51万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0.07</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color w:val="auto"/>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辆，截至2024年12月31日，单位共有公务用车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w:t>
      </w:r>
    </w:p>
    <w:p w14:paraId="2BC11B8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color w:val="auto"/>
          <w:sz w:val="32"/>
          <w:szCs w:val="32"/>
        </w:rPr>
        <w:t>11.51</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开展环境监测、保护</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611526E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0.68万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w:t>
      </w:r>
      <w:r>
        <w:rPr>
          <w:rFonts w:hint="eastAsia" w:eastAsia="仿宋_GB2312" w:cs="仿宋_GB2312"/>
          <w:color w:val="auto"/>
          <w:kern w:val="2"/>
          <w:sz w:val="32"/>
          <w:szCs w:val="32"/>
          <w:highlight w:val="none"/>
          <w:lang w:val="en-US" w:eastAsia="zh-CN" w:bidi="ar-SA"/>
        </w:rPr>
        <w:t>0.03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4.33</w:t>
      </w:r>
      <w:r>
        <w:rPr>
          <w:rFonts w:hint="eastAsia" w:ascii="Times New Roman" w:hAnsi="Times New Roman" w:eastAsia="仿宋_GB2312" w:cs="仿宋_GB2312"/>
          <w:color w:val="auto"/>
          <w:kern w:val="2"/>
          <w:sz w:val="32"/>
          <w:szCs w:val="32"/>
          <w:highlight w:val="none"/>
          <w:lang w:val="en-US" w:eastAsia="zh-CN" w:bidi="ar-SA"/>
        </w:rPr>
        <w:t>%。</w:t>
      </w:r>
    </w:p>
    <w:p w14:paraId="5A8643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color w:val="auto"/>
          <w:sz w:val="32"/>
          <w:szCs w:val="32"/>
        </w:rPr>
        <w:t>0.68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color w:val="auto"/>
          <w:sz w:val="32"/>
          <w:szCs w:val="32"/>
        </w:rPr>
        <w:t>50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0.68</w:t>
      </w:r>
      <w:r>
        <w:rPr>
          <w:rFonts w:hint="eastAsia" w:ascii="Times New Roman" w:hAnsi="Times New Roman" w:eastAsia="仿宋_GB2312" w:cs="仿宋_GB2312"/>
          <w:color w:val="auto"/>
          <w:kern w:val="2"/>
          <w:sz w:val="32"/>
          <w:szCs w:val="32"/>
          <w:highlight w:val="none"/>
          <w:lang w:val="en-US" w:eastAsia="zh-CN" w:bidi="ar-SA"/>
        </w:rPr>
        <w:t>万元。</w:t>
      </w:r>
    </w:p>
    <w:p w14:paraId="3455E18E">
      <w:pPr>
        <w:spacing w:line="600" w:lineRule="exact"/>
        <w:ind w:firstLine="640"/>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46" w:name="_Toc15377218"/>
      <w:bookmarkStart w:id="47" w:name="_Toc15396610"/>
      <w:r>
        <w:rPr>
          <w:rFonts w:hint="eastAsia" w:ascii="仿宋_GB2312" w:hAnsi="仿宋_GB2312" w:eastAsia="仿宋_GB2312" w:cs="仿宋_GB2312"/>
          <w:color w:val="auto"/>
          <w:kern w:val="2"/>
          <w:sz w:val="32"/>
          <w:szCs w:val="32"/>
          <w:highlight w:val="none"/>
          <w:lang w:val="en-US" w:eastAsia="zh-CN" w:bidi="ar-SA"/>
        </w:rPr>
        <w:t>。</w:t>
      </w:r>
    </w:p>
    <w:p w14:paraId="59A2A938">
      <w:pPr>
        <w:spacing w:line="600" w:lineRule="exact"/>
        <w:ind w:firstLine="64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6"/>
      <w:bookmarkEnd w:id="47"/>
    </w:p>
    <w:p w14:paraId="7C5F6E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w:t>
      </w:r>
      <w:r>
        <w:rPr>
          <w:rFonts w:hint="eastAsia" w:eastAsia="仿宋_GB2312" w:cs="仿宋_GB2312"/>
          <w:color w:val="auto"/>
          <w:kern w:val="2"/>
          <w:sz w:val="32"/>
          <w:szCs w:val="32"/>
          <w:highlight w:val="none"/>
          <w:lang w:val="en-US" w:eastAsia="zh-CN" w:bidi="ar-SA"/>
        </w:rPr>
        <w:t>持平。</w:t>
      </w:r>
    </w:p>
    <w:p w14:paraId="5A7489EE">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48" w:name="_Toc15396611"/>
      <w:bookmarkStart w:id="49" w:name="_Toc15377219"/>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8"/>
      <w:bookmarkEnd w:id="49"/>
    </w:p>
    <w:p w14:paraId="75B3C4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w:t>
      </w:r>
      <w:r>
        <w:rPr>
          <w:rFonts w:hint="eastAsia" w:eastAsia="仿宋_GB2312" w:cs="仿宋_GB2312"/>
          <w:color w:val="auto"/>
          <w:kern w:val="2"/>
          <w:sz w:val="32"/>
          <w:szCs w:val="32"/>
          <w:highlight w:val="none"/>
          <w:lang w:val="en-US" w:eastAsia="zh-CN" w:bidi="ar-SA"/>
        </w:rPr>
        <w:t>持平。</w:t>
      </w:r>
    </w:p>
    <w:p w14:paraId="2F4DD606">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50" w:name="_Toc15396612"/>
      <w:bookmarkStart w:id="51"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50"/>
      <w:bookmarkEnd w:id="51"/>
    </w:p>
    <w:p w14:paraId="6C9336B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15377222"/>
      <w:r>
        <w:rPr>
          <w:rFonts w:hint="eastAsia" w:ascii="Times New Roman" w:hAnsi="Times New Roman" w:eastAsia="楷体_GB2312" w:cs="楷体_GB2312"/>
          <w:b/>
          <w:color w:val="auto"/>
          <w:sz w:val="32"/>
          <w:szCs w:val="32"/>
          <w:highlight w:val="none"/>
        </w:rPr>
        <w:t>（一）机关运行经费支出情况</w:t>
      </w:r>
      <w:bookmarkEnd w:id="52"/>
    </w:p>
    <w:p w14:paraId="19D354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rPr>
        <w:t>阿坝藏族羌族自治州松潘生态环境局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color w:val="auto"/>
          <w:sz w:val="32"/>
          <w:szCs w:val="32"/>
        </w:rPr>
        <w:t>79.57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w:t>
      </w:r>
    </w:p>
    <w:p w14:paraId="03C00EF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3" w:name="_Toc15377223"/>
      <w:r>
        <w:rPr>
          <w:rFonts w:hint="eastAsia" w:ascii="Times New Roman" w:hAnsi="Times New Roman" w:eastAsia="楷体_GB2312" w:cs="楷体_GB2312"/>
          <w:b/>
          <w:color w:val="auto"/>
          <w:sz w:val="32"/>
          <w:szCs w:val="32"/>
          <w:highlight w:val="none"/>
        </w:rPr>
        <w:t>（二）政府采购支出情况</w:t>
      </w:r>
      <w:bookmarkEnd w:id="53"/>
    </w:p>
    <w:p w14:paraId="5D9394A5">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sz w:val="32"/>
          <w:szCs w:val="32"/>
        </w:rPr>
        <w:t>阿坝藏族羌族自治州松潘生态环境局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314C35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8A9DCE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4" w:name="_Toc15377224"/>
      <w:r>
        <w:rPr>
          <w:rFonts w:hint="eastAsia" w:ascii="Times New Roman" w:hAnsi="Times New Roman" w:eastAsia="楷体_GB2312" w:cs="楷体_GB2312"/>
          <w:b/>
          <w:color w:val="auto"/>
          <w:sz w:val="32"/>
          <w:szCs w:val="32"/>
          <w:highlight w:val="none"/>
        </w:rPr>
        <w:t>（三）国有资产占有使用情况</w:t>
      </w:r>
      <w:bookmarkEnd w:id="54"/>
    </w:p>
    <w:p w14:paraId="1B51A6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color w:val="auto"/>
          <w:sz w:val="32"/>
          <w:szCs w:val="32"/>
        </w:rPr>
        <w:t>阿坝藏族羌族自治州松潘生态环境局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162A285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058FA5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F542B1E">
      <w:pPr>
        <w:widowControl/>
        <w:adjustRightInd w:val="0"/>
        <w:snapToGrid w:val="0"/>
        <w:spacing w:line="576" w:lineRule="exact"/>
        <w:ind w:firstLine="420" w:firstLineChars="200"/>
        <w:contextualSpacing/>
        <w:jc w:val="left"/>
        <w:rPr>
          <w:rFonts w:ascii="仿宋" w:hAnsi="仿宋" w:eastAsia="仿宋"/>
          <w:color w:val="auto"/>
          <w:sz w:val="32"/>
          <w:szCs w:val="32"/>
        </w:rPr>
      </w:pPr>
      <w:r>
        <w:rPr>
          <w:rFonts w:hint="eastAsia"/>
          <w:color w:val="auto"/>
        </w:rPr>
        <w:t xml:space="preserve"> </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年我局</w:t>
      </w:r>
      <w:r>
        <w:rPr>
          <w:rFonts w:ascii="仿宋" w:hAnsi="仿宋" w:eastAsia="仿宋"/>
          <w:color w:val="auto"/>
          <w:sz w:val="32"/>
          <w:szCs w:val="32"/>
        </w:rPr>
        <w:t>通过建立健全预算绩效管理制度，加强绩效目标设定、绩效监控和绩效评价等环节的管理，不断提高预算绩效管理水平。</w:t>
      </w:r>
    </w:p>
    <w:p w14:paraId="28F9AE90">
      <w:pPr>
        <w:widowControl/>
        <w:adjustRightInd w:val="0"/>
        <w:snapToGrid w:val="0"/>
        <w:spacing w:line="576" w:lineRule="exact"/>
        <w:ind w:firstLine="640" w:firstLineChars="200"/>
        <w:contextualSpacing/>
        <w:jc w:val="lef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绩效目标设定情况</w:t>
      </w:r>
    </w:p>
    <w:p w14:paraId="548ECA4D">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仿宋" w:hAnsi="仿宋" w:eastAsia="仿宋"/>
          <w:color w:val="auto"/>
          <w:sz w:val="32"/>
          <w:szCs w:val="32"/>
        </w:rPr>
        <w:t> 明确绩效目标。在编制年度预算时，结合单位的工作任务和发展规划，对各个项目和部门设定了明确的绩效目标。这些目标涵盖了经济效益、社会效益、生态效益等多个方面，确保财政资金的使用能够实现预期的效果。量化绩效指标。为了便于绩效监控和评价，对绩效目标进行了量化分解，制定了具体的绩效指标。严格审核绩效目标。在预算编制过程中，组织专家对绩效目标进行审核，确保绩效目标的合理性和可行性。对于不符合要求的绩效目标，要求相关部门进行调整和完善。</w:t>
      </w:r>
    </w:p>
    <w:p w14:paraId="706F7F5F">
      <w:pPr>
        <w:widowControl/>
        <w:adjustRightInd w:val="0"/>
        <w:snapToGrid w:val="0"/>
        <w:spacing w:line="576" w:lineRule="exact"/>
        <w:ind w:firstLine="640" w:firstLineChars="200"/>
        <w:contextualSpacing/>
        <w:jc w:val="lef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绩效监控执行情况</w:t>
      </w:r>
    </w:p>
    <w:p w14:paraId="4DB621C0">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Times New Roman" w:hAnsi="Times New Roman" w:eastAsia="仿宋_GB2312" w:cs="Times New Roman"/>
          <w:color w:val="auto"/>
          <w:sz w:val="32"/>
          <w:szCs w:val="32"/>
        </w:rPr>
        <w:t> </w:t>
      </w:r>
      <w:r>
        <w:rPr>
          <w:rFonts w:ascii="仿宋" w:hAnsi="仿宋" w:eastAsia="仿宋"/>
          <w:color w:val="auto"/>
          <w:sz w:val="32"/>
          <w:szCs w:val="32"/>
        </w:rPr>
        <w:t>建立绩效监控机制。制定了绩效监控管理制度，明确了绩效监控的职责分工、监控内容和监控方法。通过定期采集绩效数据，对项目和部门的绩效目标实现情况进行跟踪监控，及时发现问题并采取措施加以解决。</w:t>
      </w:r>
    </w:p>
    <w:p w14:paraId="266C8B17">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仿宋" w:hAnsi="仿宋" w:eastAsia="仿宋"/>
          <w:color w:val="auto"/>
          <w:sz w:val="32"/>
          <w:szCs w:val="32"/>
        </w:rPr>
        <w:t>加强绩效监控力度。在预算执行过程中，加大对重点项目和关键环节的绩效监控力度。对于重大项目，实行专人负责、定期汇报制度，确保项目按计划顺利推进。同时，加强对资金使用情况的监控，防止资金挪用和浪费。</w:t>
      </w:r>
    </w:p>
    <w:p w14:paraId="24B3B393">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仿宋" w:hAnsi="仿宋" w:eastAsia="仿宋"/>
          <w:color w:val="auto"/>
          <w:sz w:val="32"/>
          <w:szCs w:val="32"/>
        </w:rPr>
        <w:t>及时调整绩效目标。根据绩效监控情况，对绩效目标进行适时调整。对于因客观原因无法实现的绩效目标，及时进行调整或取消；对于需要增加投入才能实现的绩效目标，及时申请调整预算。</w:t>
      </w:r>
    </w:p>
    <w:p w14:paraId="37992EA5">
      <w:pPr>
        <w:widowControl/>
        <w:adjustRightInd w:val="0"/>
        <w:snapToGrid w:val="0"/>
        <w:spacing w:line="576" w:lineRule="exact"/>
        <w:ind w:firstLine="640" w:firstLineChars="200"/>
        <w:contextualSpacing/>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3、</w:t>
      </w:r>
      <w:r>
        <w:rPr>
          <w:rFonts w:ascii="Times New Roman" w:hAnsi="Times New Roman" w:eastAsia="仿宋_GB2312" w:cs="Times New Roman"/>
          <w:color w:val="auto"/>
          <w:sz w:val="32"/>
          <w:szCs w:val="32"/>
        </w:rPr>
        <w:t>绩效评价结果</w:t>
      </w:r>
    </w:p>
    <w:p w14:paraId="1CE924B6">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仿宋" w:hAnsi="仿宋" w:eastAsia="仿宋"/>
          <w:color w:val="auto"/>
          <w:sz w:val="32"/>
          <w:szCs w:val="32"/>
        </w:rPr>
        <w:t>开展绩效评价工作。在年度决算后，组织开展了绩效评价工作。通过收集绩效数据、问卷调查、实地调研等方式，对各个项目和部门的绩效目标实现情况进行了全面评价。</w:t>
      </w:r>
    </w:p>
    <w:p w14:paraId="1BC58836">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仿宋" w:hAnsi="仿宋" w:eastAsia="仿宋"/>
          <w:color w:val="auto"/>
          <w:sz w:val="32"/>
          <w:szCs w:val="32"/>
        </w:rPr>
        <w:t>评价结果客观公正。绩效评价工作严格按照规定的程序和方法进行，确保评价结果的客观公正。评价结果分为优秀、良好、合格和不合格四个等级，对于评价结果为优秀和良好的项目和部门给予表彰和奖励，对于评价结果为不合格的项目和部门要求进行整改。</w:t>
      </w:r>
    </w:p>
    <w:p w14:paraId="6A5AC4FA">
      <w:pPr>
        <w:widowControl/>
        <w:adjustRightInd w:val="0"/>
        <w:snapToGrid w:val="0"/>
        <w:spacing w:line="576" w:lineRule="exact"/>
        <w:ind w:firstLine="640" w:firstLineChars="200"/>
        <w:contextualSpacing/>
        <w:jc w:val="left"/>
        <w:rPr>
          <w:rFonts w:ascii="仿宋" w:hAnsi="仿宋" w:eastAsia="仿宋"/>
          <w:color w:val="auto"/>
          <w:sz w:val="32"/>
          <w:szCs w:val="32"/>
        </w:rPr>
      </w:pPr>
      <w:r>
        <w:rPr>
          <w:rFonts w:ascii="仿宋" w:hAnsi="仿宋" w:eastAsia="仿宋"/>
          <w:color w:val="auto"/>
          <w:sz w:val="32"/>
          <w:szCs w:val="32"/>
        </w:rPr>
        <w:t>应用评价结果。将绩效评价结果作为下一年度预算安排的重要依据，对于绩效评价结果优秀的项目和部门给予优先支持和保障，对于绩效评价结果不合格的项目和部门减少或取消预算安排。同时，将绩效评价结果向社会公开，接受社会监督。</w:t>
      </w:r>
    </w:p>
    <w:p w14:paraId="19A37A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3ABC6B1">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5" w:name="_Toc15377225"/>
      <w:bookmarkStart w:id="56"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5"/>
      <w:bookmarkEnd w:id="56"/>
    </w:p>
    <w:p w14:paraId="35E40690">
      <w:pPr>
        <w:spacing w:line="600" w:lineRule="exact"/>
        <w:jc w:val="left"/>
        <w:rPr>
          <w:rFonts w:ascii="Times New Roman" w:hAnsi="Times New Roman"/>
          <w:b/>
          <w:color w:val="auto"/>
          <w:sz w:val="44"/>
          <w:szCs w:val="44"/>
          <w:highlight w:val="none"/>
        </w:rPr>
      </w:pPr>
    </w:p>
    <w:p w14:paraId="24AF1250">
      <w:pPr>
        <w:pStyle w:val="3"/>
        <w:jc w:val="center"/>
        <w:rPr>
          <w:rFonts w:ascii="黑体" w:hAnsi="黑体" w:eastAsia="黑体" w:cs="黑体"/>
          <w:color w:val="auto"/>
        </w:rPr>
      </w:pPr>
      <w:bookmarkStart w:id="57" w:name="_Toc2773"/>
      <w:bookmarkStart w:id="58" w:name="_Toc8049"/>
      <w:bookmarkStart w:id="59" w:name="_Toc12928"/>
      <w:bookmarkStart w:id="60" w:name="_Toc16463"/>
      <w:bookmarkStart w:id="61" w:name="_Toc111208509"/>
      <w:bookmarkStart w:id="62" w:name="_Toc15396614"/>
      <w:bookmarkStart w:id="63" w:name="_Toc15377226"/>
      <w:r>
        <w:rPr>
          <w:rFonts w:hint="eastAsia" w:ascii="黑体" w:hAnsi="黑体" w:eastAsia="黑体" w:cs="黑体"/>
          <w:color w:val="auto"/>
        </w:rPr>
        <w:t>第三部分 名词解释</w:t>
      </w:r>
      <w:bookmarkEnd w:id="57"/>
      <w:bookmarkEnd w:id="58"/>
      <w:bookmarkEnd w:id="59"/>
      <w:bookmarkEnd w:id="60"/>
      <w:bookmarkEnd w:id="61"/>
    </w:p>
    <w:p w14:paraId="1BB9E886">
      <w:pPr>
        <w:spacing w:line="600" w:lineRule="exact"/>
        <w:ind w:firstLine="640"/>
        <w:rPr>
          <w:rFonts w:ascii="仿宋" w:hAnsi="仿宋" w:eastAsia="仿宋"/>
          <w:color w:val="auto"/>
          <w:sz w:val="32"/>
          <w:szCs w:val="32"/>
        </w:rPr>
      </w:pPr>
      <w:r>
        <w:rPr>
          <w:rFonts w:ascii="仿宋" w:hAnsi="仿宋" w:eastAsia="仿宋"/>
          <w:color w:val="auto"/>
          <w:sz w:val="32"/>
          <w:szCs w:val="32"/>
        </w:rPr>
        <w:t>1.</w:t>
      </w:r>
      <w:r>
        <w:rPr>
          <w:rFonts w:hint="eastAsia" w:ascii="仿宋" w:hAnsi="仿宋" w:eastAsia="仿宋"/>
          <w:color w:val="auto"/>
          <w:sz w:val="32"/>
          <w:szCs w:val="32"/>
        </w:rPr>
        <w:t>财政拨款收入：指单位从同级财政部门取得的财政预算资金。</w:t>
      </w:r>
    </w:p>
    <w:p w14:paraId="71D182A7">
      <w:pPr>
        <w:spacing w:line="600" w:lineRule="exact"/>
        <w:ind w:firstLine="640"/>
        <w:rPr>
          <w:rFonts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事业收入：指事业单位开展专业业务活动及辅助活动取得的收入。</w:t>
      </w:r>
    </w:p>
    <w:p w14:paraId="6D83A389">
      <w:pPr>
        <w:spacing w:line="600" w:lineRule="exact"/>
        <w:ind w:firstLine="640"/>
        <w:rPr>
          <w:rFonts w:ascii="仿宋" w:hAnsi="仿宋" w:eastAsia="仿宋"/>
          <w:color w:val="auto"/>
          <w:sz w:val="32"/>
          <w:szCs w:val="32"/>
        </w:rPr>
      </w:pPr>
      <w:r>
        <w:rPr>
          <w:rFonts w:ascii="仿宋" w:hAnsi="仿宋" w:eastAsia="仿宋"/>
          <w:color w:val="auto"/>
          <w:sz w:val="32"/>
          <w:szCs w:val="32"/>
        </w:rPr>
        <w:t>3.</w:t>
      </w:r>
      <w:r>
        <w:rPr>
          <w:rFonts w:hint="eastAsia" w:ascii="仿宋" w:hAnsi="仿宋" w:eastAsia="仿宋"/>
          <w:color w:val="auto"/>
          <w:sz w:val="32"/>
          <w:szCs w:val="32"/>
        </w:rPr>
        <w:t>经营收入：指事业单位在专业业务活动及其辅助活动之外开展非独立核算经营活动取得的收入</w:t>
      </w:r>
    </w:p>
    <w:p w14:paraId="67F4F126">
      <w:pPr>
        <w:spacing w:line="600" w:lineRule="exact"/>
        <w:ind w:firstLine="640"/>
        <w:rPr>
          <w:rFonts w:ascii="仿宋" w:hAnsi="仿宋" w:eastAsia="仿宋"/>
          <w:color w:val="auto"/>
          <w:sz w:val="32"/>
          <w:szCs w:val="32"/>
        </w:rPr>
      </w:pPr>
      <w:r>
        <w:rPr>
          <w:rFonts w:ascii="仿宋" w:hAnsi="仿宋" w:eastAsia="仿宋"/>
          <w:color w:val="auto"/>
          <w:sz w:val="32"/>
          <w:szCs w:val="32"/>
        </w:rPr>
        <w:t>4.</w:t>
      </w:r>
      <w:r>
        <w:rPr>
          <w:rFonts w:hint="eastAsia" w:ascii="仿宋" w:hAnsi="仿宋" w:eastAsia="仿宋"/>
          <w:color w:val="auto"/>
          <w:sz w:val="32"/>
          <w:szCs w:val="32"/>
        </w:rPr>
        <w:t>其他收入：指单位取得的除上述收入以外的各项收入。</w:t>
      </w:r>
    </w:p>
    <w:p w14:paraId="46DEFE6F">
      <w:pPr>
        <w:spacing w:line="600" w:lineRule="exact"/>
        <w:ind w:firstLine="640"/>
        <w:rPr>
          <w:rFonts w:ascii="仿宋" w:hAnsi="仿宋" w:eastAsia="仿宋"/>
          <w:color w:val="auto"/>
          <w:sz w:val="32"/>
          <w:szCs w:val="32"/>
        </w:rPr>
      </w:pPr>
      <w:r>
        <w:rPr>
          <w:rFonts w:ascii="仿宋" w:hAnsi="仿宋" w:eastAsia="仿宋"/>
          <w:color w:val="auto"/>
          <w:sz w:val="32"/>
          <w:szCs w:val="32"/>
        </w:rPr>
        <w:t>5.</w:t>
      </w:r>
      <w:r>
        <w:rPr>
          <w:rFonts w:hint="eastAsia" w:ascii="仿宋" w:hAnsi="仿宋" w:eastAsia="仿宋"/>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auto"/>
          <w:sz w:val="32"/>
          <w:szCs w:val="32"/>
        </w:rPr>
        <w:t xml:space="preserve"> </w:t>
      </w:r>
    </w:p>
    <w:p w14:paraId="338043AC">
      <w:pPr>
        <w:spacing w:line="600" w:lineRule="exact"/>
        <w:ind w:firstLine="640"/>
        <w:rPr>
          <w:rFonts w:ascii="仿宋" w:hAnsi="仿宋" w:eastAsia="仿宋"/>
          <w:color w:val="auto"/>
          <w:sz w:val="32"/>
          <w:szCs w:val="32"/>
        </w:rPr>
      </w:pPr>
      <w:r>
        <w:rPr>
          <w:rFonts w:ascii="仿宋" w:hAnsi="仿宋" w:eastAsia="仿宋"/>
          <w:color w:val="auto"/>
          <w:sz w:val="32"/>
          <w:szCs w:val="32"/>
        </w:rPr>
        <w:t>6.</w:t>
      </w:r>
      <w:r>
        <w:rPr>
          <w:rFonts w:hint="eastAsia" w:ascii="仿宋" w:hAnsi="仿宋" w:eastAsia="仿宋"/>
          <w:color w:val="auto"/>
          <w:sz w:val="32"/>
          <w:szCs w:val="32"/>
        </w:rPr>
        <w:t>年初结转和结余：指以前年度尚未完成、结转到本年按有关规定继续使用的资金。</w:t>
      </w:r>
      <w:r>
        <w:rPr>
          <w:rFonts w:ascii="仿宋" w:hAnsi="仿宋" w:eastAsia="仿宋"/>
          <w:color w:val="auto"/>
          <w:sz w:val="32"/>
          <w:szCs w:val="32"/>
        </w:rPr>
        <w:t xml:space="preserve"> </w:t>
      </w:r>
    </w:p>
    <w:p w14:paraId="61AA09FF">
      <w:pPr>
        <w:spacing w:line="600" w:lineRule="exact"/>
        <w:ind w:firstLine="640"/>
        <w:rPr>
          <w:rFonts w:ascii="仿宋" w:hAnsi="仿宋" w:eastAsia="仿宋"/>
          <w:color w:val="auto"/>
          <w:sz w:val="32"/>
          <w:szCs w:val="32"/>
        </w:rPr>
      </w:pPr>
      <w:r>
        <w:rPr>
          <w:rFonts w:ascii="仿宋" w:hAnsi="仿宋" w:eastAsia="仿宋"/>
          <w:color w:val="auto"/>
          <w:sz w:val="32"/>
          <w:szCs w:val="32"/>
        </w:rPr>
        <w:t>7.</w:t>
      </w:r>
      <w:r>
        <w:rPr>
          <w:rFonts w:hint="eastAsia" w:ascii="仿宋" w:hAnsi="仿宋" w:eastAsia="仿宋"/>
          <w:color w:val="auto"/>
          <w:sz w:val="32"/>
          <w:szCs w:val="32"/>
        </w:rPr>
        <w:t>结余分配：指事业单位按照事业单位会计制度的规定从非财政补助结余中分配的事业基金和职工福利基金等。</w:t>
      </w:r>
    </w:p>
    <w:p w14:paraId="058D5967">
      <w:pPr>
        <w:spacing w:line="600" w:lineRule="exact"/>
        <w:ind w:firstLine="640"/>
        <w:rPr>
          <w:rFonts w:ascii="仿宋" w:hAnsi="仿宋" w:eastAsia="仿宋"/>
          <w:color w:val="auto"/>
          <w:sz w:val="32"/>
          <w:szCs w:val="32"/>
        </w:rPr>
      </w:pPr>
      <w:r>
        <w:rPr>
          <w:rFonts w:ascii="仿宋" w:hAnsi="仿宋" w:eastAsia="仿宋"/>
          <w:color w:val="auto"/>
          <w:sz w:val="32"/>
          <w:szCs w:val="32"/>
        </w:rPr>
        <w:t>8</w:t>
      </w:r>
      <w:r>
        <w:rPr>
          <w:rFonts w:hint="eastAsia" w:ascii="仿宋" w:hAnsi="仿宋" w:eastAsia="仿宋"/>
          <w:color w:val="auto"/>
          <w:sz w:val="32"/>
          <w:szCs w:val="32"/>
        </w:rPr>
        <w:t>.年末结转和结余：指单位按有关规定结转到下年或以后年度继续使用的资金。</w:t>
      </w:r>
    </w:p>
    <w:p w14:paraId="54F01FEA">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9.社会保障和就业支出（208）行政事业单位养老支出（20805）机关事业单位基本养老保险缴费支出（2080505）：反映机关事业单位实施养老保险制度由单位缴纳的基本养老保险费支出。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auto"/>
          <w:sz w:val="32"/>
          <w:szCs w:val="32"/>
        </w:rPr>
        <w:cr/>
      </w:r>
      <w:r>
        <w:rPr>
          <w:rFonts w:hint="eastAsia" w:ascii="仿宋" w:hAnsi="仿宋" w:eastAsia="仿宋"/>
          <w:color w:val="auto"/>
          <w:sz w:val="32"/>
          <w:szCs w:val="32"/>
        </w:rPr>
        <w:t xml:space="preserve">    10.社会保障和就业支出（208）行政事业单位养老支出（20805）机关事业单位职业年金缴费支出（2080506）：反映机关事业单位实施养老保险制度由单位实际缴纳的职业年金支出。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auto"/>
          <w:sz w:val="32"/>
          <w:szCs w:val="32"/>
        </w:rPr>
        <w:cr/>
      </w:r>
      <w:r>
        <w:rPr>
          <w:rFonts w:hint="eastAsia" w:ascii="仿宋" w:hAnsi="仿宋" w:eastAsia="仿宋"/>
          <w:color w:val="auto"/>
          <w:sz w:val="32"/>
          <w:szCs w:val="32"/>
        </w:rPr>
        <w:t xml:space="preserve">    11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auto"/>
          <w:sz w:val="32"/>
          <w:szCs w:val="32"/>
        </w:rPr>
        <w:cr/>
      </w:r>
      <w:r>
        <w:rPr>
          <w:rFonts w:hint="eastAsia" w:ascii="仿宋" w:hAnsi="仿宋" w:eastAsia="仿宋"/>
          <w:color w:val="auto"/>
          <w:sz w:val="32"/>
          <w:szCs w:val="32"/>
        </w:rPr>
        <w:t xml:space="preserve">    12.卫生健康支出（210）行政事业单位医疗（21011）公务员医疗补助（2101103）：反映财政部门安排的公务员医疗补助经费。</w:t>
      </w:r>
      <w:r>
        <w:rPr>
          <w:rFonts w:hint="eastAsia" w:ascii="仿宋" w:hAnsi="仿宋" w:eastAsia="仿宋"/>
          <w:color w:val="auto"/>
          <w:sz w:val="32"/>
          <w:szCs w:val="32"/>
        </w:rPr>
        <w:cr/>
      </w:r>
      <w:r>
        <w:rPr>
          <w:rFonts w:hint="eastAsia" w:ascii="仿宋" w:hAnsi="仿宋" w:eastAsia="仿宋"/>
          <w:color w:val="auto"/>
          <w:sz w:val="32"/>
          <w:szCs w:val="32"/>
        </w:rPr>
        <w:t xml:space="preserve">    13.节能环保支出（211）环境保护管理事务（21101）行政运行（2110101）：反映行政单位（包括实行公务员管理的事业单位）的基本支出。</w:t>
      </w:r>
      <w:r>
        <w:rPr>
          <w:rFonts w:hint="eastAsia" w:ascii="仿宋" w:hAnsi="仿宋" w:eastAsia="仿宋"/>
          <w:color w:val="auto"/>
          <w:sz w:val="32"/>
          <w:szCs w:val="32"/>
        </w:rPr>
        <w:cr/>
      </w:r>
      <w:r>
        <w:rPr>
          <w:rFonts w:hint="eastAsia" w:ascii="仿宋" w:hAnsi="仿宋" w:eastAsia="仿宋"/>
          <w:color w:val="auto"/>
          <w:sz w:val="32"/>
          <w:szCs w:val="32"/>
        </w:rPr>
        <w:t xml:space="preserve">    14.节能环保支出（211）环境保护管理事务（21101）生态环境保护宣传（2110104）：反映生态环境部门环境保护宣传教育方面的支出。</w:t>
      </w:r>
      <w:r>
        <w:rPr>
          <w:rFonts w:hint="eastAsia" w:ascii="仿宋" w:hAnsi="仿宋" w:eastAsia="仿宋"/>
          <w:color w:val="auto"/>
          <w:sz w:val="32"/>
          <w:szCs w:val="32"/>
        </w:rPr>
        <w:cr/>
      </w:r>
      <w:r>
        <w:rPr>
          <w:rFonts w:hint="eastAsia" w:ascii="仿宋" w:hAnsi="仿宋" w:eastAsia="仿宋"/>
          <w:color w:val="auto"/>
          <w:sz w:val="32"/>
          <w:szCs w:val="32"/>
        </w:rPr>
        <w:t xml:space="preserve">    15.节能环保支出（211）环境监测与监察（21102）其他环境监测与监察支出（2110299）：反映除上述项目以外其他用于环境监测与监察方面的支出。</w:t>
      </w:r>
      <w:r>
        <w:rPr>
          <w:rFonts w:hint="eastAsia" w:ascii="仿宋" w:hAnsi="仿宋" w:eastAsia="仿宋"/>
          <w:color w:val="auto"/>
          <w:sz w:val="32"/>
          <w:szCs w:val="32"/>
        </w:rPr>
        <w:cr/>
      </w:r>
      <w:r>
        <w:rPr>
          <w:rFonts w:hint="eastAsia" w:ascii="仿宋" w:hAnsi="仿宋" w:eastAsia="仿宋"/>
          <w:color w:val="auto"/>
          <w:sz w:val="32"/>
          <w:szCs w:val="32"/>
        </w:rPr>
        <w:t xml:space="preserve">    16.节能环保支出（211）其他节能环保支出（21199）其他节能环保支出（2119999）：反映除上述项目以外其他用于节能环保方面的支出。</w:t>
      </w:r>
      <w:r>
        <w:rPr>
          <w:rFonts w:hint="eastAsia" w:ascii="仿宋" w:hAnsi="仿宋" w:eastAsia="仿宋"/>
          <w:color w:val="auto"/>
          <w:sz w:val="32"/>
          <w:szCs w:val="32"/>
        </w:rPr>
        <w:cr/>
      </w:r>
      <w:r>
        <w:rPr>
          <w:rFonts w:hint="eastAsia" w:ascii="仿宋" w:hAnsi="仿宋" w:eastAsia="仿宋"/>
          <w:color w:val="auto"/>
          <w:sz w:val="32"/>
          <w:szCs w:val="32"/>
        </w:rPr>
        <w:t xml:space="preserve">    17.住房保障支出（221）住房改革支出（22102）住房公积金（2210201）：反映行政事业单位按人力资源和社会保障部、财政部规定的基本工资和津贴补贴以及规定比例为职工缴纳的住房公积金。</w:t>
      </w:r>
    </w:p>
    <w:p w14:paraId="2D05D83F">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18.基本支出：指为保障机构正常运转、完成日常工作任务而发生的人员支出和公用支出。</w:t>
      </w:r>
    </w:p>
    <w:p w14:paraId="75B121CF">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 xml:space="preserve">19.项目支出：指在基本支出之外为完成特定行政任务和事业发展目标所发生的支出。 </w:t>
      </w:r>
    </w:p>
    <w:p w14:paraId="1C053CC5">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20.经营支出：指事业单位在专业业务活动及其辅助活动之外开展非独立核算经营活动发生的支出。</w:t>
      </w:r>
    </w:p>
    <w:p w14:paraId="2006A2FC">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377B5E1">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F3DB07">
      <w:pPr>
        <w:spacing w:line="600" w:lineRule="exact"/>
        <w:ind w:firstLine="640"/>
        <w:rPr>
          <w:rFonts w:ascii="仿宋_GB2312" w:eastAsia="仿宋_GB2312" w:cs="黑体"/>
          <w:color w:val="auto"/>
          <w:sz w:val="32"/>
          <w:szCs w:val="32"/>
        </w:rPr>
      </w:pPr>
      <w:r>
        <w:rPr>
          <w:rFonts w:hint="eastAsia" w:ascii="仿宋" w:hAnsi="仿宋" w:eastAsia="仿宋"/>
          <w:color w:val="auto"/>
          <w:sz w:val="32"/>
          <w:szCs w:val="32"/>
        </w:rPr>
        <w:t>.财政应返还额度：为行政事业单位会计核算科目，用于核算实行国库集中支付的行政事业单位应收财政返还的资金额度。</w:t>
      </w:r>
    </w:p>
    <w:p w14:paraId="2F548A4D">
      <w:pPr>
        <w:widowControl/>
        <w:jc w:val="left"/>
        <w:rPr>
          <w:rStyle w:val="30"/>
          <w:rFonts w:ascii="黑体" w:hAnsi="黑体" w:eastAsia="黑体"/>
          <w:color w:val="auto"/>
        </w:rPr>
      </w:pPr>
      <w:r>
        <w:rPr>
          <w:rStyle w:val="30"/>
          <w:rFonts w:ascii="黑体" w:hAnsi="黑体" w:eastAsia="黑体"/>
          <w:color w:val="auto"/>
        </w:rPr>
        <w:br w:type="page"/>
      </w:r>
    </w:p>
    <w:p w14:paraId="06172DD1">
      <w:pPr>
        <w:spacing w:line="600" w:lineRule="exact"/>
        <w:jc w:val="center"/>
        <w:rPr>
          <w:rStyle w:val="30"/>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2"/>
    </w:p>
    <w:p w14:paraId="5CD49737">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auto"/>
          <w:sz w:val="32"/>
          <w:szCs w:val="32"/>
          <w:highlight w:val="none"/>
        </w:rPr>
      </w:pPr>
    </w:p>
    <w:p w14:paraId="29908540">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729E0C5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color w:val="auto"/>
          <w:sz w:val="44"/>
          <w:szCs w:val="44"/>
          <w:highlight w:val="none"/>
          <w:shd w:val="clear" w:color="auto" w:fill="FFFFFF"/>
        </w:rPr>
      </w:pPr>
    </w:p>
    <w:p w14:paraId="346581E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color w:val="auto"/>
          <w:sz w:val="44"/>
          <w:szCs w:val="44"/>
          <w:highlight w:val="none"/>
          <w:shd w:val="clear" w:color="auto" w:fill="FFFFFF"/>
        </w:rPr>
      </w:pPr>
      <w:r>
        <w:rPr>
          <w:rFonts w:hint="default" w:ascii="Times New Roman" w:hAnsi="Times New Roman" w:eastAsia="方正小标宋简体" w:cs="Times New Roman"/>
          <w:b w:val="0"/>
          <w:bCs/>
          <w:color w:val="auto"/>
          <w:sz w:val="44"/>
          <w:szCs w:val="44"/>
          <w:highlight w:val="none"/>
          <w:shd w:val="clear" w:color="auto" w:fill="FFFFFF"/>
        </w:rPr>
        <w:t>部门</w:t>
      </w:r>
      <w:r>
        <w:rPr>
          <w:rFonts w:hint="default" w:ascii="Times New Roman" w:hAnsi="Times New Roman" w:eastAsia="方正小标宋简体" w:cs="Times New Roman"/>
          <w:b w:val="0"/>
          <w:bCs/>
          <w:color w:val="auto"/>
          <w:sz w:val="44"/>
          <w:szCs w:val="44"/>
          <w:highlight w:val="none"/>
          <w:shd w:val="clear" w:color="auto" w:fill="FFFFFF"/>
          <w:lang w:eastAsia="zh-CN"/>
        </w:rPr>
        <w:t>预算</w:t>
      </w:r>
      <w:r>
        <w:rPr>
          <w:rFonts w:hint="default" w:ascii="Times New Roman" w:hAnsi="Times New Roman" w:eastAsia="方正小标宋简体" w:cs="Times New Roman"/>
          <w:b w:val="0"/>
          <w:bCs/>
          <w:color w:val="auto"/>
          <w:sz w:val="44"/>
          <w:szCs w:val="44"/>
          <w:highlight w:val="none"/>
          <w:shd w:val="clear" w:color="auto" w:fill="FFFFFF"/>
        </w:rPr>
        <w:t>绩效</w:t>
      </w:r>
      <w:r>
        <w:rPr>
          <w:rFonts w:hint="eastAsia" w:ascii="Times New Roman" w:hAnsi="Times New Roman" w:eastAsia="方正小标宋简体" w:cs="Times New Roman"/>
          <w:b w:val="0"/>
          <w:bCs/>
          <w:color w:val="auto"/>
          <w:sz w:val="44"/>
          <w:szCs w:val="44"/>
          <w:highlight w:val="none"/>
          <w:shd w:val="clear" w:color="auto" w:fill="FFFFFF"/>
          <w:lang w:eastAsia="zh-CN"/>
        </w:rPr>
        <w:t>评价</w:t>
      </w:r>
      <w:r>
        <w:rPr>
          <w:rFonts w:hint="default" w:ascii="Times New Roman" w:hAnsi="Times New Roman" w:eastAsia="方正小标宋简体" w:cs="Times New Roman"/>
          <w:b w:val="0"/>
          <w:bCs/>
          <w:color w:val="auto"/>
          <w:sz w:val="44"/>
          <w:szCs w:val="44"/>
          <w:highlight w:val="none"/>
          <w:shd w:val="clear" w:color="auto" w:fill="FFFFFF"/>
        </w:rPr>
        <w:t>报告范本</w:t>
      </w:r>
    </w:p>
    <w:p w14:paraId="3941CF07">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（报告范围包括机关和下属单位）</w:t>
      </w:r>
    </w:p>
    <w:p w14:paraId="311DDDE0">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auto"/>
          <w:kern w:val="0"/>
          <w:sz w:val="24"/>
          <w:szCs w:val="32"/>
          <w:highlight w:val="none"/>
          <w:shd w:val="clear" w:color="auto" w:fill="FFFFFF"/>
        </w:rPr>
      </w:pPr>
    </w:p>
    <w:p w14:paraId="762B398B">
      <w:pPr>
        <w:widowControl/>
        <w:adjustRightInd w:val="0"/>
        <w:snapToGrid w:val="0"/>
        <w:spacing w:line="578" w:lineRule="exact"/>
        <w:ind w:firstLine="640" w:firstLineChars="200"/>
        <w:contextualSpacing/>
        <w:jc w:val="left"/>
        <w:rPr>
          <w:rFonts w:ascii="黑体" w:hAnsi="黑体" w:eastAsia="黑体"/>
          <w:color w:val="auto"/>
          <w:sz w:val="32"/>
          <w:szCs w:val="32"/>
        </w:rPr>
      </w:pPr>
      <w:r>
        <w:rPr>
          <w:rFonts w:hint="eastAsia" w:ascii="黑体" w:hAnsi="黑体" w:eastAsia="黑体"/>
          <w:color w:val="auto"/>
          <w:kern w:val="0"/>
          <w:sz w:val="32"/>
          <w:szCs w:val="32"/>
          <w:shd w:val="clear" w:color="auto" w:fill="FFFFFF"/>
          <w:lang w:val="zh-CN"/>
        </w:rPr>
        <w:t>一、</w:t>
      </w:r>
      <w:r>
        <w:rPr>
          <w:rFonts w:ascii="黑体" w:hAnsi="黑体" w:eastAsia="黑体"/>
          <w:color w:val="auto"/>
          <w:kern w:val="0"/>
          <w:sz w:val="32"/>
          <w:szCs w:val="32"/>
          <w:shd w:val="clear" w:color="auto" w:fill="FFFFFF"/>
          <w:lang w:val="zh-CN"/>
        </w:rPr>
        <w:t>部门（单位）基本情况</w:t>
      </w:r>
    </w:p>
    <w:p w14:paraId="4F71A68E">
      <w:pPr>
        <w:widowControl/>
        <w:adjustRightInd w:val="0"/>
        <w:snapToGrid w:val="0"/>
        <w:spacing w:line="600" w:lineRule="exact"/>
        <w:ind w:firstLine="643" w:firstLineChars="200"/>
        <w:jc w:val="left"/>
        <w:rPr>
          <w:rFonts w:ascii="仿宋" w:hAnsi="仿宋" w:eastAsia="仿宋"/>
          <w:b/>
          <w:bCs/>
          <w:color w:val="auto"/>
          <w:kern w:val="0"/>
          <w:sz w:val="32"/>
          <w:szCs w:val="32"/>
          <w:shd w:val="clear" w:color="auto" w:fill="FFFFFF"/>
          <w:lang w:val="zh-CN"/>
        </w:rPr>
      </w:pPr>
      <w:r>
        <w:rPr>
          <w:rFonts w:hint="eastAsia" w:ascii="仿宋" w:hAnsi="仿宋" w:eastAsia="仿宋"/>
          <w:b/>
          <w:bCs/>
          <w:color w:val="auto"/>
          <w:kern w:val="0"/>
          <w:sz w:val="32"/>
          <w:szCs w:val="32"/>
          <w:shd w:val="clear" w:color="auto" w:fill="FFFFFF"/>
          <w:lang w:val="zh-CN"/>
        </w:rPr>
        <w:t>（一）</w:t>
      </w:r>
      <w:r>
        <w:rPr>
          <w:rFonts w:ascii="仿宋" w:hAnsi="仿宋" w:eastAsia="仿宋"/>
          <w:b/>
          <w:bCs/>
          <w:color w:val="auto"/>
          <w:kern w:val="0"/>
          <w:sz w:val="32"/>
          <w:szCs w:val="32"/>
          <w:shd w:val="clear" w:color="auto" w:fill="FFFFFF"/>
          <w:lang w:val="zh-CN"/>
        </w:rPr>
        <w:t>机构组成。</w:t>
      </w:r>
    </w:p>
    <w:p w14:paraId="07CE2D70">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四川省阿坝州</w:t>
      </w:r>
      <w:r>
        <w:rPr>
          <w:rFonts w:hint="eastAsia" w:ascii="仿宋" w:hAnsi="仿宋" w:eastAsia="仿宋" w:cs="仿宋_GB2312"/>
          <w:color w:val="auto"/>
          <w:sz w:val="32"/>
          <w:szCs w:val="32"/>
          <w:lang w:eastAsia="zh-CN"/>
        </w:rPr>
        <w:t>松潘</w:t>
      </w:r>
      <w:r>
        <w:rPr>
          <w:rFonts w:hint="eastAsia" w:ascii="仿宋" w:hAnsi="仿宋" w:eastAsia="仿宋" w:cs="仿宋_GB2312"/>
          <w:color w:val="auto"/>
          <w:sz w:val="32"/>
          <w:szCs w:val="32"/>
        </w:rPr>
        <w:t>生态环境局属行政单位1个，独立编制机构数1个，机构编制数为4个（局、中心、监测站、执法大队）。</w:t>
      </w:r>
    </w:p>
    <w:p w14:paraId="1CFCAEF9">
      <w:pPr>
        <w:widowControl/>
        <w:adjustRightInd w:val="0"/>
        <w:snapToGrid w:val="0"/>
        <w:spacing w:line="578" w:lineRule="exact"/>
        <w:ind w:firstLine="643" w:firstLineChars="200"/>
        <w:contextualSpacing/>
        <w:jc w:val="left"/>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（二）机构职能</w:t>
      </w:r>
      <w:r>
        <w:rPr>
          <w:rFonts w:hint="eastAsia" w:ascii="仿宋" w:hAnsi="仿宋" w:eastAsia="仿宋"/>
          <w:b/>
          <w:bCs/>
          <w:color w:val="auto"/>
          <w:kern w:val="0"/>
          <w:sz w:val="32"/>
          <w:szCs w:val="32"/>
          <w:shd w:val="clear" w:color="auto" w:fill="FFFFFF"/>
          <w:lang w:val="zh-CN"/>
        </w:rPr>
        <w:t>。</w:t>
      </w:r>
    </w:p>
    <w:p w14:paraId="643E0186">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1.贯彻执行有关环境保护、法规、规章、方针政策、决定、决议，并对执行情况进行监督。拟定环境保护、林业相关政策、发展战略、中长期规划及年度工作计划，起草相关法规并监督实施。会同有关部门拟定和监督实施重点区域、重点流域的污染防治规划、饮用水水原地环境保护规划。</w:t>
      </w:r>
    </w:p>
    <w:p w14:paraId="7FF50FF7">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2.受政府委托对重大经济发展规划以及重大经济开发计划进行环境影响评价，按照规定审批开发建设区域、项目环境影响评价文件。</w:t>
      </w:r>
    </w:p>
    <w:p w14:paraId="6733CA43">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3.贯彻执行国家、省、州分布的大气、水体、土壤、噪声、辐射、固体废物、有毒化学品及机动车污染防治的法律、法规及有关规定，并实施监督检查。</w:t>
      </w:r>
    </w:p>
    <w:p w14:paraId="03D92FC7">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4.依照规定对建筑项目的环境影响、排污收费、排污许可证、污染限期治理进行监督管理，督查、督办、核查污染物减排任务完成情况，组织实施环境保护目标责任制、总量减排考核工作。</w:t>
      </w:r>
    </w:p>
    <w:p w14:paraId="145AAF4E">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5.监督执行国家、省颁布的各类环境质量标准和污染物排放标准；监督管理环境污染物防治和城乡环境综合治理工作，协查处理污染物事故、生态破坏事件及污染纠纷。指导、协调县内各个部门以及跨地区、跨流域的重大环境问题；处理重大环境污染事故和生态破坏事件，归口管理全县环境监察、排污收费和环境保护行政稽查工作；组织开展全国环境保护执法检查活动。</w:t>
      </w:r>
    </w:p>
    <w:p w14:paraId="78E70899">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6.监督执行国家、省颁布的各类环境质量标准和污染物排放标准；审核城镇总体规划环境保护内容；组织编制全县环境质量报告书；发布全县环境状况公报；定期发布重要城（镇）和流域环境质量报告；参与编制全县可持续发展纲要。</w:t>
      </w:r>
    </w:p>
    <w:p w14:paraId="57501990">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7.负责环境监测、统计、信息工作，制定环境监测制度和管理规范，建设和管理全县环境信息网，组织环境质量监测和污染监督性监测。</w:t>
      </w:r>
    </w:p>
    <w:p w14:paraId="6F8C6BC5">
      <w:pPr>
        <w:pStyle w:val="37"/>
        <w:spacing w:before="0" w:line="360" w:lineRule="auto"/>
        <w:ind w:firstLine="627" w:firstLineChars="196"/>
        <w:rPr>
          <w:rFonts w:ascii="仿宋" w:hAnsi="仿宋" w:eastAsia="仿宋" w:cs="Times New Roman"/>
          <w:color w:val="auto"/>
          <w:kern w:val="2"/>
          <w:sz w:val="32"/>
          <w:szCs w:val="32"/>
        </w:rPr>
      </w:pPr>
      <w:r>
        <w:rPr>
          <w:rFonts w:hint="eastAsia" w:ascii="仿宋" w:hAnsi="仿宋" w:eastAsia="仿宋"/>
          <w:color w:val="auto"/>
          <w:sz w:val="32"/>
          <w:szCs w:val="32"/>
        </w:rPr>
        <w:t>8.负责核安全、辐射环境、放射性废物管理工作，贯彻执行国家、省有关方针、政策、法律、法规和标准、参与核事故、辐射环境事故应急工作，对核设施安全和电磁辐射、技术应用、放射性矿产资源开发利用中的污染防治工作实行监督管理。</w:t>
      </w:r>
    </w:p>
    <w:p w14:paraId="07D7A9B7">
      <w:pPr>
        <w:spacing w:line="600" w:lineRule="exact"/>
        <w:ind w:firstLine="643" w:firstLineChars="200"/>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w:t>
      </w:r>
      <w:r>
        <w:rPr>
          <w:rFonts w:hint="eastAsia" w:ascii="仿宋" w:hAnsi="仿宋" w:eastAsia="仿宋"/>
          <w:b/>
          <w:bCs/>
          <w:color w:val="auto"/>
          <w:kern w:val="0"/>
          <w:sz w:val="32"/>
          <w:szCs w:val="32"/>
          <w:shd w:val="clear" w:color="auto" w:fill="FFFFFF"/>
          <w:lang w:val="zh-CN"/>
        </w:rPr>
        <w:t>三</w:t>
      </w:r>
      <w:r>
        <w:rPr>
          <w:rFonts w:ascii="仿宋" w:hAnsi="仿宋" w:eastAsia="仿宋"/>
          <w:b/>
          <w:bCs/>
          <w:color w:val="auto"/>
          <w:kern w:val="0"/>
          <w:sz w:val="32"/>
          <w:szCs w:val="32"/>
          <w:shd w:val="clear" w:color="auto" w:fill="FFFFFF"/>
          <w:lang w:val="zh-CN"/>
        </w:rPr>
        <w:t>）人员概况</w:t>
      </w:r>
      <w:r>
        <w:rPr>
          <w:rFonts w:hint="eastAsia" w:ascii="仿宋" w:hAnsi="仿宋" w:eastAsia="仿宋"/>
          <w:b/>
          <w:bCs/>
          <w:color w:val="auto"/>
          <w:kern w:val="0"/>
          <w:sz w:val="32"/>
          <w:szCs w:val="32"/>
          <w:shd w:val="clear" w:color="auto" w:fill="FFFFFF"/>
          <w:lang w:val="zh-CN"/>
        </w:rPr>
        <w:t>。</w:t>
      </w:r>
    </w:p>
    <w:p w14:paraId="10CDF21A">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202</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 xml:space="preserve">年财政供养人员编制为 </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 xml:space="preserve">名，其中行政编制 </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名，参公编制</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名，参公工勤编制</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名；202</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年单位实有人数</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人。退休1人，工资由社保部门发放。</w:t>
      </w:r>
    </w:p>
    <w:p w14:paraId="1F9129CF">
      <w:pPr>
        <w:spacing w:line="600" w:lineRule="exact"/>
        <w:ind w:firstLine="640" w:firstLineChars="200"/>
        <w:rPr>
          <w:rFonts w:ascii="黑体" w:hAnsi="黑体" w:eastAsia="黑体"/>
          <w:color w:val="auto"/>
          <w:kern w:val="0"/>
          <w:sz w:val="32"/>
          <w:szCs w:val="32"/>
          <w:shd w:val="clear" w:color="auto" w:fill="FFFFFF"/>
        </w:rPr>
      </w:pPr>
      <w:r>
        <w:rPr>
          <w:rFonts w:ascii="黑体" w:hAnsi="黑体" w:eastAsia="黑体"/>
          <w:color w:val="auto"/>
          <w:kern w:val="0"/>
          <w:sz w:val="32"/>
          <w:szCs w:val="32"/>
          <w:shd w:val="clear" w:color="auto" w:fill="FFFFFF"/>
        </w:rPr>
        <w:t>二、部门资金收支情况</w:t>
      </w:r>
    </w:p>
    <w:p w14:paraId="6F7BEF28">
      <w:pPr>
        <w:pStyle w:val="37"/>
        <w:spacing w:before="0" w:line="360" w:lineRule="auto"/>
        <w:ind w:firstLine="630" w:firstLineChars="196"/>
        <w:rPr>
          <w:rFonts w:ascii="仿宋" w:hAnsi="仿宋" w:eastAsia="仿宋" w:cs="Times New Roman"/>
          <w:b/>
          <w:bCs/>
          <w:color w:val="auto"/>
          <w:sz w:val="32"/>
          <w:szCs w:val="32"/>
          <w:shd w:val="clear" w:color="auto" w:fill="FFFFFF"/>
          <w:lang w:val="zh-CN"/>
        </w:rPr>
      </w:pPr>
      <w:r>
        <w:rPr>
          <w:rFonts w:ascii="仿宋" w:hAnsi="仿宋" w:eastAsia="仿宋" w:cs="Times New Roman"/>
          <w:b/>
          <w:bCs/>
          <w:color w:val="auto"/>
          <w:sz w:val="32"/>
          <w:szCs w:val="32"/>
          <w:shd w:val="clear" w:color="auto" w:fill="FFFFFF"/>
          <w:lang w:val="zh-CN"/>
        </w:rPr>
        <w:t>（一）</w:t>
      </w:r>
      <w:r>
        <w:rPr>
          <w:rFonts w:hint="eastAsia" w:ascii="仿宋" w:hAnsi="仿宋" w:eastAsia="仿宋" w:cs="Times New Roman"/>
          <w:b/>
          <w:bCs/>
          <w:color w:val="auto"/>
          <w:sz w:val="32"/>
          <w:szCs w:val="32"/>
          <w:shd w:val="clear" w:color="auto" w:fill="FFFFFF"/>
          <w:lang w:val="zh-CN"/>
        </w:rPr>
        <w:t>收入情况</w:t>
      </w:r>
      <w:r>
        <w:rPr>
          <w:rFonts w:ascii="仿宋" w:hAnsi="仿宋" w:eastAsia="仿宋" w:cs="Times New Roman"/>
          <w:b/>
          <w:bCs/>
          <w:color w:val="auto"/>
          <w:sz w:val="32"/>
          <w:szCs w:val="32"/>
          <w:shd w:val="clear" w:color="auto" w:fill="FFFFFF"/>
          <w:lang w:val="zh-CN"/>
        </w:rPr>
        <w:t>。</w:t>
      </w:r>
    </w:p>
    <w:p w14:paraId="283E0398">
      <w:pPr>
        <w:widowControl/>
        <w:adjustRightInd w:val="0"/>
        <w:snapToGrid w:val="0"/>
        <w:spacing w:line="576" w:lineRule="exact"/>
        <w:ind w:firstLine="640" w:firstLineChars="200"/>
        <w:contextualSpacing/>
        <w:jc w:val="lef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202</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年阿坝州</w:t>
      </w:r>
      <w:r>
        <w:rPr>
          <w:rFonts w:hint="eastAsia" w:ascii="仿宋" w:hAnsi="仿宋" w:eastAsia="仿宋" w:cs="仿宋_GB2312"/>
          <w:color w:val="auto"/>
          <w:sz w:val="32"/>
          <w:szCs w:val="32"/>
          <w:lang w:eastAsia="zh-CN"/>
        </w:rPr>
        <w:t>松潘</w:t>
      </w:r>
      <w:r>
        <w:rPr>
          <w:rFonts w:hint="eastAsia" w:ascii="仿宋" w:hAnsi="仿宋" w:eastAsia="仿宋" w:cs="仿宋_GB2312"/>
          <w:color w:val="auto"/>
          <w:sz w:val="32"/>
          <w:szCs w:val="32"/>
        </w:rPr>
        <w:t>生态环境局收入预算总额为</w:t>
      </w:r>
      <w:r>
        <w:rPr>
          <w:rFonts w:hint="eastAsia" w:ascii="仿宋" w:hAnsi="仿宋" w:eastAsia="仿宋" w:cs="仿宋_GB2312"/>
          <w:color w:val="auto"/>
          <w:sz w:val="32"/>
          <w:szCs w:val="32"/>
          <w:lang w:val="en-US" w:eastAsia="zh-CN"/>
        </w:rPr>
        <w:t>544.83</w:t>
      </w:r>
      <w:r>
        <w:rPr>
          <w:rFonts w:hint="eastAsia" w:ascii="仿宋" w:hAnsi="仿宋" w:eastAsia="仿宋" w:cs="仿宋_GB2312"/>
          <w:color w:val="auto"/>
          <w:sz w:val="32"/>
          <w:szCs w:val="32"/>
        </w:rPr>
        <w:t>万元，其中：当年财政拨款收</w:t>
      </w:r>
      <w:r>
        <w:rPr>
          <w:rFonts w:hint="eastAsia" w:ascii="仿宋" w:hAnsi="仿宋" w:eastAsia="仿宋" w:cs="仿宋_GB2312"/>
          <w:color w:val="auto"/>
          <w:sz w:val="32"/>
          <w:szCs w:val="32"/>
          <w:lang w:val="en-US" w:eastAsia="zh-CN"/>
        </w:rPr>
        <w:t>544.83</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lang w:eastAsia="zh-CN"/>
        </w:rPr>
        <w:t>。相应安排支出</w:t>
      </w:r>
      <w:r>
        <w:rPr>
          <w:rFonts w:hint="eastAsia" w:ascii="仿宋" w:hAnsi="仿宋" w:eastAsia="仿宋" w:cs="仿宋_GB2312"/>
          <w:color w:val="auto"/>
          <w:sz w:val="32"/>
          <w:szCs w:val="32"/>
          <w:lang w:eastAsia="zh-CN"/>
        </w:rPr>
        <w:t>预算</w:t>
      </w:r>
      <w:r>
        <w:rPr>
          <w:rFonts w:hint="eastAsia" w:ascii="仿宋" w:hAnsi="仿宋" w:eastAsia="仿宋" w:cs="仿宋_GB2312"/>
          <w:color w:val="auto"/>
          <w:sz w:val="32"/>
          <w:szCs w:val="32"/>
          <w:lang w:val="en-US" w:eastAsia="zh-CN"/>
        </w:rPr>
        <w:t>544.83</w:t>
      </w:r>
      <w:r>
        <w:rPr>
          <w:rFonts w:hint="eastAsia" w:ascii="仿宋" w:hAnsi="仿宋" w:eastAsia="仿宋" w:cs="仿宋_GB2312"/>
          <w:color w:val="auto"/>
          <w:sz w:val="32"/>
          <w:szCs w:val="32"/>
          <w:lang w:eastAsia="zh-CN"/>
        </w:rPr>
        <w:t>，其中：</w:t>
      </w:r>
      <w:r>
        <w:rPr>
          <w:rFonts w:hint="eastAsia" w:ascii="仿宋" w:hAnsi="仿宋" w:eastAsia="仿宋" w:cs="仿宋_GB2312"/>
          <w:color w:val="auto"/>
          <w:sz w:val="32"/>
          <w:szCs w:val="32"/>
        </w:rPr>
        <w:t>当年财政拨款收入</w:t>
      </w:r>
      <w:r>
        <w:rPr>
          <w:rFonts w:hint="eastAsia" w:ascii="仿宋" w:hAnsi="仿宋" w:eastAsia="仿宋" w:cs="仿宋_GB2312"/>
          <w:color w:val="auto"/>
          <w:sz w:val="32"/>
          <w:szCs w:val="32"/>
          <w:lang w:val="en-US" w:eastAsia="zh-CN"/>
        </w:rPr>
        <w:t>382.68</w:t>
      </w:r>
      <w:r>
        <w:rPr>
          <w:rFonts w:hint="eastAsia" w:ascii="仿宋" w:hAnsi="仿宋" w:eastAsia="仿宋" w:cs="仿宋_GB2312"/>
          <w:color w:val="auto"/>
          <w:sz w:val="32"/>
          <w:szCs w:val="32"/>
        </w:rPr>
        <w:t>万元，代管资金收入</w:t>
      </w:r>
      <w:r>
        <w:rPr>
          <w:rFonts w:hint="eastAsia" w:ascii="仿宋" w:hAnsi="仿宋" w:eastAsia="仿宋" w:cs="仿宋_GB2312"/>
          <w:color w:val="auto"/>
          <w:sz w:val="32"/>
          <w:szCs w:val="32"/>
          <w:lang w:val="en-US" w:eastAsia="zh-CN"/>
        </w:rPr>
        <w:t>162.15</w:t>
      </w:r>
      <w:r>
        <w:rPr>
          <w:rFonts w:hint="eastAsia" w:ascii="仿宋" w:hAnsi="仿宋" w:eastAsia="仿宋" w:cs="仿宋_GB2312"/>
          <w:color w:val="auto"/>
          <w:sz w:val="32"/>
          <w:szCs w:val="32"/>
        </w:rPr>
        <w:t>万元。相应安排支出预算</w:t>
      </w:r>
      <w:r>
        <w:rPr>
          <w:rFonts w:hint="eastAsia" w:ascii="仿宋" w:hAnsi="仿宋" w:eastAsia="仿宋" w:cs="仿宋_GB2312"/>
          <w:color w:val="auto"/>
          <w:sz w:val="32"/>
          <w:szCs w:val="32"/>
          <w:lang w:val="en-US" w:eastAsia="zh-CN"/>
        </w:rPr>
        <w:t>544.83</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lang w:eastAsia="zh-CN"/>
        </w:rPr>
        <w:t>。</w:t>
      </w:r>
    </w:p>
    <w:p w14:paraId="2677A114">
      <w:pPr>
        <w:widowControl/>
        <w:adjustRightInd w:val="0"/>
        <w:snapToGrid w:val="0"/>
        <w:spacing w:line="578" w:lineRule="exact"/>
        <w:ind w:firstLine="643" w:firstLineChars="200"/>
        <w:contextualSpacing/>
        <w:jc w:val="left"/>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w:t>
      </w:r>
      <w:r>
        <w:rPr>
          <w:rFonts w:hint="eastAsia" w:ascii="仿宋" w:hAnsi="仿宋" w:eastAsia="仿宋"/>
          <w:b/>
          <w:bCs/>
          <w:color w:val="auto"/>
          <w:kern w:val="0"/>
          <w:sz w:val="32"/>
          <w:szCs w:val="32"/>
          <w:shd w:val="clear" w:color="auto" w:fill="FFFFFF"/>
          <w:lang w:val="zh-CN"/>
        </w:rPr>
        <w:t>二</w:t>
      </w:r>
      <w:r>
        <w:rPr>
          <w:rFonts w:ascii="仿宋" w:hAnsi="仿宋" w:eastAsia="仿宋"/>
          <w:b/>
          <w:bCs/>
          <w:color w:val="auto"/>
          <w:kern w:val="0"/>
          <w:sz w:val="32"/>
          <w:szCs w:val="32"/>
          <w:shd w:val="clear" w:color="auto" w:fill="FFFFFF"/>
          <w:lang w:val="zh-CN"/>
        </w:rPr>
        <w:t>）</w:t>
      </w:r>
      <w:r>
        <w:rPr>
          <w:rFonts w:hint="eastAsia" w:ascii="仿宋" w:hAnsi="仿宋" w:eastAsia="仿宋"/>
          <w:b/>
          <w:bCs/>
          <w:color w:val="auto"/>
          <w:kern w:val="0"/>
          <w:sz w:val="32"/>
          <w:szCs w:val="32"/>
          <w:shd w:val="clear" w:color="auto" w:fill="FFFFFF"/>
          <w:lang w:val="zh-CN"/>
        </w:rPr>
        <w:t>支出情况</w:t>
      </w:r>
      <w:r>
        <w:rPr>
          <w:rFonts w:ascii="仿宋" w:hAnsi="仿宋" w:eastAsia="仿宋"/>
          <w:b/>
          <w:bCs/>
          <w:color w:val="auto"/>
          <w:kern w:val="0"/>
          <w:sz w:val="32"/>
          <w:szCs w:val="32"/>
          <w:shd w:val="clear" w:color="auto" w:fill="FFFFFF"/>
          <w:lang w:val="zh-CN"/>
        </w:rPr>
        <w:t>。</w:t>
      </w:r>
    </w:p>
    <w:p w14:paraId="457E75A5">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202</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年阿坝州</w:t>
      </w:r>
      <w:r>
        <w:rPr>
          <w:rFonts w:hint="eastAsia" w:ascii="仿宋" w:hAnsi="仿宋" w:eastAsia="仿宋" w:cs="仿宋_GB2312"/>
          <w:color w:val="auto"/>
          <w:sz w:val="32"/>
          <w:szCs w:val="32"/>
          <w:lang w:eastAsia="zh-CN"/>
        </w:rPr>
        <w:t>松潘</w:t>
      </w:r>
      <w:r>
        <w:rPr>
          <w:rFonts w:hint="eastAsia" w:ascii="仿宋" w:hAnsi="仿宋" w:eastAsia="仿宋" w:cs="仿宋_GB2312"/>
          <w:color w:val="auto"/>
          <w:sz w:val="32"/>
          <w:szCs w:val="32"/>
        </w:rPr>
        <w:t>生态环境局全年预算支出合计</w:t>
      </w:r>
      <w:r>
        <w:rPr>
          <w:rFonts w:hint="eastAsia" w:ascii="仿宋" w:hAnsi="仿宋" w:eastAsia="仿宋" w:cs="仿宋_GB2312"/>
          <w:color w:val="auto"/>
          <w:sz w:val="32"/>
          <w:szCs w:val="32"/>
          <w:lang w:val="en-US" w:eastAsia="zh-CN"/>
        </w:rPr>
        <w:t>544.83</w:t>
      </w:r>
      <w:r>
        <w:rPr>
          <w:rFonts w:hint="eastAsia" w:ascii="仿宋" w:hAnsi="仿宋" w:eastAsia="仿宋" w:cs="仿宋_GB2312"/>
          <w:color w:val="auto"/>
          <w:sz w:val="32"/>
          <w:szCs w:val="32"/>
        </w:rPr>
        <w:t>万元，其中：基本支出</w:t>
      </w:r>
      <w:r>
        <w:rPr>
          <w:rFonts w:hint="eastAsia" w:ascii="仿宋" w:hAnsi="仿宋" w:eastAsia="仿宋" w:cs="仿宋_GB2312"/>
          <w:color w:val="auto"/>
          <w:sz w:val="32"/>
          <w:szCs w:val="32"/>
          <w:lang w:val="en-US" w:eastAsia="zh-CN"/>
        </w:rPr>
        <w:t>303.54</w:t>
      </w:r>
      <w:r>
        <w:rPr>
          <w:rFonts w:hint="eastAsia" w:ascii="仿宋" w:hAnsi="仿宋" w:eastAsia="仿宋" w:cs="仿宋_GB2312"/>
          <w:color w:val="auto"/>
          <w:sz w:val="32"/>
          <w:szCs w:val="32"/>
        </w:rPr>
        <w:t>万元：人员经费支出:223.</w:t>
      </w:r>
      <w:r>
        <w:rPr>
          <w:rFonts w:hint="eastAsia" w:ascii="仿宋" w:hAnsi="仿宋" w:eastAsia="仿宋" w:cs="仿宋_GB2312"/>
          <w:color w:val="auto"/>
          <w:sz w:val="32"/>
          <w:szCs w:val="32"/>
          <w:lang w:val="en-US" w:eastAsia="zh-CN"/>
        </w:rPr>
        <w:t>97</w:t>
      </w:r>
      <w:r>
        <w:rPr>
          <w:rFonts w:hint="eastAsia" w:ascii="仿宋" w:hAnsi="仿宋" w:eastAsia="仿宋" w:cs="仿宋_GB2312"/>
          <w:color w:val="auto"/>
          <w:sz w:val="32"/>
          <w:szCs w:val="32"/>
        </w:rPr>
        <w:t>万元，日常公用经费</w:t>
      </w:r>
      <w:r>
        <w:rPr>
          <w:rFonts w:hint="eastAsia" w:ascii="仿宋" w:hAnsi="仿宋" w:eastAsia="仿宋" w:cs="仿宋_GB2312"/>
          <w:color w:val="auto"/>
          <w:sz w:val="32"/>
          <w:szCs w:val="32"/>
          <w:lang w:val="en-US" w:eastAsia="zh-CN"/>
        </w:rPr>
        <w:t>79.57</w:t>
      </w:r>
      <w:r>
        <w:rPr>
          <w:rFonts w:hint="eastAsia" w:ascii="仿宋" w:hAnsi="仿宋" w:eastAsia="仿宋" w:cs="仿宋_GB2312"/>
          <w:color w:val="auto"/>
          <w:sz w:val="32"/>
          <w:szCs w:val="32"/>
        </w:rPr>
        <w:t>万元；项目支出</w:t>
      </w:r>
      <w:r>
        <w:rPr>
          <w:rFonts w:hint="eastAsia" w:ascii="仿宋" w:hAnsi="仿宋" w:eastAsia="仿宋" w:cs="仿宋_GB2312"/>
          <w:color w:val="auto"/>
          <w:sz w:val="32"/>
          <w:szCs w:val="32"/>
          <w:lang w:val="en-US" w:eastAsia="zh-CN"/>
        </w:rPr>
        <w:t>241.29</w:t>
      </w:r>
      <w:r>
        <w:rPr>
          <w:rFonts w:hint="eastAsia" w:ascii="仿宋" w:hAnsi="仿宋" w:eastAsia="仿宋" w:cs="仿宋_GB2312"/>
          <w:color w:val="auto"/>
          <w:sz w:val="32"/>
          <w:szCs w:val="32"/>
        </w:rPr>
        <w:t>万元。</w:t>
      </w:r>
    </w:p>
    <w:p w14:paraId="2C70327F">
      <w:pPr>
        <w:widowControl/>
        <w:adjustRightInd w:val="0"/>
        <w:snapToGrid w:val="0"/>
        <w:spacing w:line="576"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仿宋_GB2312"/>
          <w:color w:val="auto"/>
          <w:sz w:val="32"/>
          <w:szCs w:val="32"/>
        </w:rPr>
        <w:t>财政拨款支出主要用于保障本部门机构正常运转、完成日常工作任务。基本人员支出，是用于本单位人员工资和社保就业保障经费。日常公用支出包括办公费、印刷费、电费、等日常公用经费。</w:t>
      </w:r>
    </w:p>
    <w:p w14:paraId="069583C8">
      <w:pPr>
        <w:widowControl/>
        <w:adjustRightInd w:val="0"/>
        <w:snapToGrid w:val="0"/>
        <w:spacing w:line="578" w:lineRule="exact"/>
        <w:ind w:firstLine="643" w:firstLineChars="200"/>
        <w:contextualSpacing/>
        <w:jc w:val="left"/>
        <w:rPr>
          <w:rFonts w:ascii="仿宋" w:hAnsi="仿宋" w:eastAsia="仿宋"/>
          <w:b/>
          <w:color w:val="auto"/>
          <w:sz w:val="32"/>
          <w:szCs w:val="32"/>
        </w:rPr>
      </w:pPr>
      <w:r>
        <w:rPr>
          <w:rFonts w:ascii="仿宋" w:hAnsi="仿宋" w:eastAsia="仿宋"/>
          <w:b/>
          <w:bCs/>
          <w:color w:val="auto"/>
          <w:kern w:val="0"/>
          <w:sz w:val="32"/>
          <w:szCs w:val="32"/>
          <w:shd w:val="clear" w:color="auto" w:fill="FFFFFF"/>
          <w:lang w:val="zh-CN"/>
        </w:rPr>
        <w:t>（</w:t>
      </w:r>
      <w:r>
        <w:rPr>
          <w:rFonts w:hint="eastAsia" w:ascii="仿宋" w:hAnsi="仿宋" w:eastAsia="仿宋"/>
          <w:b/>
          <w:bCs/>
          <w:color w:val="auto"/>
          <w:kern w:val="0"/>
          <w:sz w:val="32"/>
          <w:szCs w:val="32"/>
          <w:shd w:val="clear" w:color="auto" w:fill="FFFFFF"/>
          <w:lang w:val="zh-CN"/>
        </w:rPr>
        <w:t>三</w:t>
      </w:r>
      <w:r>
        <w:rPr>
          <w:rFonts w:ascii="仿宋" w:hAnsi="仿宋" w:eastAsia="仿宋"/>
          <w:b/>
          <w:bCs/>
          <w:color w:val="auto"/>
          <w:kern w:val="0"/>
          <w:sz w:val="32"/>
          <w:szCs w:val="32"/>
          <w:shd w:val="clear" w:color="auto" w:fill="FFFFFF"/>
          <w:lang w:val="zh-CN"/>
        </w:rPr>
        <w:t>）</w:t>
      </w:r>
      <w:r>
        <w:rPr>
          <w:rFonts w:ascii="仿宋" w:hAnsi="仿宋" w:eastAsia="仿宋"/>
          <w:b/>
          <w:color w:val="auto"/>
          <w:sz w:val="32"/>
          <w:szCs w:val="32"/>
        </w:rPr>
        <w:t>结余分配和结转结余情况</w:t>
      </w:r>
      <w:r>
        <w:rPr>
          <w:rFonts w:hint="eastAsia" w:ascii="仿宋" w:hAnsi="仿宋" w:eastAsia="仿宋"/>
          <w:b/>
          <w:color w:val="auto"/>
          <w:sz w:val="32"/>
          <w:szCs w:val="32"/>
        </w:rPr>
        <w:t>。</w:t>
      </w:r>
    </w:p>
    <w:p w14:paraId="4ECC5744">
      <w:pPr>
        <w:widowControl/>
        <w:adjustRightInd w:val="0"/>
        <w:snapToGrid w:val="0"/>
        <w:spacing w:line="578" w:lineRule="exact"/>
        <w:ind w:firstLine="640" w:firstLineChars="200"/>
        <w:contextualSpacing/>
        <w:jc w:val="left"/>
        <w:rPr>
          <w:rFonts w:ascii="仿宋" w:hAnsi="仿宋" w:eastAsia="仿宋"/>
          <w:color w:val="auto"/>
          <w:kern w:val="0"/>
          <w:sz w:val="32"/>
          <w:szCs w:val="32"/>
          <w:shd w:val="clear" w:color="auto" w:fill="FFFFFF"/>
          <w:lang w:val="zh-CN"/>
        </w:rPr>
      </w:pPr>
      <w:r>
        <w:rPr>
          <w:rFonts w:hint="eastAsia" w:ascii="仿宋" w:hAnsi="仿宋" w:eastAsia="仿宋"/>
          <w:color w:val="auto"/>
          <w:sz w:val="32"/>
          <w:szCs w:val="32"/>
        </w:rPr>
        <w:t>2023年无</w:t>
      </w:r>
      <w:r>
        <w:rPr>
          <w:rFonts w:ascii="仿宋" w:hAnsi="仿宋" w:eastAsia="仿宋"/>
          <w:color w:val="auto"/>
          <w:kern w:val="0"/>
          <w:sz w:val="32"/>
          <w:szCs w:val="32"/>
          <w:shd w:val="clear" w:color="auto" w:fill="FFFFFF"/>
        </w:rPr>
        <w:t>结转结余</w:t>
      </w:r>
      <w:r>
        <w:rPr>
          <w:rFonts w:hint="eastAsia" w:ascii="仿宋" w:hAnsi="仿宋" w:eastAsia="仿宋"/>
          <w:color w:val="auto"/>
          <w:kern w:val="0"/>
          <w:sz w:val="32"/>
          <w:szCs w:val="32"/>
          <w:shd w:val="clear" w:color="auto" w:fill="FFFFFF"/>
        </w:rPr>
        <w:t>情况</w:t>
      </w:r>
      <w:r>
        <w:rPr>
          <w:rFonts w:ascii="仿宋" w:hAnsi="仿宋" w:eastAsia="仿宋"/>
          <w:color w:val="auto"/>
          <w:kern w:val="0"/>
          <w:sz w:val="32"/>
          <w:szCs w:val="32"/>
          <w:shd w:val="clear" w:color="auto" w:fill="FFFFFF"/>
        </w:rPr>
        <w:t>。</w:t>
      </w:r>
    </w:p>
    <w:p w14:paraId="2A64CE56">
      <w:pPr>
        <w:widowControl/>
        <w:adjustRightInd w:val="0"/>
        <w:snapToGrid w:val="0"/>
        <w:spacing w:line="578" w:lineRule="exact"/>
        <w:ind w:firstLine="640" w:firstLineChars="200"/>
        <w:contextualSpacing/>
        <w:jc w:val="left"/>
        <w:rPr>
          <w:rFonts w:ascii="黑体" w:hAnsi="黑体" w:eastAsia="黑体"/>
          <w:color w:val="auto"/>
          <w:kern w:val="0"/>
          <w:sz w:val="32"/>
          <w:szCs w:val="32"/>
          <w:shd w:val="clear" w:color="auto" w:fill="FFFFFF"/>
        </w:rPr>
      </w:pPr>
      <w:r>
        <w:rPr>
          <w:rFonts w:ascii="黑体" w:hAnsi="黑体" w:eastAsia="黑体"/>
          <w:color w:val="auto"/>
          <w:kern w:val="0"/>
          <w:sz w:val="32"/>
          <w:szCs w:val="32"/>
          <w:shd w:val="clear" w:color="auto" w:fill="FFFFFF"/>
        </w:rPr>
        <w:t>三、部门预算绩效分析</w:t>
      </w:r>
    </w:p>
    <w:p w14:paraId="04F3F532">
      <w:pPr>
        <w:widowControl/>
        <w:adjustRightInd w:val="0"/>
        <w:snapToGrid w:val="0"/>
        <w:spacing w:line="600" w:lineRule="exact"/>
        <w:ind w:firstLine="643" w:firstLineChars="200"/>
        <w:jc w:val="left"/>
        <w:rPr>
          <w:rFonts w:ascii="仿宋" w:hAnsi="仿宋" w:eastAsia="仿宋" w:cs="仿宋_GB2312"/>
          <w:color w:val="auto"/>
          <w:sz w:val="32"/>
          <w:szCs w:val="32"/>
        </w:rPr>
      </w:pPr>
      <w:r>
        <w:rPr>
          <w:rFonts w:ascii="仿宋" w:hAnsi="仿宋" w:eastAsia="仿宋"/>
          <w:b/>
          <w:bCs/>
          <w:color w:val="auto"/>
          <w:kern w:val="0"/>
          <w:sz w:val="32"/>
          <w:szCs w:val="32"/>
          <w:shd w:val="clear" w:color="auto" w:fill="FFFFFF"/>
          <w:lang w:val="zh-CN"/>
        </w:rPr>
        <w:t>（一）</w:t>
      </w:r>
      <w:r>
        <w:rPr>
          <w:rFonts w:hint="eastAsia" w:ascii="仿宋" w:hAnsi="仿宋" w:eastAsia="仿宋"/>
          <w:b/>
          <w:bCs/>
          <w:color w:val="auto"/>
          <w:kern w:val="0"/>
          <w:sz w:val="32"/>
          <w:szCs w:val="32"/>
          <w:shd w:val="clear" w:color="auto" w:fill="FFFFFF"/>
          <w:lang w:val="zh-CN"/>
        </w:rPr>
        <w:t>部门预算</w:t>
      </w:r>
      <w:r>
        <w:rPr>
          <w:rFonts w:ascii="仿宋" w:hAnsi="仿宋" w:eastAsia="仿宋"/>
          <w:b/>
          <w:bCs/>
          <w:color w:val="auto"/>
          <w:kern w:val="0"/>
          <w:sz w:val="32"/>
          <w:szCs w:val="32"/>
          <w:shd w:val="clear" w:color="auto" w:fill="FFFFFF"/>
          <w:lang w:val="zh-CN"/>
        </w:rPr>
        <w:t>总体绩效分析。</w:t>
      </w:r>
      <w:r>
        <w:rPr>
          <w:rFonts w:hint="eastAsia" w:ascii="仿宋" w:hAnsi="仿宋" w:eastAsia="仿宋" w:cs="仿宋_GB2312"/>
          <w:color w:val="auto"/>
          <w:sz w:val="32"/>
          <w:szCs w:val="32"/>
        </w:rPr>
        <w:t>严格按照县级部门预算编制通知和有关要求，按时完成各项报送工作，预算编制中，特别注意对预算编制准确性的把握，并严格按照要求进行预算执行调整。按时完成待批复提前细化。202</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年按编制标准我单位在职职工</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人，本单位预算在财政部门批复后及时填报预算公示报表报财政审核在政府信息公开网上公示。</w:t>
      </w:r>
    </w:p>
    <w:p w14:paraId="2C1B86EE">
      <w:pPr>
        <w:adjustRightInd w:val="0"/>
        <w:snapToGrid w:val="0"/>
        <w:spacing w:line="578" w:lineRule="exact"/>
        <w:ind w:firstLine="640" w:firstLineChars="200"/>
        <w:contextualSpacing/>
        <w:jc w:val="left"/>
        <w:rPr>
          <w:rFonts w:ascii="仿宋" w:hAnsi="仿宋" w:eastAsia="仿宋"/>
          <w:color w:val="auto"/>
          <w:kern w:val="0"/>
          <w:sz w:val="32"/>
          <w:szCs w:val="32"/>
          <w:shd w:val="clear" w:color="auto" w:fill="FFFFFF"/>
          <w:lang w:val="zh-CN"/>
        </w:rPr>
      </w:pPr>
      <w:r>
        <w:rPr>
          <w:rFonts w:hint="eastAsia" w:ascii="仿宋" w:hAnsi="仿宋" w:eastAsia="仿宋" w:cs="楷体_GB2312"/>
          <w:color w:val="auto"/>
          <w:kern w:val="0"/>
          <w:sz w:val="32"/>
          <w:szCs w:val="32"/>
          <w:shd w:val="clear" w:color="auto" w:fill="FFFFFF"/>
        </w:rPr>
        <w:t>1.</w:t>
      </w:r>
      <w:r>
        <w:rPr>
          <w:rFonts w:hint="eastAsia" w:ascii="仿宋" w:hAnsi="仿宋" w:eastAsia="仿宋" w:cs="楷体_GB2312"/>
          <w:color w:val="auto"/>
          <w:kern w:val="0"/>
          <w:sz w:val="32"/>
          <w:szCs w:val="32"/>
          <w:shd w:val="clear" w:color="auto" w:fill="FFFFFF"/>
          <w:lang w:val="zh-CN"/>
        </w:rPr>
        <w:t>履职效能。</w:t>
      </w:r>
      <w:r>
        <w:rPr>
          <w:rFonts w:hint="eastAsia" w:ascii="仿宋" w:hAnsi="仿宋" w:eastAsia="仿宋"/>
          <w:color w:val="auto"/>
          <w:kern w:val="0"/>
          <w:sz w:val="32"/>
          <w:szCs w:val="32"/>
          <w:shd w:val="clear" w:color="auto" w:fill="FFFFFF"/>
          <w:lang w:val="zh-CN"/>
        </w:rPr>
        <w:t>1.质量指标：我局做好相关预算，保障职工利益；2.实效指标：按时兑现规定待遇；3.满意度指标：全体职工对待遇兑现满意度为98%。</w:t>
      </w:r>
    </w:p>
    <w:p w14:paraId="44BB37C1">
      <w:pPr>
        <w:adjustRightInd w:val="0"/>
        <w:snapToGrid w:val="0"/>
        <w:spacing w:line="578" w:lineRule="exact"/>
        <w:ind w:firstLine="640" w:firstLineChars="200"/>
        <w:contextualSpacing/>
        <w:jc w:val="left"/>
        <w:rPr>
          <w:rFonts w:ascii="仿宋" w:hAnsi="仿宋" w:eastAsia="仿宋" w:cs="楷体_GB2312"/>
          <w:color w:val="auto"/>
          <w:kern w:val="0"/>
          <w:sz w:val="32"/>
          <w:szCs w:val="32"/>
          <w:shd w:val="clear" w:color="auto" w:fill="FFFFFF"/>
        </w:rPr>
      </w:pPr>
      <w:r>
        <w:rPr>
          <w:rFonts w:hint="eastAsia" w:ascii="仿宋" w:hAnsi="仿宋" w:eastAsia="仿宋" w:cs="楷体_GB2312"/>
          <w:color w:val="auto"/>
          <w:kern w:val="0"/>
          <w:sz w:val="32"/>
          <w:szCs w:val="32"/>
          <w:shd w:val="clear" w:color="auto" w:fill="FFFFFF"/>
        </w:rPr>
        <w:t>2.</w:t>
      </w:r>
      <w:r>
        <w:rPr>
          <w:rFonts w:ascii="仿宋" w:hAnsi="仿宋" w:eastAsia="仿宋" w:cs="楷体_GB2312"/>
          <w:color w:val="auto"/>
          <w:kern w:val="0"/>
          <w:sz w:val="32"/>
          <w:szCs w:val="32"/>
          <w:shd w:val="clear" w:color="auto" w:fill="FFFFFF"/>
        </w:rPr>
        <w:t>预算管理</w:t>
      </w:r>
      <w:r>
        <w:rPr>
          <w:rFonts w:hint="eastAsia" w:ascii="仿宋" w:hAnsi="仿宋" w:eastAsia="仿宋" w:cs="楷体_GB2312"/>
          <w:color w:val="auto"/>
          <w:kern w:val="0"/>
          <w:sz w:val="32"/>
          <w:szCs w:val="32"/>
          <w:shd w:val="clear" w:color="auto" w:fill="FFFFFF"/>
        </w:rPr>
        <w:t>。根据县财政有关文件要求，我单位对财政资金使用管理情况，按照《</w:t>
      </w:r>
      <w:r>
        <w:rPr>
          <w:rFonts w:hint="eastAsia" w:ascii="仿宋" w:hAnsi="仿宋" w:eastAsia="仿宋" w:cs="楷体_GB2312"/>
          <w:color w:val="auto"/>
          <w:kern w:val="0"/>
          <w:sz w:val="32"/>
          <w:szCs w:val="32"/>
          <w:shd w:val="clear" w:color="auto" w:fill="FFFFFF"/>
          <w:lang w:eastAsia="zh-CN"/>
        </w:rPr>
        <w:t>松潘</w:t>
      </w:r>
      <w:r>
        <w:rPr>
          <w:rFonts w:ascii="仿宋" w:hAnsi="仿宋" w:eastAsia="仿宋" w:cs="楷体_GB2312"/>
          <w:color w:val="auto"/>
          <w:kern w:val="0"/>
          <w:sz w:val="32"/>
          <w:szCs w:val="32"/>
          <w:shd w:val="clear" w:color="auto" w:fill="FFFFFF"/>
        </w:rPr>
        <w:t>县财政局关于2024年县级部门绩效自评工作的通知</w:t>
      </w:r>
      <w:r>
        <w:rPr>
          <w:rFonts w:hint="eastAsia" w:ascii="仿宋" w:hAnsi="仿宋" w:eastAsia="仿宋" w:cs="楷体_GB2312"/>
          <w:color w:val="auto"/>
          <w:kern w:val="0"/>
          <w:sz w:val="32"/>
          <w:szCs w:val="32"/>
          <w:shd w:val="clear" w:color="auto" w:fill="FFFFFF"/>
        </w:rPr>
        <w:t>》认真开展自评工作，撰写部门自评报告。</w:t>
      </w:r>
    </w:p>
    <w:p w14:paraId="4845E839">
      <w:pPr>
        <w:adjustRightInd w:val="0"/>
        <w:snapToGrid w:val="0"/>
        <w:spacing w:line="578" w:lineRule="exact"/>
        <w:ind w:firstLine="640" w:firstLineChars="200"/>
        <w:contextualSpacing/>
        <w:jc w:val="left"/>
        <w:rPr>
          <w:rFonts w:ascii="仿宋" w:hAnsi="仿宋" w:eastAsia="仿宋" w:cs="仿宋_GB2312"/>
          <w:color w:val="auto"/>
          <w:sz w:val="32"/>
          <w:szCs w:val="32"/>
        </w:rPr>
      </w:pPr>
      <w:r>
        <w:rPr>
          <w:rFonts w:hint="eastAsia" w:ascii="仿宋" w:hAnsi="仿宋" w:eastAsia="仿宋" w:cs="楷体_GB2312"/>
          <w:color w:val="auto"/>
          <w:kern w:val="0"/>
          <w:sz w:val="32"/>
          <w:szCs w:val="32"/>
          <w:shd w:val="clear" w:color="auto" w:fill="FFFFFF"/>
        </w:rPr>
        <w:t>3.</w:t>
      </w:r>
      <w:r>
        <w:rPr>
          <w:rFonts w:ascii="仿宋" w:hAnsi="仿宋" w:eastAsia="仿宋" w:cs="楷体_GB2312"/>
          <w:color w:val="auto"/>
          <w:kern w:val="0"/>
          <w:sz w:val="32"/>
          <w:szCs w:val="32"/>
          <w:shd w:val="clear" w:color="auto" w:fill="FFFFFF"/>
          <w:lang w:val="zh-CN"/>
        </w:rPr>
        <w:t>财务管理</w:t>
      </w:r>
      <w:r>
        <w:rPr>
          <w:rFonts w:hint="eastAsia" w:ascii="仿宋" w:hAnsi="仿宋" w:eastAsia="仿宋" w:cs="楷体_GB2312"/>
          <w:color w:val="auto"/>
          <w:kern w:val="0"/>
          <w:sz w:val="32"/>
          <w:szCs w:val="32"/>
          <w:shd w:val="clear" w:color="auto" w:fill="FFFFFF"/>
          <w:lang w:val="zh-CN"/>
        </w:rPr>
        <w:t>。</w:t>
      </w:r>
      <w:r>
        <w:rPr>
          <w:rFonts w:hint="eastAsia" w:ascii="仿宋" w:hAnsi="仿宋" w:eastAsia="仿宋" w:cs="仿宋_GB2312"/>
          <w:color w:val="auto"/>
          <w:sz w:val="32"/>
          <w:szCs w:val="32"/>
        </w:rPr>
        <w:t>我单位财务管理制度健全，执行制度严格合规，会计核算符合相关规定，资金专款专用，资金支付依据和开支标准合法合规，严格执行政府采购。</w:t>
      </w:r>
    </w:p>
    <w:p w14:paraId="5AF53F0B">
      <w:pPr>
        <w:adjustRightInd w:val="0"/>
        <w:snapToGrid w:val="0"/>
        <w:spacing w:line="578" w:lineRule="exact"/>
        <w:ind w:firstLine="640" w:firstLineChars="200"/>
        <w:contextualSpacing/>
        <w:jc w:val="left"/>
        <w:rPr>
          <w:rFonts w:ascii="仿宋" w:hAnsi="仿宋" w:eastAsia="仿宋" w:cs="楷体_GB2312"/>
          <w:color w:val="auto"/>
          <w:kern w:val="0"/>
          <w:sz w:val="32"/>
          <w:szCs w:val="32"/>
          <w:shd w:val="clear" w:color="auto" w:fill="FFFFFF"/>
          <w:lang w:val="zh-CN"/>
        </w:rPr>
      </w:pPr>
      <w:r>
        <w:rPr>
          <w:rFonts w:hint="eastAsia" w:ascii="仿宋" w:hAnsi="仿宋" w:eastAsia="仿宋" w:cs="楷体_GB2312"/>
          <w:color w:val="auto"/>
          <w:kern w:val="0"/>
          <w:sz w:val="32"/>
          <w:szCs w:val="32"/>
          <w:shd w:val="clear" w:color="auto" w:fill="FFFFFF"/>
        </w:rPr>
        <w:t>4.</w:t>
      </w:r>
      <w:r>
        <w:rPr>
          <w:rFonts w:ascii="仿宋" w:hAnsi="仿宋" w:eastAsia="仿宋" w:cs="楷体_GB2312"/>
          <w:color w:val="auto"/>
          <w:kern w:val="0"/>
          <w:sz w:val="32"/>
          <w:szCs w:val="32"/>
          <w:shd w:val="clear" w:color="auto" w:fill="FFFFFF"/>
          <w:lang w:val="zh-CN"/>
        </w:rPr>
        <w:t>资产管理</w:t>
      </w:r>
      <w:r>
        <w:rPr>
          <w:rFonts w:hint="eastAsia" w:ascii="仿宋" w:hAnsi="仿宋" w:eastAsia="仿宋" w:cs="楷体_GB2312"/>
          <w:color w:val="auto"/>
          <w:kern w:val="0"/>
          <w:sz w:val="32"/>
          <w:szCs w:val="32"/>
          <w:shd w:val="clear" w:color="auto" w:fill="FFFFFF"/>
          <w:lang w:val="zh-CN"/>
        </w:rPr>
        <w:t>。</w:t>
      </w:r>
      <w:r>
        <w:rPr>
          <w:rFonts w:hint="eastAsia" w:ascii="仿宋" w:hAnsi="仿宋" w:eastAsia="仿宋"/>
          <w:color w:val="auto"/>
          <w:kern w:val="0"/>
          <w:sz w:val="32"/>
          <w:szCs w:val="32"/>
          <w:shd w:val="clear" w:color="auto" w:fill="FFFFFF"/>
          <w:lang w:val="zh-CN"/>
        </w:rPr>
        <w:t>严格按照资产管理办法，专人管理固定资产，会计做好固定资产的入库等财务工作。</w:t>
      </w:r>
    </w:p>
    <w:p w14:paraId="221B7DFF">
      <w:pPr>
        <w:adjustRightInd w:val="0"/>
        <w:snapToGrid w:val="0"/>
        <w:spacing w:line="578" w:lineRule="exact"/>
        <w:ind w:firstLine="640" w:firstLineChars="200"/>
        <w:contextualSpacing/>
        <w:jc w:val="left"/>
        <w:rPr>
          <w:rFonts w:ascii="仿宋" w:hAnsi="仿宋" w:eastAsia="仿宋"/>
          <w:color w:val="auto"/>
          <w:sz w:val="32"/>
          <w:szCs w:val="32"/>
        </w:rPr>
      </w:pPr>
      <w:r>
        <w:rPr>
          <w:rFonts w:hint="eastAsia" w:ascii="仿宋" w:hAnsi="仿宋" w:eastAsia="仿宋" w:cs="楷体_GB2312"/>
          <w:color w:val="auto"/>
          <w:kern w:val="0"/>
          <w:sz w:val="32"/>
          <w:szCs w:val="32"/>
          <w:shd w:val="clear" w:color="auto" w:fill="FFFFFF"/>
        </w:rPr>
        <w:t>5.</w:t>
      </w:r>
      <w:r>
        <w:rPr>
          <w:rFonts w:ascii="仿宋" w:hAnsi="仿宋" w:eastAsia="仿宋" w:cs="楷体_GB2312"/>
          <w:color w:val="auto"/>
          <w:kern w:val="0"/>
          <w:sz w:val="32"/>
          <w:szCs w:val="32"/>
          <w:shd w:val="clear" w:color="auto" w:fill="FFFFFF"/>
          <w:lang w:val="zh-CN"/>
        </w:rPr>
        <w:t>采购管理</w:t>
      </w:r>
      <w:r>
        <w:rPr>
          <w:rFonts w:hint="eastAsia" w:ascii="仿宋" w:hAnsi="仿宋" w:eastAsia="仿宋" w:cs="楷体_GB2312"/>
          <w:color w:val="auto"/>
          <w:kern w:val="0"/>
          <w:sz w:val="32"/>
          <w:szCs w:val="32"/>
          <w:shd w:val="clear" w:color="auto" w:fill="FFFFFF"/>
          <w:lang w:val="zh-CN"/>
        </w:rPr>
        <w:t>。</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年我单位有政府采购，严格按固定资产管理办法进行登记入账。</w:t>
      </w:r>
    </w:p>
    <w:p w14:paraId="1D295EB6">
      <w:pPr>
        <w:adjustRightInd w:val="0"/>
        <w:snapToGrid w:val="0"/>
        <w:spacing w:line="578" w:lineRule="exact"/>
        <w:ind w:firstLine="643" w:firstLineChars="200"/>
        <w:contextualSpacing/>
        <w:jc w:val="left"/>
        <w:rPr>
          <w:rFonts w:ascii="仿宋" w:hAnsi="仿宋" w:eastAsia="仿宋"/>
          <w:color w:val="auto"/>
          <w:kern w:val="0"/>
          <w:sz w:val="32"/>
          <w:szCs w:val="32"/>
          <w:shd w:val="clear" w:color="auto" w:fill="FFFFFF"/>
        </w:rPr>
      </w:pPr>
      <w:r>
        <w:rPr>
          <w:rFonts w:ascii="仿宋" w:hAnsi="仿宋" w:eastAsia="仿宋"/>
          <w:b/>
          <w:bCs/>
          <w:color w:val="auto"/>
          <w:kern w:val="0"/>
          <w:sz w:val="32"/>
          <w:szCs w:val="32"/>
          <w:shd w:val="clear" w:color="auto" w:fill="FFFFFF"/>
          <w:lang w:val="zh-CN"/>
        </w:rPr>
        <w:t>（二）部门预算项目绩效分析。</w:t>
      </w:r>
      <w:r>
        <w:rPr>
          <w:rFonts w:hint="eastAsia" w:ascii="仿宋" w:hAnsi="仿宋" w:eastAsia="仿宋"/>
          <w:color w:val="auto"/>
          <w:kern w:val="0"/>
          <w:sz w:val="32"/>
          <w:szCs w:val="32"/>
          <w:shd w:val="clear" w:color="auto" w:fill="FFFFFF"/>
          <w:lang w:val="zh-CN"/>
        </w:rPr>
        <w:t>填报以下数据，并</w:t>
      </w:r>
      <w:r>
        <w:rPr>
          <w:rFonts w:ascii="仿宋" w:hAnsi="仿宋" w:eastAsia="仿宋"/>
          <w:color w:val="auto"/>
          <w:kern w:val="0"/>
          <w:sz w:val="32"/>
          <w:szCs w:val="32"/>
          <w:shd w:val="clear" w:color="auto" w:fill="FFFFFF"/>
          <w:lang w:val="zh-CN"/>
        </w:rPr>
        <w:t>根据部门预算绩效评价指标体系“项目绩效”涉及</w:t>
      </w:r>
      <w:r>
        <w:rPr>
          <w:rFonts w:hint="eastAsia" w:ascii="仿宋" w:hAnsi="仿宋" w:eastAsia="仿宋"/>
          <w:color w:val="auto"/>
          <w:kern w:val="0"/>
          <w:sz w:val="32"/>
          <w:szCs w:val="32"/>
          <w:shd w:val="clear" w:color="auto" w:fill="FFFFFF"/>
          <w:lang w:val="zh-CN"/>
        </w:rPr>
        <w:t>二、三级</w:t>
      </w:r>
      <w:r>
        <w:rPr>
          <w:rFonts w:ascii="仿宋" w:hAnsi="仿宋" w:eastAsia="仿宋"/>
          <w:color w:val="auto"/>
          <w:kern w:val="0"/>
          <w:sz w:val="32"/>
          <w:szCs w:val="32"/>
          <w:shd w:val="clear" w:color="auto" w:fill="FFFFFF"/>
          <w:lang w:val="zh-CN"/>
        </w:rPr>
        <w:t>指标进行</w:t>
      </w:r>
      <w:r>
        <w:rPr>
          <w:rFonts w:hint="eastAsia" w:ascii="仿宋" w:hAnsi="仿宋" w:eastAsia="仿宋"/>
          <w:color w:val="auto"/>
          <w:kern w:val="0"/>
          <w:sz w:val="32"/>
          <w:szCs w:val="32"/>
          <w:shd w:val="clear" w:color="auto" w:fill="FFFFFF"/>
          <w:lang w:val="zh-CN"/>
        </w:rPr>
        <w:t>逐项</w:t>
      </w:r>
      <w:r>
        <w:rPr>
          <w:rFonts w:ascii="仿宋" w:hAnsi="仿宋" w:eastAsia="仿宋"/>
          <w:color w:val="auto"/>
          <w:kern w:val="0"/>
          <w:sz w:val="32"/>
          <w:szCs w:val="32"/>
          <w:shd w:val="clear" w:color="auto" w:fill="FFFFFF"/>
          <w:lang w:val="zh-CN"/>
        </w:rPr>
        <w:t>绩效分析</w:t>
      </w:r>
      <w:r>
        <w:rPr>
          <w:rFonts w:hint="eastAsia" w:ascii="仿宋" w:hAnsi="仿宋" w:eastAsia="仿宋"/>
          <w:color w:val="auto"/>
          <w:kern w:val="0"/>
          <w:sz w:val="32"/>
          <w:szCs w:val="32"/>
          <w:shd w:val="clear" w:color="auto" w:fill="FFFFFF"/>
          <w:lang w:val="zh-CN"/>
        </w:rPr>
        <w:t>并评分</w:t>
      </w:r>
      <w:r>
        <w:rPr>
          <w:rFonts w:ascii="仿宋" w:hAnsi="仿宋" w:eastAsia="仿宋"/>
          <w:color w:val="auto"/>
          <w:kern w:val="0"/>
          <w:sz w:val="32"/>
          <w:szCs w:val="32"/>
          <w:shd w:val="clear" w:color="auto" w:fill="FFFFFF"/>
          <w:lang w:val="zh-CN"/>
        </w:rPr>
        <w:t>，依次包括项目</w:t>
      </w:r>
      <w:r>
        <w:rPr>
          <w:rFonts w:ascii="仿宋" w:hAnsi="仿宋" w:eastAsia="仿宋"/>
          <w:color w:val="auto"/>
          <w:kern w:val="0"/>
          <w:sz w:val="32"/>
          <w:szCs w:val="32"/>
          <w:shd w:val="clear" w:color="auto" w:fill="FFFFFF"/>
        </w:rPr>
        <w:t>决策、项目执行、目标实现等情况</w:t>
      </w:r>
      <w:r>
        <w:rPr>
          <w:rFonts w:hint="eastAsia" w:ascii="仿宋" w:hAnsi="仿宋" w:eastAsia="仿宋"/>
          <w:color w:val="auto"/>
          <w:kern w:val="0"/>
          <w:sz w:val="32"/>
          <w:szCs w:val="32"/>
          <w:shd w:val="clear" w:color="auto" w:fill="FFFFFF"/>
        </w:rPr>
        <w:t>。</w:t>
      </w:r>
    </w:p>
    <w:p w14:paraId="1B71A18A">
      <w:pPr>
        <w:adjustRightInd w:val="0"/>
        <w:snapToGrid w:val="0"/>
        <w:spacing w:line="578" w:lineRule="exact"/>
        <w:ind w:firstLine="640" w:firstLineChars="200"/>
        <w:contextualSpacing/>
        <w:jc w:val="left"/>
        <w:rPr>
          <w:rFonts w:ascii="仿宋" w:hAnsi="仿宋" w:eastAsia="仿宋" w:cs="楷体_GB2312"/>
          <w:color w:val="auto"/>
          <w:kern w:val="0"/>
          <w:sz w:val="32"/>
          <w:szCs w:val="32"/>
          <w:shd w:val="clear" w:color="auto" w:fill="FFFFFF"/>
          <w:lang w:val="zh-CN"/>
        </w:rPr>
      </w:pPr>
      <w:r>
        <w:rPr>
          <w:rFonts w:hint="eastAsia" w:ascii="仿宋" w:hAnsi="仿宋" w:eastAsia="仿宋" w:cs="楷体_GB2312"/>
          <w:color w:val="auto"/>
          <w:kern w:val="0"/>
          <w:sz w:val="32"/>
          <w:szCs w:val="32"/>
          <w:shd w:val="clear" w:color="auto" w:fill="FFFFFF"/>
        </w:rPr>
        <w:t>1.</w:t>
      </w:r>
      <w:r>
        <w:rPr>
          <w:rFonts w:hint="eastAsia" w:ascii="仿宋" w:hAnsi="仿宋" w:eastAsia="仿宋" w:cs="楷体_GB2312"/>
          <w:color w:val="auto"/>
          <w:kern w:val="0"/>
          <w:sz w:val="32"/>
          <w:szCs w:val="32"/>
          <w:shd w:val="clear" w:color="auto" w:fill="FFFFFF"/>
          <w:lang w:val="zh-CN"/>
        </w:rPr>
        <w:t>项目决策。</w:t>
      </w:r>
      <w:r>
        <w:rPr>
          <w:rFonts w:hint="eastAsia" w:ascii="仿宋" w:hAnsi="仿宋" w:eastAsia="仿宋"/>
          <w:color w:val="auto"/>
          <w:kern w:val="0"/>
          <w:sz w:val="32"/>
          <w:szCs w:val="32"/>
          <w:shd w:val="clear" w:color="auto" w:fill="FFFFFF"/>
          <w:lang w:val="zh-CN"/>
        </w:rPr>
        <w:t>严格按照州县财政局要求、单位内控制度，对项目进行科学有效决策。</w:t>
      </w:r>
    </w:p>
    <w:p w14:paraId="3CADAE0E">
      <w:pPr>
        <w:adjustRightInd w:val="0"/>
        <w:snapToGrid w:val="0"/>
        <w:spacing w:line="578" w:lineRule="exact"/>
        <w:ind w:firstLine="640" w:firstLineChars="200"/>
        <w:contextualSpacing/>
        <w:jc w:val="left"/>
        <w:rPr>
          <w:rFonts w:ascii="仿宋" w:hAnsi="仿宋" w:eastAsia="仿宋" w:cs="楷体_GB2312"/>
          <w:color w:val="auto"/>
          <w:kern w:val="0"/>
          <w:sz w:val="32"/>
          <w:szCs w:val="32"/>
          <w:shd w:val="clear" w:color="auto" w:fill="FFFFFF"/>
          <w:lang w:val="zh-CN"/>
        </w:rPr>
      </w:pPr>
      <w:r>
        <w:rPr>
          <w:rFonts w:hint="eastAsia" w:ascii="仿宋" w:hAnsi="仿宋" w:eastAsia="仿宋" w:cs="楷体_GB2312"/>
          <w:color w:val="auto"/>
          <w:kern w:val="0"/>
          <w:sz w:val="32"/>
          <w:szCs w:val="32"/>
          <w:shd w:val="clear" w:color="auto" w:fill="FFFFFF"/>
        </w:rPr>
        <w:t>2.项目执行</w:t>
      </w:r>
      <w:r>
        <w:rPr>
          <w:rFonts w:hint="eastAsia" w:ascii="仿宋" w:hAnsi="仿宋" w:eastAsia="仿宋" w:cs="楷体_GB2312"/>
          <w:color w:val="auto"/>
          <w:kern w:val="0"/>
          <w:sz w:val="32"/>
          <w:szCs w:val="32"/>
          <w:shd w:val="clear" w:color="auto" w:fill="FFFFFF"/>
          <w:lang w:val="zh-CN"/>
        </w:rPr>
        <w:t>。</w:t>
      </w:r>
      <w:r>
        <w:rPr>
          <w:rFonts w:hint="eastAsia" w:ascii="仿宋" w:hAnsi="仿宋" w:eastAsia="仿宋"/>
          <w:color w:val="auto"/>
          <w:kern w:val="0"/>
          <w:sz w:val="32"/>
          <w:szCs w:val="32"/>
          <w:shd w:val="clear" w:color="auto" w:fill="FFFFFF"/>
          <w:lang w:val="zh-CN"/>
        </w:rPr>
        <w:t>根据相关规定，结合项目方案，严格项目资金控制，质量合格等。</w:t>
      </w:r>
    </w:p>
    <w:p w14:paraId="5AE32BCD">
      <w:pPr>
        <w:adjustRightInd w:val="0"/>
        <w:snapToGrid w:val="0"/>
        <w:spacing w:line="578" w:lineRule="exact"/>
        <w:ind w:firstLine="640" w:firstLineChars="200"/>
        <w:contextualSpacing/>
        <w:jc w:val="left"/>
        <w:rPr>
          <w:rFonts w:ascii="仿宋" w:hAnsi="仿宋" w:eastAsia="仿宋" w:cs="楷体_GB2312"/>
          <w:color w:val="auto"/>
          <w:kern w:val="0"/>
          <w:sz w:val="32"/>
          <w:szCs w:val="32"/>
          <w:shd w:val="clear" w:color="auto" w:fill="FFFFFF"/>
          <w:lang w:val="zh-CN"/>
        </w:rPr>
      </w:pPr>
      <w:r>
        <w:rPr>
          <w:rFonts w:hint="eastAsia" w:ascii="仿宋" w:hAnsi="仿宋" w:eastAsia="仿宋" w:cs="楷体_GB2312"/>
          <w:color w:val="auto"/>
          <w:kern w:val="0"/>
          <w:sz w:val="32"/>
          <w:szCs w:val="32"/>
          <w:shd w:val="clear" w:color="auto" w:fill="FFFFFF"/>
        </w:rPr>
        <w:t>3.</w:t>
      </w:r>
      <w:r>
        <w:rPr>
          <w:rFonts w:hint="eastAsia" w:ascii="仿宋" w:hAnsi="仿宋" w:eastAsia="仿宋" w:cs="楷体_GB2312"/>
          <w:color w:val="auto"/>
          <w:kern w:val="0"/>
          <w:sz w:val="32"/>
          <w:szCs w:val="32"/>
          <w:shd w:val="clear" w:color="auto" w:fill="FFFFFF"/>
          <w:lang w:val="zh-CN"/>
        </w:rPr>
        <w:t>目标实现。</w:t>
      </w:r>
      <w:r>
        <w:rPr>
          <w:rFonts w:hint="eastAsia" w:ascii="仿宋" w:hAnsi="仿宋" w:eastAsia="仿宋"/>
          <w:color w:val="auto"/>
          <w:kern w:val="0"/>
          <w:sz w:val="32"/>
          <w:szCs w:val="32"/>
          <w:shd w:val="clear" w:color="auto" w:fill="FFFFFF"/>
          <w:lang w:val="zh-CN"/>
        </w:rPr>
        <w:t>根据项目方案，实施项目时相关指标达标率达95%以上，偏离度较低。</w:t>
      </w:r>
    </w:p>
    <w:p w14:paraId="62BAF996">
      <w:pPr>
        <w:widowControl/>
        <w:adjustRightInd w:val="0"/>
        <w:snapToGrid w:val="0"/>
        <w:spacing w:line="578" w:lineRule="exact"/>
        <w:ind w:firstLine="643" w:firstLineChars="200"/>
        <w:contextualSpacing/>
        <w:jc w:val="left"/>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w:t>
      </w:r>
      <w:r>
        <w:rPr>
          <w:rFonts w:hint="eastAsia" w:ascii="仿宋" w:hAnsi="仿宋" w:eastAsia="仿宋"/>
          <w:b/>
          <w:bCs/>
          <w:color w:val="auto"/>
          <w:kern w:val="0"/>
          <w:sz w:val="32"/>
          <w:szCs w:val="32"/>
          <w:shd w:val="clear" w:color="auto" w:fill="FFFFFF"/>
          <w:lang w:val="zh-CN"/>
        </w:rPr>
        <w:t>三</w:t>
      </w:r>
      <w:r>
        <w:rPr>
          <w:rFonts w:ascii="仿宋" w:hAnsi="仿宋" w:eastAsia="仿宋"/>
          <w:b/>
          <w:bCs/>
          <w:color w:val="auto"/>
          <w:kern w:val="0"/>
          <w:sz w:val="32"/>
          <w:szCs w:val="32"/>
          <w:shd w:val="clear" w:color="auto" w:fill="FFFFFF"/>
          <w:lang w:val="zh-CN"/>
        </w:rPr>
        <w:t>）重点领域绩效分析。</w:t>
      </w:r>
      <w:r>
        <w:rPr>
          <w:rFonts w:hint="eastAsia" w:ascii="仿宋" w:hAnsi="仿宋" w:eastAsia="仿宋"/>
          <w:b/>
          <w:bCs/>
          <w:color w:val="auto"/>
          <w:kern w:val="0"/>
          <w:sz w:val="32"/>
          <w:szCs w:val="32"/>
          <w:shd w:val="clear" w:color="auto" w:fill="FFFFFF"/>
          <w:lang w:val="zh-CN"/>
        </w:rPr>
        <w:t>无</w:t>
      </w:r>
    </w:p>
    <w:p w14:paraId="44EABC6C">
      <w:pPr>
        <w:widowControl/>
        <w:adjustRightInd w:val="0"/>
        <w:snapToGrid w:val="0"/>
        <w:spacing w:line="578" w:lineRule="exact"/>
        <w:ind w:firstLine="643" w:firstLineChars="200"/>
        <w:contextualSpacing/>
        <w:jc w:val="left"/>
        <w:rPr>
          <w:rFonts w:ascii="仿宋" w:hAnsi="仿宋" w:eastAsia="仿宋"/>
          <w:b/>
          <w:bCs/>
          <w:color w:val="auto"/>
          <w:sz w:val="32"/>
          <w:szCs w:val="32"/>
          <w:lang w:val="zh-CN"/>
        </w:rPr>
      </w:pPr>
      <w:r>
        <w:rPr>
          <w:rFonts w:ascii="仿宋" w:hAnsi="仿宋" w:eastAsia="仿宋"/>
          <w:b/>
          <w:bCs/>
          <w:color w:val="auto"/>
          <w:sz w:val="32"/>
          <w:szCs w:val="32"/>
          <w:lang w:val="zh-CN"/>
        </w:rPr>
        <w:t>（四）绩效结果应用情况</w:t>
      </w:r>
      <w:r>
        <w:rPr>
          <w:rFonts w:hint="eastAsia" w:ascii="仿宋" w:hAnsi="仿宋" w:eastAsia="仿宋"/>
          <w:b/>
          <w:bCs/>
          <w:color w:val="auto"/>
          <w:sz w:val="32"/>
          <w:szCs w:val="32"/>
          <w:lang w:val="zh-CN"/>
        </w:rPr>
        <w:t>。</w:t>
      </w:r>
    </w:p>
    <w:p w14:paraId="4707F3B8">
      <w:pPr>
        <w:adjustRightInd w:val="0"/>
        <w:snapToGrid w:val="0"/>
        <w:spacing w:line="578" w:lineRule="exact"/>
        <w:ind w:firstLine="640" w:firstLineChars="200"/>
        <w:contextualSpacing/>
        <w:jc w:val="left"/>
        <w:rPr>
          <w:rFonts w:ascii="仿宋" w:hAnsi="仿宋" w:eastAsia="仿宋"/>
          <w:color w:val="auto"/>
          <w:kern w:val="0"/>
          <w:sz w:val="32"/>
          <w:szCs w:val="32"/>
          <w:shd w:val="clear" w:color="auto" w:fill="FFFFFF"/>
        </w:rPr>
      </w:pPr>
      <w:r>
        <w:rPr>
          <w:rFonts w:hint="eastAsia" w:ascii="仿宋" w:hAnsi="仿宋" w:eastAsia="仿宋"/>
          <w:color w:val="auto"/>
          <w:kern w:val="0"/>
          <w:sz w:val="32"/>
          <w:szCs w:val="32"/>
          <w:shd w:val="clear" w:color="auto" w:fill="FFFFFF"/>
        </w:rPr>
        <w:t>1.政府采购方面：202</w:t>
      </w:r>
      <w:r>
        <w:rPr>
          <w:rFonts w:hint="eastAsia" w:ascii="仿宋" w:hAnsi="仿宋" w:eastAsia="仿宋"/>
          <w:color w:val="auto"/>
          <w:kern w:val="0"/>
          <w:sz w:val="32"/>
          <w:szCs w:val="32"/>
          <w:shd w:val="clear" w:color="auto" w:fill="FFFFFF"/>
          <w:lang w:val="en-US" w:eastAsia="zh-CN"/>
        </w:rPr>
        <w:t>4</w:t>
      </w:r>
      <w:r>
        <w:rPr>
          <w:rFonts w:hint="eastAsia" w:ascii="仿宋" w:hAnsi="仿宋" w:eastAsia="仿宋"/>
          <w:color w:val="auto"/>
          <w:kern w:val="0"/>
          <w:sz w:val="32"/>
          <w:szCs w:val="32"/>
          <w:shd w:val="clear" w:color="auto" w:fill="FFFFFF"/>
        </w:rPr>
        <w:t>年我单位有政府采购，严格按固定资产管理办法进行登记入账。</w:t>
      </w:r>
    </w:p>
    <w:p w14:paraId="59D5D8AC">
      <w:pPr>
        <w:adjustRightInd w:val="0"/>
        <w:snapToGrid w:val="0"/>
        <w:spacing w:line="578" w:lineRule="exact"/>
        <w:ind w:firstLine="640" w:firstLineChars="200"/>
        <w:contextualSpacing/>
        <w:jc w:val="left"/>
        <w:rPr>
          <w:rFonts w:ascii="仿宋" w:hAnsi="仿宋" w:eastAsia="仿宋"/>
          <w:color w:val="auto"/>
          <w:kern w:val="0"/>
          <w:sz w:val="32"/>
          <w:szCs w:val="32"/>
          <w:shd w:val="clear" w:color="auto" w:fill="FFFFFF"/>
        </w:rPr>
      </w:pPr>
      <w:r>
        <w:rPr>
          <w:rFonts w:hint="eastAsia" w:ascii="仿宋" w:hAnsi="仿宋" w:eastAsia="仿宋"/>
          <w:color w:val="auto"/>
          <w:kern w:val="0"/>
          <w:sz w:val="32"/>
          <w:szCs w:val="32"/>
          <w:shd w:val="clear" w:color="auto" w:fill="FFFFFF"/>
        </w:rPr>
        <w:t>2.内控制度方面:为进一步做好行政事业单位内部控制基础性工作，贯彻执行县财政局《关于开展行政事业单位内部控制报告编报工作的通知》和相关文件要求，结合我单位实际，特制订以下制度草案：《阿坝州</w:t>
      </w:r>
      <w:r>
        <w:rPr>
          <w:rFonts w:hint="eastAsia" w:ascii="仿宋" w:hAnsi="仿宋" w:eastAsia="仿宋"/>
          <w:color w:val="auto"/>
          <w:kern w:val="0"/>
          <w:sz w:val="32"/>
          <w:szCs w:val="32"/>
          <w:shd w:val="clear" w:color="auto" w:fill="FFFFFF"/>
          <w:lang w:eastAsia="zh-CN"/>
        </w:rPr>
        <w:t>松潘</w:t>
      </w:r>
      <w:r>
        <w:rPr>
          <w:rFonts w:hint="eastAsia" w:ascii="仿宋" w:hAnsi="仿宋" w:eastAsia="仿宋"/>
          <w:color w:val="auto"/>
          <w:kern w:val="0"/>
          <w:sz w:val="32"/>
          <w:szCs w:val="32"/>
          <w:shd w:val="clear" w:color="auto" w:fill="FFFFFF"/>
        </w:rPr>
        <w:t>生态环境局预算管理制度》、《阿坝州</w:t>
      </w:r>
      <w:r>
        <w:rPr>
          <w:rFonts w:hint="eastAsia" w:ascii="仿宋" w:hAnsi="仿宋" w:eastAsia="仿宋"/>
          <w:color w:val="auto"/>
          <w:kern w:val="0"/>
          <w:sz w:val="32"/>
          <w:szCs w:val="32"/>
          <w:shd w:val="clear" w:color="auto" w:fill="FFFFFF"/>
          <w:lang w:eastAsia="zh-CN"/>
        </w:rPr>
        <w:t>松潘</w:t>
      </w:r>
      <w:r>
        <w:rPr>
          <w:rFonts w:hint="eastAsia" w:ascii="仿宋" w:hAnsi="仿宋" w:eastAsia="仿宋"/>
          <w:color w:val="auto"/>
          <w:kern w:val="0"/>
          <w:sz w:val="32"/>
          <w:szCs w:val="32"/>
          <w:shd w:val="clear" w:color="auto" w:fill="FFFFFF"/>
        </w:rPr>
        <w:t>生态环境局财务收支管理制度》、《阿坝州金川生态环境局采购及管理制度》、《阿坝州</w:t>
      </w:r>
      <w:r>
        <w:rPr>
          <w:rFonts w:hint="eastAsia" w:ascii="仿宋" w:hAnsi="仿宋" w:eastAsia="仿宋"/>
          <w:color w:val="auto"/>
          <w:kern w:val="0"/>
          <w:sz w:val="32"/>
          <w:szCs w:val="32"/>
          <w:shd w:val="clear" w:color="auto" w:fill="FFFFFF"/>
          <w:lang w:eastAsia="zh-CN"/>
        </w:rPr>
        <w:t>松潘</w:t>
      </w:r>
      <w:r>
        <w:rPr>
          <w:rFonts w:hint="eastAsia" w:ascii="仿宋" w:hAnsi="仿宋" w:eastAsia="仿宋"/>
          <w:color w:val="auto"/>
          <w:kern w:val="0"/>
          <w:sz w:val="32"/>
          <w:szCs w:val="32"/>
          <w:shd w:val="clear" w:color="auto" w:fill="FFFFFF"/>
        </w:rPr>
        <w:t>生态环境局资产管理制度》《阿坝州</w:t>
      </w:r>
      <w:r>
        <w:rPr>
          <w:rFonts w:hint="eastAsia" w:ascii="仿宋" w:hAnsi="仿宋" w:eastAsia="仿宋"/>
          <w:color w:val="auto"/>
          <w:kern w:val="0"/>
          <w:sz w:val="32"/>
          <w:szCs w:val="32"/>
          <w:shd w:val="clear" w:color="auto" w:fill="FFFFFF"/>
          <w:lang w:eastAsia="zh-CN"/>
        </w:rPr>
        <w:t>松潘</w:t>
      </w:r>
      <w:r>
        <w:rPr>
          <w:rFonts w:hint="eastAsia" w:ascii="仿宋" w:hAnsi="仿宋" w:eastAsia="仿宋"/>
          <w:color w:val="auto"/>
          <w:kern w:val="0"/>
          <w:sz w:val="32"/>
          <w:szCs w:val="32"/>
          <w:shd w:val="clear" w:color="auto" w:fill="FFFFFF"/>
        </w:rPr>
        <w:t>生态环境局差旅费报销制度》等。</w:t>
      </w:r>
    </w:p>
    <w:p w14:paraId="50B1C4AE">
      <w:pPr>
        <w:adjustRightInd w:val="0"/>
        <w:snapToGrid w:val="0"/>
        <w:spacing w:line="578" w:lineRule="exact"/>
        <w:ind w:firstLine="640" w:firstLineChars="200"/>
        <w:contextualSpacing/>
        <w:jc w:val="left"/>
        <w:rPr>
          <w:rFonts w:ascii="仿宋" w:hAnsi="仿宋" w:eastAsia="仿宋"/>
          <w:color w:val="auto"/>
          <w:kern w:val="0"/>
          <w:sz w:val="32"/>
          <w:szCs w:val="32"/>
          <w:shd w:val="clear" w:color="auto" w:fill="FFFFFF"/>
        </w:rPr>
      </w:pPr>
      <w:r>
        <w:rPr>
          <w:rFonts w:hint="eastAsia" w:ascii="仿宋" w:hAnsi="仿宋" w:eastAsia="仿宋"/>
          <w:color w:val="auto"/>
          <w:kern w:val="0"/>
          <w:sz w:val="32"/>
          <w:szCs w:val="32"/>
          <w:shd w:val="clear" w:color="auto" w:fill="FFFFFF"/>
        </w:rPr>
        <w:t>3.信息公开方面：预算决算公开按财政局的要求在收到财政批复后20个工作日在</w:t>
      </w:r>
      <w:r>
        <w:rPr>
          <w:rFonts w:hint="eastAsia" w:ascii="仿宋" w:hAnsi="仿宋" w:eastAsia="仿宋"/>
          <w:color w:val="auto"/>
          <w:kern w:val="0"/>
          <w:sz w:val="32"/>
          <w:szCs w:val="32"/>
          <w:shd w:val="clear" w:color="auto" w:fill="FFFFFF"/>
          <w:lang w:eastAsia="zh-CN"/>
        </w:rPr>
        <w:t>松潘</w:t>
      </w:r>
      <w:r>
        <w:rPr>
          <w:rFonts w:hint="eastAsia" w:ascii="仿宋" w:hAnsi="仿宋" w:eastAsia="仿宋"/>
          <w:color w:val="auto"/>
          <w:kern w:val="0"/>
          <w:sz w:val="32"/>
          <w:szCs w:val="32"/>
          <w:shd w:val="clear" w:color="auto" w:fill="FFFFFF"/>
        </w:rPr>
        <w:t>县政府中心的信息网站进行公开。</w:t>
      </w:r>
    </w:p>
    <w:p w14:paraId="14BA0153">
      <w:pPr>
        <w:adjustRightInd w:val="0"/>
        <w:snapToGrid w:val="0"/>
        <w:spacing w:line="578" w:lineRule="exact"/>
        <w:ind w:firstLine="640" w:firstLineChars="200"/>
        <w:contextualSpacing/>
        <w:jc w:val="left"/>
        <w:rPr>
          <w:rFonts w:ascii="仿宋" w:hAnsi="仿宋" w:eastAsia="仿宋"/>
          <w:color w:val="auto"/>
          <w:kern w:val="0"/>
          <w:sz w:val="32"/>
          <w:szCs w:val="32"/>
          <w:shd w:val="clear" w:color="auto" w:fill="FFFFFF"/>
        </w:rPr>
      </w:pPr>
      <w:r>
        <w:rPr>
          <w:rFonts w:hint="eastAsia" w:ascii="仿宋" w:hAnsi="仿宋" w:eastAsia="仿宋"/>
          <w:color w:val="auto"/>
          <w:kern w:val="0"/>
          <w:sz w:val="32"/>
          <w:szCs w:val="32"/>
          <w:shd w:val="clear" w:color="auto" w:fill="FFFFFF"/>
        </w:rPr>
        <w:t>4.绩效评价及财政监督情况:按财政局文件的部门支出绩效评价指标体系进行单位自评，按财政要求收支并接受财政的监督管理。</w:t>
      </w:r>
    </w:p>
    <w:p w14:paraId="3A61400C">
      <w:pPr>
        <w:widowControl/>
        <w:adjustRightInd w:val="0"/>
        <w:snapToGrid w:val="0"/>
        <w:spacing w:line="578" w:lineRule="exact"/>
        <w:ind w:firstLine="640" w:firstLineChars="200"/>
        <w:contextualSpacing/>
        <w:jc w:val="left"/>
        <w:rPr>
          <w:rFonts w:ascii="黑体" w:hAnsi="黑体" w:eastAsia="黑体"/>
          <w:color w:val="auto"/>
          <w:kern w:val="0"/>
          <w:sz w:val="32"/>
          <w:szCs w:val="32"/>
          <w:shd w:val="clear" w:color="auto" w:fill="FFFFFF"/>
        </w:rPr>
      </w:pPr>
      <w:r>
        <w:rPr>
          <w:rFonts w:ascii="黑体" w:hAnsi="黑体" w:eastAsia="黑体"/>
          <w:color w:val="auto"/>
          <w:kern w:val="0"/>
          <w:sz w:val="32"/>
          <w:szCs w:val="32"/>
          <w:shd w:val="clear" w:color="auto" w:fill="FFFFFF"/>
        </w:rPr>
        <w:t>四、评价结论及建议</w:t>
      </w:r>
    </w:p>
    <w:p w14:paraId="146BB2C5">
      <w:pPr>
        <w:widowControl/>
        <w:adjustRightInd w:val="0"/>
        <w:snapToGrid w:val="0"/>
        <w:spacing w:line="600" w:lineRule="exact"/>
        <w:ind w:firstLine="643" w:firstLineChars="200"/>
        <w:jc w:val="left"/>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（一）评价结论。</w:t>
      </w:r>
    </w:p>
    <w:p w14:paraId="37A958B2">
      <w:pPr>
        <w:widowControl/>
        <w:adjustRightInd w:val="0"/>
        <w:snapToGrid w:val="0"/>
        <w:spacing w:line="60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14:paraId="4D665C7C">
      <w:pPr>
        <w:widowControl/>
        <w:adjustRightInd w:val="0"/>
        <w:snapToGrid w:val="0"/>
        <w:spacing w:line="600" w:lineRule="exact"/>
        <w:ind w:firstLine="643" w:firstLineChars="200"/>
        <w:jc w:val="left"/>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（二）存在问题。</w:t>
      </w:r>
    </w:p>
    <w:p w14:paraId="26F3A7DA">
      <w:pPr>
        <w:widowControl/>
        <w:adjustRightInd w:val="0"/>
        <w:snapToGrid w:val="0"/>
        <w:spacing w:line="60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我单位有人员增减不定，存在预算不精准，调整追加（减）预算情况;</w:t>
      </w:r>
    </w:p>
    <w:p w14:paraId="09B4D234">
      <w:pPr>
        <w:widowControl/>
        <w:adjustRightInd w:val="0"/>
        <w:snapToGrid w:val="0"/>
        <w:spacing w:line="600" w:lineRule="exact"/>
        <w:ind w:firstLine="643" w:firstLineChars="200"/>
        <w:jc w:val="left"/>
        <w:rPr>
          <w:rFonts w:ascii="仿宋" w:hAnsi="仿宋" w:eastAsia="仿宋"/>
          <w:b/>
          <w:bCs/>
          <w:color w:val="auto"/>
          <w:kern w:val="0"/>
          <w:sz w:val="32"/>
          <w:szCs w:val="32"/>
          <w:shd w:val="clear" w:color="auto" w:fill="FFFFFF"/>
          <w:lang w:val="zh-CN"/>
        </w:rPr>
      </w:pPr>
      <w:r>
        <w:rPr>
          <w:rFonts w:ascii="仿宋" w:hAnsi="仿宋" w:eastAsia="仿宋"/>
          <w:b/>
          <w:bCs/>
          <w:color w:val="auto"/>
          <w:kern w:val="0"/>
          <w:sz w:val="32"/>
          <w:szCs w:val="32"/>
          <w:shd w:val="clear" w:color="auto" w:fill="FFFFFF"/>
          <w:lang w:val="zh-CN"/>
        </w:rPr>
        <w:t>（三）改进建议。</w:t>
      </w:r>
    </w:p>
    <w:p w14:paraId="0E7CE5FA">
      <w:pPr>
        <w:widowControl/>
        <w:adjustRightInd w:val="0"/>
        <w:snapToGrid w:val="0"/>
        <w:spacing w:line="600" w:lineRule="exact"/>
        <w:ind w:firstLine="640" w:firstLineChars="200"/>
        <w:jc w:val="left"/>
        <w:rPr>
          <w:rFonts w:ascii="仿宋" w:hAnsi="仿宋" w:eastAsia="仿宋"/>
          <w:color w:val="auto"/>
          <w:sz w:val="32"/>
          <w:szCs w:val="32"/>
        </w:rPr>
      </w:pPr>
      <w:r>
        <w:rPr>
          <w:rFonts w:hint="eastAsia" w:ascii="仿宋" w:hAnsi="仿宋" w:eastAsia="仿宋" w:cs="仿宋_GB2312"/>
          <w:color w:val="auto"/>
          <w:sz w:val="32"/>
          <w:szCs w:val="32"/>
        </w:rPr>
        <w:t>我单位将进一步重视预算的编制工作，提高预算编制的精确度，提高财政资金使用效率，尽量减少预算执行调整、结余追减的情形；加快完成财务管理规章制度建设、加强会计核算和财务管理能力，及时与县财政局相关科室对接工作，提升工作效率。</w:t>
      </w:r>
    </w:p>
    <w:p w14:paraId="2460F0E1">
      <w:pPr>
        <w:pStyle w:val="3"/>
        <w:jc w:val="center"/>
        <w:rPr>
          <w:rFonts w:hint="eastAsia" w:ascii="黑体" w:hAnsi="黑体" w:eastAsia="黑体" w:cs="黑体"/>
          <w:color w:val="auto"/>
        </w:rPr>
      </w:pPr>
    </w:p>
    <w:p w14:paraId="432B0497">
      <w:pPr>
        <w:pStyle w:val="3"/>
        <w:jc w:val="center"/>
        <w:rPr>
          <w:rFonts w:hint="eastAsia" w:ascii="黑体" w:hAnsi="黑体" w:eastAsia="黑体" w:cs="黑体"/>
          <w:color w:val="auto"/>
        </w:rPr>
      </w:pPr>
    </w:p>
    <w:p w14:paraId="7993D598">
      <w:pPr>
        <w:rPr>
          <w:rFonts w:hint="eastAsia" w:ascii="黑体" w:hAnsi="黑体" w:eastAsia="黑体" w:cs="黑体"/>
          <w:color w:val="auto"/>
        </w:rPr>
      </w:pPr>
    </w:p>
    <w:p w14:paraId="4C4C3D8B">
      <w:pPr>
        <w:pStyle w:val="2"/>
        <w:rPr>
          <w:rFonts w:hint="eastAsia" w:ascii="黑体" w:hAnsi="黑体" w:eastAsia="黑体" w:cs="黑体"/>
          <w:color w:val="auto"/>
        </w:rPr>
      </w:pPr>
    </w:p>
    <w:p w14:paraId="3FE4DCDE">
      <w:pPr>
        <w:pStyle w:val="2"/>
        <w:rPr>
          <w:rFonts w:hint="eastAsia" w:ascii="黑体" w:hAnsi="黑体" w:eastAsia="黑体" w:cs="黑体"/>
          <w:color w:val="auto"/>
        </w:rPr>
      </w:pPr>
    </w:p>
    <w:p w14:paraId="7F2F7B20">
      <w:pPr>
        <w:pStyle w:val="2"/>
        <w:rPr>
          <w:rFonts w:hint="eastAsia" w:ascii="黑体" w:hAnsi="黑体" w:eastAsia="黑体" w:cs="黑体"/>
          <w:color w:val="auto"/>
        </w:rPr>
      </w:pPr>
    </w:p>
    <w:p w14:paraId="10686E28">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7DA07A23">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7F3E942D">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5607E0C5">
      <w:pPr>
        <w:pStyle w:val="36"/>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2FCF9F7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color w:val="auto"/>
          <w:sz w:val="32"/>
          <w:szCs w:val="32"/>
          <w:highlight w:val="none"/>
          <w:lang w:val="zh-CN"/>
        </w:rPr>
      </w:pPr>
      <w:r>
        <w:rPr>
          <w:rFonts w:hint="eastAsia" w:ascii="Times New Roman" w:hAnsi="Times New Roman" w:eastAsia="黑体"/>
          <w:color w:val="auto"/>
          <w:sz w:val="32"/>
          <w:szCs w:val="32"/>
          <w:highlight w:val="none"/>
        </w:rPr>
        <w:t>一、</w:t>
      </w:r>
      <w:r>
        <w:rPr>
          <w:rFonts w:hint="eastAsia" w:ascii="Times New Roman" w:hAnsi="Times New Roman" w:eastAsia="黑体"/>
          <w:color w:val="auto"/>
          <w:sz w:val="32"/>
          <w:szCs w:val="32"/>
          <w:highlight w:val="none"/>
          <w:lang w:val="zh-CN"/>
        </w:rPr>
        <w:t>项目概况</w:t>
      </w:r>
    </w:p>
    <w:p w14:paraId="4310D74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color w:val="auto"/>
          <w:kern w:val="0"/>
          <w:position w:val="0"/>
          <w:sz w:val="32"/>
          <w:szCs w:val="32"/>
          <w:highlight w:val="none"/>
          <w:lang w:val="en-US" w:eastAsia="zh-CN" w:bidi="ar-SA"/>
        </w:rPr>
        <w:t>项目设立原因及背景，</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项目立项、资金申报的依据，项目主要内容</w:t>
      </w:r>
      <w:r>
        <w:rPr>
          <w:rFonts w:hint="eastAsia" w:ascii="Times New Roman" w:hAnsi="Times New Roman" w:eastAsia="仿宋_GB2312" w:cs="仿宋_GB2312"/>
          <w:b w:val="0"/>
          <w:bCs w:val="0"/>
          <w:color w:val="auto"/>
          <w:kern w:val="0"/>
          <w:position w:val="0"/>
          <w:sz w:val="32"/>
          <w:szCs w:val="32"/>
          <w:highlight w:val="none"/>
          <w:lang w:val="en-US" w:eastAsia="zh-CN" w:bidi="ar-SA"/>
        </w:rPr>
        <w:t>。</w:t>
      </w:r>
      <w:r>
        <w:rPr>
          <w:rFonts w:hint="eastAsia" w:ascii="Times New Roman" w:hAnsi="Times New Roman" w:eastAsia="仿宋_GB2312" w:cs="仿宋_GB2312"/>
          <w:b w:val="0"/>
          <w:bCs w:val="0"/>
          <w:color w:val="auto"/>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14:paraId="4179105A">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color w:val="auto"/>
          <w:kern w:val="0"/>
          <w:position w:val="0"/>
          <w:sz w:val="32"/>
          <w:szCs w:val="32"/>
          <w:highlight w:val="none"/>
          <w:lang w:val="en-US" w:eastAsia="zh-CN" w:bidi="ar-SA"/>
        </w:rPr>
        <w:t>项目资金</w:t>
      </w:r>
      <w:r>
        <w:rPr>
          <w:rFonts w:hint="eastAsia" w:ascii="Times New Roman" w:hAnsi="Times New Roman" w:eastAsia="仿宋_GB2312" w:cs="仿宋_GB2312"/>
          <w:b w:val="0"/>
          <w:bCs w:val="0"/>
          <w:color w:val="auto"/>
          <w:kern w:val="0"/>
          <w:position w:val="0"/>
          <w:sz w:val="32"/>
          <w:szCs w:val="32"/>
          <w:highlight w:val="none"/>
          <w:lang w:val="zh-CN" w:eastAsia="zh-CN" w:bidi="ar-SA"/>
        </w:rPr>
        <w:t>管理办法制定情况，项目实施目的和主要工作任务，项目支持方向。</w:t>
      </w:r>
    </w:p>
    <w:p w14:paraId="4ABE8FE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项目预算安排情况，项目资金分配原则及考虑因素，项目资金分配情况。</w:t>
      </w:r>
    </w:p>
    <w:p w14:paraId="45161234">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项目整体、区域和具体绩效目标设置情况，项目自评工作开展情况。</w:t>
      </w:r>
    </w:p>
    <w:p w14:paraId="4800AAF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rPr>
        <w:t>二、</w:t>
      </w:r>
      <w:r>
        <w:rPr>
          <w:rFonts w:hint="eastAsia" w:ascii="Times New Roman" w:hAnsi="Times New Roman" w:eastAsia="黑体"/>
          <w:color w:val="auto"/>
          <w:sz w:val="32"/>
          <w:szCs w:val="32"/>
          <w:highlight w:val="none"/>
          <w:lang w:eastAsia="zh-CN"/>
        </w:rPr>
        <w:t>评价实施</w:t>
      </w:r>
    </w:p>
    <w:p w14:paraId="7F9262E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color w:val="auto"/>
          <w:kern w:val="0"/>
          <w:position w:val="0"/>
          <w:sz w:val="32"/>
          <w:szCs w:val="32"/>
          <w:highlight w:val="none"/>
          <w:lang w:val="zh-CN" w:eastAsia="zh-CN" w:bidi="ar-SA"/>
        </w:rPr>
        <w:t>通过项目绩效自评要实现的目的。</w:t>
      </w:r>
    </w:p>
    <w:p w14:paraId="14B2377E">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color w:val="auto"/>
          <w:kern w:val="0"/>
          <w:position w:val="0"/>
          <w:sz w:val="32"/>
          <w:szCs w:val="32"/>
          <w:highlight w:val="none"/>
          <w:lang w:val="zh-CN" w:eastAsia="zh-CN" w:bidi="ar-SA"/>
        </w:rPr>
        <w:t>按照绩效评价指标体系，对资金支出使用全过程及其实施效果进行综合评价和判断。</w:t>
      </w:r>
    </w:p>
    <w:p w14:paraId="684457F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14:paraId="71E338D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color w:val="auto"/>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0E69340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color w:val="auto"/>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color w:val="auto"/>
          <w:kern w:val="0"/>
          <w:position w:val="0"/>
          <w:sz w:val="32"/>
          <w:szCs w:val="32"/>
          <w:highlight w:val="none"/>
          <w:lang w:val="zh-CN" w:eastAsia="zh-CN" w:bidi="ar-SA"/>
        </w:rPr>
        <w:t>评价组人员构成和职责分工。</w:t>
      </w:r>
    </w:p>
    <w:p w14:paraId="2B5262E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7D0D524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default" w:ascii="Times New Roman" w:hAnsi="Times New Roman" w:eastAsia="仿宋_GB2312" w:cs="仿宋_GB2312"/>
          <w:b w:val="0"/>
          <w:bCs w:val="0"/>
          <w:color w:val="auto"/>
          <w:kern w:val="0"/>
          <w:position w:val="0"/>
          <w:sz w:val="32"/>
          <w:szCs w:val="32"/>
          <w:highlight w:val="none"/>
          <w:lang w:val="zh-CN" w:eastAsia="zh-CN" w:bidi="ar-SA"/>
        </w:rPr>
        <w:t>根据</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w:t>
      </w:r>
      <w:r>
        <w:rPr>
          <w:rFonts w:hint="default" w:ascii="Times New Roman" w:hAnsi="Times New Roman" w:eastAsia="仿宋_GB2312" w:cs="仿宋_GB2312"/>
          <w:b w:val="0"/>
          <w:bCs w:val="0"/>
          <w:color w:val="auto"/>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color w:val="auto"/>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color w:val="auto"/>
          <w:kern w:val="0"/>
          <w:position w:val="0"/>
          <w:sz w:val="32"/>
          <w:szCs w:val="32"/>
          <w:highlight w:val="none"/>
          <w:lang w:val="zh-CN" w:eastAsia="zh-CN" w:bidi="ar-SA"/>
        </w:rPr>
        <w:t>涉及</w:t>
      </w:r>
      <w:r>
        <w:rPr>
          <w:rFonts w:hint="eastAsia" w:ascii="Times New Roman" w:hAnsi="Times New Roman" w:eastAsia="仿宋_GB2312" w:cs="仿宋_GB2312"/>
          <w:b w:val="0"/>
          <w:bCs w:val="0"/>
          <w:color w:val="auto"/>
          <w:kern w:val="0"/>
          <w:position w:val="0"/>
          <w:sz w:val="32"/>
          <w:szCs w:val="32"/>
          <w:highlight w:val="none"/>
          <w:lang w:val="zh-CN" w:eastAsia="zh-CN" w:bidi="ar-SA"/>
        </w:rPr>
        <w:t>二、三级</w:t>
      </w:r>
      <w:r>
        <w:rPr>
          <w:rFonts w:hint="default" w:ascii="Times New Roman" w:hAnsi="Times New Roman" w:eastAsia="仿宋_GB2312" w:cs="仿宋_GB2312"/>
          <w:b w:val="0"/>
          <w:bCs w:val="0"/>
          <w:color w:val="auto"/>
          <w:kern w:val="0"/>
          <w:position w:val="0"/>
          <w:sz w:val="32"/>
          <w:szCs w:val="32"/>
          <w:highlight w:val="none"/>
          <w:lang w:val="zh-CN" w:eastAsia="zh-CN" w:bidi="ar-SA"/>
        </w:rPr>
        <w:t>指标进行</w:t>
      </w:r>
      <w:r>
        <w:rPr>
          <w:rFonts w:hint="eastAsia" w:ascii="Times New Roman" w:hAnsi="Times New Roman" w:eastAsia="仿宋_GB2312" w:cs="仿宋_GB2312"/>
          <w:b w:val="0"/>
          <w:bCs w:val="0"/>
          <w:color w:val="auto"/>
          <w:kern w:val="0"/>
          <w:position w:val="0"/>
          <w:sz w:val="32"/>
          <w:szCs w:val="32"/>
          <w:highlight w:val="none"/>
          <w:lang w:val="zh-CN" w:eastAsia="zh-CN" w:bidi="ar-SA"/>
        </w:rPr>
        <w:t>逐项</w:t>
      </w:r>
      <w:r>
        <w:rPr>
          <w:rFonts w:hint="default" w:ascii="Times New Roman" w:hAnsi="Times New Roman" w:eastAsia="仿宋_GB2312" w:cs="仿宋_GB2312"/>
          <w:b w:val="0"/>
          <w:bCs w:val="0"/>
          <w:color w:val="auto"/>
          <w:kern w:val="0"/>
          <w:position w:val="0"/>
          <w:sz w:val="32"/>
          <w:szCs w:val="32"/>
          <w:highlight w:val="none"/>
          <w:lang w:val="zh-CN" w:eastAsia="zh-CN" w:bidi="ar-SA"/>
        </w:rPr>
        <w:t>绩效分析</w:t>
      </w:r>
      <w:r>
        <w:rPr>
          <w:rFonts w:hint="eastAsia" w:ascii="Times New Roman" w:hAnsi="Times New Roman" w:eastAsia="仿宋_GB2312" w:cs="仿宋_GB2312"/>
          <w:b w:val="0"/>
          <w:bCs w:val="0"/>
          <w:color w:val="auto"/>
          <w:kern w:val="0"/>
          <w:position w:val="0"/>
          <w:sz w:val="32"/>
          <w:szCs w:val="32"/>
          <w:highlight w:val="none"/>
          <w:lang w:val="zh-CN" w:eastAsia="zh-CN" w:bidi="ar-SA"/>
        </w:rPr>
        <w:t>并评分</w:t>
      </w:r>
      <w:r>
        <w:rPr>
          <w:rFonts w:hint="eastAsia" w:ascii="Times New Roman" w:hAnsi="Times New Roman" w:eastAsia="仿宋_GB2312" w:cs="仿宋_GB2312"/>
          <w:b w:val="0"/>
          <w:bCs w:val="0"/>
          <w:color w:val="auto"/>
          <w:kern w:val="0"/>
          <w:position w:val="0"/>
          <w:sz w:val="32"/>
          <w:szCs w:val="32"/>
          <w:highlight w:val="none"/>
          <w:lang w:val="en-US" w:eastAsia="zh-CN" w:bidi="ar-SA"/>
        </w:rPr>
        <w:t>。</w:t>
      </w:r>
    </w:p>
    <w:p w14:paraId="632E12C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auto"/>
          <w:kern w:val="0"/>
          <w:sz w:val="32"/>
          <w:szCs w:val="32"/>
          <w:highlight w:val="none"/>
          <w:shd w:val="clear" w:color="auto" w:fill="FFFFFF"/>
          <w:lang w:val="zh-CN"/>
        </w:rPr>
        <w:t>绩效分析。</w:t>
      </w:r>
    </w:p>
    <w:p w14:paraId="27D2138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1.</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项目决策。围绕决策程序、规划论证、资金投向进行绩效分析。</w:t>
      </w:r>
    </w:p>
    <w:p w14:paraId="5A47ADD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2.</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项目管理。围绕制度办法、分配管理、绩效监管进行绩效分析。</w:t>
      </w:r>
    </w:p>
    <w:p w14:paraId="3D75E6D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3.项目实施。</w:t>
      </w:r>
      <w:r>
        <w:rPr>
          <w:rFonts w:hint="eastAsia" w:ascii="Times New Roman" w:hAnsi="Times New Roman" w:eastAsia="仿宋_GB2312" w:cs="仿宋_GB2312"/>
          <w:b w:val="0"/>
          <w:bCs w:val="0"/>
          <w:color w:val="auto"/>
          <w:kern w:val="0"/>
          <w:position w:val="0"/>
          <w:sz w:val="32"/>
          <w:szCs w:val="32"/>
          <w:highlight w:val="none"/>
          <w:lang w:val="zh-CN" w:eastAsia="zh-CN" w:bidi="ar-SA"/>
        </w:rPr>
        <w:t>围绕预算执行、资金使用进行绩效分析。</w:t>
      </w:r>
    </w:p>
    <w:p w14:paraId="59F894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4.项目结果。围绕</w:t>
      </w:r>
      <w:r>
        <w:rPr>
          <w:rFonts w:hint="eastAsia" w:ascii="Times New Roman" w:hAnsi="Times New Roman" w:eastAsia="仿宋_GB2312" w:cs="仿宋_GB2312"/>
          <w:b w:val="0"/>
          <w:bCs w:val="0"/>
          <w:color w:val="auto"/>
          <w:kern w:val="0"/>
          <w:position w:val="0"/>
          <w:sz w:val="32"/>
          <w:szCs w:val="32"/>
          <w:highlight w:val="none"/>
          <w:lang w:val="zh-CN" w:eastAsia="zh-CN" w:bidi="ar-SA"/>
        </w:rPr>
        <w:t>目标完成、完成时效进行绩效分析。</w:t>
      </w:r>
    </w:p>
    <w:p w14:paraId="7FEA67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auto"/>
          <w:kern w:val="0"/>
          <w:sz w:val="32"/>
          <w:szCs w:val="32"/>
          <w:highlight w:val="none"/>
          <w:shd w:val="clear" w:color="auto" w:fill="FFFFFF"/>
          <w:lang w:val="zh-CN"/>
        </w:rPr>
        <w:t>绩效分析。</w:t>
      </w:r>
      <w:r>
        <w:rPr>
          <w:rFonts w:hint="eastAsia" w:ascii="Times New Roman" w:hAnsi="Times New Roman" w:eastAsia="仿宋_GB2312" w:cs="仿宋_GB2312"/>
          <w:b w:val="0"/>
          <w:bCs w:val="0"/>
          <w:color w:val="auto"/>
          <w:kern w:val="0"/>
          <w:position w:val="0"/>
          <w:sz w:val="32"/>
          <w:szCs w:val="32"/>
          <w:highlight w:val="none"/>
          <w:lang w:val="zh-CN" w:eastAsia="zh-CN" w:bidi="ar-SA"/>
        </w:rPr>
        <w:t>根据</w:t>
      </w:r>
      <w:r>
        <w:rPr>
          <w:rFonts w:hint="eastAsia" w:ascii="Times New Roman" w:hAnsi="Times New Roman" w:eastAsia="仿宋_GB2312" w:cs="仿宋_GB2312"/>
          <w:b w:val="0"/>
          <w:bCs w:val="0"/>
          <w:color w:val="auto"/>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color w:val="auto"/>
          <w:kern w:val="0"/>
          <w:position w:val="0"/>
          <w:sz w:val="32"/>
          <w:szCs w:val="32"/>
          <w:highlight w:val="none"/>
          <w:lang w:val="zh-CN" w:eastAsia="zh-CN" w:bidi="ar-SA"/>
        </w:rPr>
        <w:t>包括产业发展、民生保障、基础设施、行政运转等方面。</w:t>
      </w:r>
    </w:p>
    <w:p w14:paraId="3376341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1.产业发展。围绕符合性、成长性、经济性进行绩效分析。</w:t>
      </w:r>
    </w:p>
    <w:p w14:paraId="74F0221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2.</w:t>
      </w:r>
      <w:r>
        <w:rPr>
          <w:rFonts w:hint="eastAsia" w:ascii="Times New Roman" w:hAnsi="Times New Roman" w:eastAsia="仿宋_GB2312" w:cs="仿宋_GB2312"/>
          <w:b w:val="0"/>
          <w:bCs w:val="0"/>
          <w:color w:val="auto"/>
          <w:kern w:val="0"/>
          <w:position w:val="0"/>
          <w:sz w:val="32"/>
          <w:szCs w:val="32"/>
          <w:highlight w:val="none"/>
          <w:lang w:val="zh-CN" w:eastAsia="zh-CN" w:bidi="ar-SA"/>
        </w:rPr>
        <w:t>民生保障。</w:t>
      </w:r>
      <w:r>
        <w:rPr>
          <w:rFonts w:hint="eastAsia" w:ascii="Times New Roman" w:hAnsi="Times New Roman" w:eastAsia="仿宋_GB2312" w:cs="仿宋_GB2312"/>
          <w:b w:val="0"/>
          <w:bCs w:val="0"/>
          <w:color w:val="auto"/>
          <w:kern w:val="0"/>
          <w:position w:val="0"/>
          <w:sz w:val="32"/>
          <w:szCs w:val="32"/>
          <w:highlight w:val="none"/>
          <w:lang w:val="en-US" w:eastAsia="zh-CN" w:bidi="ar-SA"/>
        </w:rPr>
        <w:t>围绕区域均衡性、对象精准性、标准合理性、群众满意度进行绩效分析。</w:t>
      </w:r>
    </w:p>
    <w:p w14:paraId="322A46D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color w:val="auto"/>
          <w:kern w:val="0"/>
          <w:position w:val="0"/>
          <w:sz w:val="32"/>
          <w:szCs w:val="32"/>
          <w:highlight w:val="none"/>
          <w:lang w:val="zh-CN" w:eastAsia="zh-CN" w:bidi="ar-SA"/>
        </w:rPr>
        <w:t>绩效分析。</w:t>
      </w:r>
    </w:p>
    <w:p w14:paraId="24A8EF9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4.</w:t>
      </w:r>
      <w:r>
        <w:rPr>
          <w:rFonts w:hint="eastAsia" w:ascii="Times New Roman" w:hAnsi="Times New Roman" w:eastAsia="仿宋_GB2312" w:cs="仿宋_GB2312"/>
          <w:b w:val="0"/>
          <w:bCs w:val="0"/>
          <w:color w:val="auto"/>
          <w:kern w:val="0"/>
          <w:position w:val="0"/>
          <w:sz w:val="32"/>
          <w:szCs w:val="32"/>
          <w:highlight w:val="none"/>
          <w:lang w:val="zh-CN" w:eastAsia="zh-CN" w:bidi="ar-SA"/>
        </w:rPr>
        <w:t>行政运转。围绕用途合规性、程序合规性、标准合规性进行绩效分析。</w:t>
      </w:r>
    </w:p>
    <w:p w14:paraId="3A011E1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auto"/>
          <w:kern w:val="0"/>
          <w:sz w:val="32"/>
          <w:szCs w:val="32"/>
          <w:highlight w:val="none"/>
          <w:shd w:val="clear" w:color="auto" w:fill="FFFFFF"/>
          <w:lang w:val="zh-CN"/>
        </w:rPr>
        <w:t>绩效分析。</w:t>
      </w:r>
      <w:r>
        <w:rPr>
          <w:rFonts w:hint="eastAsia" w:ascii="Times New Roman" w:hAnsi="Times New Roman" w:eastAsia="仿宋_GB2312" w:cs="仿宋_GB2312"/>
          <w:b w:val="0"/>
          <w:bCs w:val="0"/>
          <w:color w:val="auto"/>
          <w:kern w:val="0"/>
          <w:position w:val="0"/>
          <w:sz w:val="32"/>
          <w:szCs w:val="32"/>
          <w:highlight w:val="none"/>
          <w:lang w:val="zh-CN" w:eastAsia="zh-CN" w:bidi="ar-SA"/>
        </w:rPr>
        <w:t>根据项目个性自行设定部分指标，反映该项指标执行完成情况。</w:t>
      </w:r>
    </w:p>
    <w:p w14:paraId="1C46B66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color w:val="auto"/>
          <w:kern w:val="0"/>
          <w:position w:val="0"/>
          <w:sz w:val="32"/>
          <w:szCs w:val="32"/>
          <w:highlight w:val="none"/>
          <w:lang w:val="en-US" w:eastAsia="zh-CN" w:bidi="ar-SA"/>
        </w:rPr>
      </w:pPr>
      <w:r>
        <w:rPr>
          <w:rFonts w:hint="eastAsia" w:ascii="黑体" w:hAnsi="黑体" w:eastAsia="黑体" w:cs="黑体"/>
          <w:b w:val="0"/>
          <w:bCs w:val="0"/>
          <w:color w:val="auto"/>
          <w:kern w:val="0"/>
          <w:position w:val="0"/>
          <w:sz w:val="32"/>
          <w:szCs w:val="32"/>
          <w:highlight w:val="none"/>
          <w:lang w:val="en-US" w:eastAsia="zh-CN" w:bidi="ar-SA"/>
        </w:rPr>
        <w:t>四、评价结论</w:t>
      </w:r>
    </w:p>
    <w:p w14:paraId="59EA2A9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color w:val="auto"/>
          <w:kern w:val="0"/>
          <w:position w:val="0"/>
          <w:sz w:val="32"/>
          <w:szCs w:val="32"/>
          <w:highlight w:val="none"/>
          <w:lang w:val="zh-CN" w:eastAsia="zh-CN" w:bidi="ar-SA"/>
        </w:rPr>
        <w:t>项目实施情况。</w:t>
      </w:r>
    </w:p>
    <w:p w14:paraId="71585B9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color w:val="auto"/>
          <w:kern w:val="0"/>
          <w:position w:val="0"/>
          <w:sz w:val="32"/>
          <w:szCs w:val="32"/>
          <w:highlight w:val="none"/>
          <w:lang w:val="en-US" w:eastAsia="zh-CN" w:bidi="ar-SA"/>
        </w:rPr>
      </w:pPr>
      <w:r>
        <w:rPr>
          <w:rFonts w:hint="eastAsia" w:ascii="黑体" w:hAnsi="黑体" w:eastAsia="黑体" w:cs="黑体"/>
          <w:b w:val="0"/>
          <w:bCs w:val="0"/>
          <w:color w:val="auto"/>
          <w:kern w:val="0"/>
          <w:position w:val="0"/>
          <w:sz w:val="32"/>
          <w:szCs w:val="32"/>
          <w:highlight w:val="none"/>
          <w:lang w:val="en-US" w:eastAsia="zh-CN" w:bidi="ar-SA"/>
        </w:rPr>
        <w:t>五、存在主要问题</w:t>
      </w:r>
    </w:p>
    <w:p w14:paraId="2E5A690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简要阐述专项预算项目绩效自评发现的主要问题。</w:t>
      </w:r>
    </w:p>
    <w:p w14:paraId="0719E21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color w:val="auto"/>
          <w:kern w:val="0"/>
          <w:position w:val="0"/>
          <w:sz w:val="32"/>
          <w:szCs w:val="32"/>
          <w:highlight w:val="none"/>
          <w:lang w:val="zh-CN" w:eastAsia="zh-CN" w:bidi="ar-SA"/>
        </w:rPr>
      </w:pPr>
      <w:r>
        <w:rPr>
          <w:rFonts w:hint="eastAsia" w:ascii="黑体" w:hAnsi="黑体" w:eastAsia="黑体" w:cs="黑体"/>
          <w:b w:val="0"/>
          <w:bCs w:val="0"/>
          <w:color w:val="auto"/>
          <w:kern w:val="0"/>
          <w:position w:val="0"/>
          <w:sz w:val="32"/>
          <w:szCs w:val="32"/>
          <w:highlight w:val="none"/>
          <w:lang w:val="zh-CN" w:eastAsia="zh-CN" w:bidi="ar-SA"/>
        </w:rPr>
        <w:t>六、改进建议</w:t>
      </w:r>
    </w:p>
    <w:p w14:paraId="18F0C81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color w:val="auto"/>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color w:val="auto"/>
          <w:kern w:val="0"/>
          <w:position w:val="0"/>
          <w:sz w:val="32"/>
          <w:szCs w:val="32"/>
          <w:highlight w:val="none"/>
          <w:lang w:val="en-US" w:eastAsia="zh-CN" w:bidi="ar-SA"/>
        </w:rPr>
        <w:t>措施</w:t>
      </w:r>
      <w:r>
        <w:rPr>
          <w:rFonts w:hint="eastAsia" w:ascii="Times New Roman" w:hAnsi="Times New Roman" w:eastAsia="仿宋_GB2312" w:cs="仿宋_GB2312"/>
          <w:b w:val="0"/>
          <w:bCs w:val="0"/>
          <w:color w:val="auto"/>
          <w:kern w:val="0"/>
          <w:position w:val="0"/>
          <w:sz w:val="32"/>
          <w:szCs w:val="32"/>
          <w:highlight w:val="none"/>
          <w:lang w:val="en" w:eastAsia="zh-CN" w:bidi="ar-SA"/>
        </w:rPr>
        <w:t>建议，其中</w:t>
      </w:r>
      <w:r>
        <w:rPr>
          <w:rFonts w:hint="eastAsia" w:ascii="Times New Roman" w:hAnsi="Times New Roman" w:eastAsia="仿宋_GB2312" w:cs="仿宋_GB2312"/>
          <w:b w:val="0"/>
          <w:bCs w:val="0"/>
          <w:color w:val="auto"/>
          <w:kern w:val="0"/>
          <w:position w:val="0"/>
          <w:sz w:val="32"/>
          <w:szCs w:val="32"/>
          <w:highlight w:val="none"/>
          <w:lang w:val="en-US" w:eastAsia="zh-CN" w:bidi="ar-SA"/>
        </w:rPr>
        <w:t>必须对应评价发现的主要问题一一提出措施建议。</w:t>
      </w:r>
    </w:p>
    <w:p w14:paraId="4BCCAF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r>
        <w:rPr>
          <w:rFonts w:hint="eastAsia" w:ascii="Times New Roman" w:hAnsi="Times New Roman" w:eastAsia="仿宋_GB2312" w:cs="仿宋_GB2312"/>
          <w:b w:val="0"/>
          <w:bCs w:val="0"/>
          <w:color w:val="auto"/>
          <w:kern w:val="0"/>
          <w:position w:val="0"/>
          <w:sz w:val="32"/>
          <w:szCs w:val="32"/>
          <w:highlight w:val="none"/>
          <w:lang w:val="en-US" w:eastAsia="zh-CN" w:bidi="ar-SA"/>
        </w:rPr>
        <w:t>（</w:t>
      </w:r>
      <w:r>
        <w:rPr>
          <w:rFonts w:hint="eastAsia" w:eastAsia="仿宋_GB2312" w:cs="仿宋_GB2312"/>
          <w:b w:val="0"/>
          <w:bCs w:val="0"/>
          <w:color w:val="auto"/>
          <w:kern w:val="0"/>
          <w:position w:val="0"/>
          <w:sz w:val="32"/>
          <w:szCs w:val="32"/>
          <w:highlight w:val="none"/>
          <w:lang w:val="en-US" w:eastAsia="zh-CN" w:bidi="ar-SA"/>
        </w:rPr>
        <w:t>注：</w:t>
      </w:r>
      <w:r>
        <w:rPr>
          <w:rFonts w:hint="eastAsia" w:ascii="Times New Roman" w:hAnsi="Times New Roman" w:eastAsia="仿宋_GB2312" w:cs="仿宋_GB2312"/>
          <w:b w:val="0"/>
          <w:bCs w:val="0"/>
          <w:color w:val="auto"/>
          <w:kern w:val="0"/>
          <w:position w:val="0"/>
          <w:sz w:val="32"/>
          <w:szCs w:val="32"/>
          <w:highlight w:val="none"/>
          <w:lang w:val="en-US" w:eastAsia="zh-CN" w:bidi="ar-SA"/>
        </w:rPr>
        <w:t>以上绩效自评报告，除涉密敏感内容外，原则上都应予以公开）</w:t>
      </w:r>
    </w:p>
    <w:p w14:paraId="4D7D86C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p>
    <w:p w14:paraId="5924242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p>
    <w:p w14:paraId="7757F3E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auto"/>
          <w:kern w:val="0"/>
          <w:position w:val="0"/>
          <w:sz w:val="32"/>
          <w:szCs w:val="32"/>
          <w:highlight w:val="none"/>
          <w:lang w:val="en-US" w:eastAsia="zh-CN" w:bidi="ar-SA"/>
        </w:rPr>
      </w:pPr>
      <w:bookmarkStart w:id="64" w:name="_Toc15396618"/>
      <w:r>
        <w:rPr>
          <w:rFonts w:hint="eastAsia" w:ascii="Times New Roman" w:hAnsi="Times New Roman" w:eastAsia="仿宋_GB2312" w:cs="仿宋_GB2312"/>
          <w:b w:val="0"/>
          <w:bCs w:val="0"/>
          <w:color w:val="auto"/>
          <w:kern w:val="0"/>
          <w:position w:val="0"/>
          <w:sz w:val="32"/>
          <w:szCs w:val="32"/>
          <w:highlight w:val="none"/>
          <w:lang w:val="en-US" w:eastAsia="zh-CN" w:bidi="ar-SA"/>
        </w:rPr>
        <w:br w:type="page"/>
      </w:r>
    </w:p>
    <w:p w14:paraId="7EB1740C">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63"/>
      <w:bookmarkEnd w:id="64"/>
      <w:bookmarkStart w:id="65" w:name="_Toc15396619"/>
    </w:p>
    <w:p w14:paraId="35F8546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06B8C9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5"/>
    </w:p>
    <w:p w14:paraId="31B83DD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0"/>
      <w:r>
        <w:rPr>
          <w:rFonts w:hint="eastAsia" w:ascii="Times New Roman" w:hAnsi="Times New Roman" w:eastAsia="仿宋_GB2312" w:cs="仿宋_GB2312"/>
          <w:color w:val="auto"/>
          <w:sz w:val="32"/>
          <w:szCs w:val="32"/>
          <w:highlight w:val="none"/>
        </w:rPr>
        <w:t>二、收入决算表</w:t>
      </w:r>
      <w:bookmarkEnd w:id="66"/>
    </w:p>
    <w:p w14:paraId="403D23B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1"/>
      <w:r>
        <w:rPr>
          <w:rFonts w:hint="eastAsia" w:ascii="Times New Roman" w:hAnsi="Times New Roman" w:eastAsia="仿宋_GB2312" w:cs="仿宋_GB2312"/>
          <w:color w:val="auto"/>
          <w:sz w:val="32"/>
          <w:szCs w:val="32"/>
          <w:highlight w:val="none"/>
        </w:rPr>
        <w:t>三、支出决算表</w:t>
      </w:r>
      <w:bookmarkEnd w:id="67"/>
    </w:p>
    <w:p w14:paraId="27311D1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2"/>
      <w:r>
        <w:rPr>
          <w:rFonts w:hint="eastAsia" w:ascii="Times New Roman" w:hAnsi="Times New Roman" w:eastAsia="仿宋_GB2312" w:cs="仿宋_GB2312"/>
          <w:color w:val="auto"/>
          <w:sz w:val="32"/>
          <w:szCs w:val="32"/>
          <w:highlight w:val="none"/>
        </w:rPr>
        <w:t>四、财政拨款收入支出决算总表</w:t>
      </w:r>
      <w:bookmarkEnd w:id="68"/>
    </w:p>
    <w:p w14:paraId="11C6F82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3"/>
      <w:r>
        <w:rPr>
          <w:rFonts w:hint="eastAsia" w:ascii="Times New Roman" w:hAnsi="Times New Roman" w:eastAsia="仿宋_GB2312" w:cs="仿宋_GB2312"/>
          <w:color w:val="auto"/>
          <w:sz w:val="32"/>
          <w:szCs w:val="32"/>
          <w:highlight w:val="none"/>
        </w:rPr>
        <w:t>五、财政拨款支出决算明细表</w:t>
      </w:r>
      <w:bookmarkEnd w:id="69"/>
      <w:bookmarkStart w:id="70" w:name="_Toc15396624"/>
    </w:p>
    <w:p w14:paraId="10BEF7A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70"/>
    </w:p>
    <w:p w14:paraId="680C795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5"/>
      <w:r>
        <w:rPr>
          <w:rFonts w:hint="eastAsia" w:ascii="Times New Roman" w:hAnsi="Times New Roman" w:eastAsia="仿宋_GB2312" w:cs="仿宋_GB2312"/>
          <w:color w:val="auto"/>
          <w:sz w:val="32"/>
          <w:szCs w:val="32"/>
          <w:highlight w:val="none"/>
        </w:rPr>
        <w:t>七、一般公共预算财政拨款支出决算明细表</w:t>
      </w:r>
      <w:bookmarkEnd w:id="71"/>
    </w:p>
    <w:p w14:paraId="3543AF3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6"/>
      <w:r>
        <w:rPr>
          <w:rFonts w:hint="eastAsia" w:ascii="Times New Roman" w:hAnsi="Times New Roman" w:eastAsia="仿宋_GB2312" w:cs="仿宋_GB2312"/>
          <w:color w:val="auto"/>
          <w:sz w:val="32"/>
          <w:szCs w:val="32"/>
          <w:highlight w:val="none"/>
        </w:rPr>
        <w:t>八、一般公共预算财政拨款基本支出决算表</w:t>
      </w:r>
      <w:bookmarkEnd w:id="72"/>
    </w:p>
    <w:p w14:paraId="531BBDF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3" w:name="_Toc15396627"/>
      <w:r>
        <w:rPr>
          <w:rFonts w:hint="eastAsia" w:ascii="Times New Roman" w:hAnsi="Times New Roman" w:eastAsia="仿宋_GB2312" w:cs="仿宋_GB2312"/>
          <w:color w:val="auto"/>
          <w:sz w:val="32"/>
          <w:szCs w:val="32"/>
          <w:highlight w:val="none"/>
        </w:rPr>
        <w:t>九、一般公共预算财政拨款项目支出决算表</w:t>
      </w:r>
      <w:bookmarkEnd w:id="73"/>
    </w:p>
    <w:p w14:paraId="52B29BE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8"/>
      <w:r>
        <w:rPr>
          <w:rFonts w:hint="eastAsia" w:ascii="Times New Roman" w:hAnsi="Times New Roman" w:eastAsia="仿宋_GB2312" w:cs="仿宋_GB2312"/>
          <w:color w:val="auto"/>
          <w:sz w:val="32"/>
          <w:szCs w:val="32"/>
          <w:highlight w:val="none"/>
        </w:rPr>
        <w:t>十、</w:t>
      </w:r>
      <w:bookmarkEnd w:id="74"/>
      <w:r>
        <w:rPr>
          <w:rFonts w:hint="eastAsia" w:ascii="Times New Roman" w:hAnsi="Times New Roman" w:eastAsia="仿宋_GB2312" w:cs="仿宋_GB2312"/>
          <w:color w:val="auto"/>
          <w:sz w:val="32"/>
          <w:szCs w:val="32"/>
          <w:highlight w:val="none"/>
        </w:rPr>
        <w:t>政府性基金预算财政拨款收入支出决算表</w:t>
      </w:r>
    </w:p>
    <w:p w14:paraId="252AAA6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5" w:name="_Toc15396629"/>
      <w:r>
        <w:rPr>
          <w:rFonts w:hint="eastAsia" w:ascii="Times New Roman" w:hAnsi="Times New Roman" w:eastAsia="仿宋_GB2312" w:cs="仿宋_GB2312"/>
          <w:color w:val="auto"/>
          <w:sz w:val="32"/>
          <w:szCs w:val="32"/>
          <w:highlight w:val="none"/>
        </w:rPr>
        <w:t>十一、</w:t>
      </w:r>
      <w:bookmarkEnd w:id="7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4539961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6" w:name="_Toc15396630"/>
      <w:r>
        <w:rPr>
          <w:rFonts w:hint="eastAsia" w:ascii="Times New Roman" w:hAnsi="Times New Roman" w:eastAsia="仿宋_GB2312" w:cs="仿宋_GB2312"/>
          <w:color w:val="auto"/>
          <w:sz w:val="32"/>
          <w:szCs w:val="32"/>
          <w:highlight w:val="none"/>
        </w:rPr>
        <w:t>十二、</w:t>
      </w:r>
      <w:bookmarkEnd w:id="76"/>
      <w:r>
        <w:rPr>
          <w:rFonts w:hint="eastAsia" w:ascii="Times New Roman" w:hAnsi="Times New Roman" w:eastAsia="仿宋_GB2312" w:cs="仿宋_GB2312"/>
          <w:color w:val="auto"/>
          <w:sz w:val="32"/>
          <w:szCs w:val="32"/>
          <w:highlight w:val="none"/>
          <w:lang w:eastAsia="zh-CN"/>
        </w:rPr>
        <w:t>国有资本经营预算财政拨款支出决算表</w:t>
      </w:r>
    </w:p>
    <w:p w14:paraId="582FCE9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7" w:name="_Toc15396631"/>
      <w:r>
        <w:rPr>
          <w:rFonts w:hint="eastAsia" w:ascii="Times New Roman" w:hAnsi="Times New Roman" w:eastAsia="仿宋_GB2312" w:cs="仿宋_GB2312"/>
          <w:color w:val="auto"/>
          <w:sz w:val="32"/>
          <w:szCs w:val="32"/>
          <w:highlight w:val="none"/>
        </w:rPr>
        <w:t>十三、</w:t>
      </w:r>
      <w:bookmarkEnd w:id="77"/>
      <w:r>
        <w:rPr>
          <w:rFonts w:hint="eastAsia" w:ascii="Times New Roman" w:hAnsi="Times New Roman" w:eastAsia="仿宋_GB2312" w:cs="仿宋_GB2312"/>
          <w:color w:val="auto"/>
          <w:sz w:val="32"/>
          <w:szCs w:val="32"/>
          <w:highlight w:val="none"/>
          <w:lang w:eastAsia="zh-CN"/>
        </w:rPr>
        <w:t>财政拨款“三公”经费支出决算表</w:t>
      </w:r>
    </w:p>
    <w:p w14:paraId="245F9E90">
      <w:pPr>
        <w:rPr>
          <w:rFonts w:hint="eastAsia" w:ascii="Times New Roman" w:hAnsi="Times New Roman"/>
          <w:color w:val="auto"/>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8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158B7">
    <w:pPr>
      <w:pStyle w:val="11"/>
      <w:jc w:val="center"/>
    </w:pPr>
  </w:p>
  <w:p w14:paraId="72DF715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F3A55">
    <w:pPr>
      <w:pStyle w:val="11"/>
      <w:jc w:val="center"/>
    </w:pPr>
  </w:p>
  <w:p w14:paraId="7A83D93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5499">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54AD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FA7D1"/>
    <w:multiLevelType w:val="singleLevel"/>
    <w:tmpl w:val="8C6FA7D1"/>
    <w:lvl w:ilvl="0" w:tentative="0">
      <w:start w:val="1"/>
      <w:numFmt w:val="decimal"/>
      <w:lvlText w:val="%1."/>
      <w:lvlJc w:val="left"/>
      <w:pPr>
        <w:tabs>
          <w:tab w:val="left" w:pos="312"/>
        </w:tabs>
      </w:pPr>
    </w:lvl>
  </w:abstractNum>
  <w:abstractNum w:abstractNumId="1">
    <w:nsid w:val="DF184D26"/>
    <w:multiLevelType w:val="singleLevel"/>
    <w:tmpl w:val="DF184D26"/>
    <w:lvl w:ilvl="0" w:tentative="0">
      <w:start w:val="8"/>
      <w:numFmt w:val="decimal"/>
      <w:lvlText w:val="%1."/>
      <w:lvlJc w:val="left"/>
      <w:pPr>
        <w:tabs>
          <w:tab w:val="left" w:pos="312"/>
        </w:tabs>
      </w:p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4E51B97"/>
    <w:rsid w:val="061E35DE"/>
    <w:rsid w:val="066E0107"/>
    <w:rsid w:val="07996F6E"/>
    <w:rsid w:val="07DFD8BA"/>
    <w:rsid w:val="09867E8F"/>
    <w:rsid w:val="0A2032A3"/>
    <w:rsid w:val="0B0264D2"/>
    <w:rsid w:val="0BF027CF"/>
    <w:rsid w:val="0CA8290A"/>
    <w:rsid w:val="0D156B68"/>
    <w:rsid w:val="0D35B1ED"/>
    <w:rsid w:val="0E254B6B"/>
    <w:rsid w:val="0F98263C"/>
    <w:rsid w:val="101860EC"/>
    <w:rsid w:val="101F47CC"/>
    <w:rsid w:val="10C055FF"/>
    <w:rsid w:val="11694EBD"/>
    <w:rsid w:val="11772AA4"/>
    <w:rsid w:val="118107EC"/>
    <w:rsid w:val="12E24EE2"/>
    <w:rsid w:val="13B240F5"/>
    <w:rsid w:val="13D50BC4"/>
    <w:rsid w:val="14B17F78"/>
    <w:rsid w:val="165E0673"/>
    <w:rsid w:val="16B831D5"/>
    <w:rsid w:val="16BB723D"/>
    <w:rsid w:val="17E50567"/>
    <w:rsid w:val="186504BB"/>
    <w:rsid w:val="19A445FC"/>
    <w:rsid w:val="19BE322A"/>
    <w:rsid w:val="1BE8440E"/>
    <w:rsid w:val="1CB17D58"/>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7B8643F"/>
    <w:rsid w:val="281408E2"/>
    <w:rsid w:val="29FD04D3"/>
    <w:rsid w:val="2BFF7BC6"/>
    <w:rsid w:val="2C8A61B5"/>
    <w:rsid w:val="2DF04E50"/>
    <w:rsid w:val="2E2A4FE5"/>
    <w:rsid w:val="2E586DFA"/>
    <w:rsid w:val="2E750BE6"/>
    <w:rsid w:val="2F040D46"/>
    <w:rsid w:val="2F6B035B"/>
    <w:rsid w:val="2FAE5751"/>
    <w:rsid w:val="2FB1A395"/>
    <w:rsid w:val="2FD9A7D8"/>
    <w:rsid w:val="2FDBF714"/>
    <w:rsid w:val="30AB6865"/>
    <w:rsid w:val="319F7F4E"/>
    <w:rsid w:val="32BD1EF1"/>
    <w:rsid w:val="3304709D"/>
    <w:rsid w:val="33A773CB"/>
    <w:rsid w:val="33E8723C"/>
    <w:rsid w:val="349D6851"/>
    <w:rsid w:val="36AA5135"/>
    <w:rsid w:val="36BE0DA7"/>
    <w:rsid w:val="376B6AA6"/>
    <w:rsid w:val="376D39B2"/>
    <w:rsid w:val="37E16F03"/>
    <w:rsid w:val="37F53A3B"/>
    <w:rsid w:val="389B6C89"/>
    <w:rsid w:val="38D469F0"/>
    <w:rsid w:val="39627CCD"/>
    <w:rsid w:val="397BAF1F"/>
    <w:rsid w:val="3AB79AF3"/>
    <w:rsid w:val="3AE834C0"/>
    <w:rsid w:val="3B7EF35A"/>
    <w:rsid w:val="3B8379DE"/>
    <w:rsid w:val="3B9FDB6C"/>
    <w:rsid w:val="3BF5BC2F"/>
    <w:rsid w:val="3CEBA265"/>
    <w:rsid w:val="3D98207C"/>
    <w:rsid w:val="3DEE7CF3"/>
    <w:rsid w:val="3E740A63"/>
    <w:rsid w:val="3E78745D"/>
    <w:rsid w:val="3EE17838"/>
    <w:rsid w:val="3F55381A"/>
    <w:rsid w:val="3F7F7599"/>
    <w:rsid w:val="3F823162"/>
    <w:rsid w:val="3FF4CAE0"/>
    <w:rsid w:val="3FF7B227"/>
    <w:rsid w:val="44E268DA"/>
    <w:rsid w:val="450D13D7"/>
    <w:rsid w:val="4531547D"/>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1867E4C"/>
    <w:rsid w:val="533B3710"/>
    <w:rsid w:val="537E6D0A"/>
    <w:rsid w:val="53F74C96"/>
    <w:rsid w:val="55170BA8"/>
    <w:rsid w:val="553218C9"/>
    <w:rsid w:val="567E1AA5"/>
    <w:rsid w:val="56E47B74"/>
    <w:rsid w:val="57175D52"/>
    <w:rsid w:val="57BD3DD4"/>
    <w:rsid w:val="5A875679"/>
    <w:rsid w:val="5AF92295"/>
    <w:rsid w:val="5B250254"/>
    <w:rsid w:val="5B3664FD"/>
    <w:rsid w:val="5BDD79E6"/>
    <w:rsid w:val="5BF561CA"/>
    <w:rsid w:val="5BFF5DFC"/>
    <w:rsid w:val="5C6C0A56"/>
    <w:rsid w:val="5CD71FC4"/>
    <w:rsid w:val="5D1F11B5"/>
    <w:rsid w:val="5D695134"/>
    <w:rsid w:val="5DAE1B18"/>
    <w:rsid w:val="5DD44C2E"/>
    <w:rsid w:val="5DE7D9E5"/>
    <w:rsid w:val="5ECA1FD8"/>
    <w:rsid w:val="5ECEC941"/>
    <w:rsid w:val="5FBF9FF3"/>
    <w:rsid w:val="5FCD4E2C"/>
    <w:rsid w:val="5FEF394A"/>
    <w:rsid w:val="5FF67715"/>
    <w:rsid w:val="62BF3928"/>
    <w:rsid w:val="63B3701E"/>
    <w:rsid w:val="647F5392"/>
    <w:rsid w:val="65E66580"/>
    <w:rsid w:val="664B1D71"/>
    <w:rsid w:val="664B4E8E"/>
    <w:rsid w:val="67277B67"/>
    <w:rsid w:val="672F697E"/>
    <w:rsid w:val="67AA3209"/>
    <w:rsid w:val="67B04461"/>
    <w:rsid w:val="698D0931"/>
    <w:rsid w:val="6A7FE5F3"/>
    <w:rsid w:val="6B053271"/>
    <w:rsid w:val="6BDD78B3"/>
    <w:rsid w:val="6C4A05C8"/>
    <w:rsid w:val="6C8742B8"/>
    <w:rsid w:val="6D872480"/>
    <w:rsid w:val="6DA61393"/>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2DF5A40"/>
    <w:rsid w:val="73160E6D"/>
    <w:rsid w:val="7332FE48"/>
    <w:rsid w:val="73AB61DA"/>
    <w:rsid w:val="73AD73D5"/>
    <w:rsid w:val="73B6EB34"/>
    <w:rsid w:val="73F529AB"/>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63305C"/>
    <w:rsid w:val="79D7FD79"/>
    <w:rsid w:val="79EE5BA4"/>
    <w:rsid w:val="7A894339"/>
    <w:rsid w:val="7AD284E8"/>
    <w:rsid w:val="7AFF7572"/>
    <w:rsid w:val="7B6C7DFB"/>
    <w:rsid w:val="7BB85E51"/>
    <w:rsid w:val="7BBFBED0"/>
    <w:rsid w:val="7BC3E394"/>
    <w:rsid w:val="7C1F3737"/>
    <w:rsid w:val="7CBFC87B"/>
    <w:rsid w:val="7CFE0F48"/>
    <w:rsid w:val="7D272ABC"/>
    <w:rsid w:val="7D7EC23E"/>
    <w:rsid w:val="7DFA7D8C"/>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textAlignment w:val="baseline"/>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1299</Words>
  <Characters>7410</Characters>
  <Lines>61</Lines>
  <Paragraphs>17</Paragraphs>
  <TotalTime>18</TotalTime>
  <ScaleCrop>false</ScaleCrop>
  <LinksUpToDate>false</LinksUpToDate>
  <CharactersWithSpaces>8692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2025-09-16T02:51:17Z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2034FCC1B77647BE8522EA4AFF2E594A_13</vt:lpwstr>
  </property>
  <property fmtid="{D5CDD505-2E9C-101B-9397-08002B2CF9AE}" pid="4" name="KSOTemplateDocerSaveRecord">
    <vt:lpwstr>eyJoZGlkIjoiOWU4ZGQwZTI1OTA5ODQyYTE3ODhhODBhOTBjYzhhMTMifQ==</vt:lpwstr>
  </property>
</Properties>
</file>