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78441"/>
      <w:bookmarkStart w:id="2" w:name="_Toc15396475"/>
      <w:bookmarkStart w:id="3" w:name="_Toc15377425"/>
      <w:bookmarkStart w:id="4" w:name="_Toc15396597"/>
      <w:bookmarkStart w:id="5" w:name="_Toc15306267"/>
    </w:p>
    <w:p>
      <w:pPr>
        <w:pStyle w:val="9"/>
        <w:rPr>
          <w:rFonts w:hint="eastAsia" w:ascii="Times New Roman" w:hAnsi="Times New Roman" w:eastAsia="方正小标宋简体" w:cs="Times New Roman"/>
          <w:color w:val="auto"/>
          <w:kern w:val="2"/>
          <w:sz w:val="72"/>
          <w:szCs w:val="72"/>
          <w:highlight w:val="none"/>
          <w:lang w:val="en-US" w:eastAsia="zh-CN" w:bidi="ar-SA"/>
        </w:rPr>
      </w:pPr>
    </w:p>
    <w:p>
      <w:pPr>
        <w:pStyle w:val="9"/>
        <w:rPr>
          <w:rFonts w:hint="eastAsia" w:ascii="Times New Roman" w:hAnsi="Times New Roman" w:eastAsia="方正小标宋简体" w:cs="Times New Roman"/>
          <w:color w:val="auto"/>
          <w:kern w:val="2"/>
          <w:sz w:val="72"/>
          <w:szCs w:val="72"/>
          <w:highlight w:val="none"/>
          <w:lang w:val="en-US" w:eastAsia="zh-CN" w:bidi="ar-SA"/>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2024年度省级部门（单位）决算</w:t>
      </w:r>
    </w:p>
    <w:p>
      <w:pPr>
        <w:pStyle w:val="9"/>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公开文字说明</w:t>
      </w:r>
    </w:p>
    <w:p>
      <w:pPr>
        <w:spacing w:line="600" w:lineRule="exact"/>
        <w:jc w:val="center"/>
        <w:outlineLvl w:val="0"/>
        <w:rPr>
          <w:rFonts w:ascii="Times New Roman" w:hAnsi="Times New Roman" w:eastAsia="方正小标宋简体"/>
          <w:color w:val="auto"/>
          <w:sz w:val="72"/>
          <w:szCs w:val="72"/>
          <w:highlight w:val="none"/>
        </w:rPr>
      </w:pPr>
    </w:p>
    <w:p>
      <w:pPr>
        <w:pStyle w:val="20"/>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bookmarkStart w:id="6" w:name="_Toc15377426"/>
      <w:bookmarkStart w:id="7" w:name="_Toc15378442"/>
      <w:bookmarkStart w:id="8" w:name="_Toc15377194"/>
      <w:bookmarkStart w:id="9" w:name="_Toc15396476"/>
      <w:bookmarkStart w:id="10" w:name="_Toc15396598"/>
      <w:r>
        <w:rPr>
          <w:rFonts w:hint="eastAsia" w:ascii="方正小标宋简体" w:hAnsi="方正小标宋简体" w:eastAsia="方正小标宋简体" w:cs="方正小标宋简体"/>
          <w:color w:val="auto"/>
          <w:kern w:val="2"/>
          <w:sz w:val="44"/>
          <w:szCs w:val="44"/>
          <w:highlight w:val="none"/>
          <w:lang w:val="en-US" w:eastAsia="zh-CN" w:bidi="ar-SA"/>
        </w:rPr>
        <w:t>2024年度</w:t>
      </w:r>
      <w:bookmarkEnd w:id="5"/>
      <w:bookmarkStart w:id="11" w:name="_Toc15306268"/>
      <w:r>
        <w:rPr>
          <w:rFonts w:hint="eastAsia" w:ascii="方正小标宋简体" w:hAnsi="方正小标宋简体" w:eastAsia="方正小标宋简体" w:cs="方正小标宋简体"/>
          <w:color w:val="000000"/>
          <w:sz w:val="44"/>
          <w:szCs w:val="44"/>
        </w:rPr>
        <w:t>四川省阿坝州</w:t>
      </w:r>
    </w:p>
    <w:p>
      <w:pPr>
        <w:pStyle w:val="9"/>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000000"/>
          <w:sz w:val="44"/>
          <w:szCs w:val="44"/>
        </w:rPr>
        <w:t>茂县</w:t>
      </w:r>
      <w:r>
        <w:rPr>
          <w:rFonts w:hint="eastAsia" w:ascii="方正小标宋简体" w:hAnsi="方正小标宋简体" w:eastAsia="方正小标宋简体" w:cs="方正小标宋简体"/>
          <w:color w:val="000000"/>
          <w:sz w:val="44"/>
          <w:szCs w:val="44"/>
          <w:lang w:eastAsia="zh-CN"/>
        </w:rPr>
        <w:t>环境监测站</w:t>
      </w:r>
      <w:r>
        <w:rPr>
          <w:rFonts w:hint="eastAsia" w:ascii="方正小标宋简体" w:hAnsi="方正小标宋简体" w:eastAsia="方正小标宋简体" w:cs="方正小标宋简体"/>
          <w:color w:val="000000"/>
          <w:sz w:val="44"/>
          <w:szCs w:val="44"/>
        </w:rPr>
        <w:t>决算</w:t>
      </w:r>
      <w:bookmarkEnd w:id="6"/>
      <w:bookmarkEnd w:id="7"/>
      <w:bookmarkEnd w:id="8"/>
      <w:bookmarkEnd w:id="9"/>
      <w:bookmarkEnd w:id="10"/>
      <w:bookmarkEnd w:id="11"/>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5</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7</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7</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7</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10 </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12</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15</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Times New Roman" w:hAnsi="Times New Roman" w:eastAsia="仿宋_GB2312" w:cs="仿宋_GB2312"/>
          <w:color w:val="auto"/>
          <w:sz w:val="32"/>
          <w:szCs w:val="32"/>
          <w:highlight w:val="none"/>
        </w:rPr>
        <w:t>五、财政拨款支出决算明细表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5"/>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2"/>
      <w:bookmarkEnd w:id="13"/>
    </w:p>
    <w:p>
      <w:pPr>
        <w:widowControl/>
        <w:jc w:val="left"/>
        <w:rPr>
          <w:rFonts w:ascii="Times New Roman" w:hAnsi="Times New Roman" w:eastAsia="黑体"/>
          <w:color w:val="auto"/>
          <w:sz w:val="32"/>
          <w:szCs w:val="32"/>
          <w:highlight w:val="none"/>
        </w:rPr>
      </w:pPr>
    </w:p>
    <w:p>
      <w:pPr>
        <w:keepNext/>
        <w:keepLines/>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黑体" w:hAnsi="黑体" w:eastAsia="黑体" w:cs="黑体"/>
          <w:b w:val="0"/>
          <w:color w:val="auto"/>
          <w:sz w:val="32"/>
          <w:szCs w:val="32"/>
          <w:highlight w:val="none"/>
          <w:lang w:eastAsia="zh-CN"/>
        </w:rPr>
        <w:t>部门职责</w:t>
      </w:r>
      <w:bookmarkStart w:id="14" w:name="_Toc15396601"/>
      <w:bookmarkStart w:id="15" w:name="_Toc15377200"/>
    </w:p>
    <w:p>
      <w:pPr>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负责辖区内生态环境监测工作。监督执行国家、省、州的生态环境监测制度和规范。会同有关部门统一规划辖区内生态环境质量监测站点设置，组织实施生态环境质量监测、污染源监督性监测、温室气体排减排监测、应急监测。组织对辖区内生态环境质量状况进行调查评价、预警预测，组织建设和管理辖区内生态环境监测网和生态环境信息网。负责辖区内生态环境质量考核和生态环境统计工作。建立和实行生态环境质量公告制度，统一发布辖区内生态环境综合性报告和重大生态环境信息。</w:t>
      </w:r>
    </w:p>
    <w:p>
      <w:pPr>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2.完成州生态环境局、县委、县政府交办的其他任务。</w:t>
      </w:r>
    </w:p>
    <w:p>
      <w:pPr>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Style w:val="30"/>
          <w:rFonts w:hint="eastAsia" w:ascii="Times New Roman" w:hAnsi="Times New Roman" w:eastAsia="黑体"/>
          <w:b w:val="0"/>
          <w:bCs w:val="0"/>
          <w:color w:val="auto"/>
          <w:sz w:val="32"/>
          <w:szCs w:val="32"/>
          <w:highlight w:val="none"/>
        </w:rPr>
      </w:pPr>
      <w:r>
        <w:rPr>
          <w:rFonts w:hint="eastAsia" w:ascii="Times New Roman" w:hAnsi="Times New Roman" w:eastAsia="黑体"/>
          <w:b w:val="0"/>
          <w:color w:val="auto"/>
          <w:sz w:val="32"/>
          <w:szCs w:val="32"/>
          <w:highlight w:val="none"/>
        </w:rPr>
        <w:t>二、机</w:t>
      </w:r>
      <w:r>
        <w:rPr>
          <w:rStyle w:val="30"/>
          <w:rFonts w:hint="eastAsia" w:ascii="Times New Roman" w:hAnsi="Times New Roman" w:eastAsia="黑体"/>
          <w:b w:val="0"/>
          <w:bCs w:val="0"/>
          <w:color w:val="auto"/>
          <w:sz w:val="32"/>
          <w:szCs w:val="32"/>
          <w:highlight w:val="none"/>
        </w:rPr>
        <w:t>构设置</w:t>
      </w:r>
      <w:bookmarkEnd w:id="14"/>
      <w:bookmarkEnd w:id="15"/>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茂县环境监测站属阿坝州茂县生态环境局下属事业机构。茂县环境监测站总编制16名，均属于事业编制。在职人数1</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人（其中：专业技术人员</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人，工勤1人）。</w:t>
      </w:r>
    </w:p>
    <w:p>
      <w:pPr>
        <w:pStyle w:val="9"/>
        <w:pageBreakBefore w:val="0"/>
        <w:kinsoku/>
        <w:wordWrap/>
        <w:overflowPunct/>
        <w:topLinePunct w:val="0"/>
        <w:autoSpaceDE/>
        <w:autoSpaceDN/>
        <w:bidi w:val="0"/>
        <w:adjustRightInd w:val="0"/>
        <w:snapToGrid w:val="0"/>
        <w:spacing w:before="93" w:line="560" w:lineRule="exact"/>
        <w:ind w:firstLine="672" w:firstLineChars="210"/>
        <w:textAlignment w:val="auto"/>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eastAsia="zh-CN"/>
        </w:rPr>
        <w:t>无</w:t>
      </w:r>
      <w:r>
        <w:rPr>
          <w:rFonts w:hint="eastAsia" w:ascii="Times New Roman" w:hAnsi="Times New Roman" w:eastAsia="仿宋_GB2312" w:cs="仿宋_GB2312"/>
          <w:color w:val="auto"/>
          <w:sz w:val="32"/>
          <w:szCs w:val="32"/>
          <w:highlight w:val="none"/>
        </w:rPr>
        <w:t>纳入</w:t>
      </w:r>
      <w:r>
        <w:rPr>
          <w:sz w:val="32"/>
          <w:szCs w:val="32"/>
        </w:rPr>
        <w:t>阿坝州茂县环境监测站</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w:t>
      </w:r>
      <w:r>
        <w:rPr>
          <w:rFonts w:hint="eastAsia" w:ascii="Times New Roman"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w:t>
      </w:r>
    </w:p>
    <w:p>
      <w:pPr>
        <w:pStyle w:val="9"/>
        <w:pageBreakBefore w:val="0"/>
        <w:kinsoku/>
        <w:wordWrap/>
        <w:overflowPunct/>
        <w:topLinePunct w:val="0"/>
        <w:autoSpaceDE/>
        <w:autoSpaceDN/>
        <w:bidi w:val="0"/>
        <w:adjustRightInd w:val="0"/>
        <w:snapToGrid w:val="0"/>
        <w:spacing w:before="93" w:line="560" w:lineRule="exact"/>
        <w:textAlignment w:val="auto"/>
        <w:rPr>
          <w:rFonts w:hint="eastAsia" w:ascii="Times New Roman" w:hAnsi="Times New Roman" w:eastAsia="仿宋_GB2312" w:cs="仿宋_GB2312"/>
          <w:color w:val="auto"/>
          <w:sz w:val="32"/>
          <w:szCs w:val="32"/>
          <w:highlight w:val="none"/>
        </w:rPr>
      </w:pPr>
    </w:p>
    <w:p>
      <w:pPr>
        <w:pageBreakBefore w:val="0"/>
        <w:widowControl/>
        <w:kinsoku/>
        <w:wordWrap/>
        <w:overflowPunct/>
        <w:topLinePunct w:val="0"/>
        <w:autoSpaceDE/>
        <w:autoSpaceDN/>
        <w:bidi w:val="0"/>
        <w:spacing w:line="560" w:lineRule="exact"/>
        <w:jc w:val="left"/>
        <w:textAlignment w:val="auto"/>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5"/>
        <w:pageBreakBefore w:val="0"/>
        <w:kinsoku/>
        <w:wordWrap/>
        <w:overflowPunct/>
        <w:topLinePunct w:val="0"/>
        <w:autoSpaceDE/>
        <w:autoSpaceDN/>
        <w:bidi w:val="0"/>
        <w:spacing w:line="560" w:lineRule="exact"/>
        <w:jc w:val="center"/>
        <w:textAlignment w:val="auto"/>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pPr>
        <w:pageBreakBefore w:val="0"/>
        <w:kinsoku/>
        <w:wordWrap/>
        <w:overflowPunct/>
        <w:topLinePunct w:val="0"/>
        <w:autoSpaceDE/>
        <w:autoSpaceDN/>
        <w:bidi w:val="0"/>
        <w:spacing w:line="560" w:lineRule="exact"/>
        <w:textAlignment w:val="auto"/>
        <w:rPr>
          <w:rFonts w:ascii="Times New Roman" w:hAnsi="Times New Roman"/>
          <w:color w:val="auto"/>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222.63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eastAsia="仿宋_GB2312" w:cs="仿宋_GB2312"/>
          <w:color w:val="auto"/>
          <w:sz w:val="32"/>
          <w:szCs w:val="32"/>
          <w:highlight w:val="none"/>
          <w:lang w:eastAsia="zh-CN"/>
        </w:rPr>
        <w:t>均增加</w:t>
      </w:r>
      <w:r>
        <w:rPr>
          <w:rFonts w:hint="eastAsia" w:ascii="仿宋_GB2312" w:hAnsi="仿宋_GB2312" w:eastAsia="仿宋_GB2312" w:cs="仿宋_GB2312"/>
          <w:kern w:val="2"/>
          <w:sz w:val="32"/>
          <w:szCs w:val="32"/>
          <w:lang w:val="en-US" w:eastAsia="zh-CN" w:bidi="ar-SA"/>
        </w:rPr>
        <w:t>7.92</w:t>
      </w:r>
      <w:r>
        <w:rPr>
          <w:rFonts w:hint="eastAsia" w:ascii="Times New Roman" w:hAnsi="Times New Roman" w:eastAsia="仿宋_GB2312" w:cs="仿宋_GB2312"/>
          <w:color w:val="auto"/>
          <w:sz w:val="32"/>
          <w:szCs w:val="32"/>
          <w:highlight w:val="none"/>
        </w:rPr>
        <w:t>万元，增长</w:t>
      </w:r>
      <w:r>
        <w:rPr>
          <w:rFonts w:hint="eastAsia" w:ascii="仿宋_GB2312" w:hAnsi="仿宋_GB2312" w:eastAsia="仿宋_GB2312" w:cs="仿宋_GB2312"/>
          <w:kern w:val="2"/>
          <w:sz w:val="32"/>
          <w:szCs w:val="32"/>
          <w:lang w:val="en-US" w:eastAsia="zh-CN" w:bidi="ar-SA"/>
        </w:rPr>
        <w:t>3.7%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人员工资调整标准。</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outlineLvl w:val="1"/>
        <w:rPr>
          <w:rFonts w:hint="eastAsia" w:ascii="Times New Roman" w:hAnsi="Times New Roman" w:eastAsia="仿宋_GB2312" w:cs="仿宋_GB2312"/>
          <w:color w:val="auto"/>
          <w:sz w:val="32"/>
          <w:szCs w:val="32"/>
          <w:highlight w:val="none"/>
        </w:rPr>
      </w:pPr>
      <w:r>
        <w:drawing>
          <wp:anchor distT="0" distB="0" distL="114300" distR="114300" simplePos="0" relativeHeight="251660288" behindDoc="0" locked="0" layoutInCell="1" allowOverlap="1">
            <wp:simplePos x="0" y="0"/>
            <wp:positionH relativeFrom="column">
              <wp:posOffset>328295</wp:posOffset>
            </wp:positionH>
            <wp:positionV relativeFrom="paragraph">
              <wp:posOffset>98425</wp:posOffset>
            </wp:positionV>
            <wp:extent cx="4429125" cy="1809750"/>
            <wp:effectExtent l="4445" t="4445" r="5080"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0" w:firstLineChars="300"/>
        <w:jc w:val="left"/>
        <w:textAlignment w:val="auto"/>
        <w:outlineLvl w:val="1"/>
        <w:rPr>
          <w:rFonts w:hint="eastAsia" w:ascii="Times New Roman" w:hAnsi="Times New Roman" w:eastAsia="仿宋_GB2312" w:cs="仿宋_GB2312"/>
          <w:b/>
          <w:bCs/>
          <w:color w:val="auto"/>
          <w:sz w:val="32"/>
          <w:szCs w:val="32"/>
          <w:highlight w:val="none"/>
          <w:lang w:eastAsia="zh-CN"/>
        </w:rPr>
      </w:pPr>
      <w:r>
        <w:drawing>
          <wp:anchor distT="0" distB="0" distL="114300" distR="114300" simplePos="0" relativeHeight="251661312" behindDoc="0" locked="0" layoutInCell="1" allowOverlap="1">
            <wp:simplePos x="0" y="0"/>
            <wp:positionH relativeFrom="column">
              <wp:posOffset>318135</wp:posOffset>
            </wp:positionH>
            <wp:positionV relativeFrom="paragraph">
              <wp:posOffset>1934210</wp:posOffset>
            </wp:positionV>
            <wp:extent cx="4030345" cy="1477645"/>
            <wp:effectExtent l="4445" t="4445" r="22860" b="22860"/>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222.63万元，其中：一般公共预算财政拨款收入222.63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%；无政府性基金预算财政拨款收入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其他收入等收入。</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5"/>
      <w:bookmarkStart w:id="23" w:name="_Toc15377207"/>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30"/>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222.63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222.63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%；无项目支出、上缴上级支出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lang w:eastAsia="zh-CN"/>
        </w:rPr>
        <w:t>等支出</w:t>
      </w:r>
      <w:r>
        <w:rPr>
          <w:rFonts w:hint="eastAsia" w:ascii="仿宋_GB2312" w:hAnsi="仿宋_GB2312" w:eastAsia="仿宋_GB2312" w:cs="仿宋_GB2312"/>
          <w:color w:val="auto"/>
          <w:sz w:val="32"/>
          <w:szCs w:val="32"/>
          <w:highlight w:val="none"/>
          <w:lang w:eastAsia="zh-CN"/>
        </w:rPr>
        <w:t>。</w:t>
      </w:r>
    </w:p>
    <w:p>
      <w:pPr>
        <w:pageBreakBefore w:val="0"/>
        <w:kinsoku/>
        <w:wordWrap/>
        <w:overflowPunct/>
        <w:topLinePunct w:val="0"/>
        <w:autoSpaceDE/>
        <w:autoSpaceDN/>
        <w:bidi w:val="0"/>
        <w:spacing w:line="560" w:lineRule="exact"/>
        <w:textAlignment w:val="auto"/>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2336" behindDoc="0" locked="0" layoutInCell="1" allowOverlap="1">
            <wp:simplePos x="0" y="0"/>
            <wp:positionH relativeFrom="column">
              <wp:posOffset>328295</wp:posOffset>
            </wp:positionH>
            <wp:positionV relativeFrom="paragraph">
              <wp:posOffset>88900</wp:posOffset>
            </wp:positionV>
            <wp:extent cx="4382135" cy="1371600"/>
            <wp:effectExtent l="4445" t="4445" r="13970" b="14605"/>
            <wp:wrapTopAndBottom/>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lang w:val="en-US" w:eastAsia="zh-CN"/>
        </w:rPr>
        <w:t xml:space="preserve">       </w:t>
      </w:r>
      <w:r>
        <w:rPr>
          <w:rFonts w:hint="eastAsia" w:ascii="Times New Roman" w:hAnsi="Times New Roman" w:eastAsia="仿宋_GB2312" w:cs="仿宋_GB2312"/>
          <w:color w:val="auto"/>
          <w:sz w:val="32"/>
          <w:szCs w:val="32"/>
          <w:highlight w:val="none"/>
          <w:lang w:eastAsia="zh-CN"/>
        </w:rPr>
        <w:t>（图3：支出决算结构图）（饼状图）</w:t>
      </w:r>
    </w:p>
    <w:p>
      <w:pPr>
        <w:pageBreakBefore w:val="0"/>
        <w:kinsoku/>
        <w:wordWrap/>
        <w:overflowPunct/>
        <w:topLinePunct w:val="0"/>
        <w:autoSpaceDE/>
        <w:autoSpaceDN/>
        <w:bidi w:val="0"/>
        <w:spacing w:line="560" w:lineRule="exact"/>
        <w:ind w:firstLine="640" w:firstLineChars="200"/>
        <w:textAlignment w:val="auto"/>
        <w:outlineLvl w:val="1"/>
        <w:rPr>
          <w:rStyle w:val="30"/>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4"/>
      <w:bookmarkEnd w:id="25"/>
    </w:p>
    <w:p>
      <w:pPr>
        <w:pageBreakBefore w:val="0"/>
        <w:kinsoku/>
        <w:wordWrap/>
        <w:overflowPunct/>
        <w:topLinePunct w:val="0"/>
        <w:autoSpaceDE/>
        <w:autoSpaceDN/>
        <w:bidi w:val="0"/>
        <w:spacing w:line="560" w:lineRule="exact"/>
        <w:ind w:firstLine="640"/>
        <w:textAlignment w:val="auto"/>
        <w:rPr>
          <w:rFonts w:hint="eastAsia"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222.63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w:t>
      </w:r>
      <w:r>
        <w:rPr>
          <w:rFonts w:hint="eastAsia" w:eastAsia="仿宋_GB2312" w:cs="仿宋_GB2312"/>
          <w:color w:val="auto"/>
          <w:kern w:val="2"/>
          <w:sz w:val="32"/>
          <w:szCs w:val="32"/>
          <w:highlight w:val="none"/>
          <w:lang w:val="en-US" w:eastAsia="zh-CN" w:bidi="ar-SA"/>
        </w:rPr>
        <w:t>均</w:t>
      </w:r>
      <w:r>
        <w:rPr>
          <w:rFonts w:hint="eastAsia" w:ascii="Times New Roman" w:hAnsi="Times New Roman" w:eastAsia="仿宋_GB2312" w:cs="仿宋_GB2312"/>
          <w:color w:val="auto"/>
          <w:kern w:val="2"/>
          <w:sz w:val="32"/>
          <w:szCs w:val="32"/>
          <w:highlight w:val="none"/>
          <w:lang w:val="en-US" w:eastAsia="zh-CN" w:bidi="ar-SA"/>
        </w:rPr>
        <w:t>增加</w:t>
      </w:r>
      <w:r>
        <w:rPr>
          <w:rFonts w:hint="eastAsia" w:ascii="仿宋_GB2312" w:hAnsi="仿宋_GB2312" w:eastAsia="仿宋_GB2312" w:cs="仿宋_GB2312"/>
          <w:sz w:val="32"/>
          <w:szCs w:val="32"/>
          <w:lang w:val="en-US" w:eastAsia="zh-CN"/>
        </w:rPr>
        <w:t>7.92</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3.7</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eastAsia="zh-CN"/>
        </w:rPr>
        <w:t>人员工资调整标准。</w:t>
      </w:r>
    </w:p>
    <w:p>
      <w:pPr>
        <w:pStyle w:val="2"/>
        <w:rPr>
          <w:rFonts w:hint="eastAsia"/>
          <w:lang w:val="en-US" w:eastAsia="zh-CN"/>
        </w:rPr>
      </w:pPr>
      <w:r>
        <w:drawing>
          <wp:anchor distT="0" distB="0" distL="114300" distR="114300" simplePos="0" relativeHeight="251663360" behindDoc="0" locked="0" layoutInCell="1" allowOverlap="1">
            <wp:simplePos x="0" y="0"/>
            <wp:positionH relativeFrom="column">
              <wp:posOffset>356870</wp:posOffset>
            </wp:positionH>
            <wp:positionV relativeFrom="paragraph">
              <wp:posOffset>125095</wp:posOffset>
            </wp:positionV>
            <wp:extent cx="4429125" cy="1809750"/>
            <wp:effectExtent l="4445" t="4445" r="5080" b="1460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autoSpaceDE/>
        <w:autoSpaceDN/>
        <w:bidi w:val="0"/>
        <w:spacing w:line="560" w:lineRule="exact"/>
        <w:ind w:firstLine="960" w:firstLineChars="3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pageBreakBefore w:val="0"/>
        <w:kinsoku/>
        <w:wordWrap/>
        <w:overflowPunct/>
        <w:topLinePunct w:val="0"/>
        <w:autoSpaceDE/>
        <w:autoSpaceDN/>
        <w:bidi w:val="0"/>
        <w:spacing w:line="560" w:lineRule="exact"/>
        <w:ind w:firstLine="640" w:firstLineChars="200"/>
        <w:textAlignment w:val="auto"/>
        <w:outlineLvl w:val="1"/>
        <w:rPr>
          <w:rStyle w:val="30"/>
          <w:rFonts w:ascii="Times New Roman" w:hAnsi="Times New Roman" w:eastAsia="黑体"/>
          <w:b w:val="0"/>
          <w:color w:val="auto"/>
          <w:highlight w:val="none"/>
        </w:rPr>
      </w:pPr>
      <w:bookmarkStart w:id="26" w:name="_Toc15396607"/>
      <w:bookmarkStart w:id="27"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p>
    <w:p>
      <w:pPr>
        <w:pageBreakBefore w:val="0"/>
        <w:kinsoku/>
        <w:wordWrap/>
        <w:overflowPunct/>
        <w:topLinePunct w:val="0"/>
        <w:autoSpaceDE/>
        <w:autoSpaceDN/>
        <w:bidi w:val="0"/>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pPr>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222.63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%。与2023年度相比，一般公共预算财政拨款支出增加7.92万元，增长3.7%。主要变动原因是人员工资标准调整。</w:t>
      </w:r>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4384" behindDoc="0" locked="0" layoutInCell="1" allowOverlap="1">
            <wp:simplePos x="0" y="0"/>
            <wp:positionH relativeFrom="column">
              <wp:posOffset>353695</wp:posOffset>
            </wp:positionH>
            <wp:positionV relativeFrom="paragraph">
              <wp:posOffset>83820</wp:posOffset>
            </wp:positionV>
            <wp:extent cx="4572000" cy="1905000"/>
            <wp:effectExtent l="4445" t="4445" r="14605" b="1460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pageBreakBefore w:val="0"/>
        <w:kinsoku/>
        <w:wordWrap/>
        <w:overflowPunct/>
        <w:topLinePunct w:val="0"/>
        <w:autoSpaceDE/>
        <w:autoSpaceDN/>
        <w:bidi w:val="0"/>
        <w:spacing w:line="560" w:lineRule="exact"/>
        <w:ind w:firstLine="321" w:firstLineChars="100"/>
        <w:textAlignment w:val="auto"/>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pPr>
        <w:spacing w:line="600" w:lineRule="exact"/>
        <w:ind w:firstLine="640" w:firstLineChars="200"/>
        <w:rPr>
          <w:rFonts w:hint="default" w:ascii="仿宋_GB2312" w:hAnsi="仿宋_GB2312" w:eastAsia="仿宋_GB2312" w:cs="仿宋_GB2312"/>
          <w:color w:val="000000"/>
          <w:sz w:val="32"/>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222.63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000000"/>
          <w:sz w:val="32"/>
        </w:rPr>
        <w:t>社会保障和就业支出</w:t>
      </w:r>
      <w:r>
        <w:rPr>
          <w:rFonts w:hint="eastAsia" w:ascii="仿宋_GB2312" w:hAnsi="仿宋_GB2312" w:eastAsia="仿宋_GB2312" w:cs="仿宋_GB2312"/>
          <w:color w:val="000000"/>
          <w:sz w:val="32"/>
          <w:lang w:val="en-US" w:eastAsia="zh-CN"/>
        </w:rPr>
        <w:t>37.9</w:t>
      </w:r>
      <w:r>
        <w:rPr>
          <w:rFonts w:hint="eastAsia" w:ascii="仿宋_GB2312" w:hAnsi="仿宋_GB2312" w:eastAsia="仿宋_GB2312" w:cs="仿宋_GB2312"/>
          <w:color w:val="000000"/>
          <w:sz w:val="32"/>
        </w:rPr>
        <w:t>万元，占</w:t>
      </w:r>
      <w:r>
        <w:rPr>
          <w:rFonts w:hint="eastAsia" w:ascii="仿宋_GB2312" w:hAnsi="仿宋_GB2312" w:eastAsia="仿宋_GB2312" w:cs="仿宋_GB2312"/>
          <w:color w:val="000000"/>
          <w:sz w:val="32"/>
          <w:lang w:val="en-US" w:eastAsia="zh-CN"/>
        </w:rPr>
        <w:t>17</w:t>
      </w:r>
      <w:r>
        <w:rPr>
          <w:rFonts w:hint="eastAsia" w:ascii="仿宋_GB2312" w:hAnsi="仿宋_GB2312" w:eastAsia="仿宋_GB2312" w:cs="仿宋_GB2312"/>
          <w:color w:val="000000"/>
          <w:sz w:val="32"/>
        </w:rPr>
        <w:t>%；卫生健康支出</w:t>
      </w:r>
      <w:r>
        <w:rPr>
          <w:rFonts w:hint="eastAsia" w:ascii="仿宋_GB2312" w:hAnsi="仿宋_GB2312" w:eastAsia="仿宋_GB2312" w:cs="仿宋_GB2312"/>
          <w:color w:val="000000"/>
          <w:sz w:val="32"/>
          <w:lang w:val="en-US" w:eastAsia="zh-CN"/>
        </w:rPr>
        <w:t>15.09</w:t>
      </w:r>
      <w:r>
        <w:rPr>
          <w:rFonts w:hint="eastAsia" w:ascii="仿宋_GB2312" w:hAnsi="仿宋_GB2312" w:eastAsia="仿宋_GB2312" w:cs="仿宋_GB2312"/>
          <w:color w:val="000000"/>
          <w:sz w:val="32"/>
        </w:rPr>
        <w:t>万元，占</w:t>
      </w:r>
      <w:r>
        <w:rPr>
          <w:rFonts w:hint="eastAsia" w:ascii="仿宋_GB2312" w:hAnsi="仿宋_GB2312" w:eastAsia="仿宋_GB2312" w:cs="仿宋_GB2312"/>
          <w:color w:val="000000"/>
          <w:sz w:val="32"/>
          <w:lang w:val="en-US" w:eastAsia="zh-CN"/>
        </w:rPr>
        <w:t>6.8</w:t>
      </w:r>
      <w:r>
        <w:rPr>
          <w:rFonts w:hint="eastAsia" w:ascii="仿宋_GB2312" w:hAnsi="仿宋_GB2312" w:eastAsia="仿宋_GB2312" w:cs="仿宋_GB2312"/>
          <w:color w:val="000000"/>
          <w:sz w:val="32"/>
        </w:rPr>
        <w:t>%；节能环保支出</w:t>
      </w:r>
      <w:r>
        <w:rPr>
          <w:rFonts w:hint="eastAsia" w:ascii="仿宋_GB2312" w:hAnsi="仿宋_GB2312" w:eastAsia="仿宋_GB2312" w:cs="仿宋_GB2312"/>
          <w:color w:val="000000"/>
          <w:sz w:val="32"/>
          <w:lang w:val="en-US" w:eastAsia="zh-CN"/>
        </w:rPr>
        <w:t>148.4</w:t>
      </w:r>
    </w:p>
    <w:p>
      <w:pPr>
        <w:spacing w:line="600" w:lineRule="exact"/>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万元，占</w:t>
      </w:r>
      <w:r>
        <w:rPr>
          <w:rFonts w:hint="eastAsia" w:ascii="仿宋_GB2312" w:hAnsi="仿宋_GB2312" w:eastAsia="仿宋_GB2312" w:cs="仿宋_GB2312"/>
          <w:color w:val="000000"/>
          <w:sz w:val="32"/>
          <w:lang w:val="en-US" w:eastAsia="zh-CN"/>
        </w:rPr>
        <w:t>66.7</w:t>
      </w:r>
      <w:r>
        <w:rPr>
          <w:rFonts w:hint="eastAsia" w:ascii="仿宋_GB2312" w:hAnsi="仿宋_GB2312" w:eastAsia="仿宋_GB2312" w:cs="仿宋_GB2312"/>
          <w:color w:val="000000"/>
          <w:sz w:val="32"/>
        </w:rPr>
        <w:t>%；住房保障支出</w:t>
      </w:r>
      <w:r>
        <w:rPr>
          <w:rFonts w:hint="eastAsia" w:ascii="仿宋_GB2312" w:hAnsi="仿宋_GB2312" w:eastAsia="仿宋_GB2312" w:cs="仿宋_GB2312"/>
          <w:color w:val="000000"/>
          <w:sz w:val="32"/>
          <w:lang w:val="en-US" w:eastAsia="zh-CN"/>
        </w:rPr>
        <w:t>21.24</w:t>
      </w:r>
      <w:r>
        <w:rPr>
          <w:rFonts w:hint="eastAsia" w:ascii="仿宋_GB2312" w:hAnsi="仿宋_GB2312" w:eastAsia="仿宋_GB2312" w:cs="仿宋_GB2312"/>
          <w:color w:val="000000"/>
          <w:sz w:val="32"/>
        </w:rPr>
        <w:t>万元，占9.</w:t>
      </w:r>
      <w:r>
        <w:rPr>
          <w:rFonts w:hint="eastAsia" w:ascii="仿宋_GB2312" w:hAnsi="仿宋_GB2312" w:eastAsia="仿宋_GB2312" w:cs="仿宋_GB2312"/>
          <w:color w:val="000000"/>
          <w:sz w:val="32"/>
          <w:lang w:val="en-US" w:eastAsia="zh-CN"/>
        </w:rPr>
        <w:t>5</w:t>
      </w:r>
      <w:r>
        <w:rPr>
          <w:rFonts w:hint="eastAsia" w:ascii="仿宋_GB2312" w:hAnsi="仿宋_GB2312" w:eastAsia="仿宋_GB2312" w:cs="仿宋_GB2312"/>
          <w:color w:val="000000"/>
          <w:sz w:val="32"/>
        </w:rPr>
        <w:t>%。</w:t>
      </w:r>
    </w:p>
    <w:p>
      <w:pPr>
        <w:pStyle w:val="2"/>
        <w:rPr>
          <w:rFonts w:hint="eastAsia"/>
        </w:rPr>
      </w:pPr>
      <w:r>
        <w:drawing>
          <wp:inline distT="0" distB="0" distL="114300" distR="114300">
            <wp:extent cx="4524375" cy="2019935"/>
            <wp:effectExtent l="4445" t="4445" r="5080" b="1397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pageBreakBefore w:val="0"/>
        <w:kinsoku/>
        <w:wordWrap/>
        <w:overflowPunct/>
        <w:topLinePunct w:val="0"/>
        <w:autoSpaceDE/>
        <w:autoSpaceDN/>
        <w:bidi w:val="0"/>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bookmarkStart w:id="31" w:name="_Toc15377444"/>
      <w:bookmarkStart w:id="32" w:name="_Toc15377213"/>
      <w:bookmarkStart w:id="33"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222.63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pPr>
        <w:numPr>
          <w:ilvl w:val="0"/>
          <w:numId w:val="0"/>
        </w:num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社会保障和就业支出（208）行政事业单位养老支出（20805）机关事业单位基本养老保险缴费支出（2080505）支出决算</w:t>
      </w:r>
      <w:r>
        <w:rPr>
          <w:rFonts w:hint="eastAsia" w:ascii="仿宋_GB2312" w:hAnsi="仿宋_GB2312" w:eastAsia="仿宋_GB2312" w:cs="仿宋_GB2312"/>
          <w:color w:val="000000"/>
          <w:sz w:val="32"/>
          <w:szCs w:val="32"/>
          <w:lang w:val="en-US" w:eastAsia="zh-CN"/>
        </w:rPr>
        <w:t>25.59</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2.社会保障和就业支出（208）行政事业单位养老支出（20805）机关事业单位职业年金缴费支出（2080506）支出决算</w:t>
      </w:r>
      <w:r>
        <w:rPr>
          <w:rFonts w:hint="eastAsia" w:ascii="仿宋_GB2312" w:hAnsi="仿宋_GB2312" w:eastAsia="仿宋_GB2312" w:cs="仿宋_GB2312"/>
          <w:color w:val="000000"/>
          <w:sz w:val="32"/>
          <w:szCs w:val="32"/>
          <w:lang w:val="en-US" w:eastAsia="zh-CN"/>
        </w:rPr>
        <w:t>12.31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3.卫生健康支出（210）行政事业单位医疗（21011）事业单位医疗（2101102）支出决算</w:t>
      </w:r>
      <w:r>
        <w:rPr>
          <w:rFonts w:hint="eastAsia" w:ascii="仿宋_GB2312" w:hAnsi="仿宋_GB2312" w:eastAsia="仿宋_GB2312" w:cs="仿宋_GB2312"/>
          <w:color w:val="000000"/>
          <w:sz w:val="32"/>
          <w:szCs w:val="32"/>
          <w:lang w:val="en-US" w:eastAsia="zh-CN"/>
        </w:rPr>
        <w:t>11.84</w:t>
      </w:r>
      <w:r>
        <w:rPr>
          <w:rFonts w:hint="eastAsia" w:ascii="仿宋_GB2312" w:hAnsi="仿宋_GB2312" w:eastAsia="仿宋_GB2312" w:cs="仿宋_GB2312"/>
          <w:color w:val="000000"/>
          <w:sz w:val="32"/>
          <w:szCs w:val="32"/>
        </w:rPr>
        <w:t>万元，完成预算100%。</w:t>
      </w:r>
    </w:p>
    <w:p>
      <w:pPr>
        <w:numPr>
          <w:ilvl w:val="0"/>
          <w:numId w:val="0"/>
        </w:num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卫生健康支出（210）行政事业单位医疗（21011）其他行政事业单位医疗支出（21011</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3.25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.节能环保支出（211）环境监测与监察（21102）其他环境监测与监察支出（2110299）支出决算</w:t>
      </w:r>
      <w:r>
        <w:rPr>
          <w:rFonts w:hint="eastAsia" w:ascii="仿宋_GB2312" w:hAnsi="仿宋_GB2312" w:eastAsia="仿宋_GB2312" w:cs="仿宋_GB2312"/>
          <w:color w:val="000000"/>
          <w:sz w:val="32"/>
          <w:szCs w:val="32"/>
          <w:lang w:val="en-US" w:eastAsia="zh-CN"/>
        </w:rPr>
        <w:t>148.4</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6</w:t>
      </w:r>
      <w:r>
        <w:rPr>
          <w:rFonts w:hint="eastAsia" w:ascii="仿宋_GB2312" w:hAnsi="仿宋_GB2312" w:eastAsia="仿宋_GB2312" w:cs="仿宋_GB2312"/>
          <w:color w:val="000000"/>
          <w:sz w:val="32"/>
          <w:szCs w:val="32"/>
        </w:rPr>
        <w:t>.住房保障支出（221）住房改革支出（22102）住房公积金（2210201）支出决算</w:t>
      </w:r>
      <w:r>
        <w:rPr>
          <w:rFonts w:hint="eastAsia" w:ascii="仿宋_GB2312" w:hAnsi="仿宋_GB2312" w:eastAsia="仿宋_GB2312" w:cs="仿宋_GB2312"/>
          <w:color w:val="000000"/>
          <w:sz w:val="32"/>
          <w:szCs w:val="32"/>
          <w:lang w:val="en-US" w:eastAsia="zh-CN"/>
        </w:rPr>
        <w:t>21.24</w:t>
      </w:r>
      <w:r>
        <w:rPr>
          <w:rFonts w:hint="eastAsia" w:ascii="仿宋_GB2312" w:hAnsi="仿宋_GB2312" w:eastAsia="仿宋_GB2312" w:cs="仿宋_GB2312"/>
          <w:color w:val="000000"/>
          <w:sz w:val="32"/>
          <w:szCs w:val="32"/>
        </w:rPr>
        <w:t>万元，完成预算100%。</w:t>
      </w:r>
    </w:p>
    <w:p>
      <w:pPr>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30"/>
          <w:rFonts w:ascii="Times New Roman" w:hAnsi="Times New Roman"/>
          <w:color w:val="auto"/>
          <w:highlight w:val="none"/>
        </w:rPr>
      </w:pPr>
      <w:bookmarkStart w:id="34" w:name="_Toc15377214"/>
      <w:bookmarkStart w:id="35"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4"/>
      <w:bookmarkEnd w:id="35"/>
      <w:r>
        <w:rPr>
          <w:rStyle w:val="30"/>
          <w:rFonts w:ascii="Times New Roman" w:hAnsi="Times New Roman" w:eastAsia="黑体"/>
          <w:b w:val="0"/>
          <w:color w:val="auto"/>
          <w:highlight w:val="none"/>
        </w:rPr>
        <w:tab/>
      </w:r>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222.63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仿宋_GB2312" w:hAnsi="仿宋_GB2312" w:eastAsia="仿宋_GB2312" w:cs="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190.86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000000"/>
          <w:sz w:val="32"/>
        </w:rPr>
        <w:t>基本工资</w:t>
      </w:r>
      <w:r>
        <w:rPr>
          <w:rFonts w:hint="eastAsia" w:ascii="仿宋_GB2312" w:hAnsi="仿宋_GB2312" w:eastAsia="仿宋_GB2312" w:cs="仿宋_GB2312"/>
          <w:color w:val="000000"/>
          <w:sz w:val="32"/>
          <w:lang w:val="en-US" w:eastAsia="zh-CN"/>
        </w:rPr>
        <w:t>49.18</w:t>
      </w:r>
      <w:r>
        <w:rPr>
          <w:rFonts w:hint="eastAsia" w:ascii="仿宋_GB2312" w:hAnsi="仿宋_GB2312" w:eastAsia="仿宋_GB2312" w:cs="仿宋_GB2312"/>
          <w:color w:val="000000"/>
          <w:sz w:val="32"/>
        </w:rPr>
        <w:t>万元、津贴补贴</w:t>
      </w:r>
      <w:r>
        <w:rPr>
          <w:rFonts w:hint="eastAsia" w:ascii="仿宋_GB2312" w:hAnsi="仿宋_GB2312" w:eastAsia="仿宋_GB2312" w:cs="仿宋_GB2312"/>
          <w:color w:val="000000"/>
          <w:sz w:val="32"/>
          <w:lang w:val="en-US" w:eastAsia="zh-CN"/>
        </w:rPr>
        <w:t>7.21</w:t>
      </w:r>
      <w:r>
        <w:rPr>
          <w:rFonts w:hint="eastAsia" w:ascii="仿宋_GB2312" w:hAnsi="仿宋_GB2312" w:eastAsia="仿宋_GB2312" w:cs="仿宋_GB2312"/>
          <w:color w:val="000000"/>
          <w:sz w:val="32"/>
        </w:rPr>
        <w:t>万元、</w:t>
      </w:r>
      <w:r>
        <w:rPr>
          <w:rFonts w:hint="eastAsia" w:ascii="仿宋_GB2312" w:hAnsi="仿宋_GB2312" w:eastAsia="仿宋_GB2312" w:cs="仿宋_GB2312"/>
          <w:color w:val="000000"/>
          <w:sz w:val="32"/>
          <w:lang w:eastAsia="zh-CN"/>
        </w:rPr>
        <w:t>伙食补助</w:t>
      </w:r>
      <w:r>
        <w:rPr>
          <w:rFonts w:hint="eastAsia" w:ascii="仿宋_GB2312" w:hAnsi="仿宋_GB2312" w:eastAsia="仿宋_GB2312" w:cs="仿宋_GB2312"/>
          <w:color w:val="000000"/>
          <w:sz w:val="32"/>
          <w:lang w:val="en-US" w:eastAsia="zh-CN"/>
        </w:rPr>
        <w:t>0.66万元、</w:t>
      </w:r>
      <w:r>
        <w:rPr>
          <w:rFonts w:hint="eastAsia" w:ascii="仿宋_GB2312" w:hAnsi="仿宋_GB2312" w:eastAsia="仿宋_GB2312" w:cs="仿宋_GB2312"/>
          <w:color w:val="000000"/>
          <w:sz w:val="32"/>
        </w:rPr>
        <w:t>绩效工资</w:t>
      </w:r>
      <w:r>
        <w:rPr>
          <w:rFonts w:hint="eastAsia" w:ascii="仿宋_GB2312" w:hAnsi="仿宋_GB2312" w:eastAsia="仿宋_GB2312" w:cs="仿宋_GB2312"/>
          <w:color w:val="000000"/>
          <w:sz w:val="32"/>
          <w:lang w:val="en-US" w:eastAsia="zh-CN"/>
        </w:rPr>
        <w:t>55.99</w:t>
      </w:r>
      <w:r>
        <w:rPr>
          <w:rFonts w:hint="eastAsia" w:ascii="仿宋_GB2312" w:hAnsi="仿宋_GB2312" w:eastAsia="仿宋_GB2312" w:cs="仿宋_GB2312"/>
          <w:color w:val="000000"/>
          <w:sz w:val="32"/>
        </w:rPr>
        <w:t>万元、机关事业单位基本养老保险缴费</w:t>
      </w:r>
      <w:r>
        <w:rPr>
          <w:rFonts w:hint="eastAsia" w:ascii="仿宋_GB2312" w:hAnsi="仿宋_GB2312" w:eastAsia="仿宋_GB2312" w:cs="仿宋_GB2312"/>
          <w:color w:val="000000"/>
          <w:sz w:val="32"/>
          <w:lang w:val="en-US" w:eastAsia="zh-CN"/>
        </w:rPr>
        <w:t>25.59</w:t>
      </w:r>
      <w:r>
        <w:rPr>
          <w:rFonts w:hint="eastAsia" w:ascii="仿宋_GB2312" w:hAnsi="仿宋_GB2312" w:eastAsia="仿宋_GB2312" w:cs="仿宋_GB2312"/>
          <w:color w:val="000000"/>
          <w:sz w:val="32"/>
        </w:rPr>
        <w:t>万元、职业年金缴费</w:t>
      </w:r>
      <w:r>
        <w:rPr>
          <w:rFonts w:hint="eastAsia" w:ascii="仿宋_GB2312" w:hAnsi="仿宋_GB2312" w:eastAsia="仿宋_GB2312" w:cs="仿宋_GB2312"/>
          <w:color w:val="000000"/>
          <w:sz w:val="32"/>
          <w:lang w:val="en-US" w:eastAsia="zh-CN"/>
        </w:rPr>
        <w:t>12.31</w:t>
      </w:r>
      <w:r>
        <w:rPr>
          <w:rFonts w:hint="eastAsia" w:ascii="仿宋_GB2312" w:hAnsi="仿宋_GB2312" w:eastAsia="仿宋_GB2312" w:cs="仿宋_GB2312"/>
          <w:color w:val="000000"/>
          <w:sz w:val="32"/>
        </w:rPr>
        <w:t>万元、职工基本医疗保险缴费</w:t>
      </w:r>
      <w:r>
        <w:rPr>
          <w:rFonts w:hint="eastAsia" w:ascii="仿宋_GB2312" w:hAnsi="仿宋_GB2312" w:eastAsia="仿宋_GB2312" w:cs="仿宋_GB2312"/>
          <w:color w:val="000000"/>
          <w:sz w:val="32"/>
          <w:lang w:val="en-US" w:eastAsia="zh-CN"/>
        </w:rPr>
        <w:t>11.85</w:t>
      </w:r>
      <w:r>
        <w:rPr>
          <w:rFonts w:hint="eastAsia" w:ascii="仿宋_GB2312" w:hAnsi="仿宋_GB2312" w:eastAsia="仿宋_GB2312" w:cs="仿宋_GB2312"/>
          <w:color w:val="000000"/>
          <w:sz w:val="32"/>
        </w:rPr>
        <w:t>万元、其他社会保障缴费</w:t>
      </w:r>
      <w:r>
        <w:rPr>
          <w:rFonts w:hint="eastAsia" w:ascii="仿宋_GB2312" w:hAnsi="仿宋_GB2312" w:eastAsia="仿宋_GB2312" w:cs="仿宋_GB2312"/>
          <w:color w:val="000000"/>
          <w:sz w:val="32"/>
          <w:lang w:val="en-US" w:eastAsia="zh-CN"/>
        </w:rPr>
        <w:t>6.83</w:t>
      </w:r>
      <w:r>
        <w:rPr>
          <w:rFonts w:hint="eastAsia" w:ascii="仿宋_GB2312" w:hAnsi="仿宋_GB2312" w:eastAsia="仿宋_GB2312" w:cs="仿宋_GB2312"/>
          <w:color w:val="000000"/>
          <w:sz w:val="32"/>
        </w:rPr>
        <w:t>万元、住房公积金</w:t>
      </w:r>
      <w:r>
        <w:rPr>
          <w:rFonts w:hint="eastAsia" w:ascii="仿宋_GB2312" w:hAnsi="仿宋_GB2312" w:eastAsia="仿宋_GB2312" w:cs="仿宋_GB2312"/>
          <w:color w:val="000000"/>
          <w:sz w:val="32"/>
          <w:lang w:val="en-US" w:eastAsia="zh-CN"/>
        </w:rPr>
        <w:t>21.24</w:t>
      </w:r>
      <w:r>
        <w:rPr>
          <w:rFonts w:hint="eastAsia" w:ascii="仿宋_GB2312" w:hAnsi="仿宋_GB2312" w:eastAsia="仿宋_GB2312" w:cs="仿宋_GB2312"/>
          <w:color w:val="000000"/>
          <w:sz w:val="32"/>
        </w:rPr>
        <w:t>万元。</w:t>
      </w:r>
    </w:p>
    <w:p>
      <w:pPr>
        <w:spacing w:line="600" w:lineRule="exact"/>
        <w:ind w:firstLine="640" w:firstLineChars="20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w:t>
      </w:r>
      <w:r>
        <w:rPr>
          <w:rFonts w:hint="eastAsia" w:ascii="仿宋_GB2312" w:hAnsi="仿宋_GB2312" w:eastAsia="仿宋_GB2312" w:cs="仿宋_GB2312"/>
          <w:sz w:val="32"/>
          <w:szCs w:val="32"/>
        </w:rPr>
        <w:t>31.77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000000"/>
          <w:sz w:val="32"/>
        </w:rPr>
        <w:t>办公费</w:t>
      </w:r>
      <w:r>
        <w:rPr>
          <w:rFonts w:hint="eastAsia" w:ascii="仿宋_GB2312" w:hAnsi="仿宋_GB2312" w:eastAsia="仿宋_GB2312" w:cs="仿宋_GB2312"/>
          <w:color w:val="000000"/>
          <w:sz w:val="32"/>
          <w:lang w:val="en-US" w:eastAsia="zh-CN"/>
        </w:rPr>
        <w:t>15.13</w:t>
      </w:r>
      <w:r>
        <w:rPr>
          <w:rFonts w:hint="eastAsia" w:ascii="仿宋_GB2312" w:hAnsi="仿宋_GB2312" w:eastAsia="仿宋_GB2312" w:cs="仿宋_GB2312"/>
          <w:color w:val="000000"/>
          <w:sz w:val="32"/>
        </w:rPr>
        <w:t>万元、</w:t>
      </w:r>
      <w:r>
        <w:rPr>
          <w:rFonts w:hint="eastAsia" w:ascii="仿宋_GB2312" w:hAnsi="仿宋_GB2312" w:eastAsia="仿宋_GB2312" w:cs="仿宋_GB2312"/>
          <w:color w:val="000000"/>
          <w:sz w:val="32"/>
          <w:lang w:eastAsia="zh-CN"/>
        </w:rPr>
        <w:t>水</w:t>
      </w:r>
      <w:r>
        <w:rPr>
          <w:rFonts w:hint="eastAsia" w:ascii="仿宋_GB2312" w:hAnsi="仿宋_GB2312" w:eastAsia="仿宋_GB2312" w:cs="仿宋_GB2312"/>
          <w:color w:val="000000"/>
          <w:sz w:val="32"/>
        </w:rPr>
        <w:t>电费</w:t>
      </w:r>
      <w:r>
        <w:rPr>
          <w:rFonts w:hint="eastAsia" w:ascii="仿宋_GB2312" w:hAnsi="仿宋_GB2312" w:eastAsia="仿宋_GB2312" w:cs="仿宋_GB2312"/>
          <w:color w:val="000000"/>
          <w:sz w:val="32"/>
          <w:lang w:val="en-US" w:eastAsia="zh-CN"/>
        </w:rPr>
        <w:t>1.13</w:t>
      </w:r>
      <w:r>
        <w:rPr>
          <w:rFonts w:hint="eastAsia" w:ascii="仿宋_GB2312" w:hAnsi="仿宋_GB2312" w:eastAsia="仿宋_GB2312" w:cs="仿宋_GB2312"/>
          <w:color w:val="000000"/>
          <w:sz w:val="32"/>
        </w:rPr>
        <w:t>万元、</w:t>
      </w:r>
      <w:r>
        <w:rPr>
          <w:rFonts w:hint="eastAsia" w:ascii="仿宋_GB2312" w:hAnsi="仿宋_GB2312" w:eastAsia="仿宋_GB2312" w:cs="仿宋_GB2312"/>
          <w:color w:val="000000"/>
          <w:sz w:val="32"/>
          <w:lang w:eastAsia="zh-CN"/>
        </w:rPr>
        <w:t>邮电费</w:t>
      </w:r>
      <w:r>
        <w:rPr>
          <w:rFonts w:hint="eastAsia" w:ascii="仿宋_GB2312" w:hAnsi="仿宋_GB2312" w:eastAsia="仿宋_GB2312" w:cs="仿宋_GB2312"/>
          <w:color w:val="000000"/>
          <w:sz w:val="32"/>
          <w:lang w:val="en-US" w:eastAsia="zh-CN"/>
        </w:rPr>
        <w:t>2.64万元、</w:t>
      </w:r>
      <w:r>
        <w:rPr>
          <w:rFonts w:hint="eastAsia" w:ascii="仿宋_GB2312" w:hAnsi="仿宋_GB2312" w:eastAsia="仿宋_GB2312" w:cs="仿宋_GB2312"/>
          <w:color w:val="000000"/>
          <w:sz w:val="32"/>
        </w:rPr>
        <w:t>差旅费</w:t>
      </w:r>
      <w:r>
        <w:rPr>
          <w:rFonts w:hint="eastAsia" w:ascii="仿宋_GB2312" w:hAnsi="仿宋_GB2312" w:eastAsia="仿宋_GB2312" w:cs="仿宋_GB2312"/>
          <w:color w:val="000000"/>
          <w:sz w:val="32"/>
          <w:lang w:val="en-US" w:eastAsia="zh-CN"/>
        </w:rPr>
        <w:t>8.49</w:t>
      </w:r>
      <w:r>
        <w:rPr>
          <w:rFonts w:hint="eastAsia" w:ascii="仿宋_GB2312" w:hAnsi="仿宋_GB2312" w:eastAsia="仿宋_GB2312" w:cs="仿宋_GB2312"/>
          <w:color w:val="000000"/>
          <w:sz w:val="32"/>
        </w:rPr>
        <w:t>万元、</w:t>
      </w:r>
      <w:r>
        <w:rPr>
          <w:rFonts w:hint="eastAsia" w:ascii="仿宋_GB2312" w:hAnsi="仿宋_GB2312" w:eastAsia="仿宋_GB2312" w:cs="仿宋_GB2312"/>
          <w:color w:val="000000"/>
          <w:sz w:val="32"/>
          <w:lang w:val="en-US" w:eastAsia="zh-CN"/>
        </w:rPr>
        <w:t>培训费0.79万元、</w:t>
      </w:r>
      <w:r>
        <w:rPr>
          <w:rFonts w:hint="eastAsia" w:ascii="仿宋_GB2312" w:hAnsi="仿宋_GB2312" w:eastAsia="仿宋_GB2312" w:cs="仿宋_GB2312"/>
          <w:color w:val="000000"/>
          <w:sz w:val="32"/>
        </w:rPr>
        <w:t>公务接待费0.</w:t>
      </w:r>
      <w:r>
        <w:rPr>
          <w:rFonts w:hint="eastAsia" w:ascii="仿宋_GB2312" w:hAnsi="仿宋_GB2312" w:eastAsia="仿宋_GB2312" w:cs="仿宋_GB2312"/>
          <w:color w:val="000000"/>
          <w:sz w:val="32"/>
          <w:lang w:val="en-US" w:eastAsia="zh-CN"/>
        </w:rPr>
        <w:t>4</w:t>
      </w:r>
      <w:r>
        <w:rPr>
          <w:rFonts w:hint="eastAsia" w:ascii="仿宋_GB2312" w:hAnsi="仿宋_GB2312" w:eastAsia="仿宋_GB2312" w:cs="仿宋_GB2312"/>
          <w:color w:val="000000"/>
          <w:sz w:val="32"/>
        </w:rPr>
        <w:t>万元</w:t>
      </w:r>
      <w:r>
        <w:rPr>
          <w:rFonts w:hint="eastAsia" w:ascii="仿宋_GB2312" w:hAnsi="仿宋_GB2312" w:eastAsia="仿宋_GB2312" w:cs="仿宋_GB2312"/>
          <w:color w:val="000000"/>
          <w:sz w:val="32"/>
          <w:lang w:eastAsia="zh-CN"/>
        </w:rPr>
        <w:t>、委托业务费</w:t>
      </w:r>
      <w:r>
        <w:rPr>
          <w:rFonts w:hint="eastAsia" w:ascii="仿宋_GB2312" w:hAnsi="仿宋_GB2312" w:eastAsia="仿宋_GB2312" w:cs="仿宋_GB2312"/>
          <w:color w:val="000000"/>
          <w:sz w:val="32"/>
          <w:lang w:val="en-US" w:eastAsia="zh-CN"/>
        </w:rPr>
        <w:t>1.06万元、</w:t>
      </w:r>
      <w:r>
        <w:rPr>
          <w:rFonts w:hint="eastAsia" w:ascii="仿宋_GB2312" w:hAnsi="仿宋_GB2312" w:eastAsia="仿宋_GB2312" w:cs="仿宋_GB2312"/>
          <w:color w:val="000000"/>
          <w:sz w:val="32"/>
          <w:lang w:eastAsia="zh-CN"/>
        </w:rPr>
        <w:t>福利费</w:t>
      </w:r>
      <w:r>
        <w:rPr>
          <w:rFonts w:hint="eastAsia" w:ascii="仿宋_GB2312" w:hAnsi="仿宋_GB2312" w:eastAsia="仿宋_GB2312" w:cs="仿宋_GB2312"/>
          <w:color w:val="000000"/>
          <w:sz w:val="32"/>
          <w:lang w:val="en-US" w:eastAsia="zh-CN"/>
        </w:rPr>
        <w:t>2.65万元</w:t>
      </w:r>
      <w:r>
        <w:rPr>
          <w:rFonts w:hint="eastAsia" w:ascii="仿宋_GB2312" w:hAnsi="仿宋_GB2312" w:eastAsia="仿宋_GB2312" w:cs="仿宋_GB2312"/>
          <w:color w:val="000000"/>
          <w:sz w:val="32"/>
          <w:lang w:eastAsia="zh-CN"/>
        </w:rPr>
        <w:t>。</w:t>
      </w:r>
    </w:p>
    <w:p>
      <w:pPr>
        <w:pageBreakBefore w:val="0"/>
        <w:kinsoku/>
        <w:wordWrap/>
        <w:overflowPunct/>
        <w:topLinePunct w:val="0"/>
        <w:autoSpaceDE/>
        <w:autoSpaceDN/>
        <w:bidi w:val="0"/>
        <w:spacing w:line="560" w:lineRule="exact"/>
        <w:ind w:firstLine="640"/>
        <w:textAlignment w:val="auto"/>
        <w:outlineLvl w:val="1"/>
        <w:rPr>
          <w:rStyle w:val="30"/>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6"/>
      <w:bookmarkEnd w:id="37"/>
    </w:p>
    <w:p>
      <w:pPr>
        <w:pageBreakBefore w:val="0"/>
        <w:kinsoku/>
        <w:wordWrap/>
        <w:overflowPunct/>
        <w:topLinePunct w:val="0"/>
        <w:autoSpaceDE/>
        <w:autoSpaceDN/>
        <w:bidi w:val="0"/>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pPr>
        <w:pageBreakBefore w:val="0"/>
        <w:kinsoku/>
        <w:wordWrap/>
        <w:overflowPunct/>
        <w:topLinePunct w:val="0"/>
        <w:autoSpaceDE/>
        <w:autoSpaceDN/>
        <w:bidi w:val="0"/>
        <w:spacing w:line="560" w:lineRule="exact"/>
        <w:ind w:firstLine="640"/>
        <w:textAlignment w:val="auto"/>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0.4</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0.04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%。决算与预算数持平</w:t>
      </w:r>
      <w:r>
        <w:rPr>
          <w:rFonts w:hint="eastAsia" w:eastAsia="仿宋_GB2312" w:cs="仿宋_GB2312"/>
          <w:color w:val="auto"/>
          <w:kern w:val="2"/>
          <w:sz w:val="32"/>
          <w:szCs w:val="32"/>
          <w:highlight w:val="none"/>
          <w:lang w:val="en-US" w:eastAsia="zh-CN" w:bidi="ar-SA"/>
        </w:rPr>
        <w:t>。</w:t>
      </w:r>
      <w:bookmarkStart w:id="39" w:name="_Toc15377217"/>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（二）“三公”经费财政拨款支出决算具体情况说明</w:t>
      </w:r>
      <w:bookmarkEnd w:id="39"/>
    </w:p>
    <w:p>
      <w:pPr>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2024年度“三公”经费财政拨款支出决算中，无因公出国（境）费支出；无公务用车购置及运行维护费支出；公务接待费支出决算</w:t>
      </w:r>
      <w:r>
        <w:rPr>
          <w:rFonts w:hint="eastAsia" w:ascii="仿宋_GB2312" w:hAnsi="仿宋_GB2312" w:eastAsia="仿宋_GB2312" w:cs="仿宋_GB2312"/>
          <w:sz w:val="32"/>
          <w:szCs w:val="32"/>
        </w:rPr>
        <w:t>0.4</w:t>
      </w:r>
      <w:r>
        <w:rPr>
          <w:rFonts w:hint="eastAsia" w:ascii="仿宋_GB2312" w:hAnsi="仿宋_GB2312" w:eastAsia="仿宋_GB2312" w:cs="仿宋_GB2312"/>
          <w:color w:val="auto"/>
          <w:kern w:val="2"/>
          <w:sz w:val="32"/>
          <w:szCs w:val="32"/>
          <w:highlight w:val="none"/>
          <w:lang w:val="en-US" w:eastAsia="zh-CN" w:bidi="ar-SA"/>
        </w:rPr>
        <w:t>万元，占100%。具体情况如下：</w:t>
      </w:r>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hAnsi="仿宋_GB2312" w:eastAsia="仿宋_GB2312" w:cs="仿宋_GB2312"/>
          <w:b/>
          <w:bCs/>
          <w:color w:val="auto"/>
          <w:kern w:val="2"/>
          <w:sz w:val="32"/>
          <w:szCs w:val="32"/>
          <w:highlight w:val="none"/>
          <w:lang w:val="en-US" w:eastAsia="zh-CN" w:bidi="ar-SA"/>
        </w:rPr>
        <w:t>0.4万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w:t>
      </w:r>
      <w:r>
        <w:rPr>
          <w:rFonts w:hint="eastAsia" w:eastAsia="仿宋_GB2312" w:cs="仿宋_GB2312"/>
          <w:color w:val="auto"/>
          <w:kern w:val="2"/>
          <w:sz w:val="32"/>
          <w:szCs w:val="32"/>
          <w:highlight w:val="none"/>
          <w:lang w:val="en-US" w:eastAsia="zh-CN" w:bidi="ar-SA"/>
        </w:rPr>
        <w:t>0.04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%。其中：</w:t>
      </w:r>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eastAsia="仿宋_GB2312" w:cs="仿宋_GB2312"/>
          <w:color w:val="auto"/>
          <w:kern w:val="2"/>
          <w:sz w:val="32"/>
          <w:szCs w:val="32"/>
          <w:highlight w:val="none"/>
          <w:lang w:val="en-US" w:eastAsia="zh-CN" w:bidi="ar-SA"/>
        </w:rPr>
        <w:t>执行公务、考察调研、学习交流等用餐费</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color w:val="auto"/>
          <w:sz w:val="32"/>
          <w:szCs w:val="32"/>
        </w:rPr>
        <w:t>41</w:t>
      </w:r>
      <w:r>
        <w:rPr>
          <w:rFonts w:hint="eastAsia" w:ascii="Times New Roman" w:hAnsi="Times New Roman" w:eastAsia="仿宋_GB2312" w:cs="仿宋_GB2312"/>
          <w:color w:val="auto"/>
          <w:kern w:val="2"/>
          <w:sz w:val="32"/>
          <w:szCs w:val="32"/>
          <w:highlight w:val="none"/>
          <w:lang w:val="en-US" w:eastAsia="zh-CN" w:bidi="ar-SA"/>
        </w:rPr>
        <w:t>人次（不包括陪同人员），</w:t>
      </w:r>
      <w:bookmarkStart w:id="67" w:name="_GoBack"/>
      <w:bookmarkEnd w:id="67"/>
      <w:r>
        <w:rPr>
          <w:rFonts w:hint="eastAsia" w:ascii="Times New Roman" w:hAnsi="Times New Roman" w:eastAsia="仿宋_GB2312" w:cs="仿宋_GB2312"/>
          <w:color w:val="auto"/>
          <w:kern w:val="2"/>
          <w:sz w:val="32"/>
          <w:szCs w:val="32"/>
          <w:highlight w:val="none"/>
          <w:lang w:val="en-US" w:eastAsia="zh-CN" w:bidi="ar-SA"/>
        </w:rPr>
        <w:t>共计支出</w:t>
      </w:r>
      <w:r>
        <w:rPr>
          <w:rFonts w:hint="eastAsia" w:eastAsia="仿宋_GB2312" w:cs="仿宋_GB2312"/>
          <w:color w:val="auto"/>
          <w:kern w:val="2"/>
          <w:sz w:val="32"/>
          <w:szCs w:val="32"/>
          <w:highlight w:val="none"/>
          <w:lang w:val="en-US" w:eastAsia="zh-CN" w:bidi="ar-SA"/>
        </w:rPr>
        <w:t>0.4</w:t>
      </w:r>
      <w:r>
        <w:rPr>
          <w:rFonts w:hint="eastAsia" w:ascii="Times New Roman" w:hAnsi="Times New Roman" w:eastAsia="仿宋_GB2312" w:cs="仿宋_GB2312"/>
          <w:color w:val="auto"/>
          <w:kern w:val="2"/>
          <w:sz w:val="32"/>
          <w:szCs w:val="32"/>
          <w:highlight w:val="none"/>
          <w:lang w:val="en-US" w:eastAsia="zh-CN" w:bidi="ar-SA"/>
        </w:rPr>
        <w:t>万元。</w:t>
      </w:r>
    </w:p>
    <w:p>
      <w:pPr>
        <w:pageBreakBefore w:val="0"/>
        <w:kinsoku/>
        <w:wordWrap/>
        <w:overflowPunct/>
        <w:topLinePunct w:val="0"/>
        <w:autoSpaceDE/>
        <w:autoSpaceDN/>
        <w:bidi w:val="0"/>
        <w:spacing w:line="560" w:lineRule="exact"/>
        <w:ind w:firstLine="640"/>
        <w:textAlignment w:val="auto"/>
        <w:outlineLvl w:val="1"/>
        <w:rPr>
          <w:rStyle w:val="30"/>
          <w:rFonts w:ascii="Times New Roman" w:hAnsi="Times New Roman" w:eastAsia="黑体"/>
          <w:color w:val="auto"/>
          <w:highlight w:val="none"/>
        </w:rPr>
      </w:pPr>
      <w:bookmarkStart w:id="40" w:name="_Toc15396610"/>
      <w:bookmarkStart w:id="41" w:name="_Toc15377218"/>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0"/>
      <w:bookmarkEnd w:id="41"/>
    </w:p>
    <w:p>
      <w:pPr>
        <w:pageBreakBefore w:val="0"/>
        <w:numPr>
          <w:ilvl w:val="0"/>
          <w:numId w:val="0"/>
        </w:numPr>
        <w:kinsoku/>
        <w:wordWrap/>
        <w:overflowPunct/>
        <w:topLinePunct w:val="0"/>
        <w:autoSpaceDE/>
        <w:autoSpaceDN/>
        <w:bidi w:val="0"/>
        <w:spacing w:line="560" w:lineRule="exact"/>
        <w:ind w:left="630" w:leftChars="0"/>
        <w:textAlignment w:val="auto"/>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42" w:name="_Toc15377219"/>
      <w:bookmarkStart w:id="43" w:name="_Toc15396611"/>
      <w:r>
        <w:rPr>
          <w:rFonts w:hint="eastAsia" w:ascii="仿宋_GB2312" w:hAnsi="仿宋_GB2312" w:eastAsia="仿宋_GB2312" w:cs="仿宋_GB2312"/>
          <w:color w:val="auto"/>
          <w:kern w:val="2"/>
          <w:sz w:val="32"/>
          <w:szCs w:val="32"/>
          <w:highlight w:val="none"/>
          <w:lang w:val="en-US" w:eastAsia="zh-CN" w:bidi="ar-SA"/>
        </w:rPr>
        <w:t>。</w:t>
      </w:r>
    </w:p>
    <w:p>
      <w:pPr>
        <w:pageBreakBefore w:val="0"/>
        <w:numPr>
          <w:ilvl w:val="0"/>
          <w:numId w:val="0"/>
        </w:numPr>
        <w:kinsoku/>
        <w:wordWrap/>
        <w:overflowPunct/>
        <w:topLinePunct w:val="0"/>
        <w:autoSpaceDE/>
        <w:autoSpaceDN/>
        <w:bidi w:val="0"/>
        <w:spacing w:line="560" w:lineRule="exact"/>
        <w:ind w:left="630" w:leftChars="0"/>
        <w:textAlignment w:val="auto"/>
        <w:outlineLvl w:val="1"/>
        <w:rPr>
          <w:rStyle w:val="30"/>
          <w:rFonts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2"/>
      <w:bookmarkEnd w:id="43"/>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pageBreakBefore w:val="0"/>
        <w:numPr>
          <w:ilvl w:val="0"/>
          <w:numId w:val="0"/>
        </w:numPr>
        <w:kinsoku/>
        <w:wordWrap/>
        <w:overflowPunct/>
        <w:topLinePunct w:val="0"/>
        <w:autoSpaceDE/>
        <w:autoSpaceDN/>
        <w:bidi w:val="0"/>
        <w:spacing w:line="560" w:lineRule="exact"/>
        <w:ind w:left="630" w:leftChars="0"/>
        <w:textAlignment w:val="auto"/>
        <w:outlineLvl w:val="1"/>
        <w:rPr>
          <w:rStyle w:val="30"/>
          <w:rFonts w:hint="eastAsia" w:ascii="Times New Roman" w:hAnsi="Times New Roman" w:eastAsia="黑体"/>
          <w:b w:val="0"/>
          <w:color w:val="auto"/>
          <w:highlight w:val="none"/>
        </w:rPr>
      </w:pPr>
      <w:bookmarkStart w:id="44" w:name="_Toc15396612"/>
      <w:bookmarkStart w:id="45"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4"/>
      <w:bookmarkEnd w:id="45"/>
    </w:p>
    <w:p>
      <w:pPr>
        <w:pageBreakBefore w:val="0"/>
        <w:kinsoku/>
        <w:wordWrap/>
        <w:overflowPunct/>
        <w:topLinePunct w:val="0"/>
        <w:autoSpaceDE/>
        <w:autoSpaceDN/>
        <w:bidi w:val="0"/>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阿坝州茂县环境监测站</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w:t>
      </w:r>
    </w:p>
    <w:p>
      <w:pPr>
        <w:pageBreakBefore w:val="0"/>
        <w:kinsoku/>
        <w:wordWrap/>
        <w:overflowPunct/>
        <w:topLinePunct w:val="0"/>
        <w:autoSpaceDE/>
        <w:autoSpaceDN/>
        <w:bidi w:val="0"/>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pPr>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阿坝州茂县环境监测站</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48" w:name="_Toc15377224"/>
    </w:p>
    <w:p>
      <w:pPr>
        <w:pageBreakBefore w:val="0"/>
        <w:kinsoku/>
        <w:wordWrap/>
        <w:overflowPunct/>
        <w:topLinePunct w:val="0"/>
        <w:autoSpaceDE/>
        <w:autoSpaceDN/>
        <w:bidi w:val="0"/>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bookmarkEnd w:id="48"/>
    </w:p>
    <w:p>
      <w:pPr>
        <w:pageBreakBefore w:val="0"/>
        <w:kinsoku/>
        <w:wordWrap/>
        <w:overflowPunct/>
        <w:topLinePunct w:val="0"/>
        <w:autoSpaceDE/>
        <w:autoSpaceDN/>
        <w:bidi w:val="0"/>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阿坝州茂县环境监测站</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w:t>
      </w:r>
      <w:r>
        <w:rPr>
          <w:rFonts w:hint="eastAsia" w:ascii="Times New Roman" w:hAnsi="Times New Roman" w:eastAsia="仿宋_GB2312" w:cs="仿宋_GB2312"/>
          <w:color w:val="auto"/>
          <w:kern w:val="2"/>
          <w:sz w:val="32"/>
          <w:szCs w:val="32"/>
          <w:highlight w:val="none"/>
          <w:lang w:val="en-US" w:eastAsia="zh-CN" w:bidi="ar-SA"/>
        </w:rPr>
        <w:t>。</w:t>
      </w:r>
    </w:p>
    <w:p>
      <w:pPr>
        <w:pageBreakBefore w:val="0"/>
        <w:kinsoku/>
        <w:wordWrap/>
        <w:overflowPunct/>
        <w:topLinePunct w:val="0"/>
        <w:autoSpaceDE/>
        <w:autoSpaceDN/>
        <w:bidi w:val="0"/>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576"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根据预算绩效管理要求，本部门按要求对</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年部门整体支出开展绩效自评，从评价情况来看整体运行良好。本部门</w:t>
      </w:r>
      <w:r>
        <w:rPr>
          <w:rFonts w:hint="eastAsia" w:ascii="仿宋_GB2312" w:hAnsi="仿宋_GB2312" w:eastAsia="仿宋_GB2312" w:cs="仿宋_GB2312"/>
          <w:color w:val="auto"/>
          <w:sz w:val="32"/>
          <w:szCs w:val="32"/>
          <w:lang w:val="en-US" w:eastAsia="zh-CN"/>
        </w:rPr>
        <w:t>2024年无项目支出，无项目绩效管理情况</w:t>
      </w:r>
      <w:r>
        <w:rPr>
          <w:rFonts w:hint="eastAsia" w:ascii="仿宋_GB2312" w:hAnsi="仿宋_GB2312" w:eastAsia="仿宋_GB2312" w:cs="仿宋_GB2312"/>
          <w:color w:val="auto"/>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9.</w:t>
      </w:r>
      <w:r>
        <w:rPr>
          <w:rFonts w:hint="eastAsia" w:ascii="仿宋_GB2312" w:hAnsi="仿宋_GB2312" w:eastAsia="仿宋_GB2312" w:cs="仿宋_GB2312"/>
          <w:bCs/>
          <w:color w:val="000000"/>
          <w:sz w:val="32"/>
          <w:szCs w:val="32"/>
        </w:rPr>
        <w:t>节能环保支出（类）</w:t>
      </w:r>
      <w:r>
        <w:rPr>
          <w:rFonts w:hint="eastAsia" w:ascii="仿宋_GB2312" w:hAnsi="仿宋_GB2312" w:eastAsia="仿宋_GB2312" w:cs="仿宋_GB2312"/>
          <w:bCs/>
          <w:color w:val="000000"/>
          <w:sz w:val="32"/>
          <w:szCs w:val="32"/>
          <w:lang w:eastAsia="zh-CN"/>
        </w:rPr>
        <w:t>环境监测与监察</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其他环境监测与监察支出</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w:t>
      </w:r>
      <w:r>
        <w:rPr>
          <w:rFonts w:hint="eastAsia" w:ascii="仿宋_GB2312" w:hAnsi="仿宋_GB2312" w:eastAsia="仿宋_GB2312" w:cs="仿宋_GB2312"/>
          <w:color w:val="000000"/>
          <w:sz w:val="32"/>
          <w:szCs w:val="32"/>
        </w:rPr>
        <w:t>反映</w:t>
      </w:r>
      <w:r>
        <w:rPr>
          <w:rFonts w:hint="eastAsia" w:ascii="仿宋_GB2312" w:hAnsi="仿宋_GB2312" w:eastAsia="仿宋_GB2312" w:cs="仿宋_GB2312"/>
          <w:color w:val="000000"/>
          <w:sz w:val="32"/>
          <w:szCs w:val="32"/>
          <w:lang w:eastAsia="zh-CN"/>
        </w:rPr>
        <w:t>除项目以外其他用于环境监测与监察方面的支出</w:t>
      </w:r>
      <w:r>
        <w:rPr>
          <w:rFonts w:hint="eastAsia" w:ascii="仿宋_GB2312" w:hAnsi="仿宋_GB2312" w:eastAsia="仿宋_GB2312" w:cs="仿宋_GB2312"/>
          <w:color w:val="000000"/>
          <w:sz w:val="32"/>
          <w:szCs w:val="32"/>
        </w:rPr>
        <w:t>。</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lang w:val="en-US" w:eastAsia="zh-CN"/>
        </w:rPr>
        <w:t>10</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卫生健康支出（类）</w:t>
      </w:r>
      <w:r>
        <w:rPr>
          <w:rFonts w:hint="eastAsia" w:ascii="仿宋_GB2312" w:hAnsi="仿宋_GB2312" w:eastAsia="仿宋_GB2312" w:cs="仿宋_GB2312"/>
          <w:sz w:val="32"/>
          <w:szCs w:val="32"/>
        </w:rPr>
        <w:t>行政事业单位医疗（款）事业单位医疗（项）：</w:t>
      </w:r>
      <w:r>
        <w:rPr>
          <w:rFonts w:hint="eastAsia" w:ascii="仿宋_GB2312" w:hAnsi="仿宋_GB2312" w:eastAsia="仿宋_GB2312" w:cs="仿宋_GB2312"/>
          <w:color w:val="000000"/>
          <w:sz w:val="32"/>
          <w:szCs w:val="32"/>
        </w:rPr>
        <w:t>指反映财政部门安排的事业单位基本医疗保险缴费经费，未参加医疗保险的事业单位的公费医疗经费，按国家规定享受离休人员待遇的医疗经费。</w:t>
      </w:r>
    </w:p>
    <w:p>
      <w:pPr>
        <w:spacing w:line="576"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val="en-US" w:eastAsia="zh-CN"/>
        </w:rPr>
        <w:t>11</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卫生健康支出（类）</w:t>
      </w:r>
      <w:r>
        <w:rPr>
          <w:rFonts w:hint="eastAsia" w:ascii="仿宋_GB2312" w:hAnsi="仿宋_GB2312" w:eastAsia="仿宋_GB2312" w:cs="仿宋_GB2312"/>
          <w:sz w:val="32"/>
          <w:szCs w:val="32"/>
        </w:rPr>
        <w:t>行政事业单位医疗（款）</w:t>
      </w:r>
      <w:r>
        <w:rPr>
          <w:rFonts w:hint="eastAsia" w:ascii="仿宋_GB2312" w:hAnsi="仿宋_GB2312" w:eastAsia="仿宋_GB2312" w:cs="仿宋_GB2312"/>
          <w:sz w:val="32"/>
          <w:szCs w:val="32"/>
          <w:lang w:eastAsia="zh-CN"/>
        </w:rPr>
        <w:t>其他行政事业单位医疗支出</w:t>
      </w:r>
      <w:r>
        <w:rPr>
          <w:rFonts w:hint="eastAsia" w:ascii="仿宋_GB2312" w:hAnsi="仿宋_GB2312" w:eastAsia="仿宋_GB2312" w:cs="仿宋_GB2312"/>
          <w:sz w:val="32"/>
          <w:szCs w:val="32"/>
        </w:rPr>
        <w:t>（项）：</w:t>
      </w:r>
      <w:r>
        <w:rPr>
          <w:rFonts w:hint="eastAsia" w:ascii="仿宋_GB2312" w:hAnsi="仿宋_GB2312" w:eastAsia="仿宋_GB2312" w:cs="仿宋_GB2312"/>
          <w:color w:val="000000"/>
          <w:sz w:val="32"/>
          <w:szCs w:val="32"/>
        </w:rPr>
        <w:t>指反映</w:t>
      </w:r>
      <w:r>
        <w:rPr>
          <w:rFonts w:hint="eastAsia" w:ascii="仿宋_GB2312" w:hAnsi="仿宋_GB2312" w:eastAsia="仿宋_GB2312" w:cs="仿宋_GB2312"/>
          <w:color w:val="000000"/>
          <w:sz w:val="32"/>
          <w:szCs w:val="32"/>
          <w:lang w:eastAsia="zh-CN"/>
        </w:rPr>
        <w:t>除上述项目以外的其他用于行政事业单位医疗方面的支出。</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lang w:val="en-US" w:eastAsia="zh-CN"/>
        </w:rPr>
        <w:t>12</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社会保障和就业支出（类）</w:t>
      </w:r>
      <w:r>
        <w:rPr>
          <w:rFonts w:hint="eastAsia" w:ascii="仿宋_GB2312" w:hAnsi="仿宋_GB2312" w:eastAsia="仿宋_GB2312" w:cs="仿宋_GB2312"/>
          <w:color w:val="000000"/>
          <w:sz w:val="32"/>
          <w:szCs w:val="32"/>
        </w:rPr>
        <w:t>行政事业单位离退休（款）</w:t>
      </w:r>
    </w:p>
    <w:p>
      <w:pPr>
        <w:spacing w:line="576"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lang w:val="en-US" w:eastAsia="zh-CN"/>
        </w:rPr>
        <w:t>13</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社会保障和就业支出（类）</w:t>
      </w:r>
      <w:r>
        <w:rPr>
          <w:rFonts w:hint="eastAsia" w:ascii="仿宋_GB2312" w:hAnsi="仿宋_GB2312" w:eastAsia="仿宋_GB2312" w:cs="仿宋_GB2312"/>
          <w:color w:val="000000"/>
          <w:sz w:val="32"/>
          <w:szCs w:val="32"/>
        </w:rPr>
        <w:t>行政事业单位离退休（款）机关事业单位职业年金缴费支出（项）：指反映机关事业单位实施养老保险制度由单位实际缴纳的职业年金支出</w:t>
      </w:r>
      <w:r>
        <w:rPr>
          <w:rFonts w:hint="eastAsia" w:ascii="仿宋_GB2312" w:hAnsi="仿宋_GB2312" w:eastAsia="仿宋_GB2312" w:cs="仿宋_GB2312"/>
          <w:color w:val="000000"/>
          <w:sz w:val="32"/>
          <w:szCs w:val="32"/>
          <w:lang w:eastAsia="zh-CN"/>
        </w:rPr>
        <w:t>（含职业年金补记支出）</w:t>
      </w:r>
      <w:r>
        <w:rPr>
          <w:rFonts w:hint="eastAsia" w:ascii="仿宋_GB2312" w:hAnsi="仿宋_GB2312" w:eastAsia="仿宋_GB2312" w:cs="仿宋_GB2312"/>
          <w:color w:val="000000"/>
          <w:sz w:val="32"/>
          <w:szCs w:val="32"/>
        </w:rPr>
        <w:t>。</w:t>
      </w:r>
    </w:p>
    <w:p>
      <w:pPr>
        <w:spacing w:line="576"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Cs/>
          <w:color w:val="000000"/>
          <w:sz w:val="32"/>
          <w:szCs w:val="32"/>
          <w:lang w:val="en-US" w:eastAsia="zh-CN"/>
        </w:rPr>
        <w:t>14</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住房保障支出（类）</w:t>
      </w:r>
      <w:r>
        <w:rPr>
          <w:rFonts w:hint="eastAsia" w:ascii="仿宋_GB2312" w:hAnsi="仿宋_GB2312" w:eastAsia="仿宋_GB2312" w:cs="仿宋_GB2312"/>
          <w:color w:val="000000"/>
          <w:sz w:val="32"/>
          <w:szCs w:val="32"/>
        </w:rPr>
        <w:t>住房改革</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（款）住房公积金（项）：指反映行政事业单位按人力资源和社会保障部、财政部规定的基本工资和津贴以及规定比例</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职工缴纳的住房公积金</w:t>
      </w:r>
      <w:r>
        <w:rPr>
          <w:rFonts w:hint="eastAsia" w:ascii="仿宋_GB2312" w:hAnsi="仿宋_GB2312" w:eastAsia="仿宋_GB2312" w:cs="仿宋_GB2312"/>
          <w:color w:val="000000"/>
          <w:sz w:val="32"/>
          <w:szCs w:val="32"/>
          <w:lang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spacing w:line="600" w:lineRule="exact"/>
        <w:jc w:val="center"/>
        <w:rPr>
          <w:rStyle w:val="29"/>
          <w:rFonts w:hint="eastAsia" w:ascii="Times New Roman" w:hAnsi="Times New Roman" w:eastAsia="黑体"/>
          <w:b w:val="0"/>
          <w:color w:val="auto"/>
          <w:highlight w:val="none"/>
          <w:lang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spacing w:line="520" w:lineRule="exact"/>
        <w:jc w:val="center"/>
        <w:outlineLvl w:val="0"/>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20</w:t>
      </w:r>
      <w:r>
        <w:rPr>
          <w:rFonts w:hint="eastAsia" w:ascii="方正小标宋简体" w:hAnsi="方正小标宋简体" w:eastAsia="方正小标宋简体" w:cs="方正小标宋简体"/>
          <w:bCs/>
          <w:sz w:val="44"/>
          <w:szCs w:val="44"/>
          <w:shd w:val="clear" w:color="auto" w:fill="FFFFFF"/>
          <w:lang w:val="en-US" w:eastAsia="zh-CN"/>
        </w:rPr>
        <w:t>24</w:t>
      </w:r>
      <w:r>
        <w:rPr>
          <w:rFonts w:hint="eastAsia" w:ascii="方正小标宋简体" w:hAnsi="方正小标宋简体" w:eastAsia="方正小标宋简体" w:cs="方正小标宋简体"/>
          <w:bCs/>
          <w:sz w:val="44"/>
          <w:szCs w:val="44"/>
          <w:shd w:val="clear" w:color="auto" w:fill="FFFFFF"/>
        </w:rPr>
        <w:t>年阿坝州茂县环境监测站</w:t>
      </w:r>
    </w:p>
    <w:p>
      <w:pPr>
        <w:spacing w:line="520" w:lineRule="exact"/>
        <w:jc w:val="center"/>
        <w:outlineLvl w:val="0"/>
        <w:rPr>
          <w:rFonts w:ascii="方正小标宋简体" w:hAnsi="方正小标宋简体" w:eastAsia="方正小标宋简体" w:cs="方正小标宋简体"/>
          <w:bCs/>
          <w:kern w:val="0"/>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整体支出绩效评价报告</w:t>
      </w:r>
    </w:p>
    <w:p>
      <w:pPr>
        <w:adjustRightInd w:val="0"/>
        <w:snapToGrid w:val="0"/>
        <w:spacing w:line="520" w:lineRule="exact"/>
        <w:jc w:val="left"/>
        <w:outlineLvl w:val="0"/>
        <w:rPr>
          <w:rFonts w:ascii="黑体" w:hAnsi="宋体" w:eastAsia="黑体" w:cs="宋体"/>
          <w:kern w:val="0"/>
          <w:szCs w:val="32"/>
          <w:shd w:val="clear" w:color="auto" w:fill="FFFFFF"/>
        </w:rPr>
      </w:pPr>
      <w:r>
        <w:rPr>
          <w:rFonts w:hint="eastAsia" w:ascii="黑体" w:hAnsi="宋体" w:eastAsia="黑体" w:cs="宋体"/>
          <w:kern w:val="0"/>
          <w:szCs w:val="32"/>
          <w:shd w:val="clear" w:color="auto" w:fill="FFFFFF"/>
        </w:rPr>
        <w:t xml:space="preserve">   </w:t>
      </w:r>
    </w:p>
    <w:p>
      <w:pPr>
        <w:widowControl/>
        <w:spacing w:line="520" w:lineRule="exact"/>
        <w:ind w:firstLine="640" w:firstLineChars="200"/>
        <w:textAlignment w:val="baseline"/>
        <w:rPr>
          <w:rFonts w:ascii="黑体" w:hAnsi="黑体" w:eastAsia="黑体" w:cs="黑体"/>
          <w:sz w:val="32"/>
          <w:szCs w:val="32"/>
          <w:lang w:val="zh-CN"/>
        </w:rPr>
      </w:pPr>
      <w:r>
        <w:rPr>
          <w:rFonts w:hint="eastAsia" w:ascii="黑体" w:hAnsi="黑体" w:eastAsia="黑体" w:cs="黑体"/>
          <w:sz w:val="32"/>
          <w:szCs w:val="32"/>
        </w:rPr>
        <w:t xml:space="preserve"> 一、</w:t>
      </w:r>
      <w:r>
        <w:rPr>
          <w:rFonts w:hint="eastAsia" w:ascii="黑体" w:hAnsi="黑体" w:eastAsia="黑体" w:cs="黑体"/>
          <w:sz w:val="32"/>
          <w:szCs w:val="32"/>
          <w:lang w:val="zh-CN"/>
        </w:rPr>
        <w:t>部门概况</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（一）机构组成</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茂县环境监测站属阿坝州茂县生态环境局下属事业机构。</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（二）机构职能</w:t>
      </w:r>
    </w:p>
    <w:p>
      <w:pPr>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负责辖区内生态环境监测工作。监督执行国家、省、州的生态环境监测制度和规范。会同有关部门统一规划辖区内生态环境质量监测站点设置，组织实施生态环境质量监测、污染源监督性监测、温室气体排减排监测、应急监测。组织对辖区内生态环境质量状况进行调查评价、预警预测，组织建设和管理辖区内生态环境监测网和生态环境信息网。负责辖区内生态环境质量考核和生态环境统计工作。建立和实行生态环境质量公告制度，统一发布辖区内生态环境综合性报告和重大生态环境信息。</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（三）人员概况</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茂县环境监测站总编制16名，均属于事业编制。在职人数</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人（其中：专业技术人员</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人，工勤1人）。</w:t>
      </w:r>
    </w:p>
    <w:p>
      <w:pPr>
        <w:widowControl/>
        <w:spacing w:line="52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二、部门财政资金收支情况</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（一）部门财政资金收入情况</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茂县环境监测站202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222.63</w:t>
      </w:r>
      <w:r>
        <w:rPr>
          <w:rFonts w:hint="eastAsia" w:ascii="仿宋_GB2312" w:hAnsi="仿宋_GB2312" w:eastAsia="仿宋_GB2312" w:cs="仿宋_GB2312"/>
          <w:sz w:val="32"/>
          <w:szCs w:val="32"/>
        </w:rPr>
        <w:t>万元，其中：上年结转0万元；一般公共预算拨款收入</w:t>
      </w:r>
      <w:r>
        <w:rPr>
          <w:rFonts w:hint="eastAsia" w:ascii="仿宋_GB2312" w:hAnsi="仿宋_GB2312" w:eastAsia="仿宋_GB2312" w:cs="仿宋_GB2312"/>
          <w:sz w:val="32"/>
          <w:szCs w:val="32"/>
          <w:lang w:val="en-US" w:eastAsia="zh-CN"/>
        </w:rPr>
        <w:t>222.63</w:t>
      </w:r>
      <w:r>
        <w:rPr>
          <w:rFonts w:hint="eastAsia" w:ascii="仿宋_GB2312" w:hAnsi="仿宋_GB2312" w:eastAsia="仿宋_GB2312" w:cs="仿宋_GB2312"/>
          <w:sz w:val="32"/>
          <w:szCs w:val="32"/>
        </w:rPr>
        <w:t>万元，占100%；事业收入0万元；其他收入0万元。</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（二）部门财政资金支出情况</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茂县环境监测站202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222.63</w:t>
      </w:r>
      <w:r>
        <w:rPr>
          <w:rFonts w:hint="eastAsia" w:ascii="仿宋_GB2312" w:hAnsi="仿宋_GB2312" w:eastAsia="仿宋_GB2312" w:cs="仿宋_GB2312"/>
          <w:sz w:val="32"/>
          <w:szCs w:val="32"/>
        </w:rPr>
        <w:t>万元，其中：社会保障和就业支出</w:t>
      </w:r>
      <w:r>
        <w:rPr>
          <w:rFonts w:hint="eastAsia" w:ascii="仿宋_GB2312" w:hAnsi="仿宋_GB2312" w:eastAsia="仿宋_GB2312" w:cs="仿宋_GB2312"/>
          <w:sz w:val="32"/>
          <w:szCs w:val="32"/>
          <w:lang w:val="en-US" w:eastAsia="zh-CN"/>
        </w:rPr>
        <w:t>37.9</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15.09</w:t>
      </w:r>
      <w:r>
        <w:rPr>
          <w:rFonts w:hint="eastAsia" w:ascii="仿宋_GB2312" w:hAnsi="仿宋_GB2312" w:eastAsia="仿宋_GB2312" w:cs="仿宋_GB2312"/>
          <w:sz w:val="32"/>
          <w:szCs w:val="32"/>
        </w:rPr>
        <w:t>万元；节能环保支出</w:t>
      </w:r>
      <w:r>
        <w:rPr>
          <w:rFonts w:hint="eastAsia" w:ascii="仿宋_GB2312" w:hAnsi="仿宋_GB2312" w:eastAsia="仿宋_GB2312" w:cs="仿宋_GB2312"/>
          <w:sz w:val="32"/>
          <w:szCs w:val="32"/>
          <w:lang w:val="en-US" w:eastAsia="zh-CN"/>
        </w:rPr>
        <w:t>148.4</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21.24</w:t>
      </w:r>
      <w:r>
        <w:rPr>
          <w:rFonts w:hint="eastAsia" w:ascii="仿宋_GB2312" w:hAnsi="仿宋_GB2312" w:eastAsia="仿宋_GB2312" w:cs="仿宋_GB2312"/>
          <w:sz w:val="32"/>
          <w:szCs w:val="32"/>
        </w:rPr>
        <w:t>万元。</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222.63</w:t>
      </w:r>
      <w:r>
        <w:rPr>
          <w:rFonts w:hint="eastAsia" w:ascii="仿宋_GB2312" w:hAnsi="仿宋_GB2312" w:eastAsia="仿宋_GB2312" w:cs="仿宋_GB2312"/>
          <w:sz w:val="32"/>
          <w:szCs w:val="32"/>
        </w:rPr>
        <w:t>万元（其中：人员经费支出</w:t>
      </w:r>
      <w:r>
        <w:rPr>
          <w:rFonts w:hint="eastAsia" w:ascii="仿宋_GB2312" w:hAnsi="仿宋_GB2312" w:eastAsia="仿宋_GB2312" w:cs="仿宋_GB2312"/>
          <w:sz w:val="32"/>
          <w:szCs w:val="32"/>
          <w:lang w:val="en-US" w:eastAsia="zh-CN"/>
        </w:rPr>
        <w:t>190.86</w:t>
      </w:r>
      <w:r>
        <w:rPr>
          <w:rFonts w:hint="eastAsia" w:ascii="仿宋_GB2312" w:hAnsi="仿宋_GB2312" w:eastAsia="仿宋_GB2312" w:cs="仿宋_GB2312"/>
          <w:sz w:val="32"/>
          <w:szCs w:val="32"/>
        </w:rPr>
        <w:t>万元，公用经费支出</w:t>
      </w:r>
      <w:r>
        <w:rPr>
          <w:rFonts w:hint="eastAsia" w:ascii="仿宋_GB2312" w:hAnsi="仿宋_GB2312" w:eastAsia="仿宋_GB2312" w:cs="仿宋_GB2312"/>
          <w:sz w:val="32"/>
          <w:szCs w:val="32"/>
          <w:lang w:val="en-US" w:eastAsia="zh-CN"/>
        </w:rPr>
        <w:t>31.77</w:t>
      </w:r>
      <w:r>
        <w:rPr>
          <w:rFonts w:hint="eastAsia" w:ascii="仿宋_GB2312" w:hAnsi="仿宋_GB2312" w:eastAsia="仿宋_GB2312" w:cs="仿宋_GB2312"/>
          <w:sz w:val="32"/>
          <w:szCs w:val="32"/>
        </w:rPr>
        <w:t>万元），占100%；</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项目支出。</w:t>
      </w:r>
    </w:p>
    <w:p>
      <w:pPr>
        <w:widowControl/>
        <w:spacing w:line="52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三、部门整体预算绩效管理情况</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（一）部门预算管理</w:t>
      </w:r>
    </w:p>
    <w:p>
      <w:pPr>
        <w:widowControl/>
        <w:spacing w:line="520" w:lineRule="exact"/>
        <w:ind w:firstLine="643" w:firstLineChars="200"/>
        <w:textAlignment w:val="baseline"/>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rPr>
        <w:t>1.绩效目标制定和目标实</w:t>
      </w:r>
      <w:r>
        <w:rPr>
          <w:rFonts w:hint="eastAsia" w:ascii="仿宋_GB2312" w:hAnsi="仿宋_GB2312" w:eastAsia="仿宋_GB2312" w:cs="仿宋_GB2312"/>
          <w:b/>
          <w:bCs/>
          <w:color w:val="auto"/>
          <w:sz w:val="32"/>
          <w:szCs w:val="32"/>
          <w:lang w:eastAsia="zh-CN"/>
        </w:rPr>
        <w:t>现</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color w:val="auto"/>
          <w:sz w:val="32"/>
          <w:szCs w:val="32"/>
          <w:lang w:val="zh-CN"/>
        </w:rPr>
        <w:t>保障机关运转、履行职能职责。其中：基本支出包括人员类经费和公用经费。人员类经费</w:t>
      </w:r>
      <w:r>
        <w:rPr>
          <w:rFonts w:hint="eastAsia" w:ascii="仿宋_GB2312" w:hAnsi="仿宋_GB2312" w:eastAsia="仿宋_GB2312" w:cs="仿宋_GB2312"/>
          <w:sz w:val="32"/>
          <w:szCs w:val="32"/>
          <w:lang w:val="zh-CN"/>
        </w:rPr>
        <w:t>主要用于人员工资、保险等支出；公用经费主要用于日常运转支出。</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机关厉行节约。</w:t>
      </w:r>
      <w:r>
        <w:rPr>
          <w:rFonts w:hint="eastAsia" w:ascii="仿宋_GB2312" w:hAnsi="仿宋_GB2312" w:eastAsia="仿宋_GB2312" w:cs="仿宋_GB2312"/>
          <w:sz w:val="32"/>
          <w:szCs w:val="32"/>
        </w:rPr>
        <w:t>一是单位没有因公</w:t>
      </w:r>
      <w:r>
        <w:rPr>
          <w:rFonts w:hint="eastAsia" w:ascii="仿宋_GB2312" w:hAnsi="仿宋_GB2312" w:eastAsia="仿宋_GB2312" w:cs="仿宋_GB2312"/>
          <w:sz w:val="32"/>
          <w:szCs w:val="32"/>
          <w:lang w:val="zh-CN"/>
        </w:rPr>
        <w:t>出国（境）费用预算安排支出。二是</w:t>
      </w:r>
      <w:r>
        <w:rPr>
          <w:rFonts w:hint="eastAsia" w:ascii="仿宋_GB2312" w:hAnsi="仿宋_GB2312" w:eastAsia="仿宋_GB2312" w:cs="仿宋_GB2312"/>
          <w:sz w:val="32"/>
          <w:szCs w:val="32"/>
        </w:rPr>
        <w:t>尽量减少不必要的公务用车使用台次，提高使用效率，严禁公车私用，实行专人管理。三是严格控制接待标准，减少陪同人数，</w:t>
      </w:r>
      <w:r>
        <w:rPr>
          <w:rFonts w:hint="eastAsia" w:ascii="仿宋_GB2312" w:hAnsi="仿宋_GB2312" w:eastAsia="仿宋_GB2312" w:cs="仿宋_GB2312"/>
          <w:sz w:val="32"/>
          <w:szCs w:val="32"/>
          <w:lang w:val="zh-CN"/>
        </w:rPr>
        <w:t>车辆购置及运行费用和公务接待经费都严格控制在预算范围内。</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机关节能降耗。</w:t>
      </w:r>
      <w:r>
        <w:rPr>
          <w:rFonts w:hint="eastAsia" w:ascii="仿宋_GB2312" w:hAnsi="仿宋_GB2312" w:eastAsia="仿宋_GB2312" w:cs="仿宋_GB2312"/>
          <w:sz w:val="32"/>
          <w:szCs w:val="32"/>
        </w:rPr>
        <w:t>要求干部职工节约水电，下班后自觉关闭各类电器电源。</w:t>
      </w:r>
      <w:r>
        <w:rPr>
          <w:rFonts w:hint="eastAsia" w:ascii="仿宋_GB2312" w:hAnsi="仿宋_GB2312" w:eastAsia="仿宋_GB2312" w:cs="仿宋_GB2312"/>
          <w:sz w:val="32"/>
          <w:szCs w:val="32"/>
          <w:lang w:val="zh-CN"/>
        </w:rPr>
        <w:t>严格控制单位水、电、燃油的开支，确保能耗下降。</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项目支出绩效。资金绩效分配情况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严格按照资金下达文件要求进行项目实施，</w:t>
      </w:r>
      <w:r>
        <w:rPr>
          <w:rFonts w:hint="eastAsia" w:ascii="仿宋_GB2312" w:hAnsi="仿宋_GB2312" w:eastAsia="仿宋_GB2312" w:cs="仿宋_GB2312"/>
          <w:sz w:val="32"/>
          <w:szCs w:val="32"/>
        </w:rPr>
        <w:t>同时</w:t>
      </w:r>
      <w:r>
        <w:rPr>
          <w:rFonts w:hint="eastAsia" w:ascii="仿宋_GB2312" w:hAnsi="仿宋_GB2312" w:eastAsia="仿宋_GB2312" w:cs="仿宋_GB2312"/>
          <w:sz w:val="32"/>
          <w:szCs w:val="32"/>
          <w:lang w:val="zh-CN"/>
        </w:rPr>
        <w:t>根据合同约定和项目进度情况，支付资金。</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项目资金管理情况。层层把关，认真审核项目资料、票据按照支付程序、合同要求及项目进度支付项目资金。</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绩效目标完成情况。</w:t>
      </w:r>
      <w:r>
        <w:rPr>
          <w:rFonts w:hint="eastAsia" w:ascii="仿宋_GB2312" w:hAnsi="仿宋_GB2312" w:eastAsia="仿宋_GB2312" w:cs="仿宋_GB2312"/>
          <w:sz w:val="32"/>
          <w:szCs w:val="32"/>
        </w:rPr>
        <w:t>重点生态功能区、集中式生活饮用水监测的主要任务是对辖区内的生态环境质量进行连续的监测，掌握了环境质量和饮用水水质状况，为政</w:t>
      </w:r>
      <w:r>
        <w:rPr>
          <w:rFonts w:hint="eastAsia" w:ascii="仿宋_GB2312" w:hAnsi="仿宋_GB2312" w:eastAsia="仿宋_GB2312" w:cs="仿宋_GB2312"/>
          <w:sz w:val="32"/>
          <w:szCs w:val="32"/>
          <w:lang w:val="zh-CN"/>
        </w:rPr>
        <w:t>府研究和制定改善环境质量提供科学依据。</w:t>
      </w:r>
      <w:r>
        <w:rPr>
          <w:rFonts w:hint="eastAsia" w:ascii="仿宋_GB2312" w:hAnsi="仿宋_GB2312" w:eastAsia="仿宋_GB2312" w:cs="仿宋_GB2312"/>
          <w:sz w:val="32"/>
          <w:szCs w:val="32"/>
        </w:rPr>
        <w:t>全面完成国家重点生态功能区生态环境质量考核工作，并按时上报上级相关部门。</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财务管理情况。建立了财务管理规章制度，严格按照财务制度执行报账，依照政府采购制度，严格按程序进行政府采购。</w:t>
      </w:r>
    </w:p>
    <w:p>
      <w:pPr>
        <w:widowControl/>
        <w:spacing w:line="520" w:lineRule="exact"/>
        <w:ind w:firstLine="643" w:firstLineChars="200"/>
        <w:textAlignment w:val="baseline"/>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zh-CN"/>
        </w:rPr>
        <w:t>预决算编制情况</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按照州财政安排和要求，我单位根据实际情况对2022年部门基本支出进行了预算编制，并按时提交了预算草案经主管部门及州财政审核，做到预算编制及时、准确。支出也完全按照预算安排支出。</w:t>
      </w:r>
    </w:p>
    <w:p>
      <w:pPr>
        <w:widowControl/>
        <w:spacing w:line="520" w:lineRule="exact"/>
        <w:ind w:firstLine="643" w:firstLineChars="200"/>
        <w:textAlignment w:val="baseline"/>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3.执行管理情况</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预算执行严格按照预算安排支出</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严格按照财政要求，每月按时完成计划，根据单位实际情况进行支付。上级专款严格按照资金下达文件执行，专款专用。“三公”经费严格按照预算执行，未超预算支出。</w:t>
      </w:r>
    </w:p>
    <w:p>
      <w:pPr>
        <w:widowControl/>
        <w:spacing w:line="520" w:lineRule="exact"/>
        <w:ind w:firstLine="643" w:firstLineChars="200"/>
        <w:textAlignment w:val="baseline"/>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4.预算完成情况</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zh-CN"/>
        </w:rPr>
        <w:t>预算完成情况较好，</w:t>
      </w:r>
      <w:r>
        <w:rPr>
          <w:rFonts w:hint="eastAsia" w:ascii="仿宋_GB2312" w:hAnsi="仿宋_GB2312" w:eastAsia="仿宋_GB2312" w:cs="仿宋_GB2312"/>
          <w:sz w:val="32"/>
          <w:szCs w:val="32"/>
        </w:rPr>
        <w:t>全年按照预算执行管理，完善财务预算控制指标，根据部门预算编制改革制度和州财政相关规定，完善了部门预算制度，进一步加强基础信息库和项目库建设，部门预算编制精细化水平不断提高。同时按照要求按照时间节点对本单位的预算进行了公开。</w:t>
      </w:r>
    </w:p>
    <w:p>
      <w:pPr>
        <w:widowControl/>
        <w:spacing w:line="520" w:lineRule="exact"/>
        <w:ind w:firstLine="643" w:firstLineChars="200"/>
        <w:textAlignment w:val="baseline"/>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5.违规记录等情况</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年全年未发生违规支出的预警情况。</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（二）结果应用情况</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1.部门整体支出绩效评价在单位公示栏进行公示。</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2.未收到有关绩效评价结果整改的通知。</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3.进一步深化绩效评价结果应用。对评价结果不同等级的项目，采用优先安排、适当安排、压缩直至不安排等方式，分类管理，分类施策。督促单位加强项目管理，提升项目质量。对未实施的项目下一年度不再安排。</w:t>
      </w:r>
    </w:p>
    <w:p>
      <w:pPr>
        <w:widowControl/>
        <w:spacing w:line="52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四、评价结论及建议</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（一）评价结论</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年茂县环境监测站无50万及以上的特定目标类部门预算项目，部门整体支出绩效自评良好。</w:t>
      </w:r>
    </w:p>
    <w:p>
      <w:pPr>
        <w:widowControl/>
        <w:spacing w:line="520" w:lineRule="exact"/>
        <w:ind w:firstLine="643" w:firstLineChars="200"/>
        <w:textAlignment w:val="baseline"/>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（二）存在问题</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预算编制准确性还不够,预算编制质量有待提高。</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2.内控制度更新不及时,有执行不到位的地方,有效监督不够。</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3.账务处理有待进一步提高，还存在不规范的现象。 .</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4.固定资产管理需要进一步加强，该报废的没有及时报废等的情况。</w:t>
      </w:r>
    </w:p>
    <w:p>
      <w:pPr>
        <w:widowControl/>
        <w:spacing w:line="520" w:lineRule="exact"/>
        <w:ind w:firstLine="643" w:firstLineChars="200"/>
        <w:textAlignment w:val="baseline"/>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CN"/>
        </w:rPr>
        <w:t xml:space="preserve">（三）改进建议  </w:t>
      </w:r>
      <w:r>
        <w:rPr>
          <w:rFonts w:hint="eastAsia" w:ascii="仿宋_GB2312" w:hAnsi="仿宋_GB2312" w:eastAsia="仿宋_GB2312" w:cs="仿宋_GB2312"/>
          <w:sz w:val="32"/>
          <w:szCs w:val="32"/>
        </w:rPr>
        <w:t xml:space="preserve">                                                    </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1.进一步完善、明确和细化各项费用支出管理制度，严格控制接待费、公务用车运行及维护等费用支出。</w:t>
      </w:r>
    </w:p>
    <w:p>
      <w:pPr>
        <w:widowControl/>
        <w:spacing w:line="52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2.加强固定资产的管理，配置专管部门和专管人员，对固定资产进行一次全面清查盘点，建立固定资产卡片，切实做到账卡相符、账物相符。</w:t>
      </w:r>
    </w:p>
    <w:p>
      <w:pPr>
        <w:widowControl/>
        <w:spacing w:line="520" w:lineRule="exact"/>
        <w:ind w:firstLine="640" w:firstLineChars="200"/>
        <w:textAlignment w:val="baseline"/>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进一步加强内控管理,提高认知程度,强化单位纪检监督作用。</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p>
    <w:p>
      <w:pPr>
        <w:widowControl/>
        <w:adjustRightInd w:val="0"/>
        <w:snapToGrid w:val="0"/>
        <w:spacing w:line="580" w:lineRule="exact"/>
        <w:ind w:firstLine="803" w:firstLineChars="250"/>
        <w:contextualSpacing/>
        <w:jc w:val="left"/>
        <w:rPr>
          <w:rFonts w:ascii="仿宋_GB2312" w:hAnsi="宋体" w:eastAsia="仿宋_GB2312" w:cs="宋体"/>
          <w:b/>
          <w:color w:val="000000"/>
          <w:kern w:val="0"/>
          <w:sz w:val="32"/>
          <w:szCs w:val="32"/>
        </w:rPr>
      </w:pPr>
    </w:p>
    <w:p/>
    <w:p>
      <w:pPr>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pStyle w:val="9"/>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widowControl/>
        <w:jc w:val="center"/>
        <w:rPr>
          <w:rFonts w:hint="eastAsia" w:ascii="Times New Roman" w:hAnsi="Times New Roman" w:eastAsia="仿宋"/>
          <w:b w:val="0"/>
          <w:color w:val="auto"/>
          <w:highlight w:val="none"/>
        </w:rPr>
      </w:pPr>
      <w:bookmarkStart w:id="53" w:name="_Toc15396618"/>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1"/>
      <w:bookmarkEnd w:id="53"/>
      <w:bookmarkStart w:id="54"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- 1 -</w:t>
                    </w:r>
                    <w: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85BB0"/>
    <w:multiLevelType w:val="singleLevel"/>
    <w:tmpl w:val="97385BB0"/>
    <w:lvl w:ilvl="0" w:tentative="0">
      <w:start w:val="1"/>
      <w:numFmt w:val="chineseCounting"/>
      <w:suff w:val="nothing"/>
      <w:lvlText w:val="%1、"/>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3D722F"/>
    <w:rsid w:val="09867E8F"/>
    <w:rsid w:val="0A2032A3"/>
    <w:rsid w:val="0CA8290A"/>
    <w:rsid w:val="0D35B1ED"/>
    <w:rsid w:val="0E254B6B"/>
    <w:rsid w:val="0F98263C"/>
    <w:rsid w:val="101860EC"/>
    <w:rsid w:val="101F47CC"/>
    <w:rsid w:val="10C055FF"/>
    <w:rsid w:val="11694EBD"/>
    <w:rsid w:val="11772AA4"/>
    <w:rsid w:val="118107EC"/>
    <w:rsid w:val="12BF7254"/>
    <w:rsid w:val="12E24EE2"/>
    <w:rsid w:val="13D50BC4"/>
    <w:rsid w:val="14B17F78"/>
    <w:rsid w:val="165E0673"/>
    <w:rsid w:val="16B831D5"/>
    <w:rsid w:val="16BB723D"/>
    <w:rsid w:val="17E50567"/>
    <w:rsid w:val="186504BB"/>
    <w:rsid w:val="19A445FC"/>
    <w:rsid w:val="1A884B24"/>
    <w:rsid w:val="1BE8440E"/>
    <w:rsid w:val="1C8741C6"/>
    <w:rsid w:val="1D155CEE"/>
    <w:rsid w:val="1D1638FE"/>
    <w:rsid w:val="1E312DEB"/>
    <w:rsid w:val="1E740ACF"/>
    <w:rsid w:val="1FF35744"/>
    <w:rsid w:val="1FF6BC77"/>
    <w:rsid w:val="2186353C"/>
    <w:rsid w:val="23860B96"/>
    <w:rsid w:val="240371BF"/>
    <w:rsid w:val="244F3473"/>
    <w:rsid w:val="24C97D99"/>
    <w:rsid w:val="253917F8"/>
    <w:rsid w:val="25A718F0"/>
    <w:rsid w:val="25B75CB5"/>
    <w:rsid w:val="25BB59F6"/>
    <w:rsid w:val="260F557C"/>
    <w:rsid w:val="26970054"/>
    <w:rsid w:val="281408E2"/>
    <w:rsid w:val="28914765"/>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2D311F"/>
    <w:rsid w:val="33A773CB"/>
    <w:rsid w:val="349D6851"/>
    <w:rsid w:val="36AA5135"/>
    <w:rsid w:val="36BE0DA7"/>
    <w:rsid w:val="370752A7"/>
    <w:rsid w:val="371A5F69"/>
    <w:rsid w:val="376B6AA6"/>
    <w:rsid w:val="376D39B2"/>
    <w:rsid w:val="37E16F03"/>
    <w:rsid w:val="37F53A3B"/>
    <w:rsid w:val="389B6C89"/>
    <w:rsid w:val="38D469F0"/>
    <w:rsid w:val="39627CCD"/>
    <w:rsid w:val="397BAF1F"/>
    <w:rsid w:val="39F221D5"/>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3200FB0"/>
    <w:rsid w:val="44E268DA"/>
    <w:rsid w:val="450D13D7"/>
    <w:rsid w:val="45506656"/>
    <w:rsid w:val="486A6C7A"/>
    <w:rsid w:val="4A627F82"/>
    <w:rsid w:val="4B0E749A"/>
    <w:rsid w:val="4B2477C4"/>
    <w:rsid w:val="4B4F25DA"/>
    <w:rsid w:val="4BB3784D"/>
    <w:rsid w:val="4BE068DB"/>
    <w:rsid w:val="4D577224"/>
    <w:rsid w:val="4DBF1CEB"/>
    <w:rsid w:val="4DF0007C"/>
    <w:rsid w:val="4EAB630A"/>
    <w:rsid w:val="4ECE2238"/>
    <w:rsid w:val="4F833267"/>
    <w:rsid w:val="4FE9BD67"/>
    <w:rsid w:val="4FFB052F"/>
    <w:rsid w:val="537E6D0A"/>
    <w:rsid w:val="53F74C96"/>
    <w:rsid w:val="54D1728A"/>
    <w:rsid w:val="55170BA8"/>
    <w:rsid w:val="553218C9"/>
    <w:rsid w:val="567E1AA5"/>
    <w:rsid w:val="56E47B74"/>
    <w:rsid w:val="57175D52"/>
    <w:rsid w:val="57BD3DD4"/>
    <w:rsid w:val="59C76FA6"/>
    <w:rsid w:val="5AE028B6"/>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4D5B2B"/>
    <w:rsid w:val="62BF3928"/>
    <w:rsid w:val="63B3701E"/>
    <w:rsid w:val="647F5392"/>
    <w:rsid w:val="65E66580"/>
    <w:rsid w:val="664B1D71"/>
    <w:rsid w:val="664B4E8E"/>
    <w:rsid w:val="67277B67"/>
    <w:rsid w:val="67AA3209"/>
    <w:rsid w:val="698D0931"/>
    <w:rsid w:val="6A06286B"/>
    <w:rsid w:val="6A7FE5F3"/>
    <w:rsid w:val="6B053271"/>
    <w:rsid w:val="6BDD78B3"/>
    <w:rsid w:val="6C4A05C8"/>
    <w:rsid w:val="6C8742B8"/>
    <w:rsid w:val="6D5537AC"/>
    <w:rsid w:val="6DBF5E93"/>
    <w:rsid w:val="6DFF077E"/>
    <w:rsid w:val="6E714EF0"/>
    <w:rsid w:val="6E7E3605"/>
    <w:rsid w:val="6E7FDCC7"/>
    <w:rsid w:val="6ED6A62E"/>
    <w:rsid w:val="6EE00B15"/>
    <w:rsid w:val="6F115D52"/>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718CC"/>
    <w:rsid w:val="73FA497D"/>
    <w:rsid w:val="744731E5"/>
    <w:rsid w:val="74BBD01D"/>
    <w:rsid w:val="74ED5379"/>
    <w:rsid w:val="75DEEEC2"/>
    <w:rsid w:val="75E32345"/>
    <w:rsid w:val="76DA7D25"/>
    <w:rsid w:val="76E3355F"/>
    <w:rsid w:val="76FF5125"/>
    <w:rsid w:val="776F6FFA"/>
    <w:rsid w:val="778769C8"/>
    <w:rsid w:val="77A75DCA"/>
    <w:rsid w:val="77DC22F5"/>
    <w:rsid w:val="783E271A"/>
    <w:rsid w:val="78616DE9"/>
    <w:rsid w:val="789E6A0B"/>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qFormat/>
    <w:uiPriority w:val="0"/>
    <w:pPr>
      <w:spacing w:line="440" w:lineRule="exact"/>
      <w:ind w:firstLine="200" w:firstLineChars="200"/>
    </w:pPr>
  </w:style>
  <w:style w:type="paragraph" w:styleId="9">
    <w:name w:val="Body Text"/>
    <w:basedOn w:val="1"/>
    <w:link w:val="26"/>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9"/>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1"/>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0" i="0" u="none" strike="noStrike" kern="1200" baseline="0">
                <a:solidFill>
                  <a:schemeClr val="dk1">
                    <a:lumMod val="65000"/>
                    <a:lumOff val="35000"/>
                  </a:schemeClr>
                </a:solidFill>
                <a:effectLst/>
                <a:latin typeface="+mn-lt"/>
                <a:ea typeface="+mn-ea"/>
                <a:cs typeface="+mn-cs"/>
              </a:defRPr>
            </a:pPr>
            <a:r>
              <a:t>收入、支出决算总计变动情况图</a:t>
            </a:r>
          </a:p>
        </c:rich>
      </c:tx>
      <c:layout/>
      <c:overlay val="0"/>
      <c:spPr>
        <a:noFill/>
        <a:ln>
          <a:noFill/>
        </a:ln>
        <a:effectLst/>
      </c:sp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'[新建 XLS 工作表.xls]Sheet1'!$A$1:$A$4</c:f>
              <c:strCache>
                <c:ptCount val="4"/>
                <c:pt idx="0">
                  <c:v>2023年收入</c:v>
                </c:pt>
                <c:pt idx="1">
                  <c:v>2023年支出</c:v>
                </c:pt>
                <c:pt idx="2">
                  <c:v>2024年收入</c:v>
                </c:pt>
                <c:pt idx="3">
                  <c:v>2024年支出</c:v>
                </c:pt>
              </c:strCache>
            </c:strRef>
          </c:cat>
          <c:val>
            <c:numRef>
              <c:f>'[新建 XLS 工作表.xls]Sheet1'!$B$1:$B$4</c:f>
              <c:numCache>
                <c:formatCode>General</c:formatCode>
                <c:ptCount val="4"/>
                <c:pt idx="0">
                  <c:v>214.71</c:v>
                </c:pt>
                <c:pt idx="1">
                  <c:v>214.71</c:v>
                </c:pt>
                <c:pt idx="2">
                  <c:v>222.63</c:v>
                </c:pt>
                <c:pt idx="3">
                  <c:v>222.63</c:v>
                </c:pt>
              </c:numCache>
            </c:numRef>
          </c:val>
        </c:ser>
        <c:dLbls>
          <c:showLegendKey val="0"/>
          <c:showVal val="1"/>
          <c:showCatName val="0"/>
          <c:showSerName val="0"/>
          <c:showPercent val="0"/>
          <c:showBubbleSize val="0"/>
        </c:dLbls>
        <c:gapWidth val="41"/>
        <c:overlap val="0"/>
        <c:axId val="542045411"/>
        <c:axId val="536106843"/>
      </c:barChart>
      <c:catAx>
        <c:axId val="542045411"/>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536106843"/>
        <c:crosses val="autoZero"/>
        <c:auto val="1"/>
        <c:lblAlgn val="ctr"/>
        <c:lblOffset val="100"/>
        <c:noMultiLvlLbl val="0"/>
      </c:catAx>
      <c:valAx>
        <c:axId val="536106843"/>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542045411"/>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收入决算结构图</a:t>
            </a:r>
          </a:p>
        </c:rich>
      </c:tx>
      <c:layout>
        <c:manualLayout>
          <c:xMode val="edge"/>
          <c:yMode val="edge"/>
          <c:x val="0.420694444444444"/>
          <c:y val="0.0277777777777778"/>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59411679466744"/>
          <c:y val="0.179034582132565"/>
          <c:w val="0.936241124474714"/>
          <c:h val="0.339697406340058"/>
        </c:manualLayout>
      </c:layout>
      <c:pie3DChart>
        <c:varyColors val="1"/>
        <c:ser>
          <c:idx val="0"/>
          <c:order val="0"/>
          <c:spPr>
            <a:scene3d>
              <a:camera prst="orthographicFront"/>
              <a:lightRig rig="threePt" dir="t"/>
            </a:scene3d>
            <a:sp3d contourW="9525"/>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a:noFill/>
              </a:ln>
              <a:effectLst>
                <a:outerShdw blurRad="40000" dist="20000" dir="5400000" rotWithShape="0">
                  <a:srgbClr val="000000">
                    <a:alpha val="38000"/>
                  </a:srgbClr>
                </a:outerShdw>
              </a:effectLst>
            </c:spPr>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a:noFill/>
              </a:ln>
              <a:effectLst>
                <a:outerShdw blurRad="40000" dist="20000" dir="5400000" rotWithShape="0">
                  <a:srgbClr val="000000">
                    <a:alpha val="38000"/>
                  </a:srgbClr>
                </a:outerShdw>
              </a:effectLst>
            </c:spPr>
          </c:dPt>
          <c:dPt>
            <c:idx val="6"/>
            <c:bubble3D val="0"/>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a:noFill/>
              </a:ln>
              <a:effectLst>
                <a:outerShdw blurRad="40000" dist="20000" dir="5400000" rotWithShape="0">
                  <a:srgbClr val="000000">
                    <a:alpha val="38000"/>
                  </a:srgbClr>
                </a:outerShdw>
              </a:effectLst>
            </c:spPr>
          </c:dPt>
          <c:dPt>
            <c:idx val="7"/>
            <c:bubble3D val="0"/>
            <c:spPr>
              <a:gradFill rotWithShape="1">
                <a:gsLst>
                  <a:gs pos="0">
                    <a:schemeClr val="accent2">
                      <a:lumMod val="60000"/>
                      <a:tint val="50000"/>
                      <a:satMod val="300000"/>
                    </a:schemeClr>
                  </a:gs>
                  <a:gs pos="35000">
                    <a:schemeClr val="accent2">
                      <a:lumMod val="60000"/>
                      <a:tint val="37000"/>
                      <a:satMod val="300000"/>
                    </a:schemeClr>
                  </a:gs>
                  <a:gs pos="100000">
                    <a:schemeClr val="accent2">
                      <a:lumMod val="60000"/>
                      <a:tint val="15000"/>
                      <a:satMod val="350000"/>
                    </a:schemeClr>
                  </a:gs>
                </a:gsLst>
                <a:lin ang="16200000" scaled="1"/>
              </a:gradFill>
              <a:ln>
                <a:noFill/>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'[新建 XLS 工作表.xls]Sheet1'!$A$1:$A$8</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'[新建 XLS 工作表.xls]Sheet1'!$B$1:$B$8</c:f>
              <c:numCache>
                <c:formatCode>General</c:formatCode>
                <c:ptCount val="8"/>
                <c:pt idx="0">
                  <c:v>222.63</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65000"/>
                    <a:lumOff val="35000"/>
                  </a:schemeClr>
                </a:solidFill>
                <a:latin typeface="+mn-lt"/>
                <a:ea typeface="+mn-ea"/>
                <a:cs typeface="+mn-cs"/>
              </a:defRPr>
            </a:pPr>
            <a:r>
              <a:t>支出决算结构图</a:t>
            </a:r>
          </a:p>
        </c:rich>
      </c:tx>
      <c:layout>
        <c:manualLayout>
          <c:xMode val="edge"/>
          <c:yMode val="edge"/>
          <c:x val="0.420694444444444"/>
          <c:y val="0.0277777777777778"/>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318794377626431"/>
          <c:y val="0.271657754010695"/>
          <c:w val="0.936241124474714"/>
          <c:h val="0.339750445632799"/>
        </c:manualLayout>
      </c:layout>
      <c:pie3DChart>
        <c:varyColors val="1"/>
        <c:ser>
          <c:idx val="0"/>
          <c:order val="0"/>
          <c:spPr>
            <a:scene3d>
              <a:camera prst="orthographicFront"/>
              <a:lightRig rig="threePt" dir="t"/>
            </a:scene3d>
            <a:sp3d contourW="9525"/>
          </c:spPr>
          <c:explosion val="0"/>
          <c:dPt>
            <c:idx val="0"/>
            <c:bubble3D val="0"/>
            <c:spPr>
              <a:solidFill>
                <a:schemeClr val="accent1"/>
              </a:solidFill>
              <a:ln>
                <a:noFill/>
              </a:ln>
              <a:effectLst>
                <a:outerShdw blurRad="88900" sx="102000" sy="102000" algn="ctr" rotWithShape="0">
                  <a:prstClr val="black">
                    <a:alpha val="20000"/>
                  </a:prstClr>
                </a:outerShdw>
              </a:effectLst>
            </c:spPr>
          </c:dPt>
          <c:dPt>
            <c:idx val="1"/>
            <c:bubble3D val="0"/>
            <c:spPr>
              <a:solidFill>
                <a:schemeClr val="accent2"/>
              </a:solidFill>
              <a:ln>
                <a:noFill/>
              </a:ln>
              <a:effectLst>
                <a:outerShdw blurRad="88900" sx="102000" sy="102000" algn="ctr" rotWithShape="0">
                  <a:prstClr val="black">
                    <a:alpha val="20000"/>
                  </a:prstClr>
                </a:outerShdw>
              </a:effectLst>
            </c:spPr>
          </c:dPt>
          <c:dPt>
            <c:idx val="2"/>
            <c:bubble3D val="0"/>
            <c:spPr>
              <a:solidFill>
                <a:schemeClr val="accent3"/>
              </a:solidFill>
              <a:ln>
                <a:noFill/>
              </a:ln>
              <a:effectLst>
                <a:outerShdw blurRad="88900" sx="102000" sy="102000" algn="ctr" rotWithShape="0">
                  <a:prstClr val="black">
                    <a:alpha val="20000"/>
                  </a:prstClr>
                </a:outerShdw>
              </a:effectLst>
            </c:spPr>
          </c:dPt>
          <c:dPt>
            <c:idx val="3"/>
            <c:bubble3D val="0"/>
            <c:spPr>
              <a:solidFill>
                <a:schemeClr val="accent4"/>
              </a:solidFill>
              <a:ln>
                <a:noFill/>
              </a:ln>
              <a:effectLst>
                <a:outerShdw blurRad="88900" sx="102000" sy="102000" algn="ctr" rotWithShape="0">
                  <a:prstClr val="black">
                    <a:alpha val="20000"/>
                  </a:prstClr>
                </a:outerShdw>
              </a:effectLst>
            </c:spPr>
          </c:dPt>
          <c:dPt>
            <c:idx val="4"/>
            <c:bubble3D val="0"/>
            <c:spPr>
              <a:solidFill>
                <a:schemeClr val="accent5"/>
              </a:solidFill>
              <a:ln>
                <a:noFill/>
              </a:ln>
              <a:effectLst>
                <a:outerShdw blurRad="88900" sx="102000" sy="102000" algn="ctr" rotWithShape="0">
                  <a:prstClr val="black">
                    <a:alpha val="20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'[新建 XLS 工作表.xls]Sheet1'!$A$1:$A$5</c:f>
              <c:strCache>
                <c:ptCount val="5"/>
                <c:pt idx="0">
                  <c:v>基本支出</c:v>
                </c:pt>
                <c:pt idx="1">
                  <c:v>项目支出</c:v>
                </c:pt>
                <c:pt idx="2">
                  <c:v>上缴上级支出</c:v>
                </c:pt>
                <c:pt idx="3">
                  <c:v>经营支出</c:v>
                </c:pt>
                <c:pt idx="4">
                  <c:v>对附属单位补助支出</c:v>
                </c:pt>
              </c:strCache>
            </c:strRef>
          </c:cat>
          <c:val>
            <c:numRef>
              <c:f>'[新建 XLS 工作表.xls]Sheet1'!$B$1:$B$5</c:f>
              <c:numCache>
                <c:formatCode>General</c:formatCode>
                <c:ptCount val="5"/>
                <c:pt idx="0">
                  <c:v>222.63</c:v>
                </c:pt>
                <c:pt idx="1">
                  <c:v>0</c:v>
                </c:pt>
                <c:pt idx="2">
                  <c:v>0</c:v>
                </c:pt>
                <c:pt idx="3">
                  <c:v>0</c:v>
                </c:pt>
                <c:pt idx="4">
                  <c:v>0</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财政拨款收入、支出决算总计变动情况</a:t>
            </a:r>
            <a:endParaRPr altLang="en-US"/>
          </a:p>
        </c:rich>
      </c:tx>
      <c:layout/>
      <c:overlay val="0"/>
      <c:spPr>
        <a:noFill/>
        <a:ln>
          <a:noFill/>
        </a:ln>
        <a:effectLst/>
      </c:spPr>
    </c:title>
    <c:autoTitleDeleted val="0"/>
    <c:plotArea>
      <c:layout>
        <c:manualLayout>
          <c:layoutTarget val="inner"/>
          <c:xMode val="edge"/>
          <c:yMode val="edge"/>
          <c:x val="0.104458781362007"/>
          <c:y val="0.334035087719298"/>
          <c:w val="0.891240143369176"/>
          <c:h val="0.56294736842105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工作表.xls]Sheet1'!$A$1:$A$4</c:f>
              <c:strCache>
                <c:ptCount val="4"/>
                <c:pt idx="0">
                  <c:v>2023年收入</c:v>
                </c:pt>
                <c:pt idx="1">
                  <c:v>2023年支出</c:v>
                </c:pt>
                <c:pt idx="2">
                  <c:v>2024年收入</c:v>
                </c:pt>
                <c:pt idx="3">
                  <c:v>2024年支出</c:v>
                </c:pt>
              </c:strCache>
            </c:strRef>
          </c:cat>
          <c:val>
            <c:numRef>
              <c:f>'[新建 XLS 工作表.xls]Sheet1'!$B$1:$B$4</c:f>
              <c:numCache>
                <c:formatCode>General</c:formatCode>
                <c:ptCount val="4"/>
                <c:pt idx="0">
                  <c:v>214.71</c:v>
                </c:pt>
                <c:pt idx="1">
                  <c:v>214.71</c:v>
                </c:pt>
                <c:pt idx="2">
                  <c:v>222.63</c:v>
                </c:pt>
                <c:pt idx="3">
                  <c:v>222.63</c:v>
                </c:pt>
              </c:numCache>
            </c:numRef>
          </c:val>
        </c:ser>
        <c:dLbls>
          <c:showLegendKey val="0"/>
          <c:showVal val="1"/>
          <c:showCatName val="0"/>
          <c:showSerName val="0"/>
          <c:showPercent val="0"/>
          <c:showBubbleSize val="0"/>
        </c:dLbls>
        <c:gapWidth val="219"/>
        <c:overlap val="-27"/>
        <c:axId val="542045411"/>
        <c:axId val="536106843"/>
      </c:barChart>
      <c:catAx>
        <c:axId val="5420454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6106843"/>
        <c:crosses val="autoZero"/>
        <c:auto val="1"/>
        <c:lblAlgn val="ctr"/>
        <c:lblOffset val="100"/>
        <c:noMultiLvlLbl val="0"/>
      </c:catAx>
      <c:valAx>
        <c:axId val="53610684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20454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manualLayout>
          <c:layoutTarget val="inner"/>
          <c:xMode val="edge"/>
          <c:yMode val="edge"/>
          <c:x val="0.0650833333333333"/>
          <c:y val="0.277333333333333"/>
          <c:w val="0.894638888888889"/>
          <c:h val="0.5848"/>
        </c:manualLayout>
      </c:layout>
      <c:barChart>
        <c:barDir val="col"/>
        <c:grouping val="clustered"/>
        <c:varyColors val="0"/>
        <c:ser>
          <c:idx val="0"/>
          <c:order val="0"/>
          <c:spPr>
            <a:solidFill>
              <a:schemeClr val="accent1"/>
            </a:solidFill>
            <a:ln>
              <a:noFill/>
            </a:ln>
            <a:effectLst/>
          </c:spPr>
          <c:invertIfNegative val="0"/>
          <c:dLbls>
            <c:delete val="1"/>
          </c:dLbls>
          <c:cat>
            <c:strRef>
              <c:f>'[新建 XLS 工作表.xls]Sheet1'!$A$1:$A$2</c:f>
              <c:strCache>
                <c:ptCount val="2"/>
                <c:pt idx="0">
                  <c:v>2023年</c:v>
                </c:pt>
                <c:pt idx="1">
                  <c:v>2024年</c:v>
                </c:pt>
              </c:strCache>
            </c:strRef>
          </c:cat>
          <c:val>
            <c:numRef>
              <c:f>'[新建 XLS 工作表.xls]Sheet1'!$B$1:$B$2</c:f>
              <c:numCache>
                <c:formatCode>General</c:formatCode>
                <c:ptCount val="2"/>
                <c:pt idx="0">
                  <c:v>214.71</c:v>
                </c:pt>
                <c:pt idx="1">
                  <c:v>222.63</c:v>
                </c:pt>
              </c:numCache>
            </c:numRef>
          </c:val>
        </c:ser>
        <c:dLbls>
          <c:showLegendKey val="0"/>
          <c:showVal val="0"/>
          <c:showCatName val="0"/>
          <c:showSerName val="0"/>
          <c:showPercent val="0"/>
          <c:showBubbleSize val="0"/>
        </c:dLbls>
        <c:gapWidth val="219"/>
        <c:overlap val="-27"/>
        <c:axId val="356160586"/>
        <c:axId val="230567907"/>
      </c:barChart>
      <c:catAx>
        <c:axId val="3561605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0567907"/>
        <c:crosses val="autoZero"/>
        <c:auto val="1"/>
        <c:lblAlgn val="ctr"/>
        <c:lblOffset val="100"/>
        <c:noMultiLvlLbl val="0"/>
      </c:catAx>
      <c:valAx>
        <c:axId val="2305679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61605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工作表.xls]Sheet1'!$A$1:$A$4</c:f>
              <c:strCache>
                <c:ptCount val="4"/>
                <c:pt idx="0">
                  <c:v>社会保障和就业支出</c:v>
                </c:pt>
                <c:pt idx="1">
                  <c:v>卫生健康支出</c:v>
                </c:pt>
                <c:pt idx="2">
                  <c:v>节能环保支出</c:v>
                </c:pt>
                <c:pt idx="3">
                  <c:v>住房保障支出</c:v>
                </c:pt>
              </c:strCache>
            </c:strRef>
          </c:cat>
          <c:val>
            <c:numRef>
              <c:f>'[新建 XLS 工作表.xls]Sheet1'!$B$1:$B$4</c:f>
              <c:numCache>
                <c:formatCode>General</c:formatCode>
                <c:ptCount val="4"/>
                <c:pt idx="0">
                  <c:v>37.9</c:v>
                </c:pt>
                <c:pt idx="1">
                  <c:v>15.09</c:v>
                </c:pt>
                <c:pt idx="2">
                  <c:v>148.4</c:v>
                </c:pt>
                <c:pt idx="3">
                  <c:v>21.24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6347</Words>
  <Characters>6896</Characters>
  <Lines>61</Lines>
  <Paragraphs>17</Paragraphs>
  <TotalTime>47</TotalTime>
  <ScaleCrop>false</ScaleCrop>
  <LinksUpToDate>false</LinksUpToDate>
  <CharactersWithSpaces>7015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2025-09-18T01:57:51Z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93CD322C850841EE8AAEEA744EEAE266</vt:lpwstr>
  </property>
  <property fmtid="{D5CDD505-2E9C-101B-9397-08002B2CF9AE}" pid="4" name="KSOTemplateDocerSaveRecord">
    <vt:lpwstr>eyJoZGlkIjoiNGNiOWViNDY4NDY4OTM0MTFjNjZjYjczOTYyOTQ3Y2QiLCJ1c2VySWQiOiI2MjE2ODU1MDgifQ==</vt:lpwstr>
  </property>
</Properties>
</file>