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77425"/>
      <w:bookmarkStart w:id="3" w:name="_Toc15377193"/>
      <w:bookmarkStart w:id="4" w:name="_Toc15396597"/>
      <w:bookmarkStart w:id="5" w:name="_Toc15306267"/>
    </w:p>
    <w:p>
      <w:pPr>
        <w:pStyle w:val="9"/>
        <w:rPr>
          <w:rFonts w:hint="eastAsia" w:ascii="Times New Roman" w:hAnsi="Times New Roman" w:eastAsia="方正小标宋简体" w:cs="Times New Roman"/>
          <w:color w:val="auto"/>
          <w:kern w:val="2"/>
          <w:sz w:val="72"/>
          <w:szCs w:val="72"/>
          <w:highlight w:val="none"/>
          <w:lang w:val="en-US" w:eastAsia="zh-CN" w:bidi="ar-SA"/>
        </w:rPr>
      </w:pPr>
    </w:p>
    <w:p>
      <w:pPr>
        <w:pStyle w:val="9"/>
        <w:rPr>
          <w:rFonts w:hint="eastAsia" w:ascii="Times New Roman" w:hAnsi="Times New Roman" w:eastAsia="方正小标宋简体" w:cs="Times New Roman"/>
          <w:color w:val="auto"/>
          <w:kern w:val="2"/>
          <w:sz w:val="72"/>
          <w:szCs w:val="72"/>
          <w:highlight w:val="none"/>
          <w:lang w:val="en-US" w:eastAsia="zh-CN" w:bidi="ar-SA"/>
        </w:rPr>
      </w:pPr>
    </w:p>
    <w:p>
      <w:pPr>
        <w:pStyle w:val="9"/>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2024年度省级部门（单位）决算</w:t>
      </w:r>
    </w:p>
    <w:p>
      <w:pPr>
        <w:pStyle w:val="9"/>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公开文字说明</w:t>
      </w:r>
    </w:p>
    <w:p>
      <w:pPr>
        <w:spacing w:line="600" w:lineRule="exact"/>
        <w:jc w:val="center"/>
        <w:outlineLvl w:val="0"/>
        <w:rPr>
          <w:rFonts w:ascii="Times New Roman" w:hAnsi="Times New Roman" w:eastAsia="方正小标宋简体"/>
          <w:color w:val="auto"/>
          <w:sz w:val="72"/>
          <w:szCs w:val="72"/>
          <w:highlight w:val="none"/>
        </w:rPr>
      </w:pPr>
    </w:p>
    <w:p>
      <w:pPr>
        <w:pStyle w:val="20"/>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rPr>
          <w:rFonts w:ascii="Times New Roman" w:hAnsi="Times New Roman"/>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9"/>
        <w:jc w:val="center"/>
        <w:rPr>
          <w:rFonts w:hint="eastAsia" w:ascii="方正小标宋简体" w:hAnsi="方正小标宋简体" w:eastAsia="方正小标宋简体" w:cs="方正小标宋简体"/>
          <w:color w:val="auto"/>
          <w:kern w:val="2"/>
          <w:sz w:val="44"/>
          <w:szCs w:val="44"/>
          <w:highlight w:val="none"/>
          <w:lang w:val="en-US" w:eastAsia="zh-CN" w:bidi="ar-SA"/>
        </w:rPr>
      </w:pPr>
      <w:bookmarkStart w:id="6" w:name="_Toc15378442"/>
      <w:bookmarkStart w:id="7" w:name="_Toc15396598"/>
      <w:bookmarkStart w:id="8" w:name="_Toc15377194"/>
      <w:bookmarkStart w:id="9" w:name="_Toc15396476"/>
      <w:bookmarkStart w:id="10" w:name="_Toc15377426"/>
      <w:r>
        <w:rPr>
          <w:rFonts w:hint="eastAsia" w:ascii="方正小标宋简体" w:hAnsi="方正小标宋简体" w:eastAsia="方正小标宋简体" w:cs="方正小标宋简体"/>
          <w:color w:val="auto"/>
          <w:kern w:val="2"/>
          <w:sz w:val="44"/>
          <w:szCs w:val="44"/>
          <w:highlight w:val="none"/>
          <w:lang w:val="en-US" w:eastAsia="zh-CN" w:bidi="ar-SA"/>
        </w:rPr>
        <w:t>2024年度</w:t>
      </w:r>
    </w:p>
    <w:p>
      <w:pPr>
        <w:pStyle w:val="9"/>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阿坝州茂县生态环境局</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hint="eastAsia" w:ascii="Times New Roman" w:hAnsi="Times New Roman" w:eastAsia="黑体"/>
          <w:color w:val="auto"/>
          <w:sz w:val="48"/>
          <w:szCs w:val="48"/>
          <w:highlight w:val="none"/>
        </w:r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15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5</w:t>
      </w: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8</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9</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10</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13</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b/>
          <w:bCs/>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15</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15</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17</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_GB2312"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22</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sz w:val="32"/>
          <w:szCs w:val="32"/>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28</w:t>
      </w:r>
    </w:p>
    <w:p>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二、收入决算表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28</w:t>
      </w:r>
      <w:r>
        <w:rPr>
          <w:rFonts w:hint="eastAsia" w:ascii="Times New Roman" w:hAnsi="Times New Roman" w:eastAsia="仿宋_GB2312" w:cs="仿宋_GB2312"/>
          <w:color w:val="auto"/>
          <w:sz w:val="32"/>
          <w:szCs w:val="32"/>
          <w:highlight w:val="none"/>
        </w:rPr>
        <w:t>三、支出决算表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Times New Roman" w:hAnsi="Times New Roman" w:eastAsia="仿宋_GB2312" w:cs="仿宋_GB2312"/>
          <w:color w:val="auto"/>
          <w:sz w:val="32"/>
          <w:szCs w:val="32"/>
          <w:highlight w:val="none"/>
        </w:rPr>
        <w:t>五、财政拨款支出决算明细表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Times New Roman" w:hAnsi="Times New Roman" w:eastAsia="仿宋_GB2312" w:cs="仿宋_GB2312"/>
          <w:color w:val="auto"/>
          <w:sz w:val="32"/>
          <w:szCs w:val="32"/>
          <w:highlight w:val="none"/>
        </w:rPr>
        <w:t>六、一般公共预算财政拨款支出决算表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Times New Roman" w:hAnsi="Times New Roman" w:eastAsia="仿宋_GB2312" w:cs="仿宋_GB2312"/>
          <w:color w:val="auto"/>
          <w:sz w:val="32"/>
          <w:szCs w:val="32"/>
          <w:highlight w:val="none"/>
        </w:rPr>
        <w:t>九、一般公共预算财政拨款项目支出决算表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6"/>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pPr>
        <w:pStyle w:val="7"/>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b w:val="0"/>
          <w:color w:val="000000"/>
          <w:lang w:eastAsia="zh-CN"/>
        </w:rPr>
      </w:pPr>
      <w:bookmarkStart w:id="14" w:name="_Toc115191782"/>
      <w:bookmarkStart w:id="15" w:name="_Toc15396600"/>
      <w:bookmarkStart w:id="16" w:name="_Toc15377197"/>
      <w:r>
        <w:rPr>
          <w:rFonts w:hint="eastAsia" w:ascii="黑体" w:hAnsi="黑体" w:eastAsia="黑体"/>
          <w:b w:val="0"/>
          <w:color w:val="000000"/>
        </w:rPr>
        <w:t>一、</w:t>
      </w:r>
      <w:bookmarkEnd w:id="14"/>
      <w:bookmarkEnd w:id="15"/>
      <w:bookmarkEnd w:id="16"/>
      <w:bookmarkStart w:id="17" w:name="_Toc15377198"/>
      <w:bookmarkStart w:id="18" w:name="_Toc15378445"/>
      <w:r>
        <w:rPr>
          <w:rFonts w:hint="eastAsia" w:ascii="黑体" w:hAnsi="黑体" w:eastAsia="黑体"/>
          <w:b w:val="0"/>
          <w:color w:val="000000"/>
          <w:lang w:eastAsia="zh-CN"/>
        </w:rPr>
        <w:t>部门职责</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负责建立健全辖区内生态环境基本制度。会同有关部门拟订并组织实施辖区内生态环境政策、规划，并依法组织实施和监督检查。组织编制环境功能区划，会同有关部门编制并监督实施重点区域、流域、饮用水水源地生态环境规划和水功能区划。参与制定与辖区内生态环境相关的经济、技术、资源配置和产业政策。参与拟订辖区内主体功能区划。</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辖区内一般及较大生态环境问题的统筹协调和监督管理。配合上级部门做好辖区内重特大突发生态环境事件和生态破坏事件的调查处理，配合上级部门做好对重特大突发生态环境事件的应急、预警工作，负责具体实施生态环境损害赔偿制度，</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监督管理全州减排目标的落实。组织并监督实施辖区内各类污染物排放总量控制和排污许可证制度，确定大气、水等环境纳污能力，实施总量控制的污染物名称和控制指标，承担排污口设置管理，承担辖区内污染物减排任务，实施生态环境保护目标责任制。</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提出辖区内生态环境领域固定资产投资规模和方向、县市级财政性资金安排的意见，按规定权限审批、核准辖区内规划内和年度计划规模内固定资产投资项目，配合有关部门做好组织实施和监督工作。参与指导推动辖区内循环经济和生态环保产业发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责辖区内环境污染防治的监督管理。组织制定并监督实施辖区内大气、水、土壤、噪声、光、恶臭、固体废物、化学品、机动车等的污染防治管理制度。会同有关部门监督管理饮用水水源地生态环境保护工作，参与指导城乡生态环境综合整治工作，指导辖区内垃圾分类工作，监督指导农业面源污染治理工作。监督指导区域大气环境保护工作，牵头建立区域大气污染联防联控协作机制并监督实施。按职责分工组织开展辖区内强制性清洁生产审核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指导协调和监督辖区内生态保护修复工作。组织编制和监督实施辖区内生态环境保护规划，监督对生态环境有影响的自然资源开发利用活动、重要生态环境建设和生态破坏恢复工作。组织开展生态示范创建工作。监督野生动植物保护、湿地生态环境保护、荒漠化防治等工作。指导协调监督辖区内农村生态环境保护，监督生物技术环境安全，牵头生物物种(含遗传资源)管理工作，组织协调生物多样性保护工作，参与生态保护补偿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参与辖区内核与辐射安全的监督管理.监督实施国家、省核与辐射安全政策、规划、标准、法规和规章。牵头负责辖区内核安全工作协调机制有关工作,负责辐射环境事故应急处理工作，参与核事故应急处理。监督管理放射源与射线装置安全，监督管理辖区内核技术应用、电磁辐射、伴有放射性矿产资源开发利用中的污染防治，参与核设施安全监督管理相关工作。参与反核与辐射恐怖袭击工作。负责核与辐射监测和执法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负责辖区内生态环境准入的监督管理。经州生态环境局授权后，行使有关环境影响评价，按规定审批项目环境影响评价文件。拟订并组织实施辖区内生态环境准入清单。</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辖区内生态环境监测工作。监督执行国家、省、州的生态环境监测制度和规范。会同有关部门统一规划辖区内生态环境质量监测站点设置，组织实施生态环境质量监测、污染源监督性监测、温室气体减排监测、应急监测。组织对辖区内生态环境质量状况进行调查评价、预警预测，组织建设和管理辖区内生态环境监测网和生态环境信息网。负责辖区内生态环境质量考核和生态环境统计工作。建立和实行生态环境质量公告制度，统一发布辖区内生态环境综合性报告和重大生态环境信息。</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负责应对气候变化工作。组织实施国家、省、州应对气候变化及温室气体减排重大战略、规划和政策，组织拟订辖区内应对气候变化的规划和政策措施。</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组织开展生态环境保护督查工作。监督指导生态环境保护督察工作贯彻落实。</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加强辖区内生态环境监督执法管理、指导工作。监督实施辖区内建设项目生态环境保护设施同时设计、同时施工、同时投产使用制度。</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组织指导和协调辖区内生态环境宣传教育工作。制定并组织实施辖区内生态环境保护宣传教育有关规划和计划。推动社会组织和公众参与生态环境保护。会同有关部门依法对辖区内保护和改善生态环境有显著成绩的单位和个人给予表扬和奖励。</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开展辖区内生态环境科技工作。管理辖区内生态环境保护科技成果并推广应用。组织开展辖区内生态环境重大科学研究和技术工程示范，推动生态环境技术管理体系建设。</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开展生态环境对外合作交流。参与协调辖区内重要生态环境保护国际活动和区域合作，组织协调有关生态环境国际条约的履约工作，管理辖区内生态环境系统对外合作，协调推进与履约有关的利用外资项目，参与处理涉外生态环境事务，负责与生态环境保护国际组织的联系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负责职责范围内的安全生产和职业健康、审批服务便民化等工作。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完成州生态环境局、县(市)委、县(市)政府交办的其他任务。</w:t>
      </w:r>
    </w:p>
    <w:bookmarkEnd w:id="17"/>
    <w:bookmarkEnd w:id="18"/>
    <w:p>
      <w:pPr>
        <w:pStyle w:val="7"/>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b w:val="0"/>
          <w:color w:val="000000"/>
        </w:rPr>
      </w:pPr>
      <w:bookmarkStart w:id="19" w:name="_Toc15396601"/>
      <w:bookmarkStart w:id="20" w:name="_Toc15377200"/>
      <w:r>
        <w:rPr>
          <w:rFonts w:hint="eastAsia" w:ascii="黑体" w:hAnsi="黑体" w:eastAsia="黑体"/>
          <w:b w:val="0"/>
          <w:color w:val="000000"/>
        </w:rPr>
        <w:t>二、机构设置</w:t>
      </w:r>
      <w:bookmarkEnd w:id="19"/>
      <w:bookmarkEnd w:id="20"/>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highlight w:val="none"/>
        </w:rPr>
        <w:t>阿坝藏族羌族自治州茂县生态环境</w:t>
      </w:r>
      <w:r>
        <w:rPr>
          <w:rFonts w:hint="eastAsia" w:ascii="仿宋_GB2312" w:hAnsi="仿宋_GB2312" w:eastAsia="仿宋_GB2312" w:cs="仿宋_GB2312"/>
          <w:color w:val="auto"/>
          <w:kern w:val="0"/>
          <w:sz w:val="32"/>
          <w:szCs w:val="32"/>
        </w:rPr>
        <w:t>局内设生态环境保护中心、生态环境保护综合行政执法大队</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个</w:t>
      </w:r>
      <w:r>
        <w:rPr>
          <w:rFonts w:hint="eastAsia" w:ascii="Times New Roman" w:hAnsi="Times New Roman" w:eastAsia="仿宋_GB2312" w:cs="仿宋_GB2312"/>
          <w:color w:val="auto"/>
          <w:sz w:val="32"/>
          <w:szCs w:val="32"/>
          <w:highlight w:val="none"/>
        </w:rPr>
        <w:t>参照公务员法管理的</w:t>
      </w:r>
      <w:r>
        <w:rPr>
          <w:rFonts w:hint="eastAsia" w:ascii="仿宋_GB2312" w:hAnsi="仿宋_GB2312" w:eastAsia="仿宋_GB2312" w:cs="仿宋_GB2312"/>
          <w:color w:val="auto"/>
          <w:kern w:val="0"/>
          <w:sz w:val="32"/>
          <w:szCs w:val="32"/>
        </w:rPr>
        <w:t>事业机构。</w:t>
      </w:r>
      <w:r>
        <w:rPr>
          <w:rFonts w:ascii="仿宋" w:hAnsi="仿宋" w:eastAsia="仿宋"/>
          <w:color w:val="auto"/>
          <w:sz w:val="32"/>
          <w:szCs w:val="32"/>
        </w:rPr>
        <w:t>阿</w:t>
      </w:r>
      <w:r>
        <w:rPr>
          <w:rFonts w:hint="eastAsia" w:ascii="仿宋_GB2312" w:hAnsi="仿宋_GB2312" w:eastAsia="仿宋_GB2312" w:cs="仿宋_GB2312"/>
          <w:color w:val="auto"/>
          <w:kern w:val="0"/>
          <w:sz w:val="32"/>
          <w:szCs w:val="32"/>
        </w:rPr>
        <w:t>坝州茂县生态环境局总编制1</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名，其中：行政编制3名，参照公务员法管理的事业编制1</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名。在职人员</w:t>
      </w:r>
      <w:r>
        <w:rPr>
          <w:rFonts w:hint="eastAsia" w:ascii="仿宋_GB2312" w:hAnsi="仿宋_GB2312" w:eastAsia="仿宋_GB2312" w:cs="仿宋_GB2312"/>
          <w:color w:val="auto"/>
          <w:kern w:val="0"/>
          <w:sz w:val="32"/>
          <w:szCs w:val="32"/>
          <w:lang w:val="en-US" w:eastAsia="zh-CN"/>
        </w:rPr>
        <w:t>11</w:t>
      </w:r>
      <w:r>
        <w:rPr>
          <w:rFonts w:hint="eastAsia" w:ascii="仿宋_GB2312" w:hAnsi="仿宋_GB2312" w:eastAsia="仿宋_GB2312" w:cs="仿宋_GB2312"/>
          <w:color w:val="auto"/>
          <w:kern w:val="0"/>
          <w:sz w:val="32"/>
          <w:szCs w:val="32"/>
        </w:rPr>
        <w:t>人，其中：行政人员</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人，参照公务员法管理的事业人员</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人，工勤人员2人。</w:t>
      </w:r>
    </w:p>
    <w:p>
      <w:pPr>
        <w:pStyle w:val="9"/>
        <w:adjustRightInd w:val="0"/>
        <w:snapToGrid w:val="0"/>
        <w:spacing w:before="93" w:line="576" w:lineRule="exact"/>
        <w:ind w:left="420" w:leftChars="200" w:firstLine="320" w:firstLineChars="100"/>
        <w:outlineLvl w:val="2"/>
        <w:rPr>
          <w:rFonts w:hAnsi="仿宋_GB2312" w:cs="仿宋_GB2312"/>
          <w:color w:val="auto"/>
          <w:sz w:val="32"/>
          <w:szCs w:val="32"/>
        </w:rPr>
      </w:pPr>
    </w:p>
    <w:p>
      <w:pPr>
        <w:pStyle w:val="6"/>
        <w:jc w:val="both"/>
        <w:rPr>
          <w:rFonts w:hint="eastAsia" w:ascii="Times New Roman" w:hAnsi="Times New Roman" w:eastAsia="方正小标宋简体" w:cs="方正小标宋简体"/>
          <w:b w:val="0"/>
          <w:color w:val="auto"/>
          <w:highlight w:val="none"/>
        </w:rPr>
      </w:pPr>
      <w:bookmarkStart w:id="21" w:name="_Toc15396602"/>
      <w:bookmarkStart w:id="22"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1"/>
      <w:bookmarkEnd w:id="22"/>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30"/>
          <w:rFonts w:hint="eastAsia" w:ascii="Times New Roman" w:hAnsi="Times New Roman" w:eastAsia="黑体"/>
          <w:b w:val="0"/>
          <w:color w:val="auto"/>
          <w:highlight w:val="none"/>
        </w:rPr>
      </w:pPr>
      <w:bookmarkStart w:id="23" w:name="_Toc15396603"/>
      <w:bookmarkStart w:id="24"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3"/>
      <w:bookmarkEnd w:id="24"/>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1168.16</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总计各增加</w:t>
      </w:r>
      <w:r>
        <w:rPr>
          <w:rFonts w:hint="eastAsia" w:ascii="仿宋_GB2312" w:hAnsi="仿宋_GB2312" w:eastAsia="仿宋_GB2312" w:cs="仿宋_GB2312"/>
          <w:color w:val="auto"/>
          <w:sz w:val="32"/>
          <w:szCs w:val="32"/>
          <w:highlight w:val="none"/>
          <w:lang w:val="en-US" w:eastAsia="zh-CN"/>
        </w:rPr>
        <w:t>940.64</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413.4</w:t>
      </w:r>
      <w:r>
        <w:rPr>
          <w:rFonts w:hint="eastAsia" w:ascii="仿宋_GB2312" w:hAnsi="仿宋_GB2312"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2024年项目增加，2023年非本级财政拨款收入未纳入决算收支管理。</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eastAsia="仿宋_GB2312" w:cs="仿宋_GB2312"/>
          <w:color w:val="auto"/>
          <w:sz w:val="32"/>
          <w:szCs w:val="32"/>
          <w:highlight w:val="none"/>
        </w:rPr>
      </w:pPr>
      <w:r>
        <w:drawing>
          <wp:anchor distT="0" distB="0" distL="114300" distR="114300" simplePos="0" relativeHeight="251661312" behindDoc="0" locked="0" layoutInCell="1" allowOverlap="1">
            <wp:simplePos x="0" y="0"/>
            <wp:positionH relativeFrom="column">
              <wp:posOffset>213995</wp:posOffset>
            </wp:positionH>
            <wp:positionV relativeFrom="paragraph">
              <wp:posOffset>107950</wp:posOffset>
            </wp:positionV>
            <wp:extent cx="4714875" cy="1449070"/>
            <wp:effectExtent l="4445" t="4445" r="5080" b="1333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5" w:name="_Toc15377206"/>
      <w:bookmarkStart w:id="26" w:name="_Toc15396604"/>
      <w:r>
        <w:rPr>
          <w:rFonts w:hint="eastAsia" w:ascii="Times New Roman" w:hAnsi="Times New Roman" w:eastAsia="黑体"/>
          <w:color w:val="auto"/>
          <w:sz w:val="32"/>
          <w:szCs w:val="32"/>
          <w:highlight w:val="none"/>
          <w:lang w:eastAsia="zh-CN"/>
        </w:rPr>
        <w:t>二、收入决算情况说明</w:t>
      </w:r>
      <w:bookmarkEnd w:id="25"/>
      <w:bookmarkEnd w:id="26"/>
    </w:p>
    <w:p>
      <w:pPr>
        <w:pStyle w:val="2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1168.16万元，其中：一般公共预算财政拨款收入446.56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38.22</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721.6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61.77</w:t>
      </w:r>
      <w:r>
        <w:rPr>
          <w:rFonts w:hint="eastAsia" w:ascii="仿宋_GB2312" w:hAnsi="仿宋_GB2312" w:eastAsia="仿宋_GB2312" w:cs="仿宋_GB2312"/>
          <w:color w:val="auto"/>
          <w:sz w:val="32"/>
          <w:szCs w:val="32"/>
          <w:highlight w:val="none"/>
          <w:lang w:eastAsia="zh-CN"/>
        </w:rPr>
        <w:t>%；无政府性基金预算财政拨款收入、国有资本经营预算财政拨款收入、上级补助收入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lang w:eastAsia="zh-CN"/>
        </w:rPr>
        <w:t>等。</w:t>
      </w:r>
    </w:p>
    <w:p>
      <w:pPr>
        <w:keepNext w:val="0"/>
        <w:keepLines w:val="0"/>
        <w:pageBreakBefore w:val="0"/>
        <w:widowControl w:val="0"/>
        <w:kinsoku/>
        <w:wordWrap/>
        <w:overflowPunct/>
        <w:topLinePunct w:val="0"/>
        <w:autoSpaceDE/>
        <w:autoSpaceDN/>
        <w:bidi w:val="0"/>
        <w:adjustRightInd/>
        <w:snapToGrid/>
        <w:spacing w:line="560" w:lineRule="exact"/>
        <w:ind w:firstLine="525" w:firstLineChars="250"/>
        <w:textAlignment w:val="auto"/>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2336" behindDoc="0" locked="0" layoutInCell="1" allowOverlap="1">
            <wp:simplePos x="0" y="0"/>
            <wp:positionH relativeFrom="column">
              <wp:posOffset>461645</wp:posOffset>
            </wp:positionH>
            <wp:positionV relativeFrom="paragraph">
              <wp:posOffset>50800</wp:posOffset>
            </wp:positionV>
            <wp:extent cx="4135120" cy="1628775"/>
            <wp:effectExtent l="4445" t="4445" r="13335" b="508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lang w:val="en-US" w:eastAsia="zh-CN"/>
        </w:rPr>
        <w:t xml:space="preserve">  </w:t>
      </w:r>
      <w:r>
        <w:rPr>
          <w:rFonts w:hint="eastAsia" w:ascii="Times New Roman" w:hAnsi="Times New Roman" w:eastAsia="仿宋_GB2312" w:cs="仿宋_GB2312"/>
          <w:color w:val="auto"/>
          <w:sz w:val="32"/>
          <w:szCs w:val="32"/>
          <w:highlight w:val="none"/>
          <w:lang w:eastAsia="zh-CN"/>
        </w:rPr>
        <w:t>（图2：收入决算结构图）（饼状图）</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7" w:name="_Toc15396605"/>
      <w:bookmarkStart w:id="28"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7"/>
      <w:bookmarkEnd w:id="28"/>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1014.06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204.44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20.16</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809.62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79.83</w:t>
      </w:r>
      <w:r>
        <w:rPr>
          <w:rFonts w:hint="eastAsia" w:ascii="仿宋_GB2312" w:hAnsi="仿宋_GB2312" w:eastAsia="仿宋_GB2312" w:cs="仿宋_GB2312"/>
          <w:color w:val="auto"/>
          <w:sz w:val="32"/>
          <w:szCs w:val="32"/>
          <w:highlight w:val="none"/>
          <w:lang w:eastAsia="zh-CN"/>
        </w:rPr>
        <w:t>%；无上缴上级支出、经营支出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lang w:eastAsia="zh-CN"/>
        </w:rPr>
        <w:t>。</w:t>
      </w:r>
    </w:p>
    <w:p>
      <w:pPr>
        <w:ind w:firstLine="525" w:firstLineChars="250"/>
        <w:rPr>
          <w:rFonts w:hint="eastAsia" w:ascii="Times New Roman" w:hAnsi="Times New Roman" w:eastAsia="仿宋_GB2312" w:cs="仿宋_GB2312"/>
          <w:color w:val="auto"/>
          <w:sz w:val="32"/>
          <w:szCs w:val="32"/>
          <w:highlight w:val="none"/>
          <w:lang w:eastAsia="zh-CN"/>
        </w:rPr>
      </w:pPr>
      <w:r>
        <w:drawing>
          <wp:inline distT="0" distB="0" distL="114300" distR="114300">
            <wp:extent cx="3772535" cy="1657985"/>
            <wp:effectExtent l="4445" t="4445" r="13970" b="1397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bookmarkStart w:id="29" w:name="_Toc15396606"/>
      <w:bookmarkStart w:id="30" w:name="_Toc15377208"/>
    </w:p>
    <w:p>
      <w:pPr>
        <w:ind w:firstLine="640" w:firstLineChars="200"/>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9"/>
      <w:bookmarkEnd w:id="30"/>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446.56</w:t>
      </w:r>
      <w:r>
        <w:rPr>
          <w:rFonts w:hint="eastAsia" w:ascii="仿宋_GB2312" w:hAnsi="仿宋_GB2312" w:eastAsia="仿宋_GB2312" w:cs="仿宋_GB2312"/>
          <w:color w:val="auto"/>
          <w:kern w:val="2"/>
          <w:sz w:val="32"/>
          <w:szCs w:val="32"/>
          <w:highlight w:val="none"/>
          <w:lang w:val="en-US" w:eastAsia="zh-CN" w:bidi="ar-SA"/>
        </w:rPr>
        <w:t>万元。与2023年度相比，财政拨款收入总计、支出总计各增加219.04万元，增长96.3%。主要变动原因是2024年项目支出增加。</w:t>
      </w:r>
    </w:p>
    <w:p>
      <w:pPr>
        <w:pStyle w:val="14"/>
        <w:rPr>
          <w:rFonts w:hint="default"/>
          <w:lang w:val="en-US" w:eastAsia="zh-CN"/>
        </w:rPr>
      </w:pPr>
      <w:r>
        <w:drawing>
          <wp:anchor distT="0" distB="0" distL="114300" distR="114300" simplePos="0" relativeHeight="251663360" behindDoc="0" locked="0" layoutInCell="1" allowOverlap="1">
            <wp:simplePos x="0" y="0"/>
            <wp:positionH relativeFrom="column">
              <wp:posOffset>280035</wp:posOffset>
            </wp:positionH>
            <wp:positionV relativeFrom="paragraph">
              <wp:posOffset>68580</wp:posOffset>
            </wp:positionV>
            <wp:extent cx="4619625" cy="1847850"/>
            <wp:effectExtent l="4445" t="4445" r="5080" b="1460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firstLineChars="200"/>
        <w:outlineLvl w:val="1"/>
        <w:rPr>
          <w:rStyle w:val="30"/>
          <w:rFonts w:ascii="Times New Roman" w:hAnsi="Times New Roman" w:eastAsia="黑体"/>
          <w:b w:val="0"/>
          <w:color w:val="auto"/>
          <w:highlight w:val="none"/>
        </w:rPr>
      </w:pPr>
      <w:bookmarkStart w:id="31" w:name="_Toc15377209"/>
      <w:bookmarkStart w:id="32"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1"/>
      <w:bookmarkEnd w:id="32"/>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3"/>
    </w:p>
    <w:p>
      <w:pPr>
        <w:spacing w:line="60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446.56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44.03</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%。与2023年度相比，一般公共预算财政拨款支出增加219.04万元，增长96.3%。主要变动原因是2024年项目支出增加。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4384" behindDoc="0" locked="0" layoutInCell="1" allowOverlap="1">
            <wp:simplePos x="0" y="0"/>
            <wp:positionH relativeFrom="column">
              <wp:posOffset>629920</wp:posOffset>
            </wp:positionH>
            <wp:positionV relativeFrom="paragraph">
              <wp:posOffset>52070</wp:posOffset>
            </wp:positionV>
            <wp:extent cx="3867150" cy="1610360"/>
            <wp:effectExtent l="4445" t="4445" r="14605" b="23495"/>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4"/>
    </w:p>
    <w:p>
      <w:pPr>
        <w:spacing w:line="600" w:lineRule="exact"/>
        <w:ind w:firstLine="960" w:firstLine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446.56</w:t>
      </w:r>
      <w:r>
        <w:rPr>
          <w:rFonts w:hint="eastAsia" w:ascii="仿宋_GB2312" w:hAnsi="仿宋_GB2312" w:eastAsia="仿宋_GB2312" w:cs="仿宋_GB2312"/>
          <w:color w:val="auto"/>
          <w:kern w:val="2"/>
          <w:sz w:val="32"/>
          <w:szCs w:val="32"/>
          <w:highlight w:val="none"/>
          <w:lang w:val="en-US" w:eastAsia="zh-CN" w:bidi="ar-SA"/>
        </w:rPr>
        <w:t>万元，主要用于以下方面：</w:t>
      </w:r>
      <w:r>
        <w:rPr>
          <w:rFonts w:hint="eastAsia" w:ascii="仿宋_GB2312" w:hAnsi="仿宋_GB2312" w:eastAsia="仿宋_GB2312" w:cs="仿宋_GB2312"/>
          <w:color w:val="auto"/>
          <w:sz w:val="32"/>
        </w:rPr>
        <w:t>社会保障和就业支出</w:t>
      </w:r>
      <w:r>
        <w:rPr>
          <w:rFonts w:hint="eastAsia" w:ascii="仿宋_GB2312" w:hAnsi="仿宋_GB2312" w:eastAsia="仿宋_GB2312" w:cs="仿宋_GB2312"/>
          <w:color w:val="auto"/>
          <w:sz w:val="32"/>
          <w:lang w:val="en-US" w:eastAsia="zh-CN"/>
        </w:rPr>
        <w:t>27.1</w:t>
      </w:r>
      <w:r>
        <w:rPr>
          <w:rFonts w:hint="eastAsia" w:ascii="仿宋_GB2312" w:hAnsi="仿宋_GB2312" w:eastAsia="仿宋_GB2312" w:cs="仿宋_GB2312"/>
          <w:color w:val="auto"/>
          <w:sz w:val="32"/>
        </w:rPr>
        <w:t>万元，占</w:t>
      </w:r>
      <w:r>
        <w:rPr>
          <w:rFonts w:hint="eastAsia" w:ascii="仿宋_GB2312" w:hAnsi="仿宋_GB2312" w:eastAsia="仿宋_GB2312" w:cs="仿宋_GB2312"/>
          <w:color w:val="auto"/>
          <w:sz w:val="32"/>
          <w:lang w:val="en-US" w:eastAsia="zh-CN"/>
        </w:rPr>
        <w:t>6.1</w:t>
      </w:r>
      <w:r>
        <w:rPr>
          <w:rFonts w:hint="eastAsia" w:ascii="仿宋_GB2312" w:hAnsi="仿宋_GB2312" w:eastAsia="仿宋_GB2312" w:cs="仿宋_GB2312"/>
          <w:color w:val="auto"/>
          <w:sz w:val="32"/>
        </w:rPr>
        <w:t>%；卫生健康支出</w:t>
      </w:r>
      <w:r>
        <w:rPr>
          <w:rFonts w:hint="eastAsia" w:ascii="仿宋_GB2312" w:hAnsi="仿宋_GB2312" w:eastAsia="仿宋_GB2312" w:cs="仿宋_GB2312"/>
          <w:color w:val="auto"/>
          <w:sz w:val="32"/>
          <w:lang w:val="en-US" w:eastAsia="zh-CN"/>
        </w:rPr>
        <w:t>11.66</w:t>
      </w:r>
      <w:r>
        <w:rPr>
          <w:rFonts w:hint="eastAsia" w:ascii="仿宋_GB2312" w:hAnsi="仿宋_GB2312" w:eastAsia="仿宋_GB2312" w:cs="仿宋_GB2312"/>
          <w:color w:val="auto"/>
          <w:sz w:val="32"/>
        </w:rPr>
        <w:t>万元，占</w:t>
      </w:r>
      <w:r>
        <w:rPr>
          <w:rFonts w:hint="eastAsia" w:ascii="仿宋_GB2312" w:hAnsi="仿宋_GB2312" w:eastAsia="仿宋_GB2312" w:cs="仿宋_GB2312"/>
          <w:color w:val="auto"/>
          <w:sz w:val="32"/>
          <w:lang w:val="en-US" w:eastAsia="zh-CN"/>
        </w:rPr>
        <w:t>2.6</w:t>
      </w:r>
      <w:r>
        <w:rPr>
          <w:rFonts w:hint="eastAsia" w:ascii="仿宋_GB2312" w:hAnsi="仿宋_GB2312" w:eastAsia="仿宋_GB2312" w:cs="仿宋_GB2312"/>
          <w:color w:val="auto"/>
          <w:sz w:val="32"/>
        </w:rPr>
        <w:t>%；节能环保支出</w:t>
      </w:r>
      <w:r>
        <w:rPr>
          <w:rFonts w:hint="eastAsia" w:ascii="仿宋_GB2312" w:hAnsi="仿宋_GB2312" w:eastAsia="仿宋_GB2312" w:cs="仿宋_GB2312"/>
          <w:color w:val="auto"/>
          <w:sz w:val="32"/>
          <w:lang w:val="en-US" w:eastAsia="zh-CN"/>
        </w:rPr>
        <w:t>393.68</w:t>
      </w:r>
      <w:r>
        <w:rPr>
          <w:rFonts w:hint="eastAsia" w:ascii="仿宋_GB2312" w:hAnsi="仿宋_GB2312" w:eastAsia="仿宋_GB2312" w:cs="仿宋_GB2312"/>
          <w:color w:val="auto"/>
          <w:sz w:val="32"/>
        </w:rPr>
        <w:t>万元，占</w:t>
      </w:r>
      <w:r>
        <w:rPr>
          <w:rFonts w:hint="eastAsia" w:ascii="仿宋_GB2312" w:hAnsi="仿宋_GB2312" w:eastAsia="仿宋_GB2312" w:cs="仿宋_GB2312"/>
          <w:color w:val="auto"/>
          <w:sz w:val="32"/>
          <w:lang w:val="en-US" w:eastAsia="zh-CN"/>
        </w:rPr>
        <w:t>88.1</w:t>
      </w:r>
      <w:r>
        <w:rPr>
          <w:rFonts w:hint="eastAsia" w:ascii="仿宋_GB2312" w:hAnsi="仿宋_GB2312" w:eastAsia="仿宋_GB2312" w:cs="仿宋_GB2312"/>
          <w:color w:val="auto"/>
          <w:sz w:val="32"/>
        </w:rPr>
        <w:t>%；住房保障支出</w:t>
      </w:r>
      <w:r>
        <w:rPr>
          <w:rFonts w:hint="eastAsia" w:ascii="仿宋_GB2312" w:hAnsi="仿宋_GB2312" w:eastAsia="仿宋_GB2312" w:cs="仿宋_GB2312"/>
          <w:color w:val="auto"/>
          <w:sz w:val="32"/>
          <w:lang w:val="en-US" w:eastAsia="zh-CN"/>
        </w:rPr>
        <w:t>14.12</w:t>
      </w:r>
      <w:r>
        <w:rPr>
          <w:rFonts w:hint="eastAsia" w:ascii="仿宋_GB2312" w:hAnsi="仿宋_GB2312" w:eastAsia="仿宋_GB2312" w:cs="仿宋_GB2312"/>
          <w:color w:val="auto"/>
          <w:sz w:val="32"/>
        </w:rPr>
        <w:t>万元，占</w:t>
      </w:r>
      <w:r>
        <w:rPr>
          <w:rFonts w:hint="eastAsia" w:ascii="仿宋_GB2312" w:hAnsi="仿宋_GB2312" w:eastAsia="仿宋_GB2312" w:cs="仿宋_GB2312"/>
          <w:color w:val="auto"/>
          <w:sz w:val="32"/>
          <w:lang w:val="en-US" w:eastAsia="zh-CN"/>
        </w:rPr>
        <w:t>3.2</w:t>
      </w:r>
      <w:r>
        <w:rPr>
          <w:rFonts w:hint="eastAsia" w:ascii="仿宋_GB2312" w:hAnsi="仿宋_GB2312" w:eastAsia="仿宋_GB2312" w:cs="仿宋_GB2312"/>
          <w:color w:val="auto"/>
          <w:sz w:val="32"/>
        </w:rPr>
        <w:t>%。</w:t>
      </w:r>
    </w:p>
    <w:p>
      <w:pPr>
        <w:spacing w:line="600" w:lineRule="exact"/>
        <w:ind w:left="420" w:leftChars="200" w:firstLine="216" w:firstLineChars="103"/>
        <w:rPr>
          <w:rFonts w:hint="eastAsia" w:ascii="Times New Roman" w:hAnsi="Times New Roman" w:eastAsia="楷体_GB2312" w:cs="楷体_GB2312"/>
          <w:b/>
          <w:color w:val="auto"/>
          <w:sz w:val="32"/>
          <w:szCs w:val="32"/>
          <w:highlight w:val="none"/>
        </w:rPr>
      </w:pPr>
      <w:r>
        <w:drawing>
          <wp:anchor distT="0" distB="0" distL="114300" distR="114300" simplePos="0" relativeHeight="251665408" behindDoc="0" locked="0" layoutInCell="1" allowOverlap="1">
            <wp:simplePos x="0" y="0"/>
            <wp:positionH relativeFrom="column">
              <wp:posOffset>572770</wp:posOffset>
            </wp:positionH>
            <wp:positionV relativeFrom="paragraph">
              <wp:posOffset>61595</wp:posOffset>
            </wp:positionV>
            <wp:extent cx="4116070" cy="1743075"/>
            <wp:effectExtent l="4445" t="4445" r="13335" b="5080"/>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bookmarkStart w:id="3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5"/>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36" w:name="_Toc15377213"/>
      <w:bookmarkStart w:id="37" w:name="_Toc15377444"/>
      <w:bookmarkStart w:id="38" w:name="_Toc15378460"/>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446.56</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36"/>
      <w:bookmarkEnd w:id="37"/>
      <w:bookmarkEnd w:id="38"/>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社会保障和就业支出（208）行政事业单位养老支出（20805）机关事业单位基本养老保险缴费支出（2080505）支出决算</w:t>
      </w:r>
      <w:r>
        <w:rPr>
          <w:rFonts w:hint="eastAsia" w:ascii="仿宋_GB2312" w:hAnsi="仿宋_GB2312" w:eastAsia="仿宋_GB2312" w:cs="仿宋_GB2312"/>
          <w:color w:val="auto"/>
          <w:sz w:val="32"/>
          <w:szCs w:val="32"/>
          <w:lang w:val="en-US" w:eastAsia="zh-CN"/>
        </w:rPr>
        <w:t>18.32</w:t>
      </w:r>
      <w:r>
        <w:rPr>
          <w:rFonts w:hint="eastAsia" w:ascii="仿宋_GB2312" w:hAnsi="仿宋_GB2312" w:eastAsia="仿宋_GB2312" w:cs="仿宋_GB2312"/>
          <w:color w:val="auto"/>
          <w:sz w:val="32"/>
          <w:szCs w:val="32"/>
        </w:rPr>
        <w:t>万元，完成预算100%。</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2.社会保障和就业支出（208）行政事业单位养老支出（20805）机关事业单位职业年金缴费支出（2080506）支出决算</w:t>
      </w:r>
      <w:r>
        <w:rPr>
          <w:rFonts w:hint="eastAsia" w:ascii="仿宋_GB2312" w:hAnsi="仿宋_GB2312" w:eastAsia="仿宋_GB2312" w:cs="仿宋_GB2312"/>
          <w:color w:val="auto"/>
          <w:sz w:val="32"/>
          <w:szCs w:val="32"/>
          <w:lang w:val="en-US" w:eastAsia="zh-CN"/>
        </w:rPr>
        <w:t>8.78</w:t>
      </w:r>
      <w:r>
        <w:rPr>
          <w:rFonts w:hint="eastAsia" w:ascii="仿宋_GB2312" w:hAnsi="仿宋_GB2312" w:eastAsia="仿宋_GB2312" w:cs="仿宋_GB2312"/>
          <w:color w:val="auto"/>
          <w:sz w:val="32"/>
          <w:szCs w:val="32"/>
        </w:rPr>
        <w:t>万元，完成预算100%。</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3.卫生健康支出（210）行政事业单位医疗（21011）行政单位医疗（2101101）支出决算</w:t>
      </w:r>
      <w:r>
        <w:rPr>
          <w:rFonts w:hint="eastAsia" w:ascii="仿宋_GB2312" w:hAnsi="仿宋_GB2312" w:eastAsia="仿宋_GB2312" w:cs="仿宋_GB2312"/>
          <w:color w:val="auto"/>
          <w:sz w:val="32"/>
          <w:szCs w:val="32"/>
          <w:lang w:val="en-US" w:eastAsia="zh-CN"/>
        </w:rPr>
        <w:t>8.21</w:t>
      </w:r>
      <w:r>
        <w:rPr>
          <w:rFonts w:hint="eastAsia" w:ascii="仿宋_GB2312" w:hAnsi="仿宋_GB2312" w:eastAsia="仿宋_GB2312" w:cs="仿宋_GB2312"/>
          <w:color w:val="auto"/>
          <w:sz w:val="32"/>
          <w:szCs w:val="32"/>
        </w:rPr>
        <w:t>万元，完成预算100%。</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卫生健康支出（210）行政事业单位医疗（21011）公务员医疗补助（210110</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）支出决算</w:t>
      </w:r>
      <w:r>
        <w:rPr>
          <w:rFonts w:hint="eastAsia" w:ascii="仿宋_GB2312" w:hAnsi="仿宋_GB2312" w:eastAsia="仿宋_GB2312" w:cs="仿宋_GB2312"/>
          <w:color w:val="auto"/>
          <w:sz w:val="32"/>
          <w:szCs w:val="32"/>
          <w:lang w:val="en-US" w:eastAsia="zh-CN"/>
        </w:rPr>
        <w:t>3.45</w:t>
      </w:r>
      <w:r>
        <w:rPr>
          <w:rFonts w:hint="eastAsia" w:ascii="仿宋_GB2312" w:hAnsi="仿宋_GB2312" w:eastAsia="仿宋_GB2312" w:cs="仿宋_GB2312"/>
          <w:color w:val="auto"/>
          <w:sz w:val="32"/>
          <w:szCs w:val="32"/>
        </w:rPr>
        <w:t>万元，完成预算100%。</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.节能环保支出（211）环境保护管理事务（21101）行政运行（2110101）支出决算</w:t>
      </w:r>
      <w:r>
        <w:rPr>
          <w:rFonts w:hint="eastAsia" w:ascii="仿宋_GB2312" w:hAnsi="仿宋_GB2312" w:eastAsia="仿宋_GB2312" w:cs="仿宋_GB2312"/>
          <w:color w:val="auto"/>
          <w:sz w:val="32"/>
          <w:szCs w:val="32"/>
          <w:lang w:val="en-US" w:eastAsia="zh-CN"/>
        </w:rPr>
        <w:t>151.56</w:t>
      </w:r>
      <w:r>
        <w:rPr>
          <w:rFonts w:hint="eastAsia" w:ascii="仿宋_GB2312" w:hAnsi="仿宋_GB2312" w:eastAsia="仿宋_GB2312" w:cs="仿宋_GB2312"/>
          <w:color w:val="auto"/>
          <w:sz w:val="32"/>
          <w:szCs w:val="32"/>
        </w:rPr>
        <w:t>万元，完成预算100%。</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节能环保支出（211）环境保护管理事务（21101）</w:t>
      </w:r>
      <w:r>
        <w:rPr>
          <w:rFonts w:hint="eastAsia" w:ascii="仿宋_GB2312" w:hAnsi="仿宋_GB2312" w:eastAsia="仿宋_GB2312" w:cs="仿宋_GB2312"/>
          <w:color w:val="auto"/>
          <w:sz w:val="32"/>
          <w:szCs w:val="32"/>
          <w:lang w:eastAsia="zh-CN"/>
        </w:rPr>
        <w:t>生态环境保护宣传</w:t>
      </w:r>
      <w:r>
        <w:rPr>
          <w:rFonts w:hint="eastAsia" w:ascii="仿宋_GB2312" w:hAnsi="仿宋_GB2312" w:eastAsia="仿宋_GB2312" w:cs="仿宋_GB2312"/>
          <w:color w:val="auto"/>
          <w:sz w:val="32"/>
          <w:szCs w:val="32"/>
        </w:rPr>
        <w:t>（211010</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）支出决算</w:t>
      </w:r>
      <w:r>
        <w:rPr>
          <w:rFonts w:hint="eastAsia" w:ascii="仿宋_GB2312" w:hAnsi="仿宋_GB2312" w:eastAsia="仿宋_GB2312" w:cs="仿宋_GB2312"/>
          <w:color w:val="auto"/>
          <w:sz w:val="32"/>
          <w:szCs w:val="32"/>
          <w:lang w:val="en-US" w:eastAsia="zh-CN"/>
        </w:rPr>
        <w:t>4.2</w:t>
      </w:r>
      <w:r>
        <w:rPr>
          <w:rFonts w:hint="eastAsia" w:ascii="仿宋_GB2312" w:hAnsi="仿宋_GB2312" w:eastAsia="仿宋_GB2312" w:cs="仿宋_GB2312"/>
          <w:color w:val="auto"/>
          <w:sz w:val="32"/>
          <w:szCs w:val="32"/>
        </w:rPr>
        <w:t>万元，完成预算100%。</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7.</w:t>
      </w:r>
      <w:r>
        <w:rPr>
          <w:rFonts w:hint="eastAsia" w:ascii="仿宋_GB2312" w:hAnsi="仿宋_GB2312" w:eastAsia="仿宋_GB2312" w:cs="仿宋_GB2312"/>
          <w:color w:val="auto"/>
          <w:sz w:val="32"/>
          <w:szCs w:val="32"/>
        </w:rPr>
        <w:t>节能环保支出（211）环境保护管理事务（2110</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）其他环境保护管理事务支出（2110</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99）支出决算</w:t>
      </w:r>
      <w:r>
        <w:rPr>
          <w:rFonts w:hint="eastAsia" w:ascii="仿宋_GB2312" w:hAnsi="仿宋_GB2312" w:eastAsia="仿宋_GB2312" w:cs="仿宋_GB2312"/>
          <w:color w:val="auto"/>
          <w:sz w:val="32"/>
          <w:szCs w:val="32"/>
          <w:lang w:val="en-US" w:eastAsia="zh-CN"/>
        </w:rPr>
        <w:t>15.4</w:t>
      </w:r>
      <w:r>
        <w:rPr>
          <w:rFonts w:hint="eastAsia" w:ascii="仿宋_GB2312" w:hAnsi="仿宋_GB2312" w:eastAsia="仿宋_GB2312" w:cs="仿宋_GB2312"/>
          <w:color w:val="auto"/>
          <w:sz w:val="32"/>
          <w:szCs w:val="32"/>
        </w:rPr>
        <w:t xml:space="preserve">万元，完成预算100%。       </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节能环保支出（211）</w:t>
      </w:r>
      <w:r>
        <w:rPr>
          <w:rFonts w:hint="eastAsia" w:ascii="仿宋_GB2312" w:hAnsi="仿宋_GB2312" w:eastAsia="仿宋_GB2312" w:cs="仿宋_GB2312"/>
          <w:color w:val="auto"/>
          <w:sz w:val="32"/>
          <w:szCs w:val="32"/>
          <w:lang w:eastAsia="zh-CN"/>
        </w:rPr>
        <w:t>污染防治</w:t>
      </w:r>
      <w:r>
        <w:rPr>
          <w:rFonts w:hint="eastAsia" w:ascii="仿宋_GB2312" w:hAnsi="仿宋_GB2312" w:eastAsia="仿宋_GB2312" w:cs="仿宋_GB2312"/>
          <w:color w:val="auto"/>
          <w:sz w:val="32"/>
          <w:szCs w:val="32"/>
        </w:rPr>
        <w:t>（2110</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大气</w:t>
      </w:r>
      <w:r>
        <w:rPr>
          <w:rFonts w:hint="eastAsia" w:ascii="仿宋_GB2312" w:hAnsi="仿宋_GB2312" w:eastAsia="仿宋_GB2312" w:cs="仿宋_GB2312"/>
          <w:color w:val="auto"/>
          <w:sz w:val="32"/>
          <w:szCs w:val="32"/>
        </w:rPr>
        <w:t>（2110</w:t>
      </w:r>
      <w:r>
        <w:rPr>
          <w:rFonts w:hint="eastAsia" w:ascii="仿宋_GB2312" w:hAnsi="仿宋_GB2312" w:eastAsia="仿宋_GB2312" w:cs="仿宋_GB2312"/>
          <w:color w:val="auto"/>
          <w:sz w:val="32"/>
          <w:szCs w:val="32"/>
          <w:lang w:val="en-US" w:eastAsia="zh-CN"/>
        </w:rPr>
        <w:t>302</w:t>
      </w:r>
      <w:r>
        <w:rPr>
          <w:rFonts w:hint="eastAsia" w:ascii="仿宋_GB2312" w:hAnsi="仿宋_GB2312" w:eastAsia="仿宋_GB2312" w:cs="仿宋_GB2312"/>
          <w:color w:val="auto"/>
          <w:sz w:val="32"/>
          <w:szCs w:val="32"/>
        </w:rPr>
        <w:t>）支出决算</w:t>
      </w:r>
      <w:r>
        <w:rPr>
          <w:rFonts w:hint="eastAsia" w:ascii="仿宋_GB2312" w:hAnsi="仿宋_GB2312" w:eastAsia="仿宋_GB2312" w:cs="仿宋_GB2312"/>
          <w:color w:val="auto"/>
          <w:sz w:val="32"/>
          <w:szCs w:val="32"/>
          <w:lang w:val="en-US" w:eastAsia="zh-CN"/>
        </w:rPr>
        <w:t>35.94</w:t>
      </w:r>
      <w:r>
        <w:rPr>
          <w:rFonts w:hint="eastAsia" w:ascii="仿宋_GB2312" w:hAnsi="仿宋_GB2312" w:eastAsia="仿宋_GB2312" w:cs="仿宋_GB2312"/>
          <w:color w:val="auto"/>
          <w:sz w:val="32"/>
          <w:szCs w:val="32"/>
        </w:rPr>
        <w:t xml:space="preserve">万元，完成预算100%。       </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节能环保支出（211）</w:t>
      </w:r>
      <w:r>
        <w:rPr>
          <w:rFonts w:hint="eastAsia" w:ascii="仿宋_GB2312" w:hAnsi="仿宋_GB2312" w:eastAsia="仿宋_GB2312" w:cs="仿宋_GB2312"/>
          <w:color w:val="auto"/>
          <w:sz w:val="32"/>
          <w:szCs w:val="32"/>
          <w:lang w:eastAsia="zh-CN"/>
        </w:rPr>
        <w:t>其他节能环保支出</w:t>
      </w:r>
      <w:r>
        <w:rPr>
          <w:rFonts w:hint="eastAsia" w:ascii="仿宋_GB2312" w:hAnsi="仿宋_GB2312" w:eastAsia="仿宋_GB2312" w:cs="仿宋_GB2312"/>
          <w:color w:val="auto"/>
          <w:sz w:val="32"/>
          <w:szCs w:val="32"/>
        </w:rPr>
        <w:t>（211</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其他节能环保支出</w:t>
      </w:r>
      <w:r>
        <w:rPr>
          <w:rFonts w:hint="eastAsia" w:ascii="仿宋_GB2312" w:hAnsi="仿宋_GB2312" w:eastAsia="仿宋_GB2312" w:cs="仿宋_GB2312"/>
          <w:color w:val="auto"/>
          <w:sz w:val="32"/>
          <w:szCs w:val="32"/>
        </w:rPr>
        <w:t>（211</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99）支出决算</w:t>
      </w:r>
      <w:r>
        <w:rPr>
          <w:rFonts w:hint="eastAsia" w:ascii="仿宋_GB2312" w:hAnsi="仿宋_GB2312" w:eastAsia="仿宋_GB2312" w:cs="仿宋_GB2312"/>
          <w:color w:val="auto"/>
          <w:sz w:val="32"/>
          <w:szCs w:val="32"/>
          <w:lang w:val="en-US" w:eastAsia="zh-CN"/>
        </w:rPr>
        <w:t>186.58</w:t>
      </w:r>
      <w:r>
        <w:rPr>
          <w:rFonts w:hint="eastAsia" w:ascii="仿宋_GB2312" w:hAnsi="仿宋_GB2312" w:eastAsia="仿宋_GB2312" w:cs="仿宋_GB2312"/>
          <w:color w:val="auto"/>
          <w:sz w:val="32"/>
          <w:szCs w:val="32"/>
        </w:rPr>
        <w:t xml:space="preserve">万元，完成预算100%。       </w:t>
      </w:r>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.住房保障支出（221）住房改革支出（22102）住房公积金（2210201）支出决算</w:t>
      </w:r>
      <w:r>
        <w:rPr>
          <w:rFonts w:hint="eastAsia" w:ascii="仿宋_GB2312" w:hAnsi="仿宋_GB2312" w:eastAsia="仿宋_GB2312" w:cs="仿宋_GB2312"/>
          <w:color w:val="auto"/>
          <w:sz w:val="32"/>
          <w:szCs w:val="32"/>
          <w:lang w:val="en-US" w:eastAsia="zh-CN"/>
        </w:rPr>
        <w:t>14</w:t>
      </w:r>
      <w:bookmarkStart w:id="72" w:name="_GoBack"/>
      <w:bookmarkEnd w:id="72"/>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万元，完成预算100%。</w:t>
      </w:r>
    </w:p>
    <w:p>
      <w:pPr>
        <w:tabs>
          <w:tab w:val="right" w:pos="8306"/>
        </w:tabs>
        <w:spacing w:line="600" w:lineRule="exact"/>
        <w:ind w:firstLine="640" w:firstLineChars="200"/>
        <w:outlineLvl w:val="1"/>
        <w:rPr>
          <w:rStyle w:val="30"/>
          <w:rFonts w:ascii="Times New Roman" w:hAnsi="Times New Roman"/>
          <w:color w:val="auto"/>
          <w:highlight w:val="none"/>
        </w:rPr>
      </w:pPr>
      <w:bookmarkStart w:id="39" w:name="_Toc15396608"/>
      <w:bookmarkStart w:id="40"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9"/>
      <w:bookmarkEnd w:id="40"/>
      <w:r>
        <w:rPr>
          <w:rStyle w:val="30"/>
          <w:rFonts w:ascii="Times New Roman" w:hAnsi="Times New Roman" w:eastAsia="黑体"/>
          <w:b w:val="0"/>
          <w:color w:val="auto"/>
          <w:highlight w:val="none"/>
        </w:rPr>
        <w:tab/>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204.44</w:t>
      </w:r>
      <w:r>
        <w:rPr>
          <w:rFonts w:hint="eastAsia" w:ascii="仿宋_GB2312" w:hAnsi="仿宋_GB2312" w:eastAsia="仿宋_GB2312" w:cs="仿宋_GB2312"/>
          <w:color w:val="auto"/>
          <w:kern w:val="2"/>
          <w:sz w:val="32"/>
          <w:szCs w:val="32"/>
          <w:highlight w:val="none"/>
          <w:lang w:val="en-US" w:eastAsia="zh-CN" w:bidi="ar-SA"/>
        </w:rPr>
        <w:t>万元，其中：</w:t>
      </w:r>
    </w:p>
    <w:p>
      <w:pPr>
        <w:spacing w:line="600" w:lineRule="exact"/>
        <w:ind w:firstLine="640"/>
        <w:rPr>
          <w:rFonts w:hint="eastAsia" w:ascii="仿宋_GB2312" w:hAnsi="仿宋_GB2312" w:eastAsia="仿宋_GB2312" w:cs="仿宋_GB2312"/>
          <w:color w:val="auto"/>
          <w:sz w:val="32"/>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161.07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auto"/>
          <w:sz w:val="32"/>
        </w:rPr>
        <w:t>基本工资</w:t>
      </w:r>
      <w:r>
        <w:rPr>
          <w:rFonts w:hint="eastAsia" w:ascii="仿宋_GB2312" w:hAnsi="仿宋_GB2312" w:eastAsia="仿宋_GB2312" w:cs="仿宋_GB2312"/>
          <w:color w:val="auto"/>
          <w:sz w:val="32"/>
          <w:lang w:val="en-US" w:eastAsia="zh-CN"/>
        </w:rPr>
        <w:t>45.85</w:t>
      </w:r>
      <w:r>
        <w:rPr>
          <w:rFonts w:hint="eastAsia" w:ascii="仿宋_GB2312" w:hAnsi="仿宋_GB2312" w:eastAsia="仿宋_GB2312" w:cs="仿宋_GB2312"/>
          <w:color w:val="auto"/>
          <w:sz w:val="32"/>
        </w:rPr>
        <w:t>万元、津贴补贴</w:t>
      </w:r>
      <w:r>
        <w:rPr>
          <w:rFonts w:hint="eastAsia" w:ascii="仿宋_GB2312" w:hAnsi="仿宋_GB2312" w:eastAsia="仿宋_GB2312" w:cs="仿宋_GB2312"/>
          <w:color w:val="auto"/>
          <w:sz w:val="32"/>
          <w:lang w:val="en-US" w:eastAsia="zh-CN"/>
        </w:rPr>
        <w:t>40.44</w:t>
      </w:r>
      <w:r>
        <w:rPr>
          <w:rFonts w:hint="eastAsia" w:ascii="仿宋_GB2312" w:hAnsi="仿宋_GB2312" w:eastAsia="仿宋_GB2312" w:cs="仿宋_GB2312"/>
          <w:color w:val="auto"/>
          <w:sz w:val="32"/>
        </w:rPr>
        <w:t>万元、机关事业单位基本养老保险缴费</w:t>
      </w:r>
      <w:r>
        <w:rPr>
          <w:rFonts w:hint="eastAsia" w:ascii="仿宋_GB2312" w:hAnsi="仿宋_GB2312" w:eastAsia="仿宋_GB2312" w:cs="仿宋_GB2312"/>
          <w:color w:val="auto"/>
          <w:sz w:val="32"/>
          <w:lang w:val="en-US" w:eastAsia="zh-CN"/>
        </w:rPr>
        <w:t>18.32</w:t>
      </w:r>
      <w:r>
        <w:rPr>
          <w:rFonts w:hint="eastAsia" w:ascii="仿宋_GB2312" w:hAnsi="仿宋_GB2312" w:eastAsia="仿宋_GB2312" w:cs="仿宋_GB2312"/>
          <w:color w:val="auto"/>
          <w:sz w:val="32"/>
        </w:rPr>
        <w:t>万元、职业年金缴费</w:t>
      </w:r>
      <w:r>
        <w:rPr>
          <w:rFonts w:hint="eastAsia" w:ascii="仿宋_GB2312" w:hAnsi="仿宋_GB2312" w:eastAsia="仿宋_GB2312" w:cs="仿宋_GB2312"/>
          <w:color w:val="auto"/>
          <w:sz w:val="32"/>
          <w:lang w:val="en-US" w:eastAsia="zh-CN"/>
        </w:rPr>
        <w:t>8.78</w:t>
      </w:r>
      <w:r>
        <w:rPr>
          <w:rFonts w:hint="eastAsia" w:ascii="仿宋_GB2312" w:hAnsi="仿宋_GB2312" w:eastAsia="仿宋_GB2312" w:cs="仿宋_GB2312"/>
          <w:color w:val="auto"/>
          <w:sz w:val="32"/>
        </w:rPr>
        <w:t>万元、职工基本医疗保险缴费</w:t>
      </w:r>
      <w:r>
        <w:rPr>
          <w:rFonts w:hint="eastAsia" w:ascii="仿宋_GB2312" w:hAnsi="仿宋_GB2312" w:eastAsia="仿宋_GB2312" w:cs="仿宋_GB2312"/>
          <w:color w:val="auto"/>
          <w:sz w:val="32"/>
          <w:lang w:val="en-US" w:eastAsia="zh-CN"/>
        </w:rPr>
        <w:t>8.21</w:t>
      </w:r>
      <w:r>
        <w:rPr>
          <w:rFonts w:hint="eastAsia" w:ascii="仿宋_GB2312" w:hAnsi="仿宋_GB2312" w:eastAsia="仿宋_GB2312" w:cs="仿宋_GB2312"/>
          <w:color w:val="auto"/>
          <w:sz w:val="32"/>
        </w:rPr>
        <w:t>万元、</w:t>
      </w:r>
      <w:r>
        <w:rPr>
          <w:rFonts w:hint="eastAsia" w:ascii="仿宋_GB2312" w:hAnsi="仿宋_GB2312" w:eastAsia="仿宋_GB2312" w:cs="仿宋_GB2312"/>
          <w:color w:val="auto"/>
          <w:sz w:val="32"/>
          <w:lang w:eastAsia="zh-CN"/>
        </w:rPr>
        <w:t>公务员医疗补助</w:t>
      </w:r>
      <w:r>
        <w:rPr>
          <w:rFonts w:hint="eastAsia" w:ascii="仿宋_GB2312" w:hAnsi="仿宋_GB2312" w:eastAsia="仿宋_GB2312" w:cs="仿宋_GB2312"/>
          <w:color w:val="auto"/>
          <w:sz w:val="32"/>
          <w:lang w:val="en-US" w:eastAsia="zh-CN"/>
        </w:rPr>
        <w:t>3.45万元、</w:t>
      </w:r>
      <w:r>
        <w:rPr>
          <w:rFonts w:hint="eastAsia" w:ascii="仿宋_GB2312" w:hAnsi="仿宋_GB2312" w:eastAsia="仿宋_GB2312" w:cs="仿宋_GB2312"/>
          <w:color w:val="auto"/>
          <w:sz w:val="32"/>
        </w:rPr>
        <w:t>其他社会保障缴费</w:t>
      </w:r>
      <w:r>
        <w:rPr>
          <w:rFonts w:hint="eastAsia" w:ascii="仿宋_GB2312" w:hAnsi="仿宋_GB2312" w:eastAsia="仿宋_GB2312" w:cs="仿宋_GB2312"/>
          <w:color w:val="auto"/>
          <w:sz w:val="32"/>
          <w:lang w:val="en-US" w:eastAsia="zh-CN"/>
        </w:rPr>
        <w:t>2.03</w:t>
      </w:r>
      <w:r>
        <w:rPr>
          <w:rFonts w:hint="eastAsia" w:ascii="仿宋_GB2312" w:hAnsi="仿宋_GB2312" w:eastAsia="仿宋_GB2312" w:cs="仿宋_GB2312"/>
          <w:color w:val="auto"/>
          <w:sz w:val="32"/>
        </w:rPr>
        <w:t>万元、住房公积金</w:t>
      </w:r>
      <w:r>
        <w:rPr>
          <w:rFonts w:hint="eastAsia" w:ascii="仿宋_GB2312" w:hAnsi="仿宋_GB2312" w:eastAsia="仿宋_GB2312" w:cs="仿宋_GB2312"/>
          <w:color w:val="auto"/>
          <w:sz w:val="32"/>
          <w:lang w:val="en-US" w:eastAsia="zh-CN"/>
        </w:rPr>
        <w:t>14.12</w:t>
      </w:r>
      <w:r>
        <w:rPr>
          <w:rFonts w:hint="eastAsia" w:ascii="仿宋_GB2312" w:hAnsi="仿宋_GB2312" w:eastAsia="仿宋_GB2312" w:cs="仿宋_GB2312"/>
          <w:color w:val="auto"/>
          <w:sz w:val="32"/>
        </w:rPr>
        <w:t>万元、其他工资福利支出7.20万元、生活补助</w:t>
      </w:r>
      <w:r>
        <w:rPr>
          <w:rFonts w:hint="eastAsia" w:ascii="仿宋_GB2312" w:hAnsi="仿宋_GB2312" w:eastAsia="仿宋_GB2312" w:cs="仿宋_GB2312"/>
          <w:color w:val="auto"/>
          <w:sz w:val="32"/>
          <w:lang w:val="en-US" w:eastAsia="zh-CN"/>
        </w:rPr>
        <w:t>6.42</w:t>
      </w:r>
      <w:r>
        <w:rPr>
          <w:rFonts w:hint="eastAsia" w:ascii="仿宋_GB2312" w:hAnsi="仿宋_GB2312" w:eastAsia="仿宋_GB2312" w:cs="仿宋_GB2312"/>
          <w:color w:val="auto"/>
          <w:sz w:val="32"/>
        </w:rPr>
        <w:t>万元、奖励金0.01万元</w:t>
      </w:r>
      <w:r>
        <w:rPr>
          <w:rFonts w:hint="eastAsia" w:ascii="仿宋_GB2312" w:hAnsi="仿宋_GB2312" w:eastAsia="仿宋_GB2312" w:cs="仿宋_GB2312"/>
          <w:color w:val="auto"/>
          <w:sz w:val="32"/>
          <w:lang w:eastAsia="zh-CN"/>
        </w:rPr>
        <w:t>、伙食补助</w:t>
      </w:r>
      <w:r>
        <w:rPr>
          <w:rFonts w:hint="eastAsia" w:ascii="仿宋_GB2312" w:hAnsi="仿宋_GB2312" w:eastAsia="仿宋_GB2312" w:cs="仿宋_GB2312"/>
          <w:color w:val="auto"/>
          <w:sz w:val="32"/>
          <w:lang w:val="en-US" w:eastAsia="zh-CN"/>
        </w:rPr>
        <w:t>2.4万元</w:t>
      </w:r>
      <w:r>
        <w:rPr>
          <w:rFonts w:hint="eastAsia" w:ascii="仿宋_GB2312" w:hAnsi="仿宋_GB2312" w:eastAsia="仿宋_GB2312" w:cs="仿宋_GB2312"/>
          <w:color w:val="auto"/>
          <w:sz w:val="32"/>
        </w:rPr>
        <w:t>。</w:t>
      </w:r>
    </w:p>
    <w:p>
      <w:pPr>
        <w:spacing w:line="600" w:lineRule="exact"/>
        <w:ind w:firstLine="640"/>
        <w:rPr>
          <w:rFonts w:hint="eastAsia" w:ascii="仿宋_GB2312" w:hAnsi="仿宋_GB2312" w:eastAsia="仿宋_GB2312" w:cs="仿宋_GB2312"/>
          <w:color w:val="auto"/>
          <w:sz w:val="32"/>
          <w:szCs w:val="32"/>
        </w:rPr>
      </w:pPr>
      <w:r>
        <w:rPr>
          <w:rFonts w:hint="eastAsia" w:ascii="Times New Roman" w:hAnsi="Times New Roman" w:eastAsia="仿宋_GB2312" w:cs="仿宋_GB2312"/>
          <w:color w:val="auto"/>
          <w:kern w:val="2"/>
          <w:sz w:val="32"/>
          <w:szCs w:val="32"/>
          <w:highlight w:val="none"/>
          <w:lang w:val="en-US" w:eastAsia="zh-CN" w:bidi="ar-SA"/>
        </w:rPr>
        <w:t>公用经费</w:t>
      </w:r>
      <w:r>
        <w:rPr>
          <w:rFonts w:hint="eastAsia" w:ascii="仿宋_GB2312" w:hAnsi="仿宋_GB2312" w:eastAsia="仿宋_GB2312" w:cs="仿宋_GB2312"/>
          <w:sz w:val="32"/>
          <w:szCs w:val="32"/>
        </w:rPr>
        <w:t>43.38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_GB2312" w:hAnsi="仿宋_GB2312" w:eastAsia="仿宋_GB2312" w:cs="仿宋_GB2312"/>
          <w:color w:val="auto"/>
          <w:sz w:val="32"/>
        </w:rPr>
        <w:t>办公费</w:t>
      </w:r>
      <w:r>
        <w:rPr>
          <w:rFonts w:hint="eastAsia" w:ascii="仿宋_GB2312" w:hAnsi="仿宋_GB2312" w:eastAsia="仿宋_GB2312" w:cs="仿宋_GB2312"/>
          <w:color w:val="auto"/>
          <w:sz w:val="32"/>
          <w:lang w:val="en-US" w:eastAsia="zh-CN"/>
        </w:rPr>
        <w:t>11.15</w:t>
      </w:r>
      <w:r>
        <w:rPr>
          <w:rFonts w:hint="eastAsia" w:ascii="仿宋_GB2312" w:hAnsi="仿宋_GB2312" w:eastAsia="仿宋_GB2312" w:cs="仿宋_GB2312"/>
          <w:color w:val="auto"/>
          <w:sz w:val="32"/>
        </w:rPr>
        <w:t>万元、水费0.</w:t>
      </w:r>
      <w:r>
        <w:rPr>
          <w:rFonts w:hint="eastAsia" w:ascii="仿宋_GB2312" w:hAnsi="仿宋_GB2312" w:eastAsia="仿宋_GB2312" w:cs="仿宋_GB2312"/>
          <w:color w:val="auto"/>
          <w:sz w:val="32"/>
          <w:lang w:val="en-US" w:eastAsia="zh-CN"/>
        </w:rPr>
        <w:t>13</w:t>
      </w:r>
      <w:r>
        <w:rPr>
          <w:rFonts w:hint="eastAsia" w:ascii="仿宋_GB2312" w:hAnsi="仿宋_GB2312" w:eastAsia="仿宋_GB2312" w:cs="仿宋_GB2312"/>
          <w:color w:val="auto"/>
          <w:sz w:val="32"/>
        </w:rPr>
        <w:t>万元、电费</w:t>
      </w:r>
      <w:r>
        <w:rPr>
          <w:rFonts w:hint="eastAsia" w:ascii="仿宋_GB2312" w:hAnsi="仿宋_GB2312" w:eastAsia="仿宋_GB2312" w:cs="仿宋_GB2312"/>
          <w:color w:val="auto"/>
          <w:sz w:val="32"/>
          <w:lang w:val="en-US" w:eastAsia="zh-CN"/>
        </w:rPr>
        <w:t>1.59</w:t>
      </w:r>
      <w:r>
        <w:rPr>
          <w:rFonts w:hint="eastAsia" w:ascii="仿宋_GB2312" w:hAnsi="仿宋_GB2312" w:eastAsia="仿宋_GB2312" w:cs="仿宋_GB2312"/>
          <w:color w:val="auto"/>
          <w:sz w:val="32"/>
        </w:rPr>
        <w:t>万元、邮电费</w:t>
      </w:r>
      <w:r>
        <w:rPr>
          <w:rFonts w:hint="eastAsia" w:ascii="仿宋_GB2312" w:hAnsi="仿宋_GB2312" w:eastAsia="仿宋_GB2312" w:cs="仿宋_GB2312"/>
          <w:color w:val="auto"/>
          <w:sz w:val="32"/>
          <w:lang w:val="en-US" w:eastAsia="zh-CN"/>
        </w:rPr>
        <w:t>3.06</w:t>
      </w:r>
      <w:r>
        <w:rPr>
          <w:rFonts w:hint="eastAsia" w:ascii="仿宋_GB2312" w:hAnsi="仿宋_GB2312" w:eastAsia="仿宋_GB2312" w:cs="仿宋_GB2312"/>
          <w:color w:val="auto"/>
          <w:sz w:val="32"/>
        </w:rPr>
        <w:t>万元、差旅费</w:t>
      </w:r>
      <w:r>
        <w:rPr>
          <w:rFonts w:hint="eastAsia" w:ascii="仿宋_GB2312" w:hAnsi="仿宋_GB2312" w:eastAsia="仿宋_GB2312" w:cs="仿宋_GB2312"/>
          <w:color w:val="auto"/>
          <w:sz w:val="32"/>
          <w:lang w:val="en-US" w:eastAsia="zh-CN"/>
        </w:rPr>
        <w:t>9.58</w:t>
      </w:r>
      <w:r>
        <w:rPr>
          <w:rFonts w:hint="eastAsia" w:ascii="仿宋_GB2312" w:hAnsi="仿宋_GB2312" w:eastAsia="仿宋_GB2312" w:cs="仿宋_GB2312"/>
          <w:color w:val="auto"/>
          <w:sz w:val="32"/>
        </w:rPr>
        <w:t>万元、维修（护）费</w:t>
      </w:r>
      <w:r>
        <w:rPr>
          <w:rFonts w:hint="eastAsia" w:ascii="仿宋_GB2312" w:hAnsi="仿宋_GB2312" w:eastAsia="仿宋_GB2312" w:cs="仿宋_GB2312"/>
          <w:color w:val="auto"/>
          <w:sz w:val="32"/>
          <w:lang w:val="en-US" w:eastAsia="zh-CN"/>
        </w:rPr>
        <w:t>2.43</w:t>
      </w:r>
      <w:r>
        <w:rPr>
          <w:rFonts w:hint="eastAsia" w:ascii="仿宋_GB2312" w:hAnsi="仿宋_GB2312" w:eastAsia="仿宋_GB2312" w:cs="仿宋_GB2312"/>
          <w:color w:val="auto"/>
          <w:sz w:val="32"/>
        </w:rPr>
        <w:t>万元、培训费</w:t>
      </w:r>
      <w:r>
        <w:rPr>
          <w:rFonts w:hint="eastAsia" w:ascii="仿宋_GB2312" w:hAnsi="仿宋_GB2312" w:eastAsia="仿宋_GB2312" w:cs="仿宋_GB2312"/>
          <w:color w:val="auto"/>
          <w:sz w:val="32"/>
          <w:lang w:val="en-US" w:eastAsia="zh-CN"/>
        </w:rPr>
        <w:t>0.52</w:t>
      </w:r>
      <w:r>
        <w:rPr>
          <w:rFonts w:hint="eastAsia" w:ascii="仿宋_GB2312" w:hAnsi="仿宋_GB2312" w:eastAsia="仿宋_GB2312" w:cs="仿宋_GB2312"/>
          <w:color w:val="auto"/>
          <w:sz w:val="32"/>
        </w:rPr>
        <w:t>万元、公务接待费</w:t>
      </w:r>
      <w:r>
        <w:rPr>
          <w:rFonts w:hint="eastAsia" w:ascii="仿宋_GB2312" w:hAnsi="仿宋_GB2312" w:eastAsia="仿宋_GB2312" w:cs="仿宋_GB2312"/>
          <w:color w:val="auto"/>
          <w:sz w:val="32"/>
          <w:lang w:val="en-US" w:eastAsia="zh-CN"/>
        </w:rPr>
        <w:t>0.76</w:t>
      </w:r>
      <w:r>
        <w:rPr>
          <w:rFonts w:hint="eastAsia" w:ascii="仿宋_GB2312" w:hAnsi="仿宋_GB2312" w:eastAsia="仿宋_GB2312" w:cs="仿宋_GB2312"/>
          <w:color w:val="auto"/>
          <w:sz w:val="32"/>
        </w:rPr>
        <w:t>万元、福利费</w:t>
      </w:r>
      <w:r>
        <w:rPr>
          <w:rFonts w:hint="eastAsia" w:ascii="仿宋_GB2312" w:hAnsi="仿宋_GB2312" w:eastAsia="仿宋_GB2312" w:cs="仿宋_GB2312"/>
          <w:color w:val="auto"/>
          <w:sz w:val="32"/>
          <w:lang w:val="en-US" w:eastAsia="zh-CN"/>
        </w:rPr>
        <w:t>2.64</w:t>
      </w:r>
      <w:r>
        <w:rPr>
          <w:rFonts w:hint="eastAsia" w:ascii="仿宋_GB2312" w:hAnsi="仿宋_GB2312" w:eastAsia="仿宋_GB2312" w:cs="仿宋_GB2312"/>
          <w:color w:val="auto"/>
          <w:sz w:val="32"/>
        </w:rPr>
        <w:t>万元、公务用车运行维护费11.</w:t>
      </w:r>
      <w:r>
        <w:rPr>
          <w:rFonts w:hint="eastAsia" w:ascii="仿宋_GB2312" w:hAnsi="仿宋_GB2312" w:eastAsia="仿宋_GB2312" w:cs="仿宋_GB2312"/>
          <w:color w:val="auto"/>
          <w:sz w:val="32"/>
          <w:lang w:val="en-US" w:eastAsia="zh-CN"/>
        </w:rPr>
        <w:t>52</w:t>
      </w:r>
      <w:r>
        <w:rPr>
          <w:rFonts w:hint="eastAsia" w:ascii="仿宋_GB2312" w:hAnsi="仿宋_GB2312" w:eastAsia="仿宋_GB2312" w:cs="仿宋_GB2312"/>
          <w:color w:val="auto"/>
          <w:sz w:val="32"/>
        </w:rPr>
        <w:t>万元</w:t>
      </w:r>
      <w:r>
        <w:rPr>
          <w:rFonts w:hint="eastAsia" w:ascii="仿宋_GB2312" w:hAnsi="仿宋_GB2312" w:eastAsia="仿宋_GB2312" w:cs="仿宋_GB2312"/>
          <w:color w:val="auto"/>
          <w:sz w:val="32"/>
          <w:szCs w:val="32"/>
        </w:rPr>
        <w:t>。</w:t>
      </w:r>
    </w:p>
    <w:p>
      <w:pPr>
        <w:spacing w:line="600" w:lineRule="exact"/>
        <w:ind w:firstLine="640" w:firstLineChars="200"/>
        <w:outlineLvl w:val="1"/>
        <w:rPr>
          <w:rStyle w:val="30"/>
          <w:rFonts w:ascii="Times New Roman" w:hAnsi="Times New Roman" w:eastAsia="黑体"/>
          <w:b w:val="0"/>
          <w:color w:val="auto"/>
          <w:highlight w:val="none"/>
        </w:rPr>
      </w:pPr>
      <w:bookmarkStart w:id="41" w:name="_Toc15396609"/>
      <w:bookmarkStart w:id="42"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41"/>
      <w:bookmarkEnd w:id="42"/>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3"/>
    </w:p>
    <w:p>
      <w:pPr>
        <w:spacing w:line="600" w:lineRule="exact"/>
        <w:ind w:firstLine="640"/>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12.28</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%，较上年度增加0.02万元，增长0.16%。决算数与预算数持平。</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4"/>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2024年度“三公”经费财政拨款支出决算中，无因公出国（境）费支出；公务用车购置及运行维护费支出决算</w:t>
      </w:r>
      <w:r>
        <w:rPr>
          <w:rFonts w:hint="eastAsia" w:ascii="仿宋_GB2312" w:hAnsi="仿宋_GB2312" w:eastAsia="仿宋_GB2312" w:cs="仿宋_GB2312"/>
          <w:sz w:val="32"/>
          <w:szCs w:val="32"/>
        </w:rPr>
        <w:t>11.52</w:t>
      </w:r>
      <w:r>
        <w:rPr>
          <w:rFonts w:hint="eastAsia" w:ascii="仿宋_GB2312" w:hAnsi="仿宋_GB2312" w:eastAsia="仿宋_GB2312" w:cs="仿宋_GB2312"/>
          <w:color w:val="auto"/>
          <w:kern w:val="2"/>
          <w:sz w:val="32"/>
          <w:szCs w:val="32"/>
          <w:highlight w:val="none"/>
          <w:lang w:val="en-US" w:eastAsia="zh-CN" w:bidi="ar-SA"/>
        </w:rPr>
        <w:t>万元，占93.8%；公务接待费支出决算</w:t>
      </w:r>
      <w:r>
        <w:rPr>
          <w:rFonts w:hint="eastAsia" w:ascii="仿宋_GB2312" w:hAnsi="仿宋_GB2312" w:eastAsia="仿宋_GB2312" w:cs="仿宋_GB2312"/>
          <w:sz w:val="32"/>
          <w:szCs w:val="32"/>
        </w:rPr>
        <w:t>0.76</w:t>
      </w:r>
      <w:r>
        <w:rPr>
          <w:rFonts w:hint="eastAsia" w:ascii="仿宋_GB2312" w:hAnsi="仿宋_GB2312" w:eastAsia="仿宋_GB2312" w:cs="仿宋_GB2312"/>
          <w:color w:val="auto"/>
          <w:kern w:val="2"/>
          <w:sz w:val="32"/>
          <w:szCs w:val="32"/>
          <w:highlight w:val="none"/>
          <w:lang w:val="en-US" w:eastAsia="zh-CN" w:bidi="ar-SA"/>
        </w:rPr>
        <w:t>万元，占6.2%。具体情况如下：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0" distR="0" simplePos="0" relativeHeight="251666432" behindDoc="0" locked="0" layoutInCell="1" allowOverlap="1">
            <wp:simplePos x="0" y="0"/>
            <wp:positionH relativeFrom="column">
              <wp:posOffset>309245</wp:posOffset>
            </wp:positionH>
            <wp:positionV relativeFrom="paragraph">
              <wp:posOffset>23495</wp:posOffset>
            </wp:positionV>
            <wp:extent cx="4453890" cy="1758950"/>
            <wp:effectExtent l="4445" t="4445" r="18415" b="825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numPr>
          <w:ilvl w:val="0"/>
          <w:numId w:val="1"/>
        </w:num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11.52万元，完成预算100%。</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公务用车购置及运行维护费支出决算与2023年度持平。</w:t>
      </w:r>
    </w:p>
    <w:p>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万元。全年按规定更新购置公务用车0辆。截至2024年12月31日，单位共有公务用车5辆，其中：越野车5辆。</w:t>
      </w:r>
    </w:p>
    <w:p>
      <w:pPr>
        <w:spacing w:line="60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11.52</w:t>
      </w:r>
      <w:r>
        <w:rPr>
          <w:rFonts w:hint="eastAsia" w:ascii="仿宋_GB2312" w:hAnsi="仿宋_GB2312" w:eastAsia="仿宋_GB2312" w:cs="仿宋_GB2312"/>
          <w:color w:val="auto"/>
          <w:kern w:val="2"/>
          <w:sz w:val="32"/>
          <w:szCs w:val="32"/>
          <w:highlight w:val="none"/>
          <w:lang w:val="en-US" w:eastAsia="zh-CN" w:bidi="ar-SA"/>
        </w:rPr>
        <w:t>万元。主要用于</w:t>
      </w:r>
      <w:r>
        <w:rPr>
          <w:rFonts w:hint="eastAsia" w:ascii="仿宋_GB2312" w:hAnsi="仿宋_GB2312" w:eastAsia="仿宋_GB2312" w:cs="仿宋_GB2312"/>
          <w:color w:val="auto"/>
          <w:sz w:val="32"/>
          <w:szCs w:val="32"/>
        </w:rPr>
        <w:t>主要用于下乡对企业的巡查、出差等所需的公务用车燃料费、维修费、过路过桥费、保险费等支出。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2.公务接待费支出</w:t>
      </w:r>
      <w:r>
        <w:rPr>
          <w:rFonts w:hint="eastAsia" w:ascii="仿宋_GB2312" w:hAnsi="仿宋_GB2312" w:eastAsia="仿宋_GB2312" w:cs="仿宋_GB2312"/>
          <w:b/>
          <w:bCs/>
          <w:color w:val="auto"/>
          <w:kern w:val="2"/>
          <w:sz w:val="32"/>
          <w:szCs w:val="32"/>
          <w:highlight w:val="none"/>
          <w:lang w:val="en-US" w:eastAsia="zh-CN" w:bidi="ar-SA"/>
        </w:rPr>
        <w:t>0.76万元，完成预算100%。</w:t>
      </w:r>
      <w:r>
        <w:rPr>
          <w:rFonts w:hint="eastAsia" w:ascii="仿宋_GB2312" w:hAnsi="仿宋_GB2312" w:eastAsia="仿宋_GB2312" w:cs="仿宋_GB2312"/>
          <w:color w:val="auto"/>
          <w:kern w:val="2"/>
          <w:sz w:val="32"/>
          <w:szCs w:val="32"/>
          <w:highlight w:val="none"/>
          <w:lang w:val="en-US" w:eastAsia="zh-CN" w:bidi="ar-SA"/>
        </w:rPr>
        <w:t>公务接待费支出决算比2023年度增加0.02万元，增长2.7%。主要原因是接待增加。其中：</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color w:val="auto"/>
          <w:sz w:val="32"/>
          <w:szCs w:val="32"/>
        </w:rPr>
        <w:t>0.76</w:t>
      </w:r>
      <w:r>
        <w:rPr>
          <w:rFonts w:hint="eastAsia" w:ascii="仿宋_GB2312" w:hAnsi="仿宋_GB2312" w:eastAsia="仿宋_GB2312" w:cs="仿宋_GB2312"/>
          <w:color w:val="auto"/>
          <w:kern w:val="2"/>
          <w:sz w:val="32"/>
          <w:szCs w:val="32"/>
          <w:highlight w:val="none"/>
          <w:lang w:val="en-US" w:eastAsia="zh-CN" w:bidi="ar-SA"/>
        </w:rPr>
        <w:t>万元，主要用于执行公务、考察调研、学习交流等用餐费。国内公务接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color w:val="auto"/>
          <w:sz w:val="32"/>
          <w:szCs w:val="32"/>
        </w:rPr>
        <w:t>76</w:t>
      </w:r>
      <w:r>
        <w:rPr>
          <w:rFonts w:hint="eastAsia" w:ascii="仿宋_GB2312" w:hAnsi="仿宋_GB2312" w:eastAsia="仿宋_GB2312" w:cs="仿宋_GB2312"/>
          <w:color w:val="auto"/>
          <w:kern w:val="2"/>
          <w:sz w:val="32"/>
          <w:szCs w:val="32"/>
          <w:highlight w:val="none"/>
          <w:lang w:val="en-US" w:eastAsia="zh-CN" w:bidi="ar-SA"/>
        </w:rPr>
        <w:t>人次（不包括陪同人员），共计支出0.76万元。</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无外事接待支</w:t>
      </w:r>
      <w:r>
        <w:rPr>
          <w:rFonts w:hint="eastAsia" w:ascii="仿宋_GB2312" w:hAnsi="仿宋_GB2312" w:eastAsia="仿宋_GB2312" w:cs="仿宋_GB2312"/>
          <w:color w:val="auto"/>
          <w:kern w:val="2"/>
          <w:sz w:val="32"/>
          <w:szCs w:val="32"/>
          <w:highlight w:val="none"/>
          <w:lang w:val="en-US" w:eastAsia="zh-CN" w:bidi="ar-SA"/>
        </w:rPr>
        <w:t>出</w:t>
      </w:r>
      <w:bookmarkStart w:id="45" w:name="_Toc15377218"/>
      <w:bookmarkStart w:id="46" w:name="_Toc15396610"/>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5"/>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2024年度和2023年度均无政府性基金预算财政拨款支出。</w:t>
      </w:r>
    </w:p>
    <w:p>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7" w:name="_Toc15396611"/>
      <w:bookmarkStart w:id="48"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7"/>
      <w:bookmarkEnd w:id="48"/>
    </w:p>
    <w:p>
      <w:pPr>
        <w:numPr>
          <w:ilvl w:val="0"/>
          <w:numId w:val="0"/>
        </w:numPr>
        <w:spacing w:line="600" w:lineRule="exact"/>
        <w:ind w:firstLine="640" w:firstLineChars="200"/>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2024年度和2023年度均无国有资本经营预算财政拨款支出</w:t>
      </w:r>
      <w:bookmarkStart w:id="49" w:name="_Toc15377221"/>
      <w:bookmarkStart w:id="50" w:name="_Toc15396612"/>
      <w:r>
        <w:rPr>
          <w:rFonts w:hint="eastAsia" w:ascii="仿宋_GB2312" w:hAnsi="仿宋_GB2312"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9"/>
      <w:bookmarkEnd w:id="50"/>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2"/>
      <w:r>
        <w:rPr>
          <w:rFonts w:hint="eastAsia" w:ascii="Times New Roman" w:hAnsi="Times New Roman" w:eastAsia="楷体_GB2312" w:cs="楷体_GB2312"/>
          <w:b/>
          <w:color w:val="auto"/>
          <w:sz w:val="32"/>
          <w:szCs w:val="32"/>
          <w:highlight w:val="none"/>
        </w:rPr>
        <w:t>（一）机关运行经费支出情况</w:t>
      </w:r>
      <w:bookmarkEnd w:id="51"/>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阿坝藏族羌族自治州茂县生态环境局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43.38</w:t>
      </w:r>
      <w:r>
        <w:rPr>
          <w:rFonts w:hint="eastAsia" w:ascii="仿宋_GB2312" w:hAnsi="仿宋_GB2312" w:eastAsia="仿宋_GB2312" w:cs="仿宋_GB2312"/>
          <w:color w:val="auto"/>
          <w:kern w:val="2"/>
          <w:sz w:val="32"/>
          <w:szCs w:val="32"/>
          <w:highlight w:val="none"/>
          <w:lang w:val="en-US" w:eastAsia="zh-CN" w:bidi="ar-SA"/>
        </w:rPr>
        <w:t>万元，比2023年度减少1.14万元，下降2.56%。主要原因是2024年预算减少。</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2" w:name="_Toc15377223"/>
      <w:r>
        <w:rPr>
          <w:rFonts w:hint="eastAsia" w:ascii="Times New Roman" w:hAnsi="Times New Roman" w:eastAsia="楷体_GB2312" w:cs="楷体_GB2312"/>
          <w:b/>
          <w:color w:val="auto"/>
          <w:sz w:val="32"/>
          <w:szCs w:val="32"/>
          <w:highlight w:val="none"/>
        </w:rPr>
        <w:t>（二）政府采购支出情况</w:t>
      </w:r>
      <w:bookmarkEnd w:id="52"/>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阿坝藏族羌族自治州茂县生态环境局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3" w:name="_Toc15377224"/>
      <w:r>
        <w:rPr>
          <w:rFonts w:hint="eastAsia" w:ascii="Times New Roman" w:hAnsi="Times New Roman" w:eastAsia="楷体_GB2312" w:cs="楷体_GB2312"/>
          <w:b/>
          <w:color w:val="auto"/>
          <w:sz w:val="32"/>
          <w:szCs w:val="32"/>
          <w:highlight w:val="none"/>
        </w:rPr>
        <w:t>（三）国有资产占有使用情况</w:t>
      </w:r>
      <w:bookmarkEnd w:id="5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阿坝藏族羌族自治州茂县生态环境局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5</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5</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年部门整体支出绩效评价情况开展自评，《茂县生态环境局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年部门整体支出绩效评价报告》见附件</w:t>
      </w:r>
      <w:r>
        <w:rPr>
          <w:rFonts w:hint="eastAsia" w:ascii="仿宋_GB2312" w:eastAsia="仿宋_GB2312" w:cs="仿宋_GB2312"/>
          <w:sz w:val="32"/>
          <w:szCs w:val="32"/>
        </w:rPr>
        <w:t>（附件</w:t>
      </w:r>
      <w:r>
        <w:rPr>
          <w:rFonts w:ascii="仿宋_GB2312" w:eastAsia="仿宋_GB2312" w:cs="仿宋_GB2312"/>
          <w:sz w:val="32"/>
          <w:szCs w:val="32"/>
        </w:rPr>
        <w:t>1</w:t>
      </w:r>
      <w:r>
        <w:rPr>
          <w:rFonts w:hint="eastAsia" w:ascii="仿宋_GB2312" w:eastAsia="仿宋_GB2312" w:cs="仿宋_GB2312"/>
          <w:sz w:val="32"/>
          <w:szCs w:val="32"/>
        </w:rPr>
        <w:t>）</w:t>
      </w:r>
      <w:r>
        <w:rPr>
          <w:rFonts w:hint="eastAsia" w:ascii="仿宋_GB2312" w:hAnsi="仿宋_GB2312" w:eastAsia="仿宋_GB2312" w:cs="仿宋_GB2312"/>
          <w:sz w:val="32"/>
          <w:szCs w:val="32"/>
        </w:rPr>
        <w:t>。</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组织对2024年度一般公共预算绩效自评，形成阿坝州茂县生态环境局部门整体绩效自评报告。绩效自评报告详见附件。</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4" w:name="_Toc15377225"/>
      <w:bookmarkStart w:id="55" w:name="_Toc15396613"/>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4"/>
      <w:bookmarkEnd w:id="55"/>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4.其他收入：指单位取得的除上述收入以外的各项收入。主要是</w:t>
      </w:r>
      <w:r>
        <w:rPr>
          <w:rFonts w:hint="eastAsia" w:eastAsia="仿宋_GB2312" w:cs="仿宋_GB2312"/>
          <w:color w:val="auto"/>
          <w:kern w:val="2"/>
          <w:sz w:val="32"/>
          <w:szCs w:val="32"/>
          <w:highlight w:val="none"/>
          <w:lang w:val="en-US" w:eastAsia="zh-CN" w:bidi="ar-SA"/>
        </w:rPr>
        <w:t>非本级财政拨款收入</w:t>
      </w:r>
      <w:r>
        <w:rPr>
          <w:rFonts w:hint="eastAsia" w:ascii="Times New Roman" w:hAnsi="Times New Roman" w:eastAsia="仿宋_GB2312" w:cs="仿宋_GB2312"/>
          <w:color w:val="auto"/>
          <w:kern w:val="2"/>
          <w:sz w:val="32"/>
          <w:szCs w:val="32"/>
          <w:highlight w:val="none"/>
          <w:lang w:val="en-US" w:eastAsia="zh-CN" w:bidi="ar-SA"/>
        </w:rPr>
        <w:t xml:space="preserve">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9.</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环境保护管理事务（款）行政运行（项）：指反映行政单位（包括实行公务员管理的事业单位）的基本支出。</w:t>
      </w:r>
    </w:p>
    <w:p>
      <w:pPr>
        <w:spacing w:line="576" w:lineRule="exact"/>
        <w:ind w:firstLine="640" w:firstLineChars="20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color w:val="000000"/>
          <w:sz w:val="32"/>
          <w:szCs w:val="32"/>
          <w:lang w:val="en-US" w:eastAsia="zh-CN"/>
        </w:rPr>
        <w:t>10</w:t>
      </w:r>
      <w:r>
        <w:rPr>
          <w:rFonts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环境保护管理事务</w:t>
      </w:r>
      <w:r>
        <w:rPr>
          <w:rFonts w:hint="eastAsia" w:ascii="仿宋_GB2312" w:hAnsi="仿宋_GB2312" w:eastAsia="仿宋_GB2312" w:cs="仿宋_GB2312"/>
          <w:bCs/>
          <w:color w:val="000000"/>
          <w:sz w:val="32"/>
          <w:szCs w:val="32"/>
        </w:rPr>
        <w:t>（款）</w:t>
      </w:r>
      <w:r>
        <w:rPr>
          <w:rFonts w:hint="eastAsia" w:ascii="仿宋_GB2312" w:hAnsi="仿宋_GB2312" w:eastAsia="仿宋_GB2312" w:cs="仿宋_GB2312"/>
          <w:bCs/>
          <w:color w:val="000000"/>
          <w:sz w:val="32"/>
          <w:szCs w:val="32"/>
          <w:lang w:eastAsia="zh-CN"/>
        </w:rPr>
        <w:t>生态环境保护宣传</w:t>
      </w:r>
      <w:r>
        <w:rPr>
          <w:rFonts w:hint="eastAsia" w:ascii="仿宋_GB2312" w:hAnsi="仿宋_GB2312" w:eastAsia="仿宋_GB2312" w:cs="仿宋_GB2312"/>
          <w:bCs/>
          <w:color w:val="000000"/>
          <w:sz w:val="32"/>
          <w:szCs w:val="32"/>
        </w:rPr>
        <w:t>（项）：指反映</w:t>
      </w:r>
      <w:r>
        <w:rPr>
          <w:rFonts w:hint="eastAsia" w:ascii="仿宋_GB2312" w:hAnsi="仿宋_GB2312" w:eastAsia="仿宋_GB2312" w:cs="仿宋_GB2312"/>
          <w:bCs/>
          <w:color w:val="000000"/>
          <w:sz w:val="32"/>
          <w:szCs w:val="32"/>
          <w:lang w:eastAsia="zh-CN"/>
        </w:rPr>
        <w:t>生态环境部门环境保护宣传教育方面的支出。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1</w:t>
      </w:r>
      <w:r>
        <w:rPr>
          <w:rFonts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环境保护管理事务（款）其他环境保护管理事务支出（项）：指反映除上述项目以外其他用于环境保护管理事务方面的支出。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lang w:val="en-US" w:eastAsia="zh-CN"/>
        </w:rPr>
        <w:t>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污染防治（款）大气（项）：指反映政府在治理空气污染、汽车尾气、酸雨、二氧化硫、沙尘暴等方面的支出。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lang w:val="en-US" w:eastAsia="zh-CN"/>
        </w:rPr>
        <w:t>3</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污染防治（款）水体（项）：指反映政府在排水、污水处理、水污染防治、湖库生态环境保护、水源地保护、国土江河综合整治、河流治理与保护、地下水修复与保护等方面的支出。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14.</w:t>
      </w:r>
      <w:r>
        <w:rPr>
          <w:rFonts w:hint="eastAsia" w:ascii="仿宋_GB2312" w:hAnsi="仿宋_GB2312" w:eastAsia="仿宋_GB2312" w:cs="仿宋_GB2312"/>
          <w:bCs/>
          <w:color w:val="000000"/>
          <w:sz w:val="32"/>
          <w:szCs w:val="32"/>
        </w:rPr>
        <w:t>节能环保支出（类）</w:t>
      </w:r>
      <w:r>
        <w:rPr>
          <w:rFonts w:hint="eastAsia" w:ascii="仿宋_GB2312" w:hAnsi="仿宋_GB2312" w:eastAsia="仿宋_GB2312" w:cs="仿宋_GB2312"/>
          <w:color w:val="000000"/>
          <w:sz w:val="32"/>
          <w:szCs w:val="32"/>
        </w:rPr>
        <w:t>自然生态保护（款）农村环境保护（项）：指反映用于农村环境保护方面的支出。有关事项包括：农村环境综合整治，如生活垃圾、污水处理，农村饮用水源地监测与保护等；小城镇环境保护，如小城镇环境保护能力建设及环境基础设施建设，环境优美乡镇及生态村创建等；农用化学品（化肥、农药、农膜等）污染防治、畜禽养殖污染防治、土壤污染防治；农产品产地环境监测与监管，有机食品基地建设与管理，秸秆等农业废弃物综合利用；农村环境保护能力建设、宣教、试点示范等。</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5</w:t>
      </w:r>
      <w:r>
        <w:rPr>
          <w:rFonts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rPr>
        <w:t>节能环保支出（类）其他节能环保支出（款）其他节能环保支出（项）：指反映除上述项目以外其他用于节能环保方面的支出。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lang w:val="en-US" w:eastAsia="zh-CN"/>
        </w:rPr>
        <w:t>6</w:t>
      </w:r>
      <w:r>
        <w:rPr>
          <w:rFonts w:ascii="仿宋_GB2312" w:hAnsi="仿宋_GB2312" w:eastAsia="仿宋_GB2312" w:cs="仿宋_GB2312"/>
          <w:bCs/>
          <w:color w:val="000000"/>
          <w:sz w:val="32"/>
          <w:szCs w:val="32"/>
        </w:rPr>
        <w:t>.</w:t>
      </w:r>
      <w:r>
        <w:rPr>
          <w:rFonts w:hint="eastAsia" w:ascii="仿宋_GB2312" w:hAnsi="仿宋_GB2312" w:eastAsia="仿宋_GB2312" w:cs="仿宋_GB2312"/>
          <w:bCs/>
          <w:sz w:val="32"/>
          <w:szCs w:val="32"/>
        </w:rPr>
        <w:t>卫生健康支出</w:t>
      </w:r>
      <w:r>
        <w:rPr>
          <w:rFonts w:hint="eastAsia" w:ascii="仿宋_GB2312" w:hAnsi="仿宋_GB2312" w:eastAsia="仿宋_GB2312" w:cs="仿宋_GB2312"/>
          <w:bCs/>
          <w:color w:val="000000"/>
          <w:sz w:val="32"/>
          <w:szCs w:val="32"/>
        </w:rPr>
        <w:t>（类）</w:t>
      </w:r>
      <w:r>
        <w:rPr>
          <w:rFonts w:hint="eastAsia" w:ascii="仿宋_GB2312" w:hAnsi="仿宋_GB2312" w:eastAsia="仿宋_GB2312" w:cs="仿宋_GB2312"/>
          <w:color w:val="000000"/>
          <w:sz w:val="32"/>
          <w:szCs w:val="32"/>
        </w:rPr>
        <w:t>行政事业单位医疗（款）行政单位医疗（项）：指反映财政部门集中安排的行政单位基本医疗保险缴费经费，未参加医疗保险的行政单位的公费医疗经费，按国家规定享受离休人员、红军老战士待遇人员的医疗经费。</w:t>
      </w:r>
    </w:p>
    <w:p>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lang w:val="en-US" w:eastAsia="zh-CN"/>
        </w:rPr>
        <w:t>7</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卫生健康支出（类）</w:t>
      </w:r>
      <w:r>
        <w:rPr>
          <w:rFonts w:hint="eastAsia" w:ascii="仿宋_GB2312" w:hAnsi="仿宋_GB2312" w:eastAsia="仿宋_GB2312" w:cs="仿宋_GB2312"/>
          <w:sz w:val="32"/>
          <w:szCs w:val="32"/>
        </w:rPr>
        <w:t>行政事业单位医疗（款）事业单位医疗（项）：</w:t>
      </w:r>
      <w:r>
        <w:rPr>
          <w:rFonts w:hint="eastAsia" w:ascii="仿宋_GB2312" w:hAnsi="仿宋_GB2312" w:eastAsia="仿宋_GB2312" w:cs="仿宋_GB2312"/>
          <w:color w:val="000000"/>
          <w:sz w:val="32"/>
          <w:szCs w:val="32"/>
        </w:rPr>
        <w:t>指反映财政部门集中安排的事业单位基本医疗保险缴费经费，未参加医疗保险的事业单位的公费医疗经费，按国家规定享受离休人员待遇的医疗经费。</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lang w:val="en-US" w:eastAsia="zh-CN"/>
        </w:rPr>
        <w:t>8</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社会保障和就业支出（类）</w:t>
      </w:r>
      <w:r>
        <w:rPr>
          <w:rFonts w:hint="eastAsia" w:ascii="仿宋_GB2312" w:hAnsi="仿宋_GB2312" w:eastAsia="仿宋_GB2312" w:cs="仿宋_GB2312"/>
          <w:color w:val="000000"/>
          <w:sz w:val="32"/>
          <w:szCs w:val="32"/>
        </w:rPr>
        <w:t>行政事业单位离退休（款）</w:t>
      </w:r>
    </w:p>
    <w:p>
      <w:pPr>
        <w:spacing w:line="576"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lang w:val="en-US" w:eastAsia="zh-CN"/>
        </w:rPr>
        <w:t>19</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社会保障和就业支出（类）</w:t>
      </w:r>
      <w:r>
        <w:rPr>
          <w:rFonts w:hint="eastAsia" w:ascii="仿宋_GB2312" w:hAnsi="仿宋_GB2312" w:eastAsia="仿宋_GB2312" w:cs="仿宋_GB2312"/>
          <w:color w:val="000000"/>
          <w:sz w:val="32"/>
          <w:szCs w:val="32"/>
        </w:rPr>
        <w:t>行政事业单位离退休（款）机关事业单位职业年金缴费支出（项）：指反映机关事业单位实施养老保险制度由单位实际缴纳的职业年金支出。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0</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住房保障支出（类）</w:t>
      </w:r>
      <w:r>
        <w:rPr>
          <w:rFonts w:hint="eastAsia" w:ascii="仿宋_GB2312" w:hAnsi="仿宋_GB2312" w:eastAsia="仿宋_GB2312" w:cs="仿宋_GB2312"/>
          <w:color w:val="000000"/>
          <w:sz w:val="32"/>
          <w:szCs w:val="32"/>
        </w:rPr>
        <w:t>住房改革（款）住房公积金（项）：指反映行政事业单位按人力资源和社会保障部、财政部规定的基本工资和津贴以及规定比例这职工缴纳的住房公积金</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1</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结余分配：</w:t>
      </w:r>
      <w:r>
        <w:rPr>
          <w:rFonts w:hint="eastAsia" w:ascii="仿宋_GB2312" w:hAnsi="仿宋_GB2312" w:eastAsia="仿宋_GB2312" w:cs="仿宋_GB2312"/>
          <w:color w:val="000000"/>
          <w:sz w:val="32"/>
          <w:szCs w:val="32"/>
        </w:rPr>
        <w:t>指事业单位按规定提取的职工福利基金、事业基金和缴纳的所得税，以及建设单位按规定应交回的基本建设竣工项目结余资金。</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年末结转和结余：</w:t>
      </w:r>
      <w:r>
        <w:rPr>
          <w:rFonts w:hint="eastAsia" w:ascii="仿宋_GB2312" w:hAnsi="仿宋_GB2312" w:eastAsia="仿宋_GB2312" w:cs="仿宋_GB2312"/>
          <w:color w:val="000000"/>
          <w:sz w:val="32"/>
          <w:szCs w:val="32"/>
        </w:rPr>
        <w:t>指本年度或以前年度预算安排、因客观条件发生变化无法按原计划实施，需延迟到以后年度按有关规定继续使用的资金。</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3</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基本支出：</w:t>
      </w:r>
      <w:r>
        <w:rPr>
          <w:rFonts w:hint="eastAsia" w:ascii="仿宋_GB2312" w:hAnsi="仿宋_GB2312" w:eastAsia="仿宋_GB2312" w:cs="仿宋_GB2312"/>
          <w:color w:val="000000"/>
          <w:sz w:val="32"/>
          <w:szCs w:val="32"/>
        </w:rPr>
        <w:t>指为保障机构正常运转、完成日常工作任务而发生的人员支出和公用支出。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4</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项目支出：</w:t>
      </w:r>
      <w:r>
        <w:rPr>
          <w:rFonts w:hint="eastAsia" w:ascii="仿宋_GB2312" w:hAnsi="仿宋_GB2312" w:eastAsia="仿宋_GB2312" w:cs="仿宋_GB2312"/>
          <w:color w:val="000000"/>
          <w:sz w:val="32"/>
          <w:szCs w:val="32"/>
        </w:rPr>
        <w:t>指在基本支出之外为完成特定行政任务和事业发展目标所发生的支出。</w:t>
      </w:r>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en-US" w:eastAsia="zh-CN"/>
        </w:rPr>
        <w:t>5</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rPr>
        <w:t>经营支出：</w:t>
      </w:r>
      <w:r>
        <w:rPr>
          <w:rFonts w:hint="eastAsia" w:ascii="仿宋_GB2312" w:hAnsi="仿宋_GB2312" w:eastAsia="仿宋_GB2312" w:cs="仿宋_GB2312"/>
          <w:color w:val="000000"/>
          <w:sz w:val="32"/>
          <w:szCs w:val="32"/>
        </w:rPr>
        <w:t>指事业单位在专业业务活动及其辅助活动之外开展非独立核算经营活动发生的支出。</w:t>
      </w:r>
    </w:p>
    <w:p>
      <w:pPr>
        <w:pStyle w:val="27"/>
        <w:spacing w:line="576"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6</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“三公”经费：</w:t>
      </w:r>
      <w:r>
        <w:rPr>
          <w:rFonts w:hint="eastAsia" w:ascii="仿宋_GB2312" w:hAnsi="仿宋_GB2312" w:eastAsia="仿宋_GB2312" w:cs="仿宋_GB2312"/>
          <w:sz w:val="32"/>
          <w:szCs w:val="32"/>
        </w:rPr>
        <w:t>纳入财政预决算管理的“三公”经费，是指部门用财政拨款安排的因公出国（境）费、公务用车购置及运行费和公务接待费。其中，公务用车购置及运行费反映单位公务用车车辆购置支出（含车辆购置税）及租用费、燃料费、维修费、过路过桥费、保险费、安全奖励费用等支出；公务接待费反映单位按规定开支的各类公务接待支出。</w:t>
      </w:r>
    </w:p>
    <w:p>
      <w:pPr>
        <w:pStyle w:val="27"/>
        <w:spacing w:line="576"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7</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机关运行经费：</w:t>
      </w:r>
      <w:r>
        <w:rPr>
          <w:rFonts w:hint="eastAsia" w:ascii="仿宋_GB2312" w:hAnsi="仿宋_GB2312" w:eastAsia="仿宋_GB2312" w:cs="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9"/>
          <w:rFonts w:hint="eastAsia" w:ascii="Times New Roman" w:hAnsi="Times New Roman" w:eastAsia="黑体"/>
          <w:b w:val="0"/>
          <w:color w:val="auto"/>
          <w:highlight w:val="none"/>
          <w:lang w:eastAsia="zh-CN"/>
        </w:rPr>
      </w:pPr>
      <w:bookmarkStart w:id="56"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7"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7"/>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kinsoku/>
        <w:wordWrap/>
        <w:overflowPunct/>
        <w:topLinePunct w:val="0"/>
        <w:autoSpaceDE/>
        <w:autoSpaceDN/>
        <w:bidi w:val="0"/>
        <w:spacing w:line="520" w:lineRule="exact"/>
        <w:jc w:val="center"/>
        <w:textAlignment w:val="auto"/>
        <w:outlineLvl w:val="0"/>
        <w:rPr>
          <w:rFonts w:hint="eastAsia" w:ascii="方正小标宋简体" w:hAnsi="方正小标宋简体" w:eastAsia="方正小标宋简体" w:cs="方正小标宋简体"/>
          <w:b w:val="0"/>
          <w:bCs/>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rPr>
        <w:t>阿坝州茂县生态环境局</w:t>
      </w:r>
    </w:p>
    <w:p>
      <w:pPr>
        <w:keepNext w:val="0"/>
        <w:keepLines w:val="0"/>
        <w:pageBreakBefore w:val="0"/>
        <w:kinsoku/>
        <w:wordWrap/>
        <w:overflowPunct/>
        <w:topLinePunct w:val="0"/>
        <w:autoSpaceDE/>
        <w:autoSpaceDN/>
        <w:bidi w:val="0"/>
        <w:spacing w:line="520" w:lineRule="exact"/>
        <w:jc w:val="center"/>
        <w:textAlignment w:val="auto"/>
        <w:outlineLvl w:val="0"/>
        <w:rPr>
          <w:rFonts w:hint="eastAsia" w:ascii="方正小标宋简体" w:hAnsi="方正小标宋简体" w:eastAsia="方正小标宋简体" w:cs="方正小标宋简体"/>
          <w:b w:val="0"/>
          <w:bCs/>
          <w:kern w:val="0"/>
          <w:sz w:val="44"/>
          <w:szCs w:val="44"/>
          <w:shd w:val="clear" w:color="auto" w:fill="FFFFFF"/>
        </w:rPr>
      </w:pPr>
      <w:r>
        <w:rPr>
          <w:rFonts w:hint="eastAsia" w:ascii="方正小标宋简体" w:hAnsi="方正小标宋简体" w:eastAsia="方正小标宋简体" w:cs="方正小标宋简体"/>
          <w:b w:val="0"/>
          <w:bCs/>
          <w:sz w:val="44"/>
          <w:szCs w:val="44"/>
          <w:shd w:val="clear" w:color="auto" w:fill="FFFFFF"/>
        </w:rPr>
        <w:t>202</w:t>
      </w:r>
      <w:r>
        <w:rPr>
          <w:rFonts w:hint="eastAsia" w:ascii="方正小标宋简体" w:hAnsi="方正小标宋简体" w:eastAsia="方正小标宋简体" w:cs="方正小标宋简体"/>
          <w:b w:val="0"/>
          <w:bCs/>
          <w:sz w:val="44"/>
          <w:szCs w:val="44"/>
          <w:shd w:val="clear" w:color="auto" w:fill="FFFFFF"/>
          <w:lang w:val="en-US" w:eastAsia="zh-CN"/>
        </w:rPr>
        <w:t>4</w:t>
      </w:r>
      <w:r>
        <w:rPr>
          <w:rFonts w:hint="eastAsia" w:ascii="方正小标宋简体" w:hAnsi="方正小标宋简体" w:eastAsia="方正小标宋简体" w:cs="方正小标宋简体"/>
          <w:b w:val="0"/>
          <w:bCs/>
          <w:sz w:val="44"/>
          <w:szCs w:val="44"/>
          <w:shd w:val="clear" w:color="auto" w:fill="FFFFFF"/>
        </w:rPr>
        <w:t>年</w:t>
      </w:r>
      <w:r>
        <w:rPr>
          <w:rFonts w:hint="eastAsia" w:ascii="方正小标宋简体" w:hAnsi="方正小标宋简体" w:eastAsia="方正小标宋简体" w:cs="方正小标宋简体"/>
          <w:b w:val="0"/>
          <w:bCs/>
          <w:sz w:val="44"/>
          <w:szCs w:val="44"/>
          <w:shd w:val="clear" w:color="auto" w:fill="FFFFFF"/>
          <w:lang w:eastAsia="zh-CN"/>
        </w:rPr>
        <w:t>部门预算</w:t>
      </w:r>
      <w:r>
        <w:rPr>
          <w:rFonts w:hint="eastAsia" w:ascii="方正小标宋简体" w:hAnsi="方正小标宋简体" w:eastAsia="方正小标宋简体" w:cs="方正小标宋简体"/>
          <w:b w:val="0"/>
          <w:bCs/>
          <w:sz w:val="44"/>
          <w:szCs w:val="44"/>
          <w:shd w:val="clear" w:color="auto" w:fill="FFFFFF"/>
        </w:rPr>
        <w:t>绩效</w:t>
      </w:r>
      <w:r>
        <w:rPr>
          <w:rFonts w:hint="eastAsia" w:ascii="方正小标宋简体" w:hAnsi="方正小标宋简体" w:eastAsia="方正小标宋简体" w:cs="方正小标宋简体"/>
          <w:b w:val="0"/>
          <w:bCs/>
          <w:sz w:val="44"/>
          <w:szCs w:val="44"/>
          <w:shd w:val="clear" w:color="auto" w:fill="FFFFFF"/>
          <w:lang w:eastAsia="zh-CN"/>
        </w:rPr>
        <w:t>自</w:t>
      </w:r>
      <w:r>
        <w:rPr>
          <w:rFonts w:hint="eastAsia" w:ascii="方正小标宋简体" w:hAnsi="方正小标宋简体" w:eastAsia="方正小标宋简体" w:cs="方正小标宋简体"/>
          <w:b w:val="0"/>
          <w:bCs/>
          <w:sz w:val="44"/>
          <w:szCs w:val="44"/>
          <w:shd w:val="clear" w:color="auto" w:fill="FFFFFF"/>
        </w:rPr>
        <w:t>评报告</w:t>
      </w:r>
    </w:p>
    <w:p>
      <w:pPr>
        <w:keepNext w:val="0"/>
        <w:keepLines w:val="0"/>
        <w:pageBreakBefore w:val="0"/>
        <w:kinsoku/>
        <w:wordWrap/>
        <w:overflowPunct/>
        <w:topLinePunct w:val="0"/>
        <w:autoSpaceDE/>
        <w:autoSpaceDN/>
        <w:bidi w:val="0"/>
        <w:adjustRightInd w:val="0"/>
        <w:snapToGrid w:val="0"/>
        <w:spacing w:line="520" w:lineRule="exact"/>
        <w:jc w:val="left"/>
        <w:textAlignment w:val="auto"/>
        <w:outlineLvl w:val="0"/>
        <w:rPr>
          <w:rFonts w:ascii="黑体" w:hAnsi="宋体" w:eastAsia="黑体" w:cs="宋体"/>
          <w:kern w:val="0"/>
          <w:szCs w:val="32"/>
          <w:shd w:val="clear" w:color="auto" w:fill="FFFFFF"/>
        </w:rPr>
      </w:pPr>
      <w:r>
        <w:rPr>
          <w:rFonts w:hint="eastAsia" w:ascii="黑体" w:hAnsi="宋体" w:eastAsia="黑体" w:cs="宋体"/>
          <w:kern w:val="0"/>
          <w:szCs w:val="32"/>
          <w:shd w:val="clear" w:color="auto" w:fill="FFFFFF"/>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黑体" w:hAnsi="黑体" w:eastAsia="黑体" w:cs="黑体"/>
          <w:sz w:val="32"/>
          <w:szCs w:val="32"/>
          <w:lang w:val="zh-CN"/>
        </w:rPr>
      </w:pPr>
      <w:r>
        <w:rPr>
          <w:rFonts w:hint="eastAsia" w:ascii="黑体" w:hAnsi="黑体" w:eastAsia="黑体" w:cs="黑体"/>
          <w:sz w:val="32"/>
          <w:szCs w:val="32"/>
        </w:rPr>
        <w:t xml:space="preserve"> 一、</w:t>
      </w:r>
      <w:r>
        <w:rPr>
          <w:rFonts w:hint="eastAsia" w:ascii="黑体" w:hAnsi="黑体" w:eastAsia="黑体" w:cs="黑体"/>
          <w:sz w:val="32"/>
          <w:szCs w:val="32"/>
          <w:lang w:val="zh-CN"/>
        </w:rPr>
        <w:t>部门（单位）概况</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（一）机构组成</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茂县生态环境局属阿坝州生态环境局派出正科级行政单位，内设生态环境保护中心、生态环境保护综合行政执法大队、环境监测站等股室。</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（二）机构职能</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执行国家、省、州环境保护的方针、政策和法律、法规及有关规定；受县政府委托对本县重大经济和技术政策、发展规划以及重大经济开发计划发展环境影响评价；组织拟定和监督实施本县重点区域、重点流域污染防治规划和生态保护规划；贯彻执行国家、省、州颁布的大气、水体、土壤、噪声、辐射、固体废物、有毒化学品以及机动车等污染防治的法律、规章及有关规定，并实施监督检查；监督对生态环境有影响的自然资源开发利用活动，重要生态环境建设和生态破坏恢复工作；监督检查各种类型自然保护区以及风景名胜区、森林公园的环境保护工作；监督检查生物多样性保护、野生动植物保护、湿地环境保护、土地荒漠化防治工作；向县政府提出新建各类国家级、省级、州级自然保护区、县级自然保护区的审查建议；监督管理政府授权的综合类型的自然保护区；指导、协调县内各部门以及跨地区、跨流域的重大环境问题；处理重大环境污染事故和生态破坏事件；归口管理全县环境保护执法检查活动；监督执行国家、省颁布的各类环境质量标准和污染物排放标准；审核城镇总体规划中的环境保护内容；组织编报全县环境质量报告书；发布全县环境状况公报；定期发布重要城（镇）和流域环境质量状况公告；参与编制全州可持续发展纲要；制定和组织实施各项环境管理制度，按规定审定县和州委托的开发建设活动及各种规划环境影响报告书（表）；参与环境保护基础设施建设的管理，指导全县城乡环境综合整治，负责全县农村生态环境保护工作，指导全县生态示范区建设和生态农业建设；组织实施全县环境保护科技发展、科学研究和技术示范工程，负责县内环境管理体系和环境标志认证管理工作，建设和组织实施环境保护资质认可制度，指导、推动环境保护产业的发展；负责全县环境监测、统计、信息工作，制定全县环境监测制度和管理规范，建设和管理全县环境信息网，组织全县环境监测和污染源监测性监督；负责全县环境保护交流与合作，受县政府委托处理涉外环境保护事务；负责全县核安全、辐射环境、放射性废物管理工作，贯彻执行国家、省有关方针、政策、法律、法规和标准，参与核事故、辐射环境工作应急工作，对全县核设施安全和电磁辐射、核技术应用、放射性矿产资源开发利用中的污染防治工作实施监督管理；指导和协调全县环境保护宣传教育工作，推动公众和民间组织参与环境保护工作，普及环境科学和环境法律知识，协同有关部门在中、小学和成人教育培训中开展环境教育和社会环境宣传教育工作。</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（三）人员概况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阿坝州茂县生态环境局总编制1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名，其中：行政编制3名，参照公务员法管理的事业编制</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val="en-US" w:eastAsia="zh-CN"/>
        </w:rPr>
        <w:t>2024年年末</w:t>
      </w:r>
      <w:r>
        <w:rPr>
          <w:rFonts w:hint="eastAsia" w:ascii="仿宋_GB2312" w:hAnsi="仿宋_GB2312" w:eastAsia="仿宋_GB2312" w:cs="仿宋_GB2312"/>
          <w:sz w:val="32"/>
          <w:szCs w:val="32"/>
        </w:rPr>
        <w:t>在职人员1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人，其中：行政人员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人，参照公务员法管理的事业人员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人，工勤人员2人。</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黑体" w:hAnsi="黑体" w:eastAsia="黑体" w:cs="黑体"/>
          <w:color w:val="auto"/>
          <w:sz w:val="32"/>
          <w:szCs w:val="32"/>
        </w:rPr>
      </w:pPr>
      <w:r>
        <w:rPr>
          <w:rFonts w:hint="eastAsia" w:ascii="黑体" w:hAnsi="黑体" w:eastAsia="黑体" w:cs="黑体"/>
          <w:color w:val="auto"/>
          <w:sz w:val="32"/>
          <w:szCs w:val="32"/>
        </w:rPr>
        <w:t>二、部门财政资金收支情况</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zh-CN"/>
        </w:rPr>
        <w:t>（一）部门财政资金收入情况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阿坝州茂县生态环境局202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年初预算</w:t>
      </w:r>
      <w:r>
        <w:rPr>
          <w:rFonts w:hint="eastAsia" w:ascii="仿宋_GB2312" w:hAnsi="仿宋_GB2312" w:eastAsia="仿宋_GB2312" w:cs="仿宋_GB2312"/>
          <w:color w:val="auto"/>
          <w:sz w:val="32"/>
          <w:szCs w:val="32"/>
        </w:rPr>
        <w:t>收入</w:t>
      </w:r>
      <w:r>
        <w:rPr>
          <w:rFonts w:hint="eastAsia" w:ascii="仿宋_GB2312" w:eastAsia="仿宋_GB2312"/>
          <w:color w:val="auto"/>
          <w:sz w:val="32"/>
          <w:szCs w:val="32"/>
          <w:lang w:val="en-US" w:eastAsia="zh-CN"/>
        </w:rPr>
        <w:t>222.91</w:t>
      </w:r>
      <w:r>
        <w:rPr>
          <w:rFonts w:hint="eastAsia" w:ascii="仿宋_GB2312" w:hAnsi="仿宋_GB2312" w:eastAsia="仿宋_GB2312" w:cs="仿宋_GB2312"/>
          <w:color w:val="auto"/>
          <w:sz w:val="32"/>
          <w:szCs w:val="32"/>
        </w:rPr>
        <w:t>万元，其中：上年结转0万元，占0%；一般公共预算拨款收入</w:t>
      </w:r>
      <w:r>
        <w:rPr>
          <w:rFonts w:hint="eastAsia" w:ascii="仿宋_GB2312" w:eastAsia="仿宋_GB2312"/>
          <w:color w:val="auto"/>
          <w:sz w:val="32"/>
          <w:szCs w:val="32"/>
          <w:lang w:val="en-US" w:eastAsia="zh-CN"/>
        </w:rPr>
        <w:t>222.91</w:t>
      </w:r>
      <w:r>
        <w:rPr>
          <w:rFonts w:hint="eastAsia" w:ascii="仿宋_GB2312" w:hAnsi="仿宋_GB2312" w:eastAsia="仿宋_GB2312" w:cs="仿宋_GB2312"/>
          <w:color w:val="auto"/>
          <w:sz w:val="32"/>
          <w:szCs w:val="32"/>
        </w:rPr>
        <w:t>万元，占100%；事业收入0万元，占0%；其他收入0万元，占0%。202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决算</w:t>
      </w:r>
      <w:r>
        <w:rPr>
          <w:rFonts w:hint="eastAsia" w:ascii="仿宋_GB2312" w:hAnsi="仿宋_GB2312" w:eastAsia="仿宋_GB2312" w:cs="仿宋_GB2312"/>
          <w:color w:val="auto"/>
          <w:sz w:val="32"/>
          <w:szCs w:val="32"/>
        </w:rPr>
        <w:t>收入</w:t>
      </w:r>
      <w:r>
        <w:rPr>
          <w:rFonts w:hint="eastAsia" w:ascii="仿宋_GB2312" w:eastAsia="仿宋_GB2312"/>
          <w:color w:val="auto"/>
          <w:sz w:val="32"/>
          <w:szCs w:val="32"/>
          <w:lang w:val="en-US" w:eastAsia="zh-CN"/>
        </w:rPr>
        <w:t>1168.16</w:t>
      </w:r>
      <w:r>
        <w:rPr>
          <w:rFonts w:hint="eastAsia" w:ascii="仿宋_GB2312" w:hAnsi="仿宋_GB2312" w:eastAsia="仿宋_GB2312" w:cs="仿宋_GB2312"/>
          <w:color w:val="auto"/>
          <w:sz w:val="32"/>
          <w:szCs w:val="32"/>
        </w:rPr>
        <w:t>万元，其中：上年结转0万元，占0%；一般公共预算拨款收入</w:t>
      </w:r>
      <w:r>
        <w:rPr>
          <w:rFonts w:hint="eastAsia" w:ascii="仿宋_GB2312" w:eastAsia="仿宋_GB2312"/>
          <w:color w:val="auto"/>
          <w:sz w:val="32"/>
          <w:szCs w:val="32"/>
          <w:lang w:val="en-US" w:eastAsia="zh-CN"/>
        </w:rPr>
        <w:t>446.56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38.23</w:t>
      </w:r>
      <w:r>
        <w:rPr>
          <w:rFonts w:hint="eastAsia" w:ascii="仿宋_GB2312" w:hAnsi="仿宋_GB2312" w:eastAsia="仿宋_GB2312" w:cs="仿宋_GB2312"/>
          <w:color w:val="auto"/>
          <w:sz w:val="32"/>
          <w:szCs w:val="32"/>
        </w:rPr>
        <w:t>%；事业收入0万元，占0%；其他收入</w:t>
      </w:r>
      <w:r>
        <w:rPr>
          <w:rFonts w:hint="eastAsia" w:ascii="仿宋_GB2312" w:hAnsi="仿宋_GB2312" w:eastAsia="仿宋_GB2312" w:cs="仿宋_GB2312"/>
          <w:color w:val="auto"/>
          <w:sz w:val="32"/>
          <w:szCs w:val="32"/>
          <w:lang w:val="en-US" w:eastAsia="zh-CN"/>
        </w:rPr>
        <w:t>721.6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（非本级财政拨款）</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61.77</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zh-CN"/>
        </w:rPr>
        <w:t>（二）部门财政资金支出情况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茂县生态环境局202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年初预算支出</w:t>
      </w:r>
      <w:r>
        <w:rPr>
          <w:rFonts w:hint="eastAsia" w:ascii="仿宋_GB2312" w:eastAsia="仿宋_GB2312"/>
          <w:color w:val="auto"/>
          <w:sz w:val="32"/>
          <w:szCs w:val="32"/>
          <w:lang w:val="en-US" w:eastAsia="zh-CN"/>
        </w:rPr>
        <w:t>222.91</w:t>
      </w:r>
      <w:r>
        <w:rPr>
          <w:rFonts w:hint="eastAsia" w:ascii="仿宋_GB2312" w:hAnsi="仿宋_GB2312" w:eastAsia="仿宋_GB2312" w:cs="仿宋_GB2312"/>
          <w:color w:val="auto"/>
          <w:sz w:val="32"/>
          <w:szCs w:val="32"/>
        </w:rPr>
        <w:t>万元，其中：社会保障和就业支出</w:t>
      </w:r>
      <w:r>
        <w:rPr>
          <w:rFonts w:hint="eastAsia" w:ascii="仿宋_GB2312" w:eastAsia="仿宋_GB2312"/>
          <w:color w:val="auto"/>
          <w:sz w:val="32"/>
          <w:szCs w:val="32"/>
          <w:lang w:val="en-US" w:eastAsia="zh-CN"/>
        </w:rPr>
        <w:t>29.56</w:t>
      </w:r>
      <w:r>
        <w:rPr>
          <w:rFonts w:hint="eastAsia" w:ascii="仿宋_GB2312" w:hAnsi="仿宋_GB2312" w:eastAsia="仿宋_GB2312" w:cs="仿宋_GB2312"/>
          <w:color w:val="auto"/>
          <w:sz w:val="32"/>
          <w:szCs w:val="32"/>
        </w:rPr>
        <w:t>万元；卫生健康支出</w:t>
      </w:r>
      <w:r>
        <w:rPr>
          <w:rFonts w:hint="eastAsia" w:ascii="仿宋_GB2312" w:eastAsia="仿宋_GB2312"/>
          <w:color w:val="auto"/>
          <w:sz w:val="32"/>
          <w:szCs w:val="32"/>
          <w:lang w:val="en-US" w:eastAsia="zh-CN"/>
        </w:rPr>
        <w:t>12.3</w:t>
      </w:r>
      <w:r>
        <w:rPr>
          <w:rFonts w:hint="eastAsia" w:ascii="仿宋_GB2312" w:hAnsi="仿宋_GB2312" w:eastAsia="仿宋_GB2312" w:cs="仿宋_GB2312"/>
          <w:color w:val="auto"/>
          <w:sz w:val="32"/>
          <w:szCs w:val="32"/>
        </w:rPr>
        <w:t>万元；节能环保支出</w:t>
      </w:r>
      <w:r>
        <w:rPr>
          <w:rFonts w:hint="eastAsia" w:ascii="仿宋_GB2312" w:eastAsia="仿宋_GB2312"/>
          <w:color w:val="auto"/>
          <w:sz w:val="32"/>
          <w:szCs w:val="32"/>
          <w:lang w:val="en-US" w:eastAsia="zh-CN"/>
        </w:rPr>
        <w:t>166.67</w:t>
      </w:r>
      <w:r>
        <w:rPr>
          <w:rFonts w:hint="eastAsia" w:ascii="仿宋_GB2312" w:hAnsi="仿宋_GB2312" w:eastAsia="仿宋_GB2312" w:cs="仿宋_GB2312"/>
          <w:color w:val="auto"/>
          <w:sz w:val="32"/>
          <w:szCs w:val="32"/>
        </w:rPr>
        <w:t>万元；住房保障支出</w:t>
      </w:r>
      <w:r>
        <w:rPr>
          <w:rFonts w:hint="eastAsia" w:ascii="仿宋_GB2312" w:eastAsia="仿宋_GB2312"/>
          <w:color w:val="auto"/>
          <w:sz w:val="32"/>
          <w:szCs w:val="32"/>
          <w:lang w:val="en-US" w:eastAsia="zh-CN"/>
        </w:rPr>
        <w:t>14.38</w:t>
      </w:r>
      <w:r>
        <w:rPr>
          <w:rFonts w:hint="eastAsia" w:ascii="仿宋_GB2312" w:hAnsi="仿宋_GB2312" w:eastAsia="仿宋_GB2312" w:cs="仿宋_GB2312"/>
          <w:color w:val="auto"/>
          <w:sz w:val="32"/>
          <w:szCs w:val="32"/>
        </w:rPr>
        <w:t>万元。202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年支出</w:t>
      </w:r>
      <w:r>
        <w:rPr>
          <w:rFonts w:hint="eastAsia" w:ascii="仿宋_GB2312" w:hAnsi="仿宋_GB2312" w:eastAsia="仿宋_GB2312" w:cs="仿宋_GB2312"/>
          <w:color w:val="auto"/>
          <w:sz w:val="32"/>
          <w:szCs w:val="32"/>
          <w:lang w:eastAsia="zh-CN"/>
        </w:rPr>
        <w:t>决</w:t>
      </w:r>
      <w:r>
        <w:rPr>
          <w:rFonts w:hint="eastAsia" w:ascii="仿宋_GB2312" w:hAnsi="仿宋_GB2312" w:eastAsia="仿宋_GB2312" w:cs="仿宋_GB2312"/>
          <w:color w:val="auto"/>
          <w:sz w:val="32"/>
          <w:szCs w:val="32"/>
        </w:rPr>
        <w:t>算</w:t>
      </w:r>
      <w:r>
        <w:rPr>
          <w:rFonts w:hint="eastAsia" w:ascii="仿宋_GB2312" w:eastAsia="仿宋_GB2312"/>
          <w:color w:val="auto"/>
          <w:sz w:val="32"/>
          <w:szCs w:val="32"/>
          <w:lang w:val="en-US" w:eastAsia="zh-CN"/>
        </w:rPr>
        <w:t>1014.06</w:t>
      </w:r>
      <w:r>
        <w:rPr>
          <w:rFonts w:hint="eastAsia" w:ascii="仿宋_GB2312" w:hAnsi="仿宋_GB2312" w:eastAsia="仿宋_GB2312" w:cs="仿宋_GB2312"/>
          <w:color w:val="auto"/>
          <w:sz w:val="32"/>
          <w:szCs w:val="32"/>
        </w:rPr>
        <w:t>万元，其中：社会保障和就业支出</w:t>
      </w:r>
      <w:r>
        <w:rPr>
          <w:rFonts w:hint="eastAsia" w:ascii="仿宋_GB2312" w:eastAsia="仿宋_GB2312"/>
          <w:color w:val="auto"/>
          <w:sz w:val="32"/>
          <w:szCs w:val="32"/>
          <w:lang w:val="en-US" w:eastAsia="zh-CN"/>
        </w:rPr>
        <w:t>27.1</w:t>
      </w:r>
      <w:r>
        <w:rPr>
          <w:rFonts w:hint="eastAsia" w:ascii="仿宋_GB2312" w:hAnsi="仿宋_GB2312" w:eastAsia="仿宋_GB2312" w:cs="仿宋_GB2312"/>
          <w:color w:val="auto"/>
          <w:sz w:val="32"/>
          <w:szCs w:val="32"/>
        </w:rPr>
        <w:t>万元；卫生健康支出</w:t>
      </w:r>
      <w:r>
        <w:rPr>
          <w:rFonts w:hint="eastAsia" w:ascii="仿宋_GB2312" w:eastAsia="仿宋_GB2312"/>
          <w:color w:val="auto"/>
          <w:sz w:val="32"/>
          <w:szCs w:val="32"/>
          <w:lang w:val="en-US" w:eastAsia="zh-CN"/>
        </w:rPr>
        <w:t>11.66</w:t>
      </w:r>
      <w:r>
        <w:rPr>
          <w:rFonts w:hint="eastAsia" w:ascii="仿宋_GB2312" w:hAnsi="仿宋_GB2312" w:eastAsia="仿宋_GB2312" w:cs="仿宋_GB2312"/>
          <w:color w:val="auto"/>
          <w:sz w:val="32"/>
          <w:szCs w:val="32"/>
        </w:rPr>
        <w:t>万元；节能环保支出</w:t>
      </w:r>
      <w:r>
        <w:rPr>
          <w:rFonts w:hint="eastAsia" w:ascii="仿宋_GB2312" w:eastAsia="仿宋_GB2312"/>
          <w:color w:val="auto"/>
          <w:sz w:val="32"/>
          <w:szCs w:val="32"/>
          <w:lang w:val="en-US" w:eastAsia="zh-CN"/>
        </w:rPr>
        <w:t>961.18</w:t>
      </w:r>
      <w:r>
        <w:rPr>
          <w:rFonts w:hint="eastAsia" w:ascii="仿宋_GB2312" w:hAnsi="仿宋_GB2312" w:eastAsia="仿宋_GB2312" w:cs="仿宋_GB2312"/>
          <w:color w:val="auto"/>
          <w:sz w:val="32"/>
          <w:szCs w:val="32"/>
        </w:rPr>
        <w:t>万元；住房保障支出</w:t>
      </w:r>
      <w:r>
        <w:rPr>
          <w:rFonts w:hint="eastAsia" w:ascii="仿宋_GB2312" w:eastAsia="仿宋_GB2312"/>
          <w:color w:val="auto"/>
          <w:sz w:val="32"/>
          <w:szCs w:val="32"/>
          <w:lang w:val="en-US" w:eastAsia="zh-CN"/>
        </w:rPr>
        <w:t>14.12</w:t>
      </w:r>
      <w:r>
        <w:rPr>
          <w:rFonts w:hint="eastAsia" w:ascii="仿宋_GB2312" w:hAnsi="仿宋_GB2312" w:eastAsia="仿宋_GB2312" w:cs="仿宋_GB2312"/>
          <w:color w:val="auto"/>
          <w:sz w:val="32"/>
          <w:szCs w:val="32"/>
        </w:rPr>
        <w:t>万元。</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基本支出</w:t>
      </w:r>
      <w:r>
        <w:rPr>
          <w:rFonts w:hint="eastAsia" w:ascii="仿宋_GB2312" w:hAnsi="仿宋_GB2312" w:eastAsia="仿宋_GB2312" w:cs="仿宋_GB2312"/>
          <w:color w:val="auto"/>
          <w:sz w:val="32"/>
          <w:szCs w:val="32"/>
          <w:lang w:val="en-US" w:eastAsia="zh-CN"/>
        </w:rPr>
        <w:t>204.44</w:t>
      </w:r>
      <w:r>
        <w:rPr>
          <w:rFonts w:hint="eastAsia" w:ascii="仿宋_GB2312" w:hAnsi="仿宋_GB2312" w:eastAsia="仿宋_GB2312" w:cs="仿宋_GB2312"/>
          <w:color w:val="auto"/>
          <w:sz w:val="32"/>
          <w:szCs w:val="32"/>
        </w:rPr>
        <w:t>万元(其中：人员经费支出：</w:t>
      </w:r>
      <w:r>
        <w:rPr>
          <w:rFonts w:hint="eastAsia" w:ascii="仿宋_GB2312" w:hAnsi="仿宋_GB2312" w:eastAsia="仿宋_GB2312" w:cs="仿宋_GB2312"/>
          <w:color w:val="auto"/>
          <w:sz w:val="32"/>
          <w:szCs w:val="32"/>
          <w:lang w:val="en-US" w:eastAsia="zh-CN"/>
        </w:rPr>
        <w:t>161.06</w:t>
      </w:r>
      <w:r>
        <w:rPr>
          <w:rFonts w:hint="eastAsia" w:ascii="仿宋_GB2312" w:hAnsi="仿宋_GB2312" w:eastAsia="仿宋_GB2312" w:cs="仿宋_GB2312"/>
          <w:color w:val="auto"/>
          <w:sz w:val="32"/>
          <w:szCs w:val="32"/>
        </w:rPr>
        <w:t>万元，公用经费支出</w:t>
      </w:r>
      <w:r>
        <w:rPr>
          <w:rFonts w:hint="eastAsia" w:ascii="仿宋_GB2312" w:hAnsi="仿宋_GB2312" w:eastAsia="仿宋_GB2312" w:cs="仿宋_GB2312"/>
          <w:color w:val="auto"/>
          <w:sz w:val="32"/>
          <w:szCs w:val="32"/>
          <w:lang w:val="en-US" w:eastAsia="zh-CN"/>
        </w:rPr>
        <w:t>43.38万元</w:t>
      </w:r>
      <w:r>
        <w:rPr>
          <w:rFonts w:hint="eastAsia" w:ascii="仿宋_GB2312" w:hAnsi="仿宋_GB2312" w:eastAsia="仿宋_GB2312" w:cs="仿宋_GB2312"/>
          <w:color w:val="auto"/>
          <w:sz w:val="32"/>
          <w:szCs w:val="32"/>
        </w:rPr>
        <w:t>），占</w:t>
      </w:r>
      <w:r>
        <w:rPr>
          <w:rFonts w:hint="eastAsia" w:ascii="仿宋_GB2312" w:hAnsi="仿宋_GB2312" w:eastAsia="仿宋_GB2312" w:cs="仿宋_GB2312"/>
          <w:color w:val="auto"/>
          <w:sz w:val="32"/>
          <w:szCs w:val="32"/>
          <w:lang w:val="en-US" w:eastAsia="zh-CN"/>
        </w:rPr>
        <w:t>20.16</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809.62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79.84</w:t>
      </w:r>
      <w:r>
        <w:rPr>
          <w:rFonts w:hint="eastAsia" w:ascii="仿宋_GB2312" w:hAnsi="仿宋_GB2312" w:eastAsia="仿宋_GB2312" w:cs="仿宋_GB2312"/>
          <w:color w:val="auto"/>
          <w:sz w:val="32"/>
          <w:szCs w:val="32"/>
        </w:rPr>
        <w:t xml:space="preserve">%。              </w:t>
      </w:r>
    </w:p>
    <w:p>
      <w:pPr>
        <w:pStyle w:val="2"/>
        <w:keepNext w:val="0"/>
        <w:keepLines w:val="0"/>
        <w:pageBreakBefore w:val="0"/>
        <w:numPr>
          <w:ilvl w:val="0"/>
          <w:numId w:val="2"/>
        </w:numPr>
        <w:kinsoku/>
        <w:wordWrap/>
        <w:overflowPunct/>
        <w:topLinePunct w:val="0"/>
        <w:autoSpaceDE/>
        <w:autoSpaceDN/>
        <w:bidi w:val="0"/>
        <w:adjustRightInd/>
        <w:snapToGrid/>
        <w:spacing w:line="520" w:lineRule="exact"/>
        <w:ind w:left="320" w:leftChars="0" w:firstLine="0" w:firstLineChars="0"/>
        <w:rPr>
          <w:rFonts w:hint="default"/>
          <w:lang w:val="en-US" w:eastAsia="zh-CN"/>
        </w:rPr>
      </w:pPr>
      <w:r>
        <w:rPr>
          <w:rFonts w:hint="eastAsia" w:ascii="楷体_GB2312" w:hAnsi="楷体_GB2312" w:eastAsia="楷体_GB2312" w:cs="楷体_GB2312"/>
          <w:b/>
          <w:bCs/>
          <w:color w:val="auto"/>
          <w:kern w:val="2"/>
          <w:sz w:val="32"/>
          <w:szCs w:val="32"/>
          <w:lang w:val="en-US" w:eastAsia="zh-CN" w:bidi="ar-SA"/>
        </w:rPr>
        <w:t>结余分配和结转结余情况</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茂县生态环境局2024年年末结转154.1万元，其中：非同级财政拨款项目支出结转154.1万元。</w:t>
      </w:r>
    </w:p>
    <w:p>
      <w:pPr>
        <w:pStyle w:val="2"/>
        <w:keepNext w:val="0"/>
        <w:keepLines w:val="0"/>
        <w:pageBreakBefore w:val="0"/>
        <w:numPr>
          <w:ilvl w:val="0"/>
          <w:numId w:val="0"/>
        </w:numPr>
        <w:kinsoku/>
        <w:wordWrap/>
        <w:overflowPunct/>
        <w:topLinePunct w:val="0"/>
        <w:autoSpaceDE/>
        <w:autoSpaceDN/>
        <w:bidi w:val="0"/>
        <w:adjustRightInd/>
        <w:snapToGrid/>
        <w:spacing w:line="520" w:lineRule="exact"/>
        <w:ind w:leftChars="200"/>
        <w:rPr>
          <w:rFonts w:hint="eastAsia" w:ascii="黑体" w:hAnsi="黑体" w:eastAsia="黑体" w:cs="黑体"/>
          <w:color w:val="auto"/>
          <w:sz w:val="32"/>
          <w:szCs w:val="32"/>
          <w:lang w:eastAsia="zh-CN"/>
        </w:rPr>
      </w:pPr>
      <w:r>
        <w:rPr>
          <w:rFonts w:hint="eastAsia" w:ascii="黑体" w:hAnsi="黑体" w:eastAsia="黑体" w:cs="黑体"/>
          <w:color w:val="auto"/>
          <w:sz w:val="32"/>
          <w:szCs w:val="32"/>
        </w:rPr>
        <w:t>三、部门预算绩效</w:t>
      </w:r>
      <w:r>
        <w:rPr>
          <w:rFonts w:hint="eastAsia" w:ascii="黑体" w:hAnsi="黑体" w:eastAsia="黑体" w:cs="黑体"/>
          <w:color w:val="auto"/>
          <w:sz w:val="32"/>
          <w:szCs w:val="32"/>
          <w:lang w:eastAsia="zh-CN"/>
        </w:rPr>
        <w:t>分析</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color w:val="auto"/>
          <w:sz w:val="32"/>
          <w:szCs w:val="32"/>
          <w:lang w:val="zh-CN"/>
        </w:rPr>
      </w:pPr>
      <w:r>
        <w:rPr>
          <w:rFonts w:hint="eastAsia" w:ascii="楷体_GB2312" w:hAnsi="楷体_GB2312" w:eastAsia="楷体_GB2312" w:cs="楷体_GB2312"/>
          <w:b/>
          <w:bCs/>
          <w:color w:val="auto"/>
          <w:sz w:val="32"/>
          <w:szCs w:val="32"/>
          <w:lang w:val="zh-CN"/>
        </w:rPr>
        <w:t>（一）部门预算总体绩效分析</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b/>
          <w:bCs/>
          <w:color w:val="FF0000"/>
          <w:sz w:val="32"/>
          <w:szCs w:val="32"/>
          <w:lang w:val="zh-CN" w:eastAsia="zh-CN"/>
        </w:rPr>
      </w:pPr>
      <w:r>
        <w:rPr>
          <w:rFonts w:hint="eastAsia" w:ascii="仿宋_GB2312" w:hAnsi="仿宋_GB2312" w:eastAsia="仿宋_GB2312" w:cs="仿宋_GB2312"/>
          <w:b/>
          <w:bCs/>
          <w:color w:val="auto"/>
          <w:sz w:val="32"/>
          <w:szCs w:val="32"/>
        </w:rPr>
        <w:t>1.绩效目标制定和目标实</w:t>
      </w:r>
      <w:r>
        <w:rPr>
          <w:rFonts w:hint="eastAsia" w:ascii="仿宋_GB2312" w:hAnsi="仿宋_GB2312" w:eastAsia="仿宋_GB2312" w:cs="仿宋_GB2312"/>
          <w:b/>
          <w:bCs/>
          <w:color w:val="auto"/>
          <w:sz w:val="32"/>
          <w:szCs w:val="32"/>
          <w:lang w:eastAsia="zh-CN"/>
        </w:rPr>
        <w:t>现</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保障机关运转、履行职能职责。其中：基本支出包括人员类经费和公用经费。人员类经费主要用于人员工资、保险等支出；公用经费主要用于日常运转支出。</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机关厉行节约。</w:t>
      </w:r>
      <w:r>
        <w:rPr>
          <w:rFonts w:hint="eastAsia" w:ascii="仿宋_GB2312" w:hAnsi="仿宋_GB2312" w:eastAsia="仿宋_GB2312" w:cs="仿宋_GB2312"/>
          <w:sz w:val="32"/>
          <w:szCs w:val="32"/>
        </w:rPr>
        <w:t>一是单位没有因公</w:t>
      </w:r>
      <w:r>
        <w:rPr>
          <w:rFonts w:hint="eastAsia" w:ascii="仿宋_GB2312" w:hAnsi="仿宋_GB2312" w:eastAsia="仿宋_GB2312" w:cs="仿宋_GB2312"/>
          <w:sz w:val="32"/>
          <w:szCs w:val="32"/>
          <w:lang w:val="zh-CN"/>
        </w:rPr>
        <w:t>出国（境）费用预算安排支出。二是</w:t>
      </w:r>
      <w:r>
        <w:rPr>
          <w:rFonts w:hint="eastAsia" w:ascii="仿宋_GB2312" w:hAnsi="仿宋_GB2312" w:eastAsia="仿宋_GB2312" w:cs="仿宋_GB2312"/>
          <w:sz w:val="32"/>
          <w:szCs w:val="32"/>
        </w:rPr>
        <w:t>尽量减少不必要的公务用车使用台次，提高使用效率，严禁公车私用，实行专人管理。三是严格控制接待标准，减少陪同人数，</w:t>
      </w:r>
      <w:r>
        <w:rPr>
          <w:rFonts w:hint="eastAsia" w:ascii="仿宋_GB2312" w:hAnsi="仿宋_GB2312" w:eastAsia="仿宋_GB2312" w:cs="仿宋_GB2312"/>
          <w:sz w:val="32"/>
          <w:szCs w:val="32"/>
          <w:lang w:val="zh-CN"/>
        </w:rPr>
        <w:t>车辆购置及运行费用和公务接待经费都严格控制在预算范围内。</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机关节能降耗。</w:t>
      </w:r>
      <w:r>
        <w:rPr>
          <w:rFonts w:hint="eastAsia" w:ascii="仿宋_GB2312" w:hAnsi="仿宋_GB2312" w:eastAsia="仿宋_GB2312" w:cs="仿宋_GB2312"/>
          <w:sz w:val="32"/>
          <w:szCs w:val="32"/>
        </w:rPr>
        <w:t>要求干部职工节约水电，下班后自觉关闭各类电器电源。</w:t>
      </w:r>
      <w:r>
        <w:rPr>
          <w:rFonts w:hint="eastAsia" w:ascii="仿宋_GB2312" w:hAnsi="仿宋_GB2312" w:eastAsia="仿宋_GB2312" w:cs="仿宋_GB2312"/>
          <w:sz w:val="32"/>
          <w:szCs w:val="32"/>
          <w:lang w:val="zh-CN"/>
        </w:rPr>
        <w:t>严格控制单位水、电、燃油的开支，确保能耗下降。</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项目支出绩效。资金绩效分配情况</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严格按照资金下达文件要求进行项目实施，</w:t>
      </w:r>
      <w:r>
        <w:rPr>
          <w:rFonts w:hint="eastAsia" w:ascii="仿宋_GB2312" w:hAnsi="仿宋_GB2312" w:eastAsia="仿宋_GB2312" w:cs="仿宋_GB2312"/>
          <w:sz w:val="32"/>
          <w:szCs w:val="32"/>
        </w:rPr>
        <w:t>同时</w:t>
      </w:r>
      <w:r>
        <w:rPr>
          <w:rFonts w:hint="eastAsia" w:ascii="仿宋_GB2312" w:hAnsi="仿宋_GB2312" w:eastAsia="仿宋_GB2312" w:cs="仿宋_GB2312"/>
          <w:sz w:val="32"/>
          <w:szCs w:val="32"/>
          <w:lang w:val="zh-CN"/>
        </w:rPr>
        <w:t>根据合同约定和项目进度情况，支付资金。</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项目资金管理情况。层层把关，认真审核项目资料、票据按照支付程序、合同要求及项目进度支付项目资金。</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绩效目标完成情况。</w:t>
      </w:r>
      <w:r>
        <w:rPr>
          <w:rFonts w:hint="eastAsia" w:ascii="仿宋_GB2312" w:hAnsi="仿宋_GB2312" w:eastAsia="仿宋_GB2312" w:cs="仿宋_GB2312"/>
          <w:sz w:val="32"/>
          <w:szCs w:val="32"/>
        </w:rPr>
        <w:t>重点生态功能区、集中式生活饮用水监测的主要任务是对辖区内的生态环境质量进行连续的监测，掌握了环境质量和饮用水水质状况，为政</w:t>
      </w:r>
      <w:r>
        <w:rPr>
          <w:rFonts w:hint="eastAsia" w:ascii="仿宋_GB2312" w:hAnsi="仿宋_GB2312" w:eastAsia="仿宋_GB2312" w:cs="仿宋_GB2312"/>
          <w:sz w:val="32"/>
          <w:szCs w:val="32"/>
          <w:lang w:val="zh-CN"/>
        </w:rPr>
        <w:t>府研究和制定改善环境质量提供科学依据。</w:t>
      </w:r>
      <w:r>
        <w:rPr>
          <w:rFonts w:hint="eastAsia" w:ascii="仿宋_GB2312" w:hAnsi="仿宋_GB2312" w:eastAsia="仿宋_GB2312" w:cs="仿宋_GB2312"/>
          <w:sz w:val="32"/>
          <w:szCs w:val="32"/>
        </w:rPr>
        <w:t>全面完成国家重点生态功能区生态环境质量考核工作，并按时上报上级相关部门。</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财务管理情况。建立了财务管理规章制度，严格按照财务制度执行报账，依照政府采购制度，严格按程序进行政府采购。</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zh-CN"/>
        </w:rPr>
        <w:t>预决算编制情况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按照州财政安排和要求，我单位根据实际情况对202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年部门基本支出进行了预算编制，并按时提交了预算草案经主管部门</w:t>
      </w:r>
      <w:r>
        <w:rPr>
          <w:rFonts w:hint="eastAsia" w:ascii="仿宋_GB2312" w:hAnsi="仿宋_GB2312" w:eastAsia="仿宋_GB2312" w:cs="仿宋_GB2312"/>
          <w:sz w:val="32"/>
          <w:szCs w:val="32"/>
          <w:lang w:eastAsia="zh-CN"/>
        </w:rPr>
        <w:t>（州生态环境局）</w:t>
      </w:r>
      <w:r>
        <w:rPr>
          <w:rFonts w:hint="eastAsia" w:ascii="仿宋_GB2312" w:hAnsi="仿宋_GB2312" w:eastAsia="仿宋_GB2312" w:cs="仿宋_GB2312"/>
          <w:sz w:val="32"/>
          <w:szCs w:val="32"/>
        </w:rPr>
        <w:t>及州财政</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审核，做到预算编制及时、准确。支出也完全按照预算安排支出。</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3.执行管理情况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预算执行严格按照预算安排支出</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严格按照财政要求，每月按时完成计划，根据单位实际情况进行支付。上级专款严格按照资金下达文件执行，专款专用。“三公”经费严格按照预算执行，未超预算支出。</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4.预算完成情况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zh-CN"/>
        </w:rPr>
        <w:t>预算完成情况较好，</w:t>
      </w:r>
      <w:r>
        <w:rPr>
          <w:rFonts w:hint="eastAsia" w:ascii="仿宋_GB2312" w:hAnsi="仿宋_GB2312" w:eastAsia="仿宋_GB2312" w:cs="仿宋_GB2312"/>
          <w:sz w:val="32"/>
          <w:szCs w:val="32"/>
        </w:rPr>
        <w:t>全年按照预算执行管理，完善财务预算控制指标，根据部门预算编制改革制度和州财政相关规定，完善了部门预算制度，进一步加强基础信息库和项目库建设，部门预算编制精细化水平不断提高。同时按照要求按照时间节点对本单位的预算进行了公开。</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5.违规记录等情况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年全年未发生违规支出的预警情况。</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（二）结果应用情况</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1.部门整体支出绩效评价在单位公示栏进行公示。</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2.未收到有关绩效评价结果整改的通知。</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进一步深化绩效评价结果应用。对评价结果不同等级的项目，采用优先安排、适当安排、压缩直至不安排等方式，分类管理，分类施策。督促单位加强项目管理，提升项目质量。对未实施的项目下一年度不再安排。</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四、评价结论及建议</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（一）评价结论</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年茂县生态环境局50万及以上的特定目标类部门预算项目</w:t>
      </w:r>
      <w:r>
        <w:rPr>
          <w:rFonts w:hint="eastAsia" w:ascii="仿宋_GB2312" w:hAnsi="仿宋_GB2312" w:eastAsia="仿宋_GB2312" w:cs="仿宋_GB2312"/>
          <w:sz w:val="32"/>
          <w:szCs w:val="32"/>
          <w:lang w:eastAsia="zh-CN"/>
        </w:rPr>
        <w:t>共计</w:t>
      </w:r>
      <w:r>
        <w:rPr>
          <w:rFonts w:hint="eastAsia" w:ascii="仿宋_GB2312" w:hAnsi="仿宋_GB2312" w:eastAsia="仿宋_GB2312" w:cs="仿宋_GB2312"/>
          <w:sz w:val="32"/>
          <w:szCs w:val="32"/>
          <w:lang w:val="en-US" w:eastAsia="zh-CN"/>
        </w:rPr>
        <w:t>4个</w:t>
      </w:r>
      <w:r>
        <w:rPr>
          <w:rFonts w:hint="eastAsia" w:ascii="仿宋_GB2312" w:hAnsi="仿宋_GB2312" w:eastAsia="仿宋_GB2312" w:cs="仿宋_GB2312"/>
          <w:sz w:val="32"/>
          <w:szCs w:val="32"/>
        </w:rPr>
        <w:t>，部门整体支出绩效自评良好。</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（二）存在问题</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预算编制准确性还不够,预算编制质量有待提高。</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2.内控制度更新不及时,有执行不到位的地方,有效监督不够。</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3.账务处理有待进一步提高，还存在不规范的现象。 .</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4.固定资产管理需要进一步加强，该报废的没有及时报废等的情况。</w:t>
      </w:r>
    </w:p>
    <w:p>
      <w:pPr>
        <w:keepNext w:val="0"/>
        <w:keepLines w:val="0"/>
        <w:pageBreakBefore w:val="0"/>
        <w:widowControl/>
        <w:kinsoku/>
        <w:wordWrap/>
        <w:overflowPunct/>
        <w:topLinePunct w:val="0"/>
        <w:autoSpaceDE/>
        <w:autoSpaceDN/>
        <w:bidi w:val="0"/>
        <w:adjustRightInd/>
        <w:snapToGrid/>
        <w:spacing w:line="520" w:lineRule="exact"/>
        <w:ind w:firstLine="643"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val="zh-CN"/>
        </w:rPr>
        <w:t xml:space="preserve">（三）改进建议  </w:t>
      </w:r>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1.进一步完善、明确和细化各项费用支出管理制度，严格控制接待费、公务用车运行及维护等费用支出。</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2.加强固定资产的管理，配置专管部门和专管人员，对固定资产进行一次全面清查盘点，建立固定资产卡片，切实做到账卡相符、账物相符。</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进一步加强内控管理,提高认知程度,强化单位纪检监督作用。</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p>
    <w:p>
      <w:pPr>
        <w:pStyle w:val="2"/>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9"/>
        <w:rPr>
          <w:rFonts w:hint="eastAsia" w:ascii="Times New Roman" w:hAnsi="Times New Roman" w:cs="宋体"/>
          <w:color w:val="FF0000"/>
          <w:kern w:val="0"/>
          <w:sz w:val="32"/>
          <w:szCs w:val="32"/>
          <w:highlight w:val="yellow"/>
          <w:shd w:val="clear" w:color="auto" w:fill="FFFFFF"/>
          <w:lang w:val="zh-CN"/>
        </w:rPr>
      </w:pPr>
    </w:p>
    <w:p>
      <w:pPr>
        <w:widowControl/>
        <w:jc w:val="center"/>
        <w:rPr>
          <w:rFonts w:hint="eastAsia" w:ascii="Times New Roman" w:hAnsi="Times New Roman" w:eastAsia="仿宋"/>
          <w:b w:val="0"/>
          <w:color w:val="auto"/>
          <w:highlight w:val="none"/>
        </w:rPr>
      </w:pPr>
      <w:bookmarkStart w:id="58" w:name="_Toc1539661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6"/>
      <w:bookmarkEnd w:id="58"/>
      <w:bookmarkStart w:id="59"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0"/>
      <w:r>
        <w:rPr>
          <w:rFonts w:hint="eastAsia" w:ascii="Times New Roman" w:hAnsi="Times New Roman" w:eastAsia="仿宋_GB2312" w:cs="仿宋_GB2312"/>
          <w:color w:val="auto"/>
          <w:sz w:val="32"/>
          <w:szCs w:val="32"/>
          <w:highlight w:val="none"/>
        </w:rPr>
        <w:t>二、收入决算表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1"/>
      <w:r>
        <w:rPr>
          <w:rFonts w:hint="eastAsia" w:ascii="Times New Roman" w:hAnsi="Times New Roman" w:eastAsia="仿宋_GB2312" w:cs="仿宋_GB2312"/>
          <w:color w:val="auto"/>
          <w:sz w:val="32"/>
          <w:szCs w:val="32"/>
          <w:highlight w:val="none"/>
        </w:rPr>
        <w:t>三、支出决算表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2"/>
      <w:r>
        <w:rPr>
          <w:rFonts w:hint="eastAsia" w:ascii="Times New Roman" w:hAnsi="Times New Roman" w:eastAsia="仿宋_GB2312" w:cs="仿宋_GB2312"/>
          <w:color w:val="auto"/>
          <w:sz w:val="32"/>
          <w:szCs w:val="32"/>
          <w:highlight w:val="none"/>
        </w:rPr>
        <w:t>四、财政拨款收入支出决算总表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3"/>
      <w:r>
        <w:rPr>
          <w:rFonts w:hint="eastAsia" w:ascii="Times New Roman" w:hAnsi="Times New Roman" w:eastAsia="仿宋_GB2312" w:cs="仿宋_GB2312"/>
          <w:color w:val="auto"/>
          <w:sz w:val="32"/>
          <w:szCs w:val="32"/>
          <w:highlight w:val="none"/>
        </w:rPr>
        <w:t>五、财政拨款支出决算明细表</w:t>
      </w:r>
      <w:bookmarkEnd w:id="63"/>
      <w:bookmarkStart w:id="64"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5"/>
      <w:r>
        <w:rPr>
          <w:rFonts w:hint="eastAsia" w:ascii="Times New Roman" w:hAnsi="Times New Roman" w:eastAsia="仿宋_GB2312" w:cs="仿宋_GB2312"/>
          <w:color w:val="auto"/>
          <w:sz w:val="32"/>
          <w:szCs w:val="32"/>
          <w:highlight w:val="none"/>
        </w:rPr>
        <w:t>七、一般公共预算财政拨款支出决算明细表</w:t>
      </w:r>
      <w:bookmarkEnd w:id="6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6"/>
      <w:r>
        <w:rPr>
          <w:rFonts w:hint="eastAsia" w:ascii="Times New Roman" w:hAnsi="Times New Roman" w:eastAsia="仿宋_GB2312" w:cs="仿宋_GB2312"/>
          <w:color w:val="auto"/>
          <w:sz w:val="32"/>
          <w:szCs w:val="32"/>
          <w:highlight w:val="none"/>
        </w:rPr>
        <w:t>八、一般公共预算财政拨款基本支出决算表</w:t>
      </w:r>
      <w:bookmarkEnd w:id="6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7"/>
      <w:r>
        <w:rPr>
          <w:rFonts w:hint="eastAsia" w:ascii="Times New Roman" w:hAnsi="Times New Roman" w:eastAsia="仿宋_GB2312" w:cs="仿宋_GB2312"/>
          <w:color w:val="auto"/>
          <w:sz w:val="32"/>
          <w:szCs w:val="32"/>
          <w:highlight w:val="none"/>
        </w:rPr>
        <w:t>九、一般公共预算财政拨款项目支出决算表</w:t>
      </w:r>
      <w:bookmarkEnd w:id="6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8"/>
      <w:r>
        <w:rPr>
          <w:rFonts w:hint="eastAsia" w:ascii="Times New Roman" w:hAnsi="Times New Roman" w:eastAsia="仿宋_GB2312" w:cs="仿宋_GB2312"/>
          <w:color w:val="auto"/>
          <w:sz w:val="32"/>
          <w:szCs w:val="32"/>
          <w:highlight w:val="none"/>
        </w:rPr>
        <w:t>十、</w:t>
      </w:r>
      <w:bookmarkEnd w:id="68"/>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9"/>
      <w:r>
        <w:rPr>
          <w:rFonts w:hint="eastAsia" w:ascii="Times New Roman" w:hAnsi="Times New Roman" w:eastAsia="仿宋_GB2312" w:cs="仿宋_GB2312"/>
          <w:color w:val="auto"/>
          <w:sz w:val="32"/>
          <w:szCs w:val="32"/>
          <w:highlight w:val="none"/>
        </w:rPr>
        <w:t>十一、</w:t>
      </w:r>
      <w:bookmarkEnd w:id="6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30"/>
      <w:r>
        <w:rPr>
          <w:rFonts w:hint="eastAsia" w:ascii="Times New Roman" w:hAnsi="Times New Roman" w:eastAsia="仿宋_GB2312" w:cs="仿宋_GB2312"/>
          <w:color w:val="auto"/>
          <w:sz w:val="32"/>
          <w:szCs w:val="32"/>
          <w:highlight w:val="none"/>
        </w:rPr>
        <w:t>十二、</w:t>
      </w:r>
      <w:bookmarkEnd w:id="7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1" w:name="_Toc15396631"/>
      <w:r>
        <w:rPr>
          <w:rFonts w:hint="eastAsia" w:ascii="Times New Roman" w:hAnsi="Times New Roman" w:eastAsia="仿宋_GB2312" w:cs="仿宋_GB2312"/>
          <w:color w:val="auto"/>
          <w:sz w:val="32"/>
          <w:szCs w:val="32"/>
          <w:highlight w:val="none"/>
        </w:rPr>
        <w:t>十三、</w:t>
      </w:r>
      <w:bookmarkEnd w:id="7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Rod">
    <w:panose1 w:val="02030509050101010101"/>
    <w:charset w:val="00"/>
    <w:family w:val="auto"/>
    <w:pitch w:val="default"/>
    <w:sig w:usb0="00000801" w:usb1="00000000" w:usb2="00000000" w:usb3="00000000" w:csb0="00000020" w:csb1="00200000"/>
  </w:font>
  <w:font w:name="Palatino Linotype">
    <w:panose1 w:val="02040502050505030304"/>
    <w:charset w:val="00"/>
    <w:family w:val="auto"/>
    <w:pitch w:val="default"/>
    <w:sig w:usb0="E0000287" w:usb1="40000013" w:usb2="00000000" w:usb3="00000000" w:csb0="2000019F" w:csb1="00000000"/>
  </w:font>
  <w:font w:name="MS PMincho">
    <w:panose1 w:val="02020600040205080304"/>
    <w:charset w:val="80"/>
    <w:family w:val="auto"/>
    <w:pitch w:val="default"/>
    <w:sig w:usb0="E00002FF" w:usb1="6AC7FDFB" w:usb2="00000012" w:usb3="00000000" w:csb0="4002009F" w:csb1="DFD70000"/>
  </w:font>
  <w:font w:name="Mongolian Baiti">
    <w:panose1 w:val="03000500000000000000"/>
    <w:charset w:val="00"/>
    <w:family w:val="auto"/>
    <w:pitch w:val="default"/>
    <w:sig w:usb0="80000023" w:usb1="00000000" w:usb2="00020000" w:usb3="00000000" w:csb0="00000001" w:csb1="00000000"/>
  </w:font>
  <w:font w:name="MingLiU_HKSCS-ExtB">
    <w:panose1 w:val="02020500000000000000"/>
    <w:charset w:val="88"/>
    <w:family w:val="auto"/>
    <w:pitch w:val="default"/>
    <w:sig w:usb0="8000002F" w:usb1="02000008" w:usb2="00000000" w:usb3="00000000" w:csb0="00100001" w:csb1="00000000"/>
  </w:font>
  <w:font w:name="Microsoft Tai Le">
    <w:panose1 w:val="020B0502040204020203"/>
    <w:charset w:val="00"/>
    <w:family w:val="auto"/>
    <w:pitch w:val="default"/>
    <w:sig w:usb0="00000003" w:usb1="00000000" w:usb2="40000000" w:usb3="00000000" w:csb0="00000001" w:csb1="00000000"/>
  </w:font>
  <w:font w:name="Microsoft JhengHei">
    <w:panose1 w:val="020B0604030504040204"/>
    <w:charset w:val="88"/>
    <w:family w:val="auto"/>
    <w:pitch w:val="default"/>
    <w:sig w:usb0="00000087" w:usb1="28AF4000" w:usb2="00000016" w:usb3="00000000" w:csb0="00100009" w:csb1="00000000"/>
  </w:font>
  <w:font w:name="DokChampa">
    <w:panose1 w:val="020B0604020202020204"/>
    <w:charset w:val="00"/>
    <w:family w:val="auto"/>
    <w:pitch w:val="default"/>
    <w:sig w:usb0="03000003" w:usb1="00000000" w:usb2="00000000" w:usb3="00000000" w:csb0="40010001" w:csb1="00000000"/>
  </w:font>
  <w:font w:name="DaunPenh">
    <w:panose1 w:val="01010101010101010101"/>
    <w:charset w:val="00"/>
    <w:family w:val="auto"/>
    <w:pitch w:val="default"/>
    <w:sig w:usb0="00000003" w:usb1="00000000" w:usb2="00010000" w:usb3="00000000" w:csb0="00000001" w:csb1="00000000"/>
  </w:font>
  <w:font w:name="Candara">
    <w:panose1 w:val="020E0502030303020204"/>
    <w:charset w:val="00"/>
    <w:family w:val="auto"/>
    <w:pitch w:val="default"/>
    <w:sig w:usb0="A00002EF" w:usb1="4000A44B" w:usb2="00000000" w:usb3="00000000" w:csb0="2000019F"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- 3 -</w:t>
                    </w:r>
                    <w:r>
                      <w:fldChar w:fldCharType="end"/>
                    </w:r>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D1E734"/>
    <w:multiLevelType w:val="singleLevel"/>
    <w:tmpl w:val="E0D1E734"/>
    <w:lvl w:ilvl="0" w:tentative="0">
      <w:start w:val="1"/>
      <w:numFmt w:val="decimal"/>
      <w:lvlText w:val="%1."/>
      <w:lvlJc w:val="left"/>
      <w:pPr>
        <w:tabs>
          <w:tab w:val="left" w:pos="312"/>
        </w:tabs>
      </w:pPr>
    </w:lvl>
  </w:abstractNum>
  <w:abstractNum w:abstractNumId="1">
    <w:nsid w:val="3ED64AC1"/>
    <w:multiLevelType w:val="singleLevel"/>
    <w:tmpl w:val="3ED64AC1"/>
    <w:lvl w:ilvl="0" w:tentative="0">
      <w:start w:val="3"/>
      <w:numFmt w:val="chineseCounting"/>
      <w:suff w:val="nothing"/>
      <w:lvlText w:val="（%1）"/>
      <w:lvlJc w:val="left"/>
      <w:pPr>
        <w:ind w:left="32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30E256A"/>
    <w:rsid w:val="04916F1E"/>
    <w:rsid w:val="061E35DE"/>
    <w:rsid w:val="066E0107"/>
    <w:rsid w:val="06753930"/>
    <w:rsid w:val="07996F6E"/>
    <w:rsid w:val="07DFD8BA"/>
    <w:rsid w:val="09867E8F"/>
    <w:rsid w:val="0A2032A3"/>
    <w:rsid w:val="0CA8290A"/>
    <w:rsid w:val="0D35B1ED"/>
    <w:rsid w:val="0D834F8A"/>
    <w:rsid w:val="0E254B6B"/>
    <w:rsid w:val="0F98263C"/>
    <w:rsid w:val="101860EC"/>
    <w:rsid w:val="101F47CC"/>
    <w:rsid w:val="10C055FF"/>
    <w:rsid w:val="11694EBD"/>
    <w:rsid w:val="11772AA4"/>
    <w:rsid w:val="118107EC"/>
    <w:rsid w:val="12E24EE2"/>
    <w:rsid w:val="13A53E6E"/>
    <w:rsid w:val="13D50BC4"/>
    <w:rsid w:val="14B17F78"/>
    <w:rsid w:val="15C0212D"/>
    <w:rsid w:val="165E0673"/>
    <w:rsid w:val="16B831D5"/>
    <w:rsid w:val="16BB723D"/>
    <w:rsid w:val="17E50567"/>
    <w:rsid w:val="186504BB"/>
    <w:rsid w:val="19A445FC"/>
    <w:rsid w:val="1BE8440E"/>
    <w:rsid w:val="1D155CEE"/>
    <w:rsid w:val="1D1638FE"/>
    <w:rsid w:val="1D2F2510"/>
    <w:rsid w:val="1E312DEB"/>
    <w:rsid w:val="1E740ACF"/>
    <w:rsid w:val="1FF35744"/>
    <w:rsid w:val="1FF6BC77"/>
    <w:rsid w:val="217E3A58"/>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1A06B7"/>
    <w:rsid w:val="39627CCD"/>
    <w:rsid w:val="397BAF1F"/>
    <w:rsid w:val="3AB79AF3"/>
    <w:rsid w:val="3AE834C0"/>
    <w:rsid w:val="3B7EF35A"/>
    <w:rsid w:val="3B9FDB6C"/>
    <w:rsid w:val="3BF5BC2F"/>
    <w:rsid w:val="3C0D06AF"/>
    <w:rsid w:val="3CEBA265"/>
    <w:rsid w:val="3D98207C"/>
    <w:rsid w:val="3DEE7CF3"/>
    <w:rsid w:val="3E740A63"/>
    <w:rsid w:val="3E78745D"/>
    <w:rsid w:val="3EE17838"/>
    <w:rsid w:val="3F55381A"/>
    <w:rsid w:val="3F7F7599"/>
    <w:rsid w:val="3FF4CAE0"/>
    <w:rsid w:val="3FF7B227"/>
    <w:rsid w:val="436D2C0E"/>
    <w:rsid w:val="44E268DA"/>
    <w:rsid w:val="450D13D7"/>
    <w:rsid w:val="45506656"/>
    <w:rsid w:val="486A6C7A"/>
    <w:rsid w:val="4A627F82"/>
    <w:rsid w:val="4B0E749A"/>
    <w:rsid w:val="4B2477C4"/>
    <w:rsid w:val="4B36254D"/>
    <w:rsid w:val="4B4F25DA"/>
    <w:rsid w:val="4BBA79D0"/>
    <w:rsid w:val="4BE068DB"/>
    <w:rsid w:val="4D577224"/>
    <w:rsid w:val="4DBF1CEB"/>
    <w:rsid w:val="4DF0007C"/>
    <w:rsid w:val="4EAB630A"/>
    <w:rsid w:val="4ECE2238"/>
    <w:rsid w:val="4F833267"/>
    <w:rsid w:val="4FE9BD67"/>
    <w:rsid w:val="4FFB052F"/>
    <w:rsid w:val="532461D9"/>
    <w:rsid w:val="537E6D0A"/>
    <w:rsid w:val="53F74C96"/>
    <w:rsid w:val="55170BA8"/>
    <w:rsid w:val="553218C9"/>
    <w:rsid w:val="567E1AA5"/>
    <w:rsid w:val="56E47B74"/>
    <w:rsid w:val="57175D52"/>
    <w:rsid w:val="57BD3DD4"/>
    <w:rsid w:val="589E6F30"/>
    <w:rsid w:val="5AF92295"/>
    <w:rsid w:val="5B250254"/>
    <w:rsid w:val="5BDD79E6"/>
    <w:rsid w:val="5BF561CA"/>
    <w:rsid w:val="5BFF5DFC"/>
    <w:rsid w:val="5CD71FC4"/>
    <w:rsid w:val="5D1F11B5"/>
    <w:rsid w:val="5D2D0BFF"/>
    <w:rsid w:val="5D695134"/>
    <w:rsid w:val="5DAE1B18"/>
    <w:rsid w:val="5DE7D9E5"/>
    <w:rsid w:val="5ECEC941"/>
    <w:rsid w:val="5FBF9FF3"/>
    <w:rsid w:val="5FCD4E2C"/>
    <w:rsid w:val="5FEF394A"/>
    <w:rsid w:val="5FF67715"/>
    <w:rsid w:val="62BF3928"/>
    <w:rsid w:val="633D7127"/>
    <w:rsid w:val="63B3701E"/>
    <w:rsid w:val="647F5392"/>
    <w:rsid w:val="64E50429"/>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666828"/>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qFormat/>
    <w:uiPriority w:val="0"/>
    <w:pPr>
      <w:spacing w:after="120"/>
      <w:ind w:leftChars="200"/>
    </w:pPr>
    <w:rPr>
      <w:rFonts w:ascii="仿宋_GB2312"/>
      <w:szCs w:val="32"/>
    </w:rPr>
  </w:style>
  <w:style w:type="paragraph" w:styleId="4">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5">
    <w:name w:val="Plain Text"/>
    <w:basedOn w:val="1"/>
    <w:qFormat/>
    <w:uiPriority w:val="0"/>
    <w:rPr>
      <w:rFonts w:ascii="宋体" w:hAnsi="Courier New"/>
    </w:rPr>
  </w:style>
  <w:style w:type="paragraph" w:styleId="9">
    <w:name w:val="Body Text"/>
    <w:basedOn w:val="1"/>
    <w:link w:val="26"/>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2"/>
    <w:semiHidden/>
    <w:unhideWhenUsed/>
    <w:qFormat/>
    <w:uiPriority w:val="99"/>
    <w:rPr>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2"/>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4"/>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9"/>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6"/>
    <w:qFormat/>
    <w:uiPriority w:val="9"/>
    <w:rPr>
      <w:rFonts w:ascii="Times New Roman" w:hAnsi="Times New Roman"/>
      <w:b/>
      <w:bCs/>
      <w:kern w:val="44"/>
      <w:sz w:val="44"/>
      <w:szCs w:val="44"/>
    </w:rPr>
  </w:style>
  <w:style w:type="character" w:customStyle="1" w:styleId="30">
    <w:name w:val="标题 2 Char"/>
    <w:basedOn w:val="17"/>
    <w:link w:val="7"/>
    <w:qFormat/>
    <w:uiPriority w:val="9"/>
    <w:rPr>
      <w:rFonts w:asciiTheme="majorHAnsi" w:hAnsiTheme="majorHAnsi" w:eastAsiaTheme="majorEastAsia" w:cstheme="majorBidi"/>
      <w:b/>
      <w:bCs/>
      <w:kern w:val="2"/>
      <w:sz w:val="32"/>
      <w:szCs w:val="32"/>
    </w:rPr>
  </w:style>
  <w:style w:type="paragraph" w:customStyle="1" w:styleId="31">
    <w:name w:val="TOC 标题1"/>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8"/>
    <w:qFormat/>
    <w:uiPriority w:val="9"/>
    <w:rPr>
      <w:rFonts w:ascii="Times New Roman" w:hAnsi="Times New Roman"/>
      <w:b/>
      <w:bCs/>
      <w:kern w:val="2"/>
      <w:sz w:val="32"/>
      <w:szCs w:val="32"/>
    </w:rPr>
  </w:style>
  <w:style w:type="paragraph" w:customStyle="1" w:styleId="34">
    <w:name w:val="TOC Heading"/>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'[新建 XLS 工作表.xls]Sheet1'!$A$1:$A$4</c:f>
              <c:strCache>
                <c:ptCount val="4"/>
                <c:pt idx="0">
                  <c:v>2023年收入</c:v>
                </c:pt>
                <c:pt idx="1">
                  <c:v>2023年支出</c:v>
                </c:pt>
                <c:pt idx="2">
                  <c:v>2024年收入</c:v>
                </c:pt>
                <c:pt idx="3">
                  <c:v>2024年支出</c:v>
                </c:pt>
              </c:strCache>
            </c:strRef>
          </c:cat>
          <c:val>
            <c:numRef>
              <c:f>'[新建 XLS 工作表.xls]Sheet1'!$B$1:$B$4</c:f>
              <c:numCache>
                <c:formatCode>General</c:formatCode>
                <c:ptCount val="4"/>
                <c:pt idx="0">
                  <c:v>227.52</c:v>
                </c:pt>
                <c:pt idx="1">
                  <c:v>227.52</c:v>
                </c:pt>
                <c:pt idx="2">
                  <c:v>1168.16</c:v>
                </c:pt>
                <c:pt idx="3">
                  <c:v>1168.16</c:v>
                </c:pt>
              </c:numCache>
            </c:numRef>
          </c:val>
        </c:ser>
        <c:dLbls>
          <c:showLegendKey val="0"/>
          <c:showVal val="0"/>
          <c:showCatName val="0"/>
          <c:showSerName val="0"/>
          <c:showPercent val="0"/>
          <c:showBubbleSize val="0"/>
        </c:dLbls>
        <c:gapWidth val="219"/>
        <c:overlap val="-27"/>
        <c:axId val="723306068"/>
        <c:axId val="446659225"/>
      </c:barChart>
      <c:catAx>
        <c:axId val="7233060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659225"/>
        <c:crosses val="autoZero"/>
        <c:auto val="1"/>
        <c:lblAlgn val="ctr"/>
        <c:lblOffset val="100"/>
        <c:noMultiLvlLbl val="0"/>
      </c:catAx>
      <c:valAx>
        <c:axId val="4466592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3060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t>收入决算结构图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18058968058968"/>
          <c:y val="0.11191662890802"/>
          <c:w val="0.938882063882064"/>
          <c:h val="0.710466696873584"/>
        </c:manualLayout>
      </c:layout>
      <c:pie3DChart>
        <c:varyColors val="1"/>
        <c:ser>
          <c:idx val="0"/>
          <c:order val="0"/>
          <c:spPr>
            <a:scene3d>
              <a:camera prst="orthographicFront"/>
              <a:lightRig rig="threePt" dir="t"/>
            </a:scene3d>
            <a:sp3d contourW="9525"/>
          </c:spPr>
          <c:explosion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'[新建 XLS 工作表.xls]Sheet1'!$A$1:$A$2</c:f>
              <c:strCache>
                <c:ptCount val="2"/>
                <c:pt idx="0">
                  <c:v>财政拨款收入</c:v>
                </c:pt>
                <c:pt idx="1">
                  <c:v>其他收入（非本级财政拨款收入）</c:v>
                </c:pt>
              </c:strCache>
            </c:strRef>
          </c:cat>
          <c:val>
            <c:numRef>
              <c:f>'[新建 XLS 工作表.xls]Sheet1'!$B$1:$B$2</c:f>
              <c:numCache>
                <c:formatCode>General</c:formatCode>
                <c:ptCount val="2"/>
                <c:pt idx="0">
                  <c:v>446.56</c:v>
                </c:pt>
                <c:pt idx="1">
                  <c:v>721.6</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t>支出决算结构图</a:t>
            </a: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noFill/>
              </a:ln>
              <a:effectLst>
                <a:outerShdw blurRad="88900" sx="102000" sy="102000" algn="ctr" rotWithShape="0">
                  <a:prstClr val="black">
                    <a:alpha val="20000"/>
                  </a:prstClr>
                </a:outerShdw>
              </a:effectLst>
            </c:spPr>
          </c:dPt>
          <c:dPt>
            <c:idx val="1"/>
            <c:bubble3D val="0"/>
            <c:spPr>
              <a:solidFill>
                <a:schemeClr val="accent2"/>
              </a:solidFill>
              <a:ln>
                <a:noFill/>
              </a:ln>
              <a:effectLst>
                <a:outerShdw blurRad="88900" sx="102000" sy="102000" algn="ctr" rotWithShape="0">
                  <a:prstClr val="black">
                    <a:alpha val="2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'[新建 XLS 工作表.xls]Sheet1'!$A$1:$A$2</c:f>
              <c:strCache>
                <c:ptCount val="2"/>
                <c:pt idx="0">
                  <c:v>基本支出</c:v>
                </c:pt>
                <c:pt idx="1">
                  <c:v>项目支出</c:v>
                </c:pt>
              </c:strCache>
            </c:strRef>
          </c:cat>
          <c:val>
            <c:numRef>
              <c:f>'[新建 XLS 工作表.xls]Sheet1'!$B$1:$B$2</c:f>
              <c:numCache>
                <c:formatCode>General</c:formatCode>
                <c:ptCount val="2"/>
                <c:pt idx="0">
                  <c:v>446.56</c:v>
                </c:pt>
                <c:pt idx="1">
                  <c:v>721.6</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manualLayout>
          <c:layoutTarget val="inner"/>
          <c:xMode val="edge"/>
          <c:yMode val="edge"/>
          <c:x val="0.101194444444444"/>
          <c:y val="0.296573208722741"/>
          <c:w val="0.894638888888889"/>
          <c:h val="0.35370716510903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'[新建 XLS 工作表.xls]Sheet1'!$A$1:$A$4</c:f>
              <c:strCache>
                <c:ptCount val="4"/>
                <c:pt idx="0">
                  <c:v>2023年财政拨款收入</c:v>
                </c:pt>
                <c:pt idx="1">
                  <c:v>2023年财政拨款支出</c:v>
                </c:pt>
                <c:pt idx="2">
                  <c:v>2024年财政拨款收入</c:v>
                </c:pt>
                <c:pt idx="3">
                  <c:v>2024年财政拨款支出</c:v>
                </c:pt>
              </c:strCache>
            </c:strRef>
          </c:cat>
          <c:val>
            <c:numRef>
              <c:f>'[新建 XLS 工作表.xls]Sheet1'!$B$1:$B$4</c:f>
              <c:numCache>
                <c:formatCode>General</c:formatCode>
                <c:ptCount val="4"/>
                <c:pt idx="0">
                  <c:v>227.52</c:v>
                </c:pt>
                <c:pt idx="1">
                  <c:v>227.52</c:v>
                </c:pt>
                <c:pt idx="2">
                  <c:v>446.56</c:v>
                </c:pt>
                <c:pt idx="3">
                  <c:v>446.56</c:v>
                </c:pt>
              </c:numCache>
            </c:numRef>
          </c:val>
        </c:ser>
        <c:dLbls>
          <c:showLegendKey val="0"/>
          <c:showVal val="1"/>
          <c:showCatName val="0"/>
          <c:showSerName val="0"/>
          <c:showPercent val="0"/>
          <c:showBubbleSize val="0"/>
        </c:dLbls>
        <c:gapWidth val="444"/>
        <c:overlap val="-90"/>
        <c:axId val="611851758"/>
        <c:axId val="10140017"/>
      </c:barChart>
      <c:catAx>
        <c:axId val="61185175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0140017"/>
        <c:crosses val="autoZero"/>
        <c:auto val="1"/>
        <c:lblAlgn val="ctr"/>
        <c:lblOffset val="100"/>
        <c:noMultiLvlLbl val="0"/>
      </c:catAx>
      <c:valAx>
        <c:axId val="10140017"/>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185175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'[新建 XLS 工作表.xls]Sheet1'!$A$1:$A$2</c:f>
              <c:strCache>
                <c:ptCount val="2"/>
                <c:pt idx="0">
                  <c:v>2023年财政拨款支出</c:v>
                </c:pt>
                <c:pt idx="1">
                  <c:v>2024年财政拨款支出</c:v>
                </c:pt>
              </c:strCache>
            </c:strRef>
          </c:cat>
          <c:val>
            <c:numRef>
              <c:f>'[新建 XLS 工作表.xls]Sheet1'!$B$1:$B$2</c:f>
              <c:numCache>
                <c:formatCode>General</c:formatCode>
                <c:ptCount val="2"/>
                <c:pt idx="0">
                  <c:v>227.52</c:v>
                </c:pt>
                <c:pt idx="1">
                  <c:v>446.56</c:v>
                </c:pt>
              </c:numCache>
            </c:numRef>
          </c:val>
        </c:ser>
        <c:dLbls>
          <c:showLegendKey val="0"/>
          <c:showVal val="1"/>
          <c:showCatName val="0"/>
          <c:showSerName val="0"/>
          <c:showPercent val="0"/>
          <c:showBubbleSize val="0"/>
        </c:dLbls>
        <c:gapWidth val="444"/>
        <c:overlap val="-90"/>
        <c:axId val="611851758"/>
        <c:axId val="10140017"/>
      </c:barChart>
      <c:catAx>
        <c:axId val="611851758"/>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0140017"/>
        <c:crosses val="autoZero"/>
        <c:auto val="1"/>
        <c:lblAlgn val="ctr"/>
        <c:lblOffset val="100"/>
        <c:noMultiLvlLbl val="0"/>
      </c:catAx>
      <c:valAx>
        <c:axId val="10140017"/>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185175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99861111111111"/>
          <c:y val="0.0347222222222222"/>
        </c:manualLayout>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326388888888889"/>
          <c:y val="0.176388888888889"/>
          <c:w val="0.938888888888889"/>
          <c:h val="0.667824074074074"/>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c:spPr>
          </c:dPt>
          <c:dPt>
            <c:idx val="1"/>
            <c:bubble3D val="0"/>
            <c:spPr>
              <a:solidFill>
                <a:schemeClr val="accent2"/>
              </a:solidFill>
              <a:ln w="25400">
                <a:solidFill>
                  <a:schemeClr val="lt1"/>
                </a:solidFill>
              </a:ln>
              <a:effectLst/>
            </c:spPr>
          </c:dPt>
          <c:dPt>
            <c:idx val="2"/>
            <c:bubble3D val="0"/>
            <c:spPr>
              <a:solidFill>
                <a:schemeClr val="accent3"/>
              </a:solidFill>
              <a:ln w="25400">
                <a:solidFill>
                  <a:schemeClr val="lt1"/>
                </a:solidFill>
              </a:ln>
              <a:effectLst/>
            </c:spPr>
          </c:dPt>
          <c:dPt>
            <c:idx val="3"/>
            <c:bubble3D val="0"/>
            <c:spPr>
              <a:solidFill>
                <a:schemeClr val="accent4"/>
              </a:solidFill>
              <a:ln w="25400">
                <a:solidFill>
                  <a:schemeClr val="lt1"/>
                </a:solidFill>
              </a:ln>
              <a:effectLst/>
            </c:spPr>
          </c:dPt>
          <c:dLbls>
            <c:delete val="1"/>
          </c:dLbls>
          <c:cat>
            <c:strRef>
              <c:f>'[新建 XLS 工作表.xls]Sheet1'!$A$1:$A$4</c:f>
              <c:strCache>
                <c:ptCount val="4"/>
                <c:pt idx="0">
                  <c:v>社会保障和就业支出</c:v>
                </c:pt>
                <c:pt idx="1">
                  <c:v>卫生健康支出</c:v>
                </c:pt>
                <c:pt idx="2">
                  <c:v>节能环保支出</c:v>
                </c:pt>
                <c:pt idx="3">
                  <c:v>住房保障支出</c:v>
                </c:pt>
              </c:strCache>
            </c:strRef>
          </c:cat>
          <c:val>
            <c:numRef>
              <c:f>'[新建 XLS 工作表.xls]Sheet1'!$B$1:$B$4</c:f>
              <c:numCache>
                <c:formatCode>General</c:formatCode>
                <c:ptCount val="4"/>
                <c:pt idx="0">
                  <c:v>27.1</c:v>
                </c:pt>
                <c:pt idx="1">
                  <c:v>11.66</c:v>
                </c:pt>
                <c:pt idx="2">
                  <c:v>393.68</c:v>
                </c:pt>
                <c:pt idx="3">
                  <c:v>14.12</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elete val="1"/>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{0,11.52,1.08}</c:f>
              <c:numCache>
                <c:formatCode>General</c:formatCode>
                <c:ptCount val="3"/>
                <c:pt idx="0">
                  <c:v>0</c:v>
                </c:pt>
                <c:pt idx="1">
                  <c:v>11.52</c:v>
                </c:pt>
                <c:pt idx="2">
                  <c:v>1.08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11237</Words>
  <Characters>12134</Characters>
  <Lines>61</Lines>
  <Paragraphs>17</Paragraphs>
  <TotalTime>16</TotalTime>
  <ScaleCrop>false</ScaleCrop>
  <LinksUpToDate>false</LinksUpToDate>
  <CharactersWithSpaces>12329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2025-09-18T02:13:57Z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DDDC032F01614F35A6D305B4D09C814B</vt:lpwstr>
  </property>
  <property fmtid="{D5CDD505-2E9C-101B-9397-08002B2CF9AE}" pid="4" name="KSOTemplateDocerSaveRecord">
    <vt:lpwstr>eyJoZGlkIjoiNGNiOWViNDY4NDY4OTM0MTFjNjZjYjczOTYyOTQ3Y2QiLCJ1c2VySWQiOiI2MjE2ODU1MDgifQ==</vt:lpwstr>
  </property>
</Properties>
</file>