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0C27E">
      <w:pPr>
        <w:spacing w:line="600" w:lineRule="exact"/>
        <w:jc w:val="left"/>
        <w:outlineLvl w:val="0"/>
        <w:rPr>
          <w:rFonts w:ascii="方正小标宋简体" w:hAnsi="宋体" w:eastAsia="方正小标宋简体"/>
          <w:szCs w:val="21"/>
        </w:rPr>
      </w:pPr>
      <w:bookmarkStart w:id="0" w:name="_Toc15306267"/>
    </w:p>
    <w:p w14:paraId="4D1D32D0">
      <w:pPr>
        <w:pStyle w:val="9"/>
        <w:spacing w:before="93"/>
      </w:pPr>
    </w:p>
    <w:p w14:paraId="76DFEB6A">
      <w:pPr>
        <w:spacing w:line="600" w:lineRule="exact"/>
        <w:jc w:val="center"/>
        <w:outlineLvl w:val="0"/>
        <w:rPr>
          <w:rFonts w:ascii="方正小标宋简体" w:hAnsi="宋体" w:eastAsia="方正小标宋简体"/>
          <w:sz w:val="72"/>
          <w:szCs w:val="72"/>
        </w:rPr>
      </w:pPr>
    </w:p>
    <w:p w14:paraId="363B781A">
      <w:pPr>
        <w:spacing w:line="600" w:lineRule="exact"/>
        <w:jc w:val="center"/>
        <w:outlineLvl w:val="0"/>
        <w:rPr>
          <w:rFonts w:ascii="方正小标宋简体" w:hAnsi="宋体" w:eastAsia="方正小标宋简体"/>
          <w:sz w:val="72"/>
          <w:szCs w:val="72"/>
        </w:rPr>
      </w:pPr>
    </w:p>
    <w:p w14:paraId="6262ED68">
      <w:pPr>
        <w:adjustRightInd w:val="0"/>
        <w:snapToGrid w:val="0"/>
        <w:spacing w:line="360" w:lineRule="auto"/>
        <w:jc w:val="center"/>
        <w:outlineLvl w:val="0"/>
        <w:rPr>
          <w:rFonts w:hint="eastAsia" w:ascii="仿宋" w:hAnsi="仿宋" w:eastAsia="仿宋" w:cs="仿宋"/>
          <w:sz w:val="72"/>
          <w:szCs w:val="72"/>
        </w:rPr>
      </w:pPr>
      <w:bookmarkStart w:id="1" w:name="_Toc15396475"/>
      <w:bookmarkStart w:id="2" w:name="_Toc15377193"/>
      <w:bookmarkStart w:id="3" w:name="_Toc15396597"/>
      <w:bookmarkStart w:id="4" w:name="_Toc15378441"/>
      <w:bookmarkStart w:id="5" w:name="_Toc15377425"/>
      <w:r>
        <w:rPr>
          <w:rFonts w:hint="eastAsia" w:ascii="仿宋" w:hAnsi="仿宋" w:eastAsia="仿宋" w:cs="仿宋"/>
          <w:sz w:val="72"/>
          <w:szCs w:val="72"/>
        </w:rPr>
        <w:t>202</w:t>
      </w:r>
      <w:r>
        <w:rPr>
          <w:rFonts w:hint="eastAsia" w:ascii="仿宋" w:hAnsi="仿宋" w:eastAsia="仿宋" w:cs="仿宋"/>
          <w:sz w:val="72"/>
          <w:szCs w:val="72"/>
          <w:lang w:val="en-US" w:eastAsia="zh-CN"/>
        </w:rPr>
        <w:t>4</w:t>
      </w:r>
      <w:r>
        <w:rPr>
          <w:rFonts w:hint="eastAsia" w:ascii="仿宋" w:hAnsi="仿宋" w:eastAsia="仿宋" w:cs="仿宋"/>
          <w:sz w:val="72"/>
          <w:szCs w:val="72"/>
        </w:rPr>
        <w:t>年度</w:t>
      </w:r>
      <w:bookmarkEnd w:id="1"/>
      <w:bookmarkEnd w:id="2"/>
      <w:bookmarkEnd w:id="3"/>
      <w:bookmarkEnd w:id="4"/>
      <w:bookmarkEnd w:id="5"/>
    </w:p>
    <w:p w14:paraId="3C8FF95F">
      <w:pPr>
        <w:adjustRightInd w:val="0"/>
        <w:snapToGrid w:val="0"/>
        <w:spacing w:line="360" w:lineRule="auto"/>
        <w:jc w:val="center"/>
        <w:outlineLvl w:val="0"/>
        <w:rPr>
          <w:rFonts w:hint="eastAsia" w:ascii="仿宋" w:hAnsi="仿宋" w:eastAsia="仿宋" w:cs="仿宋"/>
          <w:sz w:val="72"/>
          <w:szCs w:val="72"/>
          <w:lang w:val="en-US" w:eastAsia="zh-CN"/>
        </w:rPr>
      </w:pPr>
      <w:bookmarkStart w:id="6" w:name="_Toc15378442"/>
      <w:bookmarkStart w:id="7" w:name="_Toc15396598"/>
      <w:bookmarkStart w:id="8" w:name="_Toc15377426"/>
      <w:bookmarkStart w:id="9" w:name="_Toc15396476"/>
      <w:bookmarkStart w:id="10" w:name="_Toc15377194"/>
      <w:r>
        <w:rPr>
          <w:rFonts w:hint="eastAsia" w:ascii="仿宋" w:hAnsi="仿宋" w:eastAsia="仿宋" w:cs="仿宋"/>
          <w:sz w:val="72"/>
          <w:szCs w:val="72"/>
        </w:rPr>
        <w:t>四川省</w:t>
      </w:r>
      <w:bookmarkEnd w:id="0"/>
      <w:bookmarkStart w:id="11" w:name="_Toc15306268"/>
      <w:r>
        <w:rPr>
          <w:rFonts w:hint="eastAsia" w:ascii="仿宋" w:hAnsi="仿宋" w:eastAsia="仿宋" w:cs="仿宋"/>
          <w:sz w:val="72"/>
          <w:szCs w:val="72"/>
        </w:rPr>
        <w:t>阿坝州马尔康环境监测站单位决算</w:t>
      </w:r>
      <w:bookmarkEnd w:id="6"/>
      <w:bookmarkEnd w:id="7"/>
      <w:bookmarkEnd w:id="8"/>
      <w:bookmarkEnd w:id="9"/>
      <w:bookmarkEnd w:id="10"/>
      <w:bookmarkEnd w:id="11"/>
      <w:r>
        <w:rPr>
          <w:rFonts w:hint="eastAsia" w:ascii="仿宋" w:hAnsi="仿宋" w:eastAsia="仿宋" w:cs="仿宋"/>
          <w:sz w:val="72"/>
          <w:szCs w:val="72"/>
          <w:lang w:val="en-US" w:eastAsia="zh-CN"/>
        </w:rPr>
        <w:t>公开</w:t>
      </w:r>
    </w:p>
    <w:p w14:paraId="25E31F61">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7BCC3E4B">
      <w:pPr>
        <w:widowControl/>
        <w:jc w:val="center"/>
        <w:rPr>
          <w:rFonts w:ascii="黑体" w:hAnsi="黑体" w:eastAsia="黑体" w:cstheme="minorBidi"/>
          <w:sz w:val="28"/>
          <w:szCs w:val="28"/>
        </w:rPr>
      </w:pPr>
    </w:p>
    <w:p w14:paraId="2398002C">
      <w:pPr>
        <w:pStyle w:val="15"/>
      </w:pPr>
      <w:r>
        <w:rPr>
          <w:rFonts w:hint="eastAsia"/>
        </w:rPr>
        <w:t>公开时间：202</w:t>
      </w:r>
      <w:r>
        <w:rPr>
          <w:rFonts w:hint="eastAsia"/>
          <w:lang w:val="en-US" w:eastAsia="zh-CN"/>
        </w:rPr>
        <w:t>4</w:t>
      </w:r>
      <w:r>
        <w:rPr>
          <w:rFonts w:hint="eastAsia"/>
        </w:rPr>
        <w:t>年9月</w:t>
      </w:r>
      <w:r>
        <w:rPr>
          <w:rFonts w:hint="eastAsia"/>
          <w:lang w:val="en-US" w:eastAsia="zh-CN"/>
        </w:rPr>
        <w:t>15</w:t>
      </w:r>
      <w:r>
        <w:rPr>
          <w:rFonts w:hint="eastAsia"/>
        </w:rPr>
        <w:t>日</w:t>
      </w:r>
    </w:p>
    <w:p w14:paraId="5095E4EE"/>
    <w:p w14:paraId="1ACD386D">
      <w:pPr>
        <w:pStyle w:val="15"/>
        <w:tabs>
          <w:tab w:val="right" w:leader="dot" w:pos="8306"/>
          <w:tab w:val="clear" w:pos="8296"/>
        </w:tabs>
      </w:pPr>
      <w:bookmarkStart w:id="12" w:name="_Toc15377196"/>
      <w:bookmarkStart w:id="13" w:name="_Toc15396599"/>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_Toc1816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lang w:val="en-US" w:eastAsia="zh-CN"/>
        </w:rPr>
        <w:t>单位</w:t>
      </w:r>
      <w:r>
        <w:rPr>
          <w:rFonts w:hint="eastAsia" w:ascii="黑体" w:hAnsi="黑体" w:eastAsia="黑体" w:cs="黑体"/>
          <w:bCs w:val="0"/>
        </w:rPr>
        <w:t>概况</w:t>
      </w:r>
      <w:r>
        <w:tab/>
      </w:r>
      <w:r>
        <w:rPr>
          <w:rFonts w:hint="eastAsia"/>
          <w:sz w:val="21"/>
          <w:szCs w:val="21"/>
          <w:lang w:val="en-US" w:eastAsia="zh-CN"/>
        </w:rPr>
        <w:t>3</w:t>
      </w:r>
      <w:r>
        <w:rPr>
          <w:smallCaps/>
          <w:szCs w:val="20"/>
        </w:rPr>
        <w:fldChar w:fldCharType="end"/>
      </w:r>
    </w:p>
    <w:p w14:paraId="102E9E76">
      <w:pPr>
        <w:pStyle w:val="16"/>
        <w:tabs>
          <w:tab w:val="right" w:leader="dot" w:pos="8306"/>
          <w:tab w:val="clear" w:pos="8296"/>
        </w:tabs>
      </w:pPr>
      <w:r>
        <w:rPr>
          <w:smallCaps/>
          <w:szCs w:val="20"/>
        </w:rPr>
        <w:fldChar w:fldCharType="begin"/>
      </w:r>
      <w:r>
        <w:rPr>
          <w:smallCaps/>
          <w:szCs w:val="20"/>
        </w:rPr>
        <w:instrText xml:space="preserve"> HYPERLINK \l _Toc24373 </w:instrText>
      </w:r>
      <w:r>
        <w:rPr>
          <w:smallCaps/>
          <w:szCs w:val="20"/>
        </w:rPr>
        <w:fldChar w:fldCharType="separate"/>
      </w:r>
      <w:r>
        <w:rPr>
          <w:rFonts w:hint="eastAsia" w:ascii="黑体" w:eastAsia="黑体" w:cs="Times New Roman"/>
          <w:bCs w:val="0"/>
        </w:rPr>
        <w:t>一、</w:t>
      </w:r>
      <w:r>
        <w:rPr>
          <w:rFonts w:hint="eastAsia" w:ascii="黑体" w:eastAsia="黑体" w:cs="Times New Roman"/>
          <w:bCs w:val="0"/>
          <w:lang w:val="en-US" w:eastAsia="zh-CN"/>
        </w:rPr>
        <w:t>主要</w:t>
      </w:r>
      <w:r>
        <w:rPr>
          <w:rFonts w:hint="eastAsia" w:ascii="黑体" w:eastAsia="黑体" w:cs="Times New Roman"/>
          <w:bCs w:val="0"/>
        </w:rPr>
        <w:t>职责</w:t>
      </w:r>
      <w:r>
        <w:tab/>
      </w:r>
      <w:r>
        <w:rPr>
          <w:rFonts w:hint="eastAsia"/>
          <w:lang w:val="en-US" w:eastAsia="zh-CN"/>
        </w:rPr>
        <w:t>3</w:t>
      </w:r>
      <w:r>
        <w:rPr>
          <w:smallCaps/>
          <w:szCs w:val="20"/>
        </w:rPr>
        <w:fldChar w:fldCharType="end"/>
      </w:r>
    </w:p>
    <w:p w14:paraId="42D8471D">
      <w:pPr>
        <w:pStyle w:val="16"/>
        <w:tabs>
          <w:tab w:val="right" w:leader="dot" w:pos="8306"/>
          <w:tab w:val="clear" w:pos="8296"/>
        </w:tabs>
      </w:pPr>
      <w:r>
        <w:rPr>
          <w:smallCaps/>
          <w:szCs w:val="20"/>
        </w:rPr>
        <w:fldChar w:fldCharType="begin"/>
      </w:r>
      <w:r>
        <w:rPr>
          <w:smallCaps/>
          <w:szCs w:val="20"/>
        </w:rPr>
        <w:instrText xml:space="preserve"> HYPERLINK \l _Toc31790 </w:instrText>
      </w:r>
      <w:r>
        <w:rPr>
          <w:smallCaps/>
          <w:szCs w:val="20"/>
        </w:rPr>
        <w:fldChar w:fldCharType="separate"/>
      </w:r>
      <w:r>
        <w:rPr>
          <w:rFonts w:hint="eastAsia" w:ascii="黑体" w:eastAsia="黑体" w:cs="Times New Roman"/>
          <w:bCs w:val="0"/>
        </w:rPr>
        <w:t>二、机构设置</w:t>
      </w:r>
      <w:r>
        <w:tab/>
      </w:r>
      <w:r>
        <w:rPr>
          <w:rFonts w:hint="eastAsia"/>
          <w:lang w:val="en-US" w:eastAsia="zh-CN"/>
        </w:rPr>
        <w:t>3</w:t>
      </w:r>
      <w:r>
        <w:rPr>
          <w:smallCaps/>
          <w:szCs w:val="20"/>
        </w:rPr>
        <w:fldChar w:fldCharType="end"/>
      </w:r>
    </w:p>
    <w:p w14:paraId="708BE7BE">
      <w:pPr>
        <w:pStyle w:val="15"/>
        <w:tabs>
          <w:tab w:val="right" w:leader="dot" w:pos="8306"/>
          <w:tab w:val="clear" w:pos="8296"/>
        </w:tabs>
      </w:pPr>
      <w:r>
        <w:rPr>
          <w:smallCaps/>
          <w:szCs w:val="20"/>
        </w:rPr>
        <w:fldChar w:fldCharType="begin"/>
      </w:r>
      <w:r>
        <w:rPr>
          <w:smallCaps/>
          <w:szCs w:val="20"/>
        </w:rPr>
        <w:instrText xml:space="preserve"> HYPERLINK \l _Toc16001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w:t>
      </w:r>
      <w:r>
        <w:rPr>
          <w:rFonts w:hint="eastAsia" w:ascii="黑体" w:hAnsi="黑体" w:eastAsia="黑体" w:cs="黑体"/>
          <w:lang w:val="en-US" w:eastAsia="zh-CN"/>
        </w:rPr>
        <w:t>4</w:t>
      </w:r>
      <w:r>
        <w:rPr>
          <w:rFonts w:ascii="黑体" w:hAnsi="黑体" w:eastAsia="黑体" w:cs="黑体"/>
          <w:u w:color="auto"/>
        </w:rPr>
        <w:t>年度部门决算情况说明</w:t>
      </w:r>
      <w:r>
        <w:tab/>
      </w:r>
      <w:r>
        <w:rPr>
          <w:sz w:val="21"/>
          <w:szCs w:val="21"/>
        </w:rPr>
        <w:fldChar w:fldCharType="begin"/>
      </w:r>
      <w:r>
        <w:rPr>
          <w:sz w:val="21"/>
          <w:szCs w:val="21"/>
        </w:rPr>
        <w:instrText xml:space="preserve"> PAGEREF _Toc16001 \h </w:instrText>
      </w:r>
      <w:r>
        <w:rPr>
          <w:sz w:val="21"/>
          <w:szCs w:val="21"/>
        </w:rPr>
        <w:fldChar w:fldCharType="separate"/>
      </w:r>
      <w:r>
        <w:rPr>
          <w:sz w:val="21"/>
          <w:szCs w:val="21"/>
        </w:rPr>
        <w:t>4</w:t>
      </w:r>
      <w:r>
        <w:rPr>
          <w:sz w:val="21"/>
          <w:szCs w:val="21"/>
        </w:rPr>
        <w:fldChar w:fldCharType="end"/>
      </w:r>
      <w:r>
        <w:rPr>
          <w:smallCaps/>
          <w:szCs w:val="20"/>
        </w:rPr>
        <w:fldChar w:fldCharType="end"/>
      </w:r>
    </w:p>
    <w:p w14:paraId="37338625">
      <w:pPr>
        <w:pStyle w:val="16"/>
        <w:tabs>
          <w:tab w:val="right" w:leader="dot" w:pos="8306"/>
          <w:tab w:val="clear" w:pos="8296"/>
        </w:tabs>
      </w:pPr>
      <w:r>
        <w:rPr>
          <w:smallCaps/>
          <w:szCs w:val="20"/>
        </w:rPr>
        <w:fldChar w:fldCharType="begin"/>
      </w:r>
      <w:r>
        <w:rPr>
          <w:smallCaps/>
          <w:szCs w:val="20"/>
        </w:rPr>
        <w:instrText xml:space="preserve"> HYPERLINK \l _Toc20541 </w:instrText>
      </w:r>
      <w:r>
        <w:rPr>
          <w:smallCaps/>
          <w:szCs w:val="20"/>
        </w:rPr>
        <w:fldChar w:fldCharType="separate"/>
      </w:r>
      <w:r>
        <w:rPr>
          <w:rFonts w:hint="eastAsia" w:ascii="黑体" w:eastAsia="黑体" w:cs="Times New Roman"/>
          <w:bCs w:val="0"/>
        </w:rPr>
        <w:t>一、收入支出决算总体情况说明</w:t>
      </w:r>
      <w:r>
        <w:tab/>
      </w:r>
      <w:r>
        <w:rPr>
          <w:rFonts w:hint="eastAsia"/>
          <w:lang w:val="en-US" w:eastAsia="zh-CN"/>
        </w:rPr>
        <w:t>4</w:t>
      </w:r>
      <w:r>
        <w:rPr>
          <w:smallCaps/>
          <w:szCs w:val="20"/>
        </w:rPr>
        <w:fldChar w:fldCharType="end"/>
      </w:r>
    </w:p>
    <w:p w14:paraId="5AE8D716">
      <w:pPr>
        <w:pStyle w:val="16"/>
        <w:tabs>
          <w:tab w:val="right" w:leader="dot" w:pos="8306"/>
          <w:tab w:val="clear" w:pos="8296"/>
        </w:tabs>
      </w:pPr>
      <w:r>
        <w:rPr>
          <w:smallCaps/>
          <w:szCs w:val="20"/>
        </w:rPr>
        <w:fldChar w:fldCharType="begin"/>
      </w:r>
      <w:r>
        <w:rPr>
          <w:smallCaps/>
          <w:szCs w:val="20"/>
        </w:rPr>
        <w:instrText xml:space="preserve"> HYPERLINK \l _Toc25498 </w:instrText>
      </w:r>
      <w:r>
        <w:rPr>
          <w:smallCaps/>
          <w:szCs w:val="20"/>
        </w:rPr>
        <w:fldChar w:fldCharType="separate"/>
      </w:r>
      <w:r>
        <w:rPr>
          <w:rFonts w:hint="eastAsia" w:ascii="黑体" w:eastAsia="黑体" w:cs="Times New Roman"/>
          <w:bCs w:val="0"/>
        </w:rPr>
        <w:t>二、收入决算情况说明</w:t>
      </w:r>
      <w:r>
        <w:tab/>
      </w:r>
      <w:r>
        <w:rPr>
          <w:rFonts w:hint="eastAsia"/>
          <w:lang w:val="en-US" w:eastAsia="zh-CN"/>
        </w:rPr>
        <w:t>4</w:t>
      </w:r>
      <w:r>
        <w:rPr>
          <w:smallCaps/>
          <w:szCs w:val="20"/>
        </w:rPr>
        <w:fldChar w:fldCharType="end"/>
      </w:r>
    </w:p>
    <w:p w14:paraId="645CD528">
      <w:pPr>
        <w:pStyle w:val="16"/>
        <w:tabs>
          <w:tab w:val="right" w:leader="dot" w:pos="8306"/>
          <w:tab w:val="clear" w:pos="8296"/>
        </w:tabs>
      </w:pPr>
      <w:r>
        <w:rPr>
          <w:smallCaps/>
          <w:szCs w:val="20"/>
        </w:rPr>
        <w:fldChar w:fldCharType="begin"/>
      </w:r>
      <w:r>
        <w:rPr>
          <w:smallCaps/>
          <w:szCs w:val="20"/>
        </w:rPr>
        <w:instrText xml:space="preserve"> HYPERLINK \l _Toc6080 </w:instrText>
      </w:r>
      <w:r>
        <w:rPr>
          <w:smallCaps/>
          <w:szCs w:val="20"/>
        </w:rPr>
        <w:fldChar w:fldCharType="separate"/>
      </w:r>
      <w:r>
        <w:rPr>
          <w:rFonts w:hint="eastAsia" w:ascii="黑体" w:eastAsia="黑体" w:cs="Times New Roman"/>
          <w:bCs w:val="0"/>
        </w:rPr>
        <w:t>三、支出决算情况说明</w:t>
      </w:r>
      <w:r>
        <w:tab/>
      </w:r>
      <w:r>
        <w:rPr>
          <w:rFonts w:hint="eastAsia"/>
          <w:lang w:val="en-US" w:eastAsia="zh-CN"/>
        </w:rPr>
        <w:t>5</w:t>
      </w:r>
      <w:r>
        <w:rPr>
          <w:smallCaps/>
          <w:szCs w:val="20"/>
        </w:rPr>
        <w:fldChar w:fldCharType="end"/>
      </w:r>
    </w:p>
    <w:p w14:paraId="1BBB0E2E">
      <w:pPr>
        <w:pStyle w:val="16"/>
        <w:tabs>
          <w:tab w:val="right" w:leader="dot" w:pos="8306"/>
          <w:tab w:val="clear" w:pos="8296"/>
        </w:tabs>
      </w:pPr>
      <w:r>
        <w:rPr>
          <w:smallCaps/>
          <w:szCs w:val="20"/>
        </w:rPr>
        <w:fldChar w:fldCharType="begin"/>
      </w:r>
      <w:r>
        <w:rPr>
          <w:smallCaps/>
          <w:szCs w:val="20"/>
        </w:rPr>
        <w:instrText xml:space="preserve"> HYPERLINK \l _Toc6346 </w:instrText>
      </w:r>
      <w:r>
        <w:rPr>
          <w:smallCaps/>
          <w:szCs w:val="20"/>
        </w:rPr>
        <w:fldChar w:fldCharType="separate"/>
      </w:r>
      <w:r>
        <w:rPr>
          <w:rFonts w:hint="eastAsia" w:ascii="黑体" w:eastAsia="黑体" w:cs="Times New Roman"/>
          <w:bCs w:val="0"/>
        </w:rPr>
        <w:t>四、财政拨款收入支出决算总体情况说明</w:t>
      </w:r>
      <w:r>
        <w:tab/>
      </w:r>
      <w:r>
        <w:rPr>
          <w:rFonts w:hint="eastAsia"/>
          <w:lang w:val="en-US" w:eastAsia="zh-CN"/>
        </w:rPr>
        <w:t>6</w:t>
      </w:r>
      <w:r>
        <w:rPr>
          <w:smallCaps/>
          <w:szCs w:val="20"/>
        </w:rPr>
        <w:fldChar w:fldCharType="end"/>
      </w:r>
    </w:p>
    <w:p w14:paraId="2EB89972">
      <w:pPr>
        <w:pStyle w:val="16"/>
        <w:tabs>
          <w:tab w:val="right" w:leader="dot" w:pos="8306"/>
          <w:tab w:val="clear" w:pos="8296"/>
        </w:tabs>
      </w:pPr>
      <w:r>
        <w:rPr>
          <w:smallCaps/>
          <w:szCs w:val="20"/>
        </w:rPr>
        <w:fldChar w:fldCharType="begin"/>
      </w:r>
      <w:r>
        <w:rPr>
          <w:smallCaps/>
          <w:szCs w:val="20"/>
        </w:rPr>
        <w:instrText xml:space="preserve"> HYPERLINK \l _Toc17578 </w:instrText>
      </w:r>
      <w:r>
        <w:rPr>
          <w:smallCaps/>
          <w:szCs w:val="20"/>
        </w:rPr>
        <w:fldChar w:fldCharType="separate"/>
      </w:r>
      <w:r>
        <w:rPr>
          <w:rFonts w:hint="eastAsia" w:ascii="黑体" w:eastAsia="黑体" w:cs="Times New Roman"/>
          <w:bCs w:val="0"/>
        </w:rPr>
        <w:t>五、一般公共预算财政拨款支出决算情况说明</w:t>
      </w:r>
      <w:r>
        <w:tab/>
      </w:r>
      <w:r>
        <w:rPr>
          <w:rFonts w:hint="eastAsia"/>
          <w:lang w:val="en-US" w:eastAsia="zh-CN"/>
        </w:rPr>
        <w:t>7</w:t>
      </w:r>
      <w:r>
        <w:rPr>
          <w:smallCaps/>
          <w:szCs w:val="20"/>
        </w:rPr>
        <w:fldChar w:fldCharType="end"/>
      </w:r>
    </w:p>
    <w:p w14:paraId="7E1EF91D">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_Toc24000 </w:instrText>
      </w:r>
      <w:r>
        <w:rPr>
          <w:smallCaps/>
          <w:szCs w:val="20"/>
        </w:rPr>
        <w:fldChar w:fldCharType="separate"/>
      </w:r>
      <w:r>
        <w:rPr>
          <w:rFonts w:hint="eastAsia" w:ascii="黑体" w:eastAsia="黑体" w:cs="Times New Roman"/>
          <w:bCs w:val="0"/>
        </w:rPr>
        <w:t>六、一般公共预算财政拨款基本支出决算情况说明</w:t>
      </w:r>
      <w:r>
        <w:tab/>
      </w:r>
      <w:r>
        <w:rPr>
          <w:rFonts w:hint="eastAsia"/>
          <w:lang w:val="en-US" w:eastAsia="zh-CN"/>
        </w:rPr>
        <w:t>1</w:t>
      </w:r>
      <w:r>
        <w:rPr>
          <w:smallCaps/>
          <w:szCs w:val="20"/>
        </w:rPr>
        <w:fldChar w:fldCharType="end"/>
      </w:r>
      <w:r>
        <w:rPr>
          <w:rFonts w:hint="eastAsia"/>
          <w:smallCaps/>
          <w:szCs w:val="20"/>
          <w:lang w:val="en-US" w:eastAsia="zh-CN"/>
        </w:rPr>
        <w:t>0</w:t>
      </w:r>
    </w:p>
    <w:p w14:paraId="76645F02">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_Toc32593 </w:instrText>
      </w:r>
      <w:r>
        <w:rPr>
          <w:smallCaps/>
          <w:szCs w:val="20"/>
        </w:rPr>
        <w:fldChar w:fldCharType="separate"/>
      </w:r>
      <w:r>
        <w:rPr>
          <w:rFonts w:hint="eastAsia" w:ascii="黑体" w:eastAsia="黑体" w:cs="Times New Roman"/>
          <w:bCs w:val="0"/>
        </w:rPr>
        <w:t>七、</w:t>
      </w:r>
      <w:r>
        <w:rPr>
          <w:rFonts w:hint="eastAsia" w:ascii="黑体" w:eastAsia="黑体" w:cs="Times New Roman"/>
          <w:bCs w:val="0"/>
          <w:lang w:val="en-US" w:eastAsia="zh-CN"/>
        </w:rPr>
        <w:t>财政拨款</w:t>
      </w:r>
      <w:r>
        <w:rPr>
          <w:rFonts w:hint="eastAsia" w:ascii="黑体" w:eastAsia="黑体" w:cs="Times New Roman"/>
          <w:bCs w:val="0"/>
        </w:rPr>
        <w:t>“三公”经费财政拨款支出决算情况说明</w:t>
      </w:r>
      <w:r>
        <w:tab/>
      </w:r>
      <w:r>
        <w:rPr>
          <w:rFonts w:hint="eastAsia"/>
          <w:lang w:val="en-US" w:eastAsia="zh-CN"/>
        </w:rPr>
        <w:t>1</w:t>
      </w:r>
      <w:r>
        <w:rPr>
          <w:smallCaps/>
          <w:szCs w:val="20"/>
        </w:rPr>
        <w:fldChar w:fldCharType="end"/>
      </w:r>
      <w:r>
        <w:rPr>
          <w:rFonts w:hint="eastAsia"/>
          <w:smallCaps/>
          <w:szCs w:val="20"/>
          <w:lang w:val="en-US" w:eastAsia="zh-CN"/>
        </w:rPr>
        <w:t>0</w:t>
      </w:r>
    </w:p>
    <w:p w14:paraId="16F10DB3">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_Toc19281 </w:instrText>
      </w:r>
      <w:r>
        <w:rPr>
          <w:smallCaps/>
          <w:szCs w:val="20"/>
        </w:rPr>
        <w:fldChar w:fldCharType="separate"/>
      </w:r>
      <w:r>
        <w:rPr>
          <w:rFonts w:hint="eastAsia" w:ascii="黑体" w:eastAsia="黑体" w:cs="Times New Roman"/>
          <w:bCs w:val="0"/>
        </w:rPr>
        <w:t>八、政府性基金预算支出决算情况说明</w:t>
      </w:r>
      <w:r>
        <w:tab/>
      </w:r>
      <w:r>
        <w:rPr>
          <w:rFonts w:hint="eastAsia"/>
          <w:lang w:val="en-US" w:eastAsia="zh-CN"/>
        </w:rPr>
        <w:t>1</w:t>
      </w:r>
      <w:r>
        <w:rPr>
          <w:smallCaps/>
          <w:szCs w:val="20"/>
        </w:rPr>
        <w:fldChar w:fldCharType="end"/>
      </w:r>
      <w:r>
        <w:rPr>
          <w:rFonts w:hint="eastAsia"/>
          <w:smallCaps/>
          <w:szCs w:val="20"/>
          <w:lang w:val="en-US" w:eastAsia="zh-CN"/>
        </w:rPr>
        <w:t>2</w:t>
      </w:r>
    </w:p>
    <w:p w14:paraId="28BD2459">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_Toc12199 </w:instrText>
      </w:r>
      <w:r>
        <w:rPr>
          <w:smallCaps/>
          <w:szCs w:val="20"/>
        </w:rPr>
        <w:fldChar w:fldCharType="separate"/>
      </w:r>
      <w:r>
        <w:rPr>
          <w:rFonts w:hint="eastAsia" w:ascii="黑体" w:eastAsia="黑体" w:cs="Times New Roman"/>
          <w:bCs w:val="0"/>
        </w:rPr>
        <w:t>九、国有资本经营预算支出决算情况说明</w:t>
      </w:r>
      <w:r>
        <w:tab/>
      </w:r>
      <w:r>
        <w:rPr>
          <w:rFonts w:hint="eastAsia"/>
          <w:lang w:val="en-US" w:eastAsia="zh-CN"/>
        </w:rPr>
        <w:t>1</w:t>
      </w:r>
      <w:r>
        <w:rPr>
          <w:smallCaps/>
          <w:szCs w:val="20"/>
        </w:rPr>
        <w:fldChar w:fldCharType="end"/>
      </w:r>
      <w:r>
        <w:rPr>
          <w:rFonts w:hint="eastAsia"/>
          <w:smallCaps/>
          <w:szCs w:val="20"/>
          <w:lang w:val="en-US" w:eastAsia="zh-CN"/>
        </w:rPr>
        <w:t>2</w:t>
      </w:r>
    </w:p>
    <w:p w14:paraId="076B6964">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_Toc23126 </w:instrText>
      </w:r>
      <w:r>
        <w:rPr>
          <w:smallCaps/>
          <w:szCs w:val="20"/>
        </w:rPr>
        <w:fldChar w:fldCharType="separate"/>
      </w:r>
      <w:r>
        <w:rPr>
          <w:rFonts w:hint="eastAsia" w:ascii="黑体" w:eastAsia="黑体" w:cs="Times New Roman"/>
          <w:bCs w:val="0"/>
        </w:rPr>
        <w:t>十、其他重要事项的情况说明</w:t>
      </w:r>
      <w:r>
        <w:tab/>
      </w:r>
      <w:r>
        <w:rPr>
          <w:rFonts w:hint="eastAsia"/>
          <w:lang w:val="en-US" w:eastAsia="zh-CN"/>
        </w:rPr>
        <w:t>1</w:t>
      </w:r>
      <w:r>
        <w:rPr>
          <w:smallCaps/>
          <w:szCs w:val="20"/>
        </w:rPr>
        <w:fldChar w:fldCharType="end"/>
      </w:r>
      <w:r>
        <w:rPr>
          <w:rFonts w:hint="eastAsia"/>
          <w:smallCaps/>
          <w:szCs w:val="20"/>
          <w:lang w:val="en-US" w:eastAsia="zh-CN"/>
        </w:rPr>
        <w:t>2</w:t>
      </w:r>
    </w:p>
    <w:p w14:paraId="1E118297">
      <w:pPr>
        <w:pStyle w:val="15"/>
        <w:tabs>
          <w:tab w:val="right" w:leader="dot" w:pos="8306"/>
          <w:tab w:val="clear" w:pos="8296"/>
        </w:tabs>
        <w:rPr>
          <w:rFonts w:hint="eastAsia" w:eastAsia="仿宋"/>
          <w:lang w:val="en-US" w:eastAsia="zh-CN"/>
        </w:rPr>
      </w:pPr>
      <w:r>
        <w:rPr>
          <w:smallCaps/>
          <w:szCs w:val="20"/>
        </w:rPr>
        <w:fldChar w:fldCharType="begin"/>
      </w:r>
      <w:r>
        <w:rPr>
          <w:smallCaps/>
          <w:szCs w:val="20"/>
        </w:rPr>
        <w:instrText xml:space="preserve"> HYPERLINK \l _Toc288 </w:instrText>
      </w:r>
      <w:r>
        <w:rPr>
          <w:smallCaps/>
          <w:szCs w:val="20"/>
        </w:rPr>
        <w:fldChar w:fldCharType="separate"/>
      </w:r>
      <w:r>
        <w:rPr>
          <w:rFonts w:hint="eastAsia" w:ascii="黑体" w:hAnsi="黑体" w:eastAsia="黑体" w:cs="黑体"/>
        </w:rPr>
        <w:t>第三部分 名词解释</w:t>
      </w:r>
      <w:r>
        <w:tab/>
      </w:r>
      <w:r>
        <w:rPr>
          <w:rFonts w:hint="eastAsia"/>
          <w:sz w:val="28"/>
          <w:szCs w:val="28"/>
          <w:lang w:val="en-US" w:eastAsia="zh-CN"/>
        </w:rPr>
        <w:t>1</w:t>
      </w:r>
      <w:r>
        <w:rPr>
          <w:smallCaps/>
          <w:szCs w:val="20"/>
        </w:rPr>
        <w:fldChar w:fldCharType="end"/>
      </w:r>
      <w:r>
        <w:rPr>
          <w:rFonts w:hint="eastAsia"/>
          <w:smallCaps/>
          <w:szCs w:val="20"/>
          <w:lang w:val="en-US" w:eastAsia="zh-CN"/>
        </w:rPr>
        <w:t>4</w:t>
      </w:r>
    </w:p>
    <w:p w14:paraId="3F03558E">
      <w:pPr>
        <w:pStyle w:val="15"/>
        <w:tabs>
          <w:tab w:val="right" w:leader="dot" w:pos="8306"/>
          <w:tab w:val="clear" w:pos="8296"/>
        </w:tabs>
        <w:rPr>
          <w:rFonts w:hint="eastAsia" w:eastAsia="仿宋"/>
          <w:lang w:val="en-US" w:eastAsia="zh-CN"/>
        </w:rPr>
      </w:pPr>
      <w:r>
        <w:rPr>
          <w:smallCaps/>
          <w:szCs w:val="20"/>
        </w:rPr>
        <w:fldChar w:fldCharType="begin"/>
      </w:r>
      <w:r>
        <w:rPr>
          <w:smallCaps/>
          <w:szCs w:val="20"/>
        </w:rPr>
        <w:instrText xml:space="preserve"> HYPERLINK \l _Toc20076 </w:instrText>
      </w:r>
      <w:r>
        <w:rPr>
          <w:smallCaps/>
          <w:szCs w:val="20"/>
        </w:rPr>
        <w:fldChar w:fldCharType="separate"/>
      </w:r>
      <w:r>
        <w:rPr>
          <w:rFonts w:hint="eastAsia" w:ascii="黑体" w:hAnsi="黑体" w:eastAsia="黑体" w:cs="黑体"/>
        </w:rPr>
        <w:t>第四部分 附件</w:t>
      </w:r>
      <w:r>
        <w:tab/>
      </w:r>
      <w:r>
        <w:rPr>
          <w:rFonts w:hint="eastAsia"/>
          <w:sz w:val="28"/>
          <w:szCs w:val="28"/>
          <w:lang w:val="en-US" w:eastAsia="zh-CN"/>
        </w:rPr>
        <w:t>1</w:t>
      </w:r>
      <w:r>
        <w:rPr>
          <w:smallCaps/>
          <w:szCs w:val="20"/>
        </w:rPr>
        <w:fldChar w:fldCharType="end"/>
      </w:r>
      <w:r>
        <w:rPr>
          <w:rFonts w:hint="eastAsia"/>
          <w:smallCaps/>
          <w:szCs w:val="20"/>
          <w:lang w:val="en-US" w:eastAsia="zh-CN"/>
        </w:rPr>
        <w:t>7</w:t>
      </w:r>
    </w:p>
    <w:p w14:paraId="1F02F240">
      <w:pPr>
        <w:pStyle w:val="15"/>
        <w:tabs>
          <w:tab w:val="right" w:leader="dot" w:pos="8306"/>
          <w:tab w:val="clear" w:pos="8296"/>
        </w:tabs>
        <w:rPr>
          <w:rFonts w:hint="eastAsia" w:eastAsia="仿宋"/>
          <w:lang w:val="en-US" w:eastAsia="zh-CN"/>
        </w:rPr>
      </w:pPr>
      <w:r>
        <w:rPr>
          <w:smallCaps/>
          <w:szCs w:val="20"/>
        </w:rPr>
        <w:fldChar w:fldCharType="begin"/>
      </w:r>
      <w:r>
        <w:rPr>
          <w:smallCaps/>
          <w:szCs w:val="20"/>
        </w:rPr>
        <w:instrText xml:space="preserve"> HYPERLINK \l _Toc16128 </w:instrText>
      </w:r>
      <w:r>
        <w:rPr>
          <w:smallCaps/>
          <w:szCs w:val="20"/>
        </w:rPr>
        <w:fldChar w:fldCharType="separate"/>
      </w:r>
      <w:r>
        <w:rPr>
          <w:rFonts w:hint="eastAsia" w:ascii="黑体" w:hAnsi="黑体" w:eastAsia="黑体" w:cs="黑体"/>
        </w:rPr>
        <w:t>第五部分 附表</w:t>
      </w:r>
      <w:r>
        <w:tab/>
      </w:r>
      <w:r>
        <w:rPr>
          <w:rFonts w:hint="eastAsia"/>
          <w:sz w:val="28"/>
          <w:szCs w:val="28"/>
          <w:lang w:val="en-US" w:eastAsia="zh-CN"/>
        </w:rPr>
        <w:t>2</w:t>
      </w:r>
      <w:r>
        <w:rPr>
          <w:smallCaps/>
          <w:szCs w:val="20"/>
        </w:rPr>
        <w:fldChar w:fldCharType="end"/>
      </w:r>
      <w:r>
        <w:rPr>
          <w:rFonts w:hint="eastAsia"/>
          <w:smallCaps/>
          <w:szCs w:val="20"/>
          <w:lang w:val="en-US" w:eastAsia="zh-CN"/>
        </w:rPr>
        <w:t>5</w:t>
      </w:r>
    </w:p>
    <w:p w14:paraId="61D2A1AD">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_Toc19345 </w:instrText>
      </w:r>
      <w:r>
        <w:rPr>
          <w:smallCaps/>
          <w:szCs w:val="20"/>
        </w:rPr>
        <w:fldChar w:fldCharType="separate"/>
      </w:r>
      <w:r>
        <w:rPr>
          <w:rFonts w:hint="eastAsia" w:ascii="黑体" w:eastAsia="黑体" w:cs="Times New Roman"/>
          <w:bCs w:val="0"/>
        </w:rPr>
        <w:t>一、收入支出决算总表</w:t>
      </w:r>
      <w:r>
        <w:tab/>
      </w:r>
      <w:r>
        <w:rPr>
          <w:rFonts w:hint="eastAsia"/>
          <w:lang w:val="en-US" w:eastAsia="zh-CN"/>
        </w:rPr>
        <w:t>2</w:t>
      </w:r>
      <w:r>
        <w:rPr>
          <w:smallCaps/>
          <w:szCs w:val="20"/>
        </w:rPr>
        <w:fldChar w:fldCharType="end"/>
      </w:r>
      <w:r>
        <w:rPr>
          <w:rFonts w:hint="eastAsia"/>
          <w:smallCaps/>
          <w:szCs w:val="20"/>
          <w:lang w:val="en-US" w:eastAsia="zh-CN"/>
        </w:rPr>
        <w:t>5</w:t>
      </w:r>
    </w:p>
    <w:p w14:paraId="43A9D622">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_Toc5091 </w:instrText>
      </w:r>
      <w:r>
        <w:rPr>
          <w:smallCaps/>
          <w:szCs w:val="20"/>
        </w:rPr>
        <w:fldChar w:fldCharType="separate"/>
      </w:r>
      <w:r>
        <w:rPr>
          <w:rFonts w:hint="eastAsia" w:ascii="黑体" w:eastAsia="黑体" w:cs="Times New Roman"/>
          <w:bCs w:val="0"/>
        </w:rPr>
        <w:t>二、收入决算表</w:t>
      </w:r>
      <w:r>
        <w:tab/>
      </w:r>
      <w:r>
        <w:rPr>
          <w:rFonts w:hint="eastAsia"/>
          <w:lang w:val="en-US" w:eastAsia="zh-CN"/>
        </w:rPr>
        <w:t>2</w:t>
      </w:r>
      <w:r>
        <w:rPr>
          <w:smallCaps/>
          <w:szCs w:val="20"/>
        </w:rPr>
        <w:fldChar w:fldCharType="end"/>
      </w:r>
      <w:r>
        <w:rPr>
          <w:rFonts w:hint="eastAsia"/>
          <w:smallCaps/>
          <w:szCs w:val="20"/>
          <w:lang w:val="en-US" w:eastAsia="zh-CN"/>
        </w:rPr>
        <w:t>5</w:t>
      </w:r>
    </w:p>
    <w:p w14:paraId="3FA07BD3">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_Toc5639 </w:instrText>
      </w:r>
      <w:r>
        <w:rPr>
          <w:smallCaps/>
          <w:szCs w:val="20"/>
        </w:rPr>
        <w:fldChar w:fldCharType="separate"/>
      </w:r>
      <w:r>
        <w:rPr>
          <w:rFonts w:hint="eastAsia" w:ascii="黑体" w:eastAsia="黑体" w:cs="Times New Roman"/>
          <w:bCs w:val="0"/>
        </w:rPr>
        <w:t>三、支出决算表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6223FDC8">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_Toc20160 </w:instrText>
      </w:r>
      <w:r>
        <w:rPr>
          <w:smallCaps/>
          <w:szCs w:val="20"/>
        </w:rPr>
        <w:fldChar w:fldCharType="separate"/>
      </w:r>
      <w:r>
        <w:rPr>
          <w:rFonts w:hint="eastAsia" w:ascii="黑体" w:eastAsia="黑体" w:cs="Times New Roman"/>
          <w:bCs w:val="0"/>
        </w:rPr>
        <w:t>四、财政拨款收入支出决算总表</w:t>
      </w:r>
      <w:r>
        <w:tab/>
      </w:r>
      <w:r>
        <w:rPr>
          <w:rFonts w:hint="eastAsia"/>
          <w:lang w:val="en-US" w:eastAsia="zh-CN"/>
        </w:rPr>
        <w:t>2</w:t>
      </w:r>
      <w:r>
        <w:rPr>
          <w:smallCaps/>
          <w:szCs w:val="20"/>
        </w:rPr>
        <w:fldChar w:fldCharType="end"/>
      </w:r>
      <w:r>
        <w:rPr>
          <w:rFonts w:hint="eastAsia"/>
          <w:smallCaps/>
          <w:szCs w:val="20"/>
          <w:lang w:val="en-US" w:eastAsia="zh-CN"/>
        </w:rPr>
        <w:t>5</w:t>
      </w:r>
    </w:p>
    <w:p w14:paraId="042F8DED">
      <w:pPr>
        <w:pStyle w:val="16"/>
        <w:tabs>
          <w:tab w:val="right" w:leader="dot" w:pos="8306"/>
          <w:tab w:val="clear" w:pos="8296"/>
        </w:tabs>
      </w:pPr>
      <w:r>
        <w:rPr>
          <w:smallCaps/>
          <w:szCs w:val="20"/>
        </w:rPr>
        <w:fldChar w:fldCharType="begin"/>
      </w:r>
      <w:r>
        <w:rPr>
          <w:smallCaps/>
          <w:szCs w:val="20"/>
        </w:rPr>
        <w:instrText xml:space="preserve"> HYPERLINK \l _Toc13786 </w:instrText>
      </w:r>
      <w:r>
        <w:rPr>
          <w:smallCaps/>
          <w:szCs w:val="20"/>
        </w:rPr>
        <w:fldChar w:fldCharType="separate"/>
      </w:r>
      <w:r>
        <w:rPr>
          <w:rFonts w:hint="eastAsia" w:ascii="黑体" w:eastAsia="黑体" w:cs="Times New Roman"/>
          <w:bCs w:val="0"/>
        </w:rPr>
        <w:t>五、财政拨款支出决算明细表</w:t>
      </w:r>
      <w:r>
        <w:tab/>
      </w:r>
      <w:r>
        <w:rPr>
          <w:rFonts w:hint="eastAsia"/>
          <w:lang w:val="en-US" w:eastAsia="zh-CN"/>
        </w:rPr>
        <w:t>25</w:t>
      </w:r>
      <w:r>
        <w:rPr>
          <w:smallCaps/>
          <w:szCs w:val="20"/>
        </w:rPr>
        <w:fldChar w:fldCharType="end"/>
      </w:r>
    </w:p>
    <w:p w14:paraId="3CF8B2A3">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_Toc8367 </w:instrText>
      </w:r>
      <w:r>
        <w:rPr>
          <w:smallCaps/>
          <w:szCs w:val="20"/>
        </w:rPr>
        <w:fldChar w:fldCharType="separate"/>
      </w:r>
      <w:r>
        <w:rPr>
          <w:rFonts w:hint="eastAsia" w:ascii="黑体" w:eastAsia="黑体" w:cs="Times New Roman"/>
          <w:bCs w:val="0"/>
        </w:rPr>
        <w:t>六、一般公共预算财政拨款支出决算表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6B019AA0">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_Toc17399 </w:instrText>
      </w:r>
      <w:r>
        <w:rPr>
          <w:smallCaps/>
          <w:szCs w:val="20"/>
        </w:rPr>
        <w:fldChar w:fldCharType="separate"/>
      </w:r>
      <w:r>
        <w:rPr>
          <w:rFonts w:hint="eastAsia" w:ascii="黑体" w:eastAsia="黑体" w:cs="Times New Roman"/>
          <w:bCs w:val="0"/>
        </w:rPr>
        <w:t>七、一般公共预算财政拨款支出决算明细表</w:t>
      </w:r>
      <w:r>
        <w:tab/>
      </w:r>
      <w:r>
        <w:rPr>
          <w:rFonts w:hint="eastAsia"/>
          <w:lang w:val="en-US" w:eastAsia="zh-CN"/>
        </w:rPr>
        <w:t>2</w:t>
      </w:r>
      <w:r>
        <w:rPr>
          <w:smallCaps/>
          <w:szCs w:val="20"/>
        </w:rPr>
        <w:fldChar w:fldCharType="end"/>
      </w:r>
      <w:r>
        <w:rPr>
          <w:rFonts w:hint="eastAsia"/>
          <w:smallCaps/>
          <w:szCs w:val="20"/>
          <w:lang w:val="en-US" w:eastAsia="zh-CN"/>
        </w:rPr>
        <w:t>5</w:t>
      </w:r>
    </w:p>
    <w:p w14:paraId="65684606">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_Toc8764 </w:instrText>
      </w:r>
      <w:r>
        <w:rPr>
          <w:smallCaps/>
          <w:szCs w:val="20"/>
        </w:rPr>
        <w:fldChar w:fldCharType="separate"/>
      </w:r>
      <w:r>
        <w:rPr>
          <w:rFonts w:hint="eastAsia" w:ascii="黑体" w:eastAsia="黑体" w:cs="Times New Roman"/>
          <w:bCs w:val="0"/>
        </w:rPr>
        <w:t>八、一般公共预算财政拨款基本支出决算表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759C6FE1">
      <w:pPr>
        <w:pStyle w:val="16"/>
        <w:tabs>
          <w:tab w:val="right" w:leader="dot" w:pos="8306"/>
          <w:tab w:val="clear" w:pos="8296"/>
        </w:tabs>
      </w:pPr>
      <w:r>
        <w:rPr>
          <w:smallCaps/>
          <w:szCs w:val="20"/>
        </w:rPr>
        <w:fldChar w:fldCharType="begin"/>
      </w:r>
      <w:r>
        <w:rPr>
          <w:smallCaps/>
          <w:szCs w:val="20"/>
        </w:rPr>
        <w:instrText xml:space="preserve"> HYPERLINK \l _Toc5316 </w:instrText>
      </w:r>
      <w:r>
        <w:rPr>
          <w:smallCaps/>
          <w:szCs w:val="20"/>
        </w:rPr>
        <w:fldChar w:fldCharType="separate"/>
      </w:r>
      <w:r>
        <w:rPr>
          <w:rFonts w:hint="eastAsia" w:ascii="黑体" w:eastAsia="黑体" w:cs="Times New Roman"/>
          <w:bCs w:val="0"/>
        </w:rPr>
        <w:t>九、一般公共预算财政拨款项目支出决算表</w:t>
      </w:r>
      <w:r>
        <w:tab/>
      </w:r>
      <w:r>
        <w:rPr>
          <w:rFonts w:hint="eastAsia"/>
          <w:lang w:val="en-US" w:eastAsia="zh-CN"/>
        </w:rPr>
        <w:t>25</w:t>
      </w:r>
      <w:r>
        <w:rPr>
          <w:smallCaps/>
          <w:szCs w:val="20"/>
        </w:rPr>
        <w:fldChar w:fldCharType="end"/>
      </w:r>
    </w:p>
    <w:p w14:paraId="14E474D6">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_Toc9239 </w:instrText>
      </w:r>
      <w:r>
        <w:rPr>
          <w:smallCaps/>
          <w:szCs w:val="20"/>
        </w:rPr>
        <w:fldChar w:fldCharType="separate"/>
      </w:r>
      <w:r>
        <w:rPr>
          <w:rFonts w:hint="eastAsia" w:ascii="黑体" w:eastAsia="黑体" w:cs="Times New Roman"/>
          <w:bCs w:val="0"/>
        </w:rPr>
        <w:t>十、政府性基金预算财政拨款收入支出决算表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0F313702">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_Toc21643 </w:instrText>
      </w:r>
      <w:r>
        <w:rPr>
          <w:smallCaps/>
          <w:szCs w:val="20"/>
        </w:rPr>
        <w:fldChar w:fldCharType="separate"/>
      </w:r>
      <w:r>
        <w:rPr>
          <w:rFonts w:hint="eastAsia" w:ascii="黑体" w:eastAsia="黑体" w:cs="Times New Roman"/>
          <w:bCs w:val="0"/>
        </w:rPr>
        <w:t>十一、国有资本经营预算财政拨款收入支出决算表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62A2C5CF">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_Toc11859 </w:instrText>
      </w:r>
      <w:r>
        <w:rPr>
          <w:smallCaps/>
          <w:szCs w:val="20"/>
        </w:rPr>
        <w:fldChar w:fldCharType="separate"/>
      </w:r>
      <w:r>
        <w:rPr>
          <w:rFonts w:hint="eastAsia" w:ascii="黑体" w:eastAsia="黑体" w:cs="Times New Roman"/>
          <w:bCs w:val="0"/>
        </w:rPr>
        <w:t>十二、国有资本经营预算财政拨款支出决算表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694528EF">
      <w:pPr>
        <w:pStyle w:val="16"/>
        <w:tabs>
          <w:tab w:val="right" w:leader="dot" w:pos="8306"/>
          <w:tab w:val="clear" w:pos="8296"/>
        </w:tabs>
        <w:rPr>
          <w:rFonts w:hint="eastAsia" w:eastAsia="宋体"/>
          <w:lang w:val="en-US" w:eastAsia="zh-CN"/>
        </w:rPr>
      </w:pPr>
      <w:r>
        <w:rPr>
          <w:smallCaps/>
          <w:szCs w:val="20"/>
        </w:rPr>
        <w:fldChar w:fldCharType="begin"/>
      </w:r>
      <w:r>
        <w:rPr>
          <w:smallCaps/>
          <w:szCs w:val="20"/>
        </w:rPr>
        <w:instrText xml:space="preserve"> HYPERLINK \l _Toc3136 </w:instrText>
      </w:r>
      <w:r>
        <w:rPr>
          <w:smallCaps/>
          <w:szCs w:val="20"/>
        </w:rPr>
        <w:fldChar w:fldCharType="separate"/>
      </w:r>
      <w:r>
        <w:rPr>
          <w:rFonts w:hint="eastAsia" w:ascii="黑体" w:eastAsia="黑体" w:cs="Times New Roman"/>
          <w:bCs w:val="0"/>
        </w:rPr>
        <w:t>十三、财政拨款“三公”经费支出决算表</w:t>
      </w:r>
      <w:r>
        <w:tab/>
      </w:r>
      <w:r>
        <w:rPr>
          <w:rFonts w:hint="eastAsia"/>
          <w:lang w:val="en-US" w:eastAsia="zh-CN"/>
        </w:rPr>
        <w:t>2</w:t>
      </w:r>
      <w:r>
        <w:rPr>
          <w:smallCaps/>
          <w:szCs w:val="20"/>
        </w:rPr>
        <w:fldChar w:fldCharType="end"/>
      </w:r>
      <w:r>
        <w:rPr>
          <w:rFonts w:hint="eastAsia"/>
          <w:smallCaps/>
          <w:szCs w:val="20"/>
          <w:lang w:val="en-US" w:eastAsia="zh-CN"/>
        </w:rPr>
        <w:t>5</w:t>
      </w:r>
    </w:p>
    <w:p w14:paraId="0201B114">
      <w:pPr>
        <w:pStyle w:val="8"/>
      </w:pPr>
      <w:r>
        <w:rPr>
          <w:smallCaps/>
          <w:szCs w:val="20"/>
        </w:rPr>
        <w:fldChar w:fldCharType="end"/>
      </w:r>
    </w:p>
    <w:p w14:paraId="292E2979">
      <w:pPr>
        <w:pStyle w:val="5"/>
        <w:numPr>
          <w:ilvl w:val="0"/>
          <w:numId w:val="1"/>
        </w:numPr>
        <w:jc w:val="center"/>
      </w:pPr>
      <w:r>
        <w:rPr>
          <w:rFonts w:hint="eastAsia" w:ascii="黑体" w:hAnsi="黑体" w:eastAsia="黑体"/>
          <w:b w:val="0"/>
        </w:rPr>
        <w:t>单位</w:t>
      </w:r>
      <w:r>
        <w:rPr>
          <w:rStyle w:val="30"/>
          <w:rFonts w:hint="eastAsia" w:ascii="黑体" w:hAnsi="黑体" w:eastAsia="黑体"/>
          <w:b w:val="0"/>
          <w:bCs w:val="0"/>
        </w:rPr>
        <w:t>概况</w:t>
      </w:r>
      <w:bookmarkEnd w:id="12"/>
      <w:bookmarkEnd w:id="13"/>
    </w:p>
    <w:p w14:paraId="2D37854C">
      <w:pPr>
        <w:pStyle w:val="6"/>
        <w:numPr>
          <w:ilvl w:val="0"/>
          <w:numId w:val="2"/>
        </w:numPr>
        <w:rPr>
          <w:rStyle w:val="31"/>
          <w:rFonts w:ascii="黑体" w:hAnsi="黑体" w:eastAsia="黑体"/>
          <w:b w:val="0"/>
          <w:bCs w:val="0"/>
        </w:rPr>
      </w:pPr>
      <w:bookmarkStart w:id="14" w:name="_Toc15377197"/>
      <w:bookmarkStart w:id="15" w:name="_Toc15396600"/>
      <w:r>
        <w:rPr>
          <w:rStyle w:val="31"/>
          <w:rFonts w:hint="eastAsia" w:ascii="黑体" w:hAnsi="黑体" w:eastAsia="黑体"/>
          <w:b w:val="0"/>
          <w:bCs w:val="0"/>
          <w:lang w:val="en-US" w:eastAsia="zh-CN"/>
        </w:rPr>
        <w:t>单位</w:t>
      </w:r>
      <w:r>
        <w:rPr>
          <w:rStyle w:val="31"/>
          <w:rFonts w:hint="eastAsia" w:ascii="黑体" w:hAnsi="黑体" w:eastAsia="黑体"/>
          <w:b w:val="0"/>
          <w:bCs w:val="0"/>
        </w:rPr>
        <w:t>职责</w:t>
      </w:r>
    </w:p>
    <w:p w14:paraId="68B8085B">
      <w:pPr>
        <w:pageBreakBefore w:val="0"/>
        <w:kinsoku/>
        <w:wordWrap/>
        <w:overflowPunct/>
        <w:topLinePunct w:val="0"/>
        <w:autoSpaceDN/>
        <w:bidi w:val="0"/>
        <w:adjustRightInd/>
        <w:spacing w:line="576" w:lineRule="exact"/>
        <w:ind w:left="0" w:leftChars="0" w:firstLine="643" w:firstLineChars="200"/>
        <w:textAlignment w:val="auto"/>
        <w:rPr>
          <w:rFonts w:hint="eastAsia" w:ascii="仿宋" w:hAnsi="仿宋" w:eastAsia="仿宋" w:cs="仿宋"/>
          <w:color w:val="000000"/>
          <w:sz w:val="32"/>
          <w:szCs w:val="32"/>
        </w:rPr>
      </w:pP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lang w:val="en-US" w:eastAsia="zh-CN"/>
        </w:rPr>
        <w:t>一</w:t>
      </w:r>
      <w:r>
        <w:rPr>
          <w:rFonts w:hint="eastAsia" w:ascii="楷体_GB2312" w:hAnsi="楷体_GB2312" w:eastAsia="楷体_GB2312" w:cs="楷体_GB2312"/>
          <w:b/>
          <w:bCs/>
          <w:color w:val="000000"/>
          <w:sz w:val="32"/>
          <w:szCs w:val="32"/>
          <w:lang w:eastAsia="zh-CN"/>
        </w:rPr>
        <w:t>）</w:t>
      </w:r>
      <w:r>
        <w:rPr>
          <w:rFonts w:hint="eastAsia" w:ascii="楷体_GB2312" w:hAnsi="楷体_GB2312" w:eastAsia="楷体_GB2312" w:cs="楷体_GB2312"/>
          <w:b/>
          <w:bCs/>
          <w:color w:val="000000"/>
          <w:sz w:val="32"/>
          <w:szCs w:val="32"/>
        </w:rPr>
        <w:t>负责建立健全生态环境保护监督管理制度。</w:t>
      </w:r>
      <w:r>
        <w:rPr>
          <w:rFonts w:hint="eastAsia" w:ascii="仿宋" w:hAnsi="仿宋" w:eastAsia="仿宋" w:cs="仿宋"/>
          <w:color w:val="000000"/>
          <w:sz w:val="32"/>
          <w:szCs w:val="32"/>
        </w:rPr>
        <w:t>贯彻落实生态环境保护方面的法律法规和国家、省、州标准，拟定县域生态环境保护规范性文件，会同有关部门编制并监督实施全县重点区域、流域、饮用水水源地生态环境规划和水功能区划。负责生态环境监测工作。贯彻执行生态环境监测制度、规范和有关标准。会同有关部门统一规划生态环境质量监测站点设置。组织实施生态环境质量监测、污染源监督性监测、温室气体减排监测、应急监测。组织开展生态环境质量状况的调查评价、预警预测。依法公开环境质量、环境监测等环境信息。协助生态环境局提出生态环境保护领域固定资产投资规模和方向的建议，配合有关部门做好组织实施和监督工作。参与指导推动循环经济和生态环保产业发展。完成阿坝州生态环境局和松潘县委、县政府交办的其他事项。</w:t>
      </w:r>
    </w:p>
    <w:p w14:paraId="6988286D">
      <w:pPr>
        <w:pStyle w:val="6"/>
        <w:ind w:firstLine="643" w:firstLineChars="200"/>
        <w:rPr>
          <w:rFonts w:hint="default" w:ascii="Times New Roman" w:hAnsi="Times New Roman" w:eastAsia="楷体_GB2312" w:cs="Times New Roman"/>
          <w:b/>
          <w:bCs/>
          <w:color w:val="000000"/>
          <w:sz w:val="32"/>
          <w:szCs w:val="32"/>
          <w:lang w:eastAsia="zh-CN"/>
        </w:rPr>
      </w:pPr>
      <w:r>
        <w:rPr>
          <w:rFonts w:hint="eastAsia" w:ascii="Times New Roman" w:hAnsi="Times New Roman" w:eastAsia="楷体_GB2312" w:cs="Times New Roman"/>
          <w:b/>
          <w:bCs/>
          <w:color w:val="000000"/>
          <w:sz w:val="32"/>
          <w:szCs w:val="32"/>
          <w:lang w:eastAsia="zh-CN"/>
        </w:rPr>
        <w:t>（</w:t>
      </w:r>
      <w:r>
        <w:rPr>
          <w:rFonts w:hint="eastAsia" w:ascii="Times New Roman" w:hAnsi="Times New Roman" w:eastAsia="楷体_GB2312" w:cs="Times New Roman"/>
          <w:b/>
          <w:bCs/>
          <w:color w:val="000000"/>
          <w:sz w:val="32"/>
          <w:szCs w:val="32"/>
          <w:lang w:val="en-US" w:eastAsia="zh-CN"/>
        </w:rPr>
        <w:t>二</w:t>
      </w:r>
      <w:r>
        <w:rPr>
          <w:rFonts w:hint="eastAsia" w:ascii="Times New Roman" w:hAnsi="Times New Roman" w:eastAsia="楷体_GB2312" w:cs="Times New Roman"/>
          <w:b/>
          <w:bCs/>
          <w:color w:val="000000"/>
          <w:sz w:val="32"/>
          <w:szCs w:val="32"/>
          <w:lang w:eastAsia="zh-CN"/>
        </w:rPr>
        <w:t>）</w:t>
      </w:r>
      <w:r>
        <w:rPr>
          <w:rFonts w:hint="default" w:ascii="Times New Roman" w:hAnsi="Times New Roman" w:eastAsia="楷体_GB2312" w:cs="Times New Roman"/>
          <w:b/>
          <w:bCs/>
          <w:color w:val="000000"/>
          <w:sz w:val="32"/>
          <w:szCs w:val="32"/>
          <w:lang w:eastAsia="zh-CN"/>
        </w:rPr>
        <w:t>完成州生态环境监测中心站交办的其他任务。</w:t>
      </w:r>
    </w:p>
    <w:p w14:paraId="4942AF7C">
      <w:pPr>
        <w:pStyle w:val="6"/>
        <w:rPr>
          <w:rFonts w:ascii="黑体" w:hAnsi="黑体" w:eastAsia="黑体"/>
          <w:b w:val="0"/>
        </w:rPr>
      </w:pPr>
      <w:r>
        <w:rPr>
          <w:rFonts w:hint="eastAsia" w:ascii="黑体" w:hAnsi="黑体" w:eastAsia="黑体"/>
          <w:b w:val="0"/>
        </w:rPr>
        <w:t>二、机构设置</w:t>
      </w:r>
    </w:p>
    <w:bookmarkEnd w:id="14"/>
    <w:bookmarkEnd w:id="15"/>
    <w:p w14:paraId="7C4FCBBE">
      <w:pPr>
        <w:pageBreakBefore w:val="0"/>
        <w:kinsoku/>
        <w:wordWrap/>
        <w:overflowPunct/>
        <w:topLinePunct w:val="0"/>
        <w:autoSpaceDN/>
        <w:bidi w:val="0"/>
        <w:adjustRightInd/>
        <w:spacing w:line="576" w:lineRule="exact"/>
        <w:ind w:left="0" w:leftChars="0"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阿坝州</w:t>
      </w:r>
      <w:r>
        <w:rPr>
          <w:rFonts w:hint="eastAsia" w:ascii="仿宋" w:hAnsi="仿宋" w:eastAsia="仿宋" w:cs="仿宋"/>
          <w:color w:val="000000"/>
          <w:sz w:val="32"/>
          <w:szCs w:val="32"/>
          <w:lang w:val="en-US" w:eastAsia="zh-CN"/>
        </w:rPr>
        <w:t>马尔康</w:t>
      </w:r>
      <w:r>
        <w:rPr>
          <w:rFonts w:hint="eastAsia" w:ascii="仿宋" w:hAnsi="仿宋" w:eastAsia="仿宋" w:cs="仿宋"/>
          <w:color w:val="000000"/>
          <w:sz w:val="32"/>
          <w:szCs w:val="32"/>
        </w:rPr>
        <w:t>环境监测站属于阿坝州生态环境局二级预算单位。本部门内设机构1个。总编制14名，均属于事业编制。在职人员总数</w:t>
      </w: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名；离休人员0人，退休人员</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人；编外长期聘用的人员0名。</w:t>
      </w:r>
    </w:p>
    <w:p w14:paraId="4BA32515">
      <w:pPr>
        <w:pStyle w:val="3"/>
        <w:rPr>
          <w:rFonts w:hint="eastAsia"/>
        </w:rPr>
      </w:pPr>
    </w:p>
    <w:p w14:paraId="6ADFABC9">
      <w:pPr>
        <w:widowControl/>
        <w:jc w:val="center"/>
        <w:rPr>
          <w:rFonts w:ascii="黑体" w:hAnsi="黑体" w:eastAsia="黑体" w:cs="黑体"/>
          <w:sz w:val="44"/>
          <w:szCs w:val="44"/>
        </w:rPr>
      </w:pPr>
      <w:bookmarkStart w:id="16" w:name="_Toc15377204"/>
      <w:bookmarkStart w:id="17" w:name="_Toc111208498"/>
      <w:bookmarkStart w:id="18" w:name="_Toc16001"/>
      <w:r>
        <w:rPr>
          <w:rFonts w:hint="eastAsia" w:ascii="黑体" w:hAnsi="黑体" w:eastAsia="黑体" w:cs="黑体"/>
          <w:sz w:val="44"/>
          <w:szCs w:val="44"/>
        </w:rPr>
        <w:t>第二部分</w:t>
      </w:r>
      <w:r>
        <w:rPr>
          <w:rFonts w:ascii="黑体" w:hAnsi="黑体" w:eastAsia="黑体" w:cs="黑体"/>
          <w:sz w:val="44"/>
          <w:szCs w:val="44"/>
        </w:rPr>
        <w:t xml:space="preserve"> </w:t>
      </w:r>
      <w:r>
        <w:rPr>
          <w:rFonts w:hint="eastAsia" w:ascii="黑体" w:hAnsi="黑体" w:eastAsia="黑体" w:cs="黑体"/>
          <w:sz w:val="44"/>
          <w:szCs w:val="44"/>
        </w:rPr>
        <w:t>202</w:t>
      </w:r>
      <w:r>
        <w:rPr>
          <w:rFonts w:hint="eastAsia" w:ascii="黑体" w:hAnsi="黑体" w:eastAsia="黑体" w:cs="黑体"/>
          <w:sz w:val="44"/>
          <w:szCs w:val="44"/>
          <w:lang w:val="en-US" w:eastAsia="zh-CN"/>
        </w:rPr>
        <w:t>4</w:t>
      </w:r>
      <w:r>
        <w:rPr>
          <w:rFonts w:ascii="黑体" w:hAnsi="黑体" w:eastAsia="黑体" w:cs="黑体"/>
          <w:sz w:val="44"/>
          <w:szCs w:val="44"/>
          <w:u w:color="auto"/>
        </w:rPr>
        <w:t>年度部门决算情况说明</w:t>
      </w:r>
      <w:bookmarkEnd w:id="16"/>
      <w:bookmarkEnd w:id="17"/>
      <w:bookmarkEnd w:id="18"/>
    </w:p>
    <w:p w14:paraId="344BECCA"/>
    <w:p w14:paraId="42A4FDA1">
      <w:pPr>
        <w:pStyle w:val="29"/>
        <w:numPr>
          <w:ilvl w:val="0"/>
          <w:numId w:val="3"/>
        </w:numPr>
        <w:spacing w:line="600" w:lineRule="exact"/>
        <w:ind w:firstLineChars="0"/>
        <w:outlineLvl w:val="1"/>
        <w:rPr>
          <w:rStyle w:val="31"/>
          <w:rFonts w:ascii="黑体" w:hAnsi="黑体" w:eastAsia="黑体"/>
          <w:b w:val="0"/>
        </w:rPr>
      </w:pPr>
      <w:bookmarkStart w:id="19" w:name="_Toc15396603"/>
      <w:bookmarkStart w:id="20"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19"/>
      <w:bookmarkEnd w:id="20"/>
      <w:r>
        <w:rPr>
          <w:rStyle w:val="31"/>
          <w:rFonts w:hint="eastAsia" w:ascii="黑体" w:hAnsi="黑体" w:eastAsia="黑体"/>
          <w:b w:val="0"/>
          <w:lang w:val="en-US" w:eastAsia="zh-CN"/>
        </w:rPr>
        <w:t xml:space="preserve"> </w:t>
      </w:r>
    </w:p>
    <w:p w14:paraId="22D34110">
      <w:pPr>
        <w:spacing w:line="600" w:lineRule="exact"/>
        <w:ind w:firstLine="640" w:firstLineChars="200"/>
        <w:rPr>
          <w:rFonts w:hint="default" w:ascii="仿宋_GB2312" w:hAnsi="仿宋" w:eastAsia="仿宋"/>
          <w:color w:val="00B0F0"/>
          <w:sz w:val="32"/>
          <w:szCs w:val="32"/>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268.97</w:t>
      </w:r>
      <w:r>
        <w:rPr>
          <w:rFonts w:hint="eastAsia" w:ascii="Times New Roman" w:hAnsi="Times New Roman" w:eastAsia="仿宋_GB2312" w:cs="仿宋_GB2312"/>
          <w:color w:val="auto"/>
          <w:sz w:val="32"/>
          <w:szCs w:val="32"/>
          <w:highlight w:val="none"/>
        </w:rPr>
        <w:t>万元。</w:t>
      </w:r>
      <w:r>
        <w:rPr>
          <w:rFonts w:hint="eastAsia" w:ascii="仿宋" w:hAnsi="仿宋" w:eastAsia="仿宋"/>
          <w:color w:val="000000"/>
          <w:sz w:val="32"/>
          <w:szCs w:val="32"/>
        </w:rPr>
        <w:t>与</w:t>
      </w: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年相比，收、支总计各</w:t>
      </w:r>
      <w:r>
        <w:rPr>
          <w:rFonts w:ascii="仿宋" w:hAnsi="仿宋" w:eastAsia="仿宋"/>
          <w:color w:val="000000"/>
          <w:sz w:val="32"/>
          <w:szCs w:val="32"/>
        </w:rPr>
        <w:t>增加</w:t>
      </w:r>
      <w:r>
        <w:rPr>
          <w:rFonts w:hint="eastAsia" w:ascii="仿宋" w:hAnsi="仿宋" w:eastAsia="仿宋"/>
          <w:color w:val="000000"/>
          <w:sz w:val="32"/>
          <w:szCs w:val="32"/>
          <w:lang w:val="en-US" w:eastAsia="zh-CN"/>
        </w:rPr>
        <w:t>16.64</w:t>
      </w:r>
      <w:r>
        <w:rPr>
          <w:rFonts w:hint="eastAsia" w:ascii="仿宋" w:hAnsi="仿宋" w:eastAsia="仿宋"/>
          <w:color w:val="000000"/>
          <w:sz w:val="32"/>
          <w:szCs w:val="32"/>
        </w:rPr>
        <w:t>万元，</w:t>
      </w:r>
      <w:r>
        <w:rPr>
          <w:rFonts w:ascii="仿宋" w:hAnsi="仿宋" w:eastAsia="仿宋"/>
          <w:color w:val="000000"/>
          <w:sz w:val="32"/>
          <w:szCs w:val="32"/>
        </w:rPr>
        <w:t>增加</w:t>
      </w:r>
      <w:r>
        <w:rPr>
          <w:rFonts w:hint="eastAsia" w:ascii="仿宋" w:hAnsi="仿宋" w:eastAsia="仿宋"/>
          <w:b/>
          <w:bCs/>
          <w:color w:val="000000"/>
          <w:sz w:val="32"/>
          <w:szCs w:val="32"/>
          <w:lang w:val="en-US" w:eastAsia="zh-CN"/>
        </w:rPr>
        <w:t>6.59</w:t>
      </w:r>
      <w:r>
        <w:rPr>
          <w:rFonts w:hint="eastAsia" w:ascii="仿宋" w:hAnsi="仿宋" w:eastAsia="仿宋"/>
          <w:color w:val="000000"/>
          <w:sz w:val="32"/>
          <w:szCs w:val="32"/>
        </w:rPr>
        <w:t>%。</w:t>
      </w:r>
      <w:r>
        <w:rPr>
          <w:rFonts w:ascii="仿宋" w:hAnsi="仿宋" w:eastAsia="仿宋"/>
          <w:color w:val="000000"/>
          <w:sz w:val="32"/>
          <w:u w:color="auto"/>
        </w:rPr>
        <w:t>主要变动原因是</w:t>
      </w:r>
      <w:r>
        <w:rPr>
          <w:rFonts w:hint="eastAsia" w:ascii="仿宋" w:hAnsi="仿宋" w:eastAsia="仿宋"/>
          <w:color w:val="000000"/>
          <w:sz w:val="32"/>
          <w:u w:color="auto"/>
          <w:lang w:val="en-US" w:eastAsia="zh-CN"/>
        </w:rPr>
        <w:t>人员增加</w:t>
      </w:r>
      <w:r>
        <w:rPr>
          <w:rFonts w:ascii="仿宋" w:hAnsi="仿宋" w:eastAsia="仿宋"/>
          <w:color w:val="000000"/>
          <w:sz w:val="32"/>
          <w:u w:color="auto"/>
        </w:rPr>
        <w:t>：县域重点生态功能区环境质量监测工作费用</w:t>
      </w:r>
      <w:r>
        <w:rPr>
          <w:rFonts w:hint="eastAsia" w:ascii="仿宋" w:hAnsi="仿宋" w:eastAsia="仿宋"/>
          <w:color w:val="000000"/>
          <w:sz w:val="32"/>
          <w:u w:color="auto"/>
          <w:lang w:eastAsia="zh-CN"/>
        </w:rPr>
        <w:t>、</w:t>
      </w:r>
      <w:r>
        <w:rPr>
          <w:rFonts w:hint="eastAsia" w:ascii="仿宋" w:hAnsi="仿宋" w:eastAsia="仿宋"/>
          <w:color w:val="000000"/>
          <w:sz w:val="32"/>
          <w:u w:color="auto"/>
          <w:lang w:val="en-US" w:eastAsia="zh-CN"/>
        </w:rPr>
        <w:t>日常办公经费增加。</w:t>
      </w:r>
    </w:p>
    <w:p w14:paraId="5EADDC1F">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2BFBFEE7">
      <w:pPr>
        <w:pStyle w:val="11"/>
        <w:rPr>
          <w:rFonts w:ascii="仿宋_GB2312" w:eastAsia="仿宋_GB2312"/>
          <w:sz w:val="32"/>
          <w:szCs w:val="32"/>
        </w:rPr>
      </w:pPr>
      <w:r>
        <w:rPr>
          <w:rFonts w:hint="eastAsia" w:eastAsia="宋体"/>
          <w:lang w:eastAsia="zh-CN"/>
        </w:rPr>
        <w:drawing>
          <wp:inline distT="0" distB="0" distL="114300" distR="114300">
            <wp:extent cx="5256530" cy="3282950"/>
            <wp:effectExtent l="4445" t="4445" r="15875" b="825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3F2EB59">
      <w:pPr>
        <w:pStyle w:val="29"/>
        <w:numPr>
          <w:ilvl w:val="0"/>
          <w:numId w:val="3"/>
        </w:numPr>
        <w:spacing w:line="600" w:lineRule="exact"/>
        <w:ind w:firstLineChars="0"/>
        <w:outlineLvl w:val="1"/>
        <w:rPr>
          <w:rStyle w:val="31"/>
          <w:rFonts w:ascii="黑体" w:hAnsi="黑体" w:eastAsia="黑体"/>
          <w:b w:val="0"/>
        </w:rPr>
      </w:pPr>
      <w:bookmarkStart w:id="21" w:name="_Toc15377206"/>
      <w:bookmarkStart w:id="22" w:name="_Toc15396604"/>
      <w:r>
        <w:rPr>
          <w:rFonts w:hint="eastAsia" w:ascii="黑体" w:hAnsi="黑体" w:eastAsia="黑体"/>
          <w:sz w:val="32"/>
          <w:szCs w:val="32"/>
        </w:rPr>
        <w:t>收</w:t>
      </w:r>
      <w:r>
        <w:rPr>
          <w:rStyle w:val="31"/>
          <w:rFonts w:hint="eastAsia" w:ascii="黑体" w:hAnsi="黑体" w:eastAsia="黑体"/>
          <w:b w:val="0"/>
        </w:rPr>
        <w:t>入决算情况说明</w:t>
      </w:r>
      <w:bookmarkEnd w:id="21"/>
      <w:bookmarkEnd w:id="22"/>
    </w:p>
    <w:p w14:paraId="5757644C">
      <w:pPr>
        <w:spacing w:line="600" w:lineRule="exact"/>
        <w:ind w:firstLine="640" w:firstLineChars="200"/>
        <w:rPr>
          <w:rFonts w:ascii="仿宋" w:hAnsi="仿宋" w:eastAsia="仿宋"/>
          <w:sz w:val="32"/>
          <w:szCs w:val="32"/>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268.97万元，其中：一般公共预算财政拨款收入212.98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79.18</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55.99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20.81</w:t>
      </w:r>
      <w:r>
        <w:rPr>
          <w:rFonts w:hint="eastAsia" w:ascii="仿宋_GB2312" w:hAnsi="仿宋_GB2312" w:eastAsia="仿宋_GB2312" w:cs="仿宋_GB2312"/>
          <w:color w:val="auto"/>
          <w:sz w:val="32"/>
          <w:szCs w:val="32"/>
          <w:highlight w:val="none"/>
          <w:lang w:eastAsia="zh-CN"/>
        </w:rPr>
        <w:t>%。</w:t>
      </w:r>
      <w:r>
        <w:rPr>
          <w:rFonts w:hint="eastAsia" w:ascii="仿宋" w:hAnsi="仿宋" w:eastAsia="仿宋"/>
          <w:sz w:val="32"/>
          <w:szCs w:val="32"/>
        </w:rPr>
        <w:t>（图2：收入决算结构图）（饼状图）</w:t>
      </w:r>
    </w:p>
    <w:p w14:paraId="5750FB99">
      <w:pPr>
        <w:pStyle w:val="11"/>
        <w:rPr>
          <w:rFonts w:ascii="仿宋_GB2312" w:eastAsia="仿宋_GB2312"/>
          <w:sz w:val="32"/>
          <w:szCs w:val="32"/>
        </w:rPr>
      </w:pPr>
      <w:r>
        <w:rPr>
          <w:rFonts w:hint="eastAsia" w:eastAsia="仿宋_GB2312"/>
          <w:lang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5E8B09">
      <w:pPr>
        <w:pStyle w:val="29"/>
        <w:numPr>
          <w:ilvl w:val="0"/>
          <w:numId w:val="3"/>
        </w:numPr>
        <w:spacing w:line="600" w:lineRule="exact"/>
        <w:ind w:firstLineChars="0"/>
        <w:outlineLvl w:val="1"/>
        <w:rPr>
          <w:rStyle w:val="31"/>
          <w:rFonts w:ascii="黑体" w:hAnsi="黑体" w:eastAsia="黑体"/>
          <w:b w:val="0"/>
        </w:rPr>
      </w:pPr>
      <w:bookmarkStart w:id="23" w:name="_Toc15396605"/>
      <w:bookmarkStart w:id="24" w:name="_Toc15377207"/>
      <w:r>
        <w:rPr>
          <w:rFonts w:hint="eastAsia" w:ascii="黑体" w:hAnsi="黑体" w:eastAsia="黑体"/>
          <w:sz w:val="32"/>
          <w:szCs w:val="32"/>
        </w:rPr>
        <w:t>支</w:t>
      </w:r>
      <w:r>
        <w:rPr>
          <w:rStyle w:val="31"/>
          <w:rFonts w:hint="eastAsia" w:ascii="黑体" w:hAnsi="黑体" w:eastAsia="黑体"/>
          <w:b w:val="0"/>
        </w:rPr>
        <w:t>出决算情况说明</w:t>
      </w:r>
      <w:bookmarkEnd w:id="23"/>
      <w:bookmarkEnd w:id="24"/>
    </w:p>
    <w:p w14:paraId="5A97964D">
      <w:pPr>
        <w:spacing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268.97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268.97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04C12DFF">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4F7C4F0B">
      <w:pPr>
        <w:spacing w:line="600" w:lineRule="exact"/>
        <w:ind w:firstLine="640" w:firstLineChars="200"/>
        <w:rPr>
          <w:rFonts w:ascii="仿宋_GB2312" w:eastAsia="仿宋_GB2312"/>
          <w:sz w:val="32"/>
          <w:szCs w:val="32"/>
        </w:rPr>
      </w:pPr>
    </w:p>
    <w:p w14:paraId="7647AB9E">
      <w:pPr>
        <w:pStyle w:val="11"/>
        <w:rPr>
          <w:rFonts w:ascii="仿宋_GB2312" w:eastAsia="仿宋_GB2312"/>
          <w:sz w:val="32"/>
          <w:szCs w:val="32"/>
        </w:rPr>
      </w:pPr>
      <w:r>
        <w:rPr>
          <w:rFonts w:hint="eastAsia" w:ascii="仿宋_GB2312" w:eastAsia="仿宋_GB2312"/>
          <w:color w:val="FF0000"/>
          <w:sz w:val="32"/>
          <w:szCs w:val="32"/>
        </w:rPr>
        <w:drawing>
          <wp:inline distT="0" distB="0" distL="114300" distR="114300">
            <wp:extent cx="5285105" cy="2724785"/>
            <wp:effectExtent l="4445" t="4445" r="6350"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D69ED5">
      <w:pPr>
        <w:spacing w:line="600" w:lineRule="exact"/>
        <w:ind w:firstLine="640" w:firstLineChars="200"/>
        <w:outlineLvl w:val="1"/>
        <w:rPr>
          <w:rStyle w:val="31"/>
          <w:rFonts w:ascii="黑体" w:hAnsi="黑体" w:eastAsia="黑体"/>
          <w:b w:val="0"/>
        </w:rPr>
      </w:pPr>
      <w:bookmarkStart w:id="25" w:name="_Toc15396606"/>
      <w:bookmarkStart w:id="26"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25"/>
      <w:bookmarkEnd w:id="26"/>
    </w:p>
    <w:p w14:paraId="207E47C8">
      <w:pPr>
        <w:spacing w:line="600" w:lineRule="exact"/>
        <w:ind w:firstLine="640" w:firstLineChars="200"/>
        <w:rPr>
          <w:rFonts w:hint="eastAsia" w:ascii="仿宋" w:hAnsi="仿宋" w:eastAsia="仿宋"/>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212.98</w:t>
      </w:r>
      <w:r>
        <w:rPr>
          <w:rFonts w:hint="eastAsia" w:ascii="Times New Roman" w:hAnsi="Times New Roman" w:eastAsia="仿宋_GB2312" w:cs="仿宋_GB2312"/>
          <w:color w:val="auto"/>
          <w:kern w:val="2"/>
          <w:sz w:val="32"/>
          <w:szCs w:val="32"/>
          <w:highlight w:val="none"/>
          <w:lang w:val="en-US" w:eastAsia="zh-CN" w:bidi="ar-SA"/>
        </w:rPr>
        <w:t>万元。与2023年度相比</w:t>
      </w:r>
      <w:r>
        <w:rPr>
          <w:rFonts w:ascii="仿宋" w:hAnsi="仿宋" w:eastAsia="仿宋"/>
          <w:color w:val="000000"/>
          <w:sz w:val="32"/>
          <w:u w:color="auto"/>
        </w:rPr>
        <w:t>，财政拨款收、支总计各</w:t>
      </w:r>
      <w:r>
        <w:rPr>
          <w:rFonts w:hint="eastAsia" w:ascii="仿宋" w:hAnsi="仿宋" w:eastAsia="仿宋"/>
          <w:color w:val="000000"/>
          <w:sz w:val="32"/>
          <w:u w:color="auto"/>
          <w:lang w:val="en-US" w:eastAsia="zh-CN"/>
        </w:rPr>
        <w:t>增加</w:t>
      </w:r>
      <w:r>
        <w:rPr>
          <w:rFonts w:hint="eastAsia" w:ascii="仿宋" w:hAnsi="仿宋" w:eastAsia="仿宋"/>
          <w:b/>
          <w:bCs/>
          <w:color w:val="000000"/>
          <w:sz w:val="32"/>
          <w:u w:color="auto"/>
          <w:lang w:val="en-US" w:eastAsia="zh-CN"/>
        </w:rPr>
        <w:t>6.65</w:t>
      </w:r>
      <w:r>
        <w:rPr>
          <w:rFonts w:ascii="仿宋" w:hAnsi="仿宋" w:eastAsia="仿宋"/>
          <w:color w:val="000000"/>
          <w:sz w:val="32"/>
          <w:u w:color="auto"/>
        </w:rPr>
        <w:t>万元，</w:t>
      </w:r>
      <w:r>
        <w:rPr>
          <w:rFonts w:hint="eastAsia" w:ascii="仿宋" w:hAnsi="仿宋" w:eastAsia="仿宋"/>
          <w:color w:val="000000"/>
          <w:sz w:val="32"/>
          <w:u w:color="auto"/>
          <w:lang w:val="en-US" w:eastAsia="zh-CN"/>
        </w:rPr>
        <w:t>增加了3.22</w:t>
      </w:r>
      <w:r>
        <w:rPr>
          <w:rFonts w:ascii="仿宋" w:hAnsi="仿宋" w:eastAsia="仿宋"/>
          <w:b/>
          <w:bCs/>
          <w:color w:val="000000"/>
          <w:sz w:val="32"/>
          <w:u w:color="auto"/>
        </w:rPr>
        <w:t xml:space="preserve"> </w:t>
      </w:r>
      <w:r>
        <w:rPr>
          <w:rFonts w:ascii="仿宋" w:hAnsi="仿宋" w:eastAsia="仿宋"/>
          <w:color w:val="000000"/>
          <w:sz w:val="32"/>
          <w:u w:color="auto"/>
        </w:rPr>
        <w:t>%。主要变动原因是项目</w:t>
      </w:r>
      <w:r>
        <w:rPr>
          <w:rFonts w:hint="eastAsia" w:ascii="仿宋" w:hAnsi="仿宋" w:eastAsia="仿宋"/>
          <w:color w:val="000000"/>
          <w:sz w:val="32"/>
          <w:u w:color="auto"/>
          <w:lang w:val="en-US" w:eastAsia="zh-CN"/>
        </w:rPr>
        <w:t>增加</w:t>
      </w:r>
      <w:r>
        <w:rPr>
          <w:rFonts w:ascii="仿宋" w:hAnsi="仿宋" w:eastAsia="仿宋"/>
          <w:color w:val="000000"/>
          <w:sz w:val="32"/>
          <w:u w:color="auto"/>
        </w:rPr>
        <w:t>：县域重点生态功能区环境质量监测工作费用;市生态环境局企业环保问题排查工作;编制经费等</w:t>
      </w:r>
      <w:r>
        <w:rPr>
          <w:rFonts w:hint="eastAsia" w:ascii="仿宋" w:hAnsi="仿宋" w:eastAsia="仿宋"/>
          <w:color w:val="000000"/>
          <w:sz w:val="32"/>
          <w:u w:color="auto"/>
          <w:lang w:eastAsia="zh-CN"/>
        </w:rPr>
        <w:t>。</w:t>
      </w:r>
    </w:p>
    <w:p w14:paraId="3BBD0291">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43529849">
      <w:pPr>
        <w:spacing w:line="600" w:lineRule="exact"/>
        <w:ind w:firstLine="640"/>
        <w:rPr>
          <w:rFonts w:ascii="仿宋" w:hAnsi="仿宋" w:eastAsia="仿宋"/>
          <w:b/>
          <w:sz w:val="32"/>
          <w:szCs w:val="32"/>
        </w:rPr>
      </w:pPr>
    </w:p>
    <w:p w14:paraId="7C5101FA">
      <w:pPr>
        <w:pStyle w:val="3"/>
        <w:rPr>
          <w:rFonts w:ascii="仿宋" w:hAnsi="仿宋" w:eastAsia="仿宋"/>
          <w:b/>
          <w:sz w:val="32"/>
          <w:szCs w:val="32"/>
        </w:rPr>
      </w:pPr>
    </w:p>
    <w:p w14:paraId="55D34DDC">
      <w:pPr>
        <w:pStyle w:val="11"/>
        <w:rPr>
          <w:rFonts w:ascii="仿宋" w:hAnsi="仿宋" w:eastAsia="仿宋"/>
          <w:b/>
          <w:sz w:val="32"/>
          <w:szCs w:val="32"/>
        </w:rPr>
      </w:pPr>
    </w:p>
    <w:p w14:paraId="3ED813E4">
      <w:pPr>
        <w:pStyle w:val="11"/>
        <w:rPr>
          <w:rFonts w:ascii="仿宋" w:hAnsi="仿宋" w:eastAsia="仿宋"/>
          <w:b/>
          <w:sz w:val="32"/>
          <w:szCs w:val="32"/>
        </w:rPr>
      </w:pPr>
    </w:p>
    <w:p w14:paraId="54922C9C">
      <w:pPr>
        <w:pStyle w:val="11"/>
        <w:rPr>
          <w:rFonts w:ascii="仿宋" w:hAnsi="仿宋" w:eastAsia="仿宋"/>
          <w:b/>
          <w:sz w:val="32"/>
          <w:szCs w:val="32"/>
        </w:rPr>
      </w:pPr>
    </w:p>
    <w:p w14:paraId="46C8A5D0">
      <w:pPr>
        <w:pStyle w:val="11"/>
        <w:rPr>
          <w:rFonts w:ascii="仿宋" w:hAnsi="仿宋" w:eastAsia="仿宋"/>
          <w:b/>
          <w:sz w:val="32"/>
          <w:szCs w:val="32"/>
        </w:rPr>
      </w:pPr>
      <w:r>
        <w:rPr>
          <w:rFonts w:hint="eastAsia" w:eastAsia="仿宋_GB2312"/>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AFBD81">
      <w:pPr>
        <w:pStyle w:val="11"/>
        <w:rPr>
          <w:rFonts w:ascii="仿宋" w:hAnsi="仿宋" w:eastAsia="仿宋"/>
          <w:b/>
          <w:sz w:val="32"/>
          <w:szCs w:val="32"/>
        </w:rPr>
      </w:pPr>
    </w:p>
    <w:p w14:paraId="6C7C30B8">
      <w:pPr>
        <w:pStyle w:val="11"/>
        <w:rPr>
          <w:rFonts w:ascii="仿宋" w:hAnsi="仿宋" w:eastAsia="仿宋"/>
          <w:b/>
          <w:sz w:val="32"/>
          <w:szCs w:val="32"/>
        </w:rPr>
      </w:pPr>
    </w:p>
    <w:p w14:paraId="7069E810">
      <w:pPr>
        <w:pStyle w:val="11"/>
        <w:rPr>
          <w:rFonts w:ascii="仿宋" w:hAnsi="仿宋" w:eastAsia="仿宋"/>
          <w:b/>
          <w:sz w:val="32"/>
          <w:szCs w:val="32"/>
        </w:rPr>
      </w:pPr>
    </w:p>
    <w:p w14:paraId="0B21C806">
      <w:pPr>
        <w:spacing w:line="600" w:lineRule="exact"/>
        <w:ind w:firstLine="640" w:firstLineChars="200"/>
        <w:outlineLvl w:val="1"/>
        <w:rPr>
          <w:rStyle w:val="31"/>
          <w:rFonts w:ascii="黑体" w:hAnsi="黑体" w:eastAsia="黑体"/>
          <w:b w:val="0"/>
        </w:rPr>
      </w:pPr>
      <w:bookmarkStart w:id="27" w:name="_Toc15377209"/>
      <w:bookmarkStart w:id="28" w:name="_Toc15396607"/>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7"/>
      <w:bookmarkEnd w:id="28"/>
    </w:p>
    <w:p w14:paraId="493171DC">
      <w:pPr>
        <w:spacing w:line="600" w:lineRule="exact"/>
        <w:ind w:firstLine="643" w:firstLineChars="200"/>
        <w:outlineLvl w:val="2"/>
        <w:rPr>
          <w:rFonts w:ascii="仿宋" w:hAnsi="仿宋" w:eastAsia="仿宋"/>
          <w:b/>
          <w:sz w:val="32"/>
          <w:szCs w:val="32"/>
        </w:rPr>
      </w:pPr>
      <w:bookmarkStart w:id="29" w:name="_Toc15377210"/>
      <w:r>
        <w:rPr>
          <w:rFonts w:hint="eastAsia" w:ascii="仿宋" w:hAnsi="仿宋" w:eastAsia="仿宋"/>
          <w:b/>
          <w:sz w:val="32"/>
          <w:szCs w:val="32"/>
        </w:rPr>
        <w:t>（一）一般公共预算财政拨款支出决算总体情况</w:t>
      </w:r>
      <w:bookmarkEnd w:id="29"/>
    </w:p>
    <w:p w14:paraId="4BD66B29">
      <w:pPr>
        <w:spacing w:line="600" w:lineRule="exact"/>
        <w:ind w:firstLine="640" w:firstLineChars="200"/>
        <w:rPr>
          <w:rFonts w:hint="eastAsia" w:ascii="仿宋" w:hAnsi="仿宋" w:eastAsia="仿宋"/>
          <w:sz w:val="32"/>
          <w:szCs w:val="32"/>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212.98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79.18</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 w:hAnsi="仿宋" w:eastAsia="仿宋"/>
          <w:color w:val="000000"/>
          <w:sz w:val="32"/>
          <w:szCs w:val="32"/>
        </w:rPr>
        <w:t>与</w:t>
      </w:r>
      <w:r>
        <w:rPr>
          <w:rFonts w:ascii="仿宋" w:hAnsi="仿宋" w:eastAsia="仿宋"/>
          <w:color w:val="000000"/>
          <w:sz w:val="32"/>
          <w:u w:color="auto"/>
        </w:rPr>
        <w:t>202</w:t>
      </w:r>
      <w:r>
        <w:rPr>
          <w:rFonts w:hint="eastAsia" w:ascii="仿宋" w:hAnsi="仿宋" w:eastAsia="仿宋"/>
          <w:color w:val="000000"/>
          <w:sz w:val="32"/>
          <w:u w:color="auto"/>
          <w:lang w:val="en-US" w:eastAsia="zh-CN"/>
        </w:rPr>
        <w:t>3年</w:t>
      </w:r>
      <w:r>
        <w:rPr>
          <w:rFonts w:ascii="仿宋" w:hAnsi="仿宋" w:eastAsia="仿宋"/>
          <w:color w:val="000000"/>
          <w:sz w:val="32"/>
          <w:u w:color="auto"/>
        </w:rPr>
        <w:t>相比，一般公共预算财政拨款</w:t>
      </w:r>
      <w:r>
        <w:rPr>
          <w:rFonts w:hint="eastAsia" w:ascii="仿宋" w:hAnsi="仿宋" w:eastAsia="仿宋"/>
          <w:color w:val="000000"/>
          <w:sz w:val="32"/>
          <w:u w:color="auto"/>
          <w:lang w:val="en-US" w:eastAsia="zh-CN"/>
        </w:rPr>
        <w:t>增加</w:t>
      </w:r>
      <w:r>
        <w:rPr>
          <w:rFonts w:hint="eastAsia" w:ascii="仿宋" w:hAnsi="仿宋" w:eastAsia="仿宋"/>
          <w:b/>
          <w:bCs/>
          <w:color w:val="000000"/>
          <w:sz w:val="32"/>
          <w:u w:color="auto"/>
          <w:lang w:val="en-US" w:eastAsia="zh-CN"/>
        </w:rPr>
        <w:t>6.65</w:t>
      </w:r>
      <w:r>
        <w:rPr>
          <w:rFonts w:ascii="仿宋" w:hAnsi="仿宋" w:eastAsia="仿宋"/>
          <w:color w:val="000000"/>
          <w:sz w:val="32"/>
          <w:u w:color="auto"/>
        </w:rPr>
        <w:t>万元，</w:t>
      </w:r>
      <w:r>
        <w:rPr>
          <w:rFonts w:hint="eastAsia" w:ascii="仿宋" w:hAnsi="仿宋" w:eastAsia="仿宋"/>
          <w:color w:val="000000"/>
          <w:sz w:val="32"/>
          <w:u w:color="auto"/>
          <w:lang w:val="en-US" w:eastAsia="zh-CN"/>
        </w:rPr>
        <w:t>增加了3.22</w:t>
      </w:r>
      <w:r>
        <w:rPr>
          <w:rFonts w:ascii="仿宋" w:hAnsi="仿宋" w:eastAsia="仿宋"/>
          <w:b/>
          <w:bCs/>
          <w:color w:val="000000"/>
          <w:sz w:val="32"/>
          <w:u w:color="auto"/>
        </w:rPr>
        <w:t xml:space="preserve"> </w:t>
      </w:r>
      <w:r>
        <w:rPr>
          <w:rFonts w:ascii="仿宋" w:hAnsi="仿宋" w:eastAsia="仿宋"/>
          <w:color w:val="000000"/>
          <w:sz w:val="32"/>
          <w:u w:color="auto"/>
        </w:rPr>
        <w:t>%。主要变动原因是项目</w:t>
      </w:r>
      <w:r>
        <w:rPr>
          <w:rFonts w:hint="eastAsia" w:ascii="仿宋" w:hAnsi="仿宋" w:eastAsia="仿宋"/>
          <w:color w:val="000000"/>
          <w:sz w:val="32"/>
          <w:u w:color="auto"/>
          <w:lang w:val="en-US" w:eastAsia="zh-CN"/>
        </w:rPr>
        <w:t>增加</w:t>
      </w:r>
      <w:r>
        <w:rPr>
          <w:rFonts w:ascii="仿宋" w:hAnsi="仿宋" w:eastAsia="仿宋"/>
          <w:color w:val="000000"/>
          <w:sz w:val="32"/>
          <w:u w:color="auto"/>
        </w:rPr>
        <w:t>：县域重点生态功能区环境质量监测工作费用;市生态环境局企业环保问题排查工作;编制经费等</w:t>
      </w:r>
      <w:r>
        <w:rPr>
          <w:rFonts w:hint="eastAsia" w:ascii="仿宋" w:hAnsi="仿宋" w:eastAsia="仿宋"/>
          <w:color w:val="000000"/>
          <w:sz w:val="32"/>
          <w:u w:color="auto"/>
          <w:lang w:eastAsia="zh-CN"/>
        </w:rPr>
        <w:t>。</w:t>
      </w:r>
    </w:p>
    <w:p w14:paraId="0842E041">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14:paraId="412D9A4D">
      <w:pPr>
        <w:pStyle w:val="3"/>
        <w:rPr>
          <w:rFonts w:hint="eastAsia" w:ascii="仿宋" w:hAnsi="仿宋" w:eastAsia="仿宋"/>
          <w:sz w:val="32"/>
          <w:szCs w:val="32"/>
        </w:rPr>
      </w:pPr>
    </w:p>
    <w:p w14:paraId="34C34ABA">
      <w:pPr>
        <w:pStyle w:val="11"/>
        <w:rPr>
          <w:rFonts w:ascii="仿宋" w:hAnsi="仿宋" w:eastAsia="仿宋"/>
          <w:sz w:val="32"/>
          <w:szCs w:val="32"/>
        </w:rPr>
      </w:pPr>
      <w:r>
        <w:rPr>
          <w:rFonts w:hint="eastAsia" w:ascii="仿宋_GB2312" w:hAnsi="仿宋" w:eastAsia="仿宋_GB2312"/>
          <w:b/>
          <w:color w:val="000000"/>
          <w:sz w:val="32"/>
          <w:szCs w:val="32"/>
          <w:lang w:eastAsia="zh-CN"/>
        </w:rPr>
        <w:drawing>
          <wp:inline distT="0" distB="0" distL="114300" distR="114300">
            <wp:extent cx="5266055" cy="2950210"/>
            <wp:effectExtent l="4445" t="4445" r="635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45B69E">
      <w:pPr>
        <w:spacing w:line="600" w:lineRule="exact"/>
        <w:ind w:firstLine="643" w:firstLineChars="200"/>
        <w:outlineLvl w:val="2"/>
        <w:rPr>
          <w:rFonts w:ascii="仿宋" w:hAnsi="仿宋" w:eastAsia="仿宋"/>
          <w:b/>
          <w:sz w:val="32"/>
          <w:szCs w:val="32"/>
        </w:rPr>
      </w:pPr>
      <w:bookmarkStart w:id="30" w:name="_Toc15377211"/>
      <w:r>
        <w:rPr>
          <w:rFonts w:hint="eastAsia" w:ascii="仿宋" w:hAnsi="仿宋" w:eastAsia="仿宋"/>
          <w:b/>
          <w:sz w:val="32"/>
          <w:szCs w:val="32"/>
        </w:rPr>
        <w:t>（二）一般公共预算财政拨款支出决算结构情况</w:t>
      </w:r>
      <w:bookmarkEnd w:id="30"/>
    </w:p>
    <w:p w14:paraId="50BF0828">
      <w:pPr>
        <w:spacing w:line="600" w:lineRule="exact"/>
        <w:ind w:firstLine="640" w:firstLineChars="200"/>
        <w:rPr>
          <w:rFonts w:ascii="仿宋" w:hAns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212.98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ascii="仿宋" w:hAnsi="仿宋" w:eastAsia="仿宋"/>
          <w:b/>
          <w:bCs/>
          <w:color w:val="000000"/>
          <w:sz w:val="32"/>
          <w:u w:color="auto"/>
        </w:rPr>
        <w:t>社会保障和就业支出</w:t>
      </w:r>
      <w:r>
        <w:rPr>
          <w:rFonts w:hint="eastAsia" w:ascii="仿宋" w:hAnsi="仿宋" w:eastAsia="仿宋"/>
          <w:b/>
          <w:bCs/>
          <w:color w:val="000000"/>
          <w:sz w:val="32"/>
          <w:u w:color="auto"/>
          <w:lang w:val="en-US" w:eastAsia="zh-CN"/>
        </w:rPr>
        <w:t>36.27</w:t>
      </w:r>
      <w:r>
        <w:rPr>
          <w:rFonts w:ascii="仿宋" w:hAnsi="仿宋" w:eastAsia="仿宋"/>
          <w:color w:val="000000"/>
          <w:sz w:val="32"/>
          <w:u w:color="auto"/>
        </w:rPr>
        <w:t>万元，占</w:t>
      </w:r>
      <w:r>
        <w:rPr>
          <w:rFonts w:hint="eastAsia" w:ascii="仿宋" w:hAnsi="仿宋" w:eastAsia="仿宋"/>
          <w:b/>
          <w:bCs/>
          <w:color w:val="000000"/>
          <w:sz w:val="32"/>
          <w:u w:color="auto"/>
          <w:lang w:val="en-US" w:eastAsia="zh-CN"/>
        </w:rPr>
        <w:t>17.03</w:t>
      </w:r>
      <w:r>
        <w:rPr>
          <w:rFonts w:ascii="仿宋" w:hAnsi="仿宋" w:eastAsia="仿宋"/>
          <w:color w:val="000000"/>
          <w:sz w:val="32"/>
          <w:u w:color="auto"/>
        </w:rPr>
        <w:t>%；</w:t>
      </w:r>
      <w:r>
        <w:rPr>
          <w:rFonts w:ascii="仿宋" w:hAnsi="仿宋" w:eastAsia="仿宋"/>
          <w:b/>
          <w:bCs/>
          <w:color w:val="000000"/>
          <w:sz w:val="32"/>
          <w:u w:color="auto"/>
        </w:rPr>
        <w:t>卫生健康支出</w:t>
      </w:r>
      <w:r>
        <w:rPr>
          <w:rFonts w:hint="eastAsia" w:ascii="仿宋" w:hAnsi="仿宋" w:eastAsia="仿宋"/>
          <w:b/>
          <w:bCs/>
          <w:color w:val="000000"/>
          <w:sz w:val="32"/>
          <w:u w:color="auto"/>
          <w:lang w:val="en-US" w:eastAsia="zh-CN"/>
        </w:rPr>
        <w:t>14.61</w:t>
      </w:r>
      <w:r>
        <w:rPr>
          <w:rFonts w:ascii="仿宋" w:hAnsi="仿宋" w:eastAsia="仿宋"/>
          <w:color w:val="000000"/>
          <w:sz w:val="32"/>
          <w:u w:color="auto"/>
        </w:rPr>
        <w:t>万元，占</w:t>
      </w:r>
      <w:r>
        <w:rPr>
          <w:rFonts w:hint="eastAsia" w:ascii="仿宋" w:hAnsi="仿宋" w:eastAsia="仿宋"/>
          <w:b/>
          <w:bCs/>
          <w:color w:val="000000"/>
          <w:sz w:val="32"/>
          <w:u w:color="auto"/>
          <w:lang w:val="en-US" w:eastAsia="zh-CN"/>
        </w:rPr>
        <w:t>6.86</w:t>
      </w:r>
      <w:r>
        <w:rPr>
          <w:rFonts w:ascii="仿宋" w:hAnsi="仿宋" w:eastAsia="仿宋"/>
          <w:color w:val="000000"/>
          <w:sz w:val="32"/>
          <w:u w:color="auto"/>
        </w:rPr>
        <w:t>%；</w:t>
      </w:r>
      <w:r>
        <w:rPr>
          <w:rFonts w:ascii="仿宋" w:hAnsi="仿宋" w:eastAsia="仿宋"/>
          <w:b/>
          <w:bCs/>
          <w:color w:val="000000"/>
          <w:sz w:val="32"/>
          <w:u w:color="auto"/>
        </w:rPr>
        <w:t>节能环保支出</w:t>
      </w:r>
      <w:r>
        <w:rPr>
          <w:rFonts w:hint="eastAsia" w:ascii="仿宋" w:hAnsi="仿宋" w:eastAsia="仿宋"/>
          <w:b/>
          <w:bCs/>
          <w:color w:val="000000"/>
          <w:sz w:val="32"/>
          <w:u w:color="auto"/>
          <w:lang w:val="en-US" w:eastAsia="zh-CN"/>
        </w:rPr>
        <w:t>141.79</w:t>
      </w:r>
      <w:r>
        <w:rPr>
          <w:rFonts w:ascii="仿宋" w:hAnsi="仿宋" w:eastAsia="仿宋"/>
          <w:color w:val="000000"/>
          <w:sz w:val="32"/>
          <w:u w:color="auto"/>
        </w:rPr>
        <w:t>万元，占</w:t>
      </w:r>
      <w:r>
        <w:rPr>
          <w:rFonts w:hint="eastAsia" w:ascii="仿宋" w:hAnsi="仿宋" w:eastAsia="仿宋"/>
          <w:b/>
          <w:bCs/>
          <w:color w:val="000000"/>
          <w:sz w:val="32"/>
          <w:u w:color="auto"/>
          <w:lang w:val="en-US" w:eastAsia="zh-CN"/>
        </w:rPr>
        <w:t>66.57</w:t>
      </w:r>
      <w:r>
        <w:rPr>
          <w:rFonts w:ascii="仿宋" w:hAnsi="仿宋" w:eastAsia="仿宋"/>
          <w:color w:val="000000"/>
          <w:sz w:val="32"/>
          <w:u w:color="auto"/>
        </w:rPr>
        <w:t>%；</w:t>
      </w:r>
      <w:r>
        <w:rPr>
          <w:rFonts w:ascii="仿宋" w:hAnsi="仿宋" w:eastAsia="仿宋"/>
          <w:b/>
          <w:bCs/>
          <w:color w:val="000000"/>
          <w:sz w:val="32"/>
          <w:u w:color="auto"/>
        </w:rPr>
        <w:t>住房保障支出</w:t>
      </w:r>
      <w:r>
        <w:rPr>
          <w:rFonts w:hint="eastAsia" w:ascii="仿宋" w:hAnsi="仿宋" w:eastAsia="仿宋"/>
          <w:b/>
          <w:bCs/>
          <w:color w:val="000000"/>
          <w:sz w:val="32"/>
          <w:u w:color="auto"/>
          <w:lang w:val="en-US" w:eastAsia="zh-CN"/>
        </w:rPr>
        <w:t>20.31</w:t>
      </w:r>
      <w:r>
        <w:rPr>
          <w:rFonts w:ascii="仿宋" w:hAnsi="仿宋" w:eastAsia="仿宋"/>
          <w:color w:val="000000"/>
          <w:sz w:val="32"/>
          <w:u w:color="auto"/>
        </w:rPr>
        <w:t>万元，占</w:t>
      </w:r>
      <w:r>
        <w:rPr>
          <w:rFonts w:hint="eastAsia" w:ascii="仿宋" w:hAnsi="仿宋" w:eastAsia="仿宋"/>
          <w:b/>
          <w:bCs/>
          <w:color w:val="000000"/>
          <w:sz w:val="32"/>
          <w:u w:color="auto"/>
          <w:lang w:val="en-US" w:eastAsia="zh-CN"/>
        </w:rPr>
        <w:t>9.54</w:t>
      </w:r>
      <w:r>
        <w:rPr>
          <w:rFonts w:ascii="仿宋" w:hAnsi="仿宋" w:eastAsia="仿宋"/>
          <w:color w:val="000000"/>
          <w:sz w:val="32"/>
          <w:u w:color="auto"/>
        </w:rPr>
        <w:t>%。</w:t>
      </w:r>
    </w:p>
    <w:p w14:paraId="3B6FABDE">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2066D96E">
      <w:pPr>
        <w:pStyle w:val="11"/>
        <w:rPr>
          <w:rFonts w:ascii="仿宋" w:hAnsi="仿宋" w:eastAsia="仿宋"/>
          <w:sz w:val="32"/>
          <w:szCs w:val="32"/>
        </w:rPr>
      </w:pPr>
      <w:r>
        <w:rPr>
          <w:rFonts w:hint="eastAsia" w:eastAsia="宋体"/>
          <w:lang w:eastAsia="zh-CN"/>
        </w:rPr>
        <w:drawing>
          <wp:inline distT="0" distB="0" distL="114300" distR="114300">
            <wp:extent cx="5285105" cy="2865120"/>
            <wp:effectExtent l="4445" t="4445" r="6350" b="698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387AC0">
      <w:pPr>
        <w:spacing w:line="600" w:lineRule="exact"/>
        <w:ind w:firstLine="643" w:firstLineChars="200"/>
        <w:outlineLvl w:val="2"/>
        <w:rPr>
          <w:rFonts w:ascii="仿宋" w:hAnsi="仿宋" w:eastAsia="仿宋"/>
          <w:b/>
          <w:sz w:val="32"/>
          <w:szCs w:val="32"/>
        </w:rPr>
      </w:pPr>
      <w:bookmarkStart w:id="31" w:name="_Toc15377212"/>
      <w:r>
        <w:rPr>
          <w:rFonts w:hint="eastAsia" w:ascii="仿宋" w:hAnsi="仿宋" w:eastAsia="仿宋"/>
          <w:b/>
          <w:sz w:val="32"/>
          <w:szCs w:val="32"/>
        </w:rPr>
        <w:t>（三）一般公共预算财政拨款支出决算具体情况</w:t>
      </w:r>
      <w:bookmarkEnd w:id="31"/>
    </w:p>
    <w:p w14:paraId="3ECFB7B0">
      <w:pPr>
        <w:spacing w:line="600" w:lineRule="exact"/>
        <w:ind w:firstLine="640" w:firstLineChars="200"/>
        <w:outlineLvl w:val="2"/>
        <w:rPr>
          <w:rFonts w:ascii="仿宋" w:hAnsi="仿宋" w:eastAsia="仿宋"/>
          <w:sz w:val="32"/>
          <w:szCs w:val="32"/>
        </w:rPr>
      </w:pPr>
      <w:bookmarkStart w:id="32" w:name="_Toc15378460"/>
      <w:bookmarkStart w:id="33" w:name="_Toc15377213"/>
      <w:bookmarkStart w:id="34"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212.98</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完成预算100%。</w:t>
      </w:r>
      <w:r>
        <w:rPr>
          <w:rStyle w:val="19"/>
          <w:rFonts w:hint="eastAsia" w:ascii="仿宋" w:hAnsi="仿宋" w:eastAsia="仿宋"/>
          <w:bCs/>
          <w:sz w:val="32"/>
          <w:szCs w:val="32"/>
        </w:rPr>
        <w:t>其中：</w:t>
      </w:r>
      <w:bookmarkEnd w:id="32"/>
      <w:bookmarkEnd w:id="33"/>
      <w:bookmarkEnd w:id="34"/>
    </w:p>
    <w:p w14:paraId="6D1E8F11">
      <w:pPr>
        <w:spacing w:line="600" w:lineRule="exact"/>
        <w:ind w:firstLine="640"/>
        <w:rPr>
          <w:rFonts w:hint="eastAsia" w:ascii="仿宋_GB2312" w:hAnsi="Times New Roman" w:eastAsia="仿宋_GB2312" w:cs="Times New Roman"/>
          <w:sz w:val="32"/>
          <w:szCs w:val="32"/>
        </w:rPr>
      </w:pPr>
      <w:r>
        <w:rPr>
          <w:rFonts w:hint="eastAsia" w:ascii="仿宋_GB2312" w:hAnsi="Times New Roman" w:eastAsia="仿宋_GB2312" w:cs="Times New Roman"/>
          <w:b/>
          <w:bCs/>
          <w:sz w:val="32"/>
          <w:szCs w:val="32"/>
        </w:rPr>
        <w:t>1.社会保障和就业支出（类）行政事业单位养老支出（款）机关事业单位基本养老保险缴费支出（项）</w:t>
      </w:r>
      <w:r>
        <w:rPr>
          <w:rFonts w:hint="eastAsia" w:ascii="仿宋_GB2312" w:hAnsi="Times New Roman" w:eastAsia="仿宋_GB2312" w:cs="Times New Roman"/>
          <w:sz w:val="32"/>
          <w:szCs w:val="32"/>
        </w:rPr>
        <w:t>: 支出决算</w:t>
      </w:r>
      <w:r>
        <w:rPr>
          <w:rFonts w:hint="eastAsia" w:ascii="仿宋_GB2312" w:eastAsia="仿宋_GB2312" w:cs="Times New Roman"/>
          <w:b/>
          <w:bCs/>
          <w:sz w:val="32"/>
          <w:szCs w:val="32"/>
          <w:lang w:val="en-US" w:eastAsia="zh-CN"/>
        </w:rPr>
        <w:t>24.18</w:t>
      </w:r>
      <w:r>
        <w:rPr>
          <w:rFonts w:hint="eastAsia" w:ascii="仿宋_GB2312" w:hAnsi="Times New Roman" w:eastAsia="仿宋_GB2312" w:cs="Times New Roman"/>
          <w:sz w:val="32"/>
          <w:szCs w:val="32"/>
        </w:rPr>
        <w:t>万元，完成预算</w:t>
      </w:r>
      <w:r>
        <w:rPr>
          <w:rFonts w:hint="eastAsia" w:ascii="仿宋_GB2312" w:hAnsi="Times New Roman" w:eastAsia="仿宋_GB2312" w:cs="Times New Roman"/>
          <w:b/>
          <w:bCs/>
          <w:sz w:val="32"/>
          <w:szCs w:val="32"/>
        </w:rPr>
        <w:t>100</w:t>
      </w:r>
      <w:r>
        <w:rPr>
          <w:rFonts w:hint="eastAsia" w:ascii="仿宋_GB2312" w:hAnsi="Times New Roman" w:eastAsia="仿宋_GB2312" w:cs="Times New Roman"/>
          <w:sz w:val="32"/>
          <w:szCs w:val="32"/>
        </w:rPr>
        <w:t>%。</w:t>
      </w:r>
      <w:r>
        <w:rPr>
          <w:rFonts w:hint="eastAsia" w:ascii="仿宋_GB2312" w:eastAsia="仿宋_GB2312" w:cs="Times New Roman"/>
          <w:sz w:val="32"/>
          <w:szCs w:val="32"/>
          <w:lang w:val="en-US" w:eastAsia="zh-CN"/>
        </w:rPr>
        <w:t xml:space="preserve"> </w:t>
      </w:r>
      <w:r>
        <w:rPr>
          <w:rFonts w:hint="eastAsia" w:ascii="仿宋_GB2312" w:hAnsi="Times New Roman" w:eastAsia="仿宋_GB2312" w:cs="Times New Roman"/>
          <w:sz w:val="32"/>
          <w:szCs w:val="32"/>
        </w:rPr>
        <w:cr/>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b/>
          <w:bCs/>
          <w:sz w:val="32"/>
          <w:szCs w:val="32"/>
        </w:rPr>
        <w:t>2.社会保障和就业支出（类）行政事业单位养老支出（款）机关事业单位职业年金缴费支出（项）</w:t>
      </w: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sz w:val="32"/>
          <w:szCs w:val="32"/>
        </w:rPr>
        <w:t>支出决算</w:t>
      </w:r>
      <w:r>
        <w:rPr>
          <w:rFonts w:hint="eastAsia" w:ascii="仿宋_GB2312" w:eastAsia="仿宋_GB2312" w:cs="Times New Roman"/>
          <w:b/>
          <w:bCs/>
          <w:sz w:val="32"/>
          <w:szCs w:val="32"/>
          <w:lang w:val="en-US" w:eastAsia="zh-CN"/>
        </w:rPr>
        <w:t>12.09</w:t>
      </w:r>
      <w:r>
        <w:rPr>
          <w:rFonts w:hint="eastAsia" w:ascii="仿宋_GB2312" w:hAnsi="Times New Roman" w:eastAsia="仿宋_GB2312" w:cs="Times New Roman"/>
          <w:sz w:val="32"/>
          <w:szCs w:val="32"/>
        </w:rPr>
        <w:t>万元，完成预算</w:t>
      </w:r>
      <w:r>
        <w:rPr>
          <w:rFonts w:hint="eastAsia" w:ascii="仿宋_GB2312" w:hAnsi="Times New Roman" w:eastAsia="仿宋_GB2312" w:cs="Times New Roman"/>
          <w:b/>
          <w:bCs/>
          <w:sz w:val="32"/>
          <w:szCs w:val="32"/>
          <w:lang w:val="en-US" w:eastAsia="zh-CN"/>
        </w:rPr>
        <w:t>100</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rPr>
        <w:cr/>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b/>
          <w:bCs/>
          <w:sz w:val="32"/>
          <w:szCs w:val="32"/>
        </w:rPr>
        <w:t>3.卫生健康支出（类）行政事业单位医疗（款）事业单位医疗（项）</w:t>
      </w:r>
      <w:r>
        <w:rPr>
          <w:rFonts w:hint="eastAsia" w:ascii="仿宋_GB2312" w:hAnsi="Times New Roman" w:eastAsia="仿宋_GB2312" w:cs="Times New Roman"/>
          <w:b/>
          <w:bCs/>
          <w:sz w:val="32"/>
          <w:szCs w:val="32"/>
          <w:lang w:eastAsia="zh-CN"/>
        </w:rPr>
        <w:t>：</w:t>
      </w:r>
      <w:r>
        <w:rPr>
          <w:rFonts w:hint="eastAsia" w:ascii="仿宋_GB2312" w:hAnsi="Times New Roman" w:eastAsia="仿宋_GB2312" w:cs="Times New Roman"/>
          <w:sz w:val="32"/>
          <w:szCs w:val="32"/>
        </w:rPr>
        <w:t>支出决算</w:t>
      </w:r>
      <w:r>
        <w:rPr>
          <w:rFonts w:hint="eastAsia" w:ascii="仿宋_GB2312" w:eastAsia="仿宋_GB2312" w:cs="Times New Roman"/>
          <w:b/>
          <w:bCs/>
          <w:sz w:val="32"/>
          <w:szCs w:val="32"/>
          <w:lang w:val="en-US" w:eastAsia="zh-CN"/>
        </w:rPr>
        <w:t>11.77</w:t>
      </w:r>
      <w:r>
        <w:rPr>
          <w:rFonts w:hint="eastAsia" w:ascii="仿宋_GB2312" w:hAnsi="Times New Roman" w:eastAsia="仿宋_GB2312" w:cs="Times New Roman"/>
          <w:sz w:val="32"/>
          <w:szCs w:val="32"/>
        </w:rPr>
        <w:t>万元，完成预算</w:t>
      </w:r>
      <w:r>
        <w:rPr>
          <w:rFonts w:hint="eastAsia" w:ascii="仿宋_GB2312" w:hAnsi="Times New Roman" w:eastAsia="仿宋_GB2312" w:cs="Times New Roman"/>
          <w:b/>
          <w:bCs/>
          <w:sz w:val="32"/>
          <w:szCs w:val="32"/>
        </w:rPr>
        <w:t>100</w:t>
      </w:r>
      <w:r>
        <w:rPr>
          <w:rFonts w:hint="eastAsia" w:ascii="仿宋_GB2312" w:hAnsi="Times New Roman" w:eastAsia="仿宋_GB2312" w:cs="Times New Roman"/>
          <w:sz w:val="32"/>
          <w:szCs w:val="32"/>
        </w:rPr>
        <w:t>%。</w:t>
      </w:r>
    </w:p>
    <w:p w14:paraId="17D7A9ED">
      <w:pPr>
        <w:spacing w:line="600" w:lineRule="exact"/>
        <w:ind w:firstLine="640"/>
        <w:rPr>
          <w:rFonts w:hint="eastAsia" w:ascii="仿宋_GB2312" w:hAnsi="Times New Roman" w:eastAsia="仿宋_GB2312" w:cs="Times New Roman"/>
          <w:b w:val="0"/>
          <w:bCs w:val="0"/>
          <w:sz w:val="32"/>
          <w:szCs w:val="32"/>
        </w:rPr>
      </w:pPr>
      <w:r>
        <w:rPr>
          <w:rFonts w:hint="eastAsia" w:ascii="仿宋_GB2312" w:hAnsi="Times New Roman" w:eastAsia="仿宋_GB2312" w:cs="Times New Roman"/>
          <w:b/>
          <w:bCs/>
          <w:sz w:val="32"/>
          <w:szCs w:val="32"/>
          <w:lang w:val="en-US" w:eastAsia="zh-CN"/>
        </w:rPr>
        <w:t>4.</w:t>
      </w:r>
      <w:r>
        <w:rPr>
          <w:rFonts w:hint="eastAsia" w:ascii="仿宋_GB2312" w:hAnsi="Times New Roman" w:eastAsia="仿宋_GB2312" w:cs="Times New Roman"/>
          <w:b/>
          <w:bCs/>
          <w:sz w:val="32"/>
          <w:szCs w:val="32"/>
        </w:rPr>
        <w:t>卫生健康支出（类）行政事业单位医疗（款）</w:t>
      </w:r>
      <w:r>
        <w:rPr>
          <w:rFonts w:hint="eastAsia" w:ascii="仿宋_GB2312" w:hAnsi="Times New Roman" w:eastAsia="仿宋_GB2312" w:cs="Times New Roman"/>
          <w:b/>
          <w:bCs/>
          <w:sz w:val="32"/>
          <w:szCs w:val="32"/>
          <w:lang w:val="en-US" w:eastAsia="zh-CN"/>
        </w:rPr>
        <w:t>其他行政事业单位医疗支出</w:t>
      </w:r>
      <w:r>
        <w:rPr>
          <w:rFonts w:hint="eastAsia" w:ascii="仿宋_GB2312" w:hAnsi="Times New Roman" w:eastAsia="仿宋_GB2312" w:cs="Times New Roman"/>
          <w:b/>
          <w:bCs/>
          <w:sz w:val="32"/>
          <w:szCs w:val="32"/>
        </w:rPr>
        <w:t>（项）</w:t>
      </w:r>
      <w:r>
        <w:rPr>
          <w:rFonts w:hint="eastAsia" w:ascii="仿宋_GB2312" w:hAnsi="Times New Roman" w:eastAsia="仿宋_GB2312" w:cs="Times New Roman"/>
          <w:b w:val="0"/>
          <w:bCs w:val="0"/>
          <w:sz w:val="32"/>
          <w:szCs w:val="32"/>
          <w:lang w:val="en-US" w:eastAsia="zh-CN"/>
        </w:rPr>
        <w:t>支出决算</w:t>
      </w:r>
      <w:r>
        <w:rPr>
          <w:rFonts w:hint="eastAsia" w:ascii="仿宋_GB2312" w:eastAsia="仿宋_GB2312" w:cs="Times New Roman"/>
          <w:b/>
          <w:bCs/>
          <w:sz w:val="32"/>
          <w:szCs w:val="32"/>
          <w:lang w:val="en-US" w:eastAsia="zh-CN"/>
        </w:rPr>
        <w:t>2.84</w:t>
      </w:r>
      <w:r>
        <w:rPr>
          <w:rFonts w:hint="eastAsia" w:ascii="仿宋_GB2312" w:hAnsi="Times New Roman" w:eastAsia="仿宋_GB2312" w:cs="Times New Roman"/>
          <w:b w:val="0"/>
          <w:bCs w:val="0"/>
          <w:sz w:val="32"/>
          <w:szCs w:val="32"/>
          <w:lang w:val="en-US" w:eastAsia="zh-CN"/>
        </w:rPr>
        <w:t>万元，完成预算</w:t>
      </w:r>
      <w:r>
        <w:rPr>
          <w:rFonts w:hint="eastAsia" w:ascii="仿宋_GB2312" w:hAnsi="Times New Roman" w:eastAsia="仿宋_GB2312" w:cs="Times New Roman"/>
          <w:b/>
          <w:bCs/>
          <w:sz w:val="32"/>
          <w:szCs w:val="32"/>
          <w:lang w:val="en-US" w:eastAsia="zh-CN"/>
        </w:rPr>
        <w:t>100</w:t>
      </w:r>
      <w:r>
        <w:rPr>
          <w:rFonts w:hint="eastAsia" w:ascii="仿宋_GB2312" w:hAnsi="Times New Roman" w:eastAsia="仿宋_GB2312" w:cs="Times New Roman"/>
          <w:b w:val="0"/>
          <w:bCs w:val="0"/>
          <w:sz w:val="32"/>
          <w:szCs w:val="32"/>
          <w:lang w:val="en-US" w:eastAsia="zh-CN"/>
        </w:rPr>
        <w:t>%。</w:t>
      </w:r>
      <w:r>
        <w:rPr>
          <w:rFonts w:hint="eastAsia" w:ascii="仿宋_GB2312" w:hAnsi="Times New Roman" w:eastAsia="仿宋_GB2312" w:cs="Times New Roman"/>
          <w:b w:val="0"/>
          <w:bCs w:val="0"/>
          <w:sz w:val="32"/>
          <w:szCs w:val="32"/>
        </w:rPr>
        <w:cr/>
      </w:r>
      <w:r>
        <w:rPr>
          <w:rFonts w:hint="eastAsia" w:ascii="仿宋_GB2312" w:hAnsi="Times New Roman" w:eastAsia="仿宋_GB2312" w:cs="Times New Roman"/>
          <w:b/>
          <w:bCs/>
          <w:sz w:val="32"/>
          <w:szCs w:val="32"/>
          <w:lang w:val="en-US" w:eastAsia="zh-CN"/>
        </w:rPr>
        <w:t xml:space="preserve">      5.</w:t>
      </w:r>
      <w:r>
        <w:rPr>
          <w:rFonts w:hint="eastAsia" w:ascii="仿宋_GB2312" w:hAnsi="Times New Roman" w:eastAsia="仿宋_GB2312" w:cs="Times New Roman"/>
          <w:b/>
          <w:bCs/>
          <w:sz w:val="32"/>
          <w:szCs w:val="32"/>
        </w:rPr>
        <w:t>节能环保支出（类）环境监测与监察（款）其他环境监测与监察支出（项）支出决算</w:t>
      </w:r>
      <w:r>
        <w:rPr>
          <w:rFonts w:hint="eastAsia" w:ascii="仿宋_GB2312" w:eastAsia="仿宋_GB2312" w:cs="Times New Roman"/>
          <w:b/>
          <w:bCs/>
          <w:sz w:val="32"/>
          <w:szCs w:val="32"/>
          <w:lang w:val="en-US" w:eastAsia="zh-CN"/>
        </w:rPr>
        <w:t>141.79</w:t>
      </w:r>
      <w:r>
        <w:rPr>
          <w:rFonts w:hint="eastAsia" w:ascii="仿宋_GB2312" w:hAnsi="Times New Roman" w:eastAsia="仿宋_GB2312" w:cs="Times New Roman"/>
          <w:b w:val="0"/>
          <w:bCs w:val="0"/>
          <w:sz w:val="32"/>
          <w:szCs w:val="32"/>
        </w:rPr>
        <w:t>万元，完成预算</w:t>
      </w:r>
      <w:r>
        <w:rPr>
          <w:rFonts w:hint="eastAsia" w:ascii="仿宋_GB2312" w:hAnsi="Times New Roman" w:eastAsia="仿宋_GB2312" w:cs="Times New Roman"/>
          <w:b/>
          <w:bCs/>
          <w:sz w:val="32"/>
          <w:szCs w:val="32"/>
        </w:rPr>
        <w:t>100</w:t>
      </w:r>
      <w:r>
        <w:rPr>
          <w:rFonts w:hint="eastAsia" w:ascii="仿宋_GB2312" w:hAnsi="Times New Roman" w:eastAsia="仿宋_GB2312" w:cs="Times New Roman"/>
          <w:b w:val="0"/>
          <w:bCs w:val="0"/>
          <w:sz w:val="32"/>
          <w:szCs w:val="32"/>
        </w:rPr>
        <w:t>%。</w:t>
      </w:r>
      <w:r>
        <w:rPr>
          <w:rFonts w:hint="eastAsia" w:ascii="仿宋_GB2312" w:hAnsi="Times New Roman" w:eastAsia="仿宋_GB2312" w:cs="Times New Roman"/>
          <w:b w:val="0"/>
          <w:bCs w:val="0"/>
          <w:sz w:val="32"/>
          <w:szCs w:val="32"/>
        </w:rPr>
        <w:cr/>
      </w:r>
      <w:r>
        <w:rPr>
          <w:rFonts w:hint="eastAsia" w:ascii="仿宋_GB2312" w:hAnsi="Times New Roman" w:eastAsia="仿宋_GB2312" w:cs="Times New Roman"/>
          <w:b/>
          <w:bCs/>
          <w:sz w:val="32"/>
          <w:szCs w:val="32"/>
          <w:lang w:val="en-US" w:eastAsia="zh-CN"/>
        </w:rPr>
        <w:t xml:space="preserve">      6.</w:t>
      </w:r>
      <w:r>
        <w:rPr>
          <w:rFonts w:hint="eastAsia" w:ascii="仿宋_GB2312" w:hAnsi="Times New Roman" w:eastAsia="仿宋_GB2312" w:cs="Times New Roman"/>
          <w:b/>
          <w:bCs/>
          <w:sz w:val="32"/>
          <w:szCs w:val="32"/>
        </w:rPr>
        <w:t>住房保障支出（类）住房改革支出（款）住房公积金（项）</w:t>
      </w:r>
      <w:r>
        <w:rPr>
          <w:rFonts w:hint="eastAsia" w:ascii="仿宋_GB2312" w:hAnsi="Times New Roman" w:eastAsia="仿宋_GB2312" w:cs="Times New Roman"/>
          <w:b w:val="0"/>
          <w:bCs w:val="0"/>
          <w:sz w:val="32"/>
          <w:szCs w:val="32"/>
        </w:rPr>
        <w:t>支出决算</w:t>
      </w:r>
      <w:r>
        <w:rPr>
          <w:rFonts w:hint="eastAsia" w:ascii="仿宋_GB2312" w:eastAsia="仿宋_GB2312" w:cs="Times New Roman"/>
          <w:b/>
          <w:bCs/>
          <w:sz w:val="32"/>
          <w:szCs w:val="32"/>
          <w:lang w:val="en-US" w:eastAsia="zh-CN"/>
        </w:rPr>
        <w:t>19.31</w:t>
      </w:r>
      <w:r>
        <w:rPr>
          <w:rFonts w:hint="eastAsia" w:ascii="仿宋_GB2312" w:hAnsi="Times New Roman" w:eastAsia="仿宋_GB2312" w:cs="Times New Roman"/>
          <w:b w:val="0"/>
          <w:bCs w:val="0"/>
          <w:sz w:val="32"/>
          <w:szCs w:val="32"/>
        </w:rPr>
        <w:t>万元，完成预算</w:t>
      </w:r>
      <w:r>
        <w:rPr>
          <w:rFonts w:hint="eastAsia" w:ascii="仿宋_GB2312" w:hAnsi="Times New Roman" w:eastAsia="仿宋_GB2312" w:cs="Times New Roman"/>
          <w:b/>
          <w:bCs/>
          <w:sz w:val="32"/>
          <w:szCs w:val="32"/>
        </w:rPr>
        <w:t>100</w:t>
      </w:r>
      <w:r>
        <w:rPr>
          <w:rFonts w:hint="eastAsia" w:ascii="仿宋_GB2312" w:hAnsi="Times New Roman" w:eastAsia="仿宋_GB2312" w:cs="Times New Roman"/>
          <w:b w:val="0"/>
          <w:bCs w:val="0"/>
          <w:sz w:val="32"/>
          <w:szCs w:val="32"/>
        </w:rPr>
        <w:t>%。</w:t>
      </w:r>
    </w:p>
    <w:p w14:paraId="44DADA01">
      <w:pPr>
        <w:spacing w:line="600" w:lineRule="exact"/>
        <w:ind w:firstLine="640"/>
        <w:rPr>
          <w:rFonts w:hint="eastAsia" w:ascii="仿宋_GB2312" w:hAnsi="Times New Roman" w:eastAsia="仿宋_GB2312" w:cs="Times New Roman"/>
          <w:b w:val="0"/>
          <w:bCs w:val="0"/>
          <w:sz w:val="32"/>
          <w:szCs w:val="32"/>
        </w:rPr>
      </w:pPr>
      <w:r>
        <w:rPr>
          <w:rFonts w:hint="eastAsia" w:ascii="仿宋_GB2312" w:hAnsi="Times New Roman" w:eastAsia="仿宋_GB2312" w:cs="Times New Roman"/>
          <w:b/>
          <w:bCs/>
          <w:sz w:val="32"/>
          <w:szCs w:val="32"/>
          <w:lang w:val="en-US" w:eastAsia="zh-CN"/>
        </w:rPr>
        <w:t xml:space="preserve">  7.</w:t>
      </w:r>
      <w:r>
        <w:rPr>
          <w:rFonts w:hint="eastAsia" w:ascii="仿宋_GB2312" w:hAnsi="Times New Roman" w:eastAsia="仿宋_GB2312" w:cs="Times New Roman"/>
          <w:b/>
          <w:bCs/>
          <w:sz w:val="32"/>
          <w:szCs w:val="32"/>
        </w:rPr>
        <w:t>住房保障支出（类）住房改革支出（款）</w:t>
      </w:r>
      <w:r>
        <w:rPr>
          <w:rFonts w:hint="eastAsia" w:ascii="仿宋_GB2312" w:hAnsi="Times New Roman" w:eastAsia="仿宋_GB2312" w:cs="Times New Roman"/>
          <w:b/>
          <w:bCs/>
          <w:sz w:val="32"/>
          <w:szCs w:val="32"/>
          <w:lang w:val="en-US" w:eastAsia="zh-CN"/>
        </w:rPr>
        <w:t>购房补贴</w:t>
      </w:r>
      <w:r>
        <w:rPr>
          <w:rFonts w:hint="eastAsia" w:ascii="仿宋_GB2312" w:hAnsi="Times New Roman" w:eastAsia="仿宋_GB2312" w:cs="Times New Roman"/>
          <w:b/>
          <w:bCs/>
          <w:sz w:val="32"/>
          <w:szCs w:val="32"/>
        </w:rPr>
        <w:t>（项）</w:t>
      </w:r>
      <w:r>
        <w:rPr>
          <w:rFonts w:hint="eastAsia" w:ascii="仿宋_GB2312" w:hAnsi="Times New Roman" w:eastAsia="仿宋_GB2312" w:cs="Times New Roman"/>
          <w:b w:val="0"/>
          <w:bCs w:val="0"/>
          <w:sz w:val="32"/>
          <w:szCs w:val="32"/>
        </w:rPr>
        <w:t>支出决算</w:t>
      </w:r>
      <w:r>
        <w:rPr>
          <w:rFonts w:hint="eastAsia" w:ascii="仿宋_GB2312" w:eastAsia="仿宋_GB2312" w:cs="Times New Roman"/>
          <w:b/>
          <w:bCs/>
          <w:sz w:val="32"/>
          <w:szCs w:val="32"/>
          <w:lang w:val="en-US" w:eastAsia="zh-CN"/>
        </w:rPr>
        <w:t>1</w:t>
      </w:r>
      <w:r>
        <w:rPr>
          <w:rFonts w:hint="eastAsia" w:ascii="仿宋_GB2312" w:hAnsi="Times New Roman" w:eastAsia="仿宋_GB2312" w:cs="Times New Roman"/>
          <w:b w:val="0"/>
          <w:bCs w:val="0"/>
          <w:sz w:val="32"/>
          <w:szCs w:val="32"/>
        </w:rPr>
        <w:t>万元，完成预算</w:t>
      </w:r>
      <w:r>
        <w:rPr>
          <w:rFonts w:hint="eastAsia" w:ascii="仿宋_GB2312" w:hAnsi="Times New Roman" w:eastAsia="仿宋_GB2312" w:cs="Times New Roman"/>
          <w:b/>
          <w:bCs/>
          <w:sz w:val="32"/>
          <w:szCs w:val="32"/>
        </w:rPr>
        <w:t>100</w:t>
      </w:r>
      <w:r>
        <w:rPr>
          <w:rFonts w:hint="eastAsia" w:ascii="仿宋_GB2312" w:hAnsi="Times New Roman" w:eastAsia="仿宋_GB2312" w:cs="Times New Roman"/>
          <w:b w:val="0"/>
          <w:bCs w:val="0"/>
          <w:sz w:val="32"/>
          <w:szCs w:val="32"/>
        </w:rPr>
        <w:t>%。</w:t>
      </w:r>
    </w:p>
    <w:p w14:paraId="0B6C162F">
      <w:pPr>
        <w:pStyle w:val="3"/>
        <w:rPr>
          <w:rFonts w:hint="eastAsia"/>
        </w:rPr>
      </w:pPr>
    </w:p>
    <w:p w14:paraId="5E90F4BB">
      <w:pPr>
        <w:tabs>
          <w:tab w:val="right" w:pos="8306"/>
        </w:tabs>
        <w:spacing w:line="600" w:lineRule="exact"/>
        <w:ind w:firstLine="640"/>
        <w:outlineLvl w:val="1"/>
        <w:rPr>
          <w:rStyle w:val="31"/>
        </w:rPr>
      </w:pPr>
      <w:bookmarkStart w:id="35" w:name="_Toc15396608"/>
      <w:bookmarkStart w:id="36"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35"/>
      <w:bookmarkEnd w:id="36"/>
      <w:r>
        <w:rPr>
          <w:rStyle w:val="31"/>
          <w:rFonts w:ascii="黑体" w:hAnsi="黑体" w:eastAsia="黑体"/>
          <w:b w:val="0"/>
        </w:rPr>
        <w:tab/>
      </w:r>
    </w:p>
    <w:p w14:paraId="5982C90D">
      <w:pPr>
        <w:spacing w:line="600" w:lineRule="exact"/>
        <w:ind w:firstLine="640"/>
        <w:rPr>
          <w:rFonts w:ascii="仿宋" w:hAns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212.98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761A32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195.57万元，主要包括：基本工资49.23万元、津贴补贴26.5万元、伙食补助费3.12万元、绩效工资42.35万元、机关事业单位基本养老保险缴费24.18万元、职业年金缴费12.09万元、职工基本医疗保险缴费11.77万元、其他社会保障缴费6.47万元、住房公积金19.31万元、生活补助0.55万元。</w:t>
      </w:r>
    </w:p>
    <w:p w14:paraId="79BA51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公用经费17.41万元，主要包括：办公费4.44万元、水费0.36万元、电费1.6万元、差旅费6.32万元、培训费2.03万元、福利费2.35万元、其他商品和服务支出0.31万元。</w:t>
      </w:r>
    </w:p>
    <w:p w14:paraId="306A2F5D">
      <w:pPr>
        <w:spacing w:line="600" w:lineRule="exact"/>
        <w:ind w:firstLine="640"/>
        <w:outlineLvl w:val="1"/>
        <w:rPr>
          <w:rStyle w:val="31"/>
          <w:rFonts w:ascii="黑体" w:hAnsi="黑体" w:eastAsia="黑体"/>
          <w:b w:val="0"/>
        </w:rPr>
      </w:pPr>
      <w:bookmarkStart w:id="37" w:name="_Toc15377215"/>
      <w:bookmarkStart w:id="38" w:name="_Toc15396609"/>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7"/>
      <w:bookmarkEnd w:id="38"/>
    </w:p>
    <w:p w14:paraId="3200BB41">
      <w:pPr>
        <w:spacing w:line="600" w:lineRule="exact"/>
        <w:ind w:firstLine="640"/>
        <w:outlineLvl w:val="2"/>
        <w:rPr>
          <w:rFonts w:ascii="仿宋" w:hAnsi="仿宋" w:eastAsia="仿宋"/>
          <w:b/>
          <w:sz w:val="32"/>
          <w:szCs w:val="32"/>
        </w:rPr>
      </w:pPr>
      <w:bookmarkStart w:id="39" w:name="_Toc15377216"/>
      <w:r>
        <w:rPr>
          <w:rFonts w:hint="eastAsia" w:ascii="仿宋" w:hAnsi="仿宋" w:eastAsia="仿宋"/>
          <w:b/>
          <w:sz w:val="32"/>
          <w:szCs w:val="32"/>
        </w:rPr>
        <w:t>（一）“三公”经费财政拨款支出决算总体情况说明</w:t>
      </w:r>
      <w:bookmarkEnd w:id="39"/>
    </w:p>
    <w:p w14:paraId="38BCD1BE">
      <w:pPr>
        <w:spacing w:line="600" w:lineRule="exact"/>
        <w:ind w:firstLine="640"/>
        <w:rPr>
          <w:rFonts w:hint="eastAsia" w:ascii="仿宋" w:hAnsi="仿宋" w:eastAsia="仿宋"/>
          <w:sz w:val="32"/>
          <w:szCs w:val="32"/>
          <w:lang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ascii="仿宋" w:hAnsi="仿宋" w:eastAsia="仿宋"/>
          <w:b/>
          <w:sz w:val="32"/>
          <w:szCs w:val="32"/>
        </w:rPr>
        <w:t>0</w:t>
      </w:r>
      <w:r>
        <w:rPr>
          <w:rFonts w:hint="eastAsia" w:ascii="仿宋" w:hAnsi="仿宋" w:eastAsia="仿宋"/>
          <w:sz w:val="32"/>
          <w:szCs w:val="32"/>
        </w:rPr>
        <w:t>万元，完成预算</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lang w:eastAsia="zh-CN"/>
        </w:rPr>
        <w:t>。</w:t>
      </w:r>
    </w:p>
    <w:p w14:paraId="7175FF40">
      <w:pPr>
        <w:spacing w:line="600" w:lineRule="exact"/>
        <w:ind w:firstLine="640"/>
        <w:outlineLvl w:val="2"/>
        <w:rPr>
          <w:rFonts w:ascii="仿宋" w:hAnsi="仿宋" w:eastAsia="仿宋"/>
          <w:b/>
          <w:sz w:val="32"/>
          <w:szCs w:val="32"/>
        </w:rPr>
      </w:pPr>
      <w:bookmarkStart w:id="40" w:name="_Toc15377217"/>
      <w:r>
        <w:rPr>
          <w:rFonts w:hint="eastAsia" w:ascii="仿宋" w:hAnsi="仿宋" w:eastAsia="仿宋"/>
          <w:b/>
          <w:sz w:val="32"/>
          <w:szCs w:val="32"/>
        </w:rPr>
        <w:t>（二）“三公”经费财政拨款支出决算具体情况说明</w:t>
      </w:r>
      <w:bookmarkEnd w:id="40"/>
    </w:p>
    <w:p w14:paraId="637B8BD4">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14:paraId="29C07AFD">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14:paraId="3A1E137E">
      <w:pPr>
        <w:pStyle w:val="11"/>
        <w:rPr>
          <w:rFonts w:hint="eastAsia" w:ascii="仿宋" w:hAnsi="仿宋" w:eastAsia="仿宋"/>
          <w:sz w:val="32"/>
          <w:szCs w:val="32"/>
        </w:rPr>
      </w:pPr>
      <w:r>
        <w:rPr>
          <w:rFonts w:hint="eastAsia" w:ascii="仿宋_GB2312" w:hAnsi="仿宋" w:eastAsia="宋体"/>
          <w:color w:val="000000"/>
          <w:sz w:val="32"/>
          <w:szCs w:val="32"/>
          <w:lang w:eastAsia="zh-CN"/>
        </w:rPr>
        <w:drawing>
          <wp:inline distT="0" distB="0" distL="114300" distR="114300">
            <wp:extent cx="5191125" cy="1760220"/>
            <wp:effectExtent l="4445" t="4445" r="5080" b="698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95DAB9">
      <w:pPr>
        <w:spacing w:line="600" w:lineRule="exact"/>
        <w:ind w:firstLine="640"/>
        <w:rPr>
          <w:rFonts w:ascii="仿宋" w:hAnsi="仿宋" w:eastAsia="仿宋"/>
          <w:color w:val="000000"/>
          <w:sz w:val="32"/>
          <w:szCs w:val="32"/>
        </w:rPr>
      </w:pPr>
      <w:bookmarkStart w:id="41" w:name="_Toc15377218"/>
      <w:bookmarkStart w:id="42" w:name="_Toc15396610"/>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Cs/>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 w:hAnsi="仿宋" w:eastAsia="仿宋"/>
          <w:color w:val="000000"/>
          <w:sz w:val="32"/>
          <w:szCs w:val="32"/>
        </w:rPr>
        <w:t>因公出国（境）支出决算比</w:t>
      </w:r>
      <w:r>
        <w:rPr>
          <w:rFonts w:ascii="仿宋" w:hAnsi="仿宋" w:eastAsia="仿宋"/>
          <w:color w:val="000000"/>
          <w:sz w:val="32"/>
          <w:u w:color="auto"/>
        </w:rPr>
        <w:t>202</w:t>
      </w:r>
      <w:r>
        <w:rPr>
          <w:rFonts w:hint="eastAsia" w:ascii="仿宋" w:hAnsi="仿宋" w:eastAsia="仿宋"/>
          <w:color w:val="000000"/>
          <w:sz w:val="32"/>
          <w:u w:color="auto"/>
          <w:lang w:val="en-US" w:eastAsia="zh-CN"/>
        </w:rPr>
        <w:t>3</w:t>
      </w:r>
      <w:r>
        <w:rPr>
          <w:rFonts w:ascii="仿宋" w:hAnsi="仿宋" w:eastAsia="仿宋"/>
          <w:color w:val="000000"/>
          <w:sz w:val="32"/>
          <w:u w:color="auto"/>
        </w:rPr>
        <w:t>年增加</w:t>
      </w:r>
      <w:r>
        <w:rPr>
          <w:rFonts w:ascii="仿宋" w:hAnsi="仿宋" w:eastAsia="仿宋"/>
          <w:b/>
          <w:bCs/>
          <w:color w:val="000000"/>
          <w:sz w:val="32"/>
          <w:u w:color="auto"/>
        </w:rPr>
        <w:t>0</w:t>
      </w:r>
      <w:r>
        <w:rPr>
          <w:rFonts w:hint="eastAsia" w:ascii="仿宋" w:hAnsi="仿宋" w:eastAsia="仿宋"/>
          <w:color w:val="000000"/>
          <w:sz w:val="32"/>
          <w:szCs w:val="32"/>
        </w:rPr>
        <w:t>万元，</w:t>
      </w:r>
      <w:r>
        <w:rPr>
          <w:rFonts w:ascii="仿宋" w:hAnsi="仿宋" w:eastAsia="仿宋"/>
          <w:color w:val="000000"/>
          <w:sz w:val="32"/>
          <w:u w:color="auto"/>
        </w:rPr>
        <w:t>增加</w:t>
      </w:r>
      <w:r>
        <w:rPr>
          <w:rFonts w:ascii="仿宋" w:hAnsi="仿宋" w:eastAsia="仿宋"/>
          <w:b/>
          <w:bCs/>
          <w:color w:val="000000"/>
          <w:sz w:val="32"/>
          <w:u w:color="auto"/>
        </w:rPr>
        <w:t>0</w:t>
      </w:r>
      <w:r>
        <w:rPr>
          <w:rFonts w:hint="eastAsia" w:ascii="仿宋" w:hAnsi="仿宋" w:eastAsia="仿宋"/>
          <w:color w:val="000000"/>
          <w:sz w:val="32"/>
          <w:szCs w:val="32"/>
        </w:rPr>
        <w:t>%。</w:t>
      </w:r>
      <w:r>
        <w:rPr>
          <w:rFonts w:ascii="仿宋" w:hAnsi="仿宋" w:eastAsia="仿宋"/>
          <w:color w:val="000000"/>
          <w:sz w:val="32"/>
          <w:u w:color="auto"/>
        </w:rPr>
        <w:t xml:space="preserve"> </w:t>
      </w:r>
    </w:p>
    <w:p w14:paraId="634D8359">
      <w:pPr>
        <w:spacing w:line="600"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Cs/>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b/>
          <w:bCs/>
          <w:sz w:val="32"/>
          <w:szCs w:val="32"/>
          <w:lang w:val="en-US" w:eastAsia="zh-CN"/>
        </w:rPr>
        <w:t>0</w:t>
      </w:r>
      <w:r>
        <w:rPr>
          <w:rFonts w:hint="eastAsia" w:ascii="仿宋_GB2312" w:eastAsia="仿宋_GB2312"/>
          <w:sz w:val="32"/>
          <w:szCs w:val="32"/>
        </w:rPr>
        <w:t>万元，增长</w:t>
      </w:r>
      <w:r>
        <w:rPr>
          <w:rFonts w:hint="eastAsia" w:ascii="仿宋_GB2312" w:eastAsia="仿宋_GB2312"/>
          <w:b/>
          <w:bCs/>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377D52F4">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b/>
          <w:bCs/>
          <w:sz w:val="32"/>
          <w:szCs w:val="32"/>
          <w:lang w:val="en-US" w:eastAsia="zh-CN"/>
        </w:rPr>
        <w:t>0</w:t>
      </w:r>
      <w:r>
        <w:rPr>
          <w:rFonts w:hint="eastAsia" w:ascii="仿宋_GB2312" w:eastAsia="仿宋_GB2312"/>
          <w:sz w:val="32"/>
          <w:szCs w:val="32"/>
        </w:rPr>
        <w:t>辆，其中：轿车</w:t>
      </w:r>
      <w:r>
        <w:rPr>
          <w:rFonts w:hint="eastAsia" w:ascii="仿宋_GB2312" w:eastAsia="仿宋_GB2312"/>
          <w:b/>
          <w:bCs/>
          <w:sz w:val="32"/>
          <w:szCs w:val="32"/>
          <w:lang w:val="en-US" w:eastAsia="zh-CN"/>
        </w:rPr>
        <w:t>0</w:t>
      </w:r>
      <w:r>
        <w:rPr>
          <w:rFonts w:hint="eastAsia" w:ascii="仿宋_GB2312" w:eastAsia="仿宋_GB2312"/>
          <w:sz w:val="32"/>
          <w:szCs w:val="32"/>
        </w:rPr>
        <w:t>辆、金额</w:t>
      </w:r>
      <w:r>
        <w:rPr>
          <w:rFonts w:hint="eastAsia" w:ascii="仿宋_GB2312" w:eastAsia="仿宋_GB2312"/>
          <w:b/>
          <w:bCs/>
          <w:sz w:val="32"/>
          <w:szCs w:val="32"/>
          <w:lang w:val="en-US" w:eastAsia="zh-CN"/>
        </w:rPr>
        <w:t>0</w:t>
      </w:r>
      <w:r>
        <w:rPr>
          <w:rFonts w:hint="eastAsia" w:ascii="仿宋_GB2312" w:eastAsia="仿宋_GB2312"/>
          <w:sz w:val="32"/>
          <w:szCs w:val="32"/>
        </w:rPr>
        <w:t>万元，越野车</w:t>
      </w:r>
      <w:r>
        <w:rPr>
          <w:rFonts w:hint="eastAsia" w:ascii="仿宋_GB2312" w:eastAsia="仿宋_GB2312"/>
          <w:b/>
          <w:bCs/>
          <w:sz w:val="32"/>
          <w:szCs w:val="32"/>
          <w:lang w:val="en-US" w:eastAsia="zh-CN"/>
        </w:rPr>
        <w:t>0</w:t>
      </w:r>
      <w:r>
        <w:rPr>
          <w:rFonts w:hint="eastAsia" w:ascii="仿宋_GB2312" w:eastAsia="仿宋_GB2312"/>
          <w:sz w:val="32"/>
          <w:szCs w:val="32"/>
        </w:rPr>
        <w:t>辆、金额</w:t>
      </w:r>
      <w:r>
        <w:rPr>
          <w:rFonts w:hint="eastAsia" w:ascii="仿宋_GB2312" w:eastAsia="仿宋_GB2312"/>
          <w:b/>
          <w:bCs/>
          <w:sz w:val="32"/>
          <w:szCs w:val="32"/>
          <w:lang w:val="en-US" w:eastAsia="zh-CN"/>
        </w:rPr>
        <w:t>0</w:t>
      </w:r>
      <w:r>
        <w:rPr>
          <w:rFonts w:hint="eastAsia" w:ascii="仿宋_GB2312" w:eastAsia="仿宋_GB2312"/>
          <w:sz w:val="32"/>
          <w:szCs w:val="32"/>
        </w:rPr>
        <w:t>万元，载客汽车</w:t>
      </w:r>
      <w:r>
        <w:rPr>
          <w:rFonts w:hint="eastAsia" w:ascii="仿宋_GB2312" w:eastAsia="仿宋_GB2312"/>
          <w:b/>
          <w:bCs/>
          <w:sz w:val="32"/>
          <w:szCs w:val="32"/>
          <w:lang w:val="en-US" w:eastAsia="zh-CN"/>
        </w:rPr>
        <w:t>0</w:t>
      </w:r>
      <w:r>
        <w:rPr>
          <w:rFonts w:hint="eastAsia" w:ascii="仿宋_GB2312" w:eastAsia="仿宋_GB2312"/>
          <w:sz w:val="32"/>
          <w:szCs w:val="32"/>
        </w:rPr>
        <w:t>辆、金额</w:t>
      </w:r>
      <w:r>
        <w:rPr>
          <w:rFonts w:hint="eastAsia" w:ascii="仿宋_GB2312" w:eastAsia="仿宋_GB2312"/>
          <w:b/>
          <w:bCs/>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b/>
          <w:bCs/>
          <w:sz w:val="32"/>
          <w:szCs w:val="32"/>
          <w:lang w:val="en-US" w:eastAsia="zh-CN"/>
        </w:rPr>
        <w:t>0</w:t>
      </w:r>
      <w:r>
        <w:rPr>
          <w:rFonts w:hint="eastAsia" w:ascii="仿宋_GB2312" w:eastAsia="仿宋_GB2312"/>
          <w:sz w:val="32"/>
          <w:szCs w:val="32"/>
        </w:rPr>
        <w:t>辆，其中：轿车</w:t>
      </w:r>
      <w:r>
        <w:rPr>
          <w:rFonts w:hint="eastAsia" w:ascii="仿宋_GB2312" w:eastAsia="仿宋_GB2312"/>
          <w:b/>
          <w:bCs/>
          <w:sz w:val="32"/>
          <w:szCs w:val="32"/>
          <w:lang w:val="en-US" w:eastAsia="zh-CN"/>
        </w:rPr>
        <w:t>0</w:t>
      </w:r>
      <w:r>
        <w:rPr>
          <w:rFonts w:hint="eastAsia" w:ascii="仿宋_GB2312" w:eastAsia="仿宋_GB2312"/>
          <w:sz w:val="32"/>
          <w:szCs w:val="32"/>
        </w:rPr>
        <w:t>辆、越野车</w:t>
      </w:r>
      <w:r>
        <w:rPr>
          <w:rFonts w:hint="eastAsia" w:ascii="仿宋_GB2312" w:eastAsia="仿宋_GB2312"/>
          <w:b/>
          <w:bCs/>
          <w:sz w:val="32"/>
          <w:szCs w:val="32"/>
          <w:lang w:val="en-US" w:eastAsia="zh-CN"/>
        </w:rPr>
        <w:t>0</w:t>
      </w:r>
      <w:r>
        <w:rPr>
          <w:rFonts w:hint="eastAsia" w:ascii="仿宋_GB2312" w:eastAsia="仿宋_GB2312"/>
          <w:sz w:val="32"/>
          <w:szCs w:val="32"/>
        </w:rPr>
        <w:t>辆、载客汽车</w:t>
      </w:r>
      <w:r>
        <w:rPr>
          <w:rFonts w:hint="eastAsia" w:ascii="仿宋_GB2312" w:eastAsia="仿宋_GB2312"/>
          <w:b/>
          <w:bCs/>
          <w:sz w:val="32"/>
          <w:szCs w:val="32"/>
          <w:lang w:val="en-US" w:eastAsia="zh-CN"/>
        </w:rPr>
        <w:t>0</w:t>
      </w:r>
      <w:r>
        <w:rPr>
          <w:rFonts w:hint="eastAsia" w:ascii="仿宋_GB2312" w:eastAsia="仿宋_GB2312"/>
          <w:sz w:val="32"/>
          <w:szCs w:val="32"/>
        </w:rPr>
        <w:t>辆。</w:t>
      </w:r>
    </w:p>
    <w:p w14:paraId="46E95519">
      <w:pPr>
        <w:spacing w:line="600" w:lineRule="exact"/>
        <w:ind w:firstLine="1616" w:firstLineChars="503"/>
        <w:rPr>
          <w:rFonts w:hint="eastAsia"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w:t>
      </w:r>
    </w:p>
    <w:p w14:paraId="4D9B2AAE">
      <w:pPr>
        <w:numPr>
          <w:ilvl w:val="0"/>
          <w:numId w:val="0"/>
        </w:numPr>
        <w:spacing w:line="600" w:lineRule="exact"/>
        <w:ind w:firstLine="643" w:firstLineChars="200"/>
        <w:rPr>
          <w:rFonts w:hint="eastAsia" w:ascii="仿宋_GB2312" w:eastAsia="仿宋_GB2312"/>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Fonts w:hint="eastAsia" w:ascii="仿宋_GB2312" w:hAnsi="Times New Roman" w:eastAsia="仿宋_GB2312" w:cs="Times New Roman"/>
          <w:b w:val="0"/>
          <w:bCs w:val="0"/>
          <w:sz w:val="32"/>
          <w:szCs w:val="32"/>
        </w:rPr>
        <w:t>完成预算</w:t>
      </w:r>
      <w:r>
        <w:rPr>
          <w:rStyle w:val="19"/>
          <w:rFonts w:ascii="仿宋" w:hAnsi="仿宋" w:eastAsia="仿宋"/>
          <w:b/>
          <w:bCs w:val="0"/>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b/>
          <w:bCs/>
          <w:sz w:val="32"/>
          <w:szCs w:val="32"/>
          <w:lang w:val="en-US" w:eastAsia="zh-CN"/>
        </w:rPr>
        <w:t>0</w:t>
      </w:r>
      <w:r>
        <w:rPr>
          <w:rFonts w:hint="eastAsia" w:ascii="仿宋_GB2312" w:eastAsia="仿宋_GB2312"/>
          <w:sz w:val="32"/>
          <w:szCs w:val="32"/>
        </w:rPr>
        <w:t>万元，</w:t>
      </w:r>
      <w:r>
        <w:rPr>
          <w:rFonts w:hint="eastAsia" w:ascii="仿宋_GB2312" w:eastAsia="仿宋_GB2312"/>
          <w:b w:val="0"/>
          <w:bCs w:val="0"/>
          <w:sz w:val="32"/>
          <w:szCs w:val="32"/>
        </w:rPr>
        <w:t>增长</w:t>
      </w:r>
      <w:r>
        <w:rPr>
          <w:rFonts w:hint="eastAsia" w:ascii="仿宋_GB2312" w:eastAsia="仿宋_GB2312"/>
          <w:b/>
          <w:bCs/>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373CCDBA">
      <w:pPr>
        <w:numPr>
          <w:ilvl w:val="0"/>
          <w:numId w:val="0"/>
        </w:numPr>
        <w:spacing w:line="600" w:lineRule="exact"/>
        <w:ind w:firstLine="643" w:firstLineChars="20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p>
    <w:p w14:paraId="5CE2F905">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万元。外事接待</w:t>
      </w:r>
      <w:r>
        <w:rPr>
          <w:rFonts w:hint="eastAsia" w:ascii="仿宋_GB2312" w:eastAsia="仿宋_GB2312"/>
          <w:b/>
          <w:bCs/>
          <w:sz w:val="32"/>
          <w:szCs w:val="32"/>
          <w:lang w:val="en-US" w:eastAsia="zh-CN"/>
        </w:rPr>
        <w:t>0</w:t>
      </w:r>
      <w:r>
        <w:rPr>
          <w:rFonts w:hint="eastAsia" w:ascii="仿宋_GB2312" w:eastAsia="仿宋_GB2312"/>
          <w:sz w:val="32"/>
          <w:szCs w:val="32"/>
        </w:rPr>
        <w:t>批次，</w:t>
      </w:r>
      <w:r>
        <w:rPr>
          <w:rFonts w:hint="eastAsia" w:ascii="仿宋_GB2312" w:eastAsia="仿宋_GB2312"/>
          <w:b/>
          <w:bCs/>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b/>
          <w:bCs/>
          <w:sz w:val="32"/>
          <w:szCs w:val="32"/>
          <w:lang w:val="en-US" w:eastAsia="zh-CN"/>
        </w:rPr>
        <w:t>0</w:t>
      </w:r>
      <w:r>
        <w:rPr>
          <w:rFonts w:hint="eastAsia" w:ascii="仿宋_GB2312" w:eastAsia="仿宋_GB2312"/>
          <w:sz w:val="32"/>
          <w:szCs w:val="32"/>
        </w:rPr>
        <w:t>万元。</w:t>
      </w:r>
    </w:p>
    <w:p w14:paraId="5406DC96">
      <w:pPr>
        <w:spacing w:line="600" w:lineRule="exact"/>
        <w:ind w:firstLine="640"/>
        <w:outlineLvl w:val="1"/>
        <w:rPr>
          <w:rFonts w:ascii="黑体" w:eastAsia="黑体"/>
          <w:sz w:val="32"/>
          <w:szCs w:val="32"/>
        </w:rPr>
      </w:pPr>
    </w:p>
    <w:p w14:paraId="525C00C2">
      <w:pPr>
        <w:spacing w:line="600" w:lineRule="exact"/>
        <w:ind w:firstLine="64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41"/>
      <w:bookmarkEnd w:id="42"/>
    </w:p>
    <w:p w14:paraId="30282643">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1011D242">
      <w:pPr>
        <w:spacing w:line="600" w:lineRule="exact"/>
        <w:ind w:firstLine="640"/>
        <w:rPr>
          <w:rFonts w:ascii="仿宋_GB2312" w:eastAsia="仿宋_GB2312"/>
          <w:sz w:val="32"/>
          <w:szCs w:val="32"/>
        </w:rPr>
      </w:pPr>
    </w:p>
    <w:p w14:paraId="7F0EDF51">
      <w:pPr>
        <w:numPr>
          <w:ilvl w:val="0"/>
          <w:numId w:val="4"/>
        </w:numPr>
        <w:spacing w:line="600" w:lineRule="exact"/>
        <w:ind w:firstLine="640"/>
        <w:outlineLvl w:val="1"/>
        <w:rPr>
          <w:rStyle w:val="31"/>
          <w:rFonts w:ascii="黑体" w:hAnsi="黑体" w:eastAsia="黑体"/>
          <w:b w:val="0"/>
        </w:rPr>
      </w:pPr>
      <w:bookmarkStart w:id="43" w:name="_Toc15396611"/>
      <w:bookmarkStart w:id="44" w:name="_Toc15377219"/>
      <w:r>
        <w:rPr>
          <w:rStyle w:val="31"/>
          <w:rFonts w:hint="eastAsia" w:ascii="黑体" w:hAnsi="黑体" w:eastAsia="黑体"/>
          <w:b w:val="0"/>
        </w:rPr>
        <w:t>国有资本经营预算支出决算情况说明</w:t>
      </w:r>
      <w:bookmarkEnd w:id="43"/>
      <w:bookmarkEnd w:id="44"/>
    </w:p>
    <w:p w14:paraId="74EF5026">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1F7B363B">
      <w:pPr>
        <w:spacing w:line="580" w:lineRule="exact"/>
        <w:jc w:val="center"/>
        <w:rPr>
          <w:rFonts w:ascii="方正小标宋简体" w:hAnsi="方正小标宋简体" w:eastAsia="方正小标宋简体" w:cs="方正小标宋简体"/>
          <w:sz w:val="44"/>
          <w:szCs w:val="44"/>
        </w:rPr>
      </w:pPr>
    </w:p>
    <w:p w14:paraId="71C8E3F1">
      <w:pPr>
        <w:numPr>
          <w:ilvl w:val="0"/>
          <w:numId w:val="4"/>
        </w:numPr>
        <w:spacing w:line="600" w:lineRule="exact"/>
        <w:ind w:firstLine="640"/>
        <w:outlineLvl w:val="1"/>
        <w:rPr>
          <w:rStyle w:val="31"/>
          <w:rFonts w:ascii="黑体" w:hAnsi="黑体" w:eastAsia="黑体"/>
          <w:b w:val="0"/>
        </w:rPr>
      </w:pPr>
      <w:bookmarkStart w:id="45" w:name="_Toc15396612"/>
      <w:bookmarkStart w:id="46" w:name="_Toc15377221"/>
      <w:r>
        <w:rPr>
          <w:rStyle w:val="31"/>
          <w:rFonts w:hint="eastAsia" w:ascii="黑体" w:hAnsi="黑体" w:eastAsia="黑体"/>
          <w:b w:val="0"/>
        </w:rPr>
        <w:t>其他重要事项的情况说明</w:t>
      </w:r>
      <w:bookmarkEnd w:id="45"/>
      <w:bookmarkEnd w:id="46"/>
    </w:p>
    <w:p w14:paraId="411A1C34">
      <w:pPr>
        <w:spacing w:line="600" w:lineRule="exact"/>
        <w:ind w:firstLine="643" w:firstLineChars="200"/>
        <w:outlineLvl w:val="2"/>
        <w:rPr>
          <w:rFonts w:ascii="仿宋" w:hAnsi="仿宋" w:eastAsia="仿宋"/>
          <w:sz w:val="32"/>
          <w:szCs w:val="32"/>
        </w:rPr>
      </w:pPr>
      <w:bookmarkStart w:id="47" w:name="_Toc15377222"/>
      <w:r>
        <w:rPr>
          <w:rFonts w:hint="eastAsia" w:ascii="仿宋" w:hAnsi="仿宋" w:eastAsia="仿宋"/>
          <w:b/>
          <w:sz w:val="32"/>
          <w:szCs w:val="32"/>
        </w:rPr>
        <w:t>（一）机关运行经费支出情况</w:t>
      </w:r>
      <w:bookmarkEnd w:id="47"/>
    </w:p>
    <w:p w14:paraId="109605F8">
      <w:pPr>
        <w:pageBreakBefore w:val="0"/>
        <w:kinsoku/>
        <w:wordWrap/>
        <w:overflowPunct/>
        <w:topLinePunct w:val="0"/>
        <w:autoSpaceDN/>
        <w:bidi w:val="0"/>
        <w:adjustRightInd/>
        <w:spacing w:line="576" w:lineRule="exact"/>
        <w:ind w:left="0" w:leftChars="0" w:firstLine="640"/>
        <w:textAlignment w:val="auto"/>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阿坝州马尔康环境监测站</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ascii="仿宋_GB2312" w:eastAsia="仿宋_GB2312"/>
          <w:sz w:val="32"/>
          <w:szCs w:val="32"/>
        </w:rPr>
        <w:t>，比202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b/>
          <w:bCs/>
          <w:sz w:val="32"/>
          <w:szCs w:val="32"/>
          <w:lang w:val="en-US" w:eastAsia="zh-CN"/>
        </w:rPr>
        <w:t>0</w:t>
      </w:r>
      <w:r>
        <w:rPr>
          <w:rFonts w:hint="eastAsia" w:ascii="仿宋_GB2312" w:eastAsia="仿宋_GB2312"/>
          <w:sz w:val="32"/>
          <w:szCs w:val="32"/>
        </w:rPr>
        <w:t>万元，增长</w:t>
      </w:r>
      <w:r>
        <w:rPr>
          <w:rFonts w:hint="eastAsia" w:ascii="仿宋_GB2312" w:eastAsia="仿宋_GB2312"/>
          <w:b/>
          <w:bCs/>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主要原因</w:t>
      </w:r>
      <w:r>
        <w:rPr>
          <w:rFonts w:hint="eastAsia" w:ascii="Times New Roman" w:hAnsi="Times New Roman" w:eastAsia="仿宋_GB2312" w:cs="Times New Roman"/>
          <w:color w:val="000000"/>
          <w:sz w:val="32"/>
        </w:rPr>
        <w:t>本单位为事业单位，未使用机关运行经费相关科目，机关运行经费安排为零。</w:t>
      </w:r>
    </w:p>
    <w:p w14:paraId="2D4FD0D8">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3"/>
      <w:r>
        <w:rPr>
          <w:rFonts w:hint="eastAsia" w:ascii="仿宋" w:hAnsi="仿宋" w:eastAsia="仿宋"/>
          <w:b/>
          <w:sz w:val="32"/>
          <w:szCs w:val="32"/>
        </w:rPr>
        <w:t>（二）政府采购支出情况</w:t>
      </w:r>
      <w:bookmarkEnd w:id="48"/>
    </w:p>
    <w:p w14:paraId="4332AA1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49" w:name="_Toc15377224"/>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阿坝州马尔康环境监测站</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5B102C12">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bookmarkEnd w:id="49"/>
    </w:p>
    <w:p w14:paraId="5BEA40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阿坝州马尔康环境监测站</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w:t>
      </w:r>
      <w:bookmarkStart w:id="68" w:name="_GoBack"/>
      <w:bookmarkEnd w:id="68"/>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58647455">
      <w:pPr>
        <w:pStyle w:val="2"/>
      </w:pPr>
    </w:p>
    <w:p w14:paraId="368FA44B">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4EEF3E28">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bookmarkStart w:id="50" w:name="_Toc15377225"/>
      <w:bookmarkStart w:id="51" w:name="_Toc15396613"/>
      <w:r>
        <w:rPr>
          <w:rFonts w:hint="eastAsia" w:ascii="Times New Roman" w:hAnsi="Times New Roman" w:eastAsia="仿宋_GB2312" w:cs="Times New Roman"/>
          <w:color w:val="000000"/>
          <w:sz w:val="32"/>
        </w:rPr>
        <w:t>1</w:t>
      </w:r>
      <w:r>
        <w:rPr>
          <w:rFonts w:hint="eastAsia" w:ascii="Times New Roman" w:hAnsi="Times New Roman" w:eastAsia="仿宋_GB2312" w:cs="Times New Roman"/>
          <w:color w:val="000000"/>
          <w:sz w:val="32"/>
          <w:lang w:val="en-US" w:eastAsia="zh-CN"/>
        </w:rPr>
        <w:t>.</w:t>
      </w:r>
      <w:r>
        <w:rPr>
          <w:rFonts w:hint="eastAsia" w:ascii="Times New Roman" w:hAnsi="Times New Roman" w:eastAsia="仿宋_GB2312" w:cs="Times New Roman"/>
          <w:color w:val="000000"/>
          <w:sz w:val="32"/>
        </w:rPr>
        <w:t>我单位不断强化预算意识，实行部门综合预算管理，形成以单位领导支持、财务部门牵头、其他部门密切配合的工作格局，保证预算编制质量。结合实际情况，进行科学合理分配细化，部门预算经批复后，跟踪预算执行进度，及时组织收入，科学合理安排支出，降低预算支出的波动幅度。加强对预算执行过程的控制和结果的反馈，对预算执行差异及时分析成因和影响，并及时向领导进行反馈，以采取措施纠正执行偏差，促进预算目标的全面完成。</w:t>
      </w:r>
    </w:p>
    <w:p w14:paraId="37C70582">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2</w:t>
      </w:r>
      <w:r>
        <w:rPr>
          <w:rFonts w:hint="eastAsia" w:ascii="Times New Roman" w:hAnsi="Times New Roman" w:eastAsia="仿宋_GB2312" w:cs="Times New Roman"/>
          <w:color w:val="000000"/>
          <w:sz w:val="32"/>
          <w:lang w:val="en-US" w:eastAsia="zh-CN"/>
        </w:rPr>
        <w:t>.</w:t>
      </w:r>
      <w:r>
        <w:rPr>
          <w:rFonts w:hint="eastAsia" w:ascii="Times New Roman" w:hAnsi="Times New Roman" w:eastAsia="仿宋_GB2312" w:cs="Times New Roman"/>
          <w:color w:val="000000"/>
          <w:sz w:val="32"/>
        </w:rPr>
        <w:t>健全完善部门内控制度，全面梳理报账业务流程，明确报账业务环节，分析风险隐患，完善风险评估机制，制定风险应对策略;有效运用不相容岗位相互分离、内部授权审批控制、归口管理、预算控制、财产保护控制、会计控制、单据控制、信息内部公开等内部控制基本方法，加强对我单位层面和业务层面的内部控制，实现内部控制体系全面、有效实施。建立单位内控监督约束机制，让单位各股室、财务室参与到资金使用监督环节，确保资金安全、合理、有效使用，最大限度发挥财政资金使用效益。</w:t>
      </w:r>
    </w:p>
    <w:p w14:paraId="437834D0">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3</w:t>
      </w:r>
      <w:r>
        <w:rPr>
          <w:rFonts w:hint="eastAsia" w:ascii="Times New Roman" w:hAnsi="Times New Roman" w:eastAsia="仿宋_GB2312" w:cs="Times New Roman"/>
          <w:color w:val="000000"/>
          <w:sz w:val="32"/>
          <w:lang w:val="en-US" w:eastAsia="zh-CN"/>
        </w:rPr>
        <w:t>.</w:t>
      </w:r>
      <w:r>
        <w:rPr>
          <w:rFonts w:hint="eastAsia" w:ascii="Times New Roman" w:hAnsi="Times New Roman" w:eastAsia="仿宋_GB2312" w:cs="Times New Roman"/>
          <w:color w:val="000000"/>
          <w:sz w:val="32"/>
        </w:rPr>
        <w:t>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加强相关专业技术人员的业务培训，进一步提高预算绩效评价质量。</w:t>
      </w:r>
    </w:p>
    <w:p w14:paraId="413DCB56">
      <w:pPr>
        <w:numPr>
          <w:ilvl w:val="0"/>
          <w:numId w:val="5"/>
        </w:numPr>
        <w:spacing w:line="600" w:lineRule="exact"/>
        <w:ind w:firstLine="660" w:firstLineChars="150"/>
        <w:jc w:val="center"/>
        <w:outlineLvl w:val="0"/>
        <w:rPr>
          <w:rStyle w:val="30"/>
          <w:rFonts w:ascii="黑体" w:hAnsi="黑体" w:eastAsia="黑体"/>
          <w:b w:val="0"/>
        </w:rPr>
      </w:pPr>
      <w:r>
        <w:rPr>
          <w:rFonts w:hint="eastAsia" w:ascii="黑体" w:hAnsi="黑体" w:eastAsia="黑体"/>
          <w:sz w:val="44"/>
          <w:szCs w:val="44"/>
        </w:rPr>
        <w:t>名</w:t>
      </w:r>
      <w:r>
        <w:rPr>
          <w:rStyle w:val="30"/>
          <w:rFonts w:hint="eastAsia" w:ascii="黑体" w:hAnsi="黑体" w:eastAsia="黑体"/>
          <w:b w:val="0"/>
        </w:rPr>
        <w:t>词解释</w:t>
      </w:r>
      <w:bookmarkEnd w:id="50"/>
      <w:bookmarkEnd w:id="51"/>
    </w:p>
    <w:p w14:paraId="61E5D2D0">
      <w:pPr>
        <w:spacing w:line="600" w:lineRule="exact"/>
        <w:jc w:val="left"/>
        <w:rPr>
          <w:rFonts w:ascii="宋体"/>
          <w:b/>
          <w:sz w:val="44"/>
          <w:szCs w:val="44"/>
        </w:rPr>
      </w:pPr>
    </w:p>
    <w:p w14:paraId="09710BFE">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1.财政拨款收入：指单位从同级财政部门取得的财政预算资金。</w:t>
      </w:r>
    </w:p>
    <w:p w14:paraId="18840FDD">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2.事业收入：指事业单位开展专业业务活动及辅助活动取得的收入。</w:t>
      </w:r>
    </w:p>
    <w:p w14:paraId="0CF5496F">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3.经营收入：指事业单位在专业业务活动及其辅助活动之外开展非独立核算经营活动取得的收入</w:t>
      </w:r>
    </w:p>
    <w:p w14:paraId="59C5AA28">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4.其他收入：指单位取得的除上述收入以外的各项收入。</w:t>
      </w:r>
    </w:p>
    <w:p w14:paraId="5C35A495">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2E712E0F">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 xml:space="preserve">6.年初结转和结余：指以前年度尚未完成、结转到本年按有关规定继续使用的资金。 </w:t>
      </w:r>
    </w:p>
    <w:p w14:paraId="1D221182">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7.结余分配：指事业单位按照事业单位会计制度的规定从非财政补助结余中分配的事业基金和职工福利基金等。</w:t>
      </w:r>
    </w:p>
    <w:p w14:paraId="0A54B7B6">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8.年末结转和结余：指单位按有关规定结转到下年或以后年度继续使用的资金。</w:t>
      </w:r>
    </w:p>
    <w:p w14:paraId="7271401E">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9.社会保障和就业支出（</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）行政事业单位养老支出（</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）机关事业单位基本养老保险缴费支出（</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）：反映机关事业单位实施养老保险制度由单位缴纳的基本养老保险费支出。</w:t>
      </w:r>
      <w:r>
        <w:rPr>
          <w:rFonts w:hint="eastAsia" w:ascii="Times New Roman" w:hAnsi="Times New Roman" w:eastAsia="仿宋_GB2312" w:cs="Times New Roman"/>
          <w:color w:val="000000"/>
          <w:sz w:val="32"/>
        </w:rPr>
        <w:cr/>
      </w:r>
      <w:r>
        <w:rPr>
          <w:rFonts w:hint="eastAsia" w:ascii="Times New Roman" w:hAnsi="Times New Roman" w:eastAsia="仿宋_GB2312" w:cs="Times New Roman"/>
          <w:color w:val="000000"/>
          <w:sz w:val="32"/>
          <w:lang w:val="en-US" w:eastAsia="zh-CN"/>
        </w:rPr>
        <w:t xml:space="preserve">    </w:t>
      </w:r>
      <w:r>
        <w:rPr>
          <w:rFonts w:hint="eastAsia" w:ascii="Times New Roman" w:hAnsi="Times New Roman" w:eastAsia="仿宋_GB2312" w:cs="Times New Roman"/>
          <w:color w:val="000000"/>
          <w:sz w:val="32"/>
        </w:rPr>
        <w:t>10.社会保障和就业支出（</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）行政事业单位养老支出（</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）机关事业单位职业年金缴费支出（</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）：反映机关事业单位实施养老保险制度由单位实际缴纳的职业年金支出。</w:t>
      </w:r>
      <w:r>
        <w:rPr>
          <w:rFonts w:hint="eastAsia" w:ascii="Times New Roman" w:hAnsi="Times New Roman" w:eastAsia="仿宋_GB2312" w:cs="Times New Roman"/>
          <w:color w:val="000000"/>
          <w:sz w:val="32"/>
        </w:rPr>
        <w:cr/>
      </w:r>
      <w:r>
        <w:rPr>
          <w:rFonts w:hint="eastAsia" w:ascii="Times New Roman" w:hAnsi="Times New Roman" w:eastAsia="仿宋_GB2312" w:cs="Times New Roman"/>
          <w:color w:val="000000"/>
          <w:sz w:val="32"/>
          <w:lang w:val="en-US" w:eastAsia="zh-CN"/>
        </w:rPr>
        <w:t xml:space="preserve">    11.卫生健康支出</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行政事业单位医疗</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事业单位医疗</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：反映财政部门安排的事业单位基本医疗保险缴费</w:t>
      </w:r>
      <w:r>
        <w:rPr>
          <w:rFonts w:hint="eastAsia" w:ascii="Times New Roman" w:hAnsi="Times New Roman" w:eastAsia="仿宋_GB2312" w:cs="Times New Roman"/>
          <w:color w:val="000000"/>
          <w:sz w:val="32"/>
        </w:rPr>
        <w:t>经费，未参加医疗保险的事业单位的公费医疗经费，按国家规定享受离休人员待遇的医疗经费。</w:t>
      </w:r>
    </w:p>
    <w:p w14:paraId="6863E092">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lang w:val="en-US" w:eastAsia="zh-CN"/>
        </w:rPr>
        <w:t>12.</w:t>
      </w:r>
      <w:r>
        <w:rPr>
          <w:rFonts w:hint="eastAsia" w:ascii="Times New Roman" w:hAnsi="Times New Roman" w:eastAsia="仿宋_GB2312" w:cs="Times New Roman"/>
          <w:color w:val="000000"/>
          <w:sz w:val="32"/>
        </w:rPr>
        <w:t>卫生健康支出（</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）行政事业单位医疗（</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其他行政事业单位医疗支出</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w:t>
      </w:r>
      <w:r>
        <w:rPr>
          <w:rFonts w:hint="eastAsia" w:ascii="Times New Roman" w:hAnsi="Times New Roman" w:eastAsia="仿宋_GB2312" w:cs="Times New Roman"/>
          <w:color w:val="000000"/>
          <w:sz w:val="32"/>
        </w:rPr>
        <w:t>反映财政部门安排的事业单位基本医疗保险缴费经费，未参加医疗保险的事业单位的公费医疗经费，按国家规定享受离休人员待遇的医疗经费。</w:t>
      </w:r>
    </w:p>
    <w:p w14:paraId="3DC02FA6">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hint="eastAsia" w:ascii="Times New Roman" w:hAnsi="Times New Roman" w:eastAsia="仿宋_GB2312" w:cs="Times New Roman"/>
          <w:color w:val="000000"/>
          <w:sz w:val="32"/>
          <w:lang w:val="en-US" w:eastAsia="zh-CN"/>
        </w:rPr>
        <w:t>3</w:t>
      </w:r>
      <w:r>
        <w:rPr>
          <w:rFonts w:hint="eastAsia" w:ascii="Times New Roman" w:hAnsi="Times New Roman" w:eastAsia="仿宋_GB2312" w:cs="Times New Roman"/>
          <w:color w:val="000000"/>
          <w:sz w:val="32"/>
        </w:rPr>
        <w:t>.节能环保支出（</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）环境监测与监察（</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）其他环境监测与监察支出（</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）：反映除上述项目以外其他用于环境监测与监察方面的支出。</w:t>
      </w:r>
      <w:r>
        <w:rPr>
          <w:rFonts w:hint="eastAsia" w:ascii="Times New Roman" w:hAnsi="Times New Roman" w:eastAsia="仿宋_GB2312" w:cs="Times New Roman"/>
          <w:color w:val="000000"/>
          <w:sz w:val="32"/>
        </w:rPr>
        <w:cr/>
      </w:r>
      <w:r>
        <w:rPr>
          <w:rFonts w:hint="eastAsia" w:ascii="Times New Roman" w:hAnsi="Times New Roman" w:eastAsia="仿宋_GB2312" w:cs="Times New Roman"/>
          <w:color w:val="000000"/>
          <w:sz w:val="32"/>
          <w:lang w:val="en-US" w:eastAsia="zh-CN"/>
        </w:rPr>
        <w:t xml:space="preserve">    </w:t>
      </w:r>
      <w:r>
        <w:rPr>
          <w:rFonts w:hint="eastAsia" w:ascii="Times New Roman" w:hAnsi="Times New Roman" w:eastAsia="仿宋_GB2312" w:cs="Times New Roman"/>
          <w:color w:val="000000"/>
          <w:sz w:val="32"/>
        </w:rPr>
        <w:t>1</w:t>
      </w:r>
      <w:r>
        <w:rPr>
          <w:rFonts w:hint="eastAsia" w:ascii="Times New Roman" w:hAnsi="Times New Roman" w:eastAsia="仿宋_GB2312" w:cs="Times New Roman"/>
          <w:color w:val="000000"/>
          <w:sz w:val="32"/>
          <w:lang w:val="en-US" w:eastAsia="zh-CN"/>
        </w:rPr>
        <w:t>4</w:t>
      </w:r>
      <w:r>
        <w:rPr>
          <w:rFonts w:hint="eastAsia" w:ascii="Times New Roman" w:hAnsi="Times New Roman" w:eastAsia="仿宋_GB2312" w:cs="Times New Roman"/>
          <w:color w:val="000000"/>
          <w:sz w:val="32"/>
        </w:rPr>
        <w:t>.住房保障支出（</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）住房改革支出（</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）住房公积金（</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）：反映行政事业单位按人力资源和社会保障部、财政部规定的基本工资和津贴补贴以及规定比例为职工缴纳的住房公积金。</w:t>
      </w:r>
    </w:p>
    <w:p w14:paraId="3A1B0144">
      <w:pPr>
        <w:pStyle w:val="2"/>
        <w:ind w:firstLine="640" w:firstLineChars="200"/>
        <w:rPr>
          <w:rFonts w:hint="default" w:eastAsia="仿宋_GB2312"/>
          <w:lang w:val="en-US" w:eastAsia="zh-CN"/>
        </w:rPr>
      </w:pPr>
      <w:r>
        <w:rPr>
          <w:rFonts w:hint="eastAsia" w:eastAsia="仿宋_GB2312" w:cs="Times New Roman"/>
          <w:color w:val="000000"/>
          <w:sz w:val="32"/>
          <w:lang w:val="en-US" w:eastAsia="zh-CN"/>
        </w:rPr>
        <w:t>15.</w:t>
      </w:r>
      <w:r>
        <w:rPr>
          <w:rFonts w:hint="eastAsia" w:ascii="Times New Roman" w:hAnsi="Times New Roman" w:eastAsia="仿宋_GB2312" w:cs="Times New Roman"/>
          <w:color w:val="000000"/>
          <w:sz w:val="32"/>
        </w:rPr>
        <w:t>住房保障支出（</w:t>
      </w:r>
      <w:r>
        <w:rPr>
          <w:rFonts w:hint="eastAsia" w:ascii="Times New Roman" w:hAnsi="Times New Roman" w:eastAsia="仿宋_GB2312" w:cs="Times New Roman"/>
          <w:color w:val="000000"/>
          <w:sz w:val="32"/>
          <w:lang w:val="en-US" w:eastAsia="zh-CN"/>
        </w:rPr>
        <w:t>类</w:t>
      </w:r>
      <w:r>
        <w:rPr>
          <w:rFonts w:hint="eastAsia" w:ascii="Times New Roman" w:hAnsi="Times New Roman" w:eastAsia="仿宋_GB2312" w:cs="Times New Roman"/>
          <w:color w:val="000000"/>
          <w:sz w:val="32"/>
        </w:rPr>
        <w:t>）住房改革支出（</w:t>
      </w:r>
      <w:r>
        <w:rPr>
          <w:rFonts w:hint="eastAsia" w:ascii="Times New Roman" w:hAnsi="Times New Roman" w:eastAsia="仿宋_GB2312" w:cs="Times New Roman"/>
          <w:color w:val="000000"/>
          <w:sz w:val="32"/>
          <w:lang w:val="en-US" w:eastAsia="zh-CN"/>
        </w:rPr>
        <w:t>款</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购房补贴</w:t>
      </w:r>
      <w:r>
        <w:rPr>
          <w:rFonts w:hint="eastAsia" w:ascii="Times New Roman" w:hAnsi="Times New Roman" w:eastAsia="仿宋_GB2312" w:cs="Times New Roman"/>
          <w:color w:val="000000"/>
          <w:sz w:val="32"/>
        </w:rPr>
        <w:t>（</w:t>
      </w:r>
      <w:r>
        <w:rPr>
          <w:rFonts w:hint="eastAsia" w:ascii="Times New Roman" w:hAnsi="Times New Roman" w:eastAsia="仿宋_GB2312" w:cs="Times New Roman"/>
          <w:color w:val="000000"/>
          <w:sz w:val="32"/>
          <w:lang w:val="en-US" w:eastAsia="zh-CN"/>
        </w:rPr>
        <w:t>项</w:t>
      </w:r>
      <w:r>
        <w:rPr>
          <w:rFonts w:hint="eastAsia" w:ascii="Times New Roman" w:hAnsi="Times New Roman" w:eastAsia="仿宋_GB2312" w:cs="Times New Roman"/>
          <w:color w:val="000000"/>
          <w:sz w:val="32"/>
        </w:rPr>
        <w:t>）：反映行政事业单位按人力资源和社会保障部、财政部规定的基本工资和津贴补贴以及规定比例为</w:t>
      </w:r>
      <w:r>
        <w:rPr>
          <w:rFonts w:hint="eastAsia" w:ascii="Times New Roman" w:hAnsi="Times New Roman" w:eastAsia="仿宋_GB2312" w:cs="Times New Roman"/>
          <w:color w:val="000000"/>
          <w:sz w:val="32"/>
          <w:lang w:val="en-US" w:eastAsia="zh-CN"/>
        </w:rPr>
        <w:t>减轻职工住房负担而提供的经济补贴。</w:t>
      </w:r>
    </w:p>
    <w:p w14:paraId="4455FB21">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hint="eastAsia" w:eastAsia="仿宋_GB2312" w:cs="Times New Roman"/>
          <w:color w:val="000000"/>
          <w:sz w:val="32"/>
          <w:lang w:val="en-US" w:eastAsia="zh-CN"/>
        </w:rPr>
        <w:t>6</w:t>
      </w:r>
      <w:r>
        <w:rPr>
          <w:rFonts w:hint="eastAsia" w:ascii="Times New Roman" w:hAnsi="Times New Roman" w:eastAsia="仿宋_GB2312" w:cs="Times New Roman"/>
          <w:color w:val="000000"/>
          <w:sz w:val="32"/>
        </w:rPr>
        <w:t>.基本支出：指为保障机构正常运转、完成日常工作任务而发生的人员支出和公用支出。</w:t>
      </w:r>
    </w:p>
    <w:p w14:paraId="30F71B82">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lang w:val="en-US" w:eastAsia="zh-CN"/>
        </w:rPr>
        <w:t>1</w:t>
      </w:r>
      <w:r>
        <w:rPr>
          <w:rFonts w:hint="eastAsia" w:eastAsia="仿宋_GB2312" w:cs="Times New Roman"/>
          <w:color w:val="000000"/>
          <w:sz w:val="32"/>
          <w:lang w:val="en-US" w:eastAsia="zh-CN"/>
        </w:rPr>
        <w:t>7</w:t>
      </w:r>
      <w:r>
        <w:rPr>
          <w:rFonts w:hint="eastAsia" w:ascii="Times New Roman" w:hAnsi="Times New Roman" w:eastAsia="仿宋_GB2312" w:cs="Times New Roman"/>
          <w:color w:val="000000"/>
          <w:sz w:val="32"/>
        </w:rPr>
        <w:t xml:space="preserve">.项目支出：指在基本支出之外为完成特定行政任务和事业发展目标所发生的支出。 </w:t>
      </w:r>
    </w:p>
    <w:p w14:paraId="0C918425">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hint="eastAsia" w:eastAsia="仿宋_GB2312" w:cs="Times New Roman"/>
          <w:color w:val="000000"/>
          <w:sz w:val="32"/>
          <w:lang w:val="en-US" w:eastAsia="zh-CN"/>
        </w:rPr>
        <w:t>8</w:t>
      </w:r>
      <w:r>
        <w:rPr>
          <w:rFonts w:hint="eastAsia" w:ascii="Times New Roman" w:hAnsi="Times New Roman" w:eastAsia="仿宋_GB2312" w:cs="Times New Roman"/>
          <w:color w:val="000000"/>
          <w:sz w:val="32"/>
        </w:rPr>
        <w:t>.经营支出：指事业单位在专业业务活动及其辅助活动之外开展非独立核算经营活动发生的支出。</w:t>
      </w:r>
    </w:p>
    <w:p w14:paraId="544BB946">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ascii="Times New Roman" w:hAnsi="Times New Roman" w:eastAsia="仿宋_GB2312" w:cs="Times New Roman"/>
          <w:color w:val="000000"/>
          <w:sz w:val="32"/>
        </w:rPr>
        <w:t>1</w:t>
      </w:r>
      <w:r>
        <w:rPr>
          <w:rFonts w:hint="eastAsia" w:eastAsia="仿宋_GB2312" w:cs="Times New Roman"/>
          <w:color w:val="000000"/>
          <w:sz w:val="32"/>
          <w:lang w:val="en-US" w:eastAsia="zh-CN"/>
        </w:rPr>
        <w:t>9</w:t>
      </w:r>
      <w:r>
        <w:rPr>
          <w:rFonts w:hint="eastAsia" w:ascii="Times New Roman" w:hAnsi="Times New Roman" w:eastAsia="仿宋_GB2312" w:cs="Times New Roman"/>
          <w:color w:val="000000"/>
          <w:sz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68FD8F4">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r>
        <w:rPr>
          <w:rFonts w:hint="eastAsia" w:eastAsia="仿宋_GB2312" w:cs="Times New Roman"/>
          <w:color w:val="000000"/>
          <w:sz w:val="32"/>
          <w:lang w:val="en-US" w:eastAsia="zh-CN"/>
        </w:rPr>
        <w:t>20</w:t>
      </w:r>
      <w:r>
        <w:rPr>
          <w:rFonts w:hint="eastAsia" w:ascii="Times New Roman" w:hAnsi="Times New Roman" w:eastAsia="仿宋_GB2312" w:cs="Times New Roman"/>
          <w:color w:val="000000"/>
          <w:sz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2D6568">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eastAsia" w:ascii="Times New Roman" w:hAnsi="Times New Roman" w:eastAsia="仿宋_GB2312" w:cs="Times New Roman"/>
          <w:color w:val="000000"/>
          <w:sz w:val="32"/>
          <w:lang w:val="en-US" w:eastAsia="zh-CN"/>
        </w:rPr>
        <w:t>2</w:t>
      </w:r>
      <w:r>
        <w:rPr>
          <w:rFonts w:hint="eastAsia" w:eastAsia="仿宋_GB2312" w:cs="Times New Roman"/>
          <w:color w:val="000000"/>
          <w:sz w:val="32"/>
          <w:lang w:val="en-US" w:eastAsia="zh-CN"/>
        </w:rPr>
        <w:t>1</w:t>
      </w:r>
      <w:r>
        <w:rPr>
          <w:rFonts w:hint="eastAsia" w:ascii="Times New Roman" w:hAnsi="Times New Roman" w:eastAsia="仿宋_GB2312" w:cs="Times New Roman"/>
          <w:color w:val="000000"/>
          <w:sz w:val="32"/>
        </w:rPr>
        <w:t>.财政应返还额度：为行政事业单位会计核算科目，用于核算实行国库集中支付的行政事业单位应收财政返还的资金额度。</w:t>
      </w:r>
    </w:p>
    <w:p w14:paraId="42E1E125">
      <w:pPr>
        <w:pageBreakBefore w:val="0"/>
        <w:kinsoku/>
        <w:wordWrap/>
        <w:overflowPunct/>
        <w:topLinePunct w:val="0"/>
        <w:autoSpaceDN/>
        <w:bidi w:val="0"/>
        <w:adjustRightInd/>
        <w:spacing w:line="576" w:lineRule="exact"/>
        <w:textAlignment w:val="auto"/>
        <w:rPr>
          <w:rFonts w:hint="eastAsia" w:ascii="Times New Roman" w:hAnsi="Times New Roman" w:eastAsia="宋体" w:cs="Times New Roman"/>
          <w:kern w:val="2"/>
          <w:sz w:val="21"/>
          <w:szCs w:val="24"/>
          <w:lang w:val="en-US" w:eastAsia="zh-CN" w:bidi="ar-SA"/>
        </w:rPr>
      </w:pPr>
    </w:p>
    <w:p w14:paraId="0CA1B159">
      <w:pPr>
        <w:pageBreakBefore w:val="0"/>
        <w:kinsoku/>
        <w:wordWrap/>
        <w:overflowPunct/>
        <w:topLinePunct w:val="0"/>
        <w:autoSpaceDN/>
        <w:bidi w:val="0"/>
        <w:adjustRightInd/>
        <w:spacing w:line="576" w:lineRule="exact"/>
        <w:ind w:left="0" w:leftChars="0" w:firstLine="640"/>
        <w:jc w:val="center"/>
        <w:textAlignment w:val="auto"/>
        <w:rPr>
          <w:rFonts w:hint="eastAsia" w:ascii="Times New Roman" w:hAnsi="Times New Roman" w:eastAsia="仿宋_GB2312" w:cs="Times New Roman"/>
          <w:color w:val="000000"/>
          <w:sz w:val="32"/>
        </w:rPr>
      </w:pPr>
      <w:bookmarkStart w:id="52" w:name="_Toc15396614"/>
      <w:bookmarkStart w:id="53" w:name="_Toc15377226"/>
      <w:r>
        <w:rPr>
          <w:rFonts w:hint="eastAsia" w:ascii="Times New Roman" w:hAnsi="Times New Roman" w:eastAsia="仿宋_GB2312" w:cs="Times New Roman"/>
          <w:color w:val="000000"/>
          <w:sz w:val="32"/>
        </w:rPr>
        <w:t>第四部分 附件</w:t>
      </w:r>
      <w:bookmarkEnd w:id="52"/>
    </w:p>
    <w:p w14:paraId="34DF0D34">
      <w:pPr>
        <w:pageBreakBefore w:val="0"/>
        <w:kinsoku/>
        <w:wordWrap/>
        <w:overflowPunct/>
        <w:topLinePunct w:val="0"/>
        <w:autoSpaceDN/>
        <w:bidi w:val="0"/>
        <w:adjustRightInd/>
        <w:spacing w:line="576" w:lineRule="exact"/>
        <w:ind w:left="0" w:leftChars="0" w:firstLine="640"/>
        <w:textAlignment w:val="auto"/>
        <w:rPr>
          <w:rFonts w:hint="eastAsia" w:ascii="Times New Roman" w:hAnsi="Times New Roman" w:eastAsia="仿宋_GB2312" w:cs="Times New Roman"/>
          <w:color w:val="000000"/>
          <w:sz w:val="32"/>
        </w:rPr>
      </w:pPr>
    </w:p>
    <w:tbl>
      <w:tblPr>
        <w:tblStyle w:val="17"/>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2051"/>
        <w:gridCol w:w="1775"/>
        <w:gridCol w:w="2264"/>
        <w:gridCol w:w="521"/>
        <w:gridCol w:w="1676"/>
        <w:gridCol w:w="521"/>
        <w:gridCol w:w="1091"/>
        <w:gridCol w:w="505"/>
        <w:gridCol w:w="456"/>
        <w:gridCol w:w="2556"/>
      </w:tblGrid>
      <w:tr w14:paraId="7D1B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46E32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54"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31BA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FF8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2B3A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51320022R000005203810-追加州级部门建房补贴</w:t>
            </w:r>
          </w:p>
        </w:tc>
      </w:tr>
      <w:tr w14:paraId="10634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1BA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AA48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2916DF5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468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马尔康市环境监测站</w:t>
            </w:r>
          </w:p>
        </w:tc>
      </w:tr>
      <w:tr w14:paraId="5809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B91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159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8BF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193FE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36D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54659">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C830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08B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F7AD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86C5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DEA76">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76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9E1957">
            <w:pPr>
              <w:rPr>
                <w:rFonts w:hint="eastAsia" w:ascii="宋体" w:hAnsi="宋体" w:eastAsia="宋体" w:cs="宋体"/>
                <w:i w:val="0"/>
                <w:iCs w:val="0"/>
                <w:color w:val="000000"/>
                <w:sz w:val="18"/>
                <w:szCs w:val="18"/>
                <w:u w:val="none"/>
              </w:rPr>
            </w:pPr>
          </w:p>
        </w:tc>
      </w:tr>
      <w:tr w14:paraId="4C3F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82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8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0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8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E4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8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B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9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B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E44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0750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3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0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D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EC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B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3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90F2">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14A3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C1A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FFB1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8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C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C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AB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C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6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6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62F5B">
            <w:pPr>
              <w:rPr>
                <w:rFonts w:hint="eastAsia" w:ascii="黑体" w:hAnsi="黑体" w:eastAsia="黑体" w:cs="黑体"/>
                <w:i/>
                <w:iCs/>
                <w:color w:val="000000"/>
                <w:sz w:val="18"/>
                <w:szCs w:val="18"/>
                <w:u w:val="none"/>
              </w:rPr>
            </w:pPr>
          </w:p>
        </w:tc>
      </w:tr>
      <w:tr w14:paraId="01A5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0609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1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9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6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3F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C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0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6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43AA8">
            <w:pPr>
              <w:rPr>
                <w:rFonts w:hint="eastAsia" w:ascii="黑体" w:hAnsi="黑体" w:eastAsia="黑体" w:cs="黑体"/>
                <w:i/>
                <w:iCs/>
                <w:color w:val="000000"/>
                <w:sz w:val="18"/>
                <w:szCs w:val="18"/>
                <w:u w:val="none"/>
              </w:rPr>
            </w:pPr>
          </w:p>
        </w:tc>
      </w:tr>
      <w:tr w14:paraId="1308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3B68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D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8B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C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5B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1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4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B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4B36">
            <w:pPr>
              <w:rPr>
                <w:rFonts w:hint="eastAsia" w:ascii="黑体" w:hAnsi="黑体" w:eastAsia="黑体" w:cs="黑体"/>
                <w:i/>
                <w:iCs/>
                <w:color w:val="000000"/>
                <w:sz w:val="18"/>
                <w:szCs w:val="18"/>
                <w:u w:val="none"/>
              </w:rPr>
            </w:pPr>
          </w:p>
        </w:tc>
      </w:tr>
      <w:tr w14:paraId="36978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5AD3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C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B43F">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0F7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5641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DE5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F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7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9ACF6">
            <w:pPr>
              <w:rPr>
                <w:rFonts w:hint="eastAsia" w:ascii="黑体" w:hAnsi="黑体" w:eastAsia="黑体" w:cs="黑体"/>
                <w:i/>
                <w:iCs/>
                <w:color w:val="000000"/>
                <w:sz w:val="18"/>
                <w:szCs w:val="18"/>
                <w:u w:val="none"/>
              </w:rPr>
            </w:pPr>
          </w:p>
        </w:tc>
      </w:tr>
      <w:tr w14:paraId="5823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07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8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6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F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4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D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E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8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5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6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7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11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0CA9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7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9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D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8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7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D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3F5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B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153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C868">
            <w:pPr>
              <w:jc w:val="center"/>
              <w:rPr>
                <w:rFonts w:hint="eastAsia" w:ascii="微软雅黑" w:hAnsi="微软雅黑" w:eastAsia="微软雅黑" w:cs="微软雅黑"/>
                <w:i/>
                <w:iCs/>
                <w:color w:val="000000"/>
                <w:sz w:val="16"/>
                <w:szCs w:val="16"/>
                <w:u w:val="none"/>
              </w:rPr>
            </w:pPr>
          </w:p>
        </w:tc>
      </w:tr>
      <w:tr w14:paraId="722B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36D3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D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F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0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3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F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1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1A0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7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056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D5B0">
            <w:pPr>
              <w:jc w:val="center"/>
              <w:rPr>
                <w:rFonts w:hint="eastAsia" w:ascii="微软雅黑" w:hAnsi="微软雅黑" w:eastAsia="微软雅黑" w:cs="微软雅黑"/>
                <w:i/>
                <w:iCs/>
                <w:color w:val="000000"/>
                <w:sz w:val="16"/>
                <w:szCs w:val="16"/>
                <w:u w:val="none"/>
              </w:rPr>
            </w:pPr>
          </w:p>
        </w:tc>
      </w:tr>
      <w:tr w14:paraId="79C6D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37D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A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6FDF">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5970">
            <w:pPr>
              <w:rPr>
                <w:rFonts w:hint="eastAsia" w:ascii="宋体" w:hAnsi="宋体" w:eastAsia="宋体" w:cs="宋体"/>
                <w:i w:val="0"/>
                <w:iCs w:val="0"/>
                <w:color w:val="000000"/>
                <w:sz w:val="18"/>
                <w:szCs w:val="18"/>
                <w:u w:val="none"/>
              </w:rPr>
            </w:pPr>
          </w:p>
        </w:tc>
      </w:tr>
      <w:tr w14:paraId="57E11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8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377C8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D8B1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4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1779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0A1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D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D24BC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D26D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97BF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DB7C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28E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D55524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344E5B6">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4A51EF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9B25E1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D73490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55C730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BDCC447">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15A5009">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E6084F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C22C25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ACA0871">
            <w:pPr>
              <w:rPr>
                <w:rFonts w:hint="eastAsia" w:ascii="宋体" w:hAnsi="宋体" w:eastAsia="宋体" w:cs="宋体"/>
                <w:i w:val="0"/>
                <w:iCs w:val="0"/>
                <w:color w:val="000000"/>
                <w:sz w:val="18"/>
                <w:szCs w:val="18"/>
                <w:u w:val="none"/>
              </w:rPr>
            </w:pPr>
          </w:p>
        </w:tc>
      </w:tr>
      <w:tr w14:paraId="070C8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326DA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A8C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636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DB17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51320023R000009914893-工资性支出</w:t>
            </w:r>
          </w:p>
        </w:tc>
      </w:tr>
      <w:tr w14:paraId="309F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E76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7B9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6DDA83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82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马尔康市环境监测站</w:t>
            </w:r>
          </w:p>
        </w:tc>
      </w:tr>
      <w:tr w14:paraId="2E35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9F2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5EB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33B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D535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397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16D1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79167">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2C02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60F4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E51D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399B">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5B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29155A">
            <w:pPr>
              <w:rPr>
                <w:rFonts w:hint="eastAsia" w:ascii="宋体" w:hAnsi="宋体" w:eastAsia="宋体" w:cs="宋体"/>
                <w:i w:val="0"/>
                <w:iCs w:val="0"/>
                <w:color w:val="000000"/>
                <w:sz w:val="18"/>
                <w:szCs w:val="18"/>
                <w:u w:val="none"/>
              </w:rPr>
            </w:pPr>
          </w:p>
        </w:tc>
      </w:tr>
      <w:tr w14:paraId="5E205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45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A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5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B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E1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9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3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E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8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746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9568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7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4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160.14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5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117.08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9F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117.08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0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2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580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8CB6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1F0F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C197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2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6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160.14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C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117.08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C57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117.08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C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8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8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57773">
            <w:pPr>
              <w:rPr>
                <w:rFonts w:hint="eastAsia" w:ascii="黑体" w:hAnsi="黑体" w:eastAsia="黑体" w:cs="黑体"/>
                <w:i/>
                <w:iCs/>
                <w:color w:val="000000"/>
                <w:sz w:val="18"/>
                <w:szCs w:val="18"/>
                <w:u w:val="none"/>
              </w:rPr>
            </w:pPr>
          </w:p>
        </w:tc>
      </w:tr>
      <w:tr w14:paraId="33618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17B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B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3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81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1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9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C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1C0C0">
            <w:pPr>
              <w:rPr>
                <w:rFonts w:hint="eastAsia" w:ascii="黑体" w:hAnsi="黑体" w:eastAsia="黑体" w:cs="黑体"/>
                <w:i/>
                <w:iCs/>
                <w:color w:val="000000"/>
                <w:sz w:val="18"/>
                <w:szCs w:val="18"/>
                <w:u w:val="none"/>
              </w:rPr>
            </w:pPr>
          </w:p>
        </w:tc>
      </w:tr>
      <w:tr w14:paraId="27CD6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E24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7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7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C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F9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B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6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9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B5564">
            <w:pPr>
              <w:rPr>
                <w:rFonts w:hint="eastAsia" w:ascii="黑体" w:hAnsi="黑体" w:eastAsia="黑体" w:cs="黑体"/>
                <w:i/>
                <w:iCs/>
                <w:color w:val="000000"/>
                <w:sz w:val="18"/>
                <w:szCs w:val="18"/>
                <w:u w:val="none"/>
              </w:rPr>
            </w:pPr>
          </w:p>
        </w:tc>
      </w:tr>
      <w:tr w14:paraId="4AF08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954A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6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2A3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AA9F">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114D7">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5DAC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D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2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C0084">
            <w:pPr>
              <w:rPr>
                <w:rFonts w:hint="eastAsia" w:ascii="黑体" w:hAnsi="黑体" w:eastAsia="黑体" w:cs="黑体"/>
                <w:i/>
                <w:iCs/>
                <w:color w:val="000000"/>
                <w:sz w:val="18"/>
                <w:szCs w:val="18"/>
                <w:u w:val="none"/>
              </w:rPr>
            </w:pPr>
          </w:p>
        </w:tc>
      </w:tr>
      <w:tr w14:paraId="34720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E4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E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1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4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9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0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F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8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4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5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0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92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928C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A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9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A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9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0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E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20C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2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03F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152">
            <w:pPr>
              <w:jc w:val="center"/>
              <w:rPr>
                <w:rFonts w:hint="eastAsia" w:ascii="微软雅黑" w:hAnsi="微软雅黑" w:eastAsia="微软雅黑" w:cs="微软雅黑"/>
                <w:i/>
                <w:iCs/>
                <w:color w:val="000000"/>
                <w:sz w:val="16"/>
                <w:szCs w:val="16"/>
                <w:u w:val="none"/>
              </w:rPr>
            </w:pPr>
          </w:p>
        </w:tc>
      </w:tr>
      <w:tr w14:paraId="5D31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9DBB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0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0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3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C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5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A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DC2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A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3E6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9182">
            <w:pPr>
              <w:jc w:val="center"/>
              <w:rPr>
                <w:rFonts w:hint="eastAsia" w:ascii="微软雅黑" w:hAnsi="微软雅黑" w:eastAsia="微软雅黑" w:cs="微软雅黑"/>
                <w:i/>
                <w:iCs/>
                <w:color w:val="000000"/>
                <w:sz w:val="16"/>
                <w:szCs w:val="16"/>
                <w:u w:val="none"/>
              </w:rPr>
            </w:pPr>
          </w:p>
        </w:tc>
      </w:tr>
      <w:tr w14:paraId="35A21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337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B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5C4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DDF9">
            <w:pPr>
              <w:rPr>
                <w:rFonts w:hint="eastAsia" w:ascii="宋体" w:hAnsi="宋体" w:eastAsia="宋体" w:cs="宋体"/>
                <w:i w:val="0"/>
                <w:iCs w:val="0"/>
                <w:color w:val="000000"/>
                <w:sz w:val="18"/>
                <w:szCs w:val="18"/>
                <w:u w:val="none"/>
              </w:rPr>
            </w:pPr>
          </w:p>
        </w:tc>
      </w:tr>
      <w:tr w14:paraId="19032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B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0F02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427D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7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A7B6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484D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8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C6213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A9F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77CF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C263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A4C3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050090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30772A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4F27E97">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1F5FCED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817026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4B478DF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9DBFAF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6A33A4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C25FE0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A2A3C44">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2B8B6EF">
            <w:pPr>
              <w:rPr>
                <w:rFonts w:hint="eastAsia" w:ascii="宋体" w:hAnsi="宋体" w:eastAsia="宋体" w:cs="宋体"/>
                <w:i w:val="0"/>
                <w:iCs w:val="0"/>
                <w:color w:val="000000"/>
                <w:sz w:val="18"/>
                <w:szCs w:val="18"/>
                <w:u w:val="none"/>
              </w:rPr>
            </w:pPr>
          </w:p>
        </w:tc>
      </w:tr>
      <w:tr w14:paraId="6DEFE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9CA7D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4A3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477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CBC3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51320023R000009915221-单位缴费</w:t>
            </w:r>
          </w:p>
        </w:tc>
      </w:tr>
      <w:tr w14:paraId="7B09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B89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30CD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62EB22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3E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马尔康市环境监测站</w:t>
            </w:r>
          </w:p>
        </w:tc>
      </w:tr>
      <w:tr w14:paraId="42F89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22B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84A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A39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4E96F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6DC8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0E210">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C8CBC">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DF21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7E0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E85A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C279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A7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C9200E">
            <w:pPr>
              <w:rPr>
                <w:rFonts w:hint="eastAsia" w:ascii="宋体" w:hAnsi="宋体" w:eastAsia="宋体" w:cs="宋体"/>
                <w:i w:val="0"/>
                <w:iCs w:val="0"/>
                <w:color w:val="000000"/>
                <w:sz w:val="18"/>
                <w:szCs w:val="18"/>
                <w:u w:val="none"/>
              </w:rPr>
            </w:pPr>
          </w:p>
        </w:tc>
      </w:tr>
      <w:tr w14:paraId="3418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8A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2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0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5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59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2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E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D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6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E937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A891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0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2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93.24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6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73.82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66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73.82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2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8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971E">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D4D7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C246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32C6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9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5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93.24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2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73.82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98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73.82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4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1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5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DFE7A">
            <w:pPr>
              <w:rPr>
                <w:rFonts w:hint="eastAsia" w:ascii="黑体" w:hAnsi="黑体" w:eastAsia="黑体" w:cs="黑体"/>
                <w:i/>
                <w:iCs/>
                <w:color w:val="000000"/>
                <w:sz w:val="18"/>
                <w:szCs w:val="18"/>
                <w:u w:val="none"/>
              </w:rPr>
            </w:pPr>
          </w:p>
        </w:tc>
      </w:tr>
      <w:tr w14:paraId="3C771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78F6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C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E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9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D9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7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F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F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2CD93">
            <w:pPr>
              <w:rPr>
                <w:rFonts w:hint="eastAsia" w:ascii="黑体" w:hAnsi="黑体" w:eastAsia="黑体" w:cs="黑体"/>
                <w:i/>
                <w:iCs/>
                <w:color w:val="000000"/>
                <w:sz w:val="18"/>
                <w:szCs w:val="18"/>
                <w:u w:val="none"/>
              </w:rPr>
            </w:pPr>
          </w:p>
        </w:tc>
      </w:tr>
      <w:tr w14:paraId="0891E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D376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F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8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9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970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4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3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8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B1ED5">
            <w:pPr>
              <w:rPr>
                <w:rFonts w:hint="eastAsia" w:ascii="黑体" w:hAnsi="黑体" w:eastAsia="黑体" w:cs="黑体"/>
                <w:i/>
                <w:iCs/>
                <w:color w:val="000000"/>
                <w:sz w:val="18"/>
                <w:szCs w:val="18"/>
                <w:u w:val="none"/>
              </w:rPr>
            </w:pPr>
          </w:p>
        </w:tc>
      </w:tr>
      <w:tr w14:paraId="11BB4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86F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B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A63C">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34F79">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7EC3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2B9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3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0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12C33">
            <w:pPr>
              <w:rPr>
                <w:rFonts w:hint="eastAsia" w:ascii="黑体" w:hAnsi="黑体" w:eastAsia="黑体" w:cs="黑体"/>
                <w:i/>
                <w:iCs/>
                <w:color w:val="000000"/>
                <w:sz w:val="18"/>
                <w:szCs w:val="18"/>
                <w:u w:val="none"/>
              </w:rPr>
            </w:pPr>
          </w:p>
        </w:tc>
      </w:tr>
      <w:tr w14:paraId="6D82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D2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6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2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A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1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9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E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4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9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3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9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B3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57BE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7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1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E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8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C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BC2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B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F4B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CFC6">
            <w:pPr>
              <w:jc w:val="center"/>
              <w:rPr>
                <w:rFonts w:hint="eastAsia" w:ascii="微软雅黑" w:hAnsi="微软雅黑" w:eastAsia="微软雅黑" w:cs="微软雅黑"/>
                <w:i/>
                <w:iCs/>
                <w:color w:val="000000"/>
                <w:sz w:val="16"/>
                <w:szCs w:val="16"/>
                <w:u w:val="none"/>
              </w:rPr>
            </w:pPr>
          </w:p>
        </w:tc>
      </w:tr>
      <w:tr w14:paraId="5E6B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290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E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3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0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D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0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7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827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8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D45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26BB">
            <w:pPr>
              <w:jc w:val="center"/>
              <w:rPr>
                <w:rFonts w:hint="eastAsia" w:ascii="微软雅黑" w:hAnsi="微软雅黑" w:eastAsia="微软雅黑" w:cs="微软雅黑"/>
                <w:i/>
                <w:iCs/>
                <w:color w:val="000000"/>
                <w:sz w:val="16"/>
                <w:szCs w:val="16"/>
                <w:u w:val="none"/>
              </w:rPr>
            </w:pPr>
          </w:p>
        </w:tc>
      </w:tr>
      <w:tr w14:paraId="44EA3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3D5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1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55CE">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C35F">
            <w:pPr>
              <w:rPr>
                <w:rFonts w:hint="eastAsia" w:ascii="宋体" w:hAnsi="宋体" w:eastAsia="宋体" w:cs="宋体"/>
                <w:i w:val="0"/>
                <w:iCs w:val="0"/>
                <w:color w:val="000000"/>
                <w:sz w:val="18"/>
                <w:szCs w:val="18"/>
                <w:u w:val="none"/>
              </w:rPr>
            </w:pPr>
          </w:p>
        </w:tc>
      </w:tr>
      <w:tr w14:paraId="27A2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8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4767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B04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A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1D7C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E9D2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B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BA3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421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42F9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A49F3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1D18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F85D8C5">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2211B89">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3311447">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E5DEC3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6F064BB">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137F76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E9AE5B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3E1DA2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F71077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39C2BA8">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00BCDE9">
            <w:pPr>
              <w:rPr>
                <w:rFonts w:hint="eastAsia" w:ascii="宋体" w:hAnsi="宋体" w:eastAsia="宋体" w:cs="宋体"/>
                <w:i w:val="0"/>
                <w:iCs w:val="0"/>
                <w:color w:val="000000"/>
                <w:sz w:val="18"/>
                <w:szCs w:val="18"/>
                <w:u w:val="none"/>
              </w:rPr>
            </w:pPr>
          </w:p>
        </w:tc>
      </w:tr>
      <w:tr w14:paraId="721BD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D2338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EEB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B1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384F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51320023R000009916588-其他支出</w:t>
            </w:r>
          </w:p>
        </w:tc>
      </w:tr>
      <w:tr w14:paraId="78A2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B1F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A1E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0F09EB3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DB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马尔康市环境监测站</w:t>
            </w:r>
          </w:p>
        </w:tc>
      </w:tr>
      <w:tr w14:paraId="6D83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E2C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C7E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66D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FD8CC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E2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668AA">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38F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107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27B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E77E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6206B">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AB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4ACDEA">
            <w:pPr>
              <w:rPr>
                <w:rFonts w:hint="eastAsia" w:ascii="宋体" w:hAnsi="宋体" w:eastAsia="宋体" w:cs="宋体"/>
                <w:i w:val="0"/>
                <w:iCs w:val="0"/>
                <w:color w:val="000000"/>
                <w:sz w:val="18"/>
                <w:szCs w:val="18"/>
                <w:u w:val="none"/>
              </w:rPr>
            </w:pPr>
          </w:p>
        </w:tc>
      </w:tr>
      <w:tr w14:paraId="2BA9D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98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3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0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2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2A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D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1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F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2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F3DA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4CB9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2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4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1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7FA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8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8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04A3">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9633D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B45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38C4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C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6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F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D9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0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F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9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47B83">
            <w:pPr>
              <w:rPr>
                <w:rFonts w:hint="eastAsia" w:ascii="黑体" w:hAnsi="黑体" w:eastAsia="黑体" w:cs="黑体"/>
                <w:i/>
                <w:iCs/>
                <w:color w:val="000000"/>
                <w:sz w:val="18"/>
                <w:szCs w:val="18"/>
                <w:u w:val="none"/>
              </w:rPr>
            </w:pPr>
          </w:p>
        </w:tc>
      </w:tr>
      <w:tr w14:paraId="03671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39D7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4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3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2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C0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6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D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B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4F7F4">
            <w:pPr>
              <w:rPr>
                <w:rFonts w:hint="eastAsia" w:ascii="黑体" w:hAnsi="黑体" w:eastAsia="黑体" w:cs="黑体"/>
                <w:i/>
                <w:iCs/>
                <w:color w:val="000000"/>
                <w:sz w:val="18"/>
                <w:szCs w:val="18"/>
                <w:u w:val="none"/>
              </w:rPr>
            </w:pPr>
          </w:p>
        </w:tc>
      </w:tr>
      <w:tr w14:paraId="73DB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647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A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0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4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954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1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5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0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1CC58">
            <w:pPr>
              <w:rPr>
                <w:rFonts w:hint="eastAsia" w:ascii="黑体" w:hAnsi="黑体" w:eastAsia="黑体" w:cs="黑体"/>
                <w:i/>
                <w:iCs/>
                <w:color w:val="000000"/>
                <w:sz w:val="18"/>
                <w:szCs w:val="18"/>
                <w:u w:val="none"/>
              </w:rPr>
            </w:pPr>
          </w:p>
        </w:tc>
      </w:tr>
      <w:tr w14:paraId="2994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415A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6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7A1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C528">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4D4A1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FD9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A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1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59D5A">
            <w:pPr>
              <w:rPr>
                <w:rFonts w:hint="eastAsia" w:ascii="黑体" w:hAnsi="黑体" w:eastAsia="黑体" w:cs="黑体"/>
                <w:i/>
                <w:iCs/>
                <w:color w:val="000000"/>
                <w:sz w:val="18"/>
                <w:szCs w:val="18"/>
                <w:u w:val="none"/>
              </w:rPr>
            </w:pPr>
          </w:p>
        </w:tc>
      </w:tr>
      <w:tr w14:paraId="55CFE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31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4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9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0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6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4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E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E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0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E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D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A6C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EFA6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5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B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6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9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F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5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AF7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B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B92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5F17">
            <w:pPr>
              <w:jc w:val="center"/>
              <w:rPr>
                <w:rFonts w:hint="eastAsia" w:ascii="微软雅黑" w:hAnsi="微软雅黑" w:eastAsia="微软雅黑" w:cs="微软雅黑"/>
                <w:i/>
                <w:iCs/>
                <w:color w:val="000000"/>
                <w:sz w:val="16"/>
                <w:szCs w:val="16"/>
                <w:u w:val="none"/>
              </w:rPr>
            </w:pPr>
          </w:p>
        </w:tc>
      </w:tr>
      <w:tr w14:paraId="4AC86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0A9A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8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8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F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1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5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A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896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4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B2B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15F7">
            <w:pPr>
              <w:jc w:val="center"/>
              <w:rPr>
                <w:rFonts w:hint="eastAsia" w:ascii="微软雅黑" w:hAnsi="微软雅黑" w:eastAsia="微软雅黑" w:cs="微软雅黑"/>
                <w:i/>
                <w:iCs/>
                <w:color w:val="000000"/>
                <w:sz w:val="16"/>
                <w:szCs w:val="16"/>
                <w:u w:val="none"/>
              </w:rPr>
            </w:pPr>
          </w:p>
        </w:tc>
      </w:tr>
      <w:tr w14:paraId="3A1D4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CEB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6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C76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241F">
            <w:pPr>
              <w:rPr>
                <w:rFonts w:hint="eastAsia" w:ascii="宋体" w:hAnsi="宋体" w:eastAsia="宋体" w:cs="宋体"/>
                <w:i w:val="0"/>
                <w:iCs w:val="0"/>
                <w:color w:val="000000"/>
                <w:sz w:val="18"/>
                <w:szCs w:val="18"/>
                <w:u w:val="none"/>
              </w:rPr>
            </w:pPr>
          </w:p>
        </w:tc>
      </w:tr>
      <w:tr w14:paraId="6250D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E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7A97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86B0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1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D1368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0E7F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3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2412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4318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D7011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BD40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6778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2C1B33B">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0636ECD">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04195619">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02977F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1F634C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4837F2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7079C1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32A9295">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A8415E4">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AC9547E">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3375705">
            <w:pPr>
              <w:rPr>
                <w:rFonts w:hint="eastAsia" w:ascii="宋体" w:hAnsi="宋体" w:eastAsia="宋体" w:cs="宋体"/>
                <w:i w:val="0"/>
                <w:iCs w:val="0"/>
                <w:color w:val="000000"/>
                <w:sz w:val="18"/>
                <w:szCs w:val="18"/>
                <w:u w:val="none"/>
              </w:rPr>
            </w:pPr>
          </w:p>
        </w:tc>
      </w:tr>
      <w:tr w14:paraId="6CD6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F62AA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D65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066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59CD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51320023Y000009917272-日常公用经费</w:t>
            </w:r>
          </w:p>
        </w:tc>
      </w:tr>
      <w:tr w14:paraId="615D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BE4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003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州生态环境局部门</w:t>
            </w:r>
          </w:p>
        </w:tc>
        <w:tc>
          <w:tcPr>
            <w:tcW w:w="1091" w:type="dxa"/>
            <w:tcBorders>
              <w:top w:val="nil"/>
              <w:left w:val="nil"/>
              <w:bottom w:val="nil"/>
              <w:right w:val="nil"/>
            </w:tcBorders>
            <w:shd w:val="clear" w:color="auto" w:fill="auto"/>
            <w:vAlign w:val="center"/>
          </w:tcPr>
          <w:p w14:paraId="140132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73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马尔康市环境监测站</w:t>
            </w:r>
          </w:p>
        </w:tc>
      </w:tr>
      <w:tr w14:paraId="12E1B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57B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D64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6C2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BB41B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B4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EB24">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CBE6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C7E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FFE0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D660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9A86A">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A6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EF32AA">
            <w:pPr>
              <w:rPr>
                <w:rFonts w:hint="eastAsia" w:ascii="宋体" w:hAnsi="宋体" w:eastAsia="宋体" w:cs="宋体"/>
                <w:i w:val="0"/>
                <w:iCs w:val="0"/>
                <w:color w:val="000000"/>
                <w:sz w:val="18"/>
                <w:szCs w:val="18"/>
                <w:u w:val="none"/>
              </w:rPr>
            </w:pPr>
          </w:p>
        </w:tc>
      </w:tr>
      <w:tr w14:paraId="7866B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48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6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4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9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88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4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6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C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D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C28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5774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0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A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32.64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4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65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7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5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E181">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D95A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D224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2182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8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1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32.64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4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20.53</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B4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4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3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8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B7252">
            <w:pPr>
              <w:rPr>
                <w:rFonts w:hint="eastAsia" w:ascii="黑体" w:hAnsi="黑体" w:eastAsia="黑体" w:cs="黑体"/>
                <w:i/>
                <w:iCs/>
                <w:color w:val="000000"/>
                <w:sz w:val="18"/>
                <w:szCs w:val="18"/>
                <w:u w:val="none"/>
              </w:rPr>
            </w:pPr>
          </w:p>
        </w:tc>
      </w:tr>
      <w:tr w14:paraId="5D430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632D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7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1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1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F7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E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E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7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CBBD3">
            <w:pPr>
              <w:rPr>
                <w:rFonts w:hint="eastAsia" w:ascii="黑体" w:hAnsi="黑体" w:eastAsia="黑体" w:cs="黑体"/>
                <w:i/>
                <w:iCs/>
                <w:color w:val="000000"/>
                <w:sz w:val="18"/>
                <w:szCs w:val="18"/>
                <w:u w:val="none"/>
              </w:rPr>
            </w:pPr>
          </w:p>
        </w:tc>
      </w:tr>
      <w:tr w14:paraId="0960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55F5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7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5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E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B72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2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E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F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F643">
            <w:pPr>
              <w:rPr>
                <w:rFonts w:hint="eastAsia" w:ascii="黑体" w:hAnsi="黑体" w:eastAsia="黑体" w:cs="黑体"/>
                <w:i/>
                <w:iCs/>
                <w:color w:val="000000"/>
                <w:sz w:val="18"/>
                <w:szCs w:val="18"/>
                <w:u w:val="none"/>
              </w:rPr>
            </w:pPr>
          </w:p>
        </w:tc>
      </w:tr>
      <w:tr w14:paraId="32219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EC0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5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6E92">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3FC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E6A40">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573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8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6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C7CEB">
            <w:pPr>
              <w:rPr>
                <w:rFonts w:hint="eastAsia" w:ascii="黑体" w:hAnsi="黑体" w:eastAsia="黑体" w:cs="黑体"/>
                <w:i/>
                <w:iCs/>
                <w:color w:val="000000"/>
                <w:sz w:val="18"/>
                <w:szCs w:val="18"/>
                <w:u w:val="none"/>
              </w:rPr>
            </w:pPr>
          </w:p>
        </w:tc>
      </w:tr>
      <w:tr w14:paraId="2554B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43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4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5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F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B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C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0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7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EE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F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0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A08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50D4B">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8A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5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6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B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4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3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A0D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B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7EA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7399">
            <w:pPr>
              <w:jc w:val="center"/>
              <w:rPr>
                <w:rFonts w:hint="eastAsia" w:ascii="微软雅黑" w:hAnsi="微软雅黑" w:eastAsia="微软雅黑" w:cs="微软雅黑"/>
                <w:i/>
                <w:iCs/>
                <w:color w:val="000000"/>
                <w:sz w:val="16"/>
                <w:szCs w:val="16"/>
                <w:u w:val="none"/>
              </w:rPr>
            </w:pPr>
          </w:p>
        </w:tc>
      </w:tr>
      <w:tr w14:paraId="5CEC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8753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B76F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F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8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B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F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3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9D8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D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E8D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CC1C">
            <w:pPr>
              <w:jc w:val="center"/>
              <w:rPr>
                <w:rFonts w:hint="eastAsia" w:ascii="微软雅黑" w:hAnsi="微软雅黑" w:eastAsia="微软雅黑" w:cs="微软雅黑"/>
                <w:i/>
                <w:iCs/>
                <w:color w:val="000000"/>
                <w:sz w:val="16"/>
                <w:szCs w:val="16"/>
                <w:u w:val="none"/>
              </w:rPr>
            </w:pPr>
          </w:p>
        </w:tc>
      </w:tr>
      <w:tr w14:paraId="13CF5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2FC4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88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D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2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0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A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9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C25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6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82C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9B0A">
            <w:pPr>
              <w:jc w:val="center"/>
              <w:rPr>
                <w:rFonts w:hint="eastAsia" w:ascii="微软雅黑" w:hAnsi="微软雅黑" w:eastAsia="微软雅黑" w:cs="微软雅黑"/>
                <w:i/>
                <w:iCs/>
                <w:color w:val="000000"/>
                <w:sz w:val="16"/>
                <w:szCs w:val="16"/>
                <w:u w:val="none"/>
              </w:rPr>
            </w:pPr>
          </w:p>
        </w:tc>
      </w:tr>
      <w:tr w14:paraId="11DB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C0D8D">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DC31">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5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2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0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9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D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13F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4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FE6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691B">
            <w:pPr>
              <w:jc w:val="center"/>
              <w:rPr>
                <w:rFonts w:hint="eastAsia" w:ascii="微软雅黑" w:hAnsi="微软雅黑" w:eastAsia="微软雅黑" w:cs="微软雅黑"/>
                <w:i/>
                <w:iCs/>
                <w:color w:val="000000"/>
                <w:sz w:val="16"/>
                <w:szCs w:val="16"/>
                <w:u w:val="none"/>
              </w:rPr>
            </w:pPr>
          </w:p>
        </w:tc>
      </w:tr>
      <w:tr w14:paraId="53776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5AD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F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9D6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3947">
            <w:pPr>
              <w:rPr>
                <w:rFonts w:hint="eastAsia" w:ascii="宋体" w:hAnsi="宋体" w:eastAsia="宋体" w:cs="宋体"/>
                <w:i w:val="0"/>
                <w:iCs w:val="0"/>
                <w:color w:val="000000"/>
                <w:sz w:val="18"/>
                <w:szCs w:val="18"/>
                <w:u w:val="none"/>
              </w:rPr>
            </w:pPr>
          </w:p>
        </w:tc>
      </w:tr>
      <w:tr w14:paraId="67D2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3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CA04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C8E3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2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747E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0F5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F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24861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817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9D0A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E14A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29694F0F">
      <w:pPr>
        <w:pStyle w:val="9"/>
        <w:spacing w:before="93"/>
        <w:rPr>
          <w:rFonts w:hAnsi="Calibri" w:cs="仿宋"/>
          <w:sz w:val="32"/>
          <w:szCs w:val="32"/>
        </w:rPr>
      </w:pPr>
    </w:p>
    <w:p w14:paraId="03E19A60">
      <w:pPr>
        <w:pStyle w:val="9"/>
        <w:spacing w:before="93"/>
        <w:rPr>
          <w:rFonts w:hAnsi="Calibri" w:cs="仿宋"/>
          <w:sz w:val="32"/>
          <w:szCs w:val="32"/>
        </w:rPr>
      </w:pPr>
    </w:p>
    <w:p w14:paraId="48AEACB8">
      <w:pPr>
        <w:pStyle w:val="9"/>
        <w:spacing w:before="93"/>
        <w:rPr>
          <w:rFonts w:hAnsi="Calibri" w:cs="仿宋"/>
          <w:sz w:val="32"/>
          <w:szCs w:val="32"/>
        </w:rPr>
      </w:pPr>
    </w:p>
    <w:p w14:paraId="50AE50DF">
      <w:pPr>
        <w:pStyle w:val="9"/>
        <w:spacing w:before="93"/>
        <w:rPr>
          <w:rFonts w:hAnsi="Calibri" w:cs="仿宋"/>
          <w:sz w:val="32"/>
          <w:szCs w:val="32"/>
        </w:rPr>
      </w:pPr>
    </w:p>
    <w:p w14:paraId="7C0BDC4B">
      <w:pPr>
        <w:pStyle w:val="9"/>
        <w:spacing w:before="93"/>
        <w:rPr>
          <w:rFonts w:hAnsi="Calibri" w:cs="仿宋"/>
          <w:sz w:val="32"/>
          <w:szCs w:val="32"/>
        </w:rPr>
      </w:pPr>
    </w:p>
    <w:p w14:paraId="07D76AE9">
      <w:pPr>
        <w:pStyle w:val="9"/>
        <w:spacing w:before="93"/>
        <w:rPr>
          <w:rFonts w:hAnsi="Calibri" w:cs="仿宋"/>
          <w:sz w:val="32"/>
          <w:szCs w:val="32"/>
        </w:rPr>
        <w:sectPr>
          <w:pgSz w:w="16838" w:h="11906" w:orient="landscape"/>
          <w:pgMar w:top="1800" w:right="1440" w:bottom="1800" w:left="1440" w:header="851" w:footer="992" w:gutter="0"/>
          <w:cols w:space="425" w:num="1"/>
          <w:titlePg/>
          <w:docGrid w:type="lines" w:linePitch="312" w:charSpace="0"/>
        </w:sectPr>
      </w:pPr>
    </w:p>
    <w:p w14:paraId="52246E27">
      <w:pPr>
        <w:pStyle w:val="9"/>
        <w:spacing w:before="93"/>
        <w:rPr>
          <w:rFonts w:hAnsi="Calibri" w:cs="仿宋"/>
          <w:sz w:val="32"/>
          <w:szCs w:val="32"/>
        </w:rPr>
      </w:pPr>
    </w:p>
    <w:p w14:paraId="5200B56F">
      <w:pPr>
        <w:spacing w:line="600" w:lineRule="exact"/>
        <w:jc w:val="center"/>
        <w:outlineLvl w:val="0"/>
        <w:rPr>
          <w:rFonts w:ascii="仿宋" w:hAnsi="仿宋" w:eastAsia="仿宋"/>
        </w:rPr>
      </w:pPr>
      <w:r>
        <w:rPr>
          <w:rFonts w:hint="eastAsia" w:ascii="黑体" w:hAnsi="黑体" w:eastAsia="黑体"/>
          <w:sz w:val="44"/>
          <w:szCs w:val="44"/>
        </w:rPr>
        <w:t>第</w:t>
      </w:r>
      <w:r>
        <w:rPr>
          <w:rStyle w:val="30"/>
          <w:rFonts w:hint="eastAsia" w:ascii="黑体" w:hAnsi="黑体" w:eastAsia="黑体"/>
          <w:b w:val="0"/>
        </w:rPr>
        <w:t>五部分 附表</w:t>
      </w:r>
      <w:bookmarkEnd w:id="53"/>
      <w:bookmarkEnd w:id="54"/>
      <w:bookmarkStart w:id="55" w:name="_Toc15396619"/>
    </w:p>
    <w:p w14:paraId="7D8D91F0">
      <w:pPr>
        <w:pStyle w:val="6"/>
        <w:rPr>
          <w:rFonts w:ascii="仿宋" w:hAnsi="仿宋" w:eastAsia="仿宋"/>
        </w:rPr>
      </w:pPr>
      <w:r>
        <w:rPr>
          <w:rFonts w:hint="eastAsia" w:ascii="仿宋" w:hAnsi="仿宋" w:eastAsia="仿宋"/>
          <w:b w:val="0"/>
        </w:rPr>
        <w:t>一、收</w:t>
      </w:r>
      <w:r>
        <w:rPr>
          <w:rStyle w:val="31"/>
          <w:rFonts w:hint="eastAsia" w:ascii="仿宋" w:hAnsi="仿宋" w:eastAsia="仿宋"/>
          <w:b w:val="0"/>
          <w:bCs w:val="0"/>
        </w:rPr>
        <w:t>入支出决算总表</w:t>
      </w:r>
      <w:bookmarkEnd w:id="55"/>
    </w:p>
    <w:p w14:paraId="73058B39">
      <w:pPr>
        <w:pStyle w:val="6"/>
        <w:rPr>
          <w:rFonts w:ascii="仿宋" w:hAnsi="仿宋" w:eastAsia="仿宋"/>
        </w:rPr>
      </w:pPr>
      <w:bookmarkStart w:id="56" w:name="_Toc15396620"/>
      <w:r>
        <w:rPr>
          <w:rFonts w:hint="eastAsia" w:ascii="仿宋" w:hAnsi="仿宋" w:eastAsia="仿宋"/>
          <w:b w:val="0"/>
        </w:rPr>
        <w:t>二、收</w:t>
      </w:r>
      <w:r>
        <w:rPr>
          <w:rStyle w:val="31"/>
          <w:rFonts w:hint="eastAsia" w:ascii="仿宋" w:hAnsi="仿宋" w:eastAsia="仿宋"/>
          <w:b w:val="0"/>
          <w:bCs w:val="0"/>
        </w:rPr>
        <w:t>入决算表</w:t>
      </w:r>
      <w:bookmarkEnd w:id="56"/>
    </w:p>
    <w:p w14:paraId="49914EA7">
      <w:pPr>
        <w:pStyle w:val="6"/>
        <w:rPr>
          <w:rFonts w:ascii="仿宋" w:hAnsi="仿宋" w:eastAsia="仿宋"/>
        </w:rPr>
      </w:pPr>
      <w:bookmarkStart w:id="57"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57"/>
    </w:p>
    <w:p w14:paraId="7D03827B">
      <w:pPr>
        <w:pStyle w:val="6"/>
        <w:rPr>
          <w:rFonts w:ascii="仿宋" w:hAnsi="仿宋" w:eastAsia="仿宋"/>
          <w:b w:val="0"/>
        </w:rPr>
      </w:pPr>
      <w:bookmarkStart w:id="58" w:name="_Toc15396622"/>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58"/>
    </w:p>
    <w:p w14:paraId="37D89817">
      <w:pPr>
        <w:pStyle w:val="6"/>
        <w:rPr>
          <w:rStyle w:val="31"/>
          <w:rFonts w:ascii="仿宋" w:hAnsi="仿宋" w:eastAsia="仿宋"/>
          <w:b w:val="0"/>
          <w:bCs w:val="0"/>
        </w:rPr>
      </w:pPr>
      <w:bookmarkStart w:id="59"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59"/>
      <w:bookmarkStart w:id="60" w:name="_Toc15396624"/>
    </w:p>
    <w:p w14:paraId="75F74BEF">
      <w:pPr>
        <w:pStyle w:val="6"/>
        <w:rPr>
          <w:rFonts w:ascii="仿宋" w:hAnsi="仿宋" w:eastAsia="仿宋"/>
        </w:rPr>
      </w:pPr>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60"/>
    </w:p>
    <w:p w14:paraId="26B12059">
      <w:pPr>
        <w:pStyle w:val="6"/>
        <w:rPr>
          <w:rFonts w:ascii="仿宋" w:hAnsi="仿宋" w:eastAsia="仿宋"/>
        </w:rPr>
      </w:pPr>
      <w:bookmarkStart w:id="61"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61"/>
    </w:p>
    <w:p w14:paraId="6BA06BDD">
      <w:pPr>
        <w:pStyle w:val="6"/>
        <w:rPr>
          <w:rFonts w:ascii="仿宋" w:hAnsi="仿宋" w:eastAsia="仿宋"/>
        </w:rPr>
      </w:pPr>
      <w:bookmarkStart w:id="62"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62"/>
    </w:p>
    <w:p w14:paraId="679A2A7A">
      <w:pPr>
        <w:pStyle w:val="6"/>
        <w:rPr>
          <w:rFonts w:ascii="仿宋" w:hAnsi="仿宋" w:eastAsia="仿宋"/>
        </w:rPr>
      </w:pPr>
      <w:bookmarkStart w:id="63"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63"/>
    </w:p>
    <w:p w14:paraId="21D6064A">
      <w:pPr>
        <w:pStyle w:val="6"/>
        <w:rPr>
          <w:rFonts w:ascii="仿宋" w:hAnsi="仿宋" w:eastAsia="仿宋"/>
        </w:rPr>
      </w:pPr>
      <w:bookmarkStart w:id="64" w:name="_Toc15396628"/>
      <w:r>
        <w:rPr>
          <w:rStyle w:val="31"/>
          <w:rFonts w:hint="eastAsia" w:ascii="仿宋" w:hAnsi="仿宋" w:eastAsia="仿宋"/>
          <w:b w:val="0"/>
          <w:bCs w:val="0"/>
        </w:rPr>
        <w:t>十、</w:t>
      </w:r>
      <w:bookmarkEnd w:id="64"/>
      <w:r>
        <w:rPr>
          <w:rFonts w:hint="eastAsia" w:ascii="仿宋" w:hAnsi="仿宋" w:eastAsia="仿宋"/>
          <w:b w:val="0"/>
        </w:rPr>
        <w:t>政</w:t>
      </w:r>
      <w:r>
        <w:rPr>
          <w:rStyle w:val="31"/>
          <w:rFonts w:hint="eastAsia" w:ascii="仿宋" w:hAnsi="仿宋" w:eastAsia="仿宋"/>
          <w:b w:val="0"/>
          <w:bCs w:val="0"/>
        </w:rPr>
        <w:t>府性基金预算财政拨款收入支出决算表</w:t>
      </w:r>
    </w:p>
    <w:p w14:paraId="6FF1BF12">
      <w:pPr>
        <w:pStyle w:val="6"/>
        <w:rPr>
          <w:rFonts w:ascii="仿宋" w:hAnsi="仿宋" w:eastAsia="仿宋"/>
        </w:rPr>
      </w:pPr>
      <w:bookmarkStart w:id="65" w:name="_Toc15396629"/>
      <w:r>
        <w:rPr>
          <w:rStyle w:val="31"/>
          <w:rFonts w:hint="eastAsia" w:ascii="仿宋" w:hAnsi="仿宋" w:eastAsia="仿宋"/>
          <w:b w:val="0"/>
          <w:bCs w:val="0"/>
        </w:rPr>
        <w:t>十一、</w:t>
      </w:r>
      <w:bookmarkEnd w:id="65"/>
      <w:r>
        <w:rPr>
          <w:rFonts w:hint="eastAsia" w:ascii="仿宋" w:hAnsi="仿宋" w:eastAsia="仿宋"/>
          <w:b w:val="0"/>
        </w:rPr>
        <w:t>国</w:t>
      </w:r>
      <w:r>
        <w:rPr>
          <w:rStyle w:val="31"/>
          <w:rFonts w:hint="eastAsia" w:ascii="仿宋" w:hAnsi="仿宋" w:eastAsia="仿宋"/>
          <w:b w:val="0"/>
          <w:bCs w:val="0"/>
        </w:rPr>
        <w:t>有资本经营预算财政拨款收入支出决算表</w:t>
      </w:r>
    </w:p>
    <w:p w14:paraId="7CECC9E9">
      <w:pPr>
        <w:pStyle w:val="6"/>
        <w:rPr>
          <w:rFonts w:ascii="仿宋" w:hAnsi="仿宋" w:eastAsia="仿宋"/>
        </w:rPr>
      </w:pPr>
      <w:bookmarkStart w:id="66" w:name="_Toc15396630"/>
      <w:r>
        <w:rPr>
          <w:rStyle w:val="31"/>
          <w:rFonts w:hint="eastAsia" w:ascii="仿宋" w:hAnsi="仿宋" w:eastAsia="仿宋"/>
          <w:b w:val="0"/>
          <w:bCs w:val="0"/>
        </w:rPr>
        <w:t>十二、</w:t>
      </w:r>
      <w:bookmarkEnd w:id="66"/>
      <w:r>
        <w:rPr>
          <w:rStyle w:val="31"/>
          <w:rFonts w:hint="eastAsia" w:ascii="仿宋" w:hAnsi="仿宋" w:eastAsia="仿宋"/>
          <w:b w:val="0"/>
          <w:bCs w:val="0"/>
        </w:rPr>
        <w:t>国有资本经营预算财政拨款支出决算表</w:t>
      </w:r>
    </w:p>
    <w:p w14:paraId="637E0FDA">
      <w:pPr>
        <w:pStyle w:val="6"/>
        <w:rPr>
          <w:rFonts w:eastAsia="仿宋"/>
        </w:rPr>
      </w:pPr>
      <w:bookmarkStart w:id="67" w:name="_Toc15396631"/>
      <w:r>
        <w:rPr>
          <w:rStyle w:val="31"/>
          <w:rFonts w:hint="eastAsia" w:ascii="仿宋" w:hAnsi="仿宋" w:eastAsia="仿宋"/>
          <w:b w:val="0"/>
          <w:bCs w:val="0"/>
        </w:rPr>
        <w:t>十三、</w:t>
      </w:r>
      <w:bookmarkEnd w:id="67"/>
      <w:r>
        <w:rPr>
          <w:rStyle w:val="31"/>
          <w:rFonts w:hint="eastAsia" w:ascii="仿宋" w:hAnsi="仿宋" w:eastAsia="仿宋"/>
          <w:b w:val="0"/>
          <w:bCs w:val="0"/>
        </w:rPr>
        <w:t>财政拨款“三公”经费支出决算表</w:t>
      </w: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FA33">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2982"/>
                          </w:sdtPr>
                          <w:sdtContent>
                            <w:p w14:paraId="1DB349EA">
                              <w:pPr>
                                <w:pStyle w:val="13"/>
                                <w:jc w:val="center"/>
                              </w:pPr>
                              <w:r>
                                <w:fldChar w:fldCharType="begin"/>
                              </w:r>
                              <w:r>
                                <w:instrText xml:space="preserve">PAGE   \* MERGEFORMAT</w:instrText>
                              </w:r>
                              <w:r>
                                <w:fldChar w:fldCharType="separate"/>
                              </w:r>
                              <w:r>
                                <w:rPr>
                                  <w:lang w:val="zh-CN"/>
                                </w:rPr>
                                <w:t>15</w:t>
                              </w:r>
                              <w:r>
                                <w:fldChar w:fldCharType="end"/>
                              </w:r>
                            </w:p>
                          </w:sdtContent>
                        </w:sdt>
                        <w:p w14:paraId="2FC4C91D">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2982"/>
                    </w:sdtPr>
                    <w:sdtContent>
                      <w:p w14:paraId="1DB349EA">
                        <w:pPr>
                          <w:pStyle w:val="13"/>
                          <w:jc w:val="center"/>
                        </w:pPr>
                        <w:r>
                          <w:fldChar w:fldCharType="begin"/>
                        </w:r>
                        <w:r>
                          <w:instrText xml:space="preserve">PAGE   \* MERGEFORMAT</w:instrText>
                        </w:r>
                        <w:r>
                          <w:fldChar w:fldCharType="separate"/>
                        </w:r>
                        <w:r>
                          <w:rPr>
                            <w:lang w:val="zh-CN"/>
                          </w:rPr>
                          <w:t>15</w:t>
                        </w:r>
                        <w:r>
                          <w:fldChar w:fldCharType="end"/>
                        </w:r>
                      </w:p>
                    </w:sdtContent>
                  </w:sdt>
                  <w:p w14:paraId="2FC4C91D">
                    <w:pPr>
                      <w:pStyle w:val="3"/>
                    </w:pPr>
                  </w:p>
                </w:txbxContent>
              </v:textbox>
            </v:shape>
          </w:pict>
        </mc:Fallback>
      </mc:AlternateContent>
    </w:r>
  </w:p>
  <w:p w14:paraId="5472452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35886">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6EA9D">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96EA9D">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D826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CACBA"/>
    <w:multiLevelType w:val="singleLevel"/>
    <w:tmpl w:val="A8BCACBA"/>
    <w:lvl w:ilvl="0" w:tentative="0">
      <w:start w:val="1"/>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818A09A"/>
    <w:multiLevelType w:val="singleLevel"/>
    <w:tmpl w:val="3818A09A"/>
    <w:lvl w:ilvl="0" w:tentative="0">
      <w:start w:val="1"/>
      <w:numFmt w:val="chineseCounting"/>
      <w:suff w:val="nothing"/>
      <w:lvlText w:val="%1、"/>
      <w:lvlJc w:val="left"/>
      <w:rPr>
        <w:rFonts w:hint="eastAsi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yZTZjOGJjZjAxZTcxYjZlNjU0MTY3NmVkNTliMj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6F2E97"/>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91469E8"/>
    <w:rsid w:val="0A2032A3"/>
    <w:rsid w:val="0A6D1D1C"/>
    <w:rsid w:val="0B8A37D8"/>
    <w:rsid w:val="0F5FFB2F"/>
    <w:rsid w:val="0FFFCF60"/>
    <w:rsid w:val="10C055FF"/>
    <w:rsid w:val="118107EC"/>
    <w:rsid w:val="11DD6519"/>
    <w:rsid w:val="16BB723D"/>
    <w:rsid w:val="18015F3F"/>
    <w:rsid w:val="1BE8440E"/>
    <w:rsid w:val="1D155CEE"/>
    <w:rsid w:val="1FDBBF84"/>
    <w:rsid w:val="20057523"/>
    <w:rsid w:val="20F57F95"/>
    <w:rsid w:val="240371BF"/>
    <w:rsid w:val="25711CC6"/>
    <w:rsid w:val="25C741E6"/>
    <w:rsid w:val="276F80C0"/>
    <w:rsid w:val="27842671"/>
    <w:rsid w:val="293E7377"/>
    <w:rsid w:val="29FD04D3"/>
    <w:rsid w:val="2ABE7A3E"/>
    <w:rsid w:val="2AFF09B6"/>
    <w:rsid w:val="2B5710ED"/>
    <w:rsid w:val="2CA234A8"/>
    <w:rsid w:val="2EFA178C"/>
    <w:rsid w:val="2EFDF86C"/>
    <w:rsid w:val="2F9D17E1"/>
    <w:rsid w:val="30B46D73"/>
    <w:rsid w:val="319F7F4E"/>
    <w:rsid w:val="32E67D6E"/>
    <w:rsid w:val="34C17789"/>
    <w:rsid w:val="356A28F1"/>
    <w:rsid w:val="357C035A"/>
    <w:rsid w:val="358838F4"/>
    <w:rsid w:val="368E000D"/>
    <w:rsid w:val="37D56B99"/>
    <w:rsid w:val="383D272C"/>
    <w:rsid w:val="39AE70AB"/>
    <w:rsid w:val="3A4DCE41"/>
    <w:rsid w:val="3BCB56FA"/>
    <w:rsid w:val="3C0C0783"/>
    <w:rsid w:val="3EE7C2F4"/>
    <w:rsid w:val="3F010273"/>
    <w:rsid w:val="3F371B56"/>
    <w:rsid w:val="3F792ED8"/>
    <w:rsid w:val="3F9F3A96"/>
    <w:rsid w:val="3FECA4B2"/>
    <w:rsid w:val="3FF58C48"/>
    <w:rsid w:val="42FF6694"/>
    <w:rsid w:val="441E44BB"/>
    <w:rsid w:val="484345EC"/>
    <w:rsid w:val="48BF60AB"/>
    <w:rsid w:val="493C27E9"/>
    <w:rsid w:val="496F39ED"/>
    <w:rsid w:val="49FF41D3"/>
    <w:rsid w:val="4BE068DB"/>
    <w:rsid w:val="4BF6002B"/>
    <w:rsid w:val="4BFFC6BE"/>
    <w:rsid w:val="4CA02D9B"/>
    <w:rsid w:val="4ECE2238"/>
    <w:rsid w:val="4EE65A17"/>
    <w:rsid w:val="4F723101"/>
    <w:rsid w:val="51DB4B86"/>
    <w:rsid w:val="51F64DB0"/>
    <w:rsid w:val="55333C3E"/>
    <w:rsid w:val="5A8913F1"/>
    <w:rsid w:val="5B326DFE"/>
    <w:rsid w:val="5F67802D"/>
    <w:rsid w:val="5F7DC4F2"/>
    <w:rsid w:val="5FB36814"/>
    <w:rsid w:val="5FBB8E56"/>
    <w:rsid w:val="5FFB5535"/>
    <w:rsid w:val="61E97730"/>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21903"/>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Normal Indent"/>
    <w:basedOn w:val="1"/>
    <w:unhideWhenUsed/>
    <w:qFormat/>
    <w:uiPriority w:val="99"/>
    <w:pPr>
      <w:ind w:firstLine="680"/>
    </w:pPr>
  </w:style>
  <w:style w:type="paragraph" w:styleId="9">
    <w:name w:val="Body Text"/>
    <w:basedOn w:val="1"/>
    <w:link w:val="27"/>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Plain Text"/>
    <w:basedOn w:val="1"/>
    <w:qFormat/>
    <w:uiPriority w:val="0"/>
    <w:rPr>
      <w:rFonts w:ascii="宋体" w:hAnsi="Courier New"/>
      <w:sz w:val="21"/>
      <w:szCs w:val="20"/>
    </w:rPr>
  </w:style>
  <w:style w:type="paragraph" w:styleId="12">
    <w:name w:val="Balloon Text"/>
    <w:basedOn w:val="1"/>
    <w:link w:val="33"/>
    <w:semiHidden/>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9"/>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5"/>
    <w:qFormat/>
    <w:uiPriority w:val="9"/>
    <w:rPr>
      <w:rFonts w:ascii="Times New Roman" w:hAnsi="Times New Roman"/>
      <w:b/>
      <w:bCs/>
      <w:kern w:val="44"/>
      <w:sz w:val="44"/>
      <w:szCs w:val="44"/>
    </w:rPr>
  </w:style>
  <w:style w:type="character" w:customStyle="1" w:styleId="31">
    <w:name w:val="标题 2 字符"/>
    <w:basedOn w:val="18"/>
    <w:link w:val="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2"/>
    <w:semiHidden/>
    <w:qFormat/>
    <w:uiPriority w:val="99"/>
    <w:rPr>
      <w:rFonts w:ascii="Times New Roman" w:hAnsi="Times New Roman"/>
      <w:kern w:val="2"/>
      <w:sz w:val="18"/>
      <w:szCs w:val="18"/>
    </w:rPr>
  </w:style>
  <w:style w:type="character" w:customStyle="1" w:styleId="34">
    <w:name w:val="标题 3 字符"/>
    <w:basedOn w:val="18"/>
    <w:link w:val="7"/>
    <w:qFormat/>
    <w:uiPriority w:val="9"/>
    <w:rPr>
      <w:rFonts w:ascii="Times New Roman" w:hAnsi="Times New Roman"/>
      <w:b/>
      <w:bCs/>
      <w:kern w:val="2"/>
      <w:sz w:val="32"/>
      <w:szCs w:val="32"/>
    </w:rPr>
  </w:style>
  <w:style w:type="paragraph" w:customStyle="1" w:styleId="35">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收、支决算总计变动情况图</a:t>
            </a:r>
            <a:endParaRPr sz="1800"/>
          </a:p>
        </c:rich>
      </c:tx>
      <c:layout/>
      <c:overlay val="0"/>
      <c:spPr>
        <a:noFill/>
        <a:ln>
          <a:noFill/>
        </a:ln>
        <a:effectLst/>
      </c:spPr>
    </c:title>
    <c:autoTitleDeleted val="0"/>
    <c:plotArea>
      <c:layout>
        <c:manualLayout>
          <c:layoutTarget val="inner"/>
          <c:xMode val="edge"/>
          <c:yMode val="edge"/>
          <c:x val="0.102198598695337"/>
          <c:y val="0.207736943907157"/>
          <c:w val="0.775187243295482"/>
          <c:h val="0.570096711798839"/>
        </c:manualLayout>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2023年</c:v>
                </c:pt>
              </c:strCache>
            </c:strRef>
          </c:cat>
          <c:val>
            <c:numRef>
              <c:f>Sheet1!$B$2:$B$5</c:f>
              <c:numCache>
                <c:formatCode>General</c:formatCode>
                <c:ptCount val="4"/>
              </c:numCache>
            </c:numRef>
          </c:val>
        </c:ser>
        <c:ser>
          <c:idx val="1"/>
          <c:order val="1"/>
          <c:tx>
            <c:strRef>
              <c:f>Sheet1!$C$1</c:f>
              <c:strCache>
                <c:ptCount val="1"/>
                <c:pt idx="0">
                  <c:v>收入</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2023年</c:v>
                </c:pt>
              </c:strCache>
            </c:strRef>
          </c:cat>
          <c:val>
            <c:numRef>
              <c:f>Sheet1!$C$2:$C$5</c:f>
              <c:numCache>
                <c:formatCode>General</c:formatCode>
                <c:ptCount val="4"/>
                <c:pt idx="1">
                  <c:v>268.97</c:v>
                </c:pt>
                <c:pt idx="2">
                  <c:v>252.33</c:v>
                </c:pt>
              </c:numCache>
            </c:numRef>
          </c:val>
        </c:ser>
        <c:ser>
          <c:idx val="2"/>
          <c:order val="2"/>
          <c:tx>
            <c:strRef>
              <c:f>Sheet1!$D$1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2023年</c:v>
                </c:pt>
              </c:strCache>
            </c:strRef>
          </c:cat>
          <c:val>
            <c:numRef>
              <c:f>Sheet1!$D$2:$D$5</c:f>
              <c:numCache>
                <c:formatCode>General</c:formatCode>
                <c:ptCount val="4"/>
                <c:pt idx="1">
                  <c:v>268.97</c:v>
                </c:pt>
                <c:pt idx="2">
                  <c:v>252.33</c:v>
                </c:pt>
              </c:numCache>
            </c:numRef>
          </c:val>
        </c:ser>
        <c:dLbls>
          <c:showLegendKey val="0"/>
          <c:showVal val="1"/>
          <c:showCatName val="0"/>
          <c:showSerName val="0"/>
          <c:showPercent val="0"/>
          <c:showBubbleSize val="0"/>
        </c:dLbls>
        <c:gapWidth val="0"/>
        <c:overlap val="-21"/>
        <c:axId val="567384219"/>
        <c:axId val="259424943"/>
      </c:barChart>
      <c:catAx>
        <c:axId val="567384219"/>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t>单位：万元</a:t>
                </a:r>
                <a:endParaRPr b="1"/>
              </a:p>
            </c:rich>
          </c:tx>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9424943"/>
        <c:crosses val="autoZero"/>
        <c:auto val="1"/>
        <c:lblAlgn val="ctr"/>
        <c:lblOffset val="100"/>
        <c:noMultiLvlLbl val="0"/>
      </c:catAx>
      <c:valAx>
        <c:axId val="259424943"/>
        <c:scaling>
          <c:orientation val="minMax"/>
          <c:max val="300"/>
          <c:min val="0"/>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384219"/>
        <c:crosses val="autoZero"/>
        <c:crossBetween val="between"/>
      </c:valAx>
      <c:spPr>
        <a:solidFill>
          <a:schemeClr val="accent3">
            <a:lumMod val="40000"/>
            <a:lumOff val="60000"/>
          </a:schemeClr>
        </a:solidFill>
        <a:ln>
          <a:noFill/>
        </a:ln>
        <a:effectLst/>
      </c:spPr>
    </c:plotArea>
    <c:legend>
      <c:legendPos val="t"/>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94fe8e6-41da-4f4d-8188-411f918b16a8}"/>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收入决算结构图</a:t>
            </a:r>
            <a:endParaRPr sz="180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rgbClr val="FFFF00"/>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212.98</c:v>
                </c:pt>
                <c:pt idx="7">
                  <c:v>55.99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acf2e54-0022-49d1-995b-b2a85852470f}"/>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{2073902.04,0,0,0,0}</c:f>
              <c:numCache>
                <c:formatCode>General</c:formatCode>
                <c:ptCount val="5"/>
                <c:pt idx="0">
                  <c:v>2073902.04</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652a18a5-1ec1-4bf0-95c1-0fe9e2dff96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baseline="0">
                <a:solidFill>
                  <a:schemeClr val="tx1">
                    <a:lumMod val="75000"/>
                    <a:lumOff val="25000"/>
                  </a:schemeClr>
                </a:solidFill>
                <a:latin typeface="+mn-lt"/>
                <a:ea typeface="+mn-ea"/>
                <a:cs typeface="+mn-cs"/>
              </a:defRPr>
            </a:pPr>
            <a:r>
              <a:rPr sz="1800"/>
              <a:t>财政拨款收、支决算总计变动情况</a:t>
            </a:r>
            <a:endParaRPr sz="18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1">
                  <c:v>2023年</c:v>
                </c:pt>
                <c:pt idx="2">
                  <c:v>2024年</c:v>
                </c:pt>
              </c:strCache>
            </c:strRef>
          </c:cat>
          <c:val>
            <c:numRef>
              <c:f>Sheet1!$B$2:$B$5</c:f>
              <c:numCache>
                <c:formatCode>General</c:formatCode>
                <c:ptCount val="4"/>
              </c:numCache>
            </c:numRef>
          </c:val>
        </c:ser>
        <c:ser>
          <c:idx val="1"/>
          <c:order val="1"/>
          <c:tx>
            <c:strRef>
              <c:f>Sheet1!$C$1</c:f>
              <c:strCache>
                <c:ptCount val="1"/>
                <c:pt idx="0">
                  <c:v>收入</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1">
                  <c:v>2023年</c:v>
                </c:pt>
                <c:pt idx="2">
                  <c:v>2024年</c:v>
                </c:pt>
              </c:strCache>
            </c:strRef>
          </c:cat>
          <c:val>
            <c:numRef>
              <c:f>Sheet1!$C$2:$C$5</c:f>
              <c:numCache>
                <c:formatCode>General</c:formatCode>
                <c:ptCount val="4"/>
                <c:pt idx="1">
                  <c:v>206.33</c:v>
                </c:pt>
                <c:pt idx="2">
                  <c:v>212.98</c:v>
                </c:pt>
              </c:numCache>
            </c:numRef>
          </c:val>
        </c:ser>
        <c:ser>
          <c:idx val="2"/>
          <c:order val="2"/>
          <c:tx>
            <c:strRef>
              <c:f>Sheet1!$D$1</c:f>
              <c:strCache>
                <c:ptCount val="1"/>
                <c:pt idx="0">
                  <c:v>支出</c:v>
                </c:pt>
              </c:strCache>
            </c:strRef>
          </c:tx>
          <c:spPr>
            <a:solidFill>
              <a:srgbClr val="00B0F0"/>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1">
                  <c:v>2023年</c:v>
                </c:pt>
                <c:pt idx="2">
                  <c:v>2024年</c:v>
                </c:pt>
              </c:strCache>
            </c:strRef>
          </c:cat>
          <c:val>
            <c:numRef>
              <c:f>Sheet1!$D$2:$D$5</c:f>
              <c:numCache>
                <c:formatCode>General</c:formatCode>
                <c:ptCount val="4"/>
                <c:pt idx="1">
                  <c:v>206.33</c:v>
                </c:pt>
                <c:pt idx="2">
                  <c:v>212.98</c:v>
                </c:pt>
              </c:numCache>
            </c:numRef>
          </c:val>
        </c:ser>
        <c:dLbls>
          <c:showLegendKey val="0"/>
          <c:showVal val="1"/>
          <c:showCatName val="0"/>
          <c:showSerName val="0"/>
          <c:showPercent val="0"/>
          <c:showBubbleSize val="0"/>
        </c:dLbls>
        <c:gapWidth val="0"/>
        <c:overlap val="-4"/>
        <c:axId val="825485007"/>
        <c:axId val="530175290"/>
      </c:barChart>
      <c:catAx>
        <c:axId val="825485007"/>
        <c:scaling>
          <c:orientation val="minMax"/>
        </c:scaling>
        <c:delete val="0"/>
        <c:axPos val="b"/>
        <c:title>
          <c:tx>
            <c:rich>
              <a:bodyPr rot="0" spcFirstLastPara="0" vertOverflow="ellipsis" vert="horz" wrap="square" anchor="ctr" anchorCtr="1"/>
              <a:lstStyle/>
              <a:p>
                <a:pPr defTabSz="914400">
                  <a:defRPr lang="zh-CN" sz="900" b="1" i="0" u="none" strike="noStrike" kern="1200" baseline="0">
                    <a:solidFill>
                      <a:schemeClr val="tx1">
                        <a:lumMod val="65000"/>
                        <a:lumOff val="35000"/>
                      </a:schemeClr>
                    </a:solidFill>
                    <a:latin typeface="+mn-lt"/>
                    <a:ea typeface="+mn-ea"/>
                    <a:cs typeface="+mn-cs"/>
                  </a:defRPr>
                </a:pPr>
                <a:r>
                  <a:rPr sz="900" b="1"/>
                  <a:t>单位：万元</a:t>
                </a:r>
                <a:endParaRPr sz="900"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0175290"/>
        <c:crosses val="autoZero"/>
        <c:auto val="1"/>
        <c:lblAlgn val="ctr"/>
        <c:lblOffset val="100"/>
        <c:noMultiLvlLbl val="0"/>
      </c:catAx>
      <c:valAx>
        <c:axId val="530175290"/>
        <c:scaling>
          <c:orientation val="minMax"/>
          <c:max val="250"/>
          <c:min val="0"/>
        </c:scaling>
        <c:delete val="1"/>
        <c:axPos val="l"/>
        <c:majorGridlines>
          <c:spPr>
            <a:ln w="9525" cap="flat" cmpd="sng" algn="ctr">
              <a:solidFill>
                <a:schemeClr val="accent1"/>
              </a:solidFill>
              <a:prstDash val="dash"/>
              <a:round/>
            </a:ln>
            <a:effectLst/>
            <a:sp3d>
              <a:extrusionClr>
                <a:srgbClr val="FFFFFF"/>
              </a:extrusionClr>
              <a:contourClr>
                <a:srgbClr val="FFFFFF"/>
              </a:contourClr>
            </a:sp3d>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5485007"/>
        <c:crosses val="autoZero"/>
        <c:crossBetween val="between"/>
      </c:valAx>
      <c:spPr>
        <a:solidFill>
          <a:schemeClr val="accent3">
            <a:lumMod val="40000"/>
            <a:lumOff val="60000"/>
          </a:schemeClr>
        </a:solidFill>
        <a:ln>
          <a:noFill/>
        </a:ln>
        <a:effectLst/>
      </c:spPr>
    </c:plotArea>
    <c:legend>
      <c:legendPos val="t"/>
      <c:legendEntry>
        <c:idx val="0"/>
        <c:delete val="1"/>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408552790529113"/>
          <c:y val="0.15469613259668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cf4982f-a8e9-47a0-b2ec-90c231ed90b7}"/>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一般公共预算财政拨款支出</a:t>
            </a:r>
            <a:endParaRPr sz="18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2">
                  <c:v>单位</c:v>
                </c:pt>
              </c:strCache>
            </c:strRef>
          </c:cat>
          <c:val>
            <c:numRef>
              <c:f>Sheet1!$B$2:$B$5</c:f>
              <c:numCache>
                <c:formatCode>General</c:formatCode>
                <c:ptCount val="4"/>
                <c:pt idx="1">
                  <c:v>206.33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2">
                  <c:v>单位</c:v>
                </c:pt>
              </c:strCache>
            </c:strRef>
          </c:cat>
          <c:val>
            <c:numRef>
              <c:f>Sheet1!$C$2:$C$5</c:f>
              <c:numCache>
                <c:formatCode>General</c:formatCode>
                <c:ptCount val="4"/>
                <c:pt idx="2">
                  <c:v>212.98</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2">
                  <c:v>单位</c:v>
                </c:pt>
              </c:strCache>
            </c:strRef>
          </c:cat>
          <c:val>
            <c:numRef>
              <c:f>Sheet1!$D$2:$D$5</c:f>
              <c:numCache>
                <c:formatCode>General</c:formatCode>
                <c:ptCount val="4"/>
              </c:numCache>
            </c:numRef>
          </c:val>
        </c:ser>
        <c:dLbls>
          <c:showLegendKey val="0"/>
          <c:showVal val="1"/>
          <c:showCatName val="0"/>
          <c:showSerName val="0"/>
          <c:showPercent val="0"/>
          <c:showBubbleSize val="0"/>
        </c:dLbls>
        <c:gapWidth val="0"/>
        <c:overlap val="50"/>
        <c:axId val="244318344"/>
        <c:axId val="515761101"/>
      </c:barChart>
      <c:catAx>
        <c:axId val="244318344"/>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t>单位：万元</a:t>
                </a:r>
                <a:endParaRPr b="1"/>
              </a:p>
            </c:rich>
          </c:tx>
          <c:layout>
            <c:manualLayout>
              <c:xMode val="edge"/>
              <c:yMode val="edge"/>
              <c:x val="0.410787629862286"/>
              <c:y val="0.858478538036549"/>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5761101"/>
        <c:crosses val="autoZero"/>
        <c:auto val="1"/>
        <c:lblAlgn val="ctr"/>
        <c:lblOffset val="100"/>
        <c:noMultiLvlLbl val="0"/>
      </c:catAx>
      <c:valAx>
        <c:axId val="515761101"/>
        <c:scaling>
          <c:orientation val="minMax"/>
          <c:max val="250"/>
          <c:min val="0"/>
        </c:scaling>
        <c:delete val="1"/>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4318344"/>
        <c:crosses val="autoZero"/>
        <c:crossBetween val="between"/>
      </c:valAx>
      <c:spPr>
        <a:solidFill>
          <a:schemeClr val="accent3">
            <a:lumMod val="40000"/>
            <a:lumOff val="60000"/>
          </a:schemeClr>
        </a:solidFill>
        <a:ln>
          <a:noFill/>
        </a:ln>
        <a:effectLst/>
      </c:spPr>
    </c:plotArea>
    <c:legend>
      <c:legendPos val="t"/>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407941a-0d44-47d1-8ea4-dac21139ffd7}"/>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一般公共预算财政拨款支出</a:t>
            </a:r>
            <a:endParaRPr sz="180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节能环保支出</c:v>
                </c:pt>
                <c:pt idx="3">
                  <c:v>住房保障支出</c:v>
                </c:pt>
              </c:strCache>
            </c:strRef>
          </c:cat>
          <c:val>
            <c:numRef>
              <c:f>Sheet1!$B$2:$B$5</c:f>
              <c:numCache>
                <c:formatCode>General</c:formatCode>
                <c:ptCount val="4"/>
                <c:pt idx="0">
                  <c:v>36.27</c:v>
                </c:pt>
                <c:pt idx="1">
                  <c:v>14.61</c:v>
                </c:pt>
                <c:pt idx="2">
                  <c:v>141.79</c:v>
                </c:pt>
                <c:pt idx="3">
                  <c:v>20.31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4e7aa5-4601-4bc1-abf3-50e6a1ced4a6}"/>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lumMod val="75000"/>
                    <a:lumOff val="25000"/>
                  </a:schemeClr>
                </a:solidFill>
                <a:latin typeface="+mn-lt"/>
                <a:ea typeface="+mn-ea"/>
                <a:cs typeface="+mn-cs"/>
              </a:defRPr>
            </a:pPr>
            <a:r>
              <a:rPr sz="1800"/>
              <a:t>三公经费</a:t>
            </a:r>
            <a:endParaRPr sz="1800"/>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5818ab-5286-47e3-8400-25a6fdd447c1}"/>
      </c:ext>
    </c:extLst>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5339</Words>
  <Characters>5772</Characters>
  <Lines>54</Lines>
  <Paragraphs>15</Paragraphs>
  <TotalTime>9</TotalTime>
  <ScaleCrop>false</ScaleCrop>
  <LinksUpToDate>false</LinksUpToDate>
  <CharactersWithSpaces>5853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杨梵圳</cp:lastModifiedBy>
  <cp:lastPrinted>2024-09-11T02:03:00Z</cp:lastPrinted>
  <dcterms:modified xsi:type="dcterms:W3CDTF">2025-09-17T10:54:06Z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D478780637A54AFB84C612FDCB034FFF_13</vt:lpwstr>
  </property>
  <property fmtid="{D5CDD505-2E9C-101B-9397-08002B2CF9AE}" pid="4" name="KSOTemplateDocerSaveRecord">
    <vt:lpwstr>eyJoZGlkIjoiZDFjYjRlNTg1NTY3MGY2MzU0MDk3YTNkMjY2MGEwMjAiLCJ1c2VySWQiOiIyOTM0MTQ4NDkifQ==</vt:lpwstr>
  </property>
</Properties>
</file>