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E14C0"/>
    <w:p w14:paraId="00D8CC75">
      <w:pPr>
        <w:ind w:left="0" w:leftChars="0" w:firstLine="0" w:firstLineChars="0"/>
      </w:pPr>
    </w:p>
    <w:p w14:paraId="5F9C9E18">
      <w:pPr>
        <w:ind w:firstLine="1050" w:firstLineChars="500"/>
      </w:pPr>
    </w:p>
    <w:p w14:paraId="0CAE41CE">
      <w:pPr>
        <w:ind w:firstLine="1050" w:firstLineChars="500"/>
      </w:pPr>
    </w:p>
    <w:p w14:paraId="15B15429">
      <w:pPr>
        <w:ind w:firstLine="1760" w:firstLineChars="400"/>
        <w:rPr>
          <w:rFonts w:ascii="黑体" w:eastAsia="黑体"/>
          <w:sz w:val="44"/>
          <w:szCs w:val="44"/>
        </w:rPr>
      </w:pPr>
    </w:p>
    <w:p w14:paraId="62DF5D07">
      <w:pPr>
        <w:ind w:firstLine="1760" w:firstLineChars="400"/>
        <w:rPr>
          <w:rFonts w:ascii="黑体" w:eastAsia="黑体"/>
          <w:sz w:val="44"/>
          <w:szCs w:val="44"/>
        </w:rPr>
      </w:pPr>
    </w:p>
    <w:p w14:paraId="4CF2ABC7">
      <w:pPr>
        <w:bidi w:val="0"/>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阿坝藏族羌族自治州汶川生态环境局</w:t>
      </w:r>
    </w:p>
    <w:p w14:paraId="4754458F">
      <w:pPr>
        <w:bidi w:val="0"/>
        <w:jc w:val="center"/>
        <w:rPr>
          <w:rFonts w:hint="eastAsia" w:ascii="黑体" w:hAnsi="黑体" w:eastAsia="黑体" w:cs="黑体"/>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5</w:t>
      </w:r>
      <w:r>
        <w:rPr>
          <w:rFonts w:hint="eastAsia" w:ascii="黑体" w:hAnsi="黑体" w:eastAsia="黑体" w:cs="黑体"/>
          <w:sz w:val="44"/>
          <w:szCs w:val="44"/>
        </w:rPr>
        <w:t>年部门预算</w:t>
      </w:r>
    </w:p>
    <w:p w14:paraId="0F0389A2">
      <w:pPr>
        <w:ind w:firstLine="1760" w:firstLineChars="400"/>
        <w:rPr>
          <w:rFonts w:ascii="黑体" w:eastAsia="黑体"/>
          <w:sz w:val="44"/>
          <w:szCs w:val="44"/>
        </w:rPr>
      </w:pPr>
    </w:p>
    <w:p w14:paraId="711E1332">
      <w:pPr>
        <w:ind w:firstLine="1760" w:firstLineChars="400"/>
        <w:rPr>
          <w:rFonts w:ascii="黑体" w:eastAsia="黑体"/>
          <w:sz w:val="44"/>
          <w:szCs w:val="44"/>
        </w:rPr>
      </w:pPr>
    </w:p>
    <w:p w14:paraId="2F1222BD">
      <w:pPr>
        <w:ind w:firstLine="1760" w:firstLineChars="400"/>
        <w:rPr>
          <w:rFonts w:ascii="黑体" w:eastAsia="黑体"/>
          <w:sz w:val="44"/>
          <w:szCs w:val="44"/>
        </w:rPr>
      </w:pPr>
    </w:p>
    <w:p w14:paraId="1892E347">
      <w:pPr>
        <w:ind w:firstLine="1760" w:firstLineChars="400"/>
        <w:rPr>
          <w:rFonts w:ascii="黑体" w:eastAsia="黑体"/>
          <w:sz w:val="44"/>
          <w:szCs w:val="44"/>
        </w:rPr>
      </w:pPr>
    </w:p>
    <w:p w14:paraId="103E6CDC">
      <w:pPr>
        <w:ind w:firstLine="1760" w:firstLineChars="400"/>
        <w:rPr>
          <w:rFonts w:ascii="黑体" w:eastAsia="黑体"/>
          <w:sz w:val="44"/>
          <w:szCs w:val="44"/>
        </w:rPr>
      </w:pPr>
    </w:p>
    <w:p w14:paraId="22236EC6">
      <w:pPr>
        <w:ind w:firstLine="1760" w:firstLineChars="400"/>
        <w:rPr>
          <w:rFonts w:ascii="黑体" w:eastAsia="黑体"/>
          <w:sz w:val="44"/>
          <w:szCs w:val="44"/>
        </w:rPr>
      </w:pPr>
    </w:p>
    <w:p w14:paraId="587771DF">
      <w:pPr>
        <w:ind w:firstLine="1760" w:firstLineChars="400"/>
        <w:rPr>
          <w:rFonts w:ascii="黑体" w:eastAsia="黑体"/>
          <w:sz w:val="44"/>
          <w:szCs w:val="44"/>
        </w:rPr>
      </w:pPr>
    </w:p>
    <w:p w14:paraId="653541EF">
      <w:pPr>
        <w:ind w:firstLine="1760" w:firstLineChars="400"/>
        <w:rPr>
          <w:rFonts w:ascii="黑体" w:eastAsia="黑体"/>
          <w:sz w:val="44"/>
          <w:szCs w:val="44"/>
        </w:rPr>
      </w:pPr>
    </w:p>
    <w:p w14:paraId="435C66DB">
      <w:pPr>
        <w:ind w:firstLine="1760" w:firstLineChars="400"/>
        <w:rPr>
          <w:rFonts w:ascii="黑体" w:eastAsia="黑体"/>
          <w:sz w:val="44"/>
          <w:szCs w:val="44"/>
        </w:rPr>
      </w:pPr>
    </w:p>
    <w:p w14:paraId="51F60505">
      <w:pPr>
        <w:ind w:firstLine="1760" w:firstLineChars="400"/>
        <w:rPr>
          <w:rFonts w:ascii="黑体" w:eastAsia="黑体"/>
          <w:sz w:val="44"/>
          <w:szCs w:val="44"/>
        </w:rPr>
      </w:pPr>
    </w:p>
    <w:p w14:paraId="475AADDA">
      <w:pPr>
        <w:ind w:firstLine="1760" w:firstLineChars="400"/>
        <w:rPr>
          <w:rFonts w:ascii="黑体" w:eastAsia="黑体"/>
          <w:sz w:val="44"/>
          <w:szCs w:val="44"/>
        </w:rPr>
      </w:pPr>
    </w:p>
    <w:p w14:paraId="47523ECC">
      <w:pPr>
        <w:ind w:firstLine="1760" w:firstLineChars="400"/>
        <w:rPr>
          <w:rFonts w:ascii="黑体" w:eastAsia="黑体"/>
          <w:sz w:val="44"/>
          <w:szCs w:val="44"/>
        </w:rPr>
      </w:pPr>
    </w:p>
    <w:p w14:paraId="22C3758E">
      <w:pPr>
        <w:pStyle w:val="12"/>
        <w:keepNext w:val="0"/>
        <w:keepLines w:val="0"/>
        <w:widowControl/>
        <w:suppressLineNumbers w:val="0"/>
        <w:jc w:val="center"/>
        <w:rPr>
          <w:rFonts w:ascii="仿宋_GB2312" w:eastAsia="仿宋_GB2312" w:cs="仿宋_GB2312"/>
          <w:color w:val="000000"/>
          <w:sz w:val="31"/>
          <w:szCs w:val="31"/>
        </w:rPr>
      </w:pPr>
      <w:r>
        <w:rPr>
          <w:rFonts w:ascii="仿宋_GB2312" w:eastAsia="仿宋_GB2312" w:cs="仿宋_GB2312"/>
          <w:color w:val="000000"/>
          <w:sz w:val="31"/>
          <w:szCs w:val="31"/>
        </w:rPr>
        <w:t>已经审查、内容审定，同意对外公开</w:t>
      </w:r>
    </w:p>
    <w:p w14:paraId="2EA2F42C">
      <w:pPr>
        <w:pStyle w:val="12"/>
        <w:keepNext w:val="0"/>
        <w:keepLines w:val="0"/>
        <w:widowControl/>
        <w:suppressLineNumbers w:val="0"/>
        <w:jc w:val="center"/>
        <w:rPr>
          <w:rFonts w:hint="default"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2025年2月20日</w:t>
      </w:r>
    </w:p>
    <w:p w14:paraId="59FDFDC1">
      <w:pPr>
        <w:rPr>
          <w:rFonts w:ascii="黑体" w:eastAsia="黑体"/>
          <w:sz w:val="44"/>
          <w:szCs w:val="44"/>
        </w:rPr>
      </w:pPr>
      <w:r>
        <w:rPr>
          <w:rFonts w:ascii="黑体" w:eastAsia="黑体"/>
          <w:sz w:val="44"/>
          <w:szCs w:val="44"/>
        </w:rPr>
        <w:br w:type="page"/>
      </w:r>
    </w:p>
    <w:p w14:paraId="7C8F079B">
      <w:pPr>
        <w:pStyle w:val="2"/>
      </w:pPr>
    </w:p>
    <w:sdt>
      <w:sdtPr>
        <w:rPr>
          <w:rFonts w:ascii="宋体" w:hAnsi="宋体" w:eastAsia="宋体" w:cs="Times New Roman"/>
          <w:kern w:val="2"/>
          <w:sz w:val="21"/>
          <w:szCs w:val="22"/>
          <w:lang w:val="en-US" w:eastAsia="zh-CN" w:bidi="ar-SA"/>
        </w:rPr>
        <w:id w:val="147483601"/>
        <w15:color w:val="DBDBDB"/>
        <w:docPartObj>
          <w:docPartGallery w:val="Table of Contents"/>
          <w:docPartUnique/>
        </w:docPartObj>
      </w:sdtPr>
      <w:sdtEndPr>
        <w:rPr>
          <w:rFonts w:hint="eastAsia" w:ascii="仿宋" w:hAnsi="仿宋" w:eastAsia="仿宋" w:cs="仿宋"/>
          <w:b/>
          <w:sz w:val="24"/>
          <w:szCs w:val="24"/>
        </w:rPr>
      </w:sdtEndPr>
      <w:sdtContent>
        <w:p w14:paraId="5B280FD8">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2955B687">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"1-2"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_Toc17068 </w:instrText>
          </w:r>
          <w:r>
            <w:rPr>
              <w:rFonts w:hint="eastAsia" w:ascii="宋体" w:hAnsi="宋体" w:eastAsia="宋体" w:cs="宋体"/>
              <w:sz w:val="28"/>
              <w:szCs w:val="28"/>
            </w:rPr>
            <w:fldChar w:fldCharType="separate"/>
          </w:r>
          <w:r>
            <w:rPr>
              <w:rFonts w:hint="eastAsia" w:ascii="宋体" w:hAnsi="宋体" w:eastAsia="宋体" w:cs="宋体"/>
              <w:sz w:val="28"/>
              <w:szCs w:val="28"/>
            </w:rPr>
            <w:t>一、基本职能及主要工作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_Toc17068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B64CE28">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_Toc19414 </w:instrText>
          </w:r>
          <w:r>
            <w:rPr>
              <w:rFonts w:hint="eastAsia" w:ascii="宋体" w:hAnsi="宋体" w:eastAsia="宋体" w:cs="宋体"/>
              <w:sz w:val="28"/>
              <w:szCs w:val="28"/>
            </w:rPr>
            <w:fldChar w:fldCharType="separate"/>
          </w:r>
          <w:r>
            <w:rPr>
              <w:rFonts w:hint="eastAsia" w:ascii="宋体" w:hAnsi="宋体" w:eastAsia="宋体" w:cs="宋体"/>
              <w:sz w:val="28"/>
              <w:szCs w:val="28"/>
            </w:rPr>
            <w:t>（一）部门职能简介</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_Toc19414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49BF998">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_Toc14459 </w:instrText>
          </w:r>
          <w:r>
            <w:rPr>
              <w:rFonts w:hint="eastAsia" w:ascii="宋体" w:hAnsi="宋体" w:eastAsia="宋体" w:cs="宋体"/>
              <w:sz w:val="28"/>
              <w:szCs w:val="28"/>
            </w:rPr>
            <w:fldChar w:fldCharType="separate"/>
          </w:r>
          <w:r>
            <w:rPr>
              <w:rFonts w:hint="eastAsia" w:ascii="宋体" w:hAnsi="宋体" w:eastAsia="宋体" w:cs="宋体"/>
              <w:sz w:val="28"/>
              <w:szCs w:val="28"/>
            </w:rPr>
            <w:t>（二）2025年重点工作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_Toc14459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03F68FC">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_Toc25166 </w:instrText>
          </w:r>
          <w:r>
            <w:rPr>
              <w:rFonts w:hint="eastAsia" w:ascii="宋体" w:hAnsi="宋体" w:eastAsia="宋体" w:cs="宋体"/>
              <w:sz w:val="28"/>
              <w:szCs w:val="28"/>
            </w:rPr>
            <w:fldChar w:fldCharType="separate"/>
          </w:r>
          <w:r>
            <w:rPr>
              <w:rFonts w:hint="eastAsia" w:ascii="宋体" w:hAnsi="宋体" w:eastAsia="宋体" w:cs="宋体"/>
              <w:sz w:val="28"/>
              <w:szCs w:val="28"/>
            </w:rPr>
            <w:t>二、 部门预算单位构成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_Toc25166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2FBF4E3">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_Toc15613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三、</w:t>
          </w:r>
          <w:r>
            <w:rPr>
              <w:rFonts w:hint="eastAsia" w:ascii="宋体" w:hAnsi="宋体" w:eastAsia="宋体" w:cs="宋体"/>
              <w:sz w:val="28"/>
              <w:szCs w:val="28"/>
            </w:rPr>
            <w:t>收支预算情况说明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_Toc15613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75FEB97">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_Toc28204 </w:instrText>
          </w:r>
          <w:r>
            <w:rPr>
              <w:rFonts w:hint="eastAsia" w:ascii="宋体" w:hAnsi="宋体" w:eastAsia="宋体" w:cs="宋体"/>
              <w:sz w:val="28"/>
              <w:szCs w:val="28"/>
            </w:rPr>
            <w:fldChar w:fldCharType="separate"/>
          </w:r>
          <w:r>
            <w:rPr>
              <w:rFonts w:hint="eastAsia" w:ascii="宋体" w:hAnsi="宋体" w:eastAsia="宋体" w:cs="宋体"/>
              <w:sz w:val="28"/>
              <w:szCs w:val="28"/>
            </w:rPr>
            <w:t>（一） 收入预算情况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_Toc28204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0100291">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_Toc31194 </w:instrText>
          </w:r>
          <w:r>
            <w:rPr>
              <w:rFonts w:hint="eastAsia" w:ascii="宋体" w:hAnsi="宋体" w:eastAsia="宋体" w:cs="宋体"/>
              <w:sz w:val="28"/>
              <w:szCs w:val="28"/>
            </w:rPr>
            <w:fldChar w:fldCharType="separate"/>
          </w:r>
          <w:r>
            <w:rPr>
              <w:rFonts w:hint="eastAsia" w:ascii="宋体" w:hAnsi="宋体" w:eastAsia="宋体" w:cs="宋体"/>
              <w:sz w:val="28"/>
              <w:szCs w:val="28"/>
            </w:rPr>
            <w:t>（二） 支出预算情况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_Toc31194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FBD7D7D">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_Toc4174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四、</w:t>
          </w:r>
          <w:r>
            <w:rPr>
              <w:rFonts w:hint="eastAsia" w:ascii="宋体" w:hAnsi="宋体" w:eastAsia="宋体" w:cs="宋体"/>
              <w:sz w:val="28"/>
              <w:szCs w:val="28"/>
            </w:rPr>
            <w:t>财政拨款收支预算情况说明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_Toc4174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0FB1720">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_Toc6893 </w:instrText>
          </w:r>
          <w:r>
            <w:rPr>
              <w:rFonts w:hint="eastAsia" w:ascii="宋体" w:hAnsi="宋体" w:eastAsia="宋体" w:cs="宋体"/>
              <w:sz w:val="28"/>
              <w:szCs w:val="28"/>
            </w:rPr>
            <w:fldChar w:fldCharType="separate"/>
          </w:r>
          <w:r>
            <w:rPr>
              <w:rFonts w:hint="eastAsia" w:ascii="宋体" w:hAnsi="宋体" w:eastAsia="宋体" w:cs="宋体"/>
              <w:sz w:val="28"/>
              <w:szCs w:val="28"/>
            </w:rPr>
            <w:t>五、一般公共预算当年拨款情况说明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_Toc6893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F74D787">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_Toc25036 </w:instrText>
          </w:r>
          <w:r>
            <w:rPr>
              <w:rFonts w:hint="eastAsia" w:ascii="宋体" w:hAnsi="宋体" w:eastAsia="宋体" w:cs="宋体"/>
              <w:sz w:val="28"/>
              <w:szCs w:val="28"/>
            </w:rPr>
            <w:fldChar w:fldCharType="separate"/>
          </w:r>
          <w:r>
            <w:rPr>
              <w:rFonts w:hint="eastAsia" w:ascii="宋体" w:hAnsi="宋体" w:eastAsia="宋体" w:cs="宋体"/>
              <w:sz w:val="28"/>
              <w:szCs w:val="28"/>
            </w:rPr>
            <w:t>（一）一般公共预算当年拨款规模变化情况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_Toc25036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5A8F84B">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_Toc9967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（二）一般公共预算当年拨款结构情况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_Toc9967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C4387EC">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_Toc24694 </w:instrText>
          </w:r>
          <w:r>
            <w:rPr>
              <w:rFonts w:hint="eastAsia" w:ascii="宋体" w:hAnsi="宋体" w:eastAsia="宋体" w:cs="宋体"/>
              <w:sz w:val="28"/>
              <w:szCs w:val="28"/>
            </w:rPr>
            <w:fldChar w:fldCharType="separate"/>
          </w:r>
          <w:r>
            <w:rPr>
              <w:rFonts w:hint="eastAsia" w:ascii="宋体" w:hAnsi="宋体" w:eastAsia="宋体" w:cs="宋体"/>
              <w:sz w:val="28"/>
              <w:szCs w:val="28"/>
            </w:rPr>
            <w:t>（三）一般公共预算当年拨款具体使用情况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_Toc24694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0D148A1">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_Toc22141 </w:instrText>
          </w:r>
          <w:r>
            <w:rPr>
              <w:rFonts w:hint="eastAsia" w:ascii="宋体" w:hAnsi="宋体" w:eastAsia="宋体" w:cs="宋体"/>
              <w:sz w:val="28"/>
              <w:szCs w:val="28"/>
            </w:rPr>
            <w:fldChar w:fldCharType="separate"/>
          </w:r>
          <w:r>
            <w:rPr>
              <w:rFonts w:hint="eastAsia" w:ascii="宋体" w:hAnsi="宋体" w:eastAsia="宋体" w:cs="宋体"/>
              <w:sz w:val="28"/>
              <w:szCs w:val="28"/>
            </w:rPr>
            <w:t>六、一般公共预算基本支出情况说明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_Toc22141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8615E04">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_Toc5183 </w:instrText>
          </w:r>
          <w:r>
            <w:rPr>
              <w:rFonts w:hint="eastAsia" w:ascii="宋体" w:hAnsi="宋体" w:eastAsia="宋体" w:cs="宋体"/>
              <w:sz w:val="28"/>
              <w:szCs w:val="28"/>
            </w:rPr>
            <w:fldChar w:fldCharType="separate"/>
          </w:r>
          <w:r>
            <w:rPr>
              <w:rFonts w:hint="eastAsia" w:ascii="宋体" w:hAnsi="宋体" w:eastAsia="宋体" w:cs="宋体"/>
              <w:sz w:val="28"/>
              <w:szCs w:val="28"/>
            </w:rPr>
            <w:t>七、“三公”经费财政拨款预算安排情况说明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_Toc5183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A4470A9">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_Toc9321 </w:instrText>
          </w:r>
          <w:r>
            <w:rPr>
              <w:rFonts w:hint="eastAsia" w:ascii="宋体" w:hAnsi="宋体" w:eastAsia="宋体" w:cs="宋体"/>
              <w:sz w:val="28"/>
              <w:szCs w:val="28"/>
            </w:rPr>
            <w:fldChar w:fldCharType="separate"/>
          </w:r>
          <w:r>
            <w:rPr>
              <w:rFonts w:hint="eastAsia" w:ascii="宋体" w:hAnsi="宋体" w:eastAsia="宋体" w:cs="宋体"/>
              <w:sz w:val="28"/>
              <w:szCs w:val="28"/>
            </w:rPr>
            <w:t>八、政府性基金预算支出情况说明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_Toc9321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B2BBCE4">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_Toc23755 </w:instrText>
          </w:r>
          <w:r>
            <w:rPr>
              <w:rFonts w:hint="eastAsia" w:ascii="宋体" w:hAnsi="宋体" w:eastAsia="宋体" w:cs="宋体"/>
              <w:sz w:val="28"/>
              <w:szCs w:val="28"/>
            </w:rPr>
            <w:fldChar w:fldCharType="separate"/>
          </w:r>
          <w:r>
            <w:rPr>
              <w:rFonts w:hint="eastAsia" w:ascii="宋体" w:hAnsi="宋体" w:eastAsia="宋体" w:cs="宋体"/>
              <w:sz w:val="28"/>
              <w:szCs w:val="28"/>
            </w:rPr>
            <w:t>九、 其他重要事项的情况说明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_Toc23755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88FBB40">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_Toc26995 </w:instrText>
          </w:r>
          <w:r>
            <w:rPr>
              <w:rFonts w:hint="eastAsia" w:ascii="宋体" w:hAnsi="宋体" w:eastAsia="宋体" w:cs="宋体"/>
              <w:sz w:val="28"/>
              <w:szCs w:val="28"/>
            </w:rPr>
            <w:fldChar w:fldCharType="separate"/>
          </w:r>
          <w:r>
            <w:rPr>
              <w:rFonts w:hint="eastAsia" w:ascii="宋体" w:hAnsi="宋体" w:eastAsia="宋体" w:cs="宋体"/>
              <w:sz w:val="28"/>
              <w:szCs w:val="28"/>
            </w:rPr>
            <w:t>（一）机关运行经费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_Toc26995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AD54DBD">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_Toc4295 </w:instrText>
          </w:r>
          <w:r>
            <w:rPr>
              <w:rFonts w:hint="eastAsia" w:ascii="宋体" w:hAnsi="宋体" w:eastAsia="宋体" w:cs="宋体"/>
              <w:sz w:val="28"/>
              <w:szCs w:val="28"/>
            </w:rPr>
            <w:fldChar w:fldCharType="separate"/>
          </w:r>
          <w:r>
            <w:rPr>
              <w:rFonts w:hint="eastAsia" w:ascii="宋体" w:hAnsi="宋体" w:eastAsia="宋体" w:cs="宋体"/>
              <w:sz w:val="28"/>
              <w:szCs w:val="28"/>
            </w:rPr>
            <w:t>（二）政府采购情况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_Toc4295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DBF8F6">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_Toc9942 </w:instrText>
          </w:r>
          <w:r>
            <w:rPr>
              <w:rFonts w:hint="eastAsia" w:ascii="宋体" w:hAnsi="宋体" w:eastAsia="宋体" w:cs="宋体"/>
              <w:sz w:val="28"/>
              <w:szCs w:val="28"/>
            </w:rPr>
            <w:fldChar w:fldCharType="separate"/>
          </w:r>
          <w:r>
            <w:rPr>
              <w:rFonts w:hint="eastAsia" w:ascii="宋体" w:hAnsi="宋体" w:eastAsia="宋体" w:cs="宋体"/>
              <w:sz w:val="28"/>
              <w:szCs w:val="28"/>
            </w:rPr>
            <w:t>（三）国有资产占有使用情况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_Toc9942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18C7148">
          <w:pPr>
            <w:pStyle w:val="11"/>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_Toc9399 </w:instrText>
          </w:r>
          <w:r>
            <w:rPr>
              <w:rFonts w:hint="eastAsia" w:ascii="宋体" w:hAnsi="宋体" w:eastAsia="宋体" w:cs="宋体"/>
              <w:sz w:val="28"/>
              <w:szCs w:val="28"/>
            </w:rPr>
            <w:fldChar w:fldCharType="separate"/>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四</w:t>
          </w:r>
          <w:r>
            <w:rPr>
              <w:rFonts w:hint="eastAsia" w:ascii="宋体" w:hAnsi="宋体" w:eastAsia="宋体" w:cs="宋体"/>
              <w:sz w:val="28"/>
              <w:szCs w:val="28"/>
              <w:lang w:eastAsia="zh-CN"/>
            </w:rPr>
            <w:t>）</w:t>
          </w:r>
          <w:r>
            <w:rPr>
              <w:rFonts w:hint="eastAsia" w:ascii="宋体" w:hAnsi="宋体" w:eastAsia="宋体" w:cs="宋体"/>
              <w:sz w:val="28"/>
              <w:szCs w:val="28"/>
            </w:rPr>
            <w:t>绩效目标设置情况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_Toc9399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158E107">
          <w:pPr>
            <w:pStyle w:val="10"/>
            <w:keepNext w:val="0"/>
            <w:keepLines w:val="0"/>
            <w:pageBreakBefore w:val="0"/>
            <w:tabs>
              <w:tab w:val="right" w:leader="dot" w:pos="8306"/>
            </w:tabs>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_Toc32346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十、</w:t>
          </w:r>
          <w:r>
            <w:rPr>
              <w:rFonts w:hint="eastAsia" w:ascii="宋体" w:hAnsi="宋体" w:eastAsia="宋体" w:cs="宋体"/>
              <w:sz w:val="28"/>
              <w:szCs w:val="28"/>
            </w:rPr>
            <w:t>名称解释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_Toc32346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51D8964">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sz w:val="24"/>
              <w:szCs w:val="24"/>
            </w:rPr>
          </w:pPr>
          <w:r>
            <w:rPr>
              <w:rFonts w:hint="eastAsia" w:ascii="宋体" w:hAnsi="宋体" w:eastAsia="宋体" w:cs="宋体"/>
              <w:sz w:val="28"/>
              <w:szCs w:val="28"/>
            </w:rPr>
            <w:fldChar w:fldCharType="end"/>
          </w:r>
        </w:p>
      </w:sdtContent>
    </w:sdt>
    <w:p w14:paraId="535301C3">
      <w:pPr>
        <w:rPr>
          <w:b/>
        </w:rPr>
      </w:pPr>
    </w:p>
    <w:p w14:paraId="607B773F">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2058B505">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0" w:name="_Toc17068"/>
      <w:r>
        <w:rPr>
          <w:rFonts w:hint="eastAsia"/>
        </w:rPr>
        <w:t>一、基本职能及主要工作</w:t>
      </w:r>
      <w:bookmarkEnd w:id="0"/>
    </w:p>
    <w:p w14:paraId="662E78DC">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1" w:name="_Toc19414"/>
      <w:r>
        <w:rPr>
          <w:rFonts w:hint="eastAsia"/>
        </w:rPr>
        <w:t>（一）部门职能简介</w:t>
      </w:r>
      <w:bookmarkEnd w:id="1"/>
    </w:p>
    <w:p w14:paraId="5FB9191D">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hAnsi="黑体" w:cs="仿宋_GB2312"/>
          <w:sz w:val="32"/>
          <w:szCs w:val="32"/>
          <w:lang w:eastAsia="zh-CN"/>
        </w:rPr>
      </w:pPr>
      <w:r>
        <w:rPr>
          <w:rFonts w:hint="eastAsia" w:ascii="仿宋_GB2312" w:hAnsi="黑体" w:eastAsia="仿宋_GB2312" w:cs="仿宋_GB2312"/>
          <w:sz w:val="32"/>
          <w:szCs w:val="32"/>
        </w:rPr>
        <w:t>负责建立健全生态环境保护监督管理制度。贯彻落实生态环境保护方面的法律法规和国家、省、州标准，拟定县域生态环境保护规范性文件，会同有关部门编制并监督实施全县重点区域、流域、饮用水水源地生态环境规划和水功能区划；负责县域生态环境问题的协调和监督管理。指导、协调全县突发环境事件的应急、预警工作，牵头指导全县实施生态环境损害赔偿制度，参与协调解决跨区域环境污染纠纷，组织实施重点区域、流域生态环境保护工作；负责监督管理县域减排目标的落实；负责环境污染防治的管理。管理县域大气、水、土壤、噪声、光、恶臭、固体废物、化学品、机动车等污染防治工作；指导协调和监督生态保护修复工作。监督对生态环境有影响的自然资源开发利用活动、重要生态环境建设和生态破坏恢复工作；负责核与辐射安全的监督管理。负责生态环境准入的管理；负责应对气候变化工作；配合做好中央、省生态环境保护督察工作；负责生态环境执法；组织指导和协调生态环境宣传教育工作；完成阿坝州生态环境局和</w:t>
      </w:r>
      <w:r>
        <w:rPr>
          <w:rFonts w:hint="eastAsia" w:ascii="仿宋_GB2312" w:hAnsi="黑体" w:eastAsia="仿宋_GB2312" w:cs="仿宋_GB2312"/>
          <w:sz w:val="32"/>
          <w:szCs w:val="32"/>
          <w:lang w:val="en-US" w:eastAsia="zh-CN"/>
        </w:rPr>
        <w:t>汶川</w:t>
      </w:r>
      <w:r>
        <w:rPr>
          <w:rFonts w:hint="eastAsia" w:ascii="仿宋_GB2312" w:hAnsi="黑体" w:eastAsia="仿宋_GB2312" w:cs="仿宋_GB2312"/>
          <w:sz w:val="32"/>
          <w:szCs w:val="32"/>
        </w:rPr>
        <w:t>县委、县政府交办的其他事项</w:t>
      </w:r>
      <w:r>
        <w:rPr>
          <w:rFonts w:hint="eastAsia" w:hAnsi="黑体" w:cs="仿宋_GB2312"/>
          <w:sz w:val="32"/>
          <w:szCs w:val="32"/>
          <w:lang w:eastAsia="zh-CN"/>
        </w:rPr>
        <w:t>。</w:t>
      </w:r>
    </w:p>
    <w:p w14:paraId="7CAFDFB9">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2" w:name="_Toc14459"/>
      <w:r>
        <w:rPr>
          <w:rFonts w:hint="eastAsia"/>
        </w:rPr>
        <w:t>（二）</w:t>
      </w:r>
      <w:r>
        <w:t>2025</w:t>
      </w:r>
      <w:r>
        <w:rPr>
          <w:rFonts w:hint="eastAsia"/>
        </w:rPr>
        <w:t>年重点工作</w:t>
      </w:r>
      <w:bookmarkEnd w:id="2"/>
    </w:p>
    <w:p w14:paraId="2EEB868E">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eastAsia="仿宋_GB2312"/>
          <w:sz w:val="32"/>
          <w:szCs w:val="32"/>
        </w:rPr>
      </w:pPr>
      <w:r>
        <w:rPr>
          <w:rFonts w:hint="eastAsia" w:ascii="仿宋_GB2312" w:eastAsia="仿宋_GB2312" w:cs="仿宋_GB2312"/>
          <w:b/>
          <w:bCs/>
          <w:color w:val="auto"/>
          <w:sz w:val="32"/>
          <w:szCs w:val="32"/>
          <w:lang w:val="en-US" w:eastAsia="zh-CN" w:bidi="ar-SA"/>
        </w:rPr>
        <w:t>一是深化污染防治“三大战役”</w:t>
      </w:r>
      <w:r>
        <w:rPr>
          <w:rFonts w:hint="eastAsia" w:ascii="仿宋_GB2312" w:eastAsia="仿宋_GB2312" w:cs="仿宋_GB2312"/>
          <w:b/>
          <w:bCs/>
          <w:color w:val="auto"/>
          <w:sz w:val="32"/>
          <w:szCs w:val="32"/>
          <w:lang w:bidi="ar-SA"/>
        </w:rPr>
        <w:t>。</w:t>
      </w:r>
      <w:r>
        <w:rPr>
          <w:rFonts w:hint="eastAsia" w:ascii="仿宋_GB2312" w:eastAsia="仿宋_GB2312"/>
          <w:sz w:val="32"/>
          <w:szCs w:val="32"/>
        </w:rPr>
        <w:t>全面落实河（湖）长制，深入实施水、气、土污染防治行动计划，坚持污染减排和生态修复并重，实施流域污染防治规划，削减氨氮、化学需氧量等主要污染物排放总量。完成土壤污染防治工作目标，完成重点行业企业用地土壤污染状况调查及成果上报，完善建设用地土壤污染风险管控和修复名录。</w:t>
      </w:r>
    </w:p>
    <w:p w14:paraId="64ECEA15">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sz w:val="32"/>
          <w:szCs w:val="32"/>
          <w:lang w:val="en-US" w:eastAsia="zh-CN" w:bidi="ar-SA"/>
        </w:rPr>
      </w:pPr>
      <w:r>
        <w:rPr>
          <w:rFonts w:ascii="Times New Roman" w:hAnsi="Times New Roman" w:eastAsia="仿宋_GB2312" w:cs="Times New Roman"/>
          <w:b/>
          <w:bCs/>
          <w:sz w:val="32"/>
          <w:szCs w:val="32"/>
          <w:lang w:val="en-US" w:eastAsia="zh-CN" w:bidi="ar-SA"/>
        </w:rPr>
        <w:t>二</w:t>
      </w:r>
      <w:r>
        <w:rPr>
          <w:rFonts w:hint="default" w:ascii="Times New Roman" w:hAnsi="Times New Roman" w:eastAsia="仿宋_GB2312" w:cs="Times New Roman"/>
          <w:b/>
          <w:bCs/>
          <w:sz w:val="32"/>
          <w:szCs w:val="32"/>
          <w:lang w:val="en-US" w:eastAsia="zh-CN" w:bidi="ar-SA"/>
        </w:rPr>
        <w:t>是狠抓督察问题整改。</w:t>
      </w:r>
      <w:r>
        <w:rPr>
          <w:rFonts w:hint="default" w:ascii="Times New Roman" w:hAnsi="Times New Roman" w:eastAsia="仿宋_GB2312" w:cs="Times New Roman"/>
          <w:sz w:val="32"/>
          <w:szCs w:val="32"/>
          <w:lang w:val="en-US" w:eastAsia="zh-CN" w:bidi="ar-SA"/>
        </w:rPr>
        <w:t>高质量推进各级交办问题的整改落实</w:t>
      </w:r>
      <w:r>
        <w:rPr>
          <w:rFonts w:hint="eastAsia" w:eastAsia="仿宋_GB2312" w:cs="Times New Roman"/>
          <w:sz w:val="32"/>
          <w:szCs w:val="32"/>
          <w:lang w:val="en-US" w:eastAsia="zh-CN" w:bidi="ar-SA"/>
        </w:rPr>
        <w:t>，高质量完成13个</w:t>
      </w:r>
      <w:r>
        <w:rPr>
          <w:rFonts w:hint="eastAsia" w:ascii="仿宋_GB2312" w:eastAsia="仿宋_GB2312" w:cs="楷体_GB2312"/>
          <w:snapToGrid/>
          <w:spacing w:val="6"/>
          <w:kern w:val="2"/>
          <w:sz w:val="32"/>
          <w:szCs w:val="32"/>
          <w:shd w:val="clear" w:color="auto" w:fill="auto"/>
          <w:lang w:val="en-US" w:eastAsia="zh-CN" w:bidi="ar-SA"/>
        </w:rPr>
        <w:t>未整改问题，</w:t>
      </w:r>
      <w:r>
        <w:rPr>
          <w:rFonts w:hint="default" w:ascii="Times New Roman" w:hAnsi="Times New Roman" w:eastAsia="仿宋_GB2312" w:cs="Times New Roman"/>
          <w:sz w:val="32"/>
          <w:szCs w:val="32"/>
          <w:lang w:val="en-US" w:eastAsia="zh-CN" w:bidi="ar-SA"/>
        </w:rPr>
        <w:t>同时对历轮重大督察相关问题进行“回头看”，确保问题整改到位不反弹，紧盯我</w:t>
      </w:r>
      <w:r>
        <w:rPr>
          <w:rFonts w:hint="eastAsia" w:ascii="Times New Roman" w:hAnsi="Times New Roman" w:eastAsia="仿宋_GB2312" w:cs="Times New Roman"/>
          <w:sz w:val="32"/>
          <w:szCs w:val="32"/>
          <w:lang w:val="en-US" w:eastAsia="zh-CN" w:bidi="ar-SA"/>
        </w:rPr>
        <w:t>县</w:t>
      </w:r>
      <w:r>
        <w:rPr>
          <w:rFonts w:hint="default" w:ascii="Times New Roman" w:hAnsi="Times New Roman" w:eastAsia="仿宋_GB2312" w:cs="Times New Roman"/>
          <w:sz w:val="32"/>
          <w:szCs w:val="32"/>
          <w:lang w:val="en-US" w:eastAsia="zh-CN" w:bidi="ar-SA"/>
        </w:rPr>
        <w:t>生态环境治理领域的重点、难点、敏感点，降低我</w:t>
      </w:r>
      <w:r>
        <w:rPr>
          <w:rFonts w:hint="eastAsia" w:ascii="Times New Roman" w:hAnsi="Times New Roman" w:eastAsia="仿宋_GB2312" w:cs="Times New Roman"/>
          <w:sz w:val="32"/>
          <w:szCs w:val="32"/>
          <w:lang w:val="en-US" w:eastAsia="zh-CN" w:bidi="ar-SA"/>
        </w:rPr>
        <w:t>县</w:t>
      </w:r>
      <w:r>
        <w:rPr>
          <w:rFonts w:hint="default" w:ascii="Times New Roman" w:hAnsi="Times New Roman" w:eastAsia="仿宋_GB2312" w:cs="Times New Roman"/>
          <w:sz w:val="32"/>
          <w:szCs w:val="32"/>
          <w:lang w:val="en-US" w:eastAsia="zh-CN" w:bidi="ar-SA"/>
        </w:rPr>
        <w:t>生态环境督察风险。</w:t>
      </w:r>
    </w:p>
    <w:p w14:paraId="53B1F4E5">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sz w:val="32"/>
          <w:szCs w:val="32"/>
          <w:lang w:val="en-US" w:eastAsia="zh-CN" w:bidi="ar-SA"/>
        </w:rPr>
      </w:pPr>
      <w:r>
        <w:rPr>
          <w:rFonts w:hint="eastAsia" w:ascii="Times New Roman" w:hAnsi="Times New Roman" w:eastAsia="仿宋_GB2312" w:cs="Times New Roman"/>
          <w:b/>
          <w:bCs/>
          <w:sz w:val="32"/>
          <w:szCs w:val="32"/>
          <w:lang w:val="en-US" w:eastAsia="zh-CN" w:bidi="ar-SA"/>
        </w:rPr>
        <w:t>三</w:t>
      </w:r>
      <w:r>
        <w:rPr>
          <w:rFonts w:hint="default" w:ascii="Times New Roman" w:hAnsi="Times New Roman" w:eastAsia="仿宋_GB2312" w:cs="Times New Roman"/>
          <w:b/>
          <w:bCs/>
          <w:sz w:val="32"/>
          <w:szCs w:val="32"/>
          <w:lang w:val="en-US" w:eastAsia="zh-CN" w:bidi="ar-SA"/>
        </w:rPr>
        <w:t>是大力做好审批服务。</w:t>
      </w:r>
      <w:r>
        <w:rPr>
          <w:rFonts w:hint="default" w:ascii="Times New Roman" w:hAnsi="Times New Roman" w:eastAsia="仿宋_GB2312" w:cs="Times New Roman"/>
          <w:sz w:val="32"/>
          <w:szCs w:val="32"/>
          <w:lang w:val="en-US" w:eastAsia="zh-CN" w:bidi="ar-SA"/>
        </w:rPr>
        <w:t>做好审批豁免咨询服务，</w:t>
      </w:r>
      <w:r>
        <w:rPr>
          <w:rFonts w:hint="eastAsia" w:ascii="仿宋_GB2312" w:eastAsia="仿宋_GB2312"/>
          <w:sz w:val="32"/>
          <w:szCs w:val="32"/>
        </w:rPr>
        <w:t>坚决守住生态保护红线、环境质量底线、自然资源利用上线，落实环保要素保障，积极推进经济社会发展、土地利用、城乡建设、生态环境保护等规划“多规合一”。</w:t>
      </w:r>
      <w:r>
        <w:rPr>
          <w:rFonts w:hint="default" w:ascii="Times New Roman" w:hAnsi="Times New Roman" w:eastAsia="仿宋_GB2312" w:cs="Times New Roman"/>
          <w:sz w:val="32"/>
          <w:szCs w:val="32"/>
          <w:lang w:val="en-US" w:eastAsia="zh-CN" w:bidi="ar-SA"/>
        </w:rPr>
        <w:t>做好重点工程的环评审批提前介入服务，为重大招商引资项目、基础设施建设项目做好前期环保审批服务，对优质项目创造审批条件。</w:t>
      </w:r>
    </w:p>
    <w:p w14:paraId="29ECC784">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eastAsia="仿宋_GB2312"/>
          <w:color w:val="auto"/>
          <w:sz w:val="32"/>
          <w:szCs w:val="32"/>
        </w:rPr>
      </w:pPr>
      <w:r>
        <w:rPr>
          <w:rFonts w:hint="eastAsia" w:ascii="Times New Roman" w:hAnsi="Times New Roman" w:eastAsia="仿宋_GB2312" w:cs="Times New Roman"/>
          <w:b/>
          <w:bCs/>
          <w:sz w:val="32"/>
          <w:szCs w:val="32"/>
          <w:lang w:val="en-US" w:eastAsia="zh-CN" w:bidi="ar-SA"/>
        </w:rPr>
        <w:t>四</w:t>
      </w:r>
      <w:r>
        <w:rPr>
          <w:rFonts w:hint="default" w:ascii="Times New Roman" w:hAnsi="Times New Roman" w:eastAsia="仿宋_GB2312" w:cs="Times New Roman"/>
          <w:b/>
          <w:bCs/>
          <w:sz w:val="32"/>
          <w:szCs w:val="32"/>
          <w:lang w:val="en-US" w:eastAsia="zh-CN" w:bidi="ar-SA"/>
        </w:rPr>
        <w:t>是持续优化执法监管。</w:t>
      </w:r>
      <w:r>
        <w:rPr>
          <w:rFonts w:hint="eastAsia" w:ascii="仿宋_GB2312" w:eastAsia="仿宋_GB2312" w:cs="Times New Roman"/>
          <w:color w:val="auto"/>
          <w:sz w:val="32"/>
          <w:szCs w:val="32"/>
          <w:lang w:val="en-US" w:eastAsia="zh-CN" w:bidi="ar-SA"/>
        </w:rPr>
        <w:t>严格落实</w:t>
      </w:r>
      <w:r>
        <w:rPr>
          <w:rFonts w:hint="eastAsia" w:ascii="仿宋_GB2312" w:eastAsia="仿宋_GB2312" w:cs="Times New Roman"/>
          <w:color w:val="auto"/>
          <w:sz w:val="32"/>
          <w:szCs w:val="32"/>
          <w:lang w:bidi="ar-SA"/>
        </w:rPr>
        <w:t>“双随机、一公开”抽查机制，</w:t>
      </w:r>
      <w:r>
        <w:rPr>
          <w:rFonts w:hint="eastAsia" w:ascii="仿宋_GB2312" w:eastAsia="仿宋_GB2312"/>
          <w:color w:val="auto"/>
          <w:sz w:val="32"/>
          <w:szCs w:val="32"/>
        </w:rPr>
        <w:t>推行“环保管家”监管模式</w:t>
      </w:r>
      <w:r>
        <w:rPr>
          <w:rFonts w:hint="eastAsia" w:ascii="仿宋_GB2312" w:eastAsia="仿宋_GB2312"/>
          <w:color w:val="auto"/>
          <w:sz w:val="32"/>
          <w:szCs w:val="32"/>
          <w:lang w:eastAsia="zh-CN"/>
        </w:rPr>
        <w:t>。</w:t>
      </w:r>
      <w:r>
        <w:rPr>
          <w:rFonts w:hint="default" w:ascii="Times New Roman" w:hAnsi="Times New Roman" w:eastAsia="仿宋_GB2312" w:cs="Times New Roman"/>
          <w:sz w:val="32"/>
          <w:szCs w:val="32"/>
          <w:lang w:val="en-US" w:eastAsia="zh-CN" w:bidi="ar-SA"/>
        </w:rPr>
        <w:t>加大环境风险隐患和信访矛盾的排查化解力度，全面提升环境应急能力和响应速度，持续压降信访总量。</w:t>
      </w:r>
      <w:r>
        <w:rPr>
          <w:rFonts w:hint="eastAsia" w:ascii="仿宋_GB2312" w:eastAsia="仿宋_GB2312"/>
          <w:color w:val="auto"/>
          <w:sz w:val="32"/>
          <w:szCs w:val="32"/>
          <w:lang w:val="en-US" w:eastAsia="zh-CN"/>
        </w:rPr>
        <w:t>完善</w:t>
      </w:r>
      <w:r>
        <w:rPr>
          <w:rFonts w:hint="eastAsia" w:ascii="仿宋_GB2312" w:eastAsia="仿宋_GB2312" w:cs="仿宋_GB2312"/>
          <w:color w:val="auto"/>
          <w:kern w:val="0"/>
          <w:sz w:val="32"/>
          <w:szCs w:val="32"/>
          <w:lang w:bidi="ar-SA"/>
        </w:rPr>
        <w:t>环境风险“四级防控”体系，</w:t>
      </w:r>
      <w:r>
        <w:rPr>
          <w:rFonts w:hint="eastAsia" w:ascii="仿宋_GB2312" w:eastAsia="仿宋_GB2312"/>
          <w:color w:val="auto"/>
          <w:sz w:val="32"/>
          <w:szCs w:val="32"/>
        </w:rPr>
        <w:t>积极开展应急演练，</w:t>
      </w:r>
      <w:r>
        <w:rPr>
          <w:rFonts w:hint="eastAsia" w:ascii="仿宋_GB2312" w:eastAsia="仿宋_GB2312"/>
          <w:color w:val="auto"/>
          <w:sz w:val="32"/>
          <w:szCs w:val="32"/>
          <w:lang w:val="en-US" w:eastAsia="zh-CN"/>
        </w:rPr>
        <w:t>进一步</w:t>
      </w:r>
      <w:r>
        <w:rPr>
          <w:rFonts w:hint="eastAsia" w:ascii="仿宋_GB2312" w:eastAsia="仿宋_GB2312"/>
          <w:color w:val="auto"/>
          <w:sz w:val="32"/>
          <w:szCs w:val="32"/>
        </w:rPr>
        <w:t>加强环境突发事件应对处置能力建设，确保区域环境安全。</w:t>
      </w:r>
    </w:p>
    <w:p w14:paraId="4D8DD403">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sz w:val="32"/>
          <w:szCs w:val="32"/>
          <w:lang w:val="en-US" w:eastAsia="zh-CN" w:bidi="ar-SA"/>
        </w:rPr>
      </w:pPr>
      <w:r>
        <w:rPr>
          <w:rFonts w:hint="eastAsia" w:ascii="Times New Roman" w:hAnsi="Times New Roman" w:eastAsia="仿宋_GB2312" w:cs="Times New Roman"/>
          <w:b/>
          <w:bCs/>
          <w:sz w:val="32"/>
          <w:szCs w:val="32"/>
          <w:lang w:val="en-US" w:eastAsia="zh-CN" w:bidi="ar-SA"/>
        </w:rPr>
        <w:t>五</w:t>
      </w:r>
      <w:r>
        <w:rPr>
          <w:rFonts w:hint="default" w:ascii="Times New Roman" w:hAnsi="Times New Roman" w:eastAsia="仿宋_GB2312" w:cs="Times New Roman"/>
          <w:b/>
          <w:bCs/>
          <w:sz w:val="32"/>
          <w:szCs w:val="32"/>
          <w:lang w:val="en-US" w:eastAsia="zh-CN" w:bidi="ar-SA"/>
        </w:rPr>
        <w:t>是</w:t>
      </w:r>
      <w:r>
        <w:rPr>
          <w:rFonts w:ascii="Times New Roman" w:hAnsi="Times New Roman" w:eastAsia="仿宋_GB2312" w:cs="Times New Roman"/>
          <w:b/>
          <w:bCs/>
          <w:sz w:val="32"/>
          <w:szCs w:val="32"/>
          <w:lang w:val="en-US" w:eastAsia="zh-CN" w:bidi="ar-SA"/>
        </w:rPr>
        <w:t>提升环境</w:t>
      </w:r>
      <w:r>
        <w:rPr>
          <w:rFonts w:hint="default" w:ascii="Times New Roman" w:hAnsi="Times New Roman" w:eastAsia="仿宋_GB2312" w:cs="Times New Roman"/>
          <w:b/>
          <w:bCs/>
          <w:sz w:val="32"/>
          <w:szCs w:val="32"/>
          <w:lang w:val="en-US" w:eastAsia="zh-CN" w:bidi="ar-SA"/>
        </w:rPr>
        <w:t>监测能力。</w:t>
      </w:r>
      <w:r>
        <w:rPr>
          <w:rFonts w:hint="default" w:ascii="Times New Roman" w:hAnsi="Times New Roman" w:eastAsia="仿宋_GB2312" w:cs="Times New Roman"/>
          <w:sz w:val="32"/>
          <w:szCs w:val="32"/>
          <w:lang w:val="en-US" w:eastAsia="zh-CN" w:bidi="ar-SA"/>
        </w:rPr>
        <w:t>建立完善一体化现代生态环境监测体系，进一步提升生态环境监测的智慧化、精准化、网络化水平，做到环境质量、污染源、生态状况监测全覆盖。优化监测设备手段，加强监测数据质量管理，充分发挥监测的支撑、引领、服务作用。</w:t>
      </w:r>
    </w:p>
    <w:p w14:paraId="76BA47C3">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sz w:val="32"/>
          <w:szCs w:val="32"/>
          <w:lang w:val="en-US" w:eastAsia="zh-CN" w:bidi="ar-SA"/>
        </w:rPr>
      </w:pPr>
      <w:r>
        <w:rPr>
          <w:rFonts w:hint="eastAsia" w:ascii="Times New Roman" w:hAnsi="Times New Roman" w:eastAsia="仿宋_GB2312" w:cs="Times New Roman"/>
          <w:b/>
          <w:bCs/>
          <w:sz w:val="32"/>
          <w:szCs w:val="32"/>
          <w:lang w:val="en-US" w:eastAsia="zh-CN" w:bidi="ar-SA"/>
        </w:rPr>
        <w:t>六</w:t>
      </w:r>
      <w:r>
        <w:rPr>
          <w:rFonts w:hint="default" w:ascii="Times New Roman" w:hAnsi="Times New Roman" w:eastAsia="仿宋_GB2312" w:cs="Times New Roman"/>
          <w:b/>
          <w:bCs/>
          <w:sz w:val="32"/>
          <w:szCs w:val="32"/>
          <w:lang w:val="en-US" w:eastAsia="zh-CN" w:bidi="ar-SA"/>
        </w:rPr>
        <w:t>是宣传营造和谐氛围。</w:t>
      </w:r>
      <w:r>
        <w:rPr>
          <w:rFonts w:hint="default" w:ascii="Times New Roman" w:hAnsi="Times New Roman" w:eastAsia="仿宋_GB2312" w:cs="Times New Roman"/>
          <w:sz w:val="32"/>
          <w:szCs w:val="32"/>
          <w:lang w:val="en-US" w:eastAsia="zh-CN" w:bidi="ar-SA"/>
        </w:rPr>
        <w:t>大力推进生态满意度宣传，推动全</w:t>
      </w:r>
      <w:r>
        <w:rPr>
          <w:rFonts w:hint="eastAsia" w:ascii="Times New Roman" w:hAnsi="Times New Roman" w:eastAsia="仿宋_GB2312" w:cs="Times New Roman"/>
          <w:sz w:val="32"/>
          <w:szCs w:val="32"/>
          <w:lang w:val="en-US" w:eastAsia="zh-CN" w:bidi="ar-SA"/>
        </w:rPr>
        <w:t>县</w:t>
      </w:r>
      <w:r>
        <w:rPr>
          <w:rFonts w:hint="default" w:ascii="Times New Roman" w:hAnsi="Times New Roman" w:eastAsia="仿宋_GB2312" w:cs="Times New Roman"/>
          <w:sz w:val="32"/>
          <w:szCs w:val="32"/>
          <w:lang w:val="en-US" w:eastAsia="zh-CN" w:bidi="ar-SA"/>
        </w:rPr>
        <w:t>攻坚氛围。不断拓宽全民参与渠道，强化正面传播引导，积极构建全民绿色行动体系。持续加强节点宣传力度，结合线下活动和线上直播结合方式，形成崇尚生态文明的社会氛围，提升公众对生态环境工作的满意度和获得感。</w:t>
      </w:r>
    </w:p>
    <w:p w14:paraId="00E5B519">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b/>
          <w:bCs/>
          <w:sz w:val="32"/>
          <w:szCs w:val="32"/>
          <w:lang w:val="en-US" w:eastAsia="zh-CN" w:bidi="ar-SA"/>
        </w:rPr>
        <w:t>七</w:t>
      </w:r>
      <w:r>
        <w:rPr>
          <w:rFonts w:hint="default" w:ascii="Times New Roman" w:hAnsi="Times New Roman" w:eastAsia="仿宋_GB2312" w:cs="Times New Roman"/>
          <w:b/>
          <w:bCs/>
          <w:sz w:val="32"/>
          <w:szCs w:val="32"/>
          <w:lang w:val="en-US" w:eastAsia="zh-CN" w:bidi="ar-SA"/>
        </w:rPr>
        <w:t>是落实管党治党责任。</w:t>
      </w:r>
      <w:r>
        <w:rPr>
          <w:rFonts w:hint="default" w:ascii="Times New Roman" w:hAnsi="Times New Roman" w:eastAsia="仿宋_GB2312" w:cs="Times New Roman"/>
          <w:sz w:val="32"/>
          <w:szCs w:val="32"/>
          <w:lang w:val="en-US" w:eastAsia="zh-CN" w:bidi="ar-SA"/>
        </w:rPr>
        <w:t>强化领导班子主体责任，强化责任担当，落实一岗双责责任制。提高政治意识，强化监督执纪问责，将提升机关作风、提高服务效能作为工作出发点和落脚点，不断巩固和拓展作风建设成果。深刻把握党建围绕中心、服务大局的职责定位，探索推动党支部、广大党员发挥作用的有效载体和工作抓手</w:t>
      </w:r>
      <w:r>
        <w:rPr>
          <w:rFonts w:hint="eastAsia" w:ascii="Times New Roman" w:hAnsi="Times New Roman" w:eastAsia="仿宋_GB2312" w:cs="Times New Roman"/>
          <w:sz w:val="32"/>
          <w:szCs w:val="32"/>
          <w:lang w:val="en-US" w:eastAsia="zh-CN" w:bidi="ar-SA"/>
        </w:rPr>
        <w:t>。</w:t>
      </w:r>
    </w:p>
    <w:p w14:paraId="357AE769">
      <w:pPr>
        <w:pStyle w:val="3"/>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3" w:name="_Toc25166"/>
      <w:r>
        <w:rPr>
          <w:rFonts w:hint="eastAsia"/>
        </w:rPr>
        <w:t>部门预算单位构成</w:t>
      </w:r>
      <w:bookmarkEnd w:id="3"/>
    </w:p>
    <w:p w14:paraId="7D2AA5FA">
      <w:pPr>
        <w:keepNext w:val="0"/>
        <w:keepLines w:val="0"/>
        <w:pageBreakBefore w:val="0"/>
        <w:widowControl w:val="0"/>
        <w:numPr>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阿坝藏族羌族自治州汶川生态环境局是独立的二级预算单位。阿坝藏族羌族自治州汶川生态环境局局机关设局长1名，副局长2名。阿坝州汶川生态环境保护综合行政执法中队编制为15人，保留参公管理。年初在职职工总数9人，其中：行政2人，参公人数7人。</w:t>
      </w:r>
    </w:p>
    <w:p w14:paraId="72383773">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4" w:name="_Toc15613"/>
      <w:r>
        <w:rPr>
          <w:rFonts w:hint="eastAsia"/>
          <w:lang w:val="en-US" w:eastAsia="zh-CN"/>
        </w:rPr>
        <w:t>三、</w:t>
      </w:r>
      <w:r>
        <w:rPr>
          <w:rFonts w:hint="eastAsia"/>
        </w:rPr>
        <w:t>收支预算情况说明</w:t>
      </w:r>
      <w:bookmarkEnd w:id="4"/>
    </w:p>
    <w:p w14:paraId="0670D5FF">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eastAsia="黑体"/>
          <w:sz w:val="32"/>
          <w:szCs w:val="32"/>
        </w:rPr>
      </w:pPr>
      <w:r>
        <w:rPr>
          <w:rFonts w:hint="eastAsia" w:ascii="仿宋_GB2312" w:hAnsi="仿宋_GB2312" w:eastAsia="仿宋_GB2312" w:cs="仿宋_GB2312"/>
          <w:sz w:val="32"/>
          <w:szCs w:val="32"/>
        </w:rPr>
        <w:t>按照综合预算的原则，本</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所有收入和支出均纳入部门预算管理。收入包括：一般公共预算拨款收入</w:t>
      </w:r>
      <w:r>
        <w:rPr>
          <w:rFonts w:hint="eastAsia" w:ascii="仿宋_GB2312" w:hAnsi="仿宋_GB2312" w:eastAsia="仿宋_GB2312" w:cs="仿宋_GB2312"/>
          <w:sz w:val="32"/>
          <w:szCs w:val="32"/>
          <w:lang w:val="en-US" w:eastAsia="zh-CN"/>
        </w:rPr>
        <w:t>支出275.03</w:t>
      </w:r>
      <w:r>
        <w:rPr>
          <w:rFonts w:hint="eastAsia" w:ascii="仿宋_GB2312" w:hAnsi="仿宋_GB2312" w:eastAsia="仿宋_GB2312" w:cs="仿宋_GB2312"/>
          <w:sz w:val="32"/>
          <w:szCs w:val="32"/>
        </w:rPr>
        <w:t>万元，上年结转0万元；</w:t>
      </w:r>
      <w:r>
        <w:rPr>
          <w:rFonts w:hint="eastAsia" w:ascii="仿宋_GB2312" w:hAnsi="仿宋_GB2312" w:eastAsia="仿宋_GB2312" w:cs="仿宋_GB2312"/>
          <w:sz w:val="32"/>
          <w:szCs w:val="32"/>
          <w:lang w:val="en-US" w:eastAsia="zh-CN"/>
        </w:rPr>
        <w:t>收入</w:t>
      </w:r>
      <w:r>
        <w:rPr>
          <w:rFonts w:hint="eastAsia" w:ascii="仿宋_GB2312" w:hAnsi="仿宋_GB2312" w:eastAsia="仿宋_GB2312" w:cs="仿宋_GB2312"/>
          <w:sz w:val="32"/>
          <w:szCs w:val="32"/>
        </w:rPr>
        <w:t>支出包括：社会保障和就业支出</w:t>
      </w:r>
      <w:r>
        <w:rPr>
          <w:rFonts w:hint="eastAsia" w:ascii="仿宋_GB2312" w:hAnsi="仿宋_GB2312" w:eastAsia="仿宋_GB2312" w:cs="仿宋_GB2312"/>
          <w:sz w:val="32"/>
          <w:szCs w:val="32"/>
          <w:lang w:val="en-US" w:eastAsia="zh-CN"/>
        </w:rPr>
        <w:t>32.90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12.63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25.97</w:t>
      </w:r>
      <w:r>
        <w:rPr>
          <w:rFonts w:hint="eastAsia" w:ascii="仿宋_GB2312" w:hAnsi="仿宋_GB2312" w:eastAsia="仿宋_GB2312" w:cs="仿宋_GB2312"/>
          <w:sz w:val="32"/>
          <w:szCs w:val="32"/>
        </w:rPr>
        <w:t>万元，节能环保支出</w:t>
      </w:r>
      <w:r>
        <w:rPr>
          <w:rFonts w:hint="eastAsia" w:ascii="仿宋_GB2312" w:hAnsi="仿宋_GB2312" w:eastAsia="仿宋_GB2312" w:cs="仿宋_GB2312"/>
          <w:sz w:val="32"/>
          <w:szCs w:val="32"/>
          <w:lang w:val="en-US" w:eastAsia="zh-CN"/>
        </w:rPr>
        <w:t>213.52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。我单位2025年收支总预算275.03万元，比2024年收支预算总数增加92.37万元。主要原因为：2025年预算我单位新增4人，新增片区执法项目和片区监测项目。</w:t>
      </w:r>
    </w:p>
    <w:p w14:paraId="35B4454B">
      <w:pPr>
        <w:pStyle w:val="4"/>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5" w:name="_Toc28204"/>
      <w:r>
        <w:rPr>
          <w:rFonts w:hint="eastAsia"/>
        </w:rPr>
        <w:t>收入预算情况</w:t>
      </w:r>
      <w:bookmarkEnd w:id="5"/>
    </w:p>
    <w:p w14:paraId="2FFE7CF3">
      <w:pPr>
        <w:pStyle w:val="1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275.03</w:t>
      </w:r>
      <w:r>
        <w:rPr>
          <w:rFonts w:hint="eastAsia" w:ascii="仿宋_GB2312" w:hAnsi="仿宋_GB2312" w:eastAsia="仿宋_GB2312" w:cs="仿宋_GB2312"/>
          <w:sz w:val="32"/>
          <w:szCs w:val="32"/>
        </w:rPr>
        <w:t>万元，其中：上年结转0万元，占0%；一般公共预算拨款收入</w:t>
      </w:r>
      <w:r>
        <w:rPr>
          <w:rFonts w:hint="eastAsia" w:ascii="仿宋_GB2312" w:hAnsi="仿宋_GB2312" w:eastAsia="仿宋_GB2312" w:cs="仿宋_GB2312"/>
          <w:sz w:val="32"/>
          <w:szCs w:val="32"/>
          <w:lang w:val="en-US" w:eastAsia="zh-CN"/>
        </w:rPr>
        <w:t>275.03</w:t>
      </w:r>
      <w:r>
        <w:rPr>
          <w:rFonts w:hint="eastAsia" w:ascii="仿宋_GB2312" w:hAnsi="仿宋_GB2312" w:eastAsia="仿宋_GB2312" w:cs="仿宋_GB2312"/>
          <w:sz w:val="32"/>
          <w:szCs w:val="32"/>
        </w:rPr>
        <w:t>万元，占100%。</w:t>
      </w:r>
    </w:p>
    <w:p w14:paraId="663BE3E2">
      <w:pPr>
        <w:pStyle w:val="4"/>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6" w:name="_Toc31194"/>
      <w:r>
        <w:rPr>
          <w:rFonts w:hint="eastAsia"/>
        </w:rPr>
        <w:t>支出预算情况</w:t>
      </w:r>
      <w:bookmarkEnd w:id="6"/>
    </w:p>
    <w:p w14:paraId="7EDE28C2">
      <w:pPr>
        <w:pStyle w:val="13"/>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275.03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212.13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77.13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62.9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22.87</w:t>
      </w:r>
      <w:r>
        <w:rPr>
          <w:rFonts w:hint="eastAsia" w:ascii="仿宋_GB2312" w:hAnsi="仿宋_GB2312" w:eastAsia="仿宋_GB2312" w:cs="仿宋_GB2312"/>
          <w:sz w:val="32"/>
          <w:szCs w:val="32"/>
        </w:rPr>
        <w:t>%。</w:t>
      </w:r>
    </w:p>
    <w:p w14:paraId="26C278CC">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7" w:name="_Toc4174"/>
      <w:r>
        <w:rPr>
          <w:rFonts w:hint="eastAsia"/>
          <w:lang w:val="en-US" w:eastAsia="zh-CN"/>
        </w:rPr>
        <w:t>四、</w:t>
      </w:r>
      <w:r>
        <w:rPr>
          <w:rFonts w:hint="eastAsia"/>
        </w:rPr>
        <w:t>财政拨款收支预算情况说明</w:t>
      </w:r>
      <w:bookmarkEnd w:id="7"/>
    </w:p>
    <w:p w14:paraId="3C080FC6">
      <w:pPr>
        <w:keepNext w:val="0"/>
        <w:keepLines w:val="0"/>
        <w:pageBreakBefore w:val="0"/>
        <w:widowControl w:val="0"/>
        <w:numPr>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我单位2025年财政拨款收支总预算275.03万元,比2024年财政拨款收支总预算增加92.37万元，主要原因：</w:t>
      </w:r>
      <w:r>
        <w:rPr>
          <w:rFonts w:hint="eastAsia" w:ascii="仿宋_GB2312" w:hAnsi="仿宋_GB2312" w:eastAsia="仿宋_GB2312" w:cs="仿宋_GB2312"/>
          <w:sz w:val="32"/>
          <w:szCs w:val="32"/>
          <w:lang w:val="en-US" w:eastAsia="zh-CN"/>
        </w:rPr>
        <w:t>2025年预算我单位新增4人，新增片区执法项目和片区监测项目。</w:t>
      </w:r>
    </w:p>
    <w:p w14:paraId="6A5F6CDF">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收入包括：本年一般公共预算拨款收入275.03万元，上年结转财政拨款资金0万元；</w:t>
      </w:r>
    </w:p>
    <w:p w14:paraId="4FAF1EB7">
      <w:pPr>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sz w:val="32"/>
          <w:szCs w:val="32"/>
        </w:rPr>
      </w:pPr>
      <w:r>
        <w:rPr>
          <w:rFonts w:hint="eastAsia" w:ascii="仿宋_GB2312" w:hAnsi="仿宋_GB2312" w:eastAsia="仿宋_GB2312" w:cs="仿宋_GB2312"/>
          <w:kern w:val="2"/>
          <w:sz w:val="32"/>
          <w:szCs w:val="32"/>
          <w:lang w:val="en-US" w:eastAsia="zh-CN" w:bidi="ar-SA"/>
        </w:rPr>
        <w:t>支出包括：社会保障和就业支出32.90万元，卫生健康支出12.63万元，住房保障支出15.97万元，节能环保支出213.52万元。</w:t>
      </w:r>
    </w:p>
    <w:p w14:paraId="629E7261">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8" w:name="_Toc6893"/>
      <w:r>
        <w:rPr>
          <w:rFonts w:hint="eastAsia"/>
        </w:rPr>
        <w:t>五、一般公共预算当年拨款情况说明</w:t>
      </w:r>
      <w:bookmarkEnd w:id="8"/>
    </w:p>
    <w:p w14:paraId="633F1A07">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9" w:name="_Toc25036"/>
      <w:r>
        <w:rPr>
          <w:rFonts w:hint="eastAsia"/>
        </w:rPr>
        <w:t>（一）一般公共预算当年拨款规模变化情况</w:t>
      </w:r>
      <w:bookmarkEnd w:id="9"/>
    </w:p>
    <w:p w14:paraId="1092C21E">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我单位2025年收支总预算275.03万元，比2024年收支预算总数增加92.37万元。主要原因为：2025年预算我单位新增4人，新增片区执法项目和片区监测项目。</w:t>
      </w:r>
    </w:p>
    <w:p w14:paraId="0289FE44">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lang w:val="en-US" w:eastAsia="zh-CN"/>
        </w:rPr>
      </w:pPr>
      <w:bookmarkStart w:id="10" w:name="_Toc9967"/>
      <w:r>
        <w:rPr>
          <w:rFonts w:hint="eastAsia"/>
          <w:lang w:val="en-US" w:eastAsia="zh-CN"/>
        </w:rPr>
        <w:t>（二）一般公共预算当年拨款结构情况</w:t>
      </w:r>
      <w:bookmarkEnd w:id="10"/>
    </w:p>
    <w:p w14:paraId="776288B1">
      <w:pPr>
        <w:pageBreakBefore w:val="0"/>
        <w:widowControl w:val="0"/>
        <w:numPr>
          <w:numId w:val="0"/>
        </w:numPr>
        <w:kinsoku/>
        <w:wordWrap/>
        <w:overflowPunct/>
        <w:topLinePunct w:val="0"/>
        <w:autoSpaceDE/>
        <w:autoSpaceDN/>
        <w:bidi w:val="0"/>
        <w:adjustRightInd/>
        <w:snapToGrid/>
        <w:spacing w:line="560" w:lineRule="exact"/>
        <w:ind w:left="0" w:leftChars="0" w:firstLine="640" w:firstLineChars="200"/>
        <w:textAlignment w:val="auto"/>
        <w:rPr>
          <w:rFonts w:cs="仿宋_GB2312"/>
          <w:kern w:val="2"/>
          <w:sz w:val="32"/>
          <w:szCs w:val="32"/>
        </w:rPr>
      </w:pPr>
      <w:r>
        <w:rPr>
          <w:rFonts w:hint="eastAsia" w:ascii="仿宋_GB2312" w:hAnsi="仿宋_GB2312" w:eastAsia="仿宋_GB2312" w:cs="仿宋_GB2312"/>
          <w:sz w:val="32"/>
          <w:szCs w:val="32"/>
          <w:lang w:val="en-US" w:eastAsia="zh-CN"/>
        </w:rPr>
        <w:t>我单位2025年收支总预算275.03万元，</w:t>
      </w:r>
      <w:r>
        <w:rPr>
          <w:rFonts w:hint="eastAsia" w:ascii="仿宋_GB2312" w:hAnsi="仿宋_GB2312" w:eastAsia="仿宋_GB2312" w:cs="仿宋_GB2312"/>
          <w:kern w:val="2"/>
          <w:sz w:val="32"/>
          <w:szCs w:val="32"/>
          <w:lang w:val="en-US" w:eastAsia="zh-CN" w:bidi="ar-SA"/>
        </w:rPr>
        <w:t>社会保障和就业支出32.90万元，占11.96%；卫生健康支出12.63万元，占4.59%；住房保障支出15.97万元，占5.81%；节能环保支出213.52万元，占77.64%。</w:t>
      </w:r>
    </w:p>
    <w:p w14:paraId="28534FDD">
      <w:pPr>
        <w:pStyle w:val="4"/>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11" w:name="_Toc24694"/>
      <w:r>
        <w:rPr>
          <w:rFonts w:hint="eastAsia"/>
        </w:rPr>
        <w:t>（三）一般公共预算当年拨款具体使用情况</w:t>
      </w:r>
      <w:bookmarkEnd w:id="11"/>
    </w:p>
    <w:p w14:paraId="14640472">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1.一般公共服务（类）宣传事务（款）行政运行（项目）202</w:t>
      </w:r>
      <w:r>
        <w:rPr>
          <w:rFonts w:hint="eastAsia" w:hAnsi="仿宋_GB2312" w:cs="仿宋_GB2312"/>
          <w:kern w:val="2"/>
          <w:sz w:val="32"/>
          <w:szCs w:val="32"/>
          <w:lang w:val="en-US" w:eastAsia="zh-CN" w:bidi="ar-SA"/>
        </w:rPr>
        <w:t>5</w:t>
      </w:r>
      <w:r>
        <w:rPr>
          <w:rFonts w:hint="eastAsia" w:ascii="仿宋_GB2312" w:hAnsi="仿宋_GB2312" w:eastAsia="仿宋_GB2312" w:cs="仿宋_GB2312"/>
          <w:kern w:val="2"/>
          <w:sz w:val="32"/>
          <w:szCs w:val="32"/>
          <w:lang w:val="en-US" w:eastAsia="zh-CN" w:bidi="ar-SA"/>
        </w:rPr>
        <w:t>年预算数为</w:t>
      </w:r>
      <w:r>
        <w:rPr>
          <w:rFonts w:hint="eastAsia" w:hAnsi="仿宋_GB2312" w:cs="仿宋_GB2312"/>
          <w:kern w:val="2"/>
          <w:sz w:val="32"/>
          <w:szCs w:val="32"/>
          <w:lang w:val="en-US" w:eastAsia="zh-CN" w:bidi="ar-SA"/>
        </w:rPr>
        <w:t>275.03</w:t>
      </w:r>
      <w:r>
        <w:rPr>
          <w:rFonts w:hint="eastAsia" w:ascii="仿宋_GB2312" w:hAnsi="仿宋_GB2312" w:eastAsia="仿宋_GB2312" w:cs="仿宋_GB2312"/>
          <w:kern w:val="2"/>
          <w:sz w:val="32"/>
          <w:szCs w:val="32"/>
          <w:lang w:val="en-US" w:eastAsia="zh-CN" w:bidi="ar-SA"/>
        </w:rPr>
        <w:t>万元，主要用于机关商品和服务支出</w:t>
      </w:r>
      <w:r>
        <w:rPr>
          <w:rFonts w:hint="eastAsia" w:hAnsi="仿宋_GB2312" w:cs="仿宋_GB2312"/>
          <w:kern w:val="2"/>
          <w:sz w:val="32"/>
          <w:szCs w:val="32"/>
          <w:lang w:val="en-US" w:eastAsia="zh-CN" w:bidi="ar-SA"/>
        </w:rPr>
        <w:t>111.38</w:t>
      </w:r>
      <w:r>
        <w:rPr>
          <w:rFonts w:hint="eastAsia" w:ascii="仿宋_GB2312" w:hAnsi="仿宋_GB2312" w:eastAsia="仿宋_GB2312" w:cs="仿宋_GB2312"/>
          <w:kern w:val="2"/>
          <w:sz w:val="32"/>
          <w:szCs w:val="32"/>
          <w:lang w:val="en-US" w:eastAsia="zh-CN" w:bidi="ar-SA"/>
        </w:rPr>
        <w:t>万元（包含预算项目</w:t>
      </w:r>
      <w:r>
        <w:rPr>
          <w:rFonts w:hint="eastAsia" w:hAnsi="仿宋_GB2312" w:cs="仿宋_GB2312"/>
          <w:kern w:val="2"/>
          <w:sz w:val="32"/>
          <w:szCs w:val="32"/>
          <w:lang w:val="en-US" w:eastAsia="zh-CN" w:bidi="ar-SA"/>
        </w:rPr>
        <w:t>62.90万元</w:t>
      </w:r>
      <w:r>
        <w:rPr>
          <w:rFonts w:hint="eastAsia" w:ascii="仿宋_GB2312" w:hAnsi="仿宋_GB2312" w:eastAsia="仿宋_GB2312" w:cs="仿宋_GB2312"/>
          <w:kern w:val="2"/>
          <w:sz w:val="32"/>
          <w:szCs w:val="32"/>
          <w:lang w:val="en-US" w:eastAsia="zh-CN" w:bidi="ar-SA"/>
        </w:rPr>
        <w:t>），机关工资福利支出</w:t>
      </w:r>
      <w:r>
        <w:rPr>
          <w:rFonts w:hint="eastAsia" w:hAnsi="仿宋_GB2312" w:cs="仿宋_GB2312"/>
          <w:kern w:val="2"/>
          <w:sz w:val="32"/>
          <w:szCs w:val="32"/>
          <w:lang w:val="en-US" w:eastAsia="zh-CN" w:bidi="ar-SA"/>
        </w:rPr>
        <w:t>161.61</w:t>
      </w:r>
      <w:r>
        <w:rPr>
          <w:rFonts w:hint="eastAsia" w:ascii="仿宋_GB2312" w:hAnsi="仿宋_GB2312" w:eastAsia="仿宋_GB2312" w:cs="仿宋_GB2312"/>
          <w:kern w:val="2"/>
          <w:sz w:val="32"/>
          <w:szCs w:val="32"/>
          <w:lang w:val="en-US" w:eastAsia="zh-CN" w:bidi="ar-SA"/>
        </w:rPr>
        <w:t>万元，对个人和家庭的补助0.03万元。</w:t>
      </w:r>
    </w:p>
    <w:p w14:paraId="0C8C261E">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2.机关工资福利支出</w:t>
      </w:r>
      <w:r>
        <w:rPr>
          <w:rFonts w:hint="eastAsia" w:hAnsi="仿宋_GB2312" w:cs="仿宋_GB2312"/>
          <w:kern w:val="2"/>
          <w:sz w:val="32"/>
          <w:szCs w:val="32"/>
          <w:lang w:val="en-US" w:eastAsia="zh-CN" w:bidi="ar-SA"/>
        </w:rPr>
        <w:t>161.61</w:t>
      </w:r>
      <w:r>
        <w:rPr>
          <w:rFonts w:hint="eastAsia" w:ascii="仿宋_GB2312" w:hAnsi="仿宋_GB2312" w:eastAsia="仿宋_GB2312" w:cs="仿宋_GB2312"/>
          <w:kern w:val="2"/>
          <w:sz w:val="32"/>
          <w:szCs w:val="32"/>
          <w:lang w:val="en-US" w:eastAsia="zh-CN" w:bidi="ar-SA"/>
        </w:rPr>
        <w:t>万元。主要用于工资奖金津补贴</w:t>
      </w:r>
      <w:r>
        <w:rPr>
          <w:rFonts w:hint="eastAsia" w:hAnsi="仿宋_GB2312" w:cs="仿宋_GB2312"/>
          <w:kern w:val="2"/>
          <w:sz w:val="32"/>
          <w:szCs w:val="32"/>
          <w:lang w:val="en-US" w:eastAsia="zh-CN" w:bidi="ar-SA"/>
        </w:rPr>
        <w:t>99.01</w:t>
      </w:r>
      <w:r>
        <w:rPr>
          <w:rFonts w:hint="eastAsia" w:ascii="仿宋_GB2312" w:hAnsi="仿宋_GB2312" w:eastAsia="仿宋_GB2312" w:cs="仿宋_GB2312"/>
          <w:kern w:val="2"/>
          <w:sz w:val="32"/>
          <w:szCs w:val="32"/>
          <w:lang w:val="en-US" w:eastAsia="zh-CN" w:bidi="ar-SA"/>
        </w:rPr>
        <w:t>万元，社会保障缴费</w:t>
      </w:r>
      <w:r>
        <w:rPr>
          <w:rFonts w:hint="eastAsia" w:hAnsi="仿宋_GB2312" w:cs="仿宋_GB2312"/>
          <w:kern w:val="2"/>
          <w:sz w:val="32"/>
          <w:szCs w:val="32"/>
          <w:lang w:val="en-US" w:eastAsia="zh-CN" w:bidi="ar-SA"/>
        </w:rPr>
        <w:t>46.63</w:t>
      </w:r>
      <w:r>
        <w:rPr>
          <w:rFonts w:hint="eastAsia" w:ascii="仿宋_GB2312" w:hAnsi="仿宋_GB2312" w:eastAsia="仿宋_GB2312" w:cs="仿宋_GB2312"/>
          <w:kern w:val="2"/>
          <w:sz w:val="32"/>
          <w:szCs w:val="32"/>
          <w:lang w:val="en-US" w:eastAsia="zh-CN" w:bidi="ar-SA"/>
        </w:rPr>
        <w:t>万元，住房公积金</w:t>
      </w:r>
      <w:r>
        <w:rPr>
          <w:rFonts w:hint="eastAsia" w:hAnsi="仿宋_GB2312" w:cs="仿宋_GB2312"/>
          <w:kern w:val="2"/>
          <w:sz w:val="32"/>
          <w:szCs w:val="32"/>
          <w:lang w:val="en-US" w:eastAsia="zh-CN" w:bidi="ar-SA"/>
        </w:rPr>
        <w:t>15.97</w:t>
      </w:r>
      <w:r>
        <w:rPr>
          <w:rFonts w:hint="eastAsia" w:ascii="仿宋_GB2312" w:hAnsi="仿宋_GB2312" w:eastAsia="仿宋_GB2312" w:cs="仿宋_GB2312"/>
          <w:kern w:val="2"/>
          <w:sz w:val="32"/>
          <w:szCs w:val="32"/>
          <w:lang w:val="en-US" w:eastAsia="zh-CN" w:bidi="ar-SA"/>
        </w:rPr>
        <w:t>万元。</w:t>
      </w:r>
    </w:p>
    <w:p w14:paraId="7C7247E0">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 机关商品和服务支出</w:t>
      </w:r>
      <w:r>
        <w:rPr>
          <w:rFonts w:hint="eastAsia" w:hAnsi="仿宋_GB2312" w:cs="仿宋_GB2312"/>
          <w:color w:val="000000" w:themeColor="text1"/>
          <w:kern w:val="2"/>
          <w:sz w:val="32"/>
          <w:szCs w:val="32"/>
          <w:lang w:val="en-US" w:eastAsia="zh-CN" w:bidi="ar-SA"/>
          <w14:textFill>
            <w14:solidFill>
              <w14:schemeClr w14:val="tx1"/>
            </w14:solidFill>
          </w14:textFill>
        </w:rPr>
        <w:t>113.38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元</w:t>
      </w:r>
      <w:r>
        <w:rPr>
          <w:rFonts w:hint="eastAsia" w:hAnsi="仿宋_GB2312" w:cs="仿宋_GB2312"/>
          <w:color w:val="000000" w:themeColor="text1"/>
          <w:kern w:val="2"/>
          <w:sz w:val="32"/>
          <w:szCs w:val="32"/>
          <w:lang w:val="en-US" w:eastAsia="zh-CN" w:bidi="ar-SA"/>
          <w14:textFill>
            <w14:solidFill>
              <w14:schemeClr w14:val="tx1"/>
            </w14:solidFill>
          </w14:textFill>
        </w:rPr>
        <w:t>（含预算项目经费）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。主要用于干部职工办公费</w:t>
      </w:r>
      <w:r>
        <w:rPr>
          <w:rFonts w:hint="eastAsia" w:hAnsi="仿宋_GB2312" w:cs="仿宋_GB2312"/>
          <w:color w:val="000000" w:themeColor="text1"/>
          <w:kern w:val="2"/>
          <w:sz w:val="32"/>
          <w:szCs w:val="32"/>
          <w:lang w:val="en-US" w:eastAsia="zh-CN" w:bidi="ar-SA"/>
          <w14:textFill>
            <w14:solidFill>
              <w14:schemeClr w14:val="tx1"/>
            </w14:solidFill>
          </w14:textFill>
        </w:rPr>
        <w:t>17.90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万元，培训费</w:t>
      </w:r>
      <w:r>
        <w:rPr>
          <w:rFonts w:hint="eastAsia" w:hAnsi="仿宋_GB2312" w:cs="仿宋_GB2312"/>
          <w:color w:val="000000" w:themeColor="text1"/>
          <w:kern w:val="2"/>
          <w:sz w:val="32"/>
          <w:szCs w:val="32"/>
          <w:lang w:val="en-US" w:eastAsia="zh-CN" w:bidi="ar-SA"/>
          <w14:textFill>
            <w14:solidFill>
              <w14:schemeClr w14:val="tx1"/>
            </w14:solidFill>
          </w14:textFill>
        </w:rPr>
        <w:t>1.80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万元，差旅费</w:t>
      </w:r>
      <w:r>
        <w:rPr>
          <w:rFonts w:hint="eastAsia" w:hAnsi="仿宋_GB2312" w:cs="仿宋_GB2312"/>
          <w:color w:val="000000" w:themeColor="text1"/>
          <w:kern w:val="2"/>
          <w:sz w:val="32"/>
          <w:szCs w:val="32"/>
          <w:lang w:val="en-US" w:eastAsia="zh-CN" w:bidi="ar-SA"/>
          <w14:textFill>
            <w14:solidFill>
              <w14:schemeClr w14:val="tx1"/>
            </w14:solidFill>
          </w14:textFill>
        </w:rPr>
        <w:t>34.00</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万元，公务接待费</w:t>
      </w:r>
      <w:r>
        <w:rPr>
          <w:rFonts w:hint="eastAsia" w:hAnsi="仿宋_GB2312" w:cs="仿宋_GB2312"/>
          <w:color w:val="000000" w:themeColor="text1"/>
          <w:kern w:val="2"/>
          <w:sz w:val="32"/>
          <w:szCs w:val="32"/>
          <w:lang w:val="en-US" w:eastAsia="zh-CN" w:bidi="ar-SA"/>
          <w14:textFill>
            <w14:solidFill>
              <w14:schemeClr w14:val="tx1"/>
            </w14:solidFill>
          </w14:textFill>
        </w:rPr>
        <w:t>0.87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万元，公务用车运行维护费</w:t>
      </w:r>
      <w:r>
        <w:rPr>
          <w:rFonts w:hint="eastAsia" w:hAnsi="仿宋_GB2312" w:cs="仿宋_GB2312"/>
          <w:color w:val="000000" w:themeColor="text1"/>
          <w:kern w:val="2"/>
          <w:sz w:val="32"/>
          <w:szCs w:val="32"/>
          <w:lang w:val="en-US" w:eastAsia="zh-CN" w:bidi="ar-SA"/>
          <w14:textFill>
            <w14:solidFill>
              <w14:schemeClr w14:val="tx1"/>
            </w14:solidFill>
          </w14:textFill>
        </w:rPr>
        <w:t>29.5</w:t>
      </w:r>
      <w:bookmarkStart w:id="21" w:name="_GoBack"/>
      <w:bookmarkEnd w:id="21"/>
      <w:r>
        <w:rPr>
          <w:rFonts w:hint="eastAsia" w:hAnsi="仿宋_GB2312" w:cs="仿宋_GB2312"/>
          <w:color w:val="000000" w:themeColor="text1"/>
          <w:kern w:val="2"/>
          <w:sz w:val="32"/>
          <w:szCs w:val="32"/>
          <w:lang w:val="en-US" w:eastAsia="zh-CN" w:bidi="ar-SA"/>
          <w14:textFill>
            <w14:solidFill>
              <w14:schemeClr w14:val="tx1"/>
            </w14:solidFill>
          </w14:textFill>
        </w:rPr>
        <w:t>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万元，维修（护）费3.72万元，福利费</w:t>
      </w:r>
      <w:r>
        <w:rPr>
          <w:rFonts w:hint="eastAsia" w:hAnsi="仿宋_GB2312" w:cs="仿宋_GB2312"/>
          <w:color w:val="000000" w:themeColor="text1"/>
          <w:kern w:val="2"/>
          <w:sz w:val="32"/>
          <w:szCs w:val="32"/>
          <w:lang w:val="en-US" w:eastAsia="zh-CN" w:bidi="ar-SA"/>
          <w14:textFill>
            <w14:solidFill>
              <w14:schemeClr w14:val="tx1"/>
            </w14:solidFill>
          </w14:textFill>
        </w:rPr>
        <w:t>9.08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万元，取暖费</w:t>
      </w:r>
      <w:r>
        <w:rPr>
          <w:rFonts w:hint="eastAsia" w:hAnsi="仿宋_GB2312" w:cs="仿宋_GB2312"/>
          <w:color w:val="000000" w:themeColor="text1"/>
          <w:kern w:val="2"/>
          <w:sz w:val="32"/>
          <w:szCs w:val="32"/>
          <w:lang w:val="en-US" w:eastAsia="zh-CN" w:bidi="ar-SA"/>
          <w14:textFill>
            <w14:solidFill>
              <w14:schemeClr w14:val="tx1"/>
            </w14:solidFill>
          </w14:textFill>
        </w:rPr>
        <w:t>0.52</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万元，邮电费</w:t>
      </w:r>
      <w:r>
        <w:rPr>
          <w:rFonts w:hint="eastAsia" w:hAnsi="仿宋_GB2312" w:cs="仿宋_GB2312"/>
          <w:color w:val="000000" w:themeColor="text1"/>
          <w:kern w:val="2"/>
          <w:sz w:val="32"/>
          <w:szCs w:val="32"/>
          <w:lang w:val="en-US" w:eastAsia="zh-CN" w:bidi="ar-SA"/>
          <w14:textFill>
            <w14:solidFill>
              <w14:schemeClr w14:val="tx1"/>
            </w14:solidFill>
          </w14:textFill>
        </w:rPr>
        <w:t>5.51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万元，水费0.</w:t>
      </w:r>
      <w:r>
        <w:rPr>
          <w:rFonts w:hint="eastAsia" w:hAnsi="仿宋_GB2312" w:cs="仿宋_GB2312"/>
          <w:color w:val="000000" w:themeColor="text1"/>
          <w:kern w:val="2"/>
          <w:sz w:val="32"/>
          <w:szCs w:val="32"/>
          <w:lang w:val="en-US" w:eastAsia="zh-CN" w:bidi="ar-SA"/>
          <w14:textFill>
            <w14:solidFill>
              <w14:schemeClr w14:val="tx1"/>
            </w14:solidFill>
          </w14:textFill>
        </w:rPr>
        <w:t>39</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w:t>
      </w:r>
      <w:r>
        <w:rPr>
          <w:rFonts w:hint="eastAsia" w:hAnsi="仿宋_GB2312" w:cs="仿宋_GB2312"/>
          <w:color w:val="000000" w:themeColor="text1"/>
          <w:kern w:val="2"/>
          <w:sz w:val="32"/>
          <w:szCs w:val="32"/>
          <w:lang w:val="en-US" w:eastAsia="zh-CN" w:bidi="ar-SA"/>
          <w14:textFill>
            <w14:solidFill>
              <w14:schemeClr w14:val="tx1"/>
            </w14:solidFill>
          </w14:textFill>
        </w:rPr>
        <w:t>劳务费5.80万元，</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其他商品和服务支出</w:t>
      </w:r>
      <w:r>
        <w:rPr>
          <w:rFonts w:hint="eastAsia" w:hAnsi="仿宋_GB2312" w:cs="仿宋_GB2312"/>
          <w:color w:val="000000" w:themeColor="text1"/>
          <w:kern w:val="2"/>
          <w:sz w:val="32"/>
          <w:szCs w:val="32"/>
          <w:lang w:val="en-US" w:eastAsia="zh-CN" w:bidi="ar-SA"/>
          <w14:textFill>
            <w14:solidFill>
              <w14:schemeClr w14:val="tx1"/>
            </w14:solidFill>
          </w14:textFill>
        </w:rPr>
        <w:t>4.27</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万元。</w:t>
      </w:r>
    </w:p>
    <w:p w14:paraId="43B1D6C1">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4.对个人和家庭的补助0.03万元。主要用于独生子女父母奖励费用。</w:t>
      </w:r>
    </w:p>
    <w:p w14:paraId="7B93E024">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5.项目支出</w:t>
      </w:r>
      <w:r>
        <w:rPr>
          <w:rFonts w:hint="eastAsia" w:hAnsi="仿宋_GB2312" w:cs="仿宋_GB2312"/>
          <w:kern w:val="2"/>
          <w:sz w:val="32"/>
          <w:szCs w:val="32"/>
          <w:lang w:val="en-US" w:eastAsia="zh-CN" w:bidi="ar-SA"/>
        </w:rPr>
        <w:t>62.9</w:t>
      </w:r>
      <w:r>
        <w:rPr>
          <w:rFonts w:hint="eastAsia" w:ascii="仿宋_GB2312" w:hAnsi="仿宋_GB2312" w:eastAsia="仿宋_GB2312" w:cs="仿宋_GB2312"/>
          <w:kern w:val="2"/>
          <w:sz w:val="32"/>
          <w:szCs w:val="32"/>
          <w:lang w:val="en-US" w:eastAsia="zh-CN" w:bidi="ar-SA"/>
        </w:rPr>
        <w:t>万元。主要用于生态环境保护宣传，生态环境保护执法工作，环境执法应急监测重点污染源监督性监测及监测运维，法律服务咨询</w:t>
      </w:r>
      <w:r>
        <w:rPr>
          <w:rFonts w:hint="eastAsia" w:hAnsi="仿宋_GB2312" w:cs="仿宋_GB2312"/>
          <w:kern w:val="2"/>
          <w:sz w:val="32"/>
          <w:szCs w:val="32"/>
          <w:lang w:val="en-US" w:eastAsia="zh-CN" w:bidi="ar-SA"/>
        </w:rPr>
        <w:t>，汶川片区综合执法工作，汶川片区监测站日常工作，专家评审服务</w:t>
      </w:r>
      <w:r>
        <w:rPr>
          <w:rFonts w:hint="eastAsia" w:ascii="仿宋_GB2312" w:hAnsi="仿宋_GB2312" w:eastAsia="仿宋_GB2312" w:cs="仿宋_GB2312"/>
          <w:kern w:val="2"/>
          <w:sz w:val="32"/>
          <w:szCs w:val="32"/>
          <w:lang w:val="en-US" w:eastAsia="zh-CN" w:bidi="ar-SA"/>
        </w:rPr>
        <w:t>。</w:t>
      </w:r>
    </w:p>
    <w:p w14:paraId="299CC452">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12" w:name="_Toc22141"/>
      <w:r>
        <w:rPr>
          <w:rFonts w:hint="eastAsia"/>
        </w:rPr>
        <w:t>六、一般公共预算基本支出情况说明</w:t>
      </w:r>
      <w:bookmarkEnd w:id="12"/>
    </w:p>
    <w:p w14:paraId="597F20BD">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275.03</w:t>
      </w:r>
      <w:r>
        <w:rPr>
          <w:rFonts w:hint="eastAsia" w:cs="仿宋_GB2312"/>
          <w:kern w:val="2"/>
          <w:sz w:val="32"/>
          <w:szCs w:val="32"/>
        </w:rPr>
        <w:t>万元，其中：人员经费</w:t>
      </w:r>
      <w:r>
        <w:rPr>
          <w:rFonts w:hint="eastAsia" w:cs="仿宋_GB2312"/>
          <w:kern w:val="2"/>
          <w:sz w:val="32"/>
          <w:szCs w:val="32"/>
          <w:lang w:val="en-US" w:eastAsia="zh-CN"/>
        </w:rPr>
        <w:t>161.75</w:t>
      </w:r>
      <w:r>
        <w:rPr>
          <w:rFonts w:hint="eastAsia" w:cs="仿宋_GB2312"/>
          <w:kern w:val="2"/>
          <w:sz w:val="32"/>
          <w:szCs w:val="32"/>
        </w:rPr>
        <w:t>万元，主要包括：基本工资</w:t>
      </w:r>
      <w:r>
        <w:rPr>
          <w:rFonts w:hint="eastAsia" w:cs="仿宋_GB2312"/>
          <w:kern w:val="2"/>
          <w:sz w:val="32"/>
          <w:szCs w:val="32"/>
          <w:lang w:val="en-US" w:eastAsia="zh-CN"/>
        </w:rPr>
        <w:t>48.36万元</w:t>
      </w:r>
      <w:r>
        <w:rPr>
          <w:rFonts w:hint="eastAsia" w:cs="仿宋_GB2312"/>
          <w:kern w:val="2"/>
          <w:sz w:val="32"/>
          <w:szCs w:val="32"/>
        </w:rPr>
        <w:t>、津贴补贴</w:t>
      </w:r>
      <w:r>
        <w:rPr>
          <w:rFonts w:hint="eastAsia" w:cs="仿宋_GB2312"/>
          <w:kern w:val="2"/>
          <w:sz w:val="32"/>
          <w:szCs w:val="32"/>
          <w:lang w:val="en-US" w:eastAsia="zh-CN"/>
        </w:rPr>
        <w:t>46.63万元</w:t>
      </w:r>
      <w:r>
        <w:rPr>
          <w:rFonts w:hint="eastAsia" w:cs="仿宋_GB2312"/>
          <w:kern w:val="2"/>
          <w:sz w:val="32"/>
          <w:szCs w:val="32"/>
        </w:rPr>
        <w:t>、奖金</w:t>
      </w:r>
      <w:r>
        <w:rPr>
          <w:rFonts w:hint="eastAsia" w:cs="仿宋_GB2312"/>
          <w:kern w:val="2"/>
          <w:sz w:val="32"/>
          <w:szCs w:val="32"/>
          <w:lang w:val="en-US" w:eastAsia="zh-CN"/>
        </w:rPr>
        <w:t>4.03万元</w:t>
      </w:r>
      <w:r>
        <w:rPr>
          <w:rFonts w:hint="eastAsia" w:cs="仿宋_GB2312"/>
          <w:kern w:val="2"/>
          <w:sz w:val="32"/>
          <w:szCs w:val="32"/>
        </w:rPr>
        <w:t>、其他社会保障缴费</w:t>
      </w:r>
      <w:r>
        <w:rPr>
          <w:rFonts w:hint="eastAsia" w:cs="仿宋_GB2312"/>
          <w:kern w:val="2"/>
          <w:sz w:val="32"/>
          <w:szCs w:val="32"/>
          <w:lang w:val="en-US" w:eastAsia="zh-CN"/>
        </w:rPr>
        <w:t>1.10万元</w:t>
      </w:r>
      <w:r>
        <w:rPr>
          <w:rFonts w:hint="eastAsia" w:cs="仿宋_GB2312"/>
          <w:kern w:val="2"/>
          <w:sz w:val="32"/>
          <w:szCs w:val="32"/>
        </w:rPr>
        <w:t>、机关事业单位基本养老保险缴费</w:t>
      </w:r>
      <w:r>
        <w:rPr>
          <w:rFonts w:hint="eastAsia" w:cs="仿宋_GB2312"/>
          <w:kern w:val="2"/>
          <w:sz w:val="32"/>
          <w:szCs w:val="32"/>
          <w:lang w:val="en-US" w:eastAsia="zh-CN"/>
        </w:rPr>
        <w:t>21.94万元</w:t>
      </w:r>
      <w:r>
        <w:rPr>
          <w:rFonts w:hint="eastAsia" w:cs="仿宋_GB2312"/>
          <w:kern w:val="2"/>
          <w:sz w:val="32"/>
          <w:szCs w:val="32"/>
        </w:rPr>
        <w:t>、职业年金缴费</w:t>
      </w:r>
      <w:r>
        <w:rPr>
          <w:rFonts w:hint="eastAsia" w:cs="仿宋_GB2312"/>
          <w:kern w:val="2"/>
          <w:sz w:val="32"/>
          <w:szCs w:val="32"/>
          <w:lang w:val="en-US" w:eastAsia="zh-CN"/>
        </w:rPr>
        <w:t>10.97万元</w:t>
      </w:r>
      <w:r>
        <w:rPr>
          <w:rFonts w:hint="eastAsia" w:cs="仿宋_GB2312"/>
          <w:kern w:val="2"/>
          <w:sz w:val="32"/>
          <w:szCs w:val="32"/>
        </w:rPr>
        <w:t>、职工基本医疗保险缴费</w:t>
      </w:r>
      <w:r>
        <w:rPr>
          <w:rFonts w:hint="eastAsia" w:cs="仿宋_GB2312"/>
          <w:kern w:val="2"/>
          <w:sz w:val="32"/>
          <w:szCs w:val="32"/>
          <w:lang w:val="en-US" w:eastAsia="zh-CN"/>
        </w:rPr>
        <w:t>9.60万元、  公务员医疗补助缴费3.03万元</w:t>
      </w:r>
      <w:r>
        <w:rPr>
          <w:rFonts w:hint="eastAsia" w:cs="仿宋_GB2312"/>
          <w:kern w:val="2"/>
          <w:sz w:val="32"/>
          <w:szCs w:val="32"/>
        </w:rPr>
        <w:t>、住房公积金</w:t>
      </w:r>
      <w:r>
        <w:rPr>
          <w:rFonts w:hint="eastAsia" w:cs="仿宋_GB2312"/>
          <w:kern w:val="2"/>
          <w:sz w:val="32"/>
          <w:szCs w:val="32"/>
          <w:lang w:val="en-US" w:eastAsia="zh-CN"/>
        </w:rPr>
        <w:t>15.97万元</w:t>
      </w:r>
      <w:r>
        <w:rPr>
          <w:rFonts w:hint="eastAsia" w:cs="仿宋_GB2312"/>
          <w:kern w:val="2"/>
          <w:sz w:val="32"/>
          <w:szCs w:val="32"/>
        </w:rPr>
        <w:t>、其他对个人和家庭的补助支出</w:t>
      </w:r>
      <w:r>
        <w:rPr>
          <w:rFonts w:hint="eastAsia" w:cs="仿宋_GB2312"/>
          <w:kern w:val="2"/>
          <w:sz w:val="32"/>
          <w:szCs w:val="32"/>
          <w:lang w:val="en-US" w:eastAsia="zh-CN"/>
        </w:rPr>
        <w:t>0.03万元  、其他商品和服务支出0.10元</w:t>
      </w:r>
      <w:r>
        <w:rPr>
          <w:rFonts w:hint="eastAsia" w:cs="仿宋_GB2312"/>
          <w:kern w:val="2"/>
          <w:sz w:val="32"/>
          <w:szCs w:val="32"/>
        </w:rPr>
        <w:t>。</w:t>
      </w:r>
    </w:p>
    <w:p w14:paraId="1857A4F7">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公用经费</w:t>
      </w:r>
      <w:r>
        <w:rPr>
          <w:rFonts w:hint="eastAsia" w:cs="仿宋_GB2312"/>
          <w:color w:val="auto"/>
          <w:kern w:val="2"/>
          <w:sz w:val="32"/>
          <w:szCs w:val="32"/>
          <w:lang w:val="en-US" w:eastAsia="zh-CN" w:bidi="ar-SA"/>
        </w:rPr>
        <w:t>50.38</w:t>
      </w:r>
      <w:r>
        <w:rPr>
          <w:rFonts w:hint="eastAsia" w:ascii="仿宋_GB2312" w:hAnsi="Calibri" w:eastAsia="仿宋_GB2312" w:cs="仿宋_GB2312"/>
          <w:color w:val="auto"/>
          <w:kern w:val="2"/>
          <w:sz w:val="32"/>
          <w:szCs w:val="32"/>
          <w:lang w:val="en-US" w:eastAsia="zh-CN" w:bidi="ar-SA"/>
        </w:rPr>
        <w:t>万元，主要包括：</w:t>
      </w:r>
      <w:r>
        <w:rPr>
          <w:rFonts w:hint="eastAsia" w:ascii="仿宋_GB2312" w:hAnsi="仿宋_GB2312" w:eastAsia="仿宋_GB2312" w:cs="仿宋_GB2312"/>
          <w:color w:val="auto"/>
          <w:kern w:val="2"/>
          <w:sz w:val="32"/>
          <w:szCs w:val="32"/>
          <w:lang w:val="en-US" w:eastAsia="zh-CN" w:bidi="ar-SA"/>
        </w:rPr>
        <w:t>办公费</w:t>
      </w:r>
      <w:r>
        <w:rPr>
          <w:rFonts w:hint="eastAsia" w:hAnsi="仿宋_GB2312" w:cs="仿宋_GB2312"/>
          <w:color w:val="auto"/>
          <w:kern w:val="2"/>
          <w:sz w:val="32"/>
          <w:szCs w:val="32"/>
          <w:lang w:val="en-US" w:eastAsia="zh-CN" w:bidi="ar-SA"/>
        </w:rPr>
        <w:t>1.30</w:t>
      </w:r>
      <w:r>
        <w:rPr>
          <w:rFonts w:hint="eastAsia" w:ascii="仿宋_GB2312" w:hAnsi="仿宋_GB2312" w:eastAsia="仿宋_GB2312" w:cs="仿宋_GB2312"/>
          <w:color w:val="auto"/>
          <w:kern w:val="2"/>
          <w:sz w:val="32"/>
          <w:szCs w:val="32"/>
          <w:lang w:val="en-US" w:eastAsia="zh-CN" w:bidi="ar-SA"/>
        </w:rPr>
        <w:t>万元，培训费</w:t>
      </w:r>
      <w:r>
        <w:rPr>
          <w:rFonts w:hint="eastAsia" w:hAnsi="仿宋_GB2312" w:cs="仿宋_GB2312"/>
          <w:color w:val="auto"/>
          <w:kern w:val="2"/>
          <w:sz w:val="32"/>
          <w:szCs w:val="32"/>
          <w:lang w:val="en-US" w:eastAsia="zh-CN" w:bidi="ar-SA"/>
        </w:rPr>
        <w:t>1.80</w:t>
      </w:r>
      <w:r>
        <w:rPr>
          <w:rFonts w:hint="eastAsia" w:ascii="仿宋_GB2312" w:hAnsi="仿宋_GB2312" w:eastAsia="仿宋_GB2312" w:cs="仿宋_GB2312"/>
          <w:color w:val="auto"/>
          <w:kern w:val="2"/>
          <w:sz w:val="32"/>
          <w:szCs w:val="32"/>
          <w:lang w:val="en-US" w:eastAsia="zh-CN" w:bidi="ar-SA"/>
        </w:rPr>
        <w:t>万元，差旅费</w:t>
      </w:r>
      <w:r>
        <w:rPr>
          <w:rFonts w:hint="eastAsia" w:hAnsi="仿宋_GB2312" w:cs="仿宋_GB2312"/>
          <w:color w:val="auto"/>
          <w:kern w:val="2"/>
          <w:sz w:val="32"/>
          <w:szCs w:val="32"/>
          <w:lang w:val="en-US" w:eastAsia="zh-CN" w:bidi="ar-SA"/>
        </w:rPr>
        <w:t>11.50</w:t>
      </w:r>
      <w:r>
        <w:rPr>
          <w:rFonts w:hint="eastAsia" w:ascii="仿宋_GB2312" w:hAnsi="仿宋_GB2312" w:eastAsia="仿宋_GB2312" w:cs="仿宋_GB2312"/>
          <w:color w:val="auto"/>
          <w:kern w:val="2"/>
          <w:sz w:val="32"/>
          <w:szCs w:val="32"/>
          <w:lang w:val="en-US" w:eastAsia="zh-CN" w:bidi="ar-SA"/>
        </w:rPr>
        <w:t>万元，公务接待费</w:t>
      </w:r>
      <w:r>
        <w:rPr>
          <w:rFonts w:hint="eastAsia" w:hAnsi="仿宋_GB2312" w:cs="仿宋_GB2312"/>
          <w:color w:val="auto"/>
          <w:kern w:val="2"/>
          <w:sz w:val="32"/>
          <w:szCs w:val="32"/>
          <w:lang w:val="en-US" w:eastAsia="zh-CN" w:bidi="ar-SA"/>
        </w:rPr>
        <w:t>0.87</w:t>
      </w:r>
      <w:r>
        <w:rPr>
          <w:rFonts w:hint="eastAsia" w:ascii="仿宋_GB2312" w:hAnsi="仿宋_GB2312" w:eastAsia="仿宋_GB2312" w:cs="仿宋_GB2312"/>
          <w:color w:val="auto"/>
          <w:kern w:val="2"/>
          <w:sz w:val="32"/>
          <w:szCs w:val="32"/>
          <w:lang w:val="en-US" w:eastAsia="zh-CN" w:bidi="ar-SA"/>
        </w:rPr>
        <w:t>万元，公务用车运行维护费</w:t>
      </w:r>
      <w:r>
        <w:rPr>
          <w:rFonts w:hint="eastAsia" w:hAnsi="仿宋_GB2312" w:cs="仿宋_GB2312"/>
          <w:color w:val="auto"/>
          <w:kern w:val="2"/>
          <w:sz w:val="32"/>
          <w:szCs w:val="32"/>
          <w:lang w:val="en-US" w:eastAsia="zh-CN" w:bidi="ar-SA"/>
        </w:rPr>
        <w:t>11.52</w:t>
      </w:r>
      <w:r>
        <w:rPr>
          <w:rFonts w:hint="eastAsia" w:ascii="仿宋_GB2312" w:hAnsi="仿宋_GB2312" w:eastAsia="仿宋_GB2312" w:cs="仿宋_GB2312"/>
          <w:color w:val="auto"/>
          <w:kern w:val="2"/>
          <w:sz w:val="32"/>
          <w:szCs w:val="32"/>
          <w:lang w:val="en-US" w:eastAsia="zh-CN" w:bidi="ar-SA"/>
        </w:rPr>
        <w:t>万元，维修（护）费3.72万元，福利费</w:t>
      </w:r>
      <w:r>
        <w:rPr>
          <w:rFonts w:hint="eastAsia" w:hAnsi="仿宋_GB2312" w:cs="仿宋_GB2312"/>
          <w:color w:val="auto"/>
          <w:kern w:val="2"/>
          <w:sz w:val="32"/>
          <w:szCs w:val="32"/>
          <w:lang w:val="en-US" w:eastAsia="zh-CN" w:bidi="ar-SA"/>
        </w:rPr>
        <w:t>9.08</w:t>
      </w:r>
      <w:r>
        <w:rPr>
          <w:rFonts w:hint="eastAsia" w:ascii="仿宋_GB2312" w:hAnsi="仿宋_GB2312" w:eastAsia="仿宋_GB2312" w:cs="仿宋_GB2312"/>
          <w:color w:val="auto"/>
          <w:kern w:val="2"/>
          <w:sz w:val="32"/>
          <w:szCs w:val="32"/>
          <w:lang w:val="en-US" w:eastAsia="zh-CN" w:bidi="ar-SA"/>
        </w:rPr>
        <w:t>万元，取暖费</w:t>
      </w:r>
      <w:r>
        <w:rPr>
          <w:rFonts w:hint="eastAsia" w:hAnsi="仿宋_GB2312" w:cs="仿宋_GB2312"/>
          <w:color w:val="auto"/>
          <w:kern w:val="2"/>
          <w:sz w:val="32"/>
          <w:szCs w:val="32"/>
          <w:lang w:val="en-US" w:eastAsia="zh-CN" w:bidi="ar-SA"/>
        </w:rPr>
        <w:t>0.52</w:t>
      </w:r>
      <w:r>
        <w:rPr>
          <w:rFonts w:hint="eastAsia" w:ascii="仿宋_GB2312" w:hAnsi="仿宋_GB2312" w:eastAsia="仿宋_GB2312" w:cs="仿宋_GB2312"/>
          <w:color w:val="auto"/>
          <w:kern w:val="2"/>
          <w:sz w:val="32"/>
          <w:szCs w:val="32"/>
          <w:lang w:val="en-US" w:eastAsia="zh-CN" w:bidi="ar-SA"/>
        </w:rPr>
        <w:t>万元，邮电费</w:t>
      </w:r>
      <w:r>
        <w:rPr>
          <w:rFonts w:hint="eastAsia" w:hAnsi="仿宋_GB2312" w:cs="仿宋_GB2312"/>
          <w:color w:val="auto"/>
          <w:kern w:val="2"/>
          <w:sz w:val="32"/>
          <w:szCs w:val="32"/>
          <w:lang w:val="en-US" w:eastAsia="zh-CN" w:bidi="ar-SA"/>
        </w:rPr>
        <w:t>5.51</w:t>
      </w:r>
      <w:r>
        <w:rPr>
          <w:rFonts w:hint="eastAsia" w:ascii="仿宋_GB2312" w:hAnsi="仿宋_GB2312" w:eastAsia="仿宋_GB2312" w:cs="仿宋_GB2312"/>
          <w:color w:val="auto"/>
          <w:kern w:val="2"/>
          <w:sz w:val="32"/>
          <w:szCs w:val="32"/>
          <w:lang w:val="en-US" w:eastAsia="zh-CN" w:bidi="ar-SA"/>
        </w:rPr>
        <w:t>万元，水费0.</w:t>
      </w:r>
      <w:r>
        <w:rPr>
          <w:rFonts w:hint="eastAsia" w:hAnsi="仿宋_GB2312" w:cs="仿宋_GB2312"/>
          <w:color w:val="auto"/>
          <w:kern w:val="2"/>
          <w:sz w:val="32"/>
          <w:szCs w:val="32"/>
          <w:lang w:val="en-US" w:eastAsia="zh-CN" w:bidi="ar-SA"/>
        </w:rPr>
        <w:t>39</w:t>
      </w:r>
      <w:r>
        <w:rPr>
          <w:rFonts w:hint="eastAsia" w:ascii="仿宋_GB2312" w:hAnsi="仿宋_GB2312" w:eastAsia="仿宋_GB2312" w:cs="仿宋_GB2312"/>
          <w:color w:val="auto"/>
          <w:kern w:val="2"/>
          <w:sz w:val="32"/>
          <w:szCs w:val="32"/>
          <w:lang w:val="en-US" w:eastAsia="zh-CN" w:bidi="ar-SA"/>
        </w:rPr>
        <w:t>万元，其他商品和服务支出</w:t>
      </w:r>
      <w:r>
        <w:rPr>
          <w:rFonts w:hint="eastAsia" w:hAnsi="仿宋_GB2312" w:cs="仿宋_GB2312"/>
          <w:color w:val="auto"/>
          <w:kern w:val="2"/>
          <w:sz w:val="32"/>
          <w:szCs w:val="32"/>
          <w:lang w:val="en-US" w:eastAsia="zh-CN" w:bidi="ar-SA"/>
        </w:rPr>
        <w:t>4.17</w:t>
      </w:r>
      <w:r>
        <w:rPr>
          <w:rFonts w:hint="eastAsia" w:ascii="仿宋_GB2312" w:hAnsi="仿宋_GB2312" w:eastAsia="仿宋_GB2312" w:cs="仿宋_GB2312"/>
          <w:color w:val="auto"/>
          <w:kern w:val="2"/>
          <w:sz w:val="32"/>
          <w:szCs w:val="32"/>
          <w:lang w:val="en-US" w:eastAsia="zh-CN" w:bidi="ar-SA"/>
        </w:rPr>
        <w:t>万元。</w:t>
      </w:r>
    </w:p>
    <w:p w14:paraId="54EAA44F">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13" w:name="_Toc5183"/>
      <w:r>
        <w:rPr>
          <w:rFonts w:hint="eastAsia"/>
        </w:rPr>
        <w:t>七、“三公”经费财政拨款预算安排情况说明</w:t>
      </w:r>
      <w:bookmarkEnd w:id="13"/>
    </w:p>
    <w:p w14:paraId="21B02B85">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2025年“三公”经费财政拨款预算数</w:t>
      </w:r>
      <w:r>
        <w:rPr>
          <w:rFonts w:hint="eastAsia" w:cs="仿宋_GB2312"/>
          <w:kern w:val="2"/>
          <w:sz w:val="32"/>
          <w:szCs w:val="32"/>
          <w:lang w:val="en-US" w:eastAsia="zh-CN"/>
        </w:rPr>
        <w:t>30.39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0.87</w:t>
      </w:r>
      <w:r>
        <w:rPr>
          <w:rFonts w:hint="eastAsia" w:cs="仿宋_GB2312"/>
          <w:kern w:val="2"/>
          <w:sz w:val="32"/>
          <w:szCs w:val="32"/>
        </w:rPr>
        <w:t>万元，公务用车购置及运行维护费</w:t>
      </w:r>
      <w:r>
        <w:rPr>
          <w:rFonts w:hint="eastAsia" w:cs="仿宋_GB2312"/>
          <w:kern w:val="2"/>
          <w:sz w:val="32"/>
          <w:szCs w:val="32"/>
          <w:lang w:val="en-US" w:eastAsia="zh-CN"/>
        </w:rPr>
        <w:t>29.52</w:t>
      </w:r>
      <w:r>
        <w:rPr>
          <w:rFonts w:hint="eastAsia" w:cs="仿宋_GB2312"/>
          <w:kern w:val="2"/>
          <w:sz w:val="32"/>
          <w:szCs w:val="32"/>
        </w:rPr>
        <w:t>万元。</w:t>
      </w:r>
    </w:p>
    <w:p w14:paraId="47536BB3">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2BEE903F">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cs="仿宋_GB2312"/>
          <w:color w:val="000000"/>
          <w:kern w:val="2"/>
          <w:sz w:val="32"/>
          <w:szCs w:val="32"/>
          <w:lang w:val="en-US" w:eastAsia="zh-CN"/>
        </w:rPr>
      </w:pPr>
      <w:r>
        <w:rPr>
          <w:rFonts w:hint="eastAsia" w:cs="仿宋_GB2312"/>
          <w:kern w:val="2"/>
          <w:sz w:val="32"/>
          <w:szCs w:val="32"/>
        </w:rPr>
        <w:t>（二）2025年公务接待经费</w:t>
      </w:r>
      <w:r>
        <w:rPr>
          <w:rFonts w:hint="eastAsia" w:cs="仿宋_GB2312"/>
          <w:kern w:val="2"/>
          <w:sz w:val="32"/>
          <w:szCs w:val="32"/>
          <w:lang w:val="en-US" w:eastAsia="zh-CN"/>
        </w:rPr>
        <w:t>0.87</w:t>
      </w:r>
      <w:r>
        <w:rPr>
          <w:rFonts w:hint="eastAsia" w:cs="仿宋_GB2312"/>
          <w:kern w:val="2"/>
          <w:sz w:val="32"/>
          <w:szCs w:val="32"/>
        </w:rPr>
        <w:t>万元。较202</w:t>
      </w:r>
      <w:r>
        <w:rPr>
          <w:rFonts w:hint="eastAsia" w:cs="仿宋_GB2312"/>
          <w:color w:val="000000"/>
          <w:kern w:val="2"/>
          <w:sz w:val="32"/>
          <w:szCs w:val="32"/>
        </w:rPr>
        <w:t>4年预算经费</w:t>
      </w:r>
      <w:r>
        <w:rPr>
          <w:rFonts w:hint="eastAsia" w:cs="宋体"/>
          <w:sz w:val="32"/>
          <w:szCs w:val="32"/>
        </w:rPr>
        <w:t>增加</w:t>
      </w:r>
      <w:r>
        <w:rPr>
          <w:rFonts w:hint="eastAsia" w:cs="宋体"/>
          <w:sz w:val="32"/>
          <w:szCs w:val="32"/>
          <w:lang w:val="en-US" w:eastAsia="zh-CN"/>
        </w:rPr>
        <w:t>0.16</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22.53</w:t>
      </w:r>
      <w:r>
        <w:rPr>
          <w:rFonts w:hint="eastAsia" w:cs="仿宋_GB2312"/>
          <w:color w:val="000000"/>
          <w:kern w:val="2"/>
          <w:sz w:val="32"/>
          <w:szCs w:val="32"/>
        </w:rPr>
        <w:t>%，主要原因</w:t>
      </w:r>
      <w:r>
        <w:rPr>
          <w:rFonts w:hint="eastAsia" w:cs="仿宋_GB2312"/>
          <w:color w:val="000000"/>
          <w:kern w:val="2"/>
          <w:sz w:val="32"/>
          <w:szCs w:val="32"/>
          <w:lang w:val="en-US" w:eastAsia="zh-CN"/>
        </w:rPr>
        <w:t>：2025年我单位预算新增4人。</w:t>
      </w:r>
    </w:p>
    <w:p w14:paraId="7C885D86">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29.52</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11.6</w:t>
      </w:r>
      <w:r>
        <w:rPr>
          <w:rFonts w:hint="eastAsia" w:cs="仿宋_GB2312"/>
          <w:color w:val="000000"/>
          <w:kern w:val="2"/>
          <w:sz w:val="32"/>
          <w:szCs w:val="32"/>
        </w:rPr>
        <w:t>万元，增长</w:t>
      </w:r>
      <w:r>
        <w:rPr>
          <w:rFonts w:hint="eastAsia" w:cs="仿宋_GB2312"/>
          <w:color w:val="000000"/>
          <w:kern w:val="2"/>
          <w:sz w:val="32"/>
          <w:szCs w:val="32"/>
          <w:lang w:val="en-US" w:eastAsia="zh-CN"/>
        </w:rPr>
        <w:t>64.47</w:t>
      </w:r>
      <w:r>
        <w:rPr>
          <w:rFonts w:hint="eastAsia" w:cs="仿宋_GB2312"/>
          <w:color w:val="000000"/>
          <w:kern w:val="2"/>
          <w:sz w:val="32"/>
          <w:szCs w:val="32"/>
        </w:rPr>
        <w:t>%，主要原因</w:t>
      </w:r>
      <w:r>
        <w:rPr>
          <w:rFonts w:hint="eastAsia" w:cs="仿宋_GB2312"/>
          <w:color w:val="000000"/>
          <w:kern w:val="2"/>
          <w:sz w:val="32"/>
          <w:szCs w:val="32"/>
          <w:lang w:val="en-US" w:eastAsia="zh-CN"/>
        </w:rPr>
        <w:t>：2025年我单位新增汶川片区执法项目和汶川片区监测项目。</w:t>
      </w:r>
    </w:p>
    <w:p w14:paraId="6B6EC41C">
      <w:pPr>
        <w:pStyle w:val="3"/>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bookmarkStart w:id="14" w:name="_Toc9321"/>
      <w:r>
        <w:rPr>
          <w:rFonts w:hint="eastAsia"/>
        </w:rPr>
        <w:t>八、政府性基金预算支出情况说明</w:t>
      </w:r>
      <w:bookmarkEnd w:id="14"/>
    </w:p>
    <w:p w14:paraId="05470451">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cs="仿宋_GB2312"/>
          <w:kern w:val="2"/>
          <w:sz w:val="32"/>
          <w:szCs w:val="32"/>
          <w:lang w:val="en-US" w:eastAsia="zh-CN"/>
        </w:rPr>
        <w:t>我单位</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22B7EB5A">
      <w:pPr>
        <w:pStyle w:val="3"/>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rPr>
      </w:pPr>
      <w:bookmarkStart w:id="15" w:name="_Toc23755"/>
      <w:r>
        <w:rPr>
          <w:rFonts w:hint="eastAsia"/>
        </w:rPr>
        <w:t>其他重要事项的情况说明</w:t>
      </w:r>
      <w:bookmarkEnd w:id="15"/>
    </w:p>
    <w:p w14:paraId="035532F8">
      <w:pPr>
        <w:pStyle w:val="4"/>
        <w:bidi w:val="0"/>
        <w:rPr>
          <w:rFonts w:hint="eastAsia"/>
        </w:rPr>
      </w:pPr>
      <w:bookmarkStart w:id="16" w:name="_Toc26995"/>
      <w:r>
        <w:rPr>
          <w:rFonts w:hint="eastAsia"/>
        </w:rPr>
        <w:t>（一）机关运行经费</w:t>
      </w:r>
      <w:bookmarkEnd w:id="16"/>
    </w:p>
    <w:p w14:paraId="740CD9E3">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cs="仿宋_GB2312"/>
          <w:color w:val="000000"/>
          <w:kern w:val="2"/>
          <w:sz w:val="32"/>
          <w:szCs w:val="32"/>
          <w:lang w:val="en-US" w:eastAsia="zh-CN"/>
        </w:rPr>
      </w:pPr>
      <w:r>
        <w:rPr>
          <w:rFonts w:hint="eastAsia" w:cs="仿宋_GB2312"/>
          <w:kern w:val="2"/>
          <w:sz w:val="32"/>
          <w:szCs w:val="32"/>
        </w:rPr>
        <w:t>我单位202</w:t>
      </w:r>
      <w:r>
        <w:rPr>
          <w:rFonts w:hint="eastAsia" w:cs="仿宋_GB2312"/>
          <w:kern w:val="2"/>
          <w:sz w:val="32"/>
          <w:szCs w:val="32"/>
          <w:lang w:val="en-US" w:eastAsia="zh-CN"/>
        </w:rPr>
        <w:t>5</w:t>
      </w:r>
      <w:r>
        <w:rPr>
          <w:rFonts w:hint="eastAsia" w:cs="仿宋_GB2312"/>
          <w:kern w:val="2"/>
          <w:sz w:val="32"/>
          <w:szCs w:val="32"/>
        </w:rPr>
        <w:t>年机关运行经费财政拨款预算为</w:t>
      </w:r>
      <w:r>
        <w:rPr>
          <w:rFonts w:hint="eastAsia" w:cs="仿宋_GB2312"/>
          <w:kern w:val="2"/>
          <w:sz w:val="32"/>
          <w:szCs w:val="32"/>
          <w:lang w:val="en-US" w:eastAsia="zh-CN"/>
        </w:rPr>
        <w:t>113.38</w:t>
      </w:r>
      <w:r>
        <w:rPr>
          <w:rFonts w:hint="eastAsia" w:cs="仿宋_GB2312"/>
          <w:kern w:val="2"/>
          <w:sz w:val="32"/>
          <w:szCs w:val="32"/>
        </w:rPr>
        <w:t>万元，202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64.20</w:t>
      </w:r>
      <w:r>
        <w:rPr>
          <w:rFonts w:hint="eastAsia" w:cs="仿宋_GB2312"/>
          <w:kern w:val="2"/>
          <w:sz w:val="32"/>
          <w:szCs w:val="32"/>
        </w:rPr>
        <w:t>万元，比202</w:t>
      </w:r>
      <w:r>
        <w:rPr>
          <w:rFonts w:hint="eastAsia" w:cs="仿宋_GB2312"/>
          <w:kern w:val="2"/>
          <w:sz w:val="32"/>
          <w:szCs w:val="32"/>
          <w:lang w:val="en-US" w:eastAsia="zh-CN"/>
        </w:rPr>
        <w:t>4</w:t>
      </w:r>
      <w:r>
        <w:rPr>
          <w:rFonts w:hint="eastAsia" w:cs="仿宋_GB2312"/>
          <w:kern w:val="2"/>
          <w:sz w:val="32"/>
          <w:szCs w:val="32"/>
        </w:rPr>
        <w:t>年预算增加</w:t>
      </w:r>
      <w:r>
        <w:rPr>
          <w:rFonts w:hint="eastAsia" w:cs="仿宋_GB2312"/>
          <w:kern w:val="2"/>
          <w:sz w:val="32"/>
          <w:szCs w:val="32"/>
          <w:lang w:val="en-US" w:eastAsia="zh-CN"/>
        </w:rPr>
        <w:t>49.18</w:t>
      </w:r>
      <w:r>
        <w:rPr>
          <w:rFonts w:hint="eastAsia" w:cs="仿宋_GB2312"/>
          <w:kern w:val="2"/>
          <w:sz w:val="32"/>
          <w:szCs w:val="32"/>
        </w:rPr>
        <w:t>万元，增加</w:t>
      </w:r>
      <w:r>
        <w:rPr>
          <w:rFonts w:hint="eastAsia" w:cs="仿宋_GB2312"/>
          <w:kern w:val="2"/>
          <w:sz w:val="32"/>
          <w:szCs w:val="32"/>
          <w:lang w:val="en-US" w:eastAsia="zh-CN"/>
        </w:rPr>
        <w:t>76.60</w:t>
      </w:r>
      <w:r>
        <w:rPr>
          <w:rFonts w:hint="eastAsia" w:cs="仿宋_GB2312"/>
          <w:kern w:val="2"/>
          <w:sz w:val="32"/>
          <w:szCs w:val="32"/>
        </w:rPr>
        <w:t>%。主要原因</w:t>
      </w:r>
      <w:r>
        <w:rPr>
          <w:rFonts w:hint="eastAsia" w:cs="仿宋_GB2312"/>
          <w:kern w:val="2"/>
          <w:sz w:val="32"/>
          <w:szCs w:val="32"/>
          <w:lang w:eastAsia="zh-CN"/>
        </w:rPr>
        <w:t>：</w:t>
      </w:r>
      <w:r>
        <w:rPr>
          <w:rFonts w:hint="eastAsia" w:cs="仿宋_GB2312"/>
          <w:color w:val="000000"/>
          <w:kern w:val="2"/>
          <w:sz w:val="32"/>
          <w:szCs w:val="32"/>
          <w:lang w:val="en-US" w:eastAsia="zh-CN"/>
        </w:rPr>
        <w:t>2025年我单位预算新增4人，新增汶川片区执法项目和汶川片区监测项目。</w:t>
      </w:r>
    </w:p>
    <w:p w14:paraId="7EDD545C">
      <w:pPr>
        <w:pStyle w:val="4"/>
        <w:bidi w:val="0"/>
        <w:rPr>
          <w:rFonts w:hint="eastAsia"/>
        </w:rPr>
      </w:pPr>
      <w:bookmarkStart w:id="17" w:name="_Toc4295"/>
      <w:r>
        <w:rPr>
          <w:rFonts w:hint="eastAsia"/>
        </w:rPr>
        <w:t>（二）政府采购情况</w:t>
      </w:r>
      <w:bookmarkEnd w:id="17"/>
    </w:p>
    <w:p w14:paraId="17F66FE9">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0" w:leftChars="0" w:firstLine="640" w:firstLineChars="200"/>
        <w:textAlignment w:val="auto"/>
        <w:rPr>
          <w:rFonts w:cs="仿宋_GB2312"/>
          <w:kern w:val="2"/>
          <w:sz w:val="32"/>
          <w:szCs w:val="32"/>
        </w:rPr>
      </w:pPr>
      <w:r>
        <w:rPr>
          <w:rFonts w:hint="eastAsia" w:ascii="仿宋_GB2312" w:hAnsi="仿宋_GB2312" w:eastAsia="仿宋_GB2312" w:cs="仿宋_GB2312"/>
          <w:sz w:val="32"/>
          <w:szCs w:val="32"/>
        </w:rPr>
        <w:t>202</w:t>
      </w:r>
      <w:r>
        <w:rPr>
          <w:rFonts w:hint="eastAsia"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安排政府采购预算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我局主要为环境监管</w:t>
      </w:r>
      <w:r>
        <w:rPr>
          <w:rFonts w:hint="eastAsia" w:cs="仿宋_GB2312"/>
          <w:sz w:val="32"/>
          <w:szCs w:val="32"/>
          <w:lang w:val="en-US" w:eastAsia="zh-CN"/>
        </w:rPr>
        <w:t>单位。</w:t>
      </w:r>
    </w:p>
    <w:p w14:paraId="08958C16">
      <w:pPr>
        <w:pStyle w:val="4"/>
        <w:bidi w:val="0"/>
      </w:pPr>
      <w:bookmarkStart w:id="18" w:name="_Toc9942"/>
      <w:r>
        <w:rPr>
          <w:rFonts w:hint="eastAsia"/>
        </w:rPr>
        <w:t>（三）国有资产占有使用情况</w:t>
      </w:r>
      <w:bookmarkEnd w:id="18"/>
    </w:p>
    <w:p w14:paraId="6299C8F3">
      <w:pPr>
        <w:pStyle w:val="17"/>
        <w:pageBreakBefore w:val="0"/>
        <w:widowControl w:val="0"/>
        <w:kinsoku/>
        <w:wordWrap/>
        <w:overflowPunct/>
        <w:topLinePunct w:val="0"/>
        <w:autoSpaceDE/>
        <w:autoSpaceDN/>
        <w:bidi w:val="0"/>
        <w:adjustRightInd/>
        <w:snapToGrid/>
        <w:spacing w:before="0" w:line="560" w:lineRule="exact"/>
        <w:ind w:left="0" w:leftChars="0" w:firstLine="640" w:firstLineChars="200"/>
        <w:textAlignment w:val="auto"/>
        <w:rPr>
          <w:rFonts w:hint="eastAsia" w:cs="仿宋_GB2312"/>
          <w:sz w:val="32"/>
          <w:szCs w:val="32"/>
          <w:lang w:val="en-US" w:eastAsia="zh-CN"/>
        </w:rPr>
      </w:pPr>
      <w:r>
        <w:rPr>
          <w:rFonts w:hint="eastAsia" w:ascii="仿宋_GB2312" w:hAnsi="仿宋_GB2312" w:eastAsia="仿宋_GB2312" w:cs="仿宋_GB2312"/>
          <w:sz w:val="32"/>
          <w:szCs w:val="32"/>
        </w:rPr>
        <w:t>截止202</w:t>
      </w:r>
      <w:r>
        <w:rPr>
          <w:rFonts w:hint="eastAsia" w:cs="仿宋_GB2312"/>
          <w:sz w:val="32"/>
          <w:szCs w:val="32"/>
          <w:lang w:val="en-US" w:eastAsia="zh-CN"/>
        </w:rPr>
        <w:t>4</w:t>
      </w:r>
      <w:r>
        <w:rPr>
          <w:rFonts w:hint="eastAsia" w:ascii="仿宋_GB2312" w:hAnsi="仿宋_GB2312" w:eastAsia="仿宋_GB2312" w:cs="仿宋_GB2312"/>
          <w:sz w:val="32"/>
          <w:szCs w:val="32"/>
        </w:rPr>
        <w:t>年12月31日我单位固定资产原值</w:t>
      </w:r>
      <w:r>
        <w:rPr>
          <w:rFonts w:hint="eastAsia" w:ascii="仿宋_GB2312" w:hAnsi="仿宋_GB2312" w:eastAsia="仿宋_GB2312" w:cs="仿宋_GB2312"/>
          <w:color w:val="auto"/>
          <w:sz w:val="32"/>
          <w:szCs w:val="32"/>
        </w:rPr>
        <w:t>为</w:t>
      </w:r>
      <w:r>
        <w:rPr>
          <w:rFonts w:hint="eastAsia" w:cs="仿宋_GB2312"/>
          <w:color w:val="auto"/>
          <w:sz w:val="32"/>
          <w:szCs w:val="32"/>
          <w:lang w:val="en-US" w:eastAsia="zh-CN"/>
        </w:rPr>
        <w:t>4138.05</w:t>
      </w:r>
      <w:r>
        <w:rPr>
          <w:rFonts w:hint="eastAsia" w:ascii="仿宋_GB2312" w:hAnsi="仿宋_GB2312" w:eastAsia="仿宋_GB2312" w:cs="仿宋_GB2312"/>
          <w:color w:val="auto"/>
          <w:sz w:val="32"/>
          <w:szCs w:val="32"/>
        </w:rPr>
        <w:t>万元，其中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房屋2</w:t>
      </w:r>
      <w:r>
        <w:rPr>
          <w:rFonts w:hint="eastAsia" w:cs="仿宋_GB2312"/>
          <w:color w:val="auto"/>
          <w:sz w:val="32"/>
          <w:szCs w:val="32"/>
          <w:lang w:val="en-US" w:eastAsia="zh-CN"/>
        </w:rPr>
        <w:t>540</w:t>
      </w:r>
      <w:r>
        <w:rPr>
          <w:rFonts w:hint="eastAsia" w:ascii="仿宋_GB2312" w:hAnsi="仿宋_GB2312" w:eastAsia="仿宋_GB2312" w:cs="仿宋_GB2312"/>
          <w:color w:val="auto"/>
          <w:sz w:val="32"/>
          <w:szCs w:val="32"/>
          <w:lang w:val="en-US" w:eastAsia="zh-CN"/>
        </w:rPr>
        <w:t>m</w:t>
      </w:r>
      <w:r>
        <w:rPr>
          <w:rFonts w:hint="eastAsia" w:ascii="仿宋_GB2312" w:hAnsi="仿宋_GB2312" w:eastAsia="仿宋_GB2312" w:cs="仿宋_GB2312"/>
          <w:color w:val="auto"/>
          <w:sz w:val="32"/>
          <w:szCs w:val="32"/>
          <w:vertAlign w:val="superscript"/>
          <w:lang w:val="en-US" w:eastAsia="zh-CN"/>
        </w:rPr>
        <w:t>2</w:t>
      </w:r>
      <w:r>
        <w:rPr>
          <w:rFonts w:hint="eastAsia" w:ascii="仿宋_GB2312" w:hAnsi="仿宋_GB2312" w:eastAsia="仿宋_GB2312" w:cs="仿宋_GB2312"/>
          <w:color w:val="auto"/>
          <w:sz w:val="32"/>
          <w:szCs w:val="32"/>
          <w:lang w:val="en-US" w:eastAsia="zh-CN"/>
        </w:rPr>
        <w:t>价值</w:t>
      </w:r>
      <w:r>
        <w:rPr>
          <w:rFonts w:hint="eastAsia" w:cs="仿宋_GB2312"/>
          <w:color w:val="auto"/>
          <w:sz w:val="32"/>
          <w:szCs w:val="32"/>
          <w:lang w:val="en-US" w:eastAsia="zh-CN"/>
        </w:rPr>
        <w:t>497.32</w:t>
      </w:r>
      <w:r>
        <w:rPr>
          <w:rFonts w:hint="eastAsia" w:ascii="仿宋_GB2312" w:hAnsi="仿宋_GB2312" w:eastAsia="仿宋_GB2312" w:cs="仿宋_GB2312"/>
          <w:color w:val="auto"/>
          <w:sz w:val="32"/>
          <w:szCs w:val="32"/>
          <w:lang w:val="en-US" w:eastAsia="zh-CN"/>
        </w:rPr>
        <w:t>万元</w:t>
      </w:r>
      <w:r>
        <w:rPr>
          <w:rFonts w:hint="eastAsia" w:ascii="仿宋_GB2312" w:hAnsi="仿宋_GB2312" w:eastAsia="仿宋_GB2312" w:cs="仿宋_GB2312"/>
          <w:color w:val="auto"/>
          <w:sz w:val="32"/>
          <w:szCs w:val="32"/>
          <w:lang w:eastAsia="zh-CN"/>
        </w:rPr>
        <w:t>，</w:t>
      </w:r>
      <w:r>
        <w:rPr>
          <w:rFonts w:hint="eastAsia" w:cs="仿宋_GB2312"/>
          <w:color w:val="auto"/>
          <w:sz w:val="32"/>
          <w:szCs w:val="32"/>
          <w:lang w:val="en-US" w:eastAsia="zh-CN"/>
        </w:rPr>
        <w:t>设备3095.07万元，家具等22.02万元，无形资产523.64万元，</w:t>
      </w:r>
      <w:r>
        <w:rPr>
          <w:rFonts w:hint="eastAsia" w:ascii="仿宋_GB2312" w:hAnsi="仿宋_GB2312" w:eastAsia="仿宋_GB2312" w:cs="仿宋_GB2312"/>
          <w:color w:val="auto"/>
          <w:sz w:val="32"/>
          <w:szCs w:val="32"/>
        </w:rPr>
        <w:t>车辆有</w:t>
      </w:r>
      <w:r>
        <w:rPr>
          <w:rFonts w:hint="eastAsia" w:hAnsi="仿宋_GB2312" w:cs="仿宋_GB2312"/>
          <w:color w:val="auto"/>
          <w:sz w:val="32"/>
          <w:szCs w:val="32"/>
          <w:lang w:val="en-US" w:eastAsia="zh-CN"/>
        </w:rPr>
        <w:t>3</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zCs w:val="32"/>
          <w:lang w:eastAsia="zh-CN"/>
        </w:rPr>
        <w:t>，</w:t>
      </w:r>
      <w:r>
        <w:rPr>
          <w:rFonts w:hint="eastAsia" w:cs="仿宋_GB2312"/>
          <w:color w:val="auto"/>
          <w:sz w:val="32"/>
          <w:szCs w:val="32"/>
          <w:lang w:val="en-US" w:eastAsia="zh-CN"/>
        </w:rPr>
        <w:t>127.78万元。年末固定资产净值1167.76万元。</w:t>
      </w:r>
    </w:p>
    <w:p w14:paraId="32AD1126">
      <w:pPr>
        <w:pStyle w:val="4"/>
        <w:bidi w:val="0"/>
        <w:rPr>
          <w:rFonts w:hint="eastAsia"/>
        </w:rPr>
      </w:pPr>
      <w:bookmarkStart w:id="19" w:name="_Toc9399"/>
      <w:r>
        <w:rPr>
          <w:rFonts w:hint="eastAsia"/>
          <w:lang w:eastAsia="zh-CN"/>
        </w:rPr>
        <w:t>（</w:t>
      </w:r>
      <w:r>
        <w:rPr>
          <w:rFonts w:hint="eastAsia"/>
          <w:lang w:val="en-US" w:eastAsia="zh-CN"/>
        </w:rPr>
        <w:t>四</w:t>
      </w:r>
      <w:r>
        <w:rPr>
          <w:rFonts w:hint="eastAsia"/>
          <w:lang w:eastAsia="zh-CN"/>
        </w:rPr>
        <w:t>）</w:t>
      </w:r>
      <w:r>
        <w:rPr>
          <w:rFonts w:hint="eastAsia"/>
        </w:rPr>
        <w:t>绩效目标设置情况</w:t>
      </w:r>
      <w:bookmarkEnd w:id="19"/>
    </w:p>
    <w:p w14:paraId="162D4108">
      <w:pPr>
        <w:pStyle w:val="17"/>
        <w:keepNext w:val="0"/>
        <w:keepLines w:val="0"/>
        <w:pageBreakBefore w:val="0"/>
        <w:widowControl w:val="0"/>
        <w:numPr>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hAnsi="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我单位</w:t>
      </w:r>
      <w:r>
        <w:rPr>
          <w:rFonts w:hint="eastAsia" w:ascii="仿宋_GB2312" w:hAnsi="仿宋_GB2312" w:eastAsia="仿宋_GB2312" w:cs="仿宋_GB2312"/>
          <w:sz w:val="32"/>
          <w:szCs w:val="32"/>
        </w:rPr>
        <w:t>通用项目和专用项目均按要求实行绩效目标管理，涉及一般公共预算当年拨款</w:t>
      </w:r>
      <w:r>
        <w:rPr>
          <w:rFonts w:hint="eastAsia" w:hAnsi="仿宋_GB2312" w:cs="仿宋_GB2312"/>
          <w:sz w:val="32"/>
          <w:szCs w:val="32"/>
          <w:lang w:val="en-US" w:eastAsia="zh-CN"/>
        </w:rPr>
        <w:t>62.90</w:t>
      </w:r>
      <w:r>
        <w:rPr>
          <w:rFonts w:hint="eastAsia" w:ascii="仿宋_GB2312" w:hAnsi="仿宋_GB2312" w:eastAsia="仿宋_GB2312" w:cs="仿宋_GB2312"/>
          <w:sz w:val="32"/>
          <w:szCs w:val="32"/>
        </w:rPr>
        <w:t>万元。</w:t>
      </w:r>
    </w:p>
    <w:p w14:paraId="6955EBC1">
      <w:pPr>
        <w:pStyle w:val="3"/>
        <w:bidi w:val="0"/>
        <w:rPr>
          <w:rFonts w:hint="eastAsia"/>
        </w:rPr>
      </w:pPr>
      <w:bookmarkStart w:id="20" w:name="_Toc32346"/>
      <w:r>
        <w:rPr>
          <w:rFonts w:hint="eastAsia"/>
          <w:lang w:val="en-US" w:eastAsia="zh-CN"/>
        </w:rPr>
        <w:t>十、</w:t>
      </w:r>
      <w:r>
        <w:rPr>
          <w:rFonts w:hint="eastAsia"/>
        </w:rPr>
        <w:t>名称解释</w:t>
      </w:r>
      <w:bookmarkEnd w:id="20"/>
    </w:p>
    <w:p w14:paraId="49CDBE56">
      <w:pPr>
        <w:pStyle w:val="17"/>
        <w:keepNext w:val="0"/>
        <w:keepLines w:val="0"/>
        <w:pageBreakBefore w:val="0"/>
        <w:widowControl w:val="0"/>
        <w:numPr>
          <w:numId w:val="0"/>
        </w:numPr>
        <w:kinsoku/>
        <w:wordWrap/>
        <w:overflowPunct/>
        <w:topLinePunct w:val="0"/>
        <w:autoSpaceDE/>
        <w:autoSpaceDN/>
        <w:bidi w:val="0"/>
        <w:adjustRightInd/>
        <w:snapToGrid/>
        <w:spacing w:before="0" w:line="560" w:lineRule="exact"/>
        <w:ind w:leftChars="0" w:firstLine="640" w:firstLineChars="200"/>
        <w:textAlignment w:val="auto"/>
        <w:rPr>
          <w:rFonts w:cs="仿宋_GB2312"/>
          <w:kern w:val="2"/>
          <w:sz w:val="32"/>
          <w:szCs w:val="32"/>
        </w:rPr>
      </w:pP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770E2D3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eastAsia="仿宋_GB2312" w:cs="仿宋_GB2312"/>
          <w:sz w:val="32"/>
          <w:szCs w:val="32"/>
        </w:rPr>
      </w:pP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F77F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F8B48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2BF8B48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E4A92">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5942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C5942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F548F">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B5790"/>
    <w:multiLevelType w:val="singleLevel"/>
    <w:tmpl w:val="842B5790"/>
    <w:lvl w:ilvl="0" w:tentative="0">
      <w:start w:val="1"/>
      <w:numFmt w:val="chineseCounting"/>
      <w:suff w:val="nothing"/>
      <w:lvlText w:val="（%1）"/>
      <w:lvlJc w:val="left"/>
      <w:rPr>
        <w:rFonts w:hint="eastAsia"/>
      </w:rPr>
    </w:lvl>
  </w:abstractNum>
  <w:abstractNum w:abstractNumId="1">
    <w:nsid w:val="D7F97A8E"/>
    <w:multiLevelType w:val="singleLevel"/>
    <w:tmpl w:val="D7F97A8E"/>
    <w:lvl w:ilvl="0" w:tentative="0">
      <w:start w:val="2"/>
      <w:numFmt w:val="chineseCounting"/>
      <w:suff w:val="nothing"/>
      <w:lvlText w:val="%1、"/>
      <w:lvlJc w:val="left"/>
      <w:rPr>
        <w:rFonts w:hint="eastAsia"/>
      </w:rPr>
    </w:lvl>
  </w:abstractNum>
  <w:abstractNum w:abstractNumId="2">
    <w:nsid w:val="F1EC5259"/>
    <w:multiLevelType w:val="singleLevel"/>
    <w:tmpl w:val="F1EC5259"/>
    <w:lvl w:ilvl="0" w:tentative="0">
      <w:start w:val="9"/>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037A53"/>
    <w:rsid w:val="09535CD7"/>
    <w:rsid w:val="0F705610"/>
    <w:rsid w:val="128D2761"/>
    <w:rsid w:val="15C50828"/>
    <w:rsid w:val="1FB80A0D"/>
    <w:rsid w:val="29287D41"/>
    <w:rsid w:val="2BC60B8A"/>
    <w:rsid w:val="408368E7"/>
    <w:rsid w:val="42B07FE6"/>
    <w:rsid w:val="457C4F0E"/>
    <w:rsid w:val="5A8D2CBF"/>
    <w:rsid w:val="60CD2636"/>
    <w:rsid w:val="678F3DBF"/>
    <w:rsid w:val="75792336"/>
    <w:rsid w:val="77B070F5"/>
    <w:rsid w:val="7A9C08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widowControl w:val="0"/>
      <w:spacing w:line="560" w:lineRule="exact"/>
      <w:ind w:firstLine="420" w:firstLineChars="200"/>
      <w:outlineLvl w:val="0"/>
    </w:pPr>
    <w:rPr>
      <w:rFonts w:eastAsia="黑体"/>
      <w:bCs/>
      <w:kern w:val="44"/>
      <w:sz w:val="32"/>
    </w:rPr>
  </w:style>
  <w:style w:type="paragraph" w:styleId="4">
    <w:name w:val="heading 2"/>
    <w:basedOn w:val="1"/>
    <w:next w:val="1"/>
    <w:link w:val="18"/>
    <w:qFormat/>
    <w:uiPriority w:val="0"/>
    <w:pPr>
      <w:keepNext/>
      <w:keepLines/>
      <w:widowControl w:val="0"/>
      <w:spacing w:line="560" w:lineRule="exact"/>
      <w:ind w:firstLine="420" w:firstLineChars="200"/>
      <w:outlineLvl w:val="1"/>
    </w:pPr>
    <w:rPr>
      <w:rFonts w:ascii="Arial" w:hAnsi="Arial" w:eastAsia="楷体"/>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2"/>
      <w:lang w:val="en-US" w:eastAsia="zh-CN" w:bidi="ar-SA"/>
    </w:rPr>
  </w:style>
  <w:style w:type="paragraph" w:styleId="6">
    <w:name w:val="Body Text Indent"/>
    <w:basedOn w:val="1"/>
    <w:next w:val="7"/>
    <w:uiPriority w:val="0"/>
    <w:pPr>
      <w:spacing w:after="120"/>
      <w:ind w:left="20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Plain Text"/>
    <w:basedOn w:val="1"/>
    <w:qFormat/>
    <w:uiPriority w:val="0"/>
    <w:rPr>
      <w:rFonts w:ascii="宋体" w:hAnsi="Courier New"/>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style>
  <w:style w:type="paragraph" w:styleId="11">
    <w:name w:val="toc 2"/>
    <w:basedOn w:val="1"/>
    <w:next w:val="1"/>
    <w:uiPriority w:val="0"/>
    <w:pPr>
      <w:ind w:left="420" w:leftChars="200"/>
    </w:p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Body Text First Indent 2"/>
    <w:basedOn w:val="6"/>
    <w:next w:val="8"/>
    <w:uiPriority w:val="0"/>
    <w:pPr>
      <w:widowControl w:val="0"/>
      <w:spacing w:after="120"/>
      <w:ind w:left="200" w:leftChars="200" w:firstLine="200" w:firstLineChars="200"/>
      <w:jc w:val="both"/>
    </w:pPr>
    <w:rPr>
      <w:rFonts w:ascii="Times New Roman" w:hAnsi="Times New Roman" w:eastAsia="宋体" w:cs="Times New Roman"/>
      <w:kern w:val="2"/>
      <w:sz w:val="21"/>
      <w:lang w:val="en-US" w:eastAsia="zh-CN" w:bidi="ar-SA"/>
    </w:rPr>
  </w:style>
  <w:style w:type="paragraph" w:styleId="16">
    <w:name w:val="List Paragraph"/>
    <w:basedOn w:val="1"/>
    <w:qFormat/>
    <w:uiPriority w:val="0"/>
    <w:pPr>
      <w:ind w:firstLine="200" w:firstLineChars="200"/>
    </w:pPr>
  </w:style>
  <w:style w:type="paragraph" w:customStyle="1" w:styleId="17">
    <w:name w:val="正文文本1"/>
    <w:basedOn w:val="1"/>
    <w:qFormat/>
    <w:uiPriority w:val="0"/>
    <w:pPr>
      <w:spacing w:before="93"/>
    </w:pPr>
    <w:rPr>
      <w:rFonts w:ascii="仿宋_GB2312" w:eastAsia="仿宋_GB2312"/>
      <w:kern w:val="0"/>
      <w:sz w:val="30"/>
      <w:szCs w:val="20"/>
    </w:rPr>
  </w:style>
  <w:style w:type="character" w:customStyle="1" w:styleId="18">
    <w:name w:val="标题 2 Char"/>
    <w:link w:val="4"/>
    <w:uiPriority w:val="0"/>
    <w:rPr>
      <w:rFonts w:ascii="Arial" w:hAnsi="Arial" w:eastAsia="楷体"/>
      <w:sz w:val="32"/>
    </w:rPr>
  </w:style>
  <w:style w:type="character" w:customStyle="1" w:styleId="19">
    <w:name w:val="标题 1 Char"/>
    <w:link w:val="3"/>
    <w:uiPriority w:val="0"/>
    <w:rPr>
      <w:rFonts w:eastAsia="黑体"/>
      <w:bCs/>
      <w:kern w:val="44"/>
      <w:sz w:val="32"/>
    </w:rPr>
  </w:style>
  <w:style w:type="paragraph" w:customStyle="1" w:styleId="20">
    <w:name w:val="WPSOffice手动目录 1"/>
    <w:uiPriority w:val="0"/>
    <w:pPr>
      <w:ind w:leftChars="0"/>
    </w:pPr>
    <w:rPr>
      <w:sz w:val="20"/>
      <w:szCs w:val="20"/>
    </w:rPr>
  </w:style>
  <w:style w:type="paragraph" w:customStyle="1" w:styleId="21">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10</Pages>
  <Words>1633</Words>
  <Characters>1737</Characters>
  <Lines>124</Lines>
  <Paragraphs>51</Paragraphs>
  <TotalTime>1</TotalTime>
  <ScaleCrop>false</ScaleCrop>
  <LinksUpToDate>false</LinksUpToDate>
  <CharactersWithSpaces>1778</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静静</cp:lastModifiedBy>
  <cp:lastPrinted>2018-01-30T09:39:00Z</cp:lastPrinted>
  <dcterms:modified xsi:type="dcterms:W3CDTF">2025-02-20T08:05:50Z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eyJoZGlkIjoiMmVhMmE0YmIwMDJhZWE2NzVjOWE5Zjk1Y2VjNmFhNjgiLCJ1c2VySWQiOiIyOTkxNjk0MjQifQ==</vt:lpwstr>
  </property>
  <property fmtid="{D5CDD505-2E9C-101B-9397-08002B2CF9AE}" pid="4" name="ICV">
    <vt:lpwstr>47DEC01966A54D5B9739AD96331F425D_13</vt:lpwstr>
  </property>
</Properties>
</file>