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068E09">
      <w:pPr>
        <w:rPr>
          <w:rFonts w:ascii="黑体" w:hAnsi="黑体" w:eastAsia="黑体" w:cs="Times New Roman"/>
          <w:color w:val="auto"/>
          <w:sz w:val="44"/>
          <w:szCs w:val="44"/>
        </w:rPr>
      </w:pPr>
    </w:p>
    <w:p w14:paraId="323F789A">
      <w:pPr>
        <w:rPr>
          <w:rFonts w:ascii="黑体" w:hAnsi="黑体" w:eastAsia="黑体" w:cs="Times New Roman"/>
          <w:color w:val="auto"/>
          <w:sz w:val="44"/>
          <w:szCs w:val="44"/>
        </w:rPr>
      </w:pPr>
    </w:p>
    <w:p w14:paraId="726EB2D3">
      <w:pPr>
        <w:rPr>
          <w:rFonts w:ascii="黑体" w:hAnsi="黑体" w:eastAsia="黑体" w:cs="Times New Roman"/>
          <w:color w:val="auto"/>
          <w:sz w:val="44"/>
          <w:szCs w:val="44"/>
        </w:rPr>
      </w:pPr>
    </w:p>
    <w:p w14:paraId="5F8B1100">
      <w:pPr>
        <w:jc w:val="center"/>
        <w:rPr>
          <w:rFonts w:ascii="黑体" w:hAnsi="黑体" w:eastAsia="黑体" w:cs="Times New Roman"/>
          <w:color w:val="auto"/>
          <w:sz w:val="72"/>
          <w:szCs w:val="72"/>
        </w:rPr>
      </w:pPr>
      <w:r>
        <w:rPr>
          <w:rFonts w:hint="eastAsia" w:ascii="黑体" w:hAnsi="黑体" w:eastAsia="黑体" w:cs="黑体"/>
          <w:color w:val="auto"/>
          <w:sz w:val="72"/>
          <w:szCs w:val="72"/>
        </w:rPr>
        <w:t>阿坝州</w:t>
      </w:r>
      <w:r>
        <w:rPr>
          <w:rFonts w:hint="eastAsia" w:ascii="黑体" w:hAnsi="黑体" w:eastAsia="黑体" w:cs="黑体"/>
          <w:color w:val="auto"/>
          <w:sz w:val="72"/>
          <w:szCs w:val="72"/>
          <w:lang w:val="en-US" w:eastAsia="zh-CN"/>
        </w:rPr>
        <w:t>松潘</w:t>
      </w:r>
      <w:r>
        <w:rPr>
          <w:rFonts w:hint="eastAsia" w:ascii="黑体" w:hAnsi="黑体" w:eastAsia="黑体" w:cs="黑体"/>
          <w:color w:val="auto"/>
          <w:sz w:val="72"/>
          <w:szCs w:val="72"/>
        </w:rPr>
        <w:t>生态环境局</w:t>
      </w:r>
      <w:r>
        <w:rPr>
          <w:rFonts w:ascii="黑体" w:hAnsi="黑体" w:eastAsia="黑体" w:cs="黑体"/>
          <w:color w:val="auto"/>
          <w:sz w:val="72"/>
          <w:szCs w:val="72"/>
        </w:rPr>
        <w:t>202</w:t>
      </w:r>
      <w:r>
        <w:rPr>
          <w:rFonts w:hint="eastAsia" w:ascii="黑体" w:hAnsi="黑体" w:eastAsia="黑体" w:cs="黑体"/>
          <w:color w:val="auto"/>
          <w:sz w:val="72"/>
          <w:szCs w:val="72"/>
          <w:lang w:val="en-US" w:eastAsia="zh-CN"/>
        </w:rPr>
        <w:t>5</w:t>
      </w:r>
      <w:r>
        <w:rPr>
          <w:rFonts w:ascii="黑体" w:hAnsi="黑体" w:eastAsia="黑体" w:cs="黑体"/>
          <w:color w:val="auto"/>
          <w:sz w:val="72"/>
          <w:szCs w:val="72"/>
        </w:rPr>
        <w:t>年</w:t>
      </w:r>
      <w:r>
        <w:rPr>
          <w:rFonts w:hint="eastAsia" w:ascii="黑体" w:hAnsi="黑体" w:eastAsia="黑体" w:cs="黑体"/>
          <w:color w:val="auto"/>
          <w:sz w:val="72"/>
          <w:szCs w:val="72"/>
        </w:rPr>
        <w:t>部门预算</w:t>
      </w:r>
    </w:p>
    <w:p w14:paraId="31E4EA5C">
      <w:pPr>
        <w:jc w:val="center"/>
        <w:rPr>
          <w:rFonts w:ascii="黑体" w:hAnsi="黑体" w:eastAsia="黑体" w:cs="Times New Roman"/>
          <w:color w:val="auto"/>
          <w:sz w:val="72"/>
          <w:szCs w:val="72"/>
        </w:rPr>
      </w:pPr>
    </w:p>
    <w:p w14:paraId="55D146A1">
      <w:pPr>
        <w:jc w:val="center"/>
        <w:rPr>
          <w:rFonts w:ascii="黑体" w:hAnsi="黑体" w:eastAsia="黑体" w:cs="Times New Roman"/>
          <w:color w:val="auto"/>
          <w:sz w:val="44"/>
          <w:szCs w:val="44"/>
        </w:rPr>
      </w:pPr>
    </w:p>
    <w:p w14:paraId="75AE669F">
      <w:pPr>
        <w:jc w:val="center"/>
        <w:rPr>
          <w:rFonts w:ascii="黑体" w:hAnsi="黑体" w:eastAsia="黑体" w:cs="Times New Roman"/>
          <w:color w:val="auto"/>
          <w:sz w:val="44"/>
          <w:szCs w:val="44"/>
        </w:rPr>
      </w:pPr>
    </w:p>
    <w:p w14:paraId="090F395E">
      <w:pPr>
        <w:jc w:val="center"/>
        <w:rPr>
          <w:rFonts w:ascii="黑体" w:hAnsi="黑体" w:eastAsia="黑体" w:cs="Times New Roman"/>
          <w:color w:val="auto"/>
          <w:sz w:val="44"/>
          <w:szCs w:val="44"/>
        </w:rPr>
      </w:pPr>
    </w:p>
    <w:p w14:paraId="57CE2354">
      <w:pPr>
        <w:jc w:val="center"/>
        <w:rPr>
          <w:rFonts w:ascii="黑体" w:hAnsi="黑体" w:eastAsia="黑体" w:cs="Times New Roman"/>
          <w:color w:val="auto"/>
          <w:sz w:val="44"/>
          <w:szCs w:val="44"/>
        </w:rPr>
      </w:pPr>
    </w:p>
    <w:p w14:paraId="7B568CD2">
      <w:pPr>
        <w:jc w:val="center"/>
        <w:rPr>
          <w:rFonts w:ascii="黑体" w:hAnsi="黑体" w:eastAsia="黑体" w:cs="Times New Roman"/>
          <w:color w:val="auto"/>
          <w:sz w:val="44"/>
          <w:szCs w:val="44"/>
        </w:rPr>
      </w:pPr>
    </w:p>
    <w:p w14:paraId="267F10A9">
      <w:pPr>
        <w:jc w:val="center"/>
        <w:rPr>
          <w:rFonts w:ascii="黑体" w:hAnsi="黑体" w:eastAsia="黑体" w:cs="Times New Roman"/>
          <w:color w:val="auto"/>
          <w:sz w:val="44"/>
          <w:szCs w:val="44"/>
        </w:rPr>
      </w:pPr>
    </w:p>
    <w:p w14:paraId="4F44B071">
      <w:pPr>
        <w:jc w:val="center"/>
        <w:rPr>
          <w:rFonts w:ascii="黑体" w:hAnsi="黑体" w:eastAsia="黑体" w:cs="Times New Roman"/>
          <w:color w:val="auto"/>
          <w:sz w:val="44"/>
          <w:szCs w:val="44"/>
        </w:rPr>
      </w:pPr>
    </w:p>
    <w:p w14:paraId="3DDB83A6">
      <w:pPr>
        <w:jc w:val="center"/>
        <w:rPr>
          <w:rFonts w:ascii="黑体" w:hAnsi="黑体" w:eastAsia="黑体" w:cs="Times New Roman"/>
          <w:color w:val="auto"/>
          <w:sz w:val="44"/>
          <w:szCs w:val="44"/>
        </w:rPr>
      </w:pPr>
    </w:p>
    <w:p w14:paraId="7FC40FCA">
      <w:pPr>
        <w:jc w:val="center"/>
        <w:rPr>
          <w:rFonts w:ascii="黑体" w:hAnsi="黑体" w:eastAsia="黑体" w:cs="Times New Roman"/>
          <w:color w:val="auto"/>
          <w:sz w:val="44"/>
          <w:szCs w:val="44"/>
        </w:rPr>
      </w:pPr>
    </w:p>
    <w:p w14:paraId="1D249DD9">
      <w:pPr>
        <w:jc w:val="center"/>
        <w:rPr>
          <w:rFonts w:ascii="黑体" w:hAnsi="黑体" w:eastAsia="黑体" w:cs="Times New Roman"/>
          <w:color w:val="auto"/>
          <w:sz w:val="44"/>
          <w:szCs w:val="44"/>
        </w:rPr>
      </w:pPr>
    </w:p>
    <w:p w14:paraId="7D505579">
      <w:pPr>
        <w:jc w:val="center"/>
        <w:rPr>
          <w:rFonts w:ascii="黑体" w:hAnsi="黑体" w:eastAsia="黑体" w:cs="Times New Roman"/>
          <w:color w:val="auto"/>
          <w:sz w:val="52"/>
          <w:szCs w:val="52"/>
        </w:rPr>
      </w:pPr>
      <w:r>
        <w:rPr>
          <w:rFonts w:hint="eastAsia" w:ascii="黑体" w:hAnsi="黑体" w:eastAsia="黑体" w:cs="黑体"/>
          <w:color w:val="auto"/>
          <w:sz w:val="52"/>
          <w:szCs w:val="52"/>
        </w:rPr>
        <w:t>202</w:t>
      </w:r>
      <w:r>
        <w:rPr>
          <w:rFonts w:hint="eastAsia" w:ascii="黑体" w:hAnsi="黑体" w:eastAsia="黑体" w:cs="黑体"/>
          <w:color w:val="auto"/>
          <w:sz w:val="52"/>
          <w:szCs w:val="52"/>
          <w:lang w:val="en-US" w:eastAsia="zh-CN"/>
        </w:rPr>
        <w:t>5</w:t>
      </w:r>
      <w:r>
        <w:rPr>
          <w:rFonts w:hint="eastAsia" w:ascii="黑体" w:hAnsi="黑体" w:eastAsia="黑体" w:cs="黑体"/>
          <w:color w:val="auto"/>
          <w:sz w:val="52"/>
          <w:szCs w:val="52"/>
        </w:rPr>
        <w:t>年</w:t>
      </w:r>
      <w:r>
        <w:rPr>
          <w:rFonts w:hint="eastAsia" w:ascii="黑体" w:hAnsi="黑体" w:eastAsia="黑体" w:cs="黑体"/>
          <w:color w:val="auto"/>
          <w:sz w:val="52"/>
          <w:szCs w:val="52"/>
          <w:lang w:val="en-US" w:eastAsia="zh-CN"/>
        </w:rPr>
        <w:t>2</w:t>
      </w:r>
      <w:r>
        <w:rPr>
          <w:rFonts w:hint="eastAsia" w:ascii="黑体" w:hAnsi="黑体" w:eastAsia="黑体" w:cs="黑体"/>
          <w:color w:val="auto"/>
          <w:sz w:val="52"/>
          <w:szCs w:val="52"/>
        </w:rPr>
        <w:t>月1</w:t>
      </w:r>
      <w:r>
        <w:rPr>
          <w:rFonts w:hint="eastAsia" w:ascii="黑体" w:hAnsi="黑体" w:eastAsia="黑体" w:cs="黑体"/>
          <w:color w:val="auto"/>
          <w:sz w:val="52"/>
          <w:szCs w:val="52"/>
          <w:lang w:val="en-US" w:eastAsia="zh-CN"/>
        </w:rPr>
        <w:t>8</w:t>
      </w:r>
      <w:r>
        <w:rPr>
          <w:rFonts w:hint="eastAsia" w:ascii="黑体" w:hAnsi="黑体" w:eastAsia="黑体" w:cs="黑体"/>
          <w:color w:val="auto"/>
          <w:sz w:val="52"/>
          <w:szCs w:val="52"/>
        </w:rPr>
        <w:t>日</w:t>
      </w:r>
    </w:p>
    <w:p w14:paraId="1F6D7C7D">
      <w:pPr>
        <w:rPr>
          <w:rFonts w:ascii="黑体" w:hAnsi="黑体" w:eastAsia="黑体" w:cs="Times New Roman"/>
          <w:color w:val="auto"/>
          <w:sz w:val="44"/>
          <w:szCs w:val="44"/>
        </w:rPr>
      </w:pPr>
    </w:p>
    <w:p w14:paraId="1B736795">
      <w:pPr>
        <w:rPr>
          <w:rFonts w:ascii="黑体" w:hAnsi="黑体" w:eastAsia="黑体" w:cs="Times New Roman"/>
          <w:color w:val="auto"/>
          <w:sz w:val="44"/>
          <w:szCs w:val="44"/>
        </w:rPr>
      </w:pPr>
    </w:p>
    <w:p w14:paraId="1A1AF9AE">
      <w:pPr>
        <w:pStyle w:val="6"/>
        <w:rPr>
          <w:color w:val="auto"/>
        </w:rPr>
      </w:pPr>
    </w:p>
    <w:p w14:paraId="3DB3DE7C">
      <w:pPr>
        <w:pStyle w:val="6"/>
        <w:rPr>
          <w:color w:val="auto"/>
        </w:rPr>
      </w:pPr>
    </w:p>
    <w:p w14:paraId="64758C30">
      <w:pPr>
        <w:jc w:val="center"/>
        <w:rPr>
          <w:rFonts w:ascii="黑体" w:hAnsi="黑体" w:eastAsia="黑体" w:cs="黑体"/>
          <w:color w:val="auto"/>
          <w:sz w:val="52"/>
          <w:szCs w:val="52"/>
        </w:rPr>
      </w:pPr>
      <w:r>
        <w:rPr>
          <w:rFonts w:hint="eastAsia" w:ascii="黑体" w:hAnsi="黑体" w:eastAsia="黑体" w:cs="黑体"/>
          <w:color w:val="auto"/>
          <w:sz w:val="52"/>
          <w:szCs w:val="52"/>
        </w:rPr>
        <w:t>目录</w:t>
      </w:r>
    </w:p>
    <w:p w14:paraId="798807AF">
      <w:pPr>
        <w:pStyle w:val="9"/>
        <w:tabs>
          <w:tab w:val="right" w:leader="dot" w:pos="8306"/>
        </w:tabs>
        <w:rPr>
          <w:color w:val="auto"/>
          <w:sz w:val="28"/>
          <w:szCs w:val="28"/>
        </w:rPr>
      </w:pPr>
      <w:r>
        <w:rPr>
          <w:rFonts w:ascii="黑体" w:hAnsi="黑体" w:eastAsia="黑体" w:cs="Times New Roman"/>
          <w:color w:val="auto"/>
          <w:sz w:val="44"/>
          <w:szCs w:val="44"/>
        </w:rPr>
        <w:fldChar w:fldCharType="begin"/>
      </w:r>
      <w:r>
        <w:rPr>
          <w:rFonts w:ascii="黑体" w:hAnsi="黑体" w:eastAsia="黑体" w:cs="Times New Roman"/>
          <w:color w:val="auto"/>
          <w:sz w:val="44"/>
          <w:szCs w:val="44"/>
        </w:rPr>
        <w:instrText xml:space="preserve">TOC \o "1-2" \h \u </w:instrText>
      </w:r>
      <w:r>
        <w:rPr>
          <w:rFonts w:ascii="黑体" w:hAnsi="黑体" w:eastAsia="黑体" w:cs="Times New Roman"/>
          <w:color w:val="auto"/>
          <w:sz w:val="44"/>
          <w:szCs w:val="44"/>
        </w:rPr>
        <w:fldChar w:fldCharType="separate"/>
      </w:r>
      <w:r>
        <w:rPr>
          <w:color w:val="auto"/>
        </w:rPr>
        <w:fldChar w:fldCharType="begin"/>
      </w:r>
      <w:r>
        <w:rPr>
          <w:color w:val="auto"/>
        </w:rPr>
        <w:instrText xml:space="preserve"> HYPERLINK \l "_Toc12278" </w:instrText>
      </w:r>
      <w:r>
        <w:rPr>
          <w:color w:val="auto"/>
        </w:rPr>
        <w:fldChar w:fldCharType="separate"/>
      </w:r>
      <w:r>
        <w:rPr>
          <w:rFonts w:hint="eastAsia" w:ascii="黑体" w:hAnsi="黑体" w:eastAsia="黑体" w:cs="黑体"/>
          <w:bCs/>
          <w:color w:val="auto"/>
          <w:sz w:val="28"/>
          <w:szCs w:val="28"/>
        </w:rPr>
        <w:t>一、基本职能及主要工作</w:t>
      </w:r>
      <w:r>
        <w:rPr>
          <w:color w:val="auto"/>
          <w:sz w:val="28"/>
          <w:szCs w:val="28"/>
        </w:rPr>
        <w:tab/>
      </w:r>
      <w:r>
        <w:rPr>
          <w:color w:val="auto"/>
          <w:sz w:val="28"/>
          <w:szCs w:val="28"/>
        </w:rPr>
        <w:fldChar w:fldCharType="begin"/>
      </w:r>
      <w:r>
        <w:rPr>
          <w:color w:val="auto"/>
          <w:sz w:val="28"/>
          <w:szCs w:val="28"/>
        </w:rPr>
        <w:instrText xml:space="preserve"> PAGEREF _Toc12278 \h </w:instrText>
      </w:r>
      <w:r>
        <w:rPr>
          <w:color w:val="auto"/>
          <w:sz w:val="28"/>
          <w:szCs w:val="28"/>
        </w:rPr>
        <w:fldChar w:fldCharType="separate"/>
      </w:r>
      <w:r>
        <w:rPr>
          <w:color w:val="auto"/>
          <w:sz w:val="28"/>
          <w:szCs w:val="28"/>
        </w:rPr>
        <w:t>3</w:t>
      </w:r>
      <w:r>
        <w:rPr>
          <w:color w:val="auto"/>
          <w:sz w:val="28"/>
          <w:szCs w:val="28"/>
        </w:rPr>
        <w:fldChar w:fldCharType="end"/>
      </w:r>
      <w:r>
        <w:rPr>
          <w:color w:val="auto"/>
          <w:sz w:val="28"/>
          <w:szCs w:val="28"/>
        </w:rPr>
        <w:fldChar w:fldCharType="end"/>
      </w:r>
    </w:p>
    <w:p w14:paraId="1187A08D">
      <w:pPr>
        <w:pStyle w:val="10"/>
        <w:tabs>
          <w:tab w:val="right" w:leader="dot" w:pos="8306"/>
        </w:tabs>
        <w:rPr>
          <w:color w:val="auto"/>
          <w:sz w:val="28"/>
          <w:szCs w:val="28"/>
        </w:rPr>
      </w:pPr>
      <w:r>
        <w:rPr>
          <w:color w:val="auto"/>
        </w:rPr>
        <w:fldChar w:fldCharType="begin"/>
      </w:r>
      <w:r>
        <w:rPr>
          <w:color w:val="auto"/>
        </w:rPr>
        <w:instrText xml:space="preserve"> HYPERLINK \l "_Toc29348" </w:instrText>
      </w:r>
      <w:r>
        <w:rPr>
          <w:color w:val="auto"/>
        </w:rPr>
        <w:fldChar w:fldCharType="separate"/>
      </w:r>
      <w:r>
        <w:rPr>
          <w:rFonts w:hint="eastAsia" w:ascii="仿宋_GB2312" w:hAnsi="仿宋_GB2312" w:eastAsia="仿宋_GB2312" w:cs="仿宋_GB2312"/>
          <w:color w:val="auto"/>
          <w:sz w:val="28"/>
          <w:szCs w:val="28"/>
        </w:rPr>
        <w:t>（一）部门职能简介</w:t>
      </w:r>
      <w:r>
        <w:rPr>
          <w:color w:val="auto"/>
          <w:sz w:val="28"/>
          <w:szCs w:val="28"/>
        </w:rPr>
        <w:tab/>
      </w:r>
      <w:r>
        <w:rPr>
          <w:color w:val="auto"/>
          <w:sz w:val="28"/>
          <w:szCs w:val="28"/>
        </w:rPr>
        <w:fldChar w:fldCharType="begin"/>
      </w:r>
      <w:r>
        <w:rPr>
          <w:color w:val="auto"/>
          <w:sz w:val="28"/>
          <w:szCs w:val="28"/>
        </w:rPr>
        <w:instrText xml:space="preserve"> PAGEREF _Toc29348 \h </w:instrText>
      </w:r>
      <w:r>
        <w:rPr>
          <w:color w:val="auto"/>
          <w:sz w:val="28"/>
          <w:szCs w:val="28"/>
        </w:rPr>
        <w:fldChar w:fldCharType="separate"/>
      </w:r>
      <w:r>
        <w:rPr>
          <w:color w:val="auto"/>
          <w:sz w:val="28"/>
          <w:szCs w:val="28"/>
        </w:rPr>
        <w:t>3</w:t>
      </w:r>
      <w:r>
        <w:rPr>
          <w:color w:val="auto"/>
          <w:sz w:val="28"/>
          <w:szCs w:val="28"/>
        </w:rPr>
        <w:fldChar w:fldCharType="end"/>
      </w:r>
      <w:r>
        <w:rPr>
          <w:color w:val="auto"/>
          <w:sz w:val="28"/>
          <w:szCs w:val="28"/>
        </w:rPr>
        <w:fldChar w:fldCharType="end"/>
      </w:r>
    </w:p>
    <w:p w14:paraId="02E30B9C">
      <w:pPr>
        <w:pStyle w:val="10"/>
        <w:tabs>
          <w:tab w:val="right" w:leader="dot" w:pos="8306"/>
        </w:tabs>
        <w:rPr>
          <w:color w:val="auto"/>
          <w:sz w:val="28"/>
          <w:szCs w:val="28"/>
        </w:rPr>
      </w:pPr>
      <w:r>
        <w:rPr>
          <w:color w:val="auto"/>
        </w:rPr>
        <w:fldChar w:fldCharType="begin"/>
      </w:r>
      <w:r>
        <w:rPr>
          <w:color w:val="auto"/>
        </w:rPr>
        <w:instrText xml:space="preserve"> HYPERLINK \l "_Toc12953" </w:instrText>
      </w:r>
      <w:r>
        <w:rPr>
          <w:color w:val="auto"/>
        </w:rPr>
        <w:fldChar w:fldCharType="separate"/>
      </w:r>
      <w:r>
        <w:rPr>
          <w:rFonts w:hint="eastAsia" w:ascii="仿宋_GB2312" w:hAnsi="仿宋_GB2312" w:eastAsia="仿宋_GB2312" w:cs="仿宋_GB2312"/>
          <w:color w:val="auto"/>
          <w:sz w:val="28"/>
          <w:szCs w:val="28"/>
        </w:rPr>
        <w:t>（二）202</w:t>
      </w:r>
      <w:r>
        <w:rPr>
          <w:rFonts w:hint="eastAsia" w:ascii="仿宋_GB2312" w:hAnsi="仿宋_GB2312" w:eastAsia="仿宋_GB2312" w:cs="仿宋_GB2312"/>
          <w:color w:val="auto"/>
          <w:sz w:val="28"/>
          <w:szCs w:val="28"/>
          <w:lang w:val="en-US" w:eastAsia="zh-CN"/>
        </w:rPr>
        <w:t>5</w:t>
      </w:r>
      <w:r>
        <w:rPr>
          <w:rFonts w:hint="eastAsia" w:ascii="仿宋_GB2312" w:hAnsi="仿宋_GB2312" w:eastAsia="仿宋_GB2312" w:cs="仿宋_GB2312"/>
          <w:color w:val="auto"/>
          <w:sz w:val="28"/>
          <w:szCs w:val="28"/>
        </w:rPr>
        <w:t>年重点工作</w:t>
      </w:r>
      <w:r>
        <w:rPr>
          <w:color w:val="auto"/>
          <w:sz w:val="28"/>
          <w:szCs w:val="28"/>
        </w:rPr>
        <w:tab/>
      </w:r>
      <w:r>
        <w:rPr>
          <w:rFonts w:hint="eastAsia"/>
          <w:color w:val="auto"/>
          <w:sz w:val="28"/>
          <w:szCs w:val="28"/>
        </w:rPr>
        <w:t>4</w:t>
      </w:r>
      <w:r>
        <w:rPr>
          <w:rFonts w:hint="eastAsia"/>
          <w:color w:val="auto"/>
          <w:sz w:val="28"/>
          <w:szCs w:val="28"/>
        </w:rPr>
        <w:fldChar w:fldCharType="end"/>
      </w:r>
    </w:p>
    <w:p w14:paraId="5A5A9B87">
      <w:pPr>
        <w:pStyle w:val="9"/>
        <w:tabs>
          <w:tab w:val="right" w:leader="dot" w:pos="8306"/>
        </w:tabs>
        <w:rPr>
          <w:color w:val="auto"/>
          <w:sz w:val="28"/>
          <w:szCs w:val="28"/>
        </w:rPr>
      </w:pPr>
      <w:r>
        <w:rPr>
          <w:color w:val="auto"/>
        </w:rPr>
        <w:fldChar w:fldCharType="begin"/>
      </w:r>
      <w:r>
        <w:rPr>
          <w:color w:val="auto"/>
        </w:rPr>
        <w:instrText xml:space="preserve"> HYPERLINK \l "_Toc14511" </w:instrText>
      </w:r>
      <w:r>
        <w:rPr>
          <w:color w:val="auto"/>
        </w:rPr>
        <w:fldChar w:fldCharType="separate"/>
      </w:r>
      <w:r>
        <w:rPr>
          <w:rFonts w:hint="eastAsia" w:ascii="黑体" w:hAnsi="黑体" w:eastAsia="黑体" w:cs="黑体"/>
          <w:bCs/>
          <w:color w:val="auto"/>
          <w:sz w:val="28"/>
          <w:szCs w:val="28"/>
        </w:rPr>
        <w:t>二、部门预算单位构成</w:t>
      </w:r>
      <w:r>
        <w:rPr>
          <w:color w:val="auto"/>
          <w:sz w:val="28"/>
          <w:szCs w:val="28"/>
        </w:rPr>
        <w:tab/>
      </w:r>
      <w:r>
        <w:rPr>
          <w:rFonts w:hint="eastAsia"/>
          <w:color w:val="auto"/>
          <w:sz w:val="28"/>
          <w:szCs w:val="28"/>
        </w:rPr>
        <w:t>5</w:t>
      </w:r>
      <w:r>
        <w:rPr>
          <w:rFonts w:hint="eastAsia"/>
          <w:color w:val="auto"/>
          <w:sz w:val="28"/>
          <w:szCs w:val="28"/>
        </w:rPr>
        <w:fldChar w:fldCharType="end"/>
      </w:r>
    </w:p>
    <w:p w14:paraId="60CD0C82">
      <w:pPr>
        <w:pStyle w:val="9"/>
        <w:tabs>
          <w:tab w:val="right" w:leader="dot" w:pos="8306"/>
        </w:tabs>
        <w:rPr>
          <w:color w:val="auto"/>
          <w:sz w:val="28"/>
          <w:szCs w:val="28"/>
        </w:rPr>
      </w:pPr>
      <w:r>
        <w:rPr>
          <w:color w:val="auto"/>
        </w:rPr>
        <w:fldChar w:fldCharType="begin"/>
      </w:r>
      <w:r>
        <w:rPr>
          <w:color w:val="auto"/>
        </w:rPr>
        <w:instrText xml:space="preserve"> HYPERLINK \l "_Toc31424" </w:instrText>
      </w:r>
      <w:r>
        <w:rPr>
          <w:color w:val="auto"/>
        </w:rPr>
        <w:fldChar w:fldCharType="separate"/>
      </w:r>
      <w:r>
        <w:rPr>
          <w:rFonts w:hint="eastAsia" w:ascii="黑体" w:hAnsi="黑体" w:eastAsia="黑体" w:cs="黑体"/>
          <w:bCs/>
          <w:color w:val="auto"/>
          <w:sz w:val="28"/>
          <w:szCs w:val="28"/>
        </w:rPr>
        <w:t>三、收支预算情况说明</w:t>
      </w:r>
      <w:r>
        <w:rPr>
          <w:color w:val="auto"/>
          <w:sz w:val="28"/>
          <w:szCs w:val="28"/>
        </w:rPr>
        <w:tab/>
      </w:r>
      <w:r>
        <w:rPr>
          <w:rFonts w:hint="eastAsia"/>
          <w:color w:val="auto"/>
          <w:sz w:val="28"/>
          <w:szCs w:val="28"/>
        </w:rPr>
        <w:t>5</w:t>
      </w:r>
      <w:r>
        <w:rPr>
          <w:rFonts w:hint="eastAsia"/>
          <w:color w:val="auto"/>
          <w:sz w:val="28"/>
          <w:szCs w:val="28"/>
        </w:rPr>
        <w:fldChar w:fldCharType="end"/>
      </w:r>
    </w:p>
    <w:p w14:paraId="5BC4F5C4">
      <w:pPr>
        <w:pStyle w:val="10"/>
        <w:tabs>
          <w:tab w:val="right" w:leader="dot" w:pos="8306"/>
        </w:tabs>
        <w:rPr>
          <w:color w:val="auto"/>
          <w:sz w:val="28"/>
          <w:szCs w:val="28"/>
        </w:rPr>
      </w:pPr>
      <w:r>
        <w:rPr>
          <w:color w:val="auto"/>
        </w:rPr>
        <w:fldChar w:fldCharType="begin"/>
      </w:r>
      <w:r>
        <w:rPr>
          <w:color w:val="auto"/>
        </w:rPr>
        <w:instrText xml:space="preserve"> HYPERLINK \l "_Toc1279" </w:instrText>
      </w:r>
      <w:r>
        <w:rPr>
          <w:color w:val="auto"/>
        </w:rPr>
        <w:fldChar w:fldCharType="separate"/>
      </w:r>
      <w:r>
        <w:rPr>
          <w:rFonts w:hint="eastAsia" w:ascii="仿宋_GB2312" w:hAnsi="仿宋_GB2312" w:eastAsia="仿宋_GB2312" w:cs="仿宋_GB2312"/>
          <w:color w:val="auto"/>
          <w:sz w:val="28"/>
          <w:szCs w:val="28"/>
        </w:rPr>
        <w:t>（一）收入预算情况</w:t>
      </w:r>
      <w:r>
        <w:rPr>
          <w:color w:val="auto"/>
          <w:sz w:val="28"/>
          <w:szCs w:val="28"/>
        </w:rPr>
        <w:tab/>
      </w:r>
      <w:r>
        <w:rPr>
          <w:rFonts w:hint="eastAsia"/>
          <w:color w:val="auto"/>
          <w:sz w:val="28"/>
          <w:szCs w:val="28"/>
        </w:rPr>
        <w:t>5</w:t>
      </w:r>
      <w:r>
        <w:rPr>
          <w:rFonts w:hint="eastAsia"/>
          <w:color w:val="auto"/>
          <w:sz w:val="28"/>
          <w:szCs w:val="28"/>
        </w:rPr>
        <w:fldChar w:fldCharType="end"/>
      </w:r>
    </w:p>
    <w:p w14:paraId="11B66611">
      <w:pPr>
        <w:pStyle w:val="10"/>
        <w:tabs>
          <w:tab w:val="right" w:leader="dot" w:pos="8306"/>
        </w:tabs>
        <w:rPr>
          <w:color w:val="auto"/>
          <w:sz w:val="28"/>
          <w:szCs w:val="28"/>
        </w:rPr>
      </w:pPr>
      <w:r>
        <w:rPr>
          <w:color w:val="auto"/>
        </w:rPr>
        <w:fldChar w:fldCharType="begin"/>
      </w:r>
      <w:r>
        <w:rPr>
          <w:color w:val="auto"/>
        </w:rPr>
        <w:instrText xml:space="preserve"> HYPERLINK \l "_Toc19613" </w:instrText>
      </w:r>
      <w:r>
        <w:rPr>
          <w:color w:val="auto"/>
        </w:rPr>
        <w:fldChar w:fldCharType="separate"/>
      </w:r>
      <w:r>
        <w:rPr>
          <w:rFonts w:hint="eastAsia" w:ascii="仿宋_GB2312" w:hAnsi="仿宋_GB2312" w:eastAsia="仿宋_GB2312" w:cs="仿宋_GB2312"/>
          <w:color w:val="auto"/>
          <w:sz w:val="28"/>
          <w:szCs w:val="28"/>
        </w:rPr>
        <w:t>（二） 支出预算情况</w:t>
      </w:r>
      <w:r>
        <w:rPr>
          <w:color w:val="auto"/>
          <w:sz w:val="28"/>
          <w:szCs w:val="28"/>
        </w:rPr>
        <w:tab/>
      </w:r>
      <w:r>
        <w:rPr>
          <w:rFonts w:hint="eastAsia"/>
          <w:color w:val="auto"/>
          <w:sz w:val="28"/>
          <w:szCs w:val="28"/>
        </w:rPr>
        <w:t>5</w:t>
      </w:r>
      <w:r>
        <w:rPr>
          <w:rFonts w:hint="eastAsia"/>
          <w:color w:val="auto"/>
          <w:sz w:val="28"/>
          <w:szCs w:val="28"/>
        </w:rPr>
        <w:fldChar w:fldCharType="end"/>
      </w:r>
    </w:p>
    <w:p w14:paraId="5E8E3C73">
      <w:pPr>
        <w:pStyle w:val="9"/>
        <w:tabs>
          <w:tab w:val="right" w:leader="dot" w:pos="8306"/>
        </w:tabs>
        <w:rPr>
          <w:color w:val="auto"/>
          <w:sz w:val="28"/>
          <w:szCs w:val="28"/>
        </w:rPr>
      </w:pPr>
      <w:r>
        <w:rPr>
          <w:color w:val="auto"/>
        </w:rPr>
        <w:fldChar w:fldCharType="begin"/>
      </w:r>
      <w:r>
        <w:rPr>
          <w:color w:val="auto"/>
        </w:rPr>
        <w:instrText xml:space="preserve"> HYPERLINK \l "_Toc31654" </w:instrText>
      </w:r>
      <w:r>
        <w:rPr>
          <w:color w:val="auto"/>
        </w:rPr>
        <w:fldChar w:fldCharType="separate"/>
      </w:r>
      <w:r>
        <w:rPr>
          <w:rFonts w:hint="eastAsia" w:ascii="黑体" w:hAnsi="黑体" w:eastAsia="黑体" w:cs="黑体"/>
          <w:bCs/>
          <w:color w:val="auto"/>
          <w:sz w:val="28"/>
          <w:szCs w:val="28"/>
        </w:rPr>
        <w:t>四、财政拨款收支预算情况说明</w:t>
      </w:r>
      <w:r>
        <w:rPr>
          <w:color w:val="auto"/>
          <w:sz w:val="28"/>
          <w:szCs w:val="28"/>
        </w:rPr>
        <w:tab/>
      </w:r>
      <w:r>
        <w:rPr>
          <w:rFonts w:hint="eastAsia"/>
          <w:color w:val="auto"/>
          <w:sz w:val="28"/>
          <w:szCs w:val="28"/>
        </w:rPr>
        <w:t>6</w:t>
      </w:r>
      <w:r>
        <w:rPr>
          <w:rFonts w:hint="eastAsia"/>
          <w:color w:val="auto"/>
          <w:sz w:val="28"/>
          <w:szCs w:val="28"/>
        </w:rPr>
        <w:fldChar w:fldCharType="end"/>
      </w:r>
    </w:p>
    <w:p w14:paraId="2F99346C">
      <w:pPr>
        <w:pStyle w:val="9"/>
        <w:tabs>
          <w:tab w:val="right" w:leader="dot" w:pos="8306"/>
        </w:tabs>
        <w:rPr>
          <w:color w:val="auto"/>
          <w:sz w:val="28"/>
          <w:szCs w:val="28"/>
        </w:rPr>
      </w:pPr>
      <w:r>
        <w:rPr>
          <w:color w:val="auto"/>
        </w:rPr>
        <w:fldChar w:fldCharType="begin"/>
      </w:r>
      <w:r>
        <w:rPr>
          <w:color w:val="auto"/>
        </w:rPr>
        <w:instrText xml:space="preserve"> HYPERLINK \l "_Toc29200" </w:instrText>
      </w:r>
      <w:r>
        <w:rPr>
          <w:color w:val="auto"/>
        </w:rPr>
        <w:fldChar w:fldCharType="separate"/>
      </w:r>
      <w:r>
        <w:rPr>
          <w:rFonts w:hint="eastAsia" w:ascii="黑体" w:hAnsi="黑体" w:eastAsia="黑体" w:cs="黑体"/>
          <w:bCs/>
          <w:color w:val="auto"/>
          <w:sz w:val="28"/>
          <w:szCs w:val="28"/>
        </w:rPr>
        <w:t>五、一般公共预算当年拨款情况说明</w:t>
      </w:r>
      <w:r>
        <w:rPr>
          <w:color w:val="auto"/>
          <w:sz w:val="28"/>
          <w:szCs w:val="28"/>
        </w:rPr>
        <w:tab/>
      </w:r>
      <w:r>
        <w:rPr>
          <w:rFonts w:hint="eastAsia"/>
          <w:color w:val="auto"/>
          <w:sz w:val="28"/>
          <w:szCs w:val="28"/>
        </w:rPr>
        <w:t>7</w:t>
      </w:r>
      <w:r>
        <w:rPr>
          <w:rFonts w:hint="eastAsia"/>
          <w:color w:val="auto"/>
          <w:sz w:val="28"/>
          <w:szCs w:val="28"/>
        </w:rPr>
        <w:fldChar w:fldCharType="end"/>
      </w:r>
    </w:p>
    <w:p w14:paraId="07553C07">
      <w:pPr>
        <w:pStyle w:val="9"/>
        <w:tabs>
          <w:tab w:val="right" w:leader="dot" w:pos="8306"/>
        </w:tabs>
        <w:rPr>
          <w:color w:val="auto"/>
          <w:sz w:val="28"/>
          <w:szCs w:val="28"/>
        </w:rPr>
      </w:pPr>
      <w:r>
        <w:rPr>
          <w:color w:val="auto"/>
        </w:rPr>
        <w:fldChar w:fldCharType="begin"/>
      </w:r>
      <w:r>
        <w:rPr>
          <w:color w:val="auto"/>
        </w:rPr>
        <w:instrText xml:space="preserve"> HYPERLINK \l "_Toc1201" </w:instrText>
      </w:r>
      <w:r>
        <w:rPr>
          <w:color w:val="auto"/>
        </w:rPr>
        <w:fldChar w:fldCharType="separate"/>
      </w:r>
      <w:r>
        <w:rPr>
          <w:rFonts w:hint="eastAsia" w:ascii="黑体" w:hAnsi="黑体" w:eastAsia="黑体" w:cs="黑体"/>
          <w:bCs/>
          <w:color w:val="auto"/>
          <w:sz w:val="28"/>
          <w:szCs w:val="28"/>
        </w:rPr>
        <w:t>六、一般公共预算基本支出情况说明</w:t>
      </w:r>
      <w:r>
        <w:rPr>
          <w:color w:val="auto"/>
          <w:sz w:val="28"/>
          <w:szCs w:val="28"/>
        </w:rPr>
        <w:tab/>
      </w:r>
      <w:r>
        <w:rPr>
          <w:rFonts w:hint="eastAsia"/>
          <w:color w:val="auto"/>
          <w:sz w:val="28"/>
          <w:szCs w:val="28"/>
        </w:rPr>
        <w:t>8</w:t>
      </w:r>
      <w:r>
        <w:rPr>
          <w:rFonts w:hint="eastAsia"/>
          <w:color w:val="auto"/>
          <w:sz w:val="28"/>
          <w:szCs w:val="28"/>
        </w:rPr>
        <w:fldChar w:fldCharType="end"/>
      </w:r>
    </w:p>
    <w:p w14:paraId="0FC05F07">
      <w:pPr>
        <w:pStyle w:val="9"/>
        <w:tabs>
          <w:tab w:val="right" w:leader="dot" w:pos="8306"/>
        </w:tabs>
        <w:rPr>
          <w:color w:val="auto"/>
          <w:sz w:val="28"/>
          <w:szCs w:val="28"/>
        </w:rPr>
      </w:pPr>
      <w:r>
        <w:rPr>
          <w:color w:val="auto"/>
        </w:rPr>
        <w:fldChar w:fldCharType="begin"/>
      </w:r>
      <w:r>
        <w:rPr>
          <w:color w:val="auto"/>
        </w:rPr>
        <w:instrText xml:space="preserve"> HYPERLINK \l "_Toc10718" </w:instrText>
      </w:r>
      <w:r>
        <w:rPr>
          <w:color w:val="auto"/>
        </w:rPr>
        <w:fldChar w:fldCharType="separate"/>
      </w:r>
      <w:r>
        <w:rPr>
          <w:rFonts w:hint="eastAsia" w:ascii="黑体" w:hAnsi="黑体" w:eastAsia="黑体" w:cs="黑体"/>
          <w:bCs/>
          <w:color w:val="auto"/>
          <w:sz w:val="28"/>
          <w:szCs w:val="28"/>
        </w:rPr>
        <w:t>七、“三公”经费财政拨款预算安排情况说明</w:t>
      </w:r>
      <w:r>
        <w:rPr>
          <w:color w:val="auto"/>
          <w:sz w:val="28"/>
          <w:szCs w:val="28"/>
        </w:rPr>
        <w:tab/>
      </w:r>
      <w:r>
        <w:rPr>
          <w:rFonts w:hint="eastAsia"/>
          <w:color w:val="auto"/>
          <w:sz w:val="28"/>
          <w:szCs w:val="28"/>
        </w:rPr>
        <w:t>8</w:t>
      </w:r>
      <w:r>
        <w:rPr>
          <w:rFonts w:hint="eastAsia"/>
          <w:color w:val="auto"/>
          <w:sz w:val="28"/>
          <w:szCs w:val="28"/>
        </w:rPr>
        <w:fldChar w:fldCharType="end"/>
      </w:r>
    </w:p>
    <w:p w14:paraId="5C976A1C">
      <w:pPr>
        <w:pStyle w:val="9"/>
        <w:tabs>
          <w:tab w:val="right" w:leader="dot" w:pos="8306"/>
        </w:tabs>
        <w:rPr>
          <w:color w:val="auto"/>
          <w:sz w:val="28"/>
          <w:szCs w:val="28"/>
        </w:rPr>
      </w:pPr>
      <w:r>
        <w:rPr>
          <w:color w:val="auto"/>
        </w:rPr>
        <w:fldChar w:fldCharType="begin"/>
      </w:r>
      <w:r>
        <w:rPr>
          <w:color w:val="auto"/>
        </w:rPr>
        <w:instrText xml:space="preserve"> HYPERLINK \l "_Toc10007" </w:instrText>
      </w:r>
      <w:r>
        <w:rPr>
          <w:color w:val="auto"/>
        </w:rPr>
        <w:fldChar w:fldCharType="separate"/>
      </w:r>
      <w:r>
        <w:rPr>
          <w:rFonts w:hint="eastAsia" w:ascii="黑体" w:hAnsi="黑体" w:eastAsia="黑体" w:cs="黑体"/>
          <w:bCs/>
          <w:color w:val="auto"/>
          <w:sz w:val="28"/>
          <w:szCs w:val="28"/>
        </w:rPr>
        <w:t>八、政府性基金预算支出情况说明</w:t>
      </w:r>
      <w:r>
        <w:rPr>
          <w:color w:val="auto"/>
          <w:sz w:val="28"/>
          <w:szCs w:val="28"/>
        </w:rPr>
        <w:tab/>
      </w:r>
      <w:r>
        <w:rPr>
          <w:rFonts w:hint="eastAsia"/>
          <w:color w:val="auto"/>
          <w:sz w:val="28"/>
          <w:szCs w:val="28"/>
        </w:rPr>
        <w:t>9</w:t>
      </w:r>
      <w:r>
        <w:rPr>
          <w:rFonts w:hint="eastAsia"/>
          <w:color w:val="auto"/>
          <w:sz w:val="28"/>
          <w:szCs w:val="28"/>
        </w:rPr>
        <w:fldChar w:fldCharType="end"/>
      </w:r>
    </w:p>
    <w:p w14:paraId="140EE2D3">
      <w:pPr>
        <w:pStyle w:val="9"/>
        <w:tabs>
          <w:tab w:val="right" w:leader="dot" w:pos="8306"/>
        </w:tabs>
        <w:rPr>
          <w:color w:val="auto"/>
          <w:sz w:val="28"/>
          <w:szCs w:val="28"/>
        </w:rPr>
      </w:pPr>
      <w:r>
        <w:rPr>
          <w:color w:val="auto"/>
        </w:rPr>
        <w:fldChar w:fldCharType="begin"/>
      </w:r>
      <w:r>
        <w:rPr>
          <w:color w:val="auto"/>
        </w:rPr>
        <w:instrText xml:space="preserve"> HYPERLINK \l "_Toc7518" </w:instrText>
      </w:r>
      <w:r>
        <w:rPr>
          <w:color w:val="auto"/>
        </w:rPr>
        <w:fldChar w:fldCharType="separate"/>
      </w:r>
      <w:r>
        <w:rPr>
          <w:rFonts w:hint="eastAsia" w:ascii="黑体" w:hAnsi="黑体" w:eastAsia="黑体" w:cs="黑体"/>
          <w:bCs/>
          <w:color w:val="auto"/>
          <w:kern w:val="44"/>
          <w:sz w:val="28"/>
          <w:szCs w:val="28"/>
        </w:rPr>
        <w:t>九、其他重要事项的情况说明</w:t>
      </w:r>
      <w:r>
        <w:rPr>
          <w:color w:val="auto"/>
          <w:sz w:val="28"/>
          <w:szCs w:val="28"/>
        </w:rPr>
        <w:tab/>
      </w:r>
      <w:r>
        <w:rPr>
          <w:rFonts w:hint="eastAsia"/>
          <w:color w:val="auto"/>
          <w:sz w:val="28"/>
          <w:szCs w:val="28"/>
        </w:rPr>
        <w:t>9</w:t>
      </w:r>
      <w:r>
        <w:rPr>
          <w:rFonts w:hint="eastAsia"/>
          <w:color w:val="auto"/>
          <w:sz w:val="28"/>
          <w:szCs w:val="28"/>
        </w:rPr>
        <w:fldChar w:fldCharType="end"/>
      </w:r>
    </w:p>
    <w:p w14:paraId="53155DC4">
      <w:pPr>
        <w:pStyle w:val="10"/>
        <w:tabs>
          <w:tab w:val="right" w:leader="dot" w:pos="8306"/>
        </w:tabs>
        <w:rPr>
          <w:color w:val="auto"/>
          <w:sz w:val="28"/>
          <w:szCs w:val="28"/>
        </w:rPr>
      </w:pPr>
      <w:r>
        <w:rPr>
          <w:color w:val="auto"/>
        </w:rPr>
        <w:fldChar w:fldCharType="begin"/>
      </w:r>
      <w:r>
        <w:rPr>
          <w:color w:val="auto"/>
        </w:rPr>
        <w:instrText xml:space="preserve"> HYPERLINK \l "_Toc5156" </w:instrText>
      </w:r>
      <w:r>
        <w:rPr>
          <w:color w:val="auto"/>
        </w:rPr>
        <w:fldChar w:fldCharType="separate"/>
      </w:r>
      <w:r>
        <w:rPr>
          <w:rFonts w:hint="eastAsia" w:ascii="仿宋_GB2312" w:hAnsi="仿宋_GB2312" w:eastAsia="仿宋_GB2312" w:cs="仿宋_GB2312"/>
          <w:color w:val="auto"/>
          <w:sz w:val="28"/>
          <w:szCs w:val="28"/>
        </w:rPr>
        <w:t>（一）机关运行经费</w:t>
      </w:r>
      <w:r>
        <w:rPr>
          <w:color w:val="auto"/>
          <w:sz w:val="28"/>
          <w:szCs w:val="28"/>
        </w:rPr>
        <w:tab/>
      </w:r>
      <w:r>
        <w:rPr>
          <w:rFonts w:hint="eastAsia"/>
          <w:color w:val="auto"/>
          <w:sz w:val="28"/>
          <w:szCs w:val="28"/>
        </w:rPr>
        <w:t>9</w:t>
      </w:r>
      <w:r>
        <w:rPr>
          <w:rFonts w:hint="eastAsia"/>
          <w:color w:val="auto"/>
          <w:sz w:val="28"/>
          <w:szCs w:val="28"/>
        </w:rPr>
        <w:fldChar w:fldCharType="end"/>
      </w:r>
    </w:p>
    <w:p w14:paraId="0C7FD37C">
      <w:pPr>
        <w:pStyle w:val="10"/>
        <w:tabs>
          <w:tab w:val="right" w:leader="dot" w:pos="8306"/>
        </w:tabs>
        <w:rPr>
          <w:color w:val="auto"/>
          <w:sz w:val="28"/>
          <w:szCs w:val="28"/>
        </w:rPr>
      </w:pPr>
      <w:r>
        <w:rPr>
          <w:color w:val="auto"/>
        </w:rPr>
        <w:fldChar w:fldCharType="begin"/>
      </w:r>
      <w:r>
        <w:rPr>
          <w:color w:val="auto"/>
        </w:rPr>
        <w:instrText xml:space="preserve"> HYPERLINK \l "_Toc30900" </w:instrText>
      </w:r>
      <w:r>
        <w:rPr>
          <w:color w:val="auto"/>
        </w:rPr>
        <w:fldChar w:fldCharType="separate"/>
      </w:r>
      <w:r>
        <w:rPr>
          <w:rFonts w:hint="eastAsia" w:ascii="仿宋_GB2312" w:hAnsi="仿宋_GB2312" w:eastAsia="仿宋_GB2312" w:cs="仿宋_GB2312"/>
          <w:color w:val="auto"/>
          <w:sz w:val="28"/>
          <w:szCs w:val="28"/>
        </w:rPr>
        <w:t>（二）政府采购情况</w:t>
      </w:r>
      <w:r>
        <w:rPr>
          <w:color w:val="auto"/>
          <w:sz w:val="28"/>
          <w:szCs w:val="28"/>
        </w:rPr>
        <w:tab/>
      </w:r>
      <w:r>
        <w:rPr>
          <w:rFonts w:hint="eastAsia"/>
          <w:color w:val="auto"/>
          <w:sz w:val="28"/>
          <w:szCs w:val="28"/>
        </w:rPr>
        <w:t>9</w:t>
      </w:r>
      <w:r>
        <w:rPr>
          <w:rFonts w:hint="eastAsia"/>
          <w:color w:val="auto"/>
          <w:sz w:val="28"/>
          <w:szCs w:val="28"/>
        </w:rPr>
        <w:fldChar w:fldCharType="end"/>
      </w:r>
    </w:p>
    <w:p w14:paraId="7B4DAFB7">
      <w:pPr>
        <w:pStyle w:val="10"/>
        <w:tabs>
          <w:tab w:val="right" w:leader="dot" w:pos="8306"/>
        </w:tabs>
        <w:rPr>
          <w:color w:val="auto"/>
          <w:sz w:val="28"/>
          <w:szCs w:val="28"/>
        </w:rPr>
      </w:pPr>
      <w:r>
        <w:rPr>
          <w:color w:val="auto"/>
        </w:rPr>
        <w:fldChar w:fldCharType="begin"/>
      </w:r>
      <w:r>
        <w:rPr>
          <w:color w:val="auto"/>
        </w:rPr>
        <w:instrText xml:space="preserve"> HYPERLINK \l "_Toc12108" </w:instrText>
      </w:r>
      <w:r>
        <w:rPr>
          <w:color w:val="auto"/>
        </w:rPr>
        <w:fldChar w:fldCharType="separate"/>
      </w:r>
      <w:r>
        <w:rPr>
          <w:rFonts w:hint="eastAsia" w:cs="仿宋_GB2312"/>
          <w:color w:val="auto"/>
          <w:sz w:val="28"/>
          <w:szCs w:val="28"/>
        </w:rPr>
        <w:t>（三）</w:t>
      </w:r>
      <w:r>
        <w:rPr>
          <w:rFonts w:hint="eastAsia" w:ascii="仿宋_GB2312" w:hAnsi="仿宋_GB2312" w:eastAsia="仿宋_GB2312" w:cs="仿宋_GB2312"/>
          <w:color w:val="auto"/>
          <w:sz w:val="28"/>
          <w:szCs w:val="28"/>
        </w:rPr>
        <w:t>国有资产占有使用情况</w:t>
      </w:r>
      <w:r>
        <w:rPr>
          <w:color w:val="auto"/>
          <w:sz w:val="28"/>
          <w:szCs w:val="28"/>
        </w:rPr>
        <w:tab/>
      </w:r>
      <w:r>
        <w:rPr>
          <w:rFonts w:hint="eastAsia"/>
          <w:color w:val="auto"/>
          <w:sz w:val="28"/>
          <w:szCs w:val="28"/>
        </w:rPr>
        <w:t>9</w:t>
      </w:r>
      <w:r>
        <w:rPr>
          <w:rFonts w:hint="eastAsia"/>
          <w:color w:val="auto"/>
          <w:sz w:val="28"/>
          <w:szCs w:val="28"/>
        </w:rPr>
        <w:fldChar w:fldCharType="end"/>
      </w:r>
    </w:p>
    <w:p w14:paraId="7347DD08">
      <w:pPr>
        <w:pStyle w:val="10"/>
        <w:tabs>
          <w:tab w:val="right" w:leader="dot" w:pos="8306"/>
        </w:tabs>
        <w:rPr>
          <w:color w:val="auto"/>
          <w:sz w:val="28"/>
          <w:szCs w:val="28"/>
        </w:rPr>
      </w:pPr>
      <w:r>
        <w:rPr>
          <w:color w:val="auto"/>
        </w:rPr>
        <w:fldChar w:fldCharType="begin"/>
      </w:r>
      <w:r>
        <w:rPr>
          <w:color w:val="auto"/>
        </w:rPr>
        <w:instrText xml:space="preserve"> HYPERLINK \l "_Toc25053" </w:instrText>
      </w:r>
      <w:r>
        <w:rPr>
          <w:color w:val="auto"/>
        </w:rPr>
        <w:fldChar w:fldCharType="separate"/>
      </w:r>
      <w:r>
        <w:rPr>
          <w:rFonts w:hint="eastAsia" w:cs="仿宋_GB2312"/>
          <w:color w:val="auto"/>
          <w:sz w:val="28"/>
          <w:szCs w:val="28"/>
        </w:rPr>
        <w:t>（四）绩效目标设置情况</w:t>
      </w:r>
      <w:r>
        <w:rPr>
          <w:color w:val="auto"/>
          <w:sz w:val="28"/>
          <w:szCs w:val="28"/>
        </w:rPr>
        <w:tab/>
      </w:r>
      <w:r>
        <w:rPr>
          <w:rFonts w:hint="eastAsia"/>
          <w:color w:val="auto"/>
          <w:sz w:val="28"/>
          <w:szCs w:val="28"/>
        </w:rPr>
        <w:t>9</w:t>
      </w:r>
      <w:r>
        <w:rPr>
          <w:rFonts w:hint="eastAsia"/>
          <w:color w:val="auto"/>
          <w:sz w:val="28"/>
          <w:szCs w:val="28"/>
        </w:rPr>
        <w:fldChar w:fldCharType="end"/>
      </w:r>
    </w:p>
    <w:p w14:paraId="2F20B7A3">
      <w:pPr>
        <w:pStyle w:val="9"/>
        <w:tabs>
          <w:tab w:val="right" w:leader="dot" w:pos="8306"/>
        </w:tabs>
        <w:rPr>
          <w:rFonts w:eastAsia="黑体"/>
          <w:color w:val="auto"/>
        </w:rPr>
      </w:pPr>
      <w:r>
        <w:rPr>
          <w:color w:val="auto"/>
        </w:rPr>
        <w:fldChar w:fldCharType="begin"/>
      </w:r>
      <w:r>
        <w:rPr>
          <w:color w:val="auto"/>
        </w:rPr>
        <w:instrText xml:space="preserve"> HYPERLINK \l "_Toc32139" </w:instrText>
      </w:r>
      <w:r>
        <w:rPr>
          <w:color w:val="auto"/>
        </w:rPr>
        <w:fldChar w:fldCharType="separate"/>
      </w:r>
      <w:r>
        <w:rPr>
          <w:rFonts w:hint="eastAsia" w:ascii="黑体" w:hAnsi="黑体" w:eastAsia="黑体" w:cs="黑体"/>
          <w:bCs/>
          <w:color w:val="auto"/>
          <w:kern w:val="44"/>
          <w:sz w:val="28"/>
          <w:szCs w:val="28"/>
        </w:rPr>
        <w:t>十、名称解释</w:t>
      </w:r>
      <w:r>
        <w:rPr>
          <w:color w:val="auto"/>
          <w:sz w:val="28"/>
          <w:szCs w:val="28"/>
        </w:rPr>
        <w:tab/>
      </w:r>
      <w:r>
        <w:rPr>
          <w:rFonts w:hint="eastAsia"/>
          <w:color w:val="auto"/>
          <w:sz w:val="28"/>
          <w:szCs w:val="28"/>
        </w:rPr>
        <w:t>1</w:t>
      </w:r>
      <w:r>
        <w:rPr>
          <w:rFonts w:hint="eastAsia"/>
          <w:color w:val="auto"/>
          <w:sz w:val="28"/>
          <w:szCs w:val="28"/>
        </w:rPr>
        <w:fldChar w:fldCharType="end"/>
      </w:r>
      <w:r>
        <w:rPr>
          <w:rFonts w:hint="eastAsia" w:ascii="黑体" w:hAnsi="黑体" w:eastAsia="黑体" w:cs="Times New Roman"/>
          <w:color w:val="auto"/>
          <w:sz w:val="28"/>
          <w:szCs w:val="28"/>
        </w:rPr>
        <w:t>0</w:t>
      </w:r>
    </w:p>
    <w:p w14:paraId="2F6D7CA2">
      <w:pPr>
        <w:rPr>
          <w:rFonts w:ascii="黑体" w:hAnsi="黑体" w:eastAsia="黑体" w:cs="Times New Roman"/>
          <w:color w:val="auto"/>
          <w:sz w:val="44"/>
          <w:szCs w:val="44"/>
        </w:rPr>
      </w:pPr>
      <w:r>
        <w:rPr>
          <w:rFonts w:ascii="黑体" w:hAnsi="黑体" w:eastAsia="黑体" w:cs="Times New Roman"/>
          <w:color w:val="auto"/>
          <w:szCs w:val="44"/>
        </w:rPr>
        <w:fldChar w:fldCharType="end"/>
      </w:r>
    </w:p>
    <w:p w14:paraId="74B2B5BE">
      <w:pPr>
        <w:rPr>
          <w:rFonts w:ascii="??" w:hAnsi="??" w:cs="??"/>
          <w:color w:val="auto"/>
          <w:kern w:val="0"/>
          <w:sz w:val="12"/>
          <w:szCs w:val="12"/>
        </w:rPr>
      </w:pPr>
    </w:p>
    <w:p w14:paraId="58DC6290">
      <w:pPr>
        <w:pStyle w:val="2"/>
        <w:ind w:firstLine="240"/>
        <w:rPr>
          <w:rFonts w:ascii="??" w:hAnsi="??" w:cs="??"/>
          <w:color w:val="auto"/>
          <w:sz w:val="12"/>
          <w:szCs w:val="12"/>
        </w:rPr>
      </w:pPr>
    </w:p>
    <w:p w14:paraId="22B39A8B">
      <w:pPr>
        <w:pStyle w:val="6"/>
        <w:rPr>
          <w:color w:val="auto"/>
        </w:rPr>
      </w:pPr>
    </w:p>
    <w:p w14:paraId="3B7754FD">
      <w:pPr>
        <w:pStyle w:val="17"/>
        <w:numPr>
          <w:ilvl w:val="0"/>
          <w:numId w:val="1"/>
        </w:numPr>
        <w:spacing w:before="0" w:line="360" w:lineRule="auto"/>
        <w:ind w:firstLine="627" w:firstLineChars="196"/>
        <w:rPr>
          <w:rFonts w:ascii="黑体" w:hAnsi="黑体" w:eastAsia="黑体" w:cs="黑体"/>
          <w:color w:val="auto"/>
          <w:kern w:val="2"/>
          <w:sz w:val="32"/>
          <w:szCs w:val="32"/>
        </w:rPr>
      </w:pPr>
      <w:r>
        <w:rPr>
          <w:rFonts w:hint="eastAsia" w:ascii="黑体" w:hAnsi="黑体" w:eastAsia="黑体" w:cs="黑体"/>
          <w:color w:val="auto"/>
          <w:kern w:val="2"/>
          <w:sz w:val="32"/>
          <w:szCs w:val="32"/>
        </w:rPr>
        <w:t>基本职能及主要工作</w:t>
      </w:r>
    </w:p>
    <w:p w14:paraId="213E5916">
      <w:pPr>
        <w:pStyle w:val="17"/>
        <w:spacing w:before="0" w:line="360" w:lineRule="auto"/>
        <w:ind w:firstLine="643" w:firstLineChars="200"/>
        <w:rPr>
          <w:rFonts w:ascii="楷体_GB2312" w:hAnsi="楷体_GB2312" w:eastAsia="楷体_GB2312" w:cs="楷体_GB2312"/>
          <w:b/>
          <w:bCs/>
          <w:color w:val="auto"/>
          <w:kern w:val="2"/>
          <w:sz w:val="32"/>
          <w:szCs w:val="32"/>
        </w:rPr>
      </w:pPr>
      <w:r>
        <w:rPr>
          <w:rFonts w:hint="eastAsia" w:ascii="楷体_GB2312" w:hAnsi="楷体_GB2312" w:eastAsia="楷体_GB2312" w:cs="楷体_GB2312"/>
          <w:b/>
          <w:bCs/>
          <w:color w:val="auto"/>
          <w:kern w:val="2"/>
          <w:sz w:val="32"/>
          <w:szCs w:val="32"/>
        </w:rPr>
        <w:t>（一）部门职能简介</w:t>
      </w:r>
    </w:p>
    <w:p w14:paraId="7922C943">
      <w:pPr>
        <w:pStyle w:val="17"/>
        <w:spacing w:before="0" w:line="360" w:lineRule="auto"/>
        <w:ind w:firstLine="627" w:firstLineChars="196"/>
        <w:rPr>
          <w:rFonts w:hAnsi="黑体"/>
          <w:color w:val="auto"/>
          <w:kern w:val="2"/>
          <w:sz w:val="32"/>
          <w:szCs w:val="32"/>
        </w:rPr>
      </w:pPr>
      <w:r>
        <w:rPr>
          <w:rFonts w:hint="eastAsia" w:hAnsi="黑体"/>
          <w:color w:val="auto"/>
          <w:kern w:val="2"/>
          <w:sz w:val="32"/>
          <w:szCs w:val="32"/>
        </w:rPr>
        <w:t>1.负责贯彻落实国家、省、州生态环境基本制度。组织编制县域环境功能区划，会同有关部门编制并监督实施重点区域、流域、饮用水水源地生态环境规划和水功能区划。</w:t>
      </w:r>
    </w:p>
    <w:p w14:paraId="6FFC12D9">
      <w:pPr>
        <w:pStyle w:val="17"/>
        <w:spacing w:before="0" w:line="360" w:lineRule="auto"/>
        <w:ind w:firstLine="627" w:firstLineChars="196"/>
        <w:rPr>
          <w:rFonts w:hAnsi="黑体"/>
          <w:color w:val="auto"/>
          <w:kern w:val="2"/>
          <w:sz w:val="32"/>
          <w:szCs w:val="32"/>
        </w:rPr>
      </w:pPr>
      <w:r>
        <w:rPr>
          <w:rFonts w:hint="eastAsia" w:hAnsi="黑体"/>
          <w:color w:val="auto"/>
          <w:kern w:val="2"/>
          <w:sz w:val="32"/>
          <w:szCs w:val="32"/>
        </w:rPr>
        <w:t>2.负责县域重大生态环境问题的统筹协调和监督管理。牵头协调对县突发生态环境事件和生态破坏事件的调查处理，</w:t>
      </w:r>
      <w:r>
        <w:rPr>
          <w:rFonts w:hint="eastAsia" w:hAnsi="黑体"/>
          <w:color w:val="auto"/>
          <w:kern w:val="2"/>
          <w:sz w:val="32"/>
          <w:szCs w:val="32"/>
        </w:rPr>
        <w:t>指导协调各部门对重特大突发生态环境事件的应急、预警工作，实施生态环境损害赔偿制度。统筹协调辖区内重点区域、流域生态环境保护工作。</w:t>
      </w:r>
    </w:p>
    <w:p w14:paraId="5CAD954B">
      <w:pPr>
        <w:pStyle w:val="17"/>
        <w:spacing w:before="0" w:line="360" w:lineRule="auto"/>
        <w:ind w:firstLine="627" w:firstLineChars="196"/>
        <w:rPr>
          <w:rFonts w:hAnsi="黑体"/>
          <w:color w:val="auto"/>
          <w:kern w:val="2"/>
          <w:sz w:val="32"/>
          <w:szCs w:val="32"/>
        </w:rPr>
      </w:pPr>
      <w:r>
        <w:rPr>
          <w:rFonts w:hint="eastAsia" w:hAnsi="黑体"/>
          <w:color w:val="auto"/>
          <w:kern w:val="2"/>
          <w:sz w:val="32"/>
          <w:szCs w:val="32"/>
        </w:rPr>
        <w:t>3.负责落实县域污染物减排工作。完成污染物减排任务，实施生态环境保护目标责任制。承担排污许可证相关工作。负责应对气候变化工作。</w:t>
      </w:r>
    </w:p>
    <w:p w14:paraId="263ED2AB">
      <w:pPr>
        <w:pStyle w:val="17"/>
        <w:spacing w:before="0" w:line="360" w:lineRule="auto"/>
        <w:ind w:firstLine="627" w:firstLineChars="196"/>
        <w:rPr>
          <w:rFonts w:hAnsi="黑体"/>
          <w:color w:val="auto"/>
          <w:kern w:val="2"/>
          <w:sz w:val="32"/>
          <w:szCs w:val="32"/>
        </w:rPr>
      </w:pPr>
      <w:r>
        <w:rPr>
          <w:rFonts w:hint="eastAsia" w:hAnsi="黑体"/>
          <w:color w:val="auto"/>
          <w:kern w:val="2"/>
          <w:sz w:val="32"/>
          <w:szCs w:val="32"/>
        </w:rPr>
        <w:t>4.负责县域环境污染防治的监督管理。负责大气、水、土壤、噪声、光、恶臭、固体废物、化学品、机动车等的污染防治工作。</w:t>
      </w:r>
    </w:p>
    <w:p w14:paraId="22501741">
      <w:pPr>
        <w:pStyle w:val="17"/>
        <w:spacing w:before="0" w:line="360" w:lineRule="auto"/>
        <w:ind w:firstLine="627" w:firstLineChars="196"/>
        <w:rPr>
          <w:rFonts w:hAnsi="黑体"/>
          <w:color w:val="auto"/>
          <w:kern w:val="2"/>
          <w:sz w:val="32"/>
          <w:szCs w:val="32"/>
        </w:rPr>
      </w:pPr>
      <w:r>
        <w:rPr>
          <w:rFonts w:hint="eastAsia" w:hAnsi="黑体"/>
          <w:color w:val="auto"/>
          <w:kern w:val="2"/>
          <w:sz w:val="32"/>
          <w:szCs w:val="32"/>
        </w:rPr>
        <w:t>5.协调、监督生态保护修复工作。协调和监督农村生态环境保护，监督生物技术环境安全，牵头生物物种(含遗传资源)工作，组织协调生物多样性保护工作。落实生态保护红线划定、勘界地标工作。参与生态保护补偿工作。</w:t>
      </w:r>
    </w:p>
    <w:p w14:paraId="0BBCAE4F">
      <w:pPr>
        <w:pStyle w:val="17"/>
        <w:spacing w:before="0" w:line="360" w:lineRule="auto"/>
        <w:ind w:firstLine="627" w:firstLineChars="196"/>
        <w:rPr>
          <w:rFonts w:hAnsi="黑体"/>
          <w:color w:val="auto"/>
          <w:kern w:val="2"/>
          <w:sz w:val="32"/>
          <w:szCs w:val="32"/>
        </w:rPr>
      </w:pPr>
      <w:r>
        <w:rPr>
          <w:rFonts w:hint="eastAsia" w:hAnsi="黑体"/>
          <w:color w:val="auto"/>
          <w:kern w:val="2"/>
          <w:sz w:val="32"/>
          <w:szCs w:val="32"/>
        </w:rPr>
        <w:t>6.组织县域开展生态环境保护督察。建立健全生态环境保护督察制度，组织协调州生态环境保护督察工作。</w:t>
      </w:r>
    </w:p>
    <w:p w14:paraId="7699E387">
      <w:pPr>
        <w:pStyle w:val="17"/>
        <w:spacing w:before="0" w:line="360" w:lineRule="auto"/>
        <w:ind w:firstLine="627" w:firstLineChars="196"/>
        <w:rPr>
          <w:rFonts w:hAnsi="黑体"/>
          <w:color w:val="auto"/>
          <w:kern w:val="2"/>
          <w:sz w:val="32"/>
          <w:szCs w:val="32"/>
        </w:rPr>
      </w:pPr>
      <w:r>
        <w:rPr>
          <w:rFonts w:hint="eastAsia" w:hAnsi="黑体"/>
          <w:color w:val="auto"/>
          <w:kern w:val="2"/>
          <w:sz w:val="32"/>
          <w:szCs w:val="32"/>
        </w:rPr>
        <w:t>7.负责县域生态环境监督执法。组织开展生态环境保护执法检查活动。开展态环境保护综合执法队伍建设和业务工作。</w:t>
      </w:r>
    </w:p>
    <w:p w14:paraId="59B0A7CB">
      <w:pPr>
        <w:pStyle w:val="17"/>
        <w:spacing w:before="0" w:line="360" w:lineRule="auto"/>
        <w:ind w:firstLine="627" w:firstLineChars="196"/>
        <w:rPr>
          <w:rFonts w:hAnsi="黑体"/>
          <w:color w:val="auto"/>
          <w:kern w:val="2"/>
          <w:sz w:val="32"/>
          <w:szCs w:val="32"/>
        </w:rPr>
      </w:pPr>
      <w:r>
        <w:rPr>
          <w:rFonts w:hint="eastAsia" w:hAnsi="黑体"/>
          <w:color w:val="auto"/>
          <w:kern w:val="2"/>
          <w:sz w:val="32"/>
          <w:szCs w:val="32"/>
        </w:rPr>
        <w:t>8.组织县域生态环境宣传教育工作，推动社会组织和公众参与生态环境保护。</w:t>
      </w:r>
    </w:p>
    <w:p w14:paraId="2902D2B5">
      <w:pPr>
        <w:pStyle w:val="17"/>
        <w:spacing w:before="0" w:line="360" w:lineRule="auto"/>
        <w:ind w:firstLine="627" w:firstLineChars="196"/>
        <w:rPr>
          <w:rFonts w:hAnsi="黑体"/>
          <w:color w:val="auto"/>
          <w:kern w:val="2"/>
          <w:sz w:val="32"/>
          <w:szCs w:val="32"/>
        </w:rPr>
      </w:pPr>
      <w:r>
        <w:rPr>
          <w:rFonts w:hint="eastAsia" w:hAnsi="黑体"/>
          <w:color w:val="auto"/>
          <w:kern w:val="2"/>
          <w:sz w:val="32"/>
          <w:szCs w:val="32"/>
        </w:rPr>
        <w:t>9.完成州生态环境局交办的其他任务。</w:t>
      </w:r>
    </w:p>
    <w:p w14:paraId="13F00790">
      <w:pPr>
        <w:pStyle w:val="17"/>
        <w:spacing w:before="0" w:line="360" w:lineRule="auto"/>
        <w:ind w:firstLine="630" w:firstLineChars="196"/>
        <w:rPr>
          <w:rFonts w:hAnsi="黑体"/>
          <w:b/>
          <w:bCs/>
          <w:color w:val="auto"/>
          <w:kern w:val="2"/>
          <w:sz w:val="32"/>
          <w:szCs w:val="32"/>
        </w:rPr>
      </w:pPr>
      <w:r>
        <w:rPr>
          <w:rFonts w:hint="eastAsia" w:hAnsi="黑体"/>
          <w:b/>
          <w:bCs/>
          <w:color w:val="auto"/>
          <w:kern w:val="2"/>
          <w:sz w:val="32"/>
          <w:szCs w:val="32"/>
        </w:rPr>
        <w:t>（二）202</w:t>
      </w:r>
      <w:r>
        <w:rPr>
          <w:rFonts w:hint="eastAsia" w:hAnsi="黑体"/>
          <w:b/>
          <w:bCs/>
          <w:color w:val="auto"/>
          <w:kern w:val="2"/>
          <w:sz w:val="32"/>
          <w:szCs w:val="32"/>
          <w:lang w:val="en-US" w:eastAsia="zh-CN"/>
        </w:rPr>
        <w:t>5</w:t>
      </w:r>
      <w:r>
        <w:rPr>
          <w:rFonts w:hint="eastAsia" w:hAnsi="黑体"/>
          <w:b/>
          <w:bCs/>
          <w:color w:val="auto"/>
          <w:kern w:val="2"/>
          <w:sz w:val="32"/>
          <w:szCs w:val="32"/>
        </w:rPr>
        <w:t>年重点工作</w:t>
      </w:r>
    </w:p>
    <w:p w14:paraId="0D3175AB">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both"/>
        <w:textAlignment w:val="auto"/>
        <w:rPr>
          <w:rFonts w:hint="default" w:ascii="仿宋_GB2312" w:hAnsi="黑体" w:eastAsia="仿宋_GB2312" w:cs="仿宋_GB2312"/>
          <w:color w:val="auto"/>
          <w:kern w:val="2"/>
          <w:sz w:val="32"/>
          <w:szCs w:val="32"/>
          <w:lang w:val="en-US" w:eastAsia="zh-CN" w:bidi="ar-SA"/>
        </w:rPr>
      </w:pPr>
      <w:r>
        <w:rPr>
          <w:rFonts w:hint="default" w:ascii="仿宋_GB2312" w:hAnsi="黑体" w:eastAsia="仿宋_GB2312" w:cs="仿宋_GB2312"/>
          <w:color w:val="auto"/>
          <w:kern w:val="2"/>
          <w:sz w:val="32"/>
          <w:szCs w:val="32"/>
          <w:lang w:val="en-US" w:eastAsia="zh-CN" w:bidi="ar-SA"/>
        </w:rPr>
        <w:t>一</w:t>
      </w:r>
      <w:r>
        <w:rPr>
          <w:rFonts w:hint="eastAsia" w:ascii="仿宋_GB2312" w:hAnsi="黑体" w:eastAsia="仿宋_GB2312" w:cs="仿宋_GB2312"/>
          <w:color w:val="auto"/>
          <w:kern w:val="2"/>
          <w:sz w:val="32"/>
          <w:szCs w:val="32"/>
          <w:lang w:val="en-US" w:eastAsia="zh-CN" w:bidi="ar-SA"/>
        </w:rPr>
        <w:t>、</w:t>
      </w:r>
      <w:r>
        <w:rPr>
          <w:rFonts w:hint="default" w:ascii="仿宋_GB2312" w:hAnsi="黑体" w:eastAsia="仿宋_GB2312" w:cs="仿宋_GB2312"/>
          <w:color w:val="auto"/>
          <w:kern w:val="2"/>
          <w:sz w:val="32"/>
          <w:szCs w:val="32"/>
          <w:lang w:val="en-US" w:eastAsia="zh-CN" w:bidi="ar-SA"/>
        </w:rPr>
        <w:t>加强</w:t>
      </w:r>
      <w:r>
        <w:rPr>
          <w:rFonts w:hint="eastAsia" w:ascii="仿宋_GB2312" w:hAnsi="黑体" w:eastAsia="仿宋_GB2312" w:cs="仿宋_GB2312"/>
          <w:color w:val="auto"/>
          <w:kern w:val="2"/>
          <w:sz w:val="32"/>
          <w:szCs w:val="32"/>
          <w:lang w:val="en-US" w:eastAsia="zh-CN" w:bidi="ar-SA"/>
        </w:rPr>
        <w:t>队伍</w:t>
      </w:r>
      <w:r>
        <w:rPr>
          <w:rFonts w:hint="default" w:ascii="仿宋_GB2312" w:hAnsi="黑体" w:eastAsia="仿宋_GB2312" w:cs="仿宋_GB2312"/>
          <w:color w:val="auto"/>
          <w:kern w:val="2"/>
          <w:sz w:val="32"/>
          <w:szCs w:val="32"/>
          <w:lang w:val="en-US" w:eastAsia="zh-CN" w:bidi="ar-SA"/>
        </w:rPr>
        <w:t>建设，认真贯彻落实习近平生态文明思想，坚持党建为引领，加强干部职工思想教育</w:t>
      </w:r>
      <w:r>
        <w:rPr>
          <w:rFonts w:hint="eastAsia" w:ascii="仿宋_GB2312" w:hAnsi="黑体" w:eastAsia="仿宋_GB2312" w:cs="仿宋_GB2312"/>
          <w:color w:val="auto"/>
          <w:kern w:val="2"/>
          <w:sz w:val="32"/>
          <w:szCs w:val="32"/>
          <w:lang w:val="en-US" w:eastAsia="zh-CN" w:bidi="ar-SA"/>
        </w:rPr>
        <w:t>于业务能力</w:t>
      </w:r>
      <w:r>
        <w:rPr>
          <w:rFonts w:hint="default" w:ascii="仿宋_GB2312" w:hAnsi="黑体" w:eastAsia="仿宋_GB2312" w:cs="仿宋_GB2312"/>
          <w:color w:val="auto"/>
          <w:kern w:val="2"/>
          <w:sz w:val="32"/>
          <w:szCs w:val="32"/>
          <w:lang w:val="en-US" w:eastAsia="zh-CN" w:bidi="ar-SA"/>
        </w:rPr>
        <w:t>培训。</w:t>
      </w:r>
    </w:p>
    <w:p w14:paraId="0B0ECDC9">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jc w:val="both"/>
        <w:textAlignment w:val="auto"/>
        <w:rPr>
          <w:rFonts w:hint="default" w:ascii="仿宋_GB2312" w:hAnsi="黑体" w:eastAsia="仿宋_GB2312" w:cs="仿宋_GB2312"/>
          <w:color w:val="auto"/>
          <w:kern w:val="2"/>
          <w:sz w:val="32"/>
          <w:szCs w:val="32"/>
          <w:lang w:val="en-US" w:eastAsia="zh-CN" w:bidi="ar-SA"/>
        </w:rPr>
      </w:pPr>
      <w:r>
        <w:rPr>
          <w:rFonts w:hint="default" w:ascii="仿宋_GB2312" w:hAnsi="黑体" w:eastAsia="仿宋_GB2312" w:cs="仿宋_GB2312"/>
          <w:color w:val="auto"/>
          <w:kern w:val="2"/>
          <w:sz w:val="32"/>
          <w:szCs w:val="32"/>
          <w:lang w:val="en-US" w:eastAsia="zh-CN" w:bidi="ar-SA"/>
        </w:rPr>
        <w:t>二</w:t>
      </w:r>
      <w:r>
        <w:rPr>
          <w:rFonts w:hint="eastAsia" w:ascii="仿宋_GB2312" w:hAnsi="黑体" w:eastAsia="仿宋_GB2312" w:cs="仿宋_GB2312"/>
          <w:color w:val="auto"/>
          <w:kern w:val="2"/>
          <w:sz w:val="32"/>
          <w:szCs w:val="32"/>
          <w:lang w:val="en-US" w:eastAsia="zh-CN" w:bidi="ar-SA"/>
        </w:rPr>
        <w:t>、</w:t>
      </w:r>
      <w:r>
        <w:rPr>
          <w:rFonts w:hint="default" w:ascii="仿宋_GB2312" w:hAnsi="黑体" w:eastAsia="仿宋_GB2312" w:cs="仿宋_GB2312"/>
          <w:color w:val="auto"/>
          <w:kern w:val="2"/>
          <w:sz w:val="32"/>
          <w:szCs w:val="32"/>
          <w:lang w:val="en-US" w:eastAsia="zh-CN" w:bidi="ar-SA"/>
        </w:rPr>
        <w:t>进一步强化执法监管工作，优化建设项目环境影响评价服务，全力保障县域环境安全。</w:t>
      </w:r>
    </w:p>
    <w:p w14:paraId="2C1EEBA5">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jc w:val="both"/>
        <w:textAlignment w:val="auto"/>
        <w:rPr>
          <w:rFonts w:hint="eastAsia" w:ascii="仿宋_GB2312" w:hAnsi="黑体" w:eastAsia="仿宋_GB2312" w:cs="仿宋_GB2312"/>
          <w:color w:val="auto"/>
          <w:kern w:val="2"/>
          <w:sz w:val="32"/>
          <w:szCs w:val="32"/>
          <w:lang w:val="en-US" w:eastAsia="zh-CN" w:bidi="ar-SA"/>
        </w:rPr>
      </w:pPr>
      <w:r>
        <w:rPr>
          <w:rFonts w:hint="eastAsia" w:ascii="仿宋_GB2312" w:hAnsi="黑体" w:eastAsia="仿宋_GB2312" w:cs="仿宋_GB2312"/>
          <w:color w:val="auto"/>
          <w:kern w:val="2"/>
          <w:sz w:val="32"/>
          <w:szCs w:val="32"/>
          <w:lang w:val="en-US" w:eastAsia="zh-CN" w:bidi="ar-SA"/>
        </w:rPr>
        <w:t>三、</w:t>
      </w:r>
      <w:r>
        <w:rPr>
          <w:rFonts w:hint="default" w:ascii="仿宋_GB2312" w:hAnsi="黑体" w:eastAsia="仿宋_GB2312" w:cs="仿宋_GB2312"/>
          <w:color w:val="auto"/>
          <w:kern w:val="2"/>
          <w:sz w:val="32"/>
          <w:szCs w:val="32"/>
          <w:lang w:val="en-US" w:eastAsia="zh-CN" w:bidi="ar-SA"/>
        </w:rPr>
        <w:t>持续推进国家生态文明建设示范县和“绿水青山就是金山银山”实践创新基地创建</w:t>
      </w:r>
      <w:r>
        <w:rPr>
          <w:rFonts w:hint="eastAsia" w:ascii="仿宋_GB2312" w:hAnsi="黑体" w:eastAsia="仿宋_GB2312" w:cs="仿宋_GB2312"/>
          <w:color w:val="auto"/>
          <w:kern w:val="2"/>
          <w:sz w:val="32"/>
          <w:szCs w:val="32"/>
          <w:lang w:val="en-US" w:eastAsia="zh-CN" w:bidi="ar-SA"/>
        </w:rPr>
        <w:t>。</w:t>
      </w:r>
    </w:p>
    <w:p w14:paraId="79B1A9E6">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jc w:val="both"/>
        <w:textAlignment w:val="auto"/>
        <w:rPr>
          <w:rFonts w:hint="default" w:ascii="仿宋_GB2312" w:hAnsi="黑体" w:eastAsia="仿宋_GB2312" w:cs="仿宋_GB2312"/>
          <w:color w:val="auto"/>
          <w:kern w:val="2"/>
          <w:sz w:val="32"/>
          <w:szCs w:val="32"/>
          <w:lang w:val="en-US" w:eastAsia="zh-CN" w:bidi="ar-SA"/>
        </w:rPr>
      </w:pPr>
      <w:r>
        <w:rPr>
          <w:rFonts w:hint="eastAsia" w:ascii="仿宋_GB2312" w:hAnsi="黑体" w:eastAsia="仿宋_GB2312" w:cs="仿宋_GB2312"/>
          <w:color w:val="auto"/>
          <w:kern w:val="2"/>
          <w:sz w:val="32"/>
          <w:szCs w:val="32"/>
          <w:lang w:val="en-US" w:eastAsia="zh-CN" w:bidi="ar-SA"/>
        </w:rPr>
        <w:t>四、</w:t>
      </w:r>
      <w:r>
        <w:rPr>
          <w:rFonts w:hint="default" w:ascii="仿宋_GB2312" w:hAnsi="黑体" w:eastAsia="仿宋_GB2312" w:cs="仿宋_GB2312"/>
          <w:color w:val="auto"/>
          <w:kern w:val="2"/>
          <w:sz w:val="32"/>
          <w:szCs w:val="32"/>
          <w:lang w:val="en-US" w:eastAsia="zh-CN" w:bidi="ar-SA"/>
        </w:rPr>
        <w:t>盯紧重点污染源</w:t>
      </w:r>
      <w:r>
        <w:rPr>
          <w:rFonts w:hint="eastAsia" w:ascii="仿宋_GB2312" w:hAnsi="黑体" w:eastAsia="仿宋_GB2312" w:cs="仿宋_GB2312"/>
          <w:color w:val="auto"/>
          <w:kern w:val="2"/>
          <w:sz w:val="32"/>
          <w:szCs w:val="32"/>
          <w:lang w:val="en-US" w:eastAsia="zh-CN" w:bidi="ar-SA"/>
        </w:rPr>
        <w:t>，</w:t>
      </w:r>
      <w:r>
        <w:rPr>
          <w:rFonts w:hint="default" w:ascii="仿宋_GB2312" w:hAnsi="黑体" w:eastAsia="仿宋_GB2312" w:cs="仿宋_GB2312"/>
          <w:color w:val="auto"/>
          <w:kern w:val="2"/>
          <w:sz w:val="32"/>
          <w:szCs w:val="32"/>
          <w:lang w:val="en-US" w:eastAsia="zh-CN" w:bidi="ar-SA"/>
        </w:rPr>
        <w:t>做好县域内水、气、土、声等环境要素监测</w:t>
      </w:r>
      <w:r>
        <w:rPr>
          <w:rFonts w:hint="eastAsia" w:ascii="仿宋_GB2312" w:hAnsi="黑体" w:eastAsia="仿宋_GB2312" w:cs="仿宋_GB2312"/>
          <w:color w:val="auto"/>
          <w:kern w:val="2"/>
          <w:sz w:val="32"/>
          <w:szCs w:val="32"/>
          <w:lang w:val="en-US" w:eastAsia="zh-CN" w:bidi="ar-SA"/>
        </w:rPr>
        <w:t>，</w:t>
      </w:r>
      <w:r>
        <w:rPr>
          <w:rFonts w:hint="default" w:ascii="仿宋_GB2312" w:hAnsi="黑体" w:eastAsia="仿宋_GB2312" w:cs="仿宋_GB2312"/>
          <w:color w:val="auto"/>
          <w:kern w:val="2"/>
          <w:sz w:val="32"/>
          <w:szCs w:val="32"/>
          <w:lang w:val="en-US" w:eastAsia="zh-CN" w:bidi="ar-SA"/>
        </w:rPr>
        <w:t>优化完善质量控制体系建设和质量体系规范运行，推动监测工作高标准、高质量发展。</w:t>
      </w:r>
    </w:p>
    <w:p w14:paraId="3EB287C5">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jc w:val="both"/>
        <w:textAlignment w:val="auto"/>
        <w:rPr>
          <w:rFonts w:hint="eastAsia" w:ascii="仿宋_GB2312" w:hAnsi="黑体" w:eastAsia="仿宋_GB2312" w:cs="仿宋_GB2312"/>
          <w:color w:val="auto"/>
          <w:kern w:val="2"/>
          <w:sz w:val="32"/>
          <w:szCs w:val="32"/>
          <w:lang w:val="en-US" w:eastAsia="zh-CN" w:bidi="ar-SA"/>
        </w:rPr>
      </w:pPr>
      <w:r>
        <w:rPr>
          <w:rFonts w:hint="eastAsia" w:ascii="仿宋_GB2312" w:hAnsi="黑体" w:eastAsia="仿宋_GB2312" w:cs="仿宋_GB2312"/>
          <w:color w:val="auto"/>
          <w:kern w:val="2"/>
          <w:sz w:val="32"/>
          <w:szCs w:val="32"/>
          <w:lang w:val="en-US" w:eastAsia="zh-CN" w:bidi="ar-SA"/>
        </w:rPr>
        <w:t>五、</w:t>
      </w:r>
      <w:r>
        <w:rPr>
          <w:rFonts w:hint="default" w:ascii="仿宋_GB2312" w:hAnsi="黑体" w:eastAsia="仿宋_GB2312" w:cs="仿宋_GB2312"/>
          <w:color w:val="auto"/>
          <w:kern w:val="2"/>
          <w:sz w:val="32"/>
          <w:szCs w:val="32"/>
          <w:lang w:val="en-US" w:eastAsia="zh-CN" w:bidi="ar-SA"/>
        </w:rPr>
        <w:t>持续推进非道路移动机械登记备案工作，</w:t>
      </w:r>
      <w:r>
        <w:rPr>
          <w:rFonts w:hint="eastAsia" w:ascii="仿宋_GB2312" w:hAnsi="黑体" w:eastAsia="仿宋_GB2312" w:cs="仿宋_GB2312"/>
          <w:color w:val="auto"/>
          <w:kern w:val="2"/>
          <w:sz w:val="32"/>
          <w:szCs w:val="32"/>
          <w:lang w:val="en-US" w:eastAsia="zh-CN" w:bidi="ar-SA"/>
        </w:rPr>
        <w:t>到2025年基本淘汰国一及以下排放阶段的机械；依托“双随机”工作对大气环境重点排污单位开展专项整治行动。</w:t>
      </w:r>
    </w:p>
    <w:p w14:paraId="4E1C47E8">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jc w:val="both"/>
        <w:textAlignment w:val="auto"/>
        <w:rPr>
          <w:rFonts w:hint="eastAsia" w:ascii="仿宋_GB2312" w:hAnsi="黑体" w:eastAsia="仿宋_GB2312" w:cs="仿宋_GB2312"/>
          <w:color w:val="auto"/>
          <w:kern w:val="2"/>
          <w:sz w:val="32"/>
          <w:szCs w:val="32"/>
          <w:lang w:val="en-US" w:eastAsia="zh-CN" w:bidi="ar-SA"/>
        </w:rPr>
      </w:pPr>
      <w:r>
        <w:rPr>
          <w:rFonts w:hint="eastAsia" w:ascii="仿宋_GB2312" w:hAnsi="黑体" w:eastAsia="仿宋_GB2312" w:cs="仿宋_GB2312"/>
          <w:color w:val="auto"/>
          <w:kern w:val="2"/>
          <w:sz w:val="32"/>
          <w:szCs w:val="32"/>
          <w:lang w:val="en-US" w:eastAsia="zh-CN" w:bidi="ar-SA"/>
        </w:rPr>
        <w:t>六、加快项目建设，加大项目储备，按时按质完成农村生活污水治理项目。</w:t>
      </w:r>
    </w:p>
    <w:p w14:paraId="5288242B">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jc w:val="both"/>
        <w:textAlignment w:val="auto"/>
        <w:rPr>
          <w:rFonts w:hint="eastAsia" w:ascii="仿宋_GB2312" w:hAnsi="黑体" w:eastAsia="仿宋_GB2312" w:cs="仿宋_GB2312"/>
          <w:color w:val="auto"/>
          <w:kern w:val="2"/>
          <w:sz w:val="32"/>
          <w:szCs w:val="32"/>
          <w:lang w:val="en-US" w:eastAsia="zh-CN" w:bidi="ar-SA"/>
        </w:rPr>
      </w:pPr>
      <w:r>
        <w:rPr>
          <w:rFonts w:hint="eastAsia" w:ascii="仿宋_GB2312" w:hAnsi="黑体" w:eastAsia="仿宋_GB2312" w:cs="仿宋_GB2312"/>
          <w:color w:val="auto"/>
          <w:kern w:val="2"/>
          <w:sz w:val="32"/>
          <w:szCs w:val="32"/>
          <w:lang w:val="en-US" w:eastAsia="zh-CN" w:bidi="ar-SA"/>
        </w:rPr>
        <w:t>七、在问题整改上持续强化。紧盯各级各类存量问题，压实属地、属事、主体责任，督促整改责任单位严格对照整改实施方案要求推进问题整改。同时，持续开展“回头看”，坚决防止已完成整改问题“反弹回潮”。</w:t>
      </w:r>
    </w:p>
    <w:p w14:paraId="4A92FF99">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jc w:val="both"/>
        <w:textAlignment w:val="auto"/>
        <w:rPr>
          <w:rFonts w:hint="eastAsia" w:ascii="仿宋_GB2312" w:hAnsi="黑体" w:eastAsia="仿宋_GB2312" w:cs="仿宋_GB2312"/>
          <w:color w:val="auto"/>
          <w:kern w:val="2"/>
          <w:sz w:val="32"/>
          <w:szCs w:val="32"/>
          <w:lang w:val="en-US" w:eastAsia="zh-CN" w:bidi="ar-SA"/>
        </w:rPr>
      </w:pPr>
      <w:r>
        <w:rPr>
          <w:rFonts w:hint="eastAsia" w:ascii="仿宋_GB2312" w:hAnsi="黑体" w:eastAsia="仿宋_GB2312" w:cs="仿宋_GB2312"/>
          <w:color w:val="auto"/>
          <w:kern w:val="2"/>
          <w:sz w:val="32"/>
          <w:szCs w:val="32"/>
          <w:lang w:val="en-US" w:eastAsia="zh-CN" w:bidi="ar-SA"/>
        </w:rPr>
        <w:t>八、在自查自纠上持续用功。对照典型案例，以案为鉴、举一反三，持续开展排查整治，动态更新问题清单，靶向整治典型风险问题，集中力量解决生态环境突出问题。</w:t>
      </w:r>
    </w:p>
    <w:p w14:paraId="1993057E">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jc w:val="both"/>
        <w:textAlignment w:val="auto"/>
        <w:rPr>
          <w:rFonts w:hAnsi="黑体"/>
          <w:color w:val="auto"/>
          <w:kern w:val="2"/>
          <w:sz w:val="32"/>
          <w:szCs w:val="32"/>
        </w:rPr>
      </w:pPr>
      <w:r>
        <w:rPr>
          <w:rFonts w:hint="eastAsia" w:ascii="仿宋_GB2312" w:hAnsi="黑体" w:eastAsia="仿宋_GB2312" w:cs="仿宋_GB2312"/>
          <w:color w:val="auto"/>
          <w:kern w:val="2"/>
          <w:sz w:val="32"/>
          <w:szCs w:val="32"/>
          <w:lang w:val="en-US" w:eastAsia="zh-CN" w:bidi="ar-SA"/>
        </w:rPr>
        <w:t>九、积极推动美丽松潘建设工作。督促落实美丽松潘建设工作责任，持续改善生态环境质量。</w:t>
      </w:r>
    </w:p>
    <w:p w14:paraId="6EF01D31">
      <w:pPr>
        <w:pStyle w:val="17"/>
        <w:spacing w:before="0" w:line="360" w:lineRule="auto"/>
        <w:ind w:firstLine="627" w:firstLineChars="196"/>
        <w:rPr>
          <w:rFonts w:ascii="黑体" w:hAnsi="黑体" w:eastAsia="黑体" w:cs="黑体"/>
          <w:color w:val="auto"/>
          <w:kern w:val="2"/>
          <w:sz w:val="32"/>
          <w:szCs w:val="32"/>
        </w:rPr>
      </w:pPr>
      <w:r>
        <w:rPr>
          <w:rFonts w:hint="eastAsia" w:ascii="黑体" w:hAnsi="黑体" w:eastAsia="黑体" w:cs="黑体"/>
          <w:color w:val="auto"/>
          <w:kern w:val="2"/>
          <w:sz w:val="32"/>
          <w:szCs w:val="32"/>
        </w:rPr>
        <w:t>二、部门预算单位构成</w:t>
      </w:r>
    </w:p>
    <w:p w14:paraId="14542458">
      <w:pPr>
        <w:pStyle w:val="17"/>
        <w:spacing w:before="0" w:line="360" w:lineRule="auto"/>
        <w:ind w:firstLine="627" w:firstLineChars="196"/>
        <w:rPr>
          <w:rFonts w:hAnsi="黑体"/>
          <w:color w:val="auto"/>
          <w:kern w:val="2"/>
          <w:sz w:val="32"/>
          <w:szCs w:val="32"/>
        </w:rPr>
      </w:pPr>
      <w:r>
        <w:rPr>
          <w:rFonts w:hint="eastAsia" w:hAnsi="黑体"/>
          <w:color w:val="auto"/>
          <w:kern w:val="2"/>
          <w:sz w:val="32"/>
          <w:szCs w:val="32"/>
        </w:rPr>
        <w:t>阿坝州</w:t>
      </w:r>
      <w:r>
        <w:rPr>
          <w:rFonts w:hint="eastAsia" w:hAnsi="黑体"/>
          <w:color w:val="auto"/>
          <w:kern w:val="2"/>
          <w:sz w:val="32"/>
          <w:szCs w:val="32"/>
          <w:lang w:eastAsia="zh-CN"/>
        </w:rPr>
        <w:t>松潘</w:t>
      </w:r>
      <w:r>
        <w:rPr>
          <w:rFonts w:hint="eastAsia" w:hAnsi="黑体"/>
          <w:color w:val="auto"/>
          <w:kern w:val="2"/>
          <w:sz w:val="32"/>
          <w:szCs w:val="32"/>
        </w:rPr>
        <w:t>生态环境局属一级预算单位，下属二级预算单位3个，其中：行政单位1个；参照公务员法管理的事业单位2个；其他事业单位1个。本部门内设机构4个</w:t>
      </w:r>
      <w:r>
        <w:rPr>
          <w:rFonts w:hint="eastAsia" w:hAnsi="黑体"/>
          <w:color w:val="auto"/>
          <w:kern w:val="2"/>
          <w:sz w:val="32"/>
          <w:szCs w:val="32"/>
        </w:rPr>
        <w:t>。总编</w:t>
      </w:r>
      <w:r>
        <w:rPr>
          <w:rFonts w:hint="eastAsia" w:hAnsi="黑体"/>
          <w:color w:val="auto"/>
          <w:kern w:val="2"/>
          <w:sz w:val="32"/>
          <w:szCs w:val="32"/>
        </w:rPr>
        <w:t>制</w:t>
      </w:r>
      <w:r>
        <w:rPr>
          <w:rFonts w:hint="eastAsia" w:hAnsi="黑体"/>
          <w:color w:val="auto"/>
          <w:kern w:val="2"/>
          <w:sz w:val="32"/>
          <w:szCs w:val="32"/>
          <w:lang w:val="en-US" w:eastAsia="zh-CN"/>
        </w:rPr>
        <w:t>37</w:t>
      </w:r>
      <w:r>
        <w:rPr>
          <w:rFonts w:hint="eastAsia" w:hAnsi="黑体"/>
          <w:color w:val="auto"/>
          <w:kern w:val="2"/>
          <w:sz w:val="32"/>
          <w:szCs w:val="32"/>
        </w:rPr>
        <w:t>名，其中：行政编制</w:t>
      </w:r>
      <w:r>
        <w:rPr>
          <w:rFonts w:hint="eastAsia" w:hAnsi="黑体"/>
          <w:color w:val="auto"/>
          <w:kern w:val="2"/>
          <w:sz w:val="32"/>
          <w:szCs w:val="32"/>
          <w:lang w:val="en-US" w:eastAsia="zh-CN"/>
        </w:rPr>
        <w:t>3</w:t>
      </w:r>
      <w:r>
        <w:rPr>
          <w:rFonts w:hint="eastAsia" w:hAnsi="黑体"/>
          <w:color w:val="auto"/>
          <w:kern w:val="2"/>
          <w:sz w:val="32"/>
          <w:szCs w:val="32"/>
        </w:rPr>
        <w:t>名，参照公务员法管理的事业编制</w:t>
      </w:r>
      <w:r>
        <w:rPr>
          <w:rFonts w:hint="eastAsia" w:hAnsi="黑体"/>
          <w:color w:val="auto"/>
          <w:kern w:val="2"/>
          <w:sz w:val="32"/>
          <w:szCs w:val="32"/>
          <w:lang w:val="en-US" w:eastAsia="zh-CN"/>
        </w:rPr>
        <w:t>20</w:t>
      </w:r>
      <w:r>
        <w:rPr>
          <w:rFonts w:hint="eastAsia" w:hAnsi="黑体"/>
          <w:color w:val="auto"/>
          <w:kern w:val="2"/>
          <w:sz w:val="32"/>
          <w:szCs w:val="32"/>
        </w:rPr>
        <w:t>名，其他事业单位</w:t>
      </w:r>
      <w:r>
        <w:rPr>
          <w:rFonts w:hint="eastAsia" w:hAnsi="黑体"/>
          <w:color w:val="auto"/>
          <w:kern w:val="2"/>
          <w:sz w:val="32"/>
          <w:szCs w:val="32"/>
          <w:lang w:val="en-US" w:eastAsia="zh-CN"/>
        </w:rPr>
        <w:t>14</w:t>
      </w:r>
      <w:r>
        <w:rPr>
          <w:rFonts w:hint="eastAsia" w:hAnsi="黑体"/>
          <w:color w:val="auto"/>
          <w:kern w:val="2"/>
          <w:sz w:val="32"/>
          <w:szCs w:val="32"/>
        </w:rPr>
        <w:t>名。在职人员总数</w:t>
      </w:r>
      <w:r>
        <w:rPr>
          <w:rFonts w:hint="eastAsia" w:hAnsi="黑体"/>
          <w:color w:val="auto"/>
          <w:kern w:val="2"/>
          <w:sz w:val="32"/>
          <w:szCs w:val="32"/>
          <w:lang w:val="en-US" w:eastAsia="zh-CN"/>
        </w:rPr>
        <w:t>26</w:t>
      </w:r>
      <w:r>
        <w:rPr>
          <w:rFonts w:hint="eastAsia" w:hAnsi="黑体"/>
          <w:color w:val="auto"/>
          <w:kern w:val="2"/>
          <w:sz w:val="32"/>
          <w:szCs w:val="32"/>
        </w:rPr>
        <w:t>名，其中：行政人员</w:t>
      </w:r>
      <w:r>
        <w:rPr>
          <w:rFonts w:hint="eastAsia" w:hAnsi="黑体"/>
          <w:color w:val="auto"/>
          <w:kern w:val="2"/>
          <w:sz w:val="32"/>
          <w:szCs w:val="32"/>
          <w:lang w:val="en-US" w:eastAsia="zh-CN"/>
        </w:rPr>
        <w:t>2</w:t>
      </w:r>
      <w:r>
        <w:rPr>
          <w:rFonts w:hint="eastAsia" w:hAnsi="黑体"/>
          <w:color w:val="auto"/>
          <w:kern w:val="2"/>
          <w:sz w:val="32"/>
          <w:szCs w:val="32"/>
        </w:rPr>
        <w:t>名，参照公务员法管理的事业人员</w:t>
      </w:r>
      <w:r>
        <w:rPr>
          <w:rFonts w:hint="eastAsia" w:hAnsi="黑体"/>
          <w:color w:val="auto"/>
          <w:kern w:val="2"/>
          <w:sz w:val="32"/>
          <w:szCs w:val="32"/>
          <w:lang w:val="en-US" w:eastAsia="zh-CN"/>
        </w:rPr>
        <w:t>8</w:t>
      </w:r>
      <w:r>
        <w:rPr>
          <w:rFonts w:hint="eastAsia" w:hAnsi="黑体"/>
          <w:color w:val="auto"/>
          <w:kern w:val="2"/>
          <w:sz w:val="32"/>
          <w:szCs w:val="32"/>
        </w:rPr>
        <w:t>名，其他事业单位</w:t>
      </w:r>
      <w:r>
        <w:rPr>
          <w:rFonts w:hint="eastAsia" w:hAnsi="黑体"/>
          <w:color w:val="auto"/>
          <w:kern w:val="2"/>
          <w:sz w:val="32"/>
          <w:szCs w:val="32"/>
          <w:lang w:val="en-US" w:eastAsia="zh-CN"/>
        </w:rPr>
        <w:t>13</w:t>
      </w:r>
      <w:r>
        <w:rPr>
          <w:rFonts w:hint="eastAsia" w:hAnsi="黑体"/>
          <w:color w:val="auto"/>
          <w:kern w:val="2"/>
          <w:sz w:val="32"/>
          <w:szCs w:val="32"/>
        </w:rPr>
        <w:t>名；离休人员0人，退休人1人；编外长期聘用的人员</w:t>
      </w:r>
      <w:r>
        <w:rPr>
          <w:rFonts w:hint="eastAsia" w:hAnsi="黑体"/>
          <w:color w:val="auto"/>
          <w:kern w:val="2"/>
          <w:sz w:val="32"/>
          <w:szCs w:val="32"/>
          <w:lang w:val="en-US" w:eastAsia="zh-CN"/>
        </w:rPr>
        <w:t>0</w:t>
      </w:r>
      <w:r>
        <w:rPr>
          <w:rFonts w:hint="eastAsia" w:hAnsi="黑体"/>
          <w:color w:val="auto"/>
          <w:kern w:val="2"/>
          <w:sz w:val="32"/>
          <w:szCs w:val="32"/>
        </w:rPr>
        <w:t>名。</w:t>
      </w:r>
    </w:p>
    <w:p w14:paraId="0F2A7C32">
      <w:pPr>
        <w:pStyle w:val="17"/>
        <w:spacing w:before="0" w:line="360" w:lineRule="auto"/>
        <w:ind w:firstLine="627" w:firstLineChars="196"/>
        <w:rPr>
          <w:rFonts w:ascii="黑体" w:hAnsi="黑体" w:eastAsia="黑体" w:cs="黑体"/>
          <w:color w:val="auto"/>
          <w:kern w:val="2"/>
          <w:sz w:val="32"/>
          <w:szCs w:val="32"/>
        </w:rPr>
      </w:pPr>
      <w:r>
        <w:rPr>
          <w:rFonts w:hint="eastAsia" w:ascii="黑体" w:hAnsi="黑体" w:eastAsia="黑体" w:cs="黑体"/>
          <w:color w:val="auto"/>
          <w:kern w:val="2"/>
          <w:sz w:val="32"/>
          <w:szCs w:val="32"/>
        </w:rPr>
        <w:t>三、收支预算情况说明</w:t>
      </w:r>
    </w:p>
    <w:p w14:paraId="20D174FA">
      <w:pPr>
        <w:pStyle w:val="17"/>
        <w:spacing w:before="0" w:line="360" w:lineRule="auto"/>
        <w:ind w:firstLine="313" w:firstLineChars="196"/>
        <w:rPr>
          <w:rFonts w:hint="default" w:hAnsi="黑体" w:eastAsia="仿宋_GB2312"/>
          <w:color w:val="auto"/>
          <w:kern w:val="2"/>
          <w:sz w:val="32"/>
          <w:szCs w:val="32"/>
          <w:lang w:val="en-US" w:eastAsia="zh-CN"/>
        </w:rPr>
      </w:pPr>
      <w:r>
        <w:rPr>
          <w:rFonts w:hint="eastAsia" w:ascii="??" w:hAnsi="??" w:eastAsia="宋体" w:cs="宋体"/>
          <w:color w:val="auto"/>
          <w:sz w:val="16"/>
          <w:szCs w:val="16"/>
        </w:rPr>
        <w:t>　　</w:t>
      </w:r>
      <w:r>
        <w:rPr>
          <w:rFonts w:hint="eastAsia" w:hAnsi="黑体"/>
          <w:color w:val="auto"/>
          <w:kern w:val="2"/>
          <w:sz w:val="32"/>
          <w:szCs w:val="32"/>
        </w:rPr>
        <w:t>按照综合预算的原则，阿坝州</w:t>
      </w:r>
      <w:r>
        <w:rPr>
          <w:rFonts w:hint="eastAsia" w:hAnsi="黑体"/>
          <w:color w:val="auto"/>
          <w:kern w:val="2"/>
          <w:sz w:val="32"/>
          <w:szCs w:val="32"/>
          <w:lang w:eastAsia="zh-CN"/>
        </w:rPr>
        <w:t>松潘</w:t>
      </w:r>
      <w:r>
        <w:rPr>
          <w:rFonts w:hint="eastAsia" w:hAnsi="黑体"/>
          <w:color w:val="auto"/>
          <w:kern w:val="2"/>
          <w:sz w:val="32"/>
          <w:szCs w:val="32"/>
        </w:rPr>
        <w:t>生态环境局所有收入和支出均纳入部门预算管理。收入包括：一般公共预算拨款收入</w:t>
      </w:r>
      <w:r>
        <w:rPr>
          <w:rFonts w:hint="eastAsia" w:hAnsi="黑体" w:cs="Times New Roman"/>
          <w:color w:val="auto"/>
          <w:kern w:val="2"/>
          <w:sz w:val="32"/>
          <w:szCs w:val="32"/>
          <w:lang w:val="en-US" w:eastAsia="zh-CN"/>
        </w:rPr>
        <w:t>278.25</w:t>
      </w:r>
      <w:r>
        <w:rPr>
          <w:rFonts w:hint="eastAsia" w:hAnsi="黑体"/>
          <w:color w:val="auto"/>
          <w:kern w:val="2"/>
          <w:sz w:val="32"/>
          <w:szCs w:val="32"/>
        </w:rPr>
        <w:t>万元，事业收入</w:t>
      </w:r>
      <w:r>
        <w:rPr>
          <w:rFonts w:hint="eastAsia" w:hAnsi="黑体" w:cs="Times New Roman"/>
          <w:color w:val="auto"/>
          <w:kern w:val="2"/>
          <w:sz w:val="32"/>
          <w:szCs w:val="32"/>
        </w:rPr>
        <w:t>0</w:t>
      </w:r>
      <w:r>
        <w:rPr>
          <w:rFonts w:hint="eastAsia" w:hAnsi="黑体"/>
          <w:color w:val="auto"/>
          <w:kern w:val="2"/>
          <w:sz w:val="32"/>
          <w:szCs w:val="32"/>
        </w:rPr>
        <w:t>万元，其他收入</w:t>
      </w:r>
      <w:r>
        <w:rPr>
          <w:rFonts w:hint="eastAsia" w:hAnsi="黑体" w:cs="Times New Roman"/>
          <w:color w:val="auto"/>
          <w:kern w:val="2"/>
          <w:sz w:val="32"/>
          <w:szCs w:val="32"/>
        </w:rPr>
        <w:t>0</w:t>
      </w:r>
      <w:r>
        <w:rPr>
          <w:rFonts w:hint="eastAsia" w:hAnsi="黑体"/>
          <w:color w:val="auto"/>
          <w:kern w:val="2"/>
          <w:sz w:val="32"/>
          <w:szCs w:val="32"/>
        </w:rPr>
        <w:t>万元，上年结转</w:t>
      </w:r>
      <w:r>
        <w:rPr>
          <w:rFonts w:hint="eastAsia" w:hAnsi="黑体" w:cs="Times New Roman"/>
          <w:color w:val="auto"/>
          <w:kern w:val="2"/>
          <w:sz w:val="32"/>
          <w:szCs w:val="32"/>
        </w:rPr>
        <w:t>0</w:t>
      </w:r>
      <w:r>
        <w:rPr>
          <w:rFonts w:hint="eastAsia" w:hAnsi="黑体"/>
          <w:color w:val="auto"/>
          <w:kern w:val="2"/>
          <w:sz w:val="32"/>
          <w:szCs w:val="32"/>
        </w:rPr>
        <w:t>万元；支出包括：一般公共服务支出</w:t>
      </w:r>
      <w:r>
        <w:rPr>
          <w:rFonts w:hint="eastAsia" w:hAnsi="黑体" w:cs="Times New Roman"/>
          <w:color w:val="auto"/>
          <w:kern w:val="2"/>
          <w:sz w:val="32"/>
          <w:szCs w:val="32"/>
        </w:rPr>
        <w:t>0</w:t>
      </w:r>
      <w:r>
        <w:rPr>
          <w:rFonts w:hint="eastAsia" w:hAnsi="黑体"/>
          <w:color w:val="auto"/>
          <w:kern w:val="2"/>
          <w:sz w:val="32"/>
          <w:szCs w:val="32"/>
        </w:rPr>
        <w:t>万元,节能环保支出</w:t>
      </w:r>
      <w:r>
        <w:rPr>
          <w:rFonts w:hint="eastAsia" w:hAnsi="黑体" w:cs="Times New Roman"/>
          <w:color w:val="auto"/>
          <w:kern w:val="2"/>
          <w:sz w:val="32"/>
          <w:szCs w:val="32"/>
          <w:lang w:val="en-US" w:eastAsia="zh-CN"/>
        </w:rPr>
        <w:t>200.76</w:t>
      </w:r>
      <w:r>
        <w:rPr>
          <w:rFonts w:hint="eastAsia" w:hAnsi="黑体"/>
          <w:color w:val="auto"/>
          <w:kern w:val="2"/>
          <w:sz w:val="32"/>
          <w:szCs w:val="32"/>
        </w:rPr>
        <w:t>万元，文化体育与传媒支出</w:t>
      </w:r>
      <w:r>
        <w:rPr>
          <w:rFonts w:hint="eastAsia" w:hAnsi="黑体" w:cs="Times New Roman"/>
          <w:color w:val="auto"/>
          <w:kern w:val="2"/>
          <w:sz w:val="32"/>
          <w:szCs w:val="32"/>
        </w:rPr>
        <w:t>0</w:t>
      </w:r>
      <w:r>
        <w:rPr>
          <w:rFonts w:hint="eastAsia" w:hAnsi="黑体"/>
          <w:color w:val="auto"/>
          <w:kern w:val="2"/>
          <w:sz w:val="32"/>
          <w:szCs w:val="32"/>
        </w:rPr>
        <w:t>万元，社会保障和就业支出</w:t>
      </w:r>
      <w:r>
        <w:rPr>
          <w:rFonts w:hint="eastAsia" w:hAnsi="黑体" w:cs="Times New Roman"/>
          <w:color w:val="auto"/>
          <w:kern w:val="2"/>
          <w:sz w:val="32"/>
          <w:szCs w:val="32"/>
          <w:lang w:val="en-US" w:eastAsia="zh-CN"/>
        </w:rPr>
        <w:t>41.97</w:t>
      </w:r>
      <w:r>
        <w:rPr>
          <w:rFonts w:hint="eastAsia" w:hAnsi="黑体"/>
          <w:color w:val="auto"/>
          <w:kern w:val="2"/>
          <w:sz w:val="32"/>
          <w:szCs w:val="32"/>
        </w:rPr>
        <w:t>万元，卫生健康支出支出</w:t>
      </w:r>
      <w:r>
        <w:rPr>
          <w:rFonts w:hint="eastAsia" w:hAnsi="黑体" w:cs="Times New Roman"/>
          <w:color w:val="auto"/>
          <w:kern w:val="2"/>
          <w:sz w:val="32"/>
          <w:szCs w:val="32"/>
          <w:lang w:val="en-US" w:eastAsia="zh-CN"/>
        </w:rPr>
        <w:t>15.06</w:t>
      </w:r>
      <w:r>
        <w:rPr>
          <w:rFonts w:hint="eastAsia" w:hAnsi="黑体"/>
          <w:color w:val="auto"/>
          <w:kern w:val="2"/>
          <w:sz w:val="32"/>
          <w:szCs w:val="32"/>
        </w:rPr>
        <w:t>万元，住房保障支出</w:t>
      </w:r>
      <w:r>
        <w:rPr>
          <w:rFonts w:hint="eastAsia" w:hAnsi="黑体"/>
          <w:color w:val="auto"/>
          <w:kern w:val="2"/>
          <w:sz w:val="32"/>
          <w:szCs w:val="32"/>
          <w:lang w:val="en-US" w:eastAsia="zh-CN"/>
        </w:rPr>
        <w:t>20.46</w:t>
      </w:r>
      <w:r>
        <w:rPr>
          <w:rFonts w:hint="eastAsia" w:hAnsi="黑体"/>
          <w:color w:val="auto"/>
          <w:kern w:val="2"/>
          <w:sz w:val="32"/>
          <w:szCs w:val="32"/>
        </w:rPr>
        <w:t>万元。阿坝州</w:t>
      </w:r>
      <w:r>
        <w:rPr>
          <w:rFonts w:hint="eastAsia" w:hAnsi="黑体"/>
          <w:color w:val="auto"/>
          <w:kern w:val="2"/>
          <w:sz w:val="32"/>
          <w:szCs w:val="32"/>
          <w:lang w:eastAsia="zh-CN"/>
        </w:rPr>
        <w:t>松潘</w:t>
      </w:r>
      <w:r>
        <w:rPr>
          <w:rFonts w:hint="eastAsia" w:hAnsi="黑体"/>
          <w:color w:val="auto"/>
          <w:kern w:val="2"/>
          <w:sz w:val="32"/>
          <w:szCs w:val="32"/>
        </w:rPr>
        <w:t>生态环境局</w:t>
      </w:r>
      <w:r>
        <w:rPr>
          <w:rFonts w:hAnsi="黑体"/>
          <w:color w:val="auto"/>
          <w:kern w:val="2"/>
          <w:sz w:val="32"/>
          <w:szCs w:val="32"/>
        </w:rPr>
        <w:t>202</w:t>
      </w:r>
      <w:r>
        <w:rPr>
          <w:rFonts w:hint="eastAsia" w:hAnsi="黑体"/>
          <w:color w:val="auto"/>
          <w:kern w:val="2"/>
          <w:sz w:val="32"/>
          <w:szCs w:val="32"/>
          <w:lang w:val="en-US" w:eastAsia="zh-CN"/>
        </w:rPr>
        <w:t>5</w:t>
      </w:r>
      <w:r>
        <w:rPr>
          <w:rFonts w:hAnsi="黑体"/>
          <w:color w:val="auto"/>
          <w:kern w:val="2"/>
          <w:sz w:val="32"/>
          <w:szCs w:val="32"/>
        </w:rPr>
        <w:t>年</w:t>
      </w:r>
      <w:r>
        <w:rPr>
          <w:rFonts w:hint="eastAsia" w:hAnsi="黑体"/>
          <w:color w:val="auto"/>
          <w:kern w:val="2"/>
          <w:sz w:val="32"/>
          <w:szCs w:val="32"/>
        </w:rPr>
        <w:t>收支总预算</w:t>
      </w:r>
      <w:r>
        <w:rPr>
          <w:rFonts w:hint="eastAsia" w:hAnsi="黑体" w:cs="Times New Roman"/>
          <w:color w:val="auto"/>
          <w:kern w:val="2"/>
          <w:sz w:val="32"/>
          <w:szCs w:val="32"/>
          <w:lang w:val="en-US" w:eastAsia="zh-CN"/>
        </w:rPr>
        <w:t>278.25</w:t>
      </w:r>
      <w:r>
        <w:rPr>
          <w:rFonts w:hint="eastAsia" w:hAnsi="黑体"/>
          <w:color w:val="auto"/>
          <w:kern w:val="2"/>
          <w:sz w:val="32"/>
          <w:szCs w:val="32"/>
        </w:rPr>
        <w:t>万元</w:t>
      </w:r>
      <w:r>
        <w:rPr>
          <w:rFonts w:hAnsi="黑体"/>
          <w:color w:val="auto"/>
          <w:kern w:val="2"/>
          <w:sz w:val="32"/>
          <w:szCs w:val="32"/>
        </w:rPr>
        <w:t>,</w:t>
      </w:r>
      <w:r>
        <w:rPr>
          <w:rFonts w:hint="eastAsia" w:hAnsi="黑体"/>
          <w:color w:val="auto"/>
          <w:kern w:val="2"/>
          <w:sz w:val="32"/>
          <w:szCs w:val="32"/>
        </w:rPr>
        <w:t>比</w:t>
      </w:r>
      <w:r>
        <w:rPr>
          <w:rFonts w:hAnsi="黑体"/>
          <w:color w:val="auto"/>
          <w:kern w:val="2"/>
          <w:sz w:val="32"/>
          <w:szCs w:val="32"/>
        </w:rPr>
        <w:t>202</w:t>
      </w:r>
      <w:r>
        <w:rPr>
          <w:rFonts w:hint="eastAsia" w:hAnsi="黑体"/>
          <w:color w:val="auto"/>
          <w:kern w:val="2"/>
          <w:sz w:val="32"/>
          <w:szCs w:val="32"/>
          <w:lang w:val="en-US" w:eastAsia="zh-CN"/>
        </w:rPr>
        <w:t>4</w:t>
      </w:r>
      <w:r>
        <w:rPr>
          <w:rFonts w:hAnsi="黑体"/>
          <w:color w:val="auto"/>
          <w:kern w:val="2"/>
          <w:sz w:val="32"/>
          <w:szCs w:val="32"/>
        </w:rPr>
        <w:t>年</w:t>
      </w:r>
      <w:r>
        <w:rPr>
          <w:rFonts w:hint="eastAsia" w:hAnsi="黑体"/>
          <w:color w:val="auto"/>
          <w:kern w:val="2"/>
          <w:sz w:val="32"/>
          <w:szCs w:val="32"/>
        </w:rPr>
        <w:t>收支预算总数</w:t>
      </w:r>
      <w:r>
        <w:rPr>
          <w:rFonts w:hint="eastAsia" w:hAnsi="黑体"/>
          <w:color w:val="auto"/>
          <w:kern w:val="2"/>
          <w:sz w:val="32"/>
          <w:szCs w:val="32"/>
          <w:lang w:val="en-US" w:eastAsia="zh-CN"/>
        </w:rPr>
        <w:t>减少</w:t>
      </w:r>
      <w:r>
        <w:rPr>
          <w:rFonts w:hint="eastAsia" w:hAnsi="黑体" w:cs="Times New Roman"/>
          <w:color w:val="auto"/>
          <w:kern w:val="2"/>
          <w:sz w:val="32"/>
          <w:szCs w:val="32"/>
          <w:lang w:val="en-US" w:eastAsia="zh-CN"/>
        </w:rPr>
        <w:t>17.03</w:t>
      </w:r>
      <w:r>
        <w:rPr>
          <w:rFonts w:hint="eastAsia" w:hAnsi="黑体"/>
          <w:color w:val="auto"/>
          <w:kern w:val="2"/>
          <w:sz w:val="32"/>
          <w:szCs w:val="32"/>
        </w:rPr>
        <w:t>万元，主要原因</w:t>
      </w:r>
      <w:r>
        <w:rPr>
          <w:rFonts w:hAnsi="黑体"/>
          <w:color w:val="auto"/>
          <w:kern w:val="2"/>
          <w:sz w:val="32"/>
          <w:szCs w:val="32"/>
        </w:rPr>
        <w:t>:</w:t>
      </w:r>
      <w:r>
        <w:rPr>
          <w:rFonts w:hint="eastAsia" w:hAnsi="黑体"/>
          <w:color w:val="auto"/>
          <w:kern w:val="2"/>
          <w:sz w:val="32"/>
          <w:szCs w:val="32"/>
        </w:rPr>
        <w:t>人员</w:t>
      </w:r>
      <w:r>
        <w:rPr>
          <w:rFonts w:hint="eastAsia" w:hAnsi="黑体"/>
          <w:color w:val="auto"/>
          <w:kern w:val="2"/>
          <w:sz w:val="32"/>
          <w:szCs w:val="32"/>
          <w:lang w:val="en-US" w:eastAsia="zh-CN"/>
        </w:rPr>
        <w:t>变动</w:t>
      </w:r>
      <w:r>
        <w:rPr>
          <w:rFonts w:hint="eastAsia" w:hAnsi="黑体"/>
          <w:color w:val="auto"/>
          <w:kern w:val="2"/>
          <w:sz w:val="32"/>
          <w:szCs w:val="32"/>
        </w:rPr>
        <w:t>、</w:t>
      </w:r>
      <w:r>
        <w:rPr>
          <w:rFonts w:hint="eastAsia" w:hAnsi="黑体"/>
          <w:color w:val="auto"/>
          <w:kern w:val="2"/>
          <w:sz w:val="32"/>
          <w:szCs w:val="32"/>
          <w:lang w:val="en-US" w:eastAsia="zh-CN"/>
        </w:rPr>
        <w:t>例行节俭节约。</w:t>
      </w:r>
    </w:p>
    <w:p w14:paraId="74019360">
      <w:pPr>
        <w:pStyle w:val="17"/>
        <w:spacing w:before="0" w:line="360" w:lineRule="auto"/>
        <w:ind w:firstLine="643" w:firstLineChars="200"/>
        <w:rPr>
          <w:rFonts w:ascii="楷体_GB2312" w:hAnsi="黑体" w:eastAsia="楷体_GB2312" w:cs="楷体_GB2312"/>
          <w:b/>
          <w:bCs/>
          <w:color w:val="auto"/>
          <w:kern w:val="2"/>
          <w:sz w:val="32"/>
          <w:szCs w:val="32"/>
        </w:rPr>
      </w:pPr>
      <w:r>
        <w:rPr>
          <w:rFonts w:hint="eastAsia" w:ascii="楷体_GB2312" w:hAnsi="黑体" w:eastAsia="楷体_GB2312" w:cs="楷体_GB2312"/>
          <w:b/>
          <w:bCs/>
          <w:color w:val="auto"/>
          <w:kern w:val="2"/>
          <w:sz w:val="32"/>
          <w:szCs w:val="32"/>
        </w:rPr>
        <w:t>（一）收入预算情况</w:t>
      </w:r>
    </w:p>
    <w:p w14:paraId="1D8837F8">
      <w:pPr>
        <w:pStyle w:val="17"/>
        <w:spacing w:before="0" w:line="360" w:lineRule="auto"/>
        <w:ind w:firstLine="627" w:firstLineChars="196"/>
        <w:rPr>
          <w:rFonts w:hAnsi="黑体"/>
          <w:color w:val="auto"/>
          <w:kern w:val="2"/>
          <w:sz w:val="32"/>
          <w:szCs w:val="32"/>
        </w:rPr>
      </w:pPr>
      <w:r>
        <w:rPr>
          <w:rFonts w:hint="eastAsia" w:hAnsi="黑体"/>
          <w:color w:val="auto"/>
          <w:kern w:val="2"/>
          <w:sz w:val="32"/>
          <w:szCs w:val="32"/>
        </w:rPr>
        <w:t>阿坝州</w:t>
      </w:r>
      <w:r>
        <w:rPr>
          <w:rFonts w:hint="eastAsia" w:hAnsi="黑体"/>
          <w:color w:val="auto"/>
          <w:kern w:val="2"/>
          <w:sz w:val="32"/>
          <w:szCs w:val="32"/>
          <w:lang w:eastAsia="zh-CN"/>
        </w:rPr>
        <w:t>松潘</w:t>
      </w:r>
      <w:r>
        <w:rPr>
          <w:rFonts w:hint="eastAsia" w:hAnsi="黑体"/>
          <w:color w:val="auto"/>
          <w:kern w:val="2"/>
          <w:sz w:val="32"/>
          <w:szCs w:val="32"/>
        </w:rPr>
        <w:t>生态环境局</w:t>
      </w:r>
      <w:r>
        <w:rPr>
          <w:rFonts w:hAnsi="黑体"/>
          <w:color w:val="auto"/>
          <w:kern w:val="2"/>
          <w:sz w:val="32"/>
          <w:szCs w:val="32"/>
        </w:rPr>
        <w:t>20</w:t>
      </w:r>
      <w:r>
        <w:rPr>
          <w:rFonts w:hint="eastAsia" w:hAnsi="黑体"/>
          <w:color w:val="auto"/>
          <w:kern w:val="2"/>
          <w:sz w:val="32"/>
          <w:szCs w:val="32"/>
        </w:rPr>
        <w:t>2</w:t>
      </w:r>
      <w:r>
        <w:rPr>
          <w:rFonts w:hint="eastAsia" w:hAnsi="黑体"/>
          <w:color w:val="auto"/>
          <w:kern w:val="2"/>
          <w:sz w:val="32"/>
          <w:szCs w:val="32"/>
          <w:lang w:val="en-US" w:eastAsia="zh-CN"/>
        </w:rPr>
        <w:t>5</w:t>
      </w:r>
      <w:r>
        <w:rPr>
          <w:rFonts w:hAnsi="黑体"/>
          <w:color w:val="auto"/>
          <w:kern w:val="2"/>
          <w:sz w:val="32"/>
          <w:szCs w:val="32"/>
        </w:rPr>
        <w:t>年</w:t>
      </w:r>
      <w:r>
        <w:rPr>
          <w:rFonts w:hint="eastAsia" w:hAnsi="黑体"/>
          <w:color w:val="auto"/>
          <w:kern w:val="2"/>
          <w:sz w:val="32"/>
          <w:szCs w:val="32"/>
        </w:rPr>
        <w:t>收入预算</w:t>
      </w:r>
      <w:r>
        <w:rPr>
          <w:rFonts w:hint="eastAsia" w:hAnsi="黑体" w:cs="Times New Roman"/>
          <w:color w:val="auto"/>
          <w:kern w:val="2"/>
          <w:sz w:val="32"/>
          <w:szCs w:val="32"/>
          <w:lang w:val="en-US" w:eastAsia="zh-CN"/>
        </w:rPr>
        <w:t>278.25</w:t>
      </w:r>
      <w:r>
        <w:rPr>
          <w:rFonts w:hint="eastAsia" w:hAnsi="黑体"/>
          <w:color w:val="auto"/>
          <w:kern w:val="2"/>
          <w:sz w:val="32"/>
          <w:szCs w:val="32"/>
        </w:rPr>
        <w:t>万元，其中：上年结转</w:t>
      </w:r>
      <w:r>
        <w:rPr>
          <w:rFonts w:hint="eastAsia" w:hAnsi="黑体" w:cs="Times New Roman"/>
          <w:color w:val="auto"/>
          <w:kern w:val="2"/>
          <w:sz w:val="32"/>
          <w:szCs w:val="32"/>
        </w:rPr>
        <w:t>0</w:t>
      </w:r>
      <w:r>
        <w:rPr>
          <w:rFonts w:hint="eastAsia" w:hAnsi="黑体"/>
          <w:color w:val="auto"/>
          <w:kern w:val="2"/>
          <w:sz w:val="32"/>
          <w:szCs w:val="32"/>
        </w:rPr>
        <w:t>万元，占0</w:t>
      </w:r>
      <w:r>
        <w:rPr>
          <w:rFonts w:hAnsi="黑体"/>
          <w:color w:val="auto"/>
          <w:kern w:val="2"/>
          <w:sz w:val="32"/>
          <w:szCs w:val="32"/>
        </w:rPr>
        <w:t>%</w:t>
      </w:r>
      <w:r>
        <w:rPr>
          <w:rFonts w:hint="eastAsia" w:hAnsi="黑体"/>
          <w:color w:val="auto"/>
          <w:kern w:val="2"/>
          <w:sz w:val="32"/>
          <w:szCs w:val="32"/>
        </w:rPr>
        <w:t>；一般公共预算拨款收入</w:t>
      </w:r>
      <w:r>
        <w:rPr>
          <w:rFonts w:hint="eastAsia" w:hAnsi="黑体" w:cs="Times New Roman"/>
          <w:color w:val="auto"/>
          <w:kern w:val="2"/>
          <w:sz w:val="32"/>
          <w:szCs w:val="32"/>
          <w:lang w:val="en-US" w:eastAsia="zh-CN"/>
        </w:rPr>
        <w:t>278.25</w:t>
      </w:r>
      <w:r>
        <w:rPr>
          <w:rFonts w:hint="eastAsia" w:hAnsi="黑体"/>
          <w:color w:val="auto"/>
          <w:kern w:val="2"/>
          <w:sz w:val="32"/>
          <w:szCs w:val="32"/>
        </w:rPr>
        <w:t>万元，占</w:t>
      </w:r>
      <w:r>
        <w:rPr>
          <w:rFonts w:hint="eastAsia" w:hAnsi="黑体" w:cs="Times New Roman"/>
          <w:color w:val="auto"/>
          <w:kern w:val="2"/>
          <w:sz w:val="32"/>
          <w:szCs w:val="32"/>
        </w:rPr>
        <w:t>100</w:t>
      </w:r>
      <w:r>
        <w:rPr>
          <w:rFonts w:hAnsi="黑体"/>
          <w:color w:val="auto"/>
          <w:kern w:val="2"/>
          <w:sz w:val="32"/>
          <w:szCs w:val="32"/>
        </w:rPr>
        <w:t>%</w:t>
      </w:r>
      <w:r>
        <w:rPr>
          <w:rFonts w:hint="eastAsia" w:hAnsi="黑体"/>
          <w:color w:val="auto"/>
          <w:kern w:val="2"/>
          <w:sz w:val="32"/>
          <w:szCs w:val="32"/>
        </w:rPr>
        <w:t>；事业收入</w:t>
      </w:r>
      <w:r>
        <w:rPr>
          <w:rFonts w:hint="eastAsia" w:hAnsi="黑体" w:cs="Times New Roman"/>
          <w:color w:val="auto"/>
          <w:kern w:val="2"/>
          <w:sz w:val="32"/>
          <w:szCs w:val="32"/>
        </w:rPr>
        <w:t>0</w:t>
      </w:r>
      <w:r>
        <w:rPr>
          <w:rFonts w:hint="eastAsia" w:hAnsi="黑体"/>
          <w:color w:val="auto"/>
          <w:kern w:val="2"/>
          <w:sz w:val="32"/>
          <w:szCs w:val="32"/>
        </w:rPr>
        <w:t>万元，占</w:t>
      </w:r>
      <w:r>
        <w:rPr>
          <w:rFonts w:hint="eastAsia" w:hAnsi="黑体" w:cs="Times New Roman"/>
          <w:color w:val="auto"/>
          <w:kern w:val="2"/>
          <w:sz w:val="32"/>
          <w:szCs w:val="32"/>
        </w:rPr>
        <w:t>0</w:t>
      </w:r>
      <w:r>
        <w:rPr>
          <w:rFonts w:hAnsi="黑体"/>
          <w:color w:val="auto"/>
          <w:kern w:val="2"/>
          <w:sz w:val="32"/>
          <w:szCs w:val="32"/>
        </w:rPr>
        <w:t>%</w:t>
      </w:r>
      <w:r>
        <w:rPr>
          <w:rFonts w:hint="eastAsia" w:hAnsi="黑体"/>
          <w:color w:val="auto"/>
          <w:kern w:val="2"/>
          <w:sz w:val="32"/>
          <w:szCs w:val="32"/>
        </w:rPr>
        <w:t>；其他收入</w:t>
      </w:r>
      <w:r>
        <w:rPr>
          <w:rFonts w:hint="eastAsia" w:hAnsi="黑体" w:cs="Times New Roman"/>
          <w:color w:val="auto"/>
          <w:kern w:val="2"/>
          <w:sz w:val="32"/>
          <w:szCs w:val="32"/>
        </w:rPr>
        <w:t>0</w:t>
      </w:r>
      <w:r>
        <w:rPr>
          <w:rFonts w:hint="eastAsia" w:hAnsi="黑体"/>
          <w:color w:val="auto"/>
          <w:kern w:val="2"/>
          <w:sz w:val="32"/>
          <w:szCs w:val="32"/>
        </w:rPr>
        <w:t>万元，占</w:t>
      </w:r>
      <w:r>
        <w:rPr>
          <w:rFonts w:hint="eastAsia" w:hAnsi="黑体" w:cs="Times New Roman"/>
          <w:color w:val="auto"/>
          <w:kern w:val="2"/>
          <w:sz w:val="32"/>
          <w:szCs w:val="32"/>
        </w:rPr>
        <w:t>100</w:t>
      </w:r>
      <w:r>
        <w:rPr>
          <w:rFonts w:hAnsi="黑体"/>
          <w:color w:val="auto"/>
          <w:kern w:val="2"/>
          <w:sz w:val="32"/>
          <w:szCs w:val="32"/>
        </w:rPr>
        <w:t>%</w:t>
      </w:r>
      <w:r>
        <w:rPr>
          <w:rFonts w:hint="eastAsia" w:hAnsi="黑体"/>
          <w:color w:val="auto"/>
          <w:kern w:val="2"/>
          <w:sz w:val="32"/>
          <w:szCs w:val="32"/>
        </w:rPr>
        <w:t>。</w:t>
      </w:r>
    </w:p>
    <w:p w14:paraId="7EBE7F95">
      <w:pPr>
        <w:pStyle w:val="17"/>
        <w:spacing w:before="0" w:line="360" w:lineRule="auto"/>
        <w:ind w:firstLine="643" w:firstLineChars="200"/>
        <w:rPr>
          <w:rFonts w:ascii="楷体_GB2312" w:hAnsi="黑体" w:eastAsia="楷体_GB2312" w:cs="楷体_GB2312"/>
          <w:b/>
          <w:bCs/>
          <w:color w:val="auto"/>
          <w:kern w:val="2"/>
          <w:sz w:val="32"/>
          <w:szCs w:val="32"/>
        </w:rPr>
      </w:pPr>
      <w:r>
        <w:rPr>
          <w:rFonts w:hint="eastAsia" w:ascii="楷体_GB2312" w:hAnsi="黑体" w:eastAsia="楷体_GB2312" w:cs="楷体_GB2312"/>
          <w:b/>
          <w:bCs/>
          <w:color w:val="auto"/>
          <w:kern w:val="2"/>
          <w:sz w:val="32"/>
          <w:szCs w:val="32"/>
        </w:rPr>
        <w:t>（二）支出预算情况</w:t>
      </w:r>
    </w:p>
    <w:p w14:paraId="5874AAA2">
      <w:pPr>
        <w:pStyle w:val="17"/>
        <w:spacing w:before="0" w:line="360" w:lineRule="auto"/>
        <w:ind w:firstLine="640" w:firstLineChars="200"/>
        <w:rPr>
          <w:rFonts w:hAnsi="黑体" w:cs="Times New Roman"/>
          <w:color w:val="auto"/>
          <w:kern w:val="2"/>
          <w:sz w:val="32"/>
          <w:szCs w:val="32"/>
        </w:rPr>
      </w:pPr>
      <w:r>
        <w:rPr>
          <w:rFonts w:hint="eastAsia" w:hAnsi="黑体"/>
          <w:color w:val="auto"/>
          <w:kern w:val="2"/>
          <w:sz w:val="32"/>
          <w:szCs w:val="32"/>
        </w:rPr>
        <w:t>阿坝州</w:t>
      </w:r>
      <w:r>
        <w:rPr>
          <w:rFonts w:hint="eastAsia" w:hAnsi="黑体"/>
          <w:color w:val="auto"/>
          <w:kern w:val="2"/>
          <w:sz w:val="32"/>
          <w:szCs w:val="32"/>
          <w:lang w:eastAsia="zh-CN"/>
        </w:rPr>
        <w:t>松潘</w:t>
      </w:r>
      <w:r>
        <w:rPr>
          <w:rFonts w:hint="eastAsia" w:hAnsi="黑体"/>
          <w:color w:val="auto"/>
          <w:kern w:val="2"/>
          <w:sz w:val="32"/>
          <w:szCs w:val="32"/>
        </w:rPr>
        <w:t>生态环境局</w:t>
      </w:r>
      <w:r>
        <w:rPr>
          <w:rFonts w:hAnsi="黑体"/>
          <w:color w:val="auto"/>
          <w:kern w:val="2"/>
          <w:sz w:val="32"/>
          <w:szCs w:val="32"/>
        </w:rPr>
        <w:t>202</w:t>
      </w:r>
      <w:r>
        <w:rPr>
          <w:rFonts w:hint="eastAsia" w:hAnsi="黑体"/>
          <w:color w:val="auto"/>
          <w:kern w:val="2"/>
          <w:sz w:val="32"/>
          <w:szCs w:val="32"/>
          <w:lang w:val="en-US" w:eastAsia="zh-CN"/>
        </w:rPr>
        <w:t>5</w:t>
      </w:r>
      <w:r>
        <w:rPr>
          <w:rFonts w:hAnsi="黑体"/>
          <w:color w:val="auto"/>
          <w:kern w:val="2"/>
          <w:sz w:val="32"/>
          <w:szCs w:val="32"/>
        </w:rPr>
        <w:t>年</w:t>
      </w:r>
      <w:r>
        <w:rPr>
          <w:rFonts w:hint="eastAsia" w:hAnsi="黑体"/>
          <w:color w:val="auto"/>
          <w:kern w:val="2"/>
          <w:sz w:val="32"/>
          <w:szCs w:val="32"/>
        </w:rPr>
        <w:t>支出预算</w:t>
      </w:r>
      <w:r>
        <w:rPr>
          <w:rFonts w:hint="eastAsia" w:hAnsi="黑体" w:cs="Times New Roman"/>
          <w:color w:val="auto"/>
          <w:kern w:val="2"/>
          <w:sz w:val="32"/>
          <w:szCs w:val="32"/>
          <w:lang w:val="en-US" w:eastAsia="zh-CN"/>
        </w:rPr>
        <w:t>278.25</w:t>
      </w:r>
      <w:r>
        <w:rPr>
          <w:rFonts w:hint="eastAsia" w:hAnsi="黑体"/>
          <w:color w:val="auto"/>
          <w:kern w:val="2"/>
          <w:sz w:val="32"/>
          <w:szCs w:val="32"/>
        </w:rPr>
        <w:t>万元，其中：基本支出</w:t>
      </w:r>
      <w:r>
        <w:rPr>
          <w:rFonts w:hint="eastAsia" w:hAnsi="黑体" w:cs="Times New Roman"/>
          <w:color w:val="auto"/>
          <w:kern w:val="2"/>
          <w:sz w:val="32"/>
          <w:szCs w:val="32"/>
          <w:lang w:val="en-US" w:eastAsia="zh-CN"/>
        </w:rPr>
        <w:t>255.05</w:t>
      </w:r>
      <w:r>
        <w:rPr>
          <w:rFonts w:hint="eastAsia" w:hAnsi="黑体"/>
          <w:color w:val="auto"/>
          <w:kern w:val="2"/>
          <w:sz w:val="32"/>
          <w:szCs w:val="32"/>
        </w:rPr>
        <w:t>万元，占</w:t>
      </w:r>
      <w:r>
        <w:rPr>
          <w:rFonts w:hint="eastAsia" w:hAnsi="黑体" w:cs="Times New Roman"/>
          <w:color w:val="auto"/>
          <w:kern w:val="2"/>
          <w:sz w:val="32"/>
          <w:szCs w:val="32"/>
          <w:lang w:val="en-US" w:eastAsia="zh-CN"/>
        </w:rPr>
        <w:t>91.7</w:t>
      </w:r>
      <w:r>
        <w:rPr>
          <w:rFonts w:hAnsi="黑体"/>
          <w:color w:val="auto"/>
          <w:kern w:val="2"/>
          <w:sz w:val="32"/>
          <w:szCs w:val="32"/>
        </w:rPr>
        <w:t>%</w:t>
      </w:r>
      <w:r>
        <w:rPr>
          <w:rFonts w:hint="eastAsia" w:hAnsi="黑体"/>
          <w:color w:val="auto"/>
          <w:kern w:val="2"/>
          <w:sz w:val="32"/>
          <w:szCs w:val="32"/>
        </w:rPr>
        <w:t>；项目支出</w:t>
      </w:r>
      <w:r>
        <w:rPr>
          <w:rFonts w:hint="eastAsia" w:hAnsi="黑体" w:cs="Times New Roman"/>
          <w:color w:val="auto"/>
          <w:kern w:val="2"/>
          <w:sz w:val="32"/>
          <w:szCs w:val="32"/>
          <w:lang w:val="en-US" w:eastAsia="zh-CN"/>
        </w:rPr>
        <w:t>23.2</w:t>
      </w:r>
      <w:r>
        <w:rPr>
          <w:rFonts w:hint="eastAsia" w:hAnsi="黑体"/>
          <w:color w:val="auto"/>
          <w:kern w:val="2"/>
          <w:sz w:val="32"/>
          <w:szCs w:val="32"/>
        </w:rPr>
        <w:t>万元，占</w:t>
      </w:r>
      <w:r>
        <w:rPr>
          <w:rFonts w:hint="eastAsia" w:hAnsi="黑体" w:cs="Times New Roman"/>
          <w:color w:val="auto"/>
          <w:kern w:val="2"/>
          <w:sz w:val="32"/>
          <w:szCs w:val="32"/>
          <w:lang w:val="en-US" w:eastAsia="zh-CN"/>
        </w:rPr>
        <w:t>8.3</w:t>
      </w:r>
      <w:r>
        <w:rPr>
          <w:rFonts w:hAnsi="黑体"/>
          <w:color w:val="auto"/>
          <w:kern w:val="2"/>
          <w:sz w:val="32"/>
          <w:szCs w:val="32"/>
        </w:rPr>
        <w:t>%</w:t>
      </w:r>
      <w:r>
        <w:rPr>
          <w:rFonts w:hint="eastAsia" w:hAnsi="黑体"/>
          <w:color w:val="auto"/>
          <w:kern w:val="2"/>
          <w:sz w:val="32"/>
          <w:szCs w:val="32"/>
        </w:rPr>
        <w:t>。</w:t>
      </w:r>
    </w:p>
    <w:p w14:paraId="30C4FE8E">
      <w:pPr>
        <w:pStyle w:val="17"/>
        <w:spacing w:before="0" w:line="360" w:lineRule="auto"/>
        <w:ind w:firstLine="627" w:firstLineChars="196"/>
        <w:rPr>
          <w:rFonts w:ascii="黑体" w:hAnsi="黑体" w:eastAsia="黑体" w:cs="黑体"/>
          <w:color w:val="auto"/>
          <w:kern w:val="2"/>
          <w:sz w:val="32"/>
          <w:szCs w:val="32"/>
        </w:rPr>
      </w:pPr>
      <w:r>
        <w:rPr>
          <w:rFonts w:hint="eastAsia" w:ascii="黑体" w:hAnsi="黑体" w:eastAsia="黑体" w:cs="黑体"/>
          <w:color w:val="auto"/>
          <w:kern w:val="2"/>
          <w:sz w:val="32"/>
          <w:szCs w:val="32"/>
        </w:rPr>
        <w:t>四、财政拨款收支预算情况说明</w:t>
      </w:r>
    </w:p>
    <w:p w14:paraId="75A26177">
      <w:pPr>
        <w:pStyle w:val="17"/>
        <w:spacing w:before="0" w:line="360" w:lineRule="auto"/>
        <w:ind w:firstLine="627" w:firstLineChars="196"/>
        <w:rPr>
          <w:rFonts w:hint="default" w:hAnsi="黑体" w:eastAsia="仿宋_GB2312"/>
          <w:color w:val="auto"/>
          <w:kern w:val="2"/>
          <w:sz w:val="32"/>
          <w:szCs w:val="32"/>
          <w:lang w:val="en-US" w:eastAsia="zh-CN"/>
        </w:rPr>
      </w:pPr>
      <w:r>
        <w:rPr>
          <w:rFonts w:hint="eastAsia" w:hAnsi="黑体"/>
          <w:color w:val="auto"/>
          <w:kern w:val="2"/>
          <w:sz w:val="32"/>
          <w:szCs w:val="32"/>
        </w:rPr>
        <w:t>阿坝州</w:t>
      </w:r>
      <w:r>
        <w:rPr>
          <w:rFonts w:hint="eastAsia" w:hAnsi="黑体"/>
          <w:color w:val="auto"/>
          <w:kern w:val="2"/>
          <w:sz w:val="32"/>
          <w:szCs w:val="32"/>
          <w:lang w:eastAsia="zh-CN"/>
        </w:rPr>
        <w:t>松潘</w:t>
      </w:r>
      <w:r>
        <w:rPr>
          <w:rFonts w:hint="eastAsia" w:hAnsi="黑体"/>
          <w:color w:val="auto"/>
          <w:kern w:val="2"/>
          <w:sz w:val="32"/>
          <w:szCs w:val="32"/>
        </w:rPr>
        <w:t>生态环境局</w:t>
      </w:r>
      <w:r>
        <w:rPr>
          <w:rFonts w:hAnsi="黑体"/>
          <w:color w:val="auto"/>
          <w:kern w:val="2"/>
          <w:sz w:val="32"/>
          <w:szCs w:val="32"/>
        </w:rPr>
        <w:t>202</w:t>
      </w:r>
      <w:r>
        <w:rPr>
          <w:rFonts w:hint="eastAsia" w:hAnsi="黑体"/>
          <w:color w:val="auto"/>
          <w:kern w:val="2"/>
          <w:sz w:val="32"/>
          <w:szCs w:val="32"/>
          <w:lang w:val="en-US" w:eastAsia="zh-CN"/>
        </w:rPr>
        <w:t>5</w:t>
      </w:r>
      <w:r>
        <w:rPr>
          <w:rFonts w:hAnsi="黑体"/>
          <w:color w:val="auto"/>
          <w:kern w:val="2"/>
          <w:sz w:val="32"/>
          <w:szCs w:val="32"/>
        </w:rPr>
        <w:t>年</w:t>
      </w:r>
      <w:r>
        <w:rPr>
          <w:rFonts w:hint="eastAsia" w:hAnsi="黑体"/>
          <w:color w:val="auto"/>
          <w:kern w:val="2"/>
          <w:sz w:val="32"/>
          <w:szCs w:val="32"/>
        </w:rPr>
        <w:t>财政拨款收支总预算</w:t>
      </w:r>
      <w:r>
        <w:rPr>
          <w:rFonts w:hint="eastAsia" w:hAnsi="黑体" w:cs="Times New Roman"/>
          <w:color w:val="auto"/>
          <w:kern w:val="2"/>
          <w:sz w:val="32"/>
          <w:szCs w:val="32"/>
          <w:lang w:val="en-US" w:eastAsia="zh-CN"/>
        </w:rPr>
        <w:t>278.25</w:t>
      </w:r>
      <w:r>
        <w:rPr>
          <w:rFonts w:hint="eastAsia" w:hAnsi="黑体"/>
          <w:color w:val="auto"/>
          <w:kern w:val="2"/>
          <w:sz w:val="32"/>
          <w:szCs w:val="32"/>
        </w:rPr>
        <w:t>万元</w:t>
      </w:r>
      <w:r>
        <w:rPr>
          <w:rFonts w:hAnsi="黑体"/>
          <w:color w:val="auto"/>
          <w:kern w:val="2"/>
          <w:sz w:val="32"/>
          <w:szCs w:val="32"/>
        </w:rPr>
        <w:t>,</w:t>
      </w:r>
      <w:r>
        <w:rPr>
          <w:rFonts w:hint="eastAsia" w:hAnsi="黑体"/>
          <w:color w:val="auto"/>
          <w:kern w:val="2"/>
          <w:sz w:val="32"/>
          <w:szCs w:val="32"/>
        </w:rPr>
        <w:t>比</w:t>
      </w:r>
      <w:r>
        <w:rPr>
          <w:rFonts w:hAnsi="黑体"/>
          <w:color w:val="auto"/>
          <w:kern w:val="2"/>
          <w:sz w:val="32"/>
          <w:szCs w:val="32"/>
        </w:rPr>
        <w:t>202</w:t>
      </w:r>
      <w:r>
        <w:rPr>
          <w:rFonts w:hint="eastAsia" w:hAnsi="黑体"/>
          <w:color w:val="auto"/>
          <w:kern w:val="2"/>
          <w:sz w:val="32"/>
          <w:szCs w:val="32"/>
          <w:lang w:val="en-US" w:eastAsia="zh-CN"/>
        </w:rPr>
        <w:t>2</w:t>
      </w:r>
      <w:r>
        <w:rPr>
          <w:rFonts w:hAnsi="黑体"/>
          <w:color w:val="auto"/>
          <w:kern w:val="2"/>
          <w:sz w:val="32"/>
          <w:szCs w:val="32"/>
        </w:rPr>
        <w:t>年</w:t>
      </w:r>
      <w:r>
        <w:rPr>
          <w:rFonts w:hint="eastAsia" w:hAnsi="黑体"/>
          <w:color w:val="auto"/>
          <w:kern w:val="2"/>
          <w:sz w:val="32"/>
          <w:szCs w:val="32"/>
        </w:rPr>
        <w:t>财政拨款收支总预算</w:t>
      </w:r>
      <w:r>
        <w:rPr>
          <w:rFonts w:hint="eastAsia" w:hAnsi="黑体"/>
          <w:color w:val="auto"/>
          <w:kern w:val="2"/>
          <w:sz w:val="32"/>
          <w:szCs w:val="32"/>
          <w:lang w:val="en-US" w:eastAsia="zh-CN"/>
        </w:rPr>
        <w:t>减少</w:t>
      </w:r>
      <w:r>
        <w:rPr>
          <w:rFonts w:hint="eastAsia" w:hAnsi="黑体" w:cs="Times New Roman"/>
          <w:color w:val="auto"/>
          <w:kern w:val="2"/>
          <w:sz w:val="32"/>
          <w:szCs w:val="32"/>
          <w:lang w:val="en-US" w:eastAsia="zh-CN"/>
        </w:rPr>
        <w:t>17.033</w:t>
      </w:r>
      <w:r>
        <w:rPr>
          <w:rFonts w:hint="eastAsia" w:hAnsi="黑体"/>
          <w:color w:val="auto"/>
          <w:kern w:val="2"/>
          <w:sz w:val="32"/>
          <w:szCs w:val="32"/>
        </w:rPr>
        <w:t>万元，主要原因</w:t>
      </w:r>
      <w:r>
        <w:rPr>
          <w:rFonts w:hAnsi="黑体"/>
          <w:color w:val="auto"/>
          <w:kern w:val="2"/>
          <w:sz w:val="32"/>
          <w:szCs w:val="32"/>
        </w:rPr>
        <w:t>:</w:t>
      </w:r>
      <w:r>
        <w:rPr>
          <w:rFonts w:hint="eastAsia" w:hAnsi="黑体"/>
          <w:color w:val="auto"/>
          <w:kern w:val="2"/>
          <w:sz w:val="32"/>
          <w:szCs w:val="32"/>
        </w:rPr>
        <w:t>人员</w:t>
      </w:r>
      <w:r>
        <w:rPr>
          <w:rFonts w:hint="eastAsia" w:hAnsi="黑体"/>
          <w:color w:val="auto"/>
          <w:kern w:val="2"/>
          <w:sz w:val="32"/>
          <w:szCs w:val="32"/>
          <w:lang w:val="en-US" w:eastAsia="zh-CN"/>
        </w:rPr>
        <w:t>变动</w:t>
      </w:r>
      <w:r>
        <w:rPr>
          <w:rFonts w:hint="eastAsia" w:hAnsi="黑体"/>
          <w:color w:val="auto"/>
          <w:kern w:val="2"/>
          <w:sz w:val="32"/>
          <w:szCs w:val="32"/>
        </w:rPr>
        <w:t>、</w:t>
      </w:r>
      <w:r>
        <w:rPr>
          <w:rFonts w:hint="eastAsia" w:hAnsi="黑体"/>
          <w:color w:val="auto"/>
          <w:kern w:val="2"/>
          <w:sz w:val="32"/>
          <w:szCs w:val="32"/>
          <w:lang w:val="en-US" w:eastAsia="zh-CN"/>
        </w:rPr>
        <w:t>例行节俭节约。</w:t>
      </w:r>
    </w:p>
    <w:p w14:paraId="26A7D7CE">
      <w:pPr>
        <w:pStyle w:val="17"/>
        <w:spacing w:before="0" w:line="360" w:lineRule="auto"/>
        <w:ind w:firstLine="627" w:firstLineChars="196"/>
        <w:rPr>
          <w:rFonts w:hAnsi="黑体"/>
          <w:color w:val="auto"/>
          <w:kern w:val="2"/>
          <w:sz w:val="32"/>
          <w:szCs w:val="32"/>
        </w:rPr>
      </w:pPr>
      <w:r>
        <w:rPr>
          <w:rFonts w:hint="eastAsia" w:hAnsi="黑体"/>
          <w:color w:val="auto"/>
          <w:kern w:val="2"/>
          <w:sz w:val="32"/>
          <w:szCs w:val="32"/>
        </w:rPr>
        <w:t>收入包括：本年一般公共预算拨款收入</w:t>
      </w:r>
      <w:r>
        <w:rPr>
          <w:rFonts w:hint="eastAsia" w:hAnsi="黑体" w:cs="Times New Roman"/>
          <w:color w:val="auto"/>
          <w:kern w:val="2"/>
          <w:sz w:val="32"/>
          <w:szCs w:val="32"/>
          <w:lang w:val="en-US" w:eastAsia="zh-CN"/>
        </w:rPr>
        <w:t>278.25</w:t>
      </w:r>
      <w:r>
        <w:rPr>
          <w:rFonts w:hint="eastAsia" w:hAnsi="黑体"/>
          <w:color w:val="auto"/>
          <w:kern w:val="2"/>
          <w:sz w:val="32"/>
          <w:szCs w:val="32"/>
        </w:rPr>
        <w:t>万元，上年结转一般公共预算收入0万元，上年结转财政拨款资金0</w:t>
      </w:r>
      <w:r>
        <w:rPr>
          <w:rFonts w:hint="eastAsia" w:hAnsi="黑体"/>
          <w:color w:val="auto"/>
          <w:kern w:val="2"/>
          <w:sz w:val="32"/>
          <w:szCs w:val="32"/>
        </w:rPr>
        <w:t>万元；</w:t>
      </w:r>
    </w:p>
    <w:p w14:paraId="5030588E">
      <w:pPr>
        <w:pStyle w:val="17"/>
        <w:spacing w:before="0" w:line="360" w:lineRule="auto"/>
        <w:ind w:firstLine="627" w:firstLineChars="196"/>
        <w:rPr>
          <w:rFonts w:hAnsi="黑体"/>
          <w:color w:val="auto"/>
          <w:kern w:val="2"/>
          <w:sz w:val="32"/>
          <w:szCs w:val="32"/>
        </w:rPr>
      </w:pPr>
      <w:r>
        <w:rPr>
          <w:rFonts w:hint="eastAsia" w:hAnsi="黑体"/>
          <w:color w:val="auto"/>
          <w:kern w:val="2"/>
          <w:sz w:val="32"/>
          <w:szCs w:val="32"/>
        </w:rPr>
        <w:t>支出包括：一般公共服务支出0万元，教育支出0万元，文化体育与传媒支出0万元，社会保障和就业支出</w:t>
      </w:r>
      <w:r>
        <w:rPr>
          <w:rFonts w:hint="eastAsia" w:hAnsi="黑体"/>
          <w:color w:val="auto"/>
          <w:kern w:val="2"/>
          <w:sz w:val="32"/>
          <w:szCs w:val="32"/>
          <w:lang w:val="en-US" w:eastAsia="zh-CN"/>
        </w:rPr>
        <w:t>413976</w:t>
      </w:r>
      <w:r>
        <w:rPr>
          <w:rFonts w:hint="eastAsia" w:hAnsi="黑体"/>
          <w:color w:val="auto"/>
          <w:kern w:val="2"/>
          <w:sz w:val="32"/>
          <w:szCs w:val="32"/>
        </w:rPr>
        <w:t>万元，卫生健康支出支出</w:t>
      </w:r>
      <w:r>
        <w:rPr>
          <w:rFonts w:hint="eastAsia" w:hAnsi="黑体"/>
          <w:color w:val="auto"/>
          <w:kern w:val="2"/>
          <w:sz w:val="32"/>
          <w:szCs w:val="32"/>
          <w:lang w:val="en-US" w:eastAsia="zh-CN"/>
        </w:rPr>
        <w:t>15.06</w:t>
      </w:r>
      <w:r>
        <w:rPr>
          <w:rFonts w:hint="eastAsia" w:hAnsi="黑体"/>
          <w:color w:val="auto"/>
          <w:kern w:val="2"/>
          <w:sz w:val="32"/>
          <w:szCs w:val="32"/>
        </w:rPr>
        <w:t>万元，节能环保支出</w:t>
      </w:r>
      <w:r>
        <w:rPr>
          <w:rFonts w:hint="eastAsia" w:hAnsi="黑体" w:cs="Times New Roman"/>
          <w:color w:val="auto"/>
          <w:kern w:val="2"/>
          <w:sz w:val="32"/>
          <w:szCs w:val="32"/>
          <w:lang w:val="en-US" w:eastAsia="zh-CN"/>
        </w:rPr>
        <w:t>200.76</w:t>
      </w:r>
      <w:r>
        <w:rPr>
          <w:rFonts w:hint="eastAsia" w:hAnsi="黑体"/>
          <w:color w:val="auto"/>
          <w:kern w:val="2"/>
          <w:sz w:val="32"/>
          <w:szCs w:val="32"/>
        </w:rPr>
        <w:t>万元，住房保障支出</w:t>
      </w:r>
      <w:r>
        <w:rPr>
          <w:rFonts w:hint="eastAsia" w:hAnsi="黑体"/>
          <w:color w:val="auto"/>
          <w:kern w:val="2"/>
          <w:sz w:val="32"/>
          <w:szCs w:val="32"/>
          <w:lang w:val="en-US" w:eastAsia="zh-CN"/>
        </w:rPr>
        <w:t>20.46</w:t>
      </w:r>
      <w:r>
        <w:rPr>
          <w:rFonts w:hint="eastAsia" w:hAnsi="黑体"/>
          <w:color w:val="auto"/>
          <w:kern w:val="2"/>
          <w:sz w:val="32"/>
          <w:szCs w:val="32"/>
        </w:rPr>
        <w:t>万元。</w:t>
      </w:r>
    </w:p>
    <w:p w14:paraId="13FE78C1">
      <w:pPr>
        <w:pStyle w:val="17"/>
        <w:spacing w:before="0" w:line="360" w:lineRule="auto"/>
        <w:ind w:firstLine="320" w:firstLineChars="100"/>
        <w:rPr>
          <w:rFonts w:ascii="??" w:hAnsi="??" w:eastAsia="宋体" w:cs="Times New Roman"/>
          <w:color w:val="auto"/>
          <w:sz w:val="16"/>
          <w:szCs w:val="16"/>
        </w:rPr>
      </w:pPr>
      <w:r>
        <w:rPr>
          <w:rFonts w:hint="eastAsia" w:ascii="黑体" w:hAnsi="黑体" w:eastAsia="黑体" w:cs="黑体"/>
          <w:color w:val="auto"/>
          <w:kern w:val="2"/>
          <w:sz w:val="32"/>
          <w:szCs w:val="32"/>
        </w:rPr>
        <w:t>五、一般公共预算当年拨款情况说明</w:t>
      </w:r>
    </w:p>
    <w:p w14:paraId="2E25EF59">
      <w:pPr>
        <w:pStyle w:val="17"/>
        <w:spacing w:before="0" w:line="360" w:lineRule="auto"/>
        <w:ind w:firstLine="630" w:firstLineChars="196"/>
        <w:rPr>
          <w:rFonts w:hAnsi="黑体" w:cs="Times New Roman"/>
          <w:color w:val="auto"/>
          <w:kern w:val="2"/>
          <w:sz w:val="32"/>
          <w:szCs w:val="32"/>
        </w:rPr>
      </w:pPr>
      <w:r>
        <w:rPr>
          <w:rFonts w:hint="eastAsia" w:ascii="楷体_GB2312" w:hAnsi="黑体" w:eastAsia="楷体_GB2312" w:cs="楷体_GB2312"/>
          <w:b/>
          <w:bCs/>
          <w:color w:val="auto"/>
          <w:kern w:val="2"/>
          <w:sz w:val="32"/>
          <w:szCs w:val="32"/>
        </w:rPr>
        <w:t>（一）一般公共预算当年拨款规模变化情况</w:t>
      </w:r>
    </w:p>
    <w:p w14:paraId="1B47E2E4">
      <w:pPr>
        <w:pStyle w:val="17"/>
        <w:spacing w:before="0" w:line="360" w:lineRule="auto"/>
        <w:ind w:firstLine="627" w:firstLineChars="196"/>
        <w:rPr>
          <w:rFonts w:hint="default" w:hAnsi="黑体" w:eastAsia="仿宋_GB2312"/>
          <w:color w:val="auto"/>
          <w:kern w:val="2"/>
          <w:sz w:val="32"/>
          <w:szCs w:val="32"/>
          <w:lang w:val="en-US" w:eastAsia="zh-CN"/>
        </w:rPr>
      </w:pPr>
      <w:r>
        <w:rPr>
          <w:rFonts w:hint="eastAsia" w:hAnsi="黑体"/>
          <w:color w:val="auto"/>
          <w:kern w:val="2"/>
          <w:sz w:val="32"/>
          <w:szCs w:val="32"/>
        </w:rPr>
        <w:t>阿坝州</w:t>
      </w:r>
      <w:r>
        <w:rPr>
          <w:rFonts w:hint="eastAsia" w:hAnsi="黑体"/>
          <w:color w:val="auto"/>
          <w:kern w:val="2"/>
          <w:sz w:val="32"/>
          <w:szCs w:val="32"/>
          <w:lang w:eastAsia="zh-CN"/>
        </w:rPr>
        <w:t>松潘</w:t>
      </w:r>
      <w:r>
        <w:rPr>
          <w:rFonts w:hint="eastAsia" w:hAnsi="黑体"/>
          <w:color w:val="auto"/>
          <w:kern w:val="2"/>
          <w:sz w:val="32"/>
          <w:szCs w:val="32"/>
        </w:rPr>
        <w:t>生态环境局</w:t>
      </w:r>
      <w:r>
        <w:rPr>
          <w:rFonts w:hAnsi="黑体"/>
          <w:color w:val="auto"/>
          <w:kern w:val="2"/>
          <w:sz w:val="32"/>
          <w:szCs w:val="32"/>
        </w:rPr>
        <w:t>202</w:t>
      </w:r>
      <w:r>
        <w:rPr>
          <w:rFonts w:hint="eastAsia" w:hAnsi="黑体"/>
          <w:color w:val="auto"/>
          <w:kern w:val="2"/>
          <w:sz w:val="32"/>
          <w:szCs w:val="32"/>
          <w:lang w:val="en-US" w:eastAsia="zh-CN"/>
        </w:rPr>
        <w:t>5</w:t>
      </w:r>
      <w:r>
        <w:rPr>
          <w:rFonts w:hAnsi="黑体"/>
          <w:color w:val="auto"/>
          <w:kern w:val="2"/>
          <w:sz w:val="32"/>
          <w:szCs w:val="32"/>
        </w:rPr>
        <w:t>年</w:t>
      </w:r>
      <w:r>
        <w:rPr>
          <w:rFonts w:hint="eastAsia" w:hAnsi="黑体"/>
          <w:color w:val="auto"/>
          <w:kern w:val="2"/>
          <w:sz w:val="32"/>
          <w:szCs w:val="32"/>
        </w:rPr>
        <w:t>一般公共预算当年拨款</w:t>
      </w:r>
      <w:r>
        <w:rPr>
          <w:rFonts w:hint="eastAsia" w:hAnsi="黑体" w:cs="Times New Roman"/>
          <w:color w:val="auto"/>
          <w:kern w:val="2"/>
          <w:sz w:val="32"/>
          <w:szCs w:val="32"/>
          <w:lang w:val="en-US" w:eastAsia="zh-CN"/>
        </w:rPr>
        <w:t>278.25</w:t>
      </w:r>
      <w:r>
        <w:rPr>
          <w:rFonts w:hint="eastAsia" w:hAnsi="黑体"/>
          <w:color w:val="auto"/>
          <w:kern w:val="2"/>
          <w:sz w:val="32"/>
          <w:szCs w:val="32"/>
        </w:rPr>
        <w:t>万元，比</w:t>
      </w:r>
      <w:r>
        <w:rPr>
          <w:rFonts w:hAnsi="黑体"/>
          <w:color w:val="auto"/>
          <w:kern w:val="2"/>
          <w:sz w:val="32"/>
          <w:szCs w:val="32"/>
        </w:rPr>
        <w:t>202</w:t>
      </w:r>
      <w:r>
        <w:rPr>
          <w:rFonts w:hint="eastAsia" w:hAnsi="黑体"/>
          <w:color w:val="auto"/>
          <w:kern w:val="2"/>
          <w:sz w:val="32"/>
          <w:szCs w:val="32"/>
          <w:lang w:val="en-US" w:eastAsia="zh-CN"/>
        </w:rPr>
        <w:t>2</w:t>
      </w:r>
      <w:r>
        <w:rPr>
          <w:rFonts w:hAnsi="黑体"/>
          <w:color w:val="auto"/>
          <w:kern w:val="2"/>
          <w:sz w:val="32"/>
          <w:szCs w:val="32"/>
        </w:rPr>
        <w:t>年</w:t>
      </w:r>
      <w:r>
        <w:rPr>
          <w:rFonts w:hint="eastAsia" w:hAnsi="黑体"/>
          <w:color w:val="auto"/>
          <w:kern w:val="2"/>
          <w:sz w:val="32"/>
          <w:szCs w:val="32"/>
        </w:rPr>
        <w:t>财政拨款收支总预算</w:t>
      </w:r>
      <w:r>
        <w:rPr>
          <w:rFonts w:hint="eastAsia" w:hAnsi="黑体"/>
          <w:color w:val="auto"/>
          <w:kern w:val="2"/>
          <w:sz w:val="32"/>
          <w:szCs w:val="32"/>
          <w:lang w:val="en-US" w:eastAsia="zh-CN"/>
        </w:rPr>
        <w:t>减少</w:t>
      </w:r>
      <w:r>
        <w:rPr>
          <w:rFonts w:hint="eastAsia" w:hAnsi="黑体" w:cs="Times New Roman"/>
          <w:color w:val="auto"/>
          <w:kern w:val="2"/>
          <w:sz w:val="32"/>
          <w:szCs w:val="32"/>
          <w:lang w:val="en-US" w:eastAsia="zh-CN"/>
        </w:rPr>
        <w:t>17.033</w:t>
      </w:r>
      <w:r>
        <w:rPr>
          <w:rFonts w:hint="eastAsia" w:hAnsi="黑体"/>
          <w:color w:val="auto"/>
          <w:kern w:val="2"/>
          <w:sz w:val="32"/>
          <w:szCs w:val="32"/>
        </w:rPr>
        <w:t>万元，主要原因</w:t>
      </w:r>
      <w:r>
        <w:rPr>
          <w:rFonts w:hAnsi="黑体"/>
          <w:color w:val="auto"/>
          <w:kern w:val="2"/>
          <w:sz w:val="32"/>
          <w:szCs w:val="32"/>
        </w:rPr>
        <w:t>:</w:t>
      </w:r>
      <w:r>
        <w:rPr>
          <w:rFonts w:hint="eastAsia" w:hAnsi="黑体"/>
          <w:color w:val="auto"/>
          <w:kern w:val="2"/>
          <w:sz w:val="32"/>
          <w:szCs w:val="32"/>
        </w:rPr>
        <w:t>人员</w:t>
      </w:r>
      <w:r>
        <w:rPr>
          <w:rFonts w:hint="eastAsia" w:hAnsi="黑体"/>
          <w:color w:val="auto"/>
          <w:kern w:val="2"/>
          <w:sz w:val="32"/>
          <w:szCs w:val="32"/>
          <w:lang w:val="en-US" w:eastAsia="zh-CN"/>
        </w:rPr>
        <w:t>变动</w:t>
      </w:r>
      <w:r>
        <w:rPr>
          <w:rFonts w:hint="eastAsia" w:hAnsi="黑体"/>
          <w:color w:val="auto"/>
          <w:kern w:val="2"/>
          <w:sz w:val="32"/>
          <w:szCs w:val="32"/>
        </w:rPr>
        <w:t>、</w:t>
      </w:r>
      <w:r>
        <w:rPr>
          <w:rFonts w:hint="eastAsia" w:hAnsi="黑体"/>
          <w:color w:val="auto"/>
          <w:kern w:val="2"/>
          <w:sz w:val="32"/>
          <w:szCs w:val="32"/>
          <w:lang w:val="en-US" w:eastAsia="zh-CN"/>
        </w:rPr>
        <w:t>例行节俭节约。</w:t>
      </w:r>
    </w:p>
    <w:p w14:paraId="19A1339B">
      <w:pPr>
        <w:pStyle w:val="17"/>
        <w:spacing w:before="0" w:line="360" w:lineRule="auto"/>
        <w:ind w:firstLine="643" w:firstLineChars="200"/>
        <w:rPr>
          <w:rFonts w:ascii="楷体_GB2312" w:hAnsi="黑体" w:eastAsia="楷体_GB2312" w:cs="楷体_GB2312"/>
          <w:b/>
          <w:bCs/>
          <w:color w:val="auto"/>
          <w:kern w:val="2"/>
          <w:sz w:val="32"/>
          <w:szCs w:val="32"/>
        </w:rPr>
      </w:pPr>
      <w:r>
        <w:rPr>
          <w:rFonts w:hint="eastAsia" w:ascii="楷体_GB2312" w:hAnsi="黑体" w:eastAsia="楷体_GB2312" w:cs="楷体_GB2312"/>
          <w:b/>
          <w:bCs/>
          <w:color w:val="auto"/>
          <w:kern w:val="2"/>
          <w:sz w:val="32"/>
          <w:szCs w:val="32"/>
        </w:rPr>
        <w:t>（二）一般公共预算当年拨款结构情况</w:t>
      </w:r>
    </w:p>
    <w:p w14:paraId="0D7613F0">
      <w:pPr>
        <w:pStyle w:val="17"/>
        <w:spacing w:before="0" w:line="360" w:lineRule="auto"/>
        <w:ind w:firstLine="627" w:firstLineChars="196"/>
        <w:rPr>
          <w:rFonts w:hAnsi="黑体"/>
          <w:color w:val="auto"/>
          <w:kern w:val="2"/>
          <w:sz w:val="32"/>
          <w:szCs w:val="32"/>
        </w:rPr>
      </w:pPr>
      <w:r>
        <w:rPr>
          <w:rFonts w:hint="eastAsia" w:hAnsi="黑体"/>
          <w:color w:val="auto"/>
          <w:kern w:val="2"/>
          <w:sz w:val="32"/>
          <w:szCs w:val="32"/>
        </w:rPr>
        <w:t>一般</w:t>
      </w:r>
      <w:r>
        <w:rPr>
          <w:rFonts w:hint="eastAsia" w:hAnsi="黑体"/>
          <w:color w:val="auto"/>
          <w:kern w:val="2"/>
          <w:sz w:val="32"/>
          <w:szCs w:val="32"/>
        </w:rPr>
        <w:t>公共服务支出0万元，占0</w:t>
      </w:r>
      <w:r>
        <w:rPr>
          <w:rFonts w:hAnsi="黑体"/>
          <w:color w:val="auto"/>
          <w:kern w:val="2"/>
          <w:sz w:val="32"/>
          <w:szCs w:val="32"/>
        </w:rPr>
        <w:t>%</w:t>
      </w:r>
      <w:r>
        <w:rPr>
          <w:rFonts w:hint="eastAsia" w:hAnsi="黑体"/>
          <w:color w:val="auto"/>
          <w:kern w:val="2"/>
          <w:sz w:val="32"/>
          <w:szCs w:val="32"/>
        </w:rPr>
        <w:t>；教育支出0万元，占0</w:t>
      </w:r>
      <w:r>
        <w:rPr>
          <w:rFonts w:hAnsi="黑体"/>
          <w:color w:val="auto"/>
          <w:kern w:val="2"/>
          <w:sz w:val="32"/>
          <w:szCs w:val="32"/>
        </w:rPr>
        <w:t>%</w:t>
      </w:r>
      <w:r>
        <w:rPr>
          <w:rFonts w:hint="eastAsia" w:hAnsi="黑体"/>
          <w:color w:val="auto"/>
          <w:kern w:val="2"/>
          <w:sz w:val="32"/>
          <w:szCs w:val="32"/>
        </w:rPr>
        <w:t>；文化体育与传媒支出0万元，占0</w:t>
      </w:r>
      <w:r>
        <w:rPr>
          <w:rFonts w:hAnsi="黑体"/>
          <w:color w:val="auto"/>
          <w:kern w:val="2"/>
          <w:sz w:val="32"/>
          <w:szCs w:val="32"/>
        </w:rPr>
        <w:t>%</w:t>
      </w:r>
      <w:r>
        <w:rPr>
          <w:rFonts w:hint="eastAsia" w:hAnsi="黑体"/>
          <w:color w:val="auto"/>
          <w:kern w:val="2"/>
          <w:sz w:val="32"/>
          <w:szCs w:val="32"/>
        </w:rPr>
        <w:t>；社会保障和就业支出</w:t>
      </w:r>
      <w:r>
        <w:rPr>
          <w:rFonts w:hint="eastAsia" w:hAnsi="黑体"/>
          <w:color w:val="auto"/>
          <w:kern w:val="2"/>
          <w:sz w:val="32"/>
          <w:szCs w:val="32"/>
          <w:lang w:val="en-US" w:eastAsia="zh-CN"/>
        </w:rPr>
        <w:t>41.97</w:t>
      </w:r>
      <w:r>
        <w:rPr>
          <w:rFonts w:hint="eastAsia" w:hAnsi="黑体"/>
          <w:color w:val="auto"/>
          <w:kern w:val="2"/>
          <w:sz w:val="32"/>
          <w:szCs w:val="32"/>
        </w:rPr>
        <w:t>万元，占</w:t>
      </w:r>
      <w:r>
        <w:rPr>
          <w:rFonts w:hint="eastAsia" w:hAnsi="黑体"/>
          <w:color w:val="auto"/>
          <w:kern w:val="2"/>
          <w:sz w:val="32"/>
          <w:szCs w:val="32"/>
          <w:lang w:val="en-US" w:eastAsia="zh-CN"/>
        </w:rPr>
        <w:t>15.08</w:t>
      </w:r>
      <w:r>
        <w:rPr>
          <w:rFonts w:hAnsi="黑体"/>
          <w:color w:val="auto"/>
          <w:kern w:val="2"/>
          <w:sz w:val="32"/>
          <w:szCs w:val="32"/>
        </w:rPr>
        <w:t>%</w:t>
      </w:r>
      <w:r>
        <w:rPr>
          <w:rFonts w:hint="eastAsia" w:hAnsi="黑体"/>
          <w:color w:val="auto"/>
          <w:kern w:val="2"/>
          <w:sz w:val="32"/>
          <w:szCs w:val="32"/>
        </w:rPr>
        <w:t>；卫生健康支出支出</w:t>
      </w:r>
      <w:r>
        <w:rPr>
          <w:rFonts w:hint="eastAsia" w:hAnsi="黑体"/>
          <w:color w:val="auto"/>
          <w:kern w:val="2"/>
          <w:sz w:val="32"/>
          <w:szCs w:val="32"/>
          <w:lang w:val="en-US" w:eastAsia="zh-CN"/>
        </w:rPr>
        <w:t>15.06</w:t>
      </w:r>
      <w:r>
        <w:rPr>
          <w:rFonts w:hint="eastAsia" w:hAnsi="黑体"/>
          <w:color w:val="auto"/>
          <w:kern w:val="2"/>
          <w:sz w:val="32"/>
          <w:szCs w:val="32"/>
        </w:rPr>
        <w:t>万元，占</w:t>
      </w:r>
      <w:r>
        <w:rPr>
          <w:rFonts w:hint="eastAsia" w:hAnsi="黑体"/>
          <w:color w:val="auto"/>
          <w:kern w:val="2"/>
          <w:sz w:val="32"/>
          <w:szCs w:val="32"/>
          <w:lang w:val="en-US" w:eastAsia="zh-CN"/>
        </w:rPr>
        <w:t>5.41</w:t>
      </w:r>
      <w:r>
        <w:rPr>
          <w:rFonts w:hAnsi="黑体"/>
          <w:color w:val="auto"/>
          <w:kern w:val="2"/>
          <w:sz w:val="32"/>
          <w:szCs w:val="32"/>
        </w:rPr>
        <w:t>%</w:t>
      </w:r>
      <w:r>
        <w:rPr>
          <w:rFonts w:hint="eastAsia" w:hAnsi="黑体"/>
          <w:color w:val="auto"/>
          <w:kern w:val="2"/>
          <w:sz w:val="32"/>
          <w:szCs w:val="32"/>
        </w:rPr>
        <w:t>；节能环保支出</w:t>
      </w:r>
      <w:r>
        <w:rPr>
          <w:rFonts w:hint="eastAsia" w:hAnsi="黑体" w:cs="Times New Roman"/>
          <w:color w:val="auto"/>
          <w:kern w:val="2"/>
          <w:sz w:val="32"/>
          <w:szCs w:val="32"/>
          <w:lang w:val="en-US" w:eastAsia="zh-CN"/>
        </w:rPr>
        <w:t>200.76</w:t>
      </w:r>
      <w:r>
        <w:rPr>
          <w:rFonts w:hint="eastAsia" w:hAnsi="黑体"/>
          <w:color w:val="auto"/>
          <w:kern w:val="2"/>
          <w:sz w:val="32"/>
          <w:szCs w:val="32"/>
        </w:rPr>
        <w:t>万元，占</w:t>
      </w:r>
      <w:r>
        <w:rPr>
          <w:rFonts w:hint="eastAsia" w:hAnsi="黑体"/>
          <w:color w:val="auto"/>
          <w:kern w:val="2"/>
          <w:sz w:val="32"/>
          <w:szCs w:val="32"/>
          <w:lang w:val="en-US" w:eastAsia="zh-CN"/>
        </w:rPr>
        <w:t>72.15</w:t>
      </w:r>
      <w:r>
        <w:rPr>
          <w:rFonts w:hAnsi="黑体"/>
          <w:color w:val="auto"/>
          <w:kern w:val="2"/>
          <w:sz w:val="32"/>
          <w:szCs w:val="32"/>
        </w:rPr>
        <w:t>%</w:t>
      </w:r>
      <w:r>
        <w:rPr>
          <w:rFonts w:hint="eastAsia" w:hAnsi="黑体"/>
          <w:color w:val="auto"/>
          <w:kern w:val="2"/>
          <w:sz w:val="32"/>
          <w:szCs w:val="32"/>
        </w:rPr>
        <w:t>；住房保障支出</w:t>
      </w:r>
      <w:r>
        <w:rPr>
          <w:rFonts w:hint="eastAsia" w:hAnsi="黑体" w:cs="Times New Roman"/>
          <w:color w:val="auto"/>
          <w:kern w:val="2"/>
          <w:sz w:val="32"/>
          <w:szCs w:val="32"/>
          <w:lang w:val="en-US" w:eastAsia="zh-CN"/>
        </w:rPr>
        <w:t>20.46</w:t>
      </w:r>
      <w:r>
        <w:rPr>
          <w:rFonts w:hint="eastAsia" w:hAnsi="黑体"/>
          <w:color w:val="auto"/>
          <w:kern w:val="2"/>
          <w:sz w:val="32"/>
          <w:szCs w:val="32"/>
        </w:rPr>
        <w:t>万元，占</w:t>
      </w:r>
      <w:r>
        <w:rPr>
          <w:rFonts w:hint="eastAsia" w:hAnsi="黑体"/>
          <w:color w:val="auto"/>
          <w:kern w:val="2"/>
          <w:sz w:val="32"/>
          <w:szCs w:val="32"/>
          <w:lang w:val="en-US" w:eastAsia="zh-CN"/>
        </w:rPr>
        <w:t>7.36</w:t>
      </w:r>
      <w:r>
        <w:rPr>
          <w:rFonts w:hAnsi="黑体"/>
          <w:color w:val="auto"/>
          <w:kern w:val="2"/>
          <w:sz w:val="32"/>
          <w:szCs w:val="32"/>
        </w:rPr>
        <w:t>%</w:t>
      </w:r>
      <w:r>
        <w:rPr>
          <w:rFonts w:hint="eastAsia" w:hAnsi="黑体"/>
          <w:color w:val="auto"/>
          <w:kern w:val="2"/>
          <w:sz w:val="32"/>
          <w:szCs w:val="32"/>
        </w:rPr>
        <w:t>。</w:t>
      </w:r>
    </w:p>
    <w:p w14:paraId="65713F58">
      <w:pPr>
        <w:pStyle w:val="17"/>
        <w:spacing w:before="0" w:line="360" w:lineRule="auto"/>
        <w:ind w:firstLine="630" w:firstLineChars="196"/>
        <w:rPr>
          <w:rFonts w:ascii="楷体_GB2312" w:hAnsi="黑体" w:eastAsia="楷体_GB2312" w:cs="楷体_GB2312"/>
          <w:b/>
          <w:bCs/>
          <w:color w:val="auto"/>
          <w:kern w:val="2"/>
          <w:sz w:val="32"/>
          <w:szCs w:val="32"/>
        </w:rPr>
      </w:pPr>
      <w:r>
        <w:rPr>
          <w:rFonts w:hint="eastAsia" w:ascii="楷体_GB2312" w:hAnsi="黑体" w:eastAsia="楷体_GB2312" w:cs="楷体_GB2312"/>
          <w:b/>
          <w:bCs/>
          <w:color w:val="auto"/>
          <w:kern w:val="2"/>
          <w:sz w:val="32"/>
          <w:szCs w:val="32"/>
        </w:rPr>
        <w:t>（三）一般公共预算当年拨款具体使用情况</w:t>
      </w:r>
    </w:p>
    <w:p w14:paraId="5B930551">
      <w:pPr>
        <w:pStyle w:val="11"/>
        <w:widowControl/>
        <w:spacing w:before="0" w:beforeAutospacing="0" w:after="0" w:afterAutospacing="0" w:line="560" w:lineRule="exact"/>
        <w:ind w:firstLine="640" w:firstLineChars="200"/>
        <w:rPr>
          <w:rFonts w:ascii="仿宋_GB2312" w:hAnsi="黑体" w:eastAsia="仿宋_GB2312" w:cs="仿宋_GB2312"/>
          <w:color w:val="auto"/>
          <w:kern w:val="2"/>
          <w:sz w:val="32"/>
          <w:szCs w:val="32"/>
        </w:rPr>
      </w:pPr>
      <w:r>
        <w:rPr>
          <w:rFonts w:hint="eastAsia" w:ascii="仿宋_GB2312" w:hAnsi="黑体" w:eastAsia="仿宋_GB2312" w:cs="仿宋_GB2312"/>
          <w:color w:val="auto"/>
          <w:kern w:val="2"/>
          <w:sz w:val="32"/>
          <w:szCs w:val="32"/>
        </w:rPr>
        <w:t>1．社会保障和就业支出</w:t>
      </w:r>
      <w:r>
        <w:rPr>
          <w:rFonts w:hint="eastAsia" w:ascii="仿宋_GB2312" w:hAnsi="黑体" w:eastAsia="仿宋_GB2312" w:cs="仿宋_GB2312"/>
          <w:color w:val="auto"/>
          <w:kern w:val="2"/>
          <w:sz w:val="32"/>
          <w:szCs w:val="32"/>
          <w:lang w:val="en-US" w:eastAsia="zh-CN"/>
        </w:rPr>
        <w:t>41.97</w:t>
      </w:r>
      <w:r>
        <w:rPr>
          <w:rFonts w:hint="eastAsia" w:ascii="仿宋_GB2312" w:hAnsi="黑体" w:eastAsia="仿宋_GB2312" w:cs="仿宋_GB2312"/>
          <w:color w:val="auto"/>
          <w:kern w:val="2"/>
          <w:sz w:val="32"/>
          <w:szCs w:val="32"/>
        </w:rPr>
        <w:t>万元，主要用于购买单位职工工资、养老保险等支出。</w:t>
      </w:r>
    </w:p>
    <w:p w14:paraId="32CDD13A">
      <w:pPr>
        <w:pStyle w:val="11"/>
        <w:widowControl/>
        <w:spacing w:before="0" w:beforeAutospacing="0" w:after="0" w:afterAutospacing="0" w:line="560" w:lineRule="exact"/>
        <w:ind w:firstLine="640" w:firstLineChars="200"/>
        <w:rPr>
          <w:rFonts w:ascii="仿宋_GB2312" w:hAnsi="黑体" w:eastAsia="仿宋_GB2312" w:cs="仿宋_GB2312"/>
          <w:color w:val="auto"/>
          <w:kern w:val="2"/>
          <w:sz w:val="32"/>
          <w:szCs w:val="32"/>
        </w:rPr>
      </w:pPr>
      <w:r>
        <w:rPr>
          <w:rFonts w:hint="eastAsia" w:ascii="仿宋_GB2312" w:hAnsi="黑体" w:eastAsia="仿宋_GB2312" w:cs="仿宋_GB2312"/>
          <w:color w:val="auto"/>
          <w:kern w:val="2"/>
          <w:sz w:val="32"/>
          <w:szCs w:val="32"/>
        </w:rPr>
        <w:t>2.节能和环保支出</w:t>
      </w:r>
      <w:r>
        <w:rPr>
          <w:rFonts w:hint="eastAsia" w:ascii="仿宋_GB2312" w:hAnsi="黑体" w:eastAsia="仿宋_GB2312" w:cs="仿宋_GB2312"/>
          <w:color w:val="auto"/>
          <w:kern w:val="2"/>
          <w:sz w:val="32"/>
          <w:szCs w:val="32"/>
          <w:lang w:val="en-US" w:eastAsia="zh-CN"/>
        </w:rPr>
        <w:t>200.76</w:t>
      </w:r>
      <w:r>
        <w:rPr>
          <w:rFonts w:hint="eastAsia" w:ascii="仿宋_GB2312" w:hAnsi="黑体" w:eastAsia="仿宋_GB2312" w:cs="仿宋_GB2312"/>
          <w:color w:val="auto"/>
          <w:kern w:val="2"/>
          <w:sz w:val="32"/>
          <w:szCs w:val="32"/>
        </w:rPr>
        <w:t>万元，主要用于：环保督察、环保宣传、生态县创建、污染源普查、环保执法、饮用水源地项目建设支出。</w:t>
      </w:r>
    </w:p>
    <w:p w14:paraId="5D9966FB">
      <w:pPr>
        <w:pStyle w:val="11"/>
        <w:widowControl/>
        <w:spacing w:before="0" w:beforeAutospacing="0" w:after="0" w:afterAutospacing="0" w:line="560" w:lineRule="exact"/>
        <w:ind w:firstLine="640" w:firstLineChars="200"/>
        <w:rPr>
          <w:rFonts w:ascii="仿宋_GB2312" w:hAnsi="黑体" w:eastAsia="仿宋_GB2312" w:cs="仿宋_GB2312"/>
          <w:color w:val="auto"/>
          <w:kern w:val="2"/>
          <w:sz w:val="32"/>
          <w:szCs w:val="32"/>
        </w:rPr>
      </w:pPr>
      <w:r>
        <w:rPr>
          <w:rFonts w:hint="eastAsia" w:ascii="仿宋_GB2312" w:hAnsi="黑体" w:eastAsia="仿宋_GB2312" w:cs="仿宋_GB2312"/>
          <w:color w:val="auto"/>
          <w:kern w:val="2"/>
          <w:sz w:val="32"/>
          <w:szCs w:val="32"/>
        </w:rPr>
        <w:t>3．住房保障支出</w:t>
      </w:r>
      <w:r>
        <w:rPr>
          <w:rFonts w:hint="eastAsia" w:ascii="仿宋_GB2312" w:hAnsi="黑体" w:eastAsia="仿宋_GB2312" w:cs="仿宋_GB2312"/>
          <w:color w:val="auto"/>
          <w:kern w:val="2"/>
          <w:sz w:val="32"/>
          <w:szCs w:val="32"/>
          <w:lang w:val="en-US" w:eastAsia="zh-CN"/>
        </w:rPr>
        <w:t>20.46</w:t>
      </w:r>
      <w:r>
        <w:rPr>
          <w:rFonts w:hint="eastAsia" w:ascii="仿宋_GB2312" w:hAnsi="黑体" w:eastAsia="仿宋_GB2312" w:cs="仿宋_GB2312"/>
          <w:color w:val="auto"/>
          <w:kern w:val="2"/>
          <w:sz w:val="32"/>
          <w:szCs w:val="32"/>
        </w:rPr>
        <w:t>万元，主要用于购买单位职工的住房公积金等支出。</w:t>
      </w:r>
    </w:p>
    <w:p w14:paraId="5EF2FBE6">
      <w:pPr>
        <w:pStyle w:val="11"/>
        <w:widowControl/>
        <w:spacing w:before="0" w:beforeAutospacing="0" w:after="0" w:afterAutospacing="0" w:line="560" w:lineRule="exact"/>
        <w:ind w:firstLine="640" w:firstLineChars="200"/>
        <w:rPr>
          <w:rFonts w:ascii="仿宋_GB2312" w:hAnsi="黑体" w:eastAsia="仿宋_GB2312" w:cs="仿宋_GB2312"/>
          <w:color w:val="auto"/>
          <w:kern w:val="2"/>
          <w:sz w:val="32"/>
          <w:szCs w:val="32"/>
        </w:rPr>
      </w:pPr>
      <w:r>
        <w:rPr>
          <w:rFonts w:hint="eastAsia" w:ascii="仿宋_GB2312" w:hAnsi="黑体" w:eastAsia="仿宋_GB2312" w:cs="仿宋_GB2312"/>
          <w:color w:val="auto"/>
          <w:kern w:val="2"/>
          <w:sz w:val="32"/>
          <w:szCs w:val="32"/>
        </w:rPr>
        <w:t>4.</w:t>
      </w:r>
      <w:r>
        <w:rPr>
          <w:rFonts w:hint="eastAsia" w:hAnsi="黑体"/>
          <w:color w:val="auto"/>
          <w:kern w:val="2"/>
          <w:sz w:val="32"/>
          <w:szCs w:val="32"/>
        </w:rPr>
        <w:t xml:space="preserve"> </w:t>
      </w:r>
      <w:r>
        <w:rPr>
          <w:rFonts w:hint="eastAsia" w:ascii="仿宋_GB2312" w:hAnsi="黑体" w:eastAsia="仿宋_GB2312" w:cs="仿宋_GB2312"/>
          <w:color w:val="auto"/>
          <w:kern w:val="2"/>
          <w:sz w:val="32"/>
          <w:szCs w:val="32"/>
        </w:rPr>
        <w:t>卫生健康支出支出</w:t>
      </w:r>
      <w:r>
        <w:rPr>
          <w:rFonts w:hint="eastAsia" w:ascii="仿宋_GB2312" w:hAnsi="黑体" w:eastAsia="仿宋_GB2312" w:cs="仿宋_GB2312"/>
          <w:color w:val="auto"/>
          <w:kern w:val="2"/>
          <w:sz w:val="32"/>
          <w:szCs w:val="32"/>
          <w:lang w:val="en-US" w:eastAsia="zh-CN"/>
        </w:rPr>
        <w:t>15.06</w:t>
      </w:r>
      <w:r>
        <w:rPr>
          <w:rFonts w:hint="eastAsia" w:ascii="仿宋_GB2312" w:hAnsi="黑体" w:eastAsia="仿宋_GB2312" w:cs="仿宋_GB2312"/>
          <w:color w:val="auto"/>
          <w:kern w:val="2"/>
          <w:sz w:val="32"/>
          <w:szCs w:val="32"/>
        </w:rPr>
        <w:t>万元，主要用于购买单位职工医保等支出。</w:t>
      </w:r>
    </w:p>
    <w:p w14:paraId="6AFE67C7">
      <w:pPr>
        <w:pStyle w:val="17"/>
        <w:tabs>
          <w:tab w:val="left" w:pos="720"/>
        </w:tabs>
        <w:spacing w:before="0" w:line="360" w:lineRule="auto"/>
        <w:rPr>
          <w:rFonts w:ascii="??" w:hAnsi="??" w:eastAsia="宋体" w:cs="Times New Roman"/>
          <w:b/>
          <w:bCs/>
          <w:color w:val="auto"/>
          <w:sz w:val="16"/>
          <w:szCs w:val="16"/>
        </w:rPr>
      </w:pPr>
      <w:r>
        <w:rPr>
          <w:rFonts w:hint="eastAsia" w:ascii="??" w:hAnsi="??" w:eastAsia="宋体" w:cs="宋体"/>
          <w:color w:val="auto"/>
          <w:sz w:val="16"/>
          <w:szCs w:val="16"/>
        </w:rPr>
        <w:t>　</w:t>
      </w:r>
      <w:r>
        <w:rPr>
          <w:rFonts w:hint="eastAsia" w:ascii="黑体" w:hAnsi="黑体" w:eastAsia="黑体" w:cs="黑体"/>
          <w:color w:val="auto"/>
          <w:kern w:val="2"/>
          <w:sz w:val="32"/>
          <w:szCs w:val="32"/>
        </w:rPr>
        <w:t>六、一般公共预算基本支出情况说明</w:t>
      </w:r>
    </w:p>
    <w:p w14:paraId="298622B1">
      <w:pPr>
        <w:pStyle w:val="17"/>
        <w:spacing w:before="0" w:line="360" w:lineRule="auto"/>
        <w:ind w:firstLine="640" w:firstLineChars="200"/>
        <w:rPr>
          <w:rFonts w:hAnsi="黑体" w:cs="Times New Roman"/>
          <w:color w:val="auto"/>
          <w:kern w:val="2"/>
          <w:sz w:val="32"/>
          <w:szCs w:val="32"/>
        </w:rPr>
      </w:pPr>
      <w:r>
        <w:rPr>
          <w:rFonts w:hint="eastAsia" w:hAnsi="黑体"/>
          <w:color w:val="auto"/>
          <w:kern w:val="2"/>
          <w:sz w:val="32"/>
          <w:szCs w:val="32"/>
        </w:rPr>
        <w:t>阿坝州</w:t>
      </w:r>
      <w:r>
        <w:rPr>
          <w:rFonts w:hint="eastAsia" w:hAnsi="黑体"/>
          <w:color w:val="auto"/>
          <w:kern w:val="2"/>
          <w:sz w:val="32"/>
          <w:szCs w:val="32"/>
          <w:lang w:eastAsia="zh-CN"/>
        </w:rPr>
        <w:t>松潘</w:t>
      </w:r>
      <w:r>
        <w:rPr>
          <w:rFonts w:hint="eastAsia" w:hAnsi="黑体"/>
          <w:color w:val="auto"/>
          <w:kern w:val="2"/>
          <w:sz w:val="32"/>
          <w:szCs w:val="32"/>
        </w:rPr>
        <w:t>生态环境局</w:t>
      </w:r>
      <w:r>
        <w:rPr>
          <w:rFonts w:hAnsi="黑体"/>
          <w:color w:val="auto"/>
          <w:kern w:val="2"/>
          <w:sz w:val="32"/>
          <w:szCs w:val="32"/>
        </w:rPr>
        <w:t>202</w:t>
      </w:r>
      <w:r>
        <w:rPr>
          <w:rFonts w:hint="eastAsia" w:hAnsi="黑体"/>
          <w:color w:val="auto"/>
          <w:kern w:val="2"/>
          <w:sz w:val="32"/>
          <w:szCs w:val="32"/>
          <w:lang w:val="en-US" w:eastAsia="zh-CN"/>
        </w:rPr>
        <w:t>5</w:t>
      </w:r>
      <w:r>
        <w:rPr>
          <w:rFonts w:hAnsi="黑体"/>
          <w:color w:val="auto"/>
          <w:kern w:val="2"/>
          <w:sz w:val="32"/>
          <w:szCs w:val="32"/>
        </w:rPr>
        <w:t>年</w:t>
      </w:r>
      <w:r>
        <w:rPr>
          <w:rFonts w:hint="eastAsia" w:hAnsi="黑体"/>
          <w:color w:val="auto"/>
          <w:kern w:val="2"/>
          <w:sz w:val="32"/>
          <w:szCs w:val="32"/>
        </w:rPr>
        <w:t>一般公共预算基本支出</w:t>
      </w:r>
      <w:r>
        <w:rPr>
          <w:rFonts w:hint="eastAsia" w:hAnsi="黑体"/>
          <w:color w:val="auto"/>
          <w:kern w:val="2"/>
          <w:sz w:val="32"/>
          <w:szCs w:val="32"/>
          <w:lang w:val="en-US" w:eastAsia="zh-CN"/>
        </w:rPr>
        <w:t>278.25</w:t>
      </w:r>
      <w:r>
        <w:rPr>
          <w:rFonts w:hint="eastAsia" w:hAnsi="黑体"/>
          <w:color w:val="auto"/>
          <w:kern w:val="2"/>
          <w:sz w:val="32"/>
          <w:szCs w:val="32"/>
        </w:rPr>
        <w:t>万元，其中：人员经费</w:t>
      </w:r>
      <w:r>
        <w:rPr>
          <w:rFonts w:hint="eastAsia" w:hAnsi="黑体"/>
          <w:color w:val="auto"/>
          <w:kern w:val="2"/>
          <w:sz w:val="32"/>
          <w:szCs w:val="32"/>
          <w:lang w:val="en-US" w:eastAsia="zh-CN"/>
        </w:rPr>
        <w:t>205.66</w:t>
      </w:r>
      <w:r>
        <w:rPr>
          <w:rFonts w:hint="eastAsia" w:hAnsi="黑体"/>
          <w:color w:val="auto"/>
          <w:kern w:val="2"/>
          <w:sz w:val="32"/>
          <w:szCs w:val="32"/>
        </w:rPr>
        <w:t>万元，主要包括：基本工资</w:t>
      </w:r>
      <w:r>
        <w:rPr>
          <w:rFonts w:hint="eastAsia" w:hAnsi="黑体"/>
          <w:color w:val="auto"/>
          <w:kern w:val="2"/>
          <w:sz w:val="32"/>
          <w:szCs w:val="32"/>
          <w:lang w:val="en-US" w:eastAsia="zh-CN"/>
        </w:rPr>
        <w:t>56.93</w:t>
      </w:r>
      <w:r>
        <w:rPr>
          <w:rFonts w:hint="eastAsia" w:hAnsi="黑体"/>
          <w:color w:val="auto"/>
          <w:kern w:val="2"/>
          <w:sz w:val="32"/>
          <w:szCs w:val="32"/>
        </w:rPr>
        <w:t>万元、津贴补贴</w:t>
      </w:r>
      <w:r>
        <w:rPr>
          <w:rFonts w:hint="eastAsia" w:hAnsi="黑体"/>
          <w:color w:val="auto"/>
          <w:kern w:val="2"/>
          <w:sz w:val="32"/>
          <w:szCs w:val="32"/>
          <w:lang w:val="en-US" w:eastAsia="zh-CN"/>
        </w:rPr>
        <w:t>64.99</w:t>
      </w:r>
      <w:r>
        <w:rPr>
          <w:rFonts w:hint="eastAsia" w:hAnsi="黑体"/>
          <w:color w:val="auto"/>
          <w:kern w:val="2"/>
          <w:sz w:val="32"/>
          <w:szCs w:val="32"/>
        </w:rPr>
        <w:t>万元、年终一次性奖金</w:t>
      </w:r>
      <w:r>
        <w:rPr>
          <w:rFonts w:hint="eastAsia" w:hAnsi="黑体"/>
          <w:color w:val="auto"/>
          <w:kern w:val="2"/>
          <w:sz w:val="32"/>
          <w:szCs w:val="32"/>
          <w:lang w:val="en-US" w:eastAsia="zh-CN"/>
        </w:rPr>
        <w:t>4.74</w:t>
      </w:r>
      <w:r>
        <w:rPr>
          <w:rFonts w:hint="eastAsia" w:hAnsi="黑体"/>
          <w:color w:val="auto"/>
          <w:kern w:val="2"/>
          <w:sz w:val="32"/>
          <w:szCs w:val="32"/>
        </w:rPr>
        <w:t>万元、职工基本医疗保险缴费</w:t>
      </w:r>
      <w:r>
        <w:rPr>
          <w:rFonts w:hint="eastAsia" w:hAnsi="黑体"/>
          <w:color w:val="auto"/>
          <w:kern w:val="2"/>
          <w:sz w:val="32"/>
          <w:szCs w:val="32"/>
          <w:lang w:val="en-US" w:eastAsia="zh-CN"/>
        </w:rPr>
        <w:t>12.24</w:t>
      </w:r>
      <w:r>
        <w:rPr>
          <w:rFonts w:hint="eastAsia" w:hAnsi="黑体"/>
          <w:color w:val="auto"/>
          <w:kern w:val="2"/>
          <w:sz w:val="32"/>
          <w:szCs w:val="32"/>
        </w:rPr>
        <w:t>万元、公务员医疗补助缴费</w:t>
      </w:r>
      <w:r>
        <w:rPr>
          <w:rFonts w:hint="eastAsia" w:hAnsi="黑体"/>
          <w:color w:val="auto"/>
          <w:kern w:val="2"/>
          <w:sz w:val="32"/>
          <w:szCs w:val="32"/>
          <w:lang w:val="en-US" w:eastAsia="zh-CN"/>
        </w:rPr>
        <w:t>2.81</w:t>
      </w:r>
      <w:r>
        <w:rPr>
          <w:rFonts w:hint="eastAsia" w:hAnsi="黑体"/>
          <w:color w:val="auto"/>
          <w:kern w:val="2"/>
          <w:sz w:val="32"/>
          <w:szCs w:val="32"/>
        </w:rPr>
        <w:t>万元、工伤保险</w:t>
      </w:r>
      <w:r>
        <w:rPr>
          <w:rFonts w:hint="eastAsia" w:hAnsi="黑体"/>
          <w:color w:val="auto"/>
          <w:kern w:val="2"/>
          <w:sz w:val="32"/>
          <w:szCs w:val="32"/>
          <w:lang w:val="en-US" w:eastAsia="zh-CN"/>
        </w:rPr>
        <w:t>0.35</w:t>
      </w:r>
      <w:r>
        <w:rPr>
          <w:rFonts w:hint="eastAsia" w:hAnsi="黑体"/>
          <w:color w:val="auto"/>
          <w:kern w:val="2"/>
          <w:sz w:val="32"/>
          <w:szCs w:val="32"/>
        </w:rPr>
        <w:t>万元、失业保险</w:t>
      </w:r>
      <w:r>
        <w:rPr>
          <w:rFonts w:hint="eastAsia" w:hAnsi="黑体"/>
          <w:color w:val="auto"/>
          <w:kern w:val="2"/>
          <w:sz w:val="32"/>
          <w:szCs w:val="32"/>
          <w:lang w:val="en-US" w:eastAsia="zh-CN"/>
        </w:rPr>
        <w:t>1.05</w:t>
      </w:r>
      <w:r>
        <w:rPr>
          <w:rFonts w:hint="eastAsia" w:hAnsi="黑体"/>
          <w:color w:val="auto"/>
          <w:kern w:val="2"/>
          <w:sz w:val="32"/>
          <w:szCs w:val="32"/>
        </w:rPr>
        <w:t>万元、机关事业单位基本养老保险缴费</w:t>
      </w:r>
      <w:r>
        <w:rPr>
          <w:rFonts w:hint="eastAsia" w:hAnsi="黑体"/>
          <w:color w:val="auto"/>
          <w:kern w:val="2"/>
          <w:sz w:val="32"/>
          <w:szCs w:val="32"/>
          <w:lang w:val="en-US" w:eastAsia="zh-CN"/>
        </w:rPr>
        <w:t>27.98</w:t>
      </w:r>
      <w:r>
        <w:rPr>
          <w:rFonts w:hint="eastAsia" w:hAnsi="黑体"/>
          <w:color w:val="auto"/>
          <w:kern w:val="2"/>
          <w:sz w:val="32"/>
          <w:szCs w:val="32"/>
        </w:rPr>
        <w:t>万元、职业年金缴费</w:t>
      </w:r>
      <w:r>
        <w:rPr>
          <w:rFonts w:hint="eastAsia" w:hAnsi="黑体"/>
          <w:color w:val="auto"/>
          <w:kern w:val="2"/>
          <w:sz w:val="32"/>
          <w:szCs w:val="32"/>
          <w:lang w:val="en-US" w:eastAsia="zh-CN"/>
        </w:rPr>
        <w:t>13.99</w:t>
      </w:r>
      <w:r>
        <w:rPr>
          <w:rFonts w:hint="eastAsia" w:hAnsi="黑体"/>
          <w:color w:val="auto"/>
          <w:kern w:val="2"/>
          <w:sz w:val="32"/>
          <w:szCs w:val="32"/>
        </w:rPr>
        <w:t>万元、住房公积金</w:t>
      </w:r>
      <w:r>
        <w:rPr>
          <w:rFonts w:hint="eastAsia" w:hAnsi="黑体"/>
          <w:color w:val="auto"/>
          <w:kern w:val="2"/>
          <w:sz w:val="32"/>
          <w:szCs w:val="32"/>
          <w:lang w:val="en-US" w:eastAsia="zh-CN"/>
        </w:rPr>
        <w:t>20.46</w:t>
      </w:r>
      <w:r>
        <w:rPr>
          <w:rFonts w:hint="eastAsia" w:hAnsi="黑体"/>
          <w:color w:val="auto"/>
          <w:kern w:val="2"/>
          <w:sz w:val="32"/>
          <w:szCs w:val="32"/>
        </w:rPr>
        <w:t>万元。公用经费</w:t>
      </w:r>
      <w:r>
        <w:rPr>
          <w:rFonts w:hint="eastAsia" w:hAnsi="黑体"/>
          <w:color w:val="auto"/>
          <w:kern w:val="2"/>
          <w:sz w:val="32"/>
          <w:szCs w:val="32"/>
          <w:lang w:val="en-US" w:eastAsia="zh-CN"/>
        </w:rPr>
        <w:t>49.39</w:t>
      </w:r>
      <w:r>
        <w:rPr>
          <w:rFonts w:hint="eastAsia" w:hAnsi="黑体"/>
          <w:color w:val="auto"/>
          <w:kern w:val="2"/>
          <w:sz w:val="32"/>
          <w:szCs w:val="32"/>
        </w:rPr>
        <w:t>万元，主要包括：办公费</w:t>
      </w:r>
      <w:r>
        <w:rPr>
          <w:rFonts w:hint="eastAsia" w:hAnsi="黑体"/>
          <w:color w:val="auto"/>
          <w:kern w:val="2"/>
          <w:sz w:val="32"/>
          <w:szCs w:val="32"/>
          <w:lang w:val="en-US" w:eastAsia="zh-CN"/>
        </w:rPr>
        <w:t>1.3</w:t>
      </w:r>
      <w:r>
        <w:rPr>
          <w:rFonts w:hint="eastAsia" w:hAnsi="黑体"/>
          <w:color w:val="auto"/>
          <w:kern w:val="2"/>
          <w:sz w:val="32"/>
          <w:szCs w:val="32"/>
        </w:rPr>
        <w:t>万元、取暖费</w:t>
      </w:r>
      <w:r>
        <w:rPr>
          <w:rFonts w:hint="eastAsia" w:hAnsi="黑体"/>
          <w:color w:val="auto"/>
          <w:kern w:val="2"/>
          <w:sz w:val="32"/>
          <w:szCs w:val="32"/>
          <w:lang w:val="en-US" w:eastAsia="zh-CN"/>
        </w:rPr>
        <w:t>0.52</w:t>
      </w:r>
      <w:r>
        <w:rPr>
          <w:rFonts w:hint="eastAsia" w:hAnsi="黑体"/>
          <w:color w:val="auto"/>
          <w:kern w:val="2"/>
          <w:sz w:val="32"/>
          <w:szCs w:val="32"/>
        </w:rPr>
        <w:t>万元、</w:t>
      </w:r>
      <w:r>
        <w:rPr>
          <w:rFonts w:hint="eastAsia" w:hAnsi="黑体"/>
          <w:color w:val="auto"/>
          <w:kern w:val="2"/>
          <w:sz w:val="32"/>
          <w:szCs w:val="32"/>
          <w:lang w:eastAsia="zh-CN"/>
        </w:rPr>
        <w:t>其他商品和服务支出</w:t>
      </w:r>
      <w:r>
        <w:rPr>
          <w:rFonts w:hint="eastAsia" w:hAnsi="黑体"/>
          <w:color w:val="auto"/>
          <w:kern w:val="2"/>
          <w:sz w:val="32"/>
          <w:szCs w:val="32"/>
          <w:lang w:val="en-US" w:eastAsia="zh-CN"/>
        </w:rPr>
        <w:t>5.4</w:t>
      </w:r>
      <w:r>
        <w:rPr>
          <w:rFonts w:hint="eastAsia" w:hAnsi="黑体"/>
          <w:color w:val="auto"/>
          <w:kern w:val="2"/>
          <w:sz w:val="32"/>
          <w:szCs w:val="32"/>
        </w:rPr>
        <w:t>万元、退休人员公用经费费0.0</w:t>
      </w:r>
      <w:r>
        <w:rPr>
          <w:rFonts w:hint="eastAsia" w:hAnsi="黑体"/>
          <w:color w:val="auto"/>
          <w:kern w:val="2"/>
          <w:sz w:val="32"/>
          <w:szCs w:val="32"/>
          <w:lang w:val="en-US" w:eastAsia="zh-CN"/>
        </w:rPr>
        <w:t>5</w:t>
      </w:r>
      <w:r>
        <w:rPr>
          <w:rFonts w:hint="eastAsia" w:hAnsi="黑体"/>
          <w:color w:val="auto"/>
          <w:kern w:val="2"/>
          <w:sz w:val="32"/>
          <w:szCs w:val="32"/>
        </w:rPr>
        <w:t>万元、公务接待费</w:t>
      </w:r>
      <w:r>
        <w:rPr>
          <w:rFonts w:hint="eastAsia" w:hAnsi="黑体"/>
          <w:color w:val="auto"/>
          <w:kern w:val="2"/>
          <w:sz w:val="32"/>
          <w:szCs w:val="32"/>
          <w:lang w:val="en-US" w:eastAsia="zh-CN"/>
        </w:rPr>
        <w:t>0.8</w:t>
      </w:r>
      <w:r>
        <w:rPr>
          <w:rFonts w:hint="eastAsia" w:hAnsi="黑体"/>
          <w:color w:val="auto"/>
          <w:kern w:val="2"/>
          <w:sz w:val="32"/>
          <w:szCs w:val="32"/>
        </w:rPr>
        <w:t>万元、水费0.</w:t>
      </w:r>
      <w:r>
        <w:rPr>
          <w:rFonts w:hint="eastAsia" w:hAnsi="黑体"/>
          <w:color w:val="auto"/>
          <w:kern w:val="2"/>
          <w:sz w:val="32"/>
          <w:szCs w:val="32"/>
          <w:lang w:val="en-US" w:eastAsia="zh-CN"/>
        </w:rPr>
        <w:t>39</w:t>
      </w:r>
      <w:r>
        <w:rPr>
          <w:rFonts w:hint="eastAsia" w:hAnsi="黑体"/>
          <w:color w:val="auto"/>
          <w:kern w:val="2"/>
          <w:sz w:val="32"/>
          <w:szCs w:val="32"/>
        </w:rPr>
        <w:t>万元、体检费</w:t>
      </w:r>
      <w:r>
        <w:rPr>
          <w:rFonts w:hint="eastAsia" w:hAnsi="黑体"/>
          <w:color w:val="auto"/>
          <w:kern w:val="2"/>
          <w:sz w:val="32"/>
          <w:szCs w:val="32"/>
          <w:lang w:val="en-US" w:eastAsia="zh-CN"/>
        </w:rPr>
        <w:t>2.01</w:t>
      </w:r>
      <w:r>
        <w:rPr>
          <w:rFonts w:hint="eastAsia" w:hAnsi="黑体"/>
          <w:color w:val="auto"/>
          <w:kern w:val="2"/>
          <w:sz w:val="32"/>
          <w:szCs w:val="32"/>
        </w:rPr>
        <w:t>万元、邮电费</w:t>
      </w:r>
      <w:r>
        <w:rPr>
          <w:rFonts w:hint="eastAsia" w:hAnsi="黑体"/>
          <w:color w:val="auto"/>
          <w:kern w:val="2"/>
          <w:sz w:val="32"/>
          <w:szCs w:val="32"/>
          <w:lang w:val="en-US" w:eastAsia="zh-CN"/>
        </w:rPr>
        <w:t>4.46</w:t>
      </w:r>
      <w:r>
        <w:rPr>
          <w:rFonts w:hint="eastAsia" w:hAnsi="黑体"/>
          <w:color w:val="auto"/>
          <w:kern w:val="2"/>
          <w:sz w:val="32"/>
          <w:szCs w:val="32"/>
        </w:rPr>
        <w:t>万元、差旅费</w:t>
      </w:r>
      <w:r>
        <w:rPr>
          <w:rFonts w:hint="eastAsia" w:hAnsi="黑体"/>
          <w:color w:val="auto"/>
          <w:kern w:val="2"/>
          <w:sz w:val="32"/>
          <w:szCs w:val="32"/>
          <w:lang w:val="en-US" w:eastAsia="zh-CN"/>
        </w:rPr>
        <w:t>11.5</w:t>
      </w:r>
      <w:r>
        <w:rPr>
          <w:rFonts w:hint="eastAsia" w:hAnsi="黑体"/>
          <w:color w:val="auto"/>
          <w:kern w:val="2"/>
          <w:sz w:val="32"/>
          <w:szCs w:val="32"/>
        </w:rPr>
        <w:t>万元、维修（护）费</w:t>
      </w:r>
      <w:r>
        <w:rPr>
          <w:rFonts w:hint="eastAsia" w:hAnsi="黑体"/>
          <w:color w:val="auto"/>
          <w:kern w:val="2"/>
          <w:sz w:val="32"/>
          <w:szCs w:val="32"/>
          <w:lang w:val="en-US" w:eastAsia="zh-CN"/>
        </w:rPr>
        <w:t>1.25</w:t>
      </w:r>
      <w:r>
        <w:rPr>
          <w:rFonts w:hint="eastAsia" w:hAnsi="黑体"/>
          <w:color w:val="auto"/>
          <w:kern w:val="2"/>
          <w:sz w:val="32"/>
          <w:szCs w:val="32"/>
        </w:rPr>
        <w:t>万元、党组织活动经费</w:t>
      </w:r>
      <w:r>
        <w:rPr>
          <w:rFonts w:hint="eastAsia" w:hAnsi="黑体"/>
          <w:color w:val="auto"/>
          <w:kern w:val="2"/>
          <w:sz w:val="32"/>
          <w:szCs w:val="32"/>
          <w:lang w:val="en-US" w:eastAsia="zh-CN"/>
        </w:rPr>
        <w:t>3.41</w:t>
      </w:r>
      <w:r>
        <w:rPr>
          <w:rFonts w:hint="eastAsia" w:hAnsi="黑体"/>
          <w:color w:val="auto"/>
          <w:kern w:val="2"/>
          <w:sz w:val="32"/>
          <w:szCs w:val="32"/>
        </w:rPr>
        <w:t>万元、培训费</w:t>
      </w:r>
      <w:r>
        <w:rPr>
          <w:rFonts w:hint="eastAsia" w:hAnsi="黑体"/>
          <w:color w:val="auto"/>
          <w:kern w:val="2"/>
          <w:sz w:val="32"/>
          <w:szCs w:val="32"/>
          <w:lang w:val="en-US" w:eastAsia="zh-CN"/>
        </w:rPr>
        <w:t>2.3</w:t>
      </w:r>
      <w:r>
        <w:rPr>
          <w:rFonts w:hint="eastAsia" w:hAnsi="黑体"/>
          <w:color w:val="auto"/>
          <w:kern w:val="2"/>
          <w:sz w:val="32"/>
          <w:szCs w:val="32"/>
        </w:rPr>
        <w:t>万元、福利费</w:t>
      </w:r>
      <w:r>
        <w:rPr>
          <w:rFonts w:hint="eastAsia" w:hAnsi="黑体"/>
          <w:color w:val="auto"/>
          <w:kern w:val="2"/>
          <w:sz w:val="32"/>
          <w:szCs w:val="32"/>
          <w:lang w:val="en-US" w:eastAsia="zh-CN"/>
        </w:rPr>
        <w:t>8</w:t>
      </w:r>
      <w:r>
        <w:rPr>
          <w:rFonts w:hint="eastAsia" w:hAnsi="黑体"/>
          <w:color w:val="auto"/>
          <w:kern w:val="2"/>
          <w:sz w:val="32"/>
          <w:szCs w:val="32"/>
        </w:rPr>
        <w:t>万元、公务用车运行维护费11.52万元。</w:t>
      </w:r>
    </w:p>
    <w:p w14:paraId="12E71CF6">
      <w:pPr>
        <w:pStyle w:val="17"/>
        <w:spacing w:before="0" w:line="360" w:lineRule="auto"/>
        <w:ind w:firstLine="320" w:firstLineChars="100"/>
        <w:rPr>
          <w:rFonts w:ascii="??" w:hAnsi="??" w:eastAsia="宋体" w:cs="Times New Roman"/>
          <w:color w:val="auto"/>
          <w:sz w:val="16"/>
          <w:szCs w:val="16"/>
        </w:rPr>
      </w:pPr>
      <w:r>
        <w:rPr>
          <w:rFonts w:hint="eastAsia" w:ascii="黑体" w:hAnsi="黑体" w:eastAsia="黑体" w:cs="黑体"/>
          <w:color w:val="auto"/>
          <w:kern w:val="2"/>
          <w:sz w:val="32"/>
          <w:szCs w:val="32"/>
        </w:rPr>
        <w:t>七、</w:t>
      </w:r>
      <w:r>
        <w:rPr>
          <w:rFonts w:ascii="黑体" w:hAnsi="黑体" w:eastAsia="黑体" w:cs="Times New Roman"/>
          <w:color w:val="auto"/>
          <w:kern w:val="2"/>
          <w:sz w:val="32"/>
          <w:szCs w:val="32"/>
        </w:rPr>
        <w:t>“</w:t>
      </w:r>
      <w:r>
        <w:rPr>
          <w:rFonts w:hint="eastAsia" w:ascii="黑体" w:hAnsi="黑体" w:eastAsia="黑体" w:cs="黑体"/>
          <w:color w:val="auto"/>
          <w:kern w:val="2"/>
          <w:sz w:val="32"/>
          <w:szCs w:val="32"/>
        </w:rPr>
        <w:t>三公</w:t>
      </w:r>
      <w:r>
        <w:rPr>
          <w:rFonts w:ascii="黑体" w:hAnsi="黑体" w:eastAsia="黑体" w:cs="Times New Roman"/>
          <w:color w:val="auto"/>
          <w:kern w:val="2"/>
          <w:sz w:val="32"/>
          <w:szCs w:val="32"/>
        </w:rPr>
        <w:t>”</w:t>
      </w:r>
      <w:r>
        <w:rPr>
          <w:rFonts w:hint="eastAsia" w:ascii="黑体" w:hAnsi="黑体" w:eastAsia="黑体" w:cs="黑体"/>
          <w:color w:val="auto"/>
          <w:kern w:val="2"/>
          <w:sz w:val="32"/>
          <w:szCs w:val="32"/>
        </w:rPr>
        <w:t>经费财政拨款预算安排情况说明</w:t>
      </w:r>
    </w:p>
    <w:p w14:paraId="5D6A2AE4">
      <w:pPr>
        <w:pStyle w:val="17"/>
        <w:spacing w:before="0" w:line="360" w:lineRule="auto"/>
        <w:ind w:firstLine="640" w:firstLineChars="200"/>
        <w:rPr>
          <w:rFonts w:hAnsi="黑体"/>
          <w:color w:val="auto"/>
          <w:kern w:val="2"/>
          <w:sz w:val="32"/>
          <w:szCs w:val="32"/>
        </w:rPr>
      </w:pPr>
      <w:r>
        <w:rPr>
          <w:rFonts w:hint="eastAsia" w:hAnsi="黑体"/>
          <w:color w:val="auto"/>
          <w:kern w:val="2"/>
          <w:sz w:val="32"/>
          <w:szCs w:val="32"/>
        </w:rPr>
        <w:t>阿坝州</w:t>
      </w:r>
      <w:r>
        <w:rPr>
          <w:rFonts w:hint="eastAsia" w:hAnsi="黑体"/>
          <w:color w:val="auto"/>
          <w:kern w:val="2"/>
          <w:sz w:val="32"/>
          <w:szCs w:val="32"/>
          <w:lang w:eastAsia="zh-CN"/>
        </w:rPr>
        <w:t>松潘</w:t>
      </w:r>
      <w:r>
        <w:rPr>
          <w:rFonts w:hint="eastAsia" w:hAnsi="黑体"/>
          <w:color w:val="auto"/>
          <w:kern w:val="2"/>
          <w:sz w:val="32"/>
          <w:szCs w:val="32"/>
        </w:rPr>
        <w:t>生态环境局</w:t>
      </w:r>
      <w:r>
        <w:rPr>
          <w:rFonts w:hAnsi="黑体"/>
          <w:color w:val="auto"/>
          <w:kern w:val="2"/>
          <w:sz w:val="32"/>
          <w:szCs w:val="32"/>
        </w:rPr>
        <w:t>202</w:t>
      </w:r>
      <w:r>
        <w:rPr>
          <w:rFonts w:hint="eastAsia" w:hAnsi="黑体"/>
          <w:color w:val="auto"/>
          <w:kern w:val="2"/>
          <w:sz w:val="32"/>
          <w:szCs w:val="32"/>
          <w:lang w:val="en-US" w:eastAsia="zh-CN"/>
        </w:rPr>
        <w:t>5</w:t>
      </w:r>
      <w:r>
        <w:rPr>
          <w:rFonts w:hAnsi="黑体"/>
          <w:color w:val="auto"/>
          <w:kern w:val="2"/>
          <w:sz w:val="32"/>
          <w:szCs w:val="32"/>
        </w:rPr>
        <w:t>年</w:t>
      </w:r>
      <w:r>
        <w:rPr>
          <w:rFonts w:hAnsi="黑体" w:cs="Times New Roman"/>
          <w:color w:val="auto"/>
          <w:kern w:val="2"/>
          <w:sz w:val="32"/>
          <w:szCs w:val="32"/>
        </w:rPr>
        <w:t>“</w:t>
      </w:r>
      <w:r>
        <w:rPr>
          <w:rFonts w:hint="eastAsia" w:hAnsi="黑体"/>
          <w:color w:val="auto"/>
          <w:kern w:val="2"/>
          <w:sz w:val="32"/>
          <w:szCs w:val="32"/>
        </w:rPr>
        <w:t>三公</w:t>
      </w:r>
      <w:r>
        <w:rPr>
          <w:rFonts w:hAnsi="黑体" w:cs="Times New Roman"/>
          <w:color w:val="auto"/>
          <w:kern w:val="2"/>
          <w:sz w:val="32"/>
          <w:szCs w:val="32"/>
        </w:rPr>
        <w:t>”</w:t>
      </w:r>
      <w:r>
        <w:rPr>
          <w:rFonts w:hint="eastAsia" w:hAnsi="黑体"/>
          <w:color w:val="auto"/>
          <w:kern w:val="2"/>
          <w:sz w:val="32"/>
          <w:szCs w:val="32"/>
        </w:rPr>
        <w:t>经费财政拨款预算数</w:t>
      </w:r>
      <w:r>
        <w:rPr>
          <w:rFonts w:hint="eastAsia" w:hAnsi="黑体"/>
          <w:color w:val="auto"/>
          <w:kern w:val="2"/>
          <w:sz w:val="32"/>
          <w:szCs w:val="32"/>
          <w:lang w:val="en-US" w:eastAsia="zh-CN"/>
        </w:rPr>
        <w:t>23.02</w:t>
      </w:r>
      <w:r>
        <w:rPr>
          <w:rFonts w:hint="eastAsia" w:hAnsi="黑体"/>
          <w:color w:val="auto"/>
          <w:kern w:val="2"/>
          <w:sz w:val="32"/>
          <w:szCs w:val="32"/>
        </w:rPr>
        <w:t>万元，其中：因公出国（境）经费0万元，公务接待费0.</w:t>
      </w:r>
      <w:r>
        <w:rPr>
          <w:rFonts w:hint="eastAsia" w:hAnsi="黑体"/>
          <w:color w:val="auto"/>
          <w:kern w:val="2"/>
          <w:sz w:val="32"/>
          <w:szCs w:val="32"/>
          <w:lang w:val="en-US" w:eastAsia="zh-CN"/>
        </w:rPr>
        <w:t>8</w:t>
      </w:r>
      <w:r>
        <w:rPr>
          <w:rFonts w:hint="eastAsia" w:hAnsi="黑体"/>
          <w:color w:val="auto"/>
          <w:kern w:val="2"/>
          <w:sz w:val="32"/>
          <w:szCs w:val="32"/>
        </w:rPr>
        <w:t>万元，公务用车购置及运行维护费</w:t>
      </w:r>
      <w:r>
        <w:rPr>
          <w:rFonts w:hint="eastAsia" w:hAnsi="黑体"/>
          <w:color w:val="auto"/>
          <w:kern w:val="2"/>
          <w:sz w:val="32"/>
          <w:szCs w:val="32"/>
          <w:lang w:val="en-US" w:eastAsia="zh-CN"/>
        </w:rPr>
        <w:t>22.22</w:t>
      </w:r>
      <w:r>
        <w:rPr>
          <w:rFonts w:hint="eastAsia" w:hAnsi="黑体"/>
          <w:color w:val="auto"/>
          <w:kern w:val="2"/>
          <w:sz w:val="32"/>
          <w:szCs w:val="32"/>
        </w:rPr>
        <w:t>万元（一）</w:t>
      </w:r>
      <w:r>
        <w:rPr>
          <w:rFonts w:hAnsi="黑体"/>
          <w:color w:val="auto"/>
          <w:kern w:val="2"/>
          <w:sz w:val="32"/>
          <w:szCs w:val="32"/>
        </w:rPr>
        <w:t>202</w:t>
      </w:r>
      <w:r>
        <w:rPr>
          <w:rFonts w:hint="eastAsia" w:hAnsi="黑体"/>
          <w:color w:val="auto"/>
          <w:kern w:val="2"/>
          <w:sz w:val="32"/>
          <w:szCs w:val="32"/>
          <w:lang w:val="en-US" w:eastAsia="zh-CN"/>
        </w:rPr>
        <w:t>5</w:t>
      </w:r>
      <w:r>
        <w:rPr>
          <w:rFonts w:hAnsi="黑体"/>
          <w:color w:val="auto"/>
          <w:kern w:val="2"/>
          <w:sz w:val="32"/>
          <w:szCs w:val="32"/>
        </w:rPr>
        <w:t>年</w:t>
      </w:r>
      <w:r>
        <w:rPr>
          <w:rFonts w:hint="eastAsia" w:hAnsi="黑体"/>
          <w:color w:val="auto"/>
          <w:kern w:val="2"/>
          <w:sz w:val="32"/>
          <w:szCs w:val="32"/>
        </w:rPr>
        <w:t>因公出国（境）经费0万元。较</w:t>
      </w:r>
      <w:r>
        <w:rPr>
          <w:rFonts w:hAnsi="黑体"/>
          <w:color w:val="auto"/>
          <w:kern w:val="2"/>
          <w:sz w:val="32"/>
          <w:szCs w:val="32"/>
        </w:rPr>
        <w:t>202</w:t>
      </w:r>
      <w:r>
        <w:rPr>
          <w:rFonts w:hint="eastAsia" w:hAnsi="黑体"/>
          <w:color w:val="auto"/>
          <w:kern w:val="2"/>
          <w:sz w:val="32"/>
          <w:szCs w:val="32"/>
          <w:lang w:val="en-US" w:eastAsia="zh-CN"/>
        </w:rPr>
        <w:t>4</w:t>
      </w:r>
      <w:r>
        <w:rPr>
          <w:rFonts w:hAnsi="黑体"/>
          <w:color w:val="auto"/>
          <w:kern w:val="2"/>
          <w:sz w:val="32"/>
          <w:szCs w:val="32"/>
        </w:rPr>
        <w:t>年</w:t>
      </w:r>
      <w:r>
        <w:rPr>
          <w:rFonts w:hint="eastAsia" w:hAnsi="黑体"/>
          <w:color w:val="auto"/>
          <w:kern w:val="2"/>
          <w:sz w:val="32"/>
          <w:szCs w:val="32"/>
        </w:rPr>
        <w:t>预算经费0万元增长0</w:t>
      </w:r>
      <w:r>
        <w:rPr>
          <w:rFonts w:hAnsi="黑体"/>
          <w:color w:val="auto"/>
          <w:kern w:val="2"/>
          <w:sz w:val="32"/>
          <w:szCs w:val="32"/>
        </w:rPr>
        <w:t>%</w:t>
      </w:r>
      <w:r>
        <w:rPr>
          <w:rFonts w:hint="eastAsia" w:hAnsi="黑体"/>
          <w:color w:val="auto"/>
          <w:kern w:val="2"/>
          <w:sz w:val="32"/>
          <w:szCs w:val="32"/>
        </w:rPr>
        <w:t>.</w:t>
      </w:r>
    </w:p>
    <w:p w14:paraId="7B2BA4AA">
      <w:pPr>
        <w:pStyle w:val="17"/>
        <w:spacing w:before="0" w:line="360" w:lineRule="auto"/>
        <w:ind w:firstLine="640" w:firstLineChars="200"/>
        <w:rPr>
          <w:rFonts w:hint="eastAsia" w:hAnsi="黑体"/>
          <w:color w:val="auto"/>
          <w:kern w:val="2"/>
          <w:sz w:val="32"/>
          <w:szCs w:val="32"/>
          <w:lang w:val="en-US" w:eastAsia="zh-CN"/>
        </w:rPr>
      </w:pPr>
      <w:r>
        <w:rPr>
          <w:rFonts w:hint="eastAsia" w:hAnsi="黑体"/>
          <w:color w:val="auto"/>
          <w:kern w:val="2"/>
          <w:sz w:val="32"/>
          <w:szCs w:val="32"/>
        </w:rPr>
        <w:t>（二）</w:t>
      </w:r>
      <w:r>
        <w:rPr>
          <w:rFonts w:hAnsi="黑体"/>
          <w:color w:val="auto"/>
          <w:kern w:val="2"/>
          <w:sz w:val="32"/>
          <w:szCs w:val="32"/>
        </w:rPr>
        <w:t>202</w:t>
      </w:r>
      <w:r>
        <w:rPr>
          <w:rFonts w:hint="eastAsia" w:hAnsi="黑体"/>
          <w:color w:val="auto"/>
          <w:kern w:val="2"/>
          <w:sz w:val="32"/>
          <w:szCs w:val="32"/>
          <w:lang w:val="en-US" w:eastAsia="zh-CN"/>
        </w:rPr>
        <w:t>5</w:t>
      </w:r>
      <w:r>
        <w:rPr>
          <w:rFonts w:hAnsi="黑体"/>
          <w:color w:val="auto"/>
          <w:kern w:val="2"/>
          <w:sz w:val="32"/>
          <w:szCs w:val="32"/>
        </w:rPr>
        <w:t>年</w:t>
      </w:r>
      <w:r>
        <w:rPr>
          <w:rFonts w:hint="eastAsia" w:hAnsi="黑体"/>
          <w:color w:val="auto"/>
          <w:kern w:val="2"/>
          <w:sz w:val="32"/>
          <w:szCs w:val="32"/>
        </w:rPr>
        <w:t>公务接待经费0</w:t>
      </w:r>
      <w:r>
        <w:rPr>
          <w:rFonts w:hint="eastAsia" w:hAnsi="黑体"/>
          <w:color w:val="auto"/>
          <w:kern w:val="2"/>
          <w:sz w:val="32"/>
          <w:szCs w:val="32"/>
          <w:lang w:val="en-US" w:eastAsia="zh-CN"/>
        </w:rPr>
        <w:t>.8</w:t>
      </w:r>
      <w:r>
        <w:rPr>
          <w:rFonts w:hint="eastAsia" w:hAnsi="黑体"/>
          <w:color w:val="auto"/>
          <w:kern w:val="2"/>
          <w:sz w:val="32"/>
          <w:szCs w:val="32"/>
        </w:rPr>
        <w:t>万元。较</w:t>
      </w:r>
      <w:r>
        <w:rPr>
          <w:rFonts w:hAnsi="黑体"/>
          <w:color w:val="auto"/>
          <w:kern w:val="2"/>
          <w:sz w:val="32"/>
          <w:szCs w:val="32"/>
        </w:rPr>
        <w:t>202</w:t>
      </w:r>
      <w:r>
        <w:rPr>
          <w:rFonts w:hint="eastAsia" w:hAnsi="黑体"/>
          <w:color w:val="auto"/>
          <w:kern w:val="2"/>
          <w:sz w:val="32"/>
          <w:szCs w:val="32"/>
          <w:lang w:val="en-US" w:eastAsia="zh-CN"/>
        </w:rPr>
        <w:t>4</w:t>
      </w:r>
      <w:r>
        <w:rPr>
          <w:rFonts w:hAnsi="黑体"/>
          <w:color w:val="auto"/>
          <w:kern w:val="2"/>
          <w:sz w:val="32"/>
          <w:szCs w:val="32"/>
        </w:rPr>
        <w:t>年</w:t>
      </w:r>
      <w:r>
        <w:rPr>
          <w:rFonts w:hint="eastAsia" w:hAnsi="黑体"/>
          <w:color w:val="auto"/>
          <w:kern w:val="2"/>
          <w:sz w:val="32"/>
          <w:szCs w:val="32"/>
        </w:rPr>
        <w:t>预算经费0万元</w:t>
      </w:r>
      <w:r>
        <w:rPr>
          <w:rFonts w:hint="eastAsia" w:hAnsi="黑体"/>
          <w:color w:val="auto"/>
          <w:kern w:val="2"/>
          <w:sz w:val="32"/>
          <w:szCs w:val="32"/>
          <w:lang w:val="en-US" w:eastAsia="zh-CN"/>
        </w:rPr>
        <w:t>减少</w:t>
      </w:r>
      <w:r>
        <w:rPr>
          <w:rFonts w:hint="eastAsia" w:hAnsi="黑体"/>
          <w:color w:val="auto"/>
          <w:kern w:val="2"/>
          <w:sz w:val="32"/>
          <w:szCs w:val="32"/>
        </w:rPr>
        <w:t>0.0</w:t>
      </w:r>
      <w:r>
        <w:rPr>
          <w:rFonts w:hint="eastAsia" w:hAnsi="黑体"/>
          <w:color w:val="auto"/>
          <w:kern w:val="2"/>
          <w:sz w:val="32"/>
          <w:szCs w:val="32"/>
          <w:lang w:val="en-US" w:eastAsia="zh-CN"/>
        </w:rPr>
        <w:t>7</w:t>
      </w:r>
      <w:r>
        <w:rPr>
          <w:rFonts w:hint="eastAsia" w:hAnsi="黑体"/>
          <w:color w:val="auto"/>
          <w:kern w:val="2"/>
          <w:sz w:val="32"/>
          <w:szCs w:val="32"/>
        </w:rPr>
        <w:t>万元，主要原因是：</w:t>
      </w:r>
      <w:r>
        <w:rPr>
          <w:rFonts w:hint="eastAsia" w:hAnsi="黑体"/>
          <w:color w:val="auto"/>
          <w:kern w:val="2"/>
          <w:sz w:val="32"/>
          <w:szCs w:val="32"/>
          <w:lang w:val="en-US" w:eastAsia="zh-CN"/>
        </w:rPr>
        <w:t>例行节俭节约</w:t>
      </w:r>
    </w:p>
    <w:p w14:paraId="3BE76F97">
      <w:pPr>
        <w:pStyle w:val="17"/>
        <w:spacing w:before="0" w:line="360" w:lineRule="auto"/>
        <w:ind w:firstLine="640" w:firstLineChars="200"/>
        <w:rPr>
          <w:rFonts w:hint="eastAsia" w:hAnsi="黑体" w:eastAsia="仿宋_GB2312" w:cs="Times New Roman"/>
          <w:color w:val="auto"/>
          <w:kern w:val="2"/>
          <w:sz w:val="32"/>
          <w:szCs w:val="32"/>
          <w:lang w:val="en-US" w:eastAsia="zh-CN"/>
        </w:rPr>
      </w:pPr>
      <w:r>
        <w:rPr>
          <w:rFonts w:hint="eastAsia" w:hAnsi="黑体"/>
          <w:color w:val="auto"/>
          <w:kern w:val="2"/>
          <w:sz w:val="32"/>
          <w:szCs w:val="32"/>
        </w:rPr>
        <w:t>（三）</w:t>
      </w:r>
      <w:r>
        <w:rPr>
          <w:rFonts w:hAnsi="黑体"/>
          <w:color w:val="auto"/>
          <w:kern w:val="2"/>
          <w:sz w:val="32"/>
          <w:szCs w:val="32"/>
        </w:rPr>
        <w:t>202</w:t>
      </w:r>
      <w:r>
        <w:rPr>
          <w:rFonts w:hint="eastAsia" w:hAnsi="黑体"/>
          <w:color w:val="auto"/>
          <w:kern w:val="2"/>
          <w:sz w:val="32"/>
          <w:szCs w:val="32"/>
          <w:lang w:val="en-US" w:eastAsia="zh-CN"/>
        </w:rPr>
        <w:t>5</w:t>
      </w:r>
      <w:r>
        <w:rPr>
          <w:rFonts w:hAnsi="黑体"/>
          <w:color w:val="auto"/>
          <w:kern w:val="2"/>
          <w:sz w:val="32"/>
          <w:szCs w:val="32"/>
        </w:rPr>
        <w:t>年</w:t>
      </w:r>
      <w:r>
        <w:rPr>
          <w:rFonts w:hint="eastAsia" w:hAnsi="黑体"/>
          <w:color w:val="auto"/>
          <w:kern w:val="2"/>
          <w:sz w:val="32"/>
          <w:szCs w:val="32"/>
        </w:rPr>
        <w:t>公务用车购置及运行维护费</w:t>
      </w:r>
      <w:r>
        <w:rPr>
          <w:rFonts w:hint="eastAsia" w:hAnsi="黑体"/>
          <w:color w:val="auto"/>
          <w:kern w:val="2"/>
          <w:sz w:val="32"/>
          <w:szCs w:val="32"/>
          <w:lang w:val="en-US" w:eastAsia="zh-CN"/>
        </w:rPr>
        <w:t>11.52</w:t>
      </w:r>
      <w:r>
        <w:rPr>
          <w:rFonts w:hint="eastAsia" w:hAnsi="黑体"/>
          <w:color w:val="auto"/>
          <w:kern w:val="2"/>
          <w:sz w:val="32"/>
          <w:szCs w:val="32"/>
        </w:rPr>
        <w:t>万元。</w:t>
      </w:r>
      <w:r>
        <w:rPr>
          <w:rFonts w:hint="eastAsia" w:hAnsi="黑体"/>
          <w:color w:val="auto"/>
          <w:kern w:val="2"/>
          <w:sz w:val="32"/>
          <w:szCs w:val="32"/>
          <w:lang w:val="en-US" w:eastAsia="zh-CN"/>
        </w:rPr>
        <w:t>与</w:t>
      </w:r>
      <w:r>
        <w:rPr>
          <w:rFonts w:hAnsi="黑体"/>
          <w:color w:val="auto"/>
          <w:kern w:val="2"/>
          <w:sz w:val="32"/>
          <w:szCs w:val="32"/>
        </w:rPr>
        <w:t>202</w:t>
      </w:r>
      <w:r>
        <w:rPr>
          <w:rFonts w:hint="eastAsia" w:hAnsi="黑体"/>
          <w:color w:val="auto"/>
          <w:kern w:val="2"/>
          <w:sz w:val="32"/>
          <w:szCs w:val="32"/>
          <w:lang w:val="en-US" w:eastAsia="zh-CN"/>
        </w:rPr>
        <w:t>4</w:t>
      </w:r>
      <w:r>
        <w:rPr>
          <w:rFonts w:hAnsi="黑体"/>
          <w:color w:val="auto"/>
          <w:kern w:val="2"/>
          <w:sz w:val="32"/>
          <w:szCs w:val="32"/>
        </w:rPr>
        <w:t>年</w:t>
      </w:r>
      <w:r>
        <w:rPr>
          <w:rFonts w:hint="eastAsia" w:hAnsi="黑体"/>
          <w:color w:val="auto"/>
          <w:kern w:val="2"/>
          <w:sz w:val="32"/>
          <w:szCs w:val="32"/>
        </w:rPr>
        <w:t>预算经费</w:t>
      </w:r>
      <w:r>
        <w:rPr>
          <w:rFonts w:hint="eastAsia" w:hAnsi="黑体"/>
          <w:color w:val="auto"/>
          <w:kern w:val="2"/>
          <w:sz w:val="32"/>
          <w:szCs w:val="32"/>
          <w:lang w:val="en-US" w:eastAsia="zh-CN"/>
        </w:rPr>
        <w:t>持平。</w:t>
      </w:r>
    </w:p>
    <w:p w14:paraId="4C176260">
      <w:pPr>
        <w:pStyle w:val="17"/>
        <w:spacing w:before="0" w:line="360" w:lineRule="auto"/>
        <w:ind w:firstLine="320" w:firstLineChars="200"/>
        <w:rPr>
          <w:rFonts w:ascii="黑体" w:hAnsi="黑体" w:eastAsia="黑体" w:cs="黑体"/>
          <w:color w:val="auto"/>
          <w:kern w:val="2"/>
          <w:sz w:val="32"/>
          <w:szCs w:val="32"/>
        </w:rPr>
      </w:pPr>
      <w:r>
        <w:rPr>
          <w:rFonts w:hint="eastAsia" w:ascii="??" w:hAnsi="??" w:eastAsia="宋体" w:cs="宋体"/>
          <w:color w:val="auto"/>
          <w:sz w:val="16"/>
          <w:szCs w:val="16"/>
        </w:rPr>
        <w:t>　</w:t>
      </w:r>
      <w:r>
        <w:rPr>
          <w:rFonts w:hint="eastAsia" w:ascii="黑体" w:hAnsi="黑体" w:eastAsia="黑体" w:cs="黑体"/>
          <w:color w:val="auto"/>
          <w:kern w:val="2"/>
          <w:sz w:val="32"/>
          <w:szCs w:val="32"/>
        </w:rPr>
        <w:t>八、政府性基金预算支出情况说明</w:t>
      </w:r>
    </w:p>
    <w:p w14:paraId="5DA8354A">
      <w:pPr>
        <w:pStyle w:val="17"/>
        <w:spacing w:before="0" w:line="360" w:lineRule="auto"/>
        <w:ind w:firstLine="320" w:firstLineChars="200"/>
        <w:rPr>
          <w:rFonts w:hAnsi="黑体"/>
          <w:color w:val="auto"/>
          <w:kern w:val="2"/>
          <w:sz w:val="32"/>
          <w:szCs w:val="32"/>
        </w:rPr>
      </w:pPr>
      <w:r>
        <w:rPr>
          <w:rFonts w:hint="eastAsia" w:ascii="??" w:hAnsi="??" w:eastAsia="宋体" w:cs="宋体"/>
          <w:color w:val="auto"/>
          <w:sz w:val="16"/>
          <w:szCs w:val="16"/>
        </w:rPr>
        <w:t>　　</w:t>
      </w:r>
      <w:r>
        <w:rPr>
          <w:rFonts w:hint="eastAsia" w:hAnsi="黑体"/>
          <w:color w:val="auto"/>
          <w:kern w:val="2"/>
          <w:sz w:val="32"/>
          <w:szCs w:val="32"/>
        </w:rPr>
        <w:t>阿坝州</w:t>
      </w:r>
      <w:r>
        <w:rPr>
          <w:rFonts w:hint="eastAsia" w:hAnsi="黑体"/>
          <w:color w:val="auto"/>
          <w:kern w:val="2"/>
          <w:sz w:val="32"/>
          <w:szCs w:val="32"/>
          <w:lang w:eastAsia="zh-CN"/>
        </w:rPr>
        <w:t>松潘</w:t>
      </w:r>
      <w:r>
        <w:rPr>
          <w:rFonts w:hint="eastAsia" w:hAnsi="黑体"/>
          <w:color w:val="auto"/>
          <w:kern w:val="2"/>
          <w:sz w:val="32"/>
          <w:szCs w:val="32"/>
        </w:rPr>
        <w:t>态环境局</w:t>
      </w:r>
      <w:r>
        <w:rPr>
          <w:rFonts w:hAnsi="黑体"/>
          <w:color w:val="auto"/>
          <w:kern w:val="2"/>
          <w:sz w:val="32"/>
          <w:szCs w:val="32"/>
        </w:rPr>
        <w:t>202</w:t>
      </w:r>
      <w:r>
        <w:rPr>
          <w:rFonts w:hint="eastAsia" w:hAnsi="黑体"/>
          <w:color w:val="auto"/>
          <w:kern w:val="2"/>
          <w:sz w:val="32"/>
          <w:szCs w:val="32"/>
          <w:lang w:val="en-US" w:eastAsia="zh-CN"/>
        </w:rPr>
        <w:t>5</w:t>
      </w:r>
      <w:r>
        <w:rPr>
          <w:rFonts w:hAnsi="黑体"/>
          <w:color w:val="auto"/>
          <w:kern w:val="2"/>
          <w:sz w:val="32"/>
          <w:szCs w:val="32"/>
        </w:rPr>
        <w:t>年</w:t>
      </w:r>
      <w:r>
        <w:rPr>
          <w:rFonts w:hint="eastAsia" w:hAnsi="黑体"/>
          <w:color w:val="auto"/>
          <w:kern w:val="2"/>
          <w:sz w:val="32"/>
          <w:szCs w:val="32"/>
        </w:rPr>
        <w:t>政府性基金预算拨款安排的支出0万元，与202</w:t>
      </w:r>
      <w:r>
        <w:rPr>
          <w:rFonts w:hint="eastAsia" w:hAnsi="黑体"/>
          <w:color w:val="auto"/>
          <w:kern w:val="2"/>
          <w:sz w:val="32"/>
          <w:szCs w:val="32"/>
          <w:lang w:val="en-US" w:eastAsia="zh-CN"/>
        </w:rPr>
        <w:t>4</w:t>
      </w:r>
      <w:r>
        <w:rPr>
          <w:rFonts w:hint="eastAsia" w:hAnsi="黑体"/>
          <w:color w:val="auto"/>
          <w:kern w:val="2"/>
          <w:sz w:val="32"/>
          <w:szCs w:val="32"/>
        </w:rPr>
        <w:t>年相比持平。</w:t>
      </w:r>
    </w:p>
    <w:p w14:paraId="78FACD8B">
      <w:pPr>
        <w:pStyle w:val="17"/>
        <w:spacing w:before="0" w:line="360" w:lineRule="auto"/>
        <w:ind w:firstLine="321" w:firstLineChars="200"/>
        <w:rPr>
          <w:rFonts w:ascii="黑体" w:hAnsi="黑体" w:eastAsia="黑体" w:cs="黑体"/>
          <w:color w:val="auto"/>
          <w:kern w:val="2"/>
          <w:sz w:val="32"/>
          <w:szCs w:val="32"/>
        </w:rPr>
      </w:pPr>
      <w:r>
        <w:rPr>
          <w:rFonts w:hint="eastAsia" w:ascii="??" w:hAnsi="??" w:eastAsia="宋体" w:cs="宋体"/>
          <w:b/>
          <w:bCs/>
          <w:color w:val="auto"/>
          <w:sz w:val="16"/>
          <w:szCs w:val="16"/>
        </w:rPr>
        <w:t>　</w:t>
      </w:r>
      <w:r>
        <w:rPr>
          <w:rFonts w:hint="eastAsia" w:ascii="黑体" w:hAnsi="黑体" w:eastAsia="黑体" w:cs="黑体"/>
          <w:color w:val="auto"/>
          <w:kern w:val="2"/>
          <w:sz w:val="32"/>
          <w:szCs w:val="32"/>
        </w:rPr>
        <w:t>九、其他重要事项的情况说明</w:t>
      </w:r>
    </w:p>
    <w:p w14:paraId="51B529D9">
      <w:pPr>
        <w:pStyle w:val="17"/>
        <w:spacing w:before="0" w:line="360" w:lineRule="auto"/>
        <w:ind w:firstLine="320" w:firstLineChars="200"/>
        <w:rPr>
          <w:rFonts w:ascii="楷体_GB2312" w:hAnsi="黑体" w:eastAsia="楷体_GB2312" w:cs="楷体_GB2312"/>
          <w:b/>
          <w:bCs/>
          <w:color w:val="auto"/>
          <w:kern w:val="2"/>
          <w:sz w:val="32"/>
          <w:szCs w:val="32"/>
        </w:rPr>
      </w:pPr>
      <w:r>
        <w:rPr>
          <w:rFonts w:hint="eastAsia" w:ascii="??" w:hAnsi="??" w:eastAsia="宋体" w:cs="宋体"/>
          <w:color w:val="auto"/>
          <w:sz w:val="16"/>
          <w:szCs w:val="16"/>
        </w:rPr>
        <w:t>　　</w:t>
      </w:r>
      <w:r>
        <w:rPr>
          <w:rFonts w:hint="eastAsia" w:ascii="楷体_GB2312" w:hAnsi="黑体" w:eastAsia="楷体_GB2312" w:cs="楷体_GB2312"/>
          <w:b/>
          <w:bCs/>
          <w:color w:val="auto"/>
          <w:kern w:val="2"/>
          <w:sz w:val="32"/>
          <w:szCs w:val="32"/>
        </w:rPr>
        <w:t>（一）机关运行经费</w:t>
      </w:r>
    </w:p>
    <w:p w14:paraId="29A26B77">
      <w:pPr>
        <w:pStyle w:val="17"/>
        <w:spacing w:before="0" w:line="360" w:lineRule="auto"/>
        <w:ind w:firstLine="640" w:firstLineChars="200"/>
        <w:rPr>
          <w:rFonts w:hAnsi="黑体"/>
          <w:color w:val="auto"/>
          <w:kern w:val="2"/>
          <w:sz w:val="32"/>
          <w:szCs w:val="32"/>
        </w:rPr>
      </w:pPr>
      <w:r>
        <w:rPr>
          <w:rFonts w:hint="eastAsia" w:hAnsi="黑体"/>
          <w:color w:val="auto"/>
          <w:kern w:val="2"/>
          <w:sz w:val="32"/>
          <w:szCs w:val="32"/>
        </w:rPr>
        <w:t>阿坝州</w:t>
      </w:r>
      <w:r>
        <w:rPr>
          <w:rFonts w:hint="eastAsia" w:hAnsi="黑体"/>
          <w:color w:val="auto"/>
          <w:kern w:val="2"/>
          <w:sz w:val="32"/>
          <w:szCs w:val="32"/>
          <w:lang w:eastAsia="zh-CN"/>
        </w:rPr>
        <w:t>松潘</w:t>
      </w:r>
      <w:r>
        <w:rPr>
          <w:rFonts w:hint="eastAsia" w:hAnsi="黑体"/>
          <w:color w:val="auto"/>
          <w:kern w:val="2"/>
          <w:sz w:val="32"/>
          <w:szCs w:val="32"/>
        </w:rPr>
        <w:t>生态环境局</w:t>
      </w:r>
      <w:r>
        <w:rPr>
          <w:rFonts w:hAnsi="黑体"/>
          <w:color w:val="auto"/>
          <w:kern w:val="2"/>
          <w:sz w:val="32"/>
          <w:szCs w:val="32"/>
        </w:rPr>
        <w:t>202</w:t>
      </w:r>
      <w:r>
        <w:rPr>
          <w:rFonts w:hint="eastAsia" w:hAnsi="黑体"/>
          <w:color w:val="auto"/>
          <w:kern w:val="2"/>
          <w:sz w:val="32"/>
          <w:szCs w:val="32"/>
          <w:lang w:val="en-US" w:eastAsia="zh-CN"/>
        </w:rPr>
        <w:t>5</w:t>
      </w:r>
      <w:r>
        <w:rPr>
          <w:rFonts w:hAnsi="黑体"/>
          <w:color w:val="auto"/>
          <w:kern w:val="2"/>
          <w:sz w:val="32"/>
          <w:szCs w:val="32"/>
        </w:rPr>
        <w:t>年</w:t>
      </w:r>
      <w:r>
        <w:rPr>
          <w:rFonts w:hint="eastAsia" w:hAnsi="黑体"/>
          <w:color w:val="auto"/>
          <w:kern w:val="2"/>
          <w:sz w:val="32"/>
          <w:szCs w:val="32"/>
        </w:rPr>
        <w:t>机关运行经费财政拨款预算为</w:t>
      </w:r>
      <w:r>
        <w:rPr>
          <w:rFonts w:hint="eastAsia" w:hAnsi="黑体"/>
          <w:color w:val="auto"/>
          <w:kern w:val="2"/>
          <w:sz w:val="32"/>
          <w:szCs w:val="32"/>
          <w:lang w:val="en-US" w:eastAsia="zh-CN"/>
        </w:rPr>
        <w:t>72.64</w:t>
      </w:r>
      <w:r>
        <w:rPr>
          <w:rFonts w:hint="eastAsia" w:hAnsi="黑体"/>
          <w:color w:val="auto"/>
          <w:kern w:val="2"/>
          <w:sz w:val="32"/>
          <w:szCs w:val="32"/>
        </w:rPr>
        <w:t>万元，比</w:t>
      </w:r>
      <w:r>
        <w:rPr>
          <w:rFonts w:hAnsi="黑体"/>
          <w:color w:val="auto"/>
          <w:kern w:val="2"/>
          <w:sz w:val="32"/>
          <w:szCs w:val="32"/>
        </w:rPr>
        <w:t>202</w:t>
      </w:r>
      <w:r>
        <w:rPr>
          <w:rFonts w:hint="eastAsia" w:hAnsi="黑体"/>
          <w:color w:val="auto"/>
          <w:kern w:val="2"/>
          <w:sz w:val="32"/>
          <w:szCs w:val="32"/>
          <w:lang w:val="en-US" w:eastAsia="zh-CN"/>
        </w:rPr>
        <w:t>4</w:t>
      </w:r>
      <w:r>
        <w:rPr>
          <w:rFonts w:hAnsi="黑体"/>
          <w:color w:val="auto"/>
          <w:kern w:val="2"/>
          <w:sz w:val="32"/>
          <w:szCs w:val="32"/>
        </w:rPr>
        <w:t>年</w:t>
      </w:r>
      <w:r>
        <w:rPr>
          <w:rFonts w:hint="eastAsia" w:hAnsi="黑体"/>
          <w:color w:val="auto"/>
          <w:kern w:val="2"/>
          <w:sz w:val="32"/>
          <w:szCs w:val="32"/>
        </w:rPr>
        <w:t>预算</w:t>
      </w:r>
      <w:r>
        <w:rPr>
          <w:rFonts w:hint="eastAsia" w:hAnsi="黑体"/>
          <w:color w:val="auto"/>
          <w:kern w:val="2"/>
          <w:sz w:val="32"/>
          <w:szCs w:val="32"/>
          <w:lang w:val="en-US" w:eastAsia="zh-CN"/>
        </w:rPr>
        <w:t>减少0.81</w:t>
      </w:r>
      <w:r>
        <w:rPr>
          <w:rFonts w:hint="eastAsia" w:hAnsi="黑体"/>
          <w:color w:val="auto"/>
          <w:kern w:val="2"/>
          <w:sz w:val="32"/>
          <w:szCs w:val="32"/>
        </w:rPr>
        <w:t>万元。</w:t>
      </w:r>
    </w:p>
    <w:p w14:paraId="22203355">
      <w:pPr>
        <w:pStyle w:val="17"/>
        <w:spacing w:before="0" w:line="360" w:lineRule="auto"/>
        <w:ind w:firstLine="321" w:firstLineChars="100"/>
        <w:rPr>
          <w:rFonts w:ascii="楷体_GB2312" w:hAnsi="黑体" w:eastAsia="楷体_GB2312" w:cs="Times New Roman"/>
          <w:b/>
          <w:bCs/>
          <w:color w:val="auto"/>
          <w:kern w:val="2"/>
          <w:sz w:val="32"/>
          <w:szCs w:val="32"/>
        </w:rPr>
      </w:pPr>
      <w:r>
        <w:rPr>
          <w:rFonts w:hint="eastAsia" w:ascii="楷体_GB2312" w:hAnsi="黑体" w:eastAsia="楷体_GB2312" w:cs="楷体_GB2312"/>
          <w:b/>
          <w:bCs/>
          <w:color w:val="auto"/>
          <w:kern w:val="2"/>
          <w:sz w:val="32"/>
          <w:szCs w:val="32"/>
        </w:rPr>
        <w:t>（二）政府采购情况</w:t>
      </w:r>
    </w:p>
    <w:p w14:paraId="351BEC54">
      <w:pPr>
        <w:pStyle w:val="17"/>
        <w:spacing w:before="0" w:line="360" w:lineRule="auto"/>
        <w:ind w:firstLine="640" w:firstLineChars="200"/>
        <w:rPr>
          <w:rFonts w:hAnsi="黑体" w:cs="Times New Roman"/>
          <w:color w:val="auto"/>
          <w:kern w:val="2"/>
          <w:sz w:val="32"/>
          <w:szCs w:val="32"/>
        </w:rPr>
      </w:pPr>
      <w:r>
        <w:rPr>
          <w:rFonts w:hAnsi="黑体"/>
          <w:color w:val="auto"/>
          <w:kern w:val="2"/>
          <w:sz w:val="32"/>
          <w:szCs w:val="32"/>
        </w:rPr>
        <w:t>202</w:t>
      </w:r>
      <w:r>
        <w:rPr>
          <w:rFonts w:hint="eastAsia" w:hAnsi="黑体"/>
          <w:color w:val="auto"/>
          <w:kern w:val="2"/>
          <w:sz w:val="32"/>
          <w:szCs w:val="32"/>
          <w:lang w:val="en-US" w:eastAsia="zh-CN"/>
        </w:rPr>
        <w:t>5</w:t>
      </w:r>
      <w:r>
        <w:rPr>
          <w:rFonts w:hAnsi="黑体"/>
          <w:color w:val="auto"/>
          <w:kern w:val="2"/>
          <w:sz w:val="32"/>
          <w:szCs w:val="32"/>
        </w:rPr>
        <w:t>年</w:t>
      </w:r>
      <w:r>
        <w:rPr>
          <w:rFonts w:hint="eastAsia" w:hAnsi="黑体"/>
          <w:color w:val="auto"/>
          <w:kern w:val="2"/>
          <w:sz w:val="32"/>
          <w:szCs w:val="32"/>
        </w:rPr>
        <w:t>阿坝州</w:t>
      </w:r>
      <w:r>
        <w:rPr>
          <w:rFonts w:hint="eastAsia" w:hAnsi="黑体"/>
          <w:color w:val="auto"/>
          <w:kern w:val="2"/>
          <w:sz w:val="32"/>
          <w:szCs w:val="32"/>
          <w:lang w:eastAsia="zh-CN"/>
        </w:rPr>
        <w:t>松潘</w:t>
      </w:r>
      <w:r>
        <w:rPr>
          <w:rFonts w:hint="eastAsia" w:hAnsi="黑体"/>
          <w:color w:val="auto"/>
          <w:kern w:val="2"/>
          <w:sz w:val="32"/>
          <w:szCs w:val="32"/>
        </w:rPr>
        <w:t>生态环境局安排政府采购预算0万元。</w:t>
      </w:r>
    </w:p>
    <w:p w14:paraId="6D13E448">
      <w:pPr>
        <w:pStyle w:val="17"/>
        <w:numPr>
          <w:ilvl w:val="0"/>
          <w:numId w:val="2"/>
        </w:numPr>
        <w:spacing w:before="0" w:line="360" w:lineRule="auto"/>
        <w:ind w:firstLine="321" w:firstLineChars="100"/>
        <w:rPr>
          <w:rFonts w:ascii="楷体_GB2312" w:hAnsi="黑体" w:eastAsia="楷体_GB2312" w:cs="楷体_GB2312"/>
          <w:b/>
          <w:bCs/>
          <w:color w:val="auto"/>
          <w:kern w:val="2"/>
          <w:sz w:val="32"/>
          <w:szCs w:val="32"/>
        </w:rPr>
      </w:pPr>
      <w:r>
        <w:rPr>
          <w:rFonts w:hint="eastAsia" w:ascii="楷体_GB2312" w:hAnsi="黑体" w:eastAsia="楷体_GB2312" w:cs="楷体_GB2312"/>
          <w:b/>
          <w:bCs/>
          <w:color w:val="auto"/>
          <w:kern w:val="2"/>
          <w:sz w:val="32"/>
          <w:szCs w:val="32"/>
        </w:rPr>
        <w:t>国有资产占有使用情况</w:t>
      </w:r>
    </w:p>
    <w:p w14:paraId="1427D148">
      <w:pPr>
        <w:pStyle w:val="17"/>
        <w:spacing w:before="0" w:line="360" w:lineRule="auto"/>
        <w:ind w:firstLine="640" w:firstLineChars="200"/>
        <w:rPr>
          <w:rFonts w:hAnsi="黑体"/>
          <w:color w:val="auto"/>
          <w:kern w:val="2"/>
          <w:sz w:val="32"/>
          <w:szCs w:val="32"/>
        </w:rPr>
      </w:pPr>
      <w:r>
        <w:rPr>
          <w:rFonts w:hint="eastAsia" w:hAnsi="黑体"/>
          <w:color w:val="auto"/>
          <w:kern w:val="2"/>
          <w:sz w:val="32"/>
          <w:szCs w:val="32"/>
        </w:rPr>
        <w:t>无。</w:t>
      </w:r>
      <w:bookmarkStart w:id="0" w:name="_GoBack"/>
      <w:bookmarkEnd w:id="0"/>
    </w:p>
    <w:p w14:paraId="0B519BB2">
      <w:pPr>
        <w:pStyle w:val="17"/>
        <w:spacing w:before="0" w:line="360" w:lineRule="auto"/>
        <w:ind w:firstLine="321" w:firstLineChars="100"/>
        <w:rPr>
          <w:rFonts w:ascii="楷体_GB2312" w:hAnsi="黑体" w:eastAsia="楷体_GB2312" w:cs="楷体_GB2312"/>
          <w:b/>
          <w:bCs/>
          <w:color w:val="auto"/>
          <w:kern w:val="2"/>
          <w:sz w:val="32"/>
          <w:szCs w:val="32"/>
        </w:rPr>
      </w:pPr>
      <w:r>
        <w:rPr>
          <w:rFonts w:hint="eastAsia" w:ascii="楷体_GB2312" w:hAnsi="黑体" w:eastAsia="楷体_GB2312" w:cs="楷体_GB2312"/>
          <w:b/>
          <w:bCs/>
          <w:color w:val="auto"/>
          <w:kern w:val="2"/>
          <w:sz w:val="32"/>
          <w:szCs w:val="32"/>
        </w:rPr>
        <w:t>（四）绩效目标设置情况</w:t>
      </w:r>
    </w:p>
    <w:p w14:paraId="268F0FBB">
      <w:pPr>
        <w:pStyle w:val="17"/>
        <w:spacing w:before="0" w:line="360" w:lineRule="auto"/>
        <w:ind w:firstLine="960" w:firstLineChars="300"/>
        <w:rPr>
          <w:rFonts w:hAnsi="黑体" w:cs="Times New Roman"/>
          <w:color w:val="auto"/>
          <w:kern w:val="2"/>
          <w:sz w:val="32"/>
          <w:szCs w:val="32"/>
        </w:rPr>
      </w:pPr>
      <w:r>
        <w:rPr>
          <w:rFonts w:hAnsi="黑体"/>
          <w:color w:val="auto"/>
          <w:kern w:val="2"/>
          <w:sz w:val="32"/>
          <w:szCs w:val="32"/>
        </w:rPr>
        <w:t>202</w:t>
      </w:r>
      <w:r>
        <w:rPr>
          <w:rFonts w:hint="eastAsia" w:hAnsi="黑体"/>
          <w:color w:val="auto"/>
          <w:kern w:val="2"/>
          <w:sz w:val="32"/>
          <w:szCs w:val="32"/>
          <w:lang w:val="en-US" w:eastAsia="zh-CN"/>
        </w:rPr>
        <w:t>5</w:t>
      </w:r>
      <w:r>
        <w:rPr>
          <w:rFonts w:hAnsi="黑体"/>
          <w:color w:val="auto"/>
          <w:kern w:val="2"/>
          <w:sz w:val="32"/>
          <w:szCs w:val="32"/>
        </w:rPr>
        <w:t>年</w:t>
      </w:r>
      <w:r>
        <w:rPr>
          <w:rFonts w:hint="eastAsia" w:hAnsi="黑体"/>
          <w:color w:val="auto"/>
          <w:kern w:val="2"/>
          <w:sz w:val="32"/>
          <w:szCs w:val="32"/>
        </w:rPr>
        <w:t>阿坝州</w:t>
      </w:r>
      <w:r>
        <w:rPr>
          <w:rFonts w:hint="eastAsia" w:hAnsi="黑体"/>
          <w:color w:val="auto"/>
          <w:kern w:val="2"/>
          <w:sz w:val="32"/>
          <w:szCs w:val="32"/>
          <w:lang w:eastAsia="zh-CN"/>
        </w:rPr>
        <w:t>松潘</w:t>
      </w:r>
      <w:r>
        <w:rPr>
          <w:rFonts w:hint="eastAsia" w:hAnsi="黑体"/>
          <w:color w:val="auto"/>
          <w:kern w:val="2"/>
          <w:sz w:val="32"/>
          <w:szCs w:val="32"/>
        </w:rPr>
        <w:t>生态环境局通用项目和专用项目均按要求实行绩效目标管理，涉及一般公共预算当年拨款</w:t>
      </w:r>
      <w:r>
        <w:rPr>
          <w:rFonts w:hint="eastAsia" w:hAnsi="黑体"/>
          <w:color w:val="auto"/>
          <w:kern w:val="2"/>
          <w:sz w:val="32"/>
          <w:szCs w:val="32"/>
          <w:lang w:val="en-US" w:eastAsia="zh-CN"/>
        </w:rPr>
        <w:t>278.25</w:t>
      </w:r>
      <w:r>
        <w:rPr>
          <w:rFonts w:hint="eastAsia" w:hAnsi="黑体"/>
          <w:color w:val="auto"/>
          <w:kern w:val="2"/>
          <w:sz w:val="32"/>
          <w:szCs w:val="32"/>
        </w:rPr>
        <w:t>万元</w:t>
      </w:r>
      <w:r>
        <w:rPr>
          <w:rFonts w:hint="eastAsia" w:hAnsi="黑体"/>
          <w:color w:val="auto"/>
          <w:kern w:val="2"/>
          <w:sz w:val="32"/>
          <w:szCs w:val="32"/>
        </w:rPr>
        <w:t>。</w:t>
      </w:r>
    </w:p>
    <w:p w14:paraId="03907D96">
      <w:pPr>
        <w:pStyle w:val="17"/>
        <w:spacing w:before="0" w:line="360" w:lineRule="auto"/>
        <w:ind w:firstLine="320" w:firstLineChars="100"/>
        <w:rPr>
          <w:rFonts w:ascii="??" w:hAnsi="??" w:eastAsia="宋体" w:cs="Times New Roman"/>
          <w:color w:val="auto"/>
          <w:sz w:val="16"/>
          <w:szCs w:val="16"/>
        </w:rPr>
      </w:pPr>
      <w:r>
        <w:rPr>
          <w:rFonts w:hint="eastAsia" w:ascii="黑体" w:hAnsi="黑体" w:eastAsia="黑体" w:cs="黑体"/>
          <w:color w:val="auto"/>
          <w:kern w:val="2"/>
          <w:sz w:val="32"/>
          <w:szCs w:val="32"/>
        </w:rPr>
        <w:t>十、名词解释</w:t>
      </w:r>
    </w:p>
    <w:p w14:paraId="42111FC6">
      <w:pPr>
        <w:pStyle w:val="17"/>
        <w:spacing w:before="0" w:line="360" w:lineRule="auto"/>
        <w:ind w:firstLine="640" w:firstLineChars="200"/>
        <w:rPr>
          <w:rFonts w:hAnsi="黑体"/>
          <w:color w:val="auto"/>
          <w:kern w:val="2"/>
          <w:sz w:val="32"/>
          <w:szCs w:val="32"/>
        </w:rPr>
      </w:pPr>
      <w:r>
        <w:rPr>
          <w:rFonts w:hint="eastAsia" w:hAnsi="黑体"/>
          <w:color w:val="auto"/>
          <w:kern w:val="2"/>
          <w:sz w:val="32"/>
          <w:szCs w:val="32"/>
        </w:rPr>
        <w:t>（一）财政拨款收入：指由财政拨款形成的部门收入。按现行管理制度，部门预算中反映的财政拨款仅包括一般公共预算拨款和政府性基金预算拨款。</w:t>
      </w:r>
    </w:p>
    <w:p w14:paraId="5199FCA5">
      <w:pPr>
        <w:pStyle w:val="17"/>
        <w:spacing w:before="0" w:line="360" w:lineRule="auto"/>
        <w:ind w:firstLine="640" w:firstLineChars="200"/>
        <w:rPr>
          <w:rFonts w:hAnsi="黑体"/>
          <w:color w:val="auto"/>
          <w:kern w:val="2"/>
          <w:sz w:val="32"/>
          <w:szCs w:val="32"/>
        </w:rPr>
      </w:pPr>
      <w:r>
        <w:rPr>
          <w:rFonts w:hint="eastAsia" w:hAnsi="黑体"/>
          <w:color w:val="auto"/>
          <w:kern w:val="2"/>
          <w:sz w:val="32"/>
          <w:szCs w:val="32"/>
        </w:rPr>
        <w:t>（二）事业收入：指所属事业单位开展专业业务活动及辅助活动所取得的收入。</w:t>
      </w:r>
    </w:p>
    <w:p w14:paraId="13B9F109">
      <w:pPr>
        <w:pStyle w:val="17"/>
        <w:spacing w:before="0" w:line="360" w:lineRule="auto"/>
        <w:ind w:firstLine="640" w:firstLineChars="200"/>
        <w:rPr>
          <w:rFonts w:hAnsi="黑体"/>
          <w:color w:val="auto"/>
          <w:kern w:val="2"/>
          <w:sz w:val="32"/>
          <w:szCs w:val="32"/>
        </w:rPr>
      </w:pPr>
      <w:r>
        <w:rPr>
          <w:rFonts w:hint="eastAsia" w:hAnsi="黑体"/>
          <w:color w:val="auto"/>
          <w:kern w:val="2"/>
          <w:sz w:val="32"/>
          <w:szCs w:val="32"/>
        </w:rPr>
        <w:t>（三）事业单位经营收入：指所属事业单位在专业业务活动及其辅助活动之外开展非独立核算经营活动取得的收入。</w:t>
      </w:r>
    </w:p>
    <w:p w14:paraId="7ACBC72C">
      <w:pPr>
        <w:pStyle w:val="17"/>
        <w:spacing w:before="0" w:line="360" w:lineRule="auto"/>
        <w:ind w:firstLine="640" w:firstLineChars="200"/>
        <w:rPr>
          <w:rFonts w:hAnsi="黑体"/>
          <w:color w:val="auto"/>
          <w:kern w:val="2"/>
          <w:sz w:val="32"/>
          <w:szCs w:val="32"/>
        </w:rPr>
      </w:pPr>
      <w:r>
        <w:rPr>
          <w:rFonts w:hint="eastAsia" w:hAnsi="黑体"/>
          <w:color w:val="auto"/>
          <w:kern w:val="2"/>
          <w:sz w:val="32"/>
          <w:szCs w:val="32"/>
        </w:rPr>
        <w:t>（四）其他收入：指除上述</w:t>
      </w:r>
      <w:r>
        <w:rPr>
          <w:rFonts w:hAnsi="黑体" w:cs="Times New Roman"/>
          <w:color w:val="auto"/>
          <w:kern w:val="2"/>
          <w:sz w:val="32"/>
          <w:szCs w:val="32"/>
        </w:rPr>
        <w:t>“</w:t>
      </w:r>
      <w:r>
        <w:rPr>
          <w:rFonts w:hint="eastAsia" w:hAnsi="黑体"/>
          <w:color w:val="auto"/>
          <w:kern w:val="2"/>
          <w:sz w:val="32"/>
          <w:szCs w:val="32"/>
        </w:rPr>
        <w:t>财政拨款收入</w:t>
      </w:r>
      <w:r>
        <w:rPr>
          <w:rFonts w:hAnsi="黑体" w:cs="Times New Roman"/>
          <w:color w:val="auto"/>
          <w:kern w:val="2"/>
          <w:sz w:val="32"/>
          <w:szCs w:val="32"/>
        </w:rPr>
        <w:t>”</w:t>
      </w:r>
      <w:r>
        <w:rPr>
          <w:rFonts w:hint="eastAsia" w:hAnsi="黑体"/>
          <w:color w:val="auto"/>
          <w:kern w:val="2"/>
          <w:sz w:val="32"/>
          <w:szCs w:val="32"/>
        </w:rPr>
        <w:t>、</w:t>
      </w:r>
      <w:r>
        <w:rPr>
          <w:rFonts w:hAnsi="黑体" w:cs="Times New Roman"/>
          <w:color w:val="auto"/>
          <w:kern w:val="2"/>
          <w:sz w:val="32"/>
          <w:szCs w:val="32"/>
        </w:rPr>
        <w:t>“</w:t>
      </w:r>
      <w:r>
        <w:rPr>
          <w:rFonts w:hint="eastAsia" w:hAnsi="黑体"/>
          <w:color w:val="auto"/>
          <w:kern w:val="2"/>
          <w:sz w:val="32"/>
          <w:szCs w:val="32"/>
        </w:rPr>
        <w:t>事业收入</w:t>
      </w:r>
      <w:r>
        <w:rPr>
          <w:rFonts w:hAnsi="黑体" w:cs="Times New Roman"/>
          <w:color w:val="auto"/>
          <w:kern w:val="2"/>
          <w:sz w:val="32"/>
          <w:szCs w:val="32"/>
        </w:rPr>
        <w:t>”</w:t>
      </w:r>
      <w:r>
        <w:rPr>
          <w:rFonts w:hint="eastAsia" w:hAnsi="黑体"/>
          <w:color w:val="auto"/>
          <w:kern w:val="2"/>
          <w:sz w:val="32"/>
          <w:szCs w:val="32"/>
        </w:rPr>
        <w:t>、</w:t>
      </w:r>
      <w:r>
        <w:rPr>
          <w:rFonts w:hAnsi="黑体" w:cs="Times New Roman"/>
          <w:color w:val="auto"/>
          <w:kern w:val="2"/>
          <w:sz w:val="32"/>
          <w:szCs w:val="32"/>
        </w:rPr>
        <w:t>“</w:t>
      </w:r>
      <w:r>
        <w:rPr>
          <w:rFonts w:hint="eastAsia" w:hAnsi="黑体"/>
          <w:color w:val="auto"/>
          <w:kern w:val="2"/>
          <w:sz w:val="32"/>
          <w:szCs w:val="32"/>
        </w:rPr>
        <w:t>事业单位经营收入</w:t>
      </w:r>
      <w:r>
        <w:rPr>
          <w:rFonts w:hAnsi="黑体" w:cs="Times New Roman"/>
          <w:color w:val="auto"/>
          <w:kern w:val="2"/>
          <w:sz w:val="32"/>
          <w:szCs w:val="32"/>
        </w:rPr>
        <w:t>”</w:t>
      </w:r>
      <w:r>
        <w:rPr>
          <w:rFonts w:hint="eastAsia" w:hAnsi="黑体"/>
          <w:color w:val="auto"/>
          <w:kern w:val="2"/>
          <w:sz w:val="32"/>
          <w:szCs w:val="32"/>
        </w:rPr>
        <w:t>等以外的收入，主要是所属行政事业单位按规定动用的售房收入、存款利息收入等。</w:t>
      </w:r>
    </w:p>
    <w:p w14:paraId="41AF4A2F">
      <w:pPr>
        <w:pStyle w:val="17"/>
        <w:spacing w:before="0" w:line="360" w:lineRule="auto"/>
        <w:ind w:firstLine="640" w:firstLineChars="200"/>
        <w:rPr>
          <w:rFonts w:hAnsi="黑体"/>
          <w:color w:val="auto"/>
          <w:kern w:val="2"/>
          <w:sz w:val="32"/>
          <w:szCs w:val="32"/>
        </w:rPr>
      </w:pPr>
      <w:r>
        <w:rPr>
          <w:rFonts w:hint="eastAsia" w:hAnsi="黑体"/>
          <w:color w:val="auto"/>
          <w:kern w:val="2"/>
          <w:sz w:val="32"/>
          <w:szCs w:val="32"/>
        </w:rPr>
        <w:t>（五）用事业基金弥补收支差额：指所属事业单位在预计用当年的</w:t>
      </w:r>
      <w:r>
        <w:rPr>
          <w:rFonts w:hAnsi="黑体" w:cs="Times New Roman"/>
          <w:color w:val="auto"/>
          <w:kern w:val="2"/>
          <w:sz w:val="32"/>
          <w:szCs w:val="32"/>
        </w:rPr>
        <w:t>“</w:t>
      </w:r>
      <w:r>
        <w:rPr>
          <w:rFonts w:hint="eastAsia" w:hAnsi="黑体"/>
          <w:color w:val="auto"/>
          <w:kern w:val="2"/>
          <w:sz w:val="32"/>
          <w:szCs w:val="32"/>
        </w:rPr>
        <w:t>财政拨款收入</w:t>
      </w:r>
      <w:r>
        <w:rPr>
          <w:rFonts w:hAnsi="黑体" w:cs="Times New Roman"/>
          <w:color w:val="auto"/>
          <w:kern w:val="2"/>
          <w:sz w:val="32"/>
          <w:szCs w:val="32"/>
        </w:rPr>
        <w:t>”</w:t>
      </w:r>
      <w:r>
        <w:rPr>
          <w:rFonts w:hint="eastAsia" w:hAnsi="黑体"/>
          <w:color w:val="auto"/>
          <w:kern w:val="2"/>
          <w:sz w:val="32"/>
          <w:szCs w:val="32"/>
        </w:rPr>
        <w:t>、</w:t>
      </w:r>
      <w:r>
        <w:rPr>
          <w:rFonts w:hAnsi="黑体" w:cs="Times New Roman"/>
          <w:color w:val="auto"/>
          <w:kern w:val="2"/>
          <w:sz w:val="32"/>
          <w:szCs w:val="32"/>
        </w:rPr>
        <w:t>“</w:t>
      </w:r>
      <w:r>
        <w:rPr>
          <w:rFonts w:hint="eastAsia" w:hAnsi="黑体"/>
          <w:color w:val="auto"/>
          <w:kern w:val="2"/>
          <w:sz w:val="32"/>
          <w:szCs w:val="32"/>
        </w:rPr>
        <w:t>事业收入</w:t>
      </w:r>
      <w:r>
        <w:rPr>
          <w:rFonts w:hAnsi="黑体" w:cs="Times New Roman"/>
          <w:color w:val="auto"/>
          <w:kern w:val="2"/>
          <w:sz w:val="32"/>
          <w:szCs w:val="32"/>
        </w:rPr>
        <w:t>”</w:t>
      </w:r>
      <w:r>
        <w:rPr>
          <w:rFonts w:hint="eastAsia" w:hAnsi="黑体"/>
          <w:color w:val="auto"/>
          <w:kern w:val="2"/>
          <w:sz w:val="32"/>
          <w:szCs w:val="32"/>
        </w:rPr>
        <w:t>、</w:t>
      </w:r>
      <w:r>
        <w:rPr>
          <w:rFonts w:hAnsi="黑体" w:cs="Times New Roman"/>
          <w:color w:val="auto"/>
          <w:kern w:val="2"/>
          <w:sz w:val="32"/>
          <w:szCs w:val="32"/>
        </w:rPr>
        <w:t>“</w:t>
      </w:r>
      <w:r>
        <w:rPr>
          <w:rFonts w:hint="eastAsia" w:hAnsi="黑体"/>
          <w:color w:val="auto"/>
          <w:kern w:val="2"/>
          <w:sz w:val="32"/>
          <w:szCs w:val="32"/>
        </w:rPr>
        <w:t>事业单位经营收入</w:t>
      </w:r>
      <w:r>
        <w:rPr>
          <w:rFonts w:hAnsi="黑体" w:cs="Times New Roman"/>
          <w:color w:val="auto"/>
          <w:kern w:val="2"/>
          <w:sz w:val="32"/>
          <w:szCs w:val="32"/>
        </w:rPr>
        <w:t>”</w:t>
      </w:r>
      <w:r>
        <w:rPr>
          <w:rFonts w:hint="eastAsia" w:hAnsi="黑体"/>
          <w:color w:val="auto"/>
          <w:kern w:val="2"/>
          <w:sz w:val="32"/>
          <w:szCs w:val="32"/>
        </w:rPr>
        <w:t>、</w:t>
      </w:r>
      <w:r>
        <w:rPr>
          <w:rFonts w:hAnsi="黑体" w:cs="Times New Roman"/>
          <w:color w:val="auto"/>
          <w:kern w:val="2"/>
          <w:sz w:val="32"/>
          <w:szCs w:val="32"/>
        </w:rPr>
        <w:t>“</w:t>
      </w:r>
      <w:r>
        <w:rPr>
          <w:rFonts w:hint="eastAsia" w:hAnsi="黑体"/>
          <w:color w:val="auto"/>
          <w:kern w:val="2"/>
          <w:sz w:val="32"/>
          <w:szCs w:val="32"/>
        </w:rPr>
        <w:t>其他收入</w:t>
      </w:r>
      <w:r>
        <w:rPr>
          <w:rFonts w:hAnsi="黑体" w:cs="Times New Roman"/>
          <w:color w:val="auto"/>
          <w:kern w:val="2"/>
          <w:sz w:val="32"/>
          <w:szCs w:val="32"/>
        </w:rPr>
        <w:t>”</w:t>
      </w:r>
      <w:r>
        <w:rPr>
          <w:rFonts w:hint="eastAsia" w:hAnsi="黑体"/>
          <w:color w:val="auto"/>
          <w:kern w:val="2"/>
          <w:sz w:val="32"/>
          <w:szCs w:val="32"/>
        </w:rPr>
        <w:t>不足以安排当年支出的情况下，使用以前年度积累的事业基金弥补本年度收支缺口的资金。</w:t>
      </w:r>
    </w:p>
    <w:p w14:paraId="2C04948F">
      <w:pPr>
        <w:pStyle w:val="17"/>
        <w:spacing w:before="0" w:line="360" w:lineRule="auto"/>
        <w:ind w:firstLine="640" w:firstLineChars="200"/>
        <w:rPr>
          <w:rFonts w:hAnsi="黑体" w:cs="Times New Roman"/>
          <w:color w:val="auto"/>
          <w:kern w:val="2"/>
          <w:sz w:val="32"/>
          <w:szCs w:val="32"/>
        </w:rPr>
      </w:pPr>
      <w:r>
        <w:rPr>
          <w:rFonts w:hint="eastAsia" w:hAnsi="黑体"/>
          <w:color w:val="auto"/>
          <w:kern w:val="2"/>
          <w:sz w:val="32"/>
          <w:szCs w:val="32"/>
        </w:rPr>
        <w:t>（六）上年结转：指所属行政事业单位以前年度尚未完成、结转至本年按原规定用途继续使用的资金和以前年度已完成项目剩余资金经批准用于新用途使用的资金。</w:t>
      </w:r>
    </w:p>
    <w:p w14:paraId="6FD938D0">
      <w:pPr>
        <w:rPr>
          <w:rFonts w:ascii="仿宋_GB2312" w:hAnsi="黑体" w:eastAsia="仿宋_GB2312" w:cs="Times New Roman"/>
          <w:color w:val="auto"/>
          <w:sz w:val="32"/>
          <w:szCs w:val="32"/>
        </w:rPr>
      </w:pPr>
    </w:p>
    <w:p w14:paraId="4CCCC223">
      <w:pPr>
        <w:rPr>
          <w:color w:val="auto"/>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9D00D7">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F6C4E9D">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14:paraId="2F6C4E9D">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ED3A5"/>
    <w:multiLevelType w:val="singleLevel"/>
    <w:tmpl w:val="BB6ED3A5"/>
    <w:lvl w:ilvl="0" w:tentative="0">
      <w:start w:val="1"/>
      <w:numFmt w:val="chineseCounting"/>
      <w:suff w:val="nothing"/>
      <w:lvlText w:val="%1、"/>
      <w:lvlJc w:val="left"/>
      <w:rPr>
        <w:rFonts w:hint="eastAsia"/>
      </w:rPr>
    </w:lvl>
  </w:abstractNum>
  <w:abstractNum w:abstractNumId="1">
    <w:nsid w:val="6CD6AA54"/>
    <w:multiLevelType w:val="singleLevel"/>
    <w:tmpl w:val="6CD6AA54"/>
    <w:lvl w:ilvl="0" w:tentative="0">
      <w:start w:val="3"/>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2854"/>
    <w:rsid w:val="00025B29"/>
    <w:rsid w:val="000329A3"/>
    <w:rsid w:val="00085137"/>
    <w:rsid w:val="00260082"/>
    <w:rsid w:val="00291AF0"/>
    <w:rsid w:val="0031719B"/>
    <w:rsid w:val="00352854"/>
    <w:rsid w:val="003762A5"/>
    <w:rsid w:val="0038264F"/>
    <w:rsid w:val="00397759"/>
    <w:rsid w:val="003A181F"/>
    <w:rsid w:val="00412E78"/>
    <w:rsid w:val="00424F18"/>
    <w:rsid w:val="00461129"/>
    <w:rsid w:val="00464DF6"/>
    <w:rsid w:val="00491A9E"/>
    <w:rsid w:val="004C5E33"/>
    <w:rsid w:val="00524245"/>
    <w:rsid w:val="0053029E"/>
    <w:rsid w:val="005E7638"/>
    <w:rsid w:val="00600573"/>
    <w:rsid w:val="0068558D"/>
    <w:rsid w:val="0072775D"/>
    <w:rsid w:val="00732B2C"/>
    <w:rsid w:val="007710D3"/>
    <w:rsid w:val="007B3677"/>
    <w:rsid w:val="00887A60"/>
    <w:rsid w:val="008D29B8"/>
    <w:rsid w:val="008F08A5"/>
    <w:rsid w:val="008F63EB"/>
    <w:rsid w:val="00946F5B"/>
    <w:rsid w:val="009601FB"/>
    <w:rsid w:val="009648A7"/>
    <w:rsid w:val="00985771"/>
    <w:rsid w:val="00987B5A"/>
    <w:rsid w:val="00A13E3A"/>
    <w:rsid w:val="00A60456"/>
    <w:rsid w:val="00A718C1"/>
    <w:rsid w:val="00A809F6"/>
    <w:rsid w:val="00A817DB"/>
    <w:rsid w:val="00A823DE"/>
    <w:rsid w:val="00B52290"/>
    <w:rsid w:val="00B92D9F"/>
    <w:rsid w:val="00C01031"/>
    <w:rsid w:val="00C0348B"/>
    <w:rsid w:val="00C44125"/>
    <w:rsid w:val="00C451EA"/>
    <w:rsid w:val="00C6559E"/>
    <w:rsid w:val="00C8183B"/>
    <w:rsid w:val="00D06D76"/>
    <w:rsid w:val="00D21203"/>
    <w:rsid w:val="00D22494"/>
    <w:rsid w:val="00D31706"/>
    <w:rsid w:val="00DA0A13"/>
    <w:rsid w:val="00DB6419"/>
    <w:rsid w:val="00DC3237"/>
    <w:rsid w:val="00DC4CBE"/>
    <w:rsid w:val="00DD750A"/>
    <w:rsid w:val="00E16AE3"/>
    <w:rsid w:val="00E16BE3"/>
    <w:rsid w:val="00E81B4A"/>
    <w:rsid w:val="00E92D84"/>
    <w:rsid w:val="00ED332B"/>
    <w:rsid w:val="00F14BDD"/>
    <w:rsid w:val="00F267C7"/>
    <w:rsid w:val="00F40C09"/>
    <w:rsid w:val="00F743F0"/>
    <w:rsid w:val="00F80C32"/>
    <w:rsid w:val="00F85776"/>
    <w:rsid w:val="00F96BE5"/>
    <w:rsid w:val="00FB0555"/>
    <w:rsid w:val="00FF11B9"/>
    <w:rsid w:val="01374E54"/>
    <w:rsid w:val="02B80216"/>
    <w:rsid w:val="056D178C"/>
    <w:rsid w:val="05CD6A30"/>
    <w:rsid w:val="05E45A19"/>
    <w:rsid w:val="065C36FD"/>
    <w:rsid w:val="06DF0807"/>
    <w:rsid w:val="07D07D6B"/>
    <w:rsid w:val="07F55C2D"/>
    <w:rsid w:val="08497B23"/>
    <w:rsid w:val="08B374B6"/>
    <w:rsid w:val="08C83E06"/>
    <w:rsid w:val="0B6D7E4A"/>
    <w:rsid w:val="0E1E29A5"/>
    <w:rsid w:val="0E5C414B"/>
    <w:rsid w:val="0F2F6052"/>
    <w:rsid w:val="0F9811B3"/>
    <w:rsid w:val="10437371"/>
    <w:rsid w:val="10E16B8A"/>
    <w:rsid w:val="11CF2935"/>
    <w:rsid w:val="137C0EEB"/>
    <w:rsid w:val="13A04ADA"/>
    <w:rsid w:val="15812584"/>
    <w:rsid w:val="16962B9B"/>
    <w:rsid w:val="16FC471D"/>
    <w:rsid w:val="1910625E"/>
    <w:rsid w:val="19C851B8"/>
    <w:rsid w:val="19F551C3"/>
    <w:rsid w:val="1D2B1C22"/>
    <w:rsid w:val="1F2E743E"/>
    <w:rsid w:val="1F350CF1"/>
    <w:rsid w:val="1F6D2589"/>
    <w:rsid w:val="20023C4E"/>
    <w:rsid w:val="20376C32"/>
    <w:rsid w:val="21FA7AAB"/>
    <w:rsid w:val="240201B2"/>
    <w:rsid w:val="24DA64E6"/>
    <w:rsid w:val="28690B15"/>
    <w:rsid w:val="2E33624E"/>
    <w:rsid w:val="301461DC"/>
    <w:rsid w:val="306E738C"/>
    <w:rsid w:val="32F16949"/>
    <w:rsid w:val="330374B0"/>
    <w:rsid w:val="33C4486A"/>
    <w:rsid w:val="34311A53"/>
    <w:rsid w:val="3491604D"/>
    <w:rsid w:val="35B5220F"/>
    <w:rsid w:val="35C2598E"/>
    <w:rsid w:val="365256CD"/>
    <w:rsid w:val="398D3C3F"/>
    <w:rsid w:val="3A7A7584"/>
    <w:rsid w:val="3B283FEC"/>
    <w:rsid w:val="3B911029"/>
    <w:rsid w:val="3C8A1D00"/>
    <w:rsid w:val="3D7D7AB7"/>
    <w:rsid w:val="3FB66110"/>
    <w:rsid w:val="418A46C4"/>
    <w:rsid w:val="41CE5572"/>
    <w:rsid w:val="41F61BE6"/>
    <w:rsid w:val="42B82E1D"/>
    <w:rsid w:val="43010842"/>
    <w:rsid w:val="43FC3E7D"/>
    <w:rsid w:val="458C1A14"/>
    <w:rsid w:val="45BA1ABA"/>
    <w:rsid w:val="47835CCA"/>
    <w:rsid w:val="492434DC"/>
    <w:rsid w:val="4C8F2163"/>
    <w:rsid w:val="4D13189E"/>
    <w:rsid w:val="4E067654"/>
    <w:rsid w:val="4FEB6139"/>
    <w:rsid w:val="513F4A73"/>
    <w:rsid w:val="523F6CB3"/>
    <w:rsid w:val="52A30122"/>
    <w:rsid w:val="533B6D5D"/>
    <w:rsid w:val="537D5CC3"/>
    <w:rsid w:val="56D30D26"/>
    <w:rsid w:val="572E38FA"/>
    <w:rsid w:val="586B07E0"/>
    <w:rsid w:val="5A810B67"/>
    <w:rsid w:val="5DC47551"/>
    <w:rsid w:val="5F610B8F"/>
    <w:rsid w:val="5FC408E9"/>
    <w:rsid w:val="6042589C"/>
    <w:rsid w:val="605424A1"/>
    <w:rsid w:val="613100ED"/>
    <w:rsid w:val="619863BE"/>
    <w:rsid w:val="62E33669"/>
    <w:rsid w:val="63983799"/>
    <w:rsid w:val="64EC321E"/>
    <w:rsid w:val="655F16CC"/>
    <w:rsid w:val="67DF08A2"/>
    <w:rsid w:val="67FA1AEA"/>
    <w:rsid w:val="69D01E6E"/>
    <w:rsid w:val="6A0740E0"/>
    <w:rsid w:val="6B23736B"/>
    <w:rsid w:val="6CCA7D73"/>
    <w:rsid w:val="71B6291F"/>
    <w:rsid w:val="72A46970"/>
    <w:rsid w:val="75571002"/>
    <w:rsid w:val="75982525"/>
    <w:rsid w:val="7700145E"/>
    <w:rsid w:val="78454752"/>
    <w:rsid w:val="7B851309"/>
    <w:rsid w:val="7D0F179E"/>
    <w:rsid w:val="7DFF53A3"/>
    <w:rsid w:val="7F090B56"/>
    <w:rsid w:val="7F1134A0"/>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semiHidden="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ocked="1"/>
    <w:lsdException w:qFormat="1"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99"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1"/>
      <w:szCs w:val="21"/>
      <w:lang w:val="en-US" w:eastAsia="zh-CN" w:bidi="ar-SA"/>
    </w:rPr>
  </w:style>
  <w:style w:type="paragraph" w:styleId="4">
    <w:name w:val="heading 1"/>
    <w:basedOn w:val="1"/>
    <w:next w:val="1"/>
    <w:link w:val="22"/>
    <w:qFormat/>
    <w:locked/>
    <w:uiPriority w:val="0"/>
    <w:pPr>
      <w:keepNext/>
      <w:keepLines/>
      <w:spacing w:line="576" w:lineRule="auto"/>
      <w:outlineLvl w:val="0"/>
    </w:pPr>
    <w:rPr>
      <w:b/>
      <w:kern w:val="44"/>
      <w:sz w:val="44"/>
    </w:rPr>
  </w:style>
  <w:style w:type="paragraph" w:styleId="5">
    <w:name w:val="heading 2"/>
    <w:basedOn w:val="1"/>
    <w:next w:val="1"/>
    <w:unhideWhenUsed/>
    <w:qFormat/>
    <w:locked/>
    <w:uiPriority w:val="0"/>
    <w:pPr>
      <w:keepNext/>
      <w:keepLines/>
      <w:spacing w:line="413" w:lineRule="auto"/>
      <w:outlineLvl w:val="1"/>
    </w:pPr>
    <w:rPr>
      <w:rFonts w:ascii="Arial" w:hAnsi="Arial" w:eastAsia="黑体"/>
      <w:b/>
      <w:sz w:val="32"/>
    </w:rPr>
  </w:style>
  <w:style w:type="character" w:default="1" w:styleId="13">
    <w:name w:val="Default Paragraph Font"/>
    <w:semiHidden/>
    <w:unhideWhenUsed/>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qFormat/>
    <w:uiPriority w:val="99"/>
    <w:pPr>
      <w:ind w:firstLine="420"/>
    </w:pPr>
  </w:style>
  <w:style w:type="paragraph" w:styleId="3">
    <w:name w:val="Body Text Indent"/>
    <w:basedOn w:val="1"/>
    <w:next w:val="2"/>
    <w:qFormat/>
    <w:uiPriority w:val="0"/>
    <w:pPr>
      <w:ind w:firstLine="560" w:firstLineChars="200"/>
    </w:pPr>
    <w:rPr>
      <w:kern w:val="0"/>
      <w:sz w:val="24"/>
    </w:rPr>
  </w:style>
  <w:style w:type="paragraph" w:styleId="6">
    <w:name w:val="Plain Text"/>
    <w:basedOn w:val="1"/>
    <w:qFormat/>
    <w:uiPriority w:val="0"/>
    <w:rPr>
      <w:rFonts w:ascii="宋体" w:hAnsi="Courier New"/>
    </w:rPr>
  </w:style>
  <w:style w:type="paragraph" w:styleId="7">
    <w:name w:val="footer"/>
    <w:basedOn w:val="1"/>
    <w:link w:val="16"/>
    <w:qFormat/>
    <w:uiPriority w:val="99"/>
    <w:pPr>
      <w:tabs>
        <w:tab w:val="center" w:pos="4153"/>
        <w:tab w:val="right" w:pos="8306"/>
      </w:tabs>
      <w:snapToGrid w:val="0"/>
      <w:jc w:val="left"/>
    </w:pPr>
    <w:rPr>
      <w:sz w:val="18"/>
      <w:szCs w:val="18"/>
    </w:rPr>
  </w:style>
  <w:style w:type="paragraph" w:styleId="8">
    <w:name w:val="header"/>
    <w:basedOn w:val="1"/>
    <w:link w:val="15"/>
    <w:qFormat/>
    <w:uiPriority w:val="99"/>
    <w:pPr>
      <w:pBdr>
        <w:bottom w:val="single" w:color="auto" w:sz="6" w:space="1"/>
      </w:pBdr>
      <w:tabs>
        <w:tab w:val="center" w:pos="4153"/>
        <w:tab w:val="right" w:pos="8306"/>
      </w:tabs>
      <w:snapToGrid w:val="0"/>
      <w:jc w:val="center"/>
    </w:pPr>
    <w:rPr>
      <w:sz w:val="18"/>
      <w:szCs w:val="18"/>
    </w:rPr>
  </w:style>
  <w:style w:type="paragraph" w:styleId="9">
    <w:name w:val="toc 1"/>
    <w:basedOn w:val="1"/>
    <w:next w:val="1"/>
    <w:qFormat/>
    <w:locked/>
    <w:uiPriority w:val="0"/>
  </w:style>
  <w:style w:type="paragraph" w:styleId="10">
    <w:name w:val="toc 2"/>
    <w:basedOn w:val="1"/>
    <w:next w:val="1"/>
    <w:qFormat/>
    <w:locked/>
    <w:uiPriority w:val="0"/>
    <w:pPr>
      <w:ind w:left="420" w:leftChars="200"/>
    </w:pPr>
  </w:style>
  <w:style w:type="paragraph" w:styleId="11">
    <w:name w:val="Normal (Web)"/>
    <w:basedOn w:val="1"/>
    <w:qFormat/>
    <w:uiPriority w:val="0"/>
    <w:pPr>
      <w:spacing w:before="100" w:beforeAutospacing="1" w:after="100" w:afterAutospacing="1"/>
      <w:jc w:val="left"/>
    </w:pPr>
    <w:rPr>
      <w:rFonts w:cs="Times New Roman"/>
      <w:kern w:val="0"/>
      <w:sz w:val="24"/>
    </w:rPr>
  </w:style>
  <w:style w:type="character" w:styleId="14">
    <w:name w:val="Emphasis"/>
    <w:basedOn w:val="13"/>
    <w:qFormat/>
    <w:uiPriority w:val="99"/>
  </w:style>
  <w:style w:type="character" w:customStyle="1" w:styleId="15">
    <w:name w:val="页眉 Char"/>
    <w:basedOn w:val="13"/>
    <w:link w:val="8"/>
    <w:qFormat/>
    <w:locked/>
    <w:uiPriority w:val="99"/>
    <w:rPr>
      <w:sz w:val="18"/>
      <w:szCs w:val="18"/>
    </w:rPr>
  </w:style>
  <w:style w:type="character" w:customStyle="1" w:styleId="16">
    <w:name w:val="页脚 Char"/>
    <w:basedOn w:val="13"/>
    <w:link w:val="7"/>
    <w:qFormat/>
    <w:locked/>
    <w:uiPriority w:val="99"/>
    <w:rPr>
      <w:sz w:val="18"/>
      <w:szCs w:val="18"/>
    </w:rPr>
  </w:style>
  <w:style w:type="paragraph" w:customStyle="1" w:styleId="17">
    <w:name w:val="正文文本1"/>
    <w:basedOn w:val="1"/>
    <w:qFormat/>
    <w:uiPriority w:val="99"/>
    <w:pPr>
      <w:spacing w:before="93"/>
    </w:pPr>
    <w:rPr>
      <w:rFonts w:ascii="仿宋_GB2312" w:hAnsi="仿宋_GB2312" w:eastAsia="仿宋_GB2312" w:cs="仿宋_GB2312"/>
      <w:kern w:val="0"/>
      <w:sz w:val="30"/>
      <w:szCs w:val="30"/>
    </w:rPr>
  </w:style>
  <w:style w:type="character" w:customStyle="1" w:styleId="18">
    <w:name w:val="默认段落字体1"/>
    <w:qFormat/>
    <w:uiPriority w:val="99"/>
    <w:rPr>
      <w:sz w:val="22"/>
      <w:szCs w:val="22"/>
    </w:rPr>
  </w:style>
  <w:style w:type="paragraph" w:styleId="19">
    <w:name w:val="List Paragraph"/>
    <w:basedOn w:val="1"/>
    <w:qFormat/>
    <w:uiPriority w:val="99"/>
    <w:pPr>
      <w:ind w:firstLine="420" w:firstLineChars="200"/>
    </w:pPr>
  </w:style>
  <w:style w:type="paragraph" w:customStyle="1" w:styleId="20">
    <w:name w:val="WPSOffice手动目录 1"/>
    <w:qFormat/>
    <w:uiPriority w:val="0"/>
    <w:rPr>
      <w:rFonts w:ascii="Calibri" w:hAnsi="Calibri" w:eastAsia="宋体" w:cs="Times New Roman"/>
      <w:lang w:val="en-US" w:eastAsia="zh-CN" w:bidi="ar-SA"/>
    </w:rPr>
  </w:style>
  <w:style w:type="paragraph" w:customStyle="1" w:styleId="21">
    <w:name w:val="WPSOffice手动目录 2"/>
    <w:qFormat/>
    <w:uiPriority w:val="0"/>
    <w:pPr>
      <w:ind w:left="200" w:leftChars="200"/>
    </w:pPr>
    <w:rPr>
      <w:rFonts w:ascii="Calibri" w:hAnsi="Calibri" w:eastAsia="宋体" w:cs="Times New Roman"/>
      <w:lang w:val="en-US" w:eastAsia="zh-CN" w:bidi="ar-SA"/>
    </w:rPr>
  </w:style>
  <w:style w:type="character" w:customStyle="1" w:styleId="22">
    <w:name w:val="标题 1 Char"/>
    <w:link w:val="4"/>
    <w:qFormat/>
    <w:uiPriority w:val="0"/>
    <w:rPr>
      <w:b/>
      <w:kern w:val="44"/>
      <w:sz w:val="4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MS</Company>
  <Pages>10</Pages>
  <Words>251</Words>
  <Characters>262</Characters>
  <Lines>34</Lines>
  <Paragraphs>9</Paragraphs>
  <TotalTime>25</TotalTime>
  <ScaleCrop>false</ScaleCrop>
  <LinksUpToDate>false</LinksUpToDate>
  <CharactersWithSpaces>281</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2024-01-16T04:03:00Z</dcterms:created>
  <dc:creator>薛永萍</dc:creator>
  <cp:lastModifiedBy>cccc</cp:lastModifiedBy>
  <dcterms:modified xsi:type="dcterms:W3CDTF">2025-02-18T08:02:44Z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9AEE6251EC9B4637B5F505FFCCD083CC_13</vt:lpwstr>
  </property>
  <property fmtid="{D5CDD505-2E9C-101B-9397-08002B2CF9AE}" pid="4" name="KSOTemplateDocerSaveRecord">
    <vt:lpwstr>eyJoZGlkIjoiMzlmZGVhODFlMjU4YmIxYmI1NjQzZmE3ZTU1Y2QxZDUifQ==</vt:lpwstr>
  </property>
</Properties>
</file>