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95084">
      <w:pPr>
        <w:rPr>
          <w:rFonts w:ascii="黑体" w:hAnsi="黑体" w:eastAsia="黑体" w:cs="Times New Roman"/>
          <w:sz w:val="44"/>
          <w:szCs w:val="44"/>
        </w:rPr>
      </w:pPr>
    </w:p>
    <w:p w14:paraId="25DE20CE">
      <w:pPr>
        <w:rPr>
          <w:rFonts w:ascii="黑体" w:hAnsi="黑体" w:eastAsia="黑体" w:cs="Times New Roman"/>
          <w:sz w:val="44"/>
          <w:szCs w:val="44"/>
        </w:rPr>
      </w:pPr>
    </w:p>
    <w:p w14:paraId="45C0304A">
      <w:pPr>
        <w:rPr>
          <w:rFonts w:ascii="黑体" w:hAnsi="黑体" w:eastAsia="黑体" w:cs="Times New Roman"/>
          <w:sz w:val="44"/>
          <w:szCs w:val="44"/>
        </w:rPr>
      </w:pPr>
    </w:p>
    <w:p w14:paraId="450B2FE6">
      <w:pPr>
        <w:jc w:val="center"/>
        <w:rPr>
          <w:rFonts w:ascii="黑体" w:hAnsi="黑体" w:eastAsia="黑体" w:cs="Times New Roman"/>
          <w:sz w:val="72"/>
          <w:szCs w:val="72"/>
        </w:rPr>
      </w:pPr>
      <w:r>
        <w:rPr>
          <w:rFonts w:hint="eastAsia" w:ascii="黑体" w:hAnsi="黑体" w:eastAsia="黑体" w:cs="黑体"/>
          <w:sz w:val="72"/>
          <w:szCs w:val="72"/>
        </w:rPr>
        <w:t>阿坝州理县生态环境局</w:t>
      </w:r>
      <w:r>
        <w:rPr>
          <w:rFonts w:ascii="黑体" w:hAnsi="黑体" w:eastAsia="黑体" w:cs="黑体"/>
          <w:sz w:val="72"/>
          <w:szCs w:val="72"/>
        </w:rPr>
        <w:t>202</w:t>
      </w:r>
      <w:r>
        <w:rPr>
          <w:rFonts w:hint="eastAsia" w:ascii="黑体" w:hAnsi="黑体" w:eastAsia="黑体" w:cs="黑体"/>
          <w:sz w:val="72"/>
          <w:szCs w:val="72"/>
          <w:lang w:val="en-US" w:eastAsia="zh-CN"/>
        </w:rPr>
        <w:t>5</w:t>
      </w:r>
      <w:r>
        <w:rPr>
          <w:rFonts w:ascii="黑体" w:hAnsi="黑体" w:eastAsia="黑体" w:cs="黑体"/>
          <w:sz w:val="72"/>
          <w:szCs w:val="72"/>
        </w:rPr>
        <w:t>年</w:t>
      </w:r>
      <w:r>
        <w:rPr>
          <w:rFonts w:hint="eastAsia" w:ascii="黑体" w:hAnsi="黑体" w:eastAsia="黑体" w:cs="黑体"/>
          <w:sz w:val="72"/>
          <w:szCs w:val="72"/>
        </w:rPr>
        <w:t>部门预算</w:t>
      </w:r>
    </w:p>
    <w:p w14:paraId="3165623A">
      <w:pPr>
        <w:jc w:val="center"/>
        <w:rPr>
          <w:rFonts w:ascii="黑体" w:hAnsi="黑体" w:eastAsia="黑体" w:cs="Times New Roman"/>
          <w:sz w:val="72"/>
          <w:szCs w:val="72"/>
        </w:rPr>
      </w:pPr>
    </w:p>
    <w:p w14:paraId="2765DB80">
      <w:pPr>
        <w:jc w:val="center"/>
        <w:rPr>
          <w:rFonts w:ascii="黑体" w:hAnsi="黑体" w:eastAsia="黑体" w:cs="Times New Roman"/>
          <w:sz w:val="44"/>
          <w:szCs w:val="44"/>
        </w:rPr>
      </w:pPr>
    </w:p>
    <w:p w14:paraId="4F36EC11">
      <w:pPr>
        <w:jc w:val="center"/>
        <w:rPr>
          <w:rFonts w:ascii="黑体" w:hAnsi="黑体" w:eastAsia="黑体" w:cs="Times New Roman"/>
          <w:sz w:val="44"/>
          <w:szCs w:val="44"/>
        </w:rPr>
      </w:pPr>
    </w:p>
    <w:p w14:paraId="64CB38B4">
      <w:pPr>
        <w:jc w:val="center"/>
        <w:rPr>
          <w:rFonts w:ascii="黑体" w:hAnsi="黑体" w:eastAsia="黑体" w:cs="Times New Roman"/>
          <w:sz w:val="44"/>
          <w:szCs w:val="44"/>
        </w:rPr>
      </w:pPr>
    </w:p>
    <w:p w14:paraId="4A1A5D01">
      <w:pPr>
        <w:jc w:val="center"/>
        <w:rPr>
          <w:rFonts w:ascii="黑体" w:hAnsi="黑体" w:eastAsia="黑体" w:cs="Times New Roman"/>
          <w:sz w:val="44"/>
          <w:szCs w:val="44"/>
        </w:rPr>
      </w:pPr>
    </w:p>
    <w:p w14:paraId="2E7B5162">
      <w:pPr>
        <w:jc w:val="center"/>
        <w:rPr>
          <w:rFonts w:ascii="黑体" w:hAnsi="黑体" w:eastAsia="黑体" w:cs="Times New Roman"/>
          <w:sz w:val="44"/>
          <w:szCs w:val="44"/>
        </w:rPr>
      </w:pPr>
    </w:p>
    <w:p w14:paraId="70A84FC1">
      <w:pPr>
        <w:jc w:val="center"/>
        <w:rPr>
          <w:rFonts w:ascii="黑体" w:hAnsi="黑体" w:eastAsia="黑体" w:cs="Times New Roman"/>
          <w:sz w:val="44"/>
          <w:szCs w:val="44"/>
        </w:rPr>
      </w:pPr>
    </w:p>
    <w:p w14:paraId="1D743516">
      <w:pPr>
        <w:jc w:val="center"/>
        <w:rPr>
          <w:rFonts w:ascii="黑体" w:hAnsi="黑体" w:eastAsia="黑体" w:cs="Times New Roman"/>
          <w:sz w:val="44"/>
          <w:szCs w:val="44"/>
        </w:rPr>
      </w:pPr>
    </w:p>
    <w:p w14:paraId="29B313EA">
      <w:pPr>
        <w:jc w:val="center"/>
        <w:rPr>
          <w:rFonts w:ascii="黑体" w:hAnsi="黑体" w:eastAsia="黑体" w:cs="Times New Roman"/>
          <w:sz w:val="44"/>
          <w:szCs w:val="44"/>
        </w:rPr>
      </w:pPr>
    </w:p>
    <w:p w14:paraId="417EB93A">
      <w:pPr>
        <w:jc w:val="center"/>
        <w:rPr>
          <w:rFonts w:ascii="黑体" w:hAnsi="黑体" w:eastAsia="黑体" w:cs="Times New Roman"/>
          <w:sz w:val="44"/>
          <w:szCs w:val="44"/>
        </w:rPr>
      </w:pPr>
    </w:p>
    <w:p w14:paraId="0D56A636">
      <w:pPr>
        <w:jc w:val="center"/>
        <w:rPr>
          <w:rFonts w:ascii="黑体" w:hAnsi="黑体" w:eastAsia="黑体" w:cs="Times New Roman"/>
          <w:sz w:val="44"/>
          <w:szCs w:val="44"/>
        </w:rPr>
      </w:pPr>
    </w:p>
    <w:p w14:paraId="30E80A93">
      <w:pPr>
        <w:jc w:val="center"/>
        <w:rPr>
          <w:rFonts w:ascii="黑体" w:hAnsi="黑体" w:eastAsia="黑体" w:cs="Times New Roman"/>
          <w:sz w:val="52"/>
          <w:szCs w:val="52"/>
        </w:rPr>
      </w:pPr>
      <w:r>
        <w:rPr>
          <w:rFonts w:hint="eastAsia" w:ascii="黑体" w:hAnsi="黑体" w:eastAsia="黑体" w:cs="黑体"/>
          <w:sz w:val="52"/>
          <w:szCs w:val="52"/>
        </w:rPr>
        <w:t>202</w:t>
      </w:r>
      <w:r>
        <w:rPr>
          <w:rFonts w:hint="eastAsia" w:ascii="黑体" w:hAnsi="黑体" w:eastAsia="黑体" w:cs="黑体"/>
          <w:sz w:val="52"/>
          <w:szCs w:val="52"/>
          <w:lang w:val="en-US" w:eastAsia="zh-CN"/>
        </w:rPr>
        <w:t>5</w:t>
      </w:r>
      <w:r>
        <w:rPr>
          <w:rFonts w:hint="eastAsia" w:ascii="黑体" w:hAnsi="黑体" w:eastAsia="黑体" w:cs="黑体"/>
          <w:sz w:val="52"/>
          <w:szCs w:val="52"/>
        </w:rPr>
        <w:t>年</w:t>
      </w:r>
      <w:r>
        <w:rPr>
          <w:rFonts w:hint="eastAsia" w:ascii="黑体" w:hAnsi="黑体" w:eastAsia="黑体" w:cs="黑体"/>
          <w:sz w:val="52"/>
          <w:szCs w:val="52"/>
          <w:lang w:val="en-US" w:eastAsia="zh-CN"/>
        </w:rPr>
        <w:t>2</w:t>
      </w:r>
      <w:r>
        <w:rPr>
          <w:rFonts w:hint="eastAsia" w:ascii="黑体" w:hAnsi="黑体" w:eastAsia="黑体" w:cs="黑体"/>
          <w:sz w:val="52"/>
          <w:szCs w:val="52"/>
        </w:rPr>
        <w:t>月</w:t>
      </w:r>
      <w:r>
        <w:rPr>
          <w:rFonts w:hint="eastAsia" w:ascii="黑体" w:hAnsi="黑体" w:eastAsia="黑体" w:cs="黑体"/>
          <w:sz w:val="52"/>
          <w:szCs w:val="52"/>
          <w:lang w:val="en-US" w:eastAsia="zh-CN"/>
        </w:rPr>
        <w:t>18</w:t>
      </w:r>
      <w:r>
        <w:rPr>
          <w:rFonts w:hint="eastAsia" w:ascii="黑体" w:hAnsi="黑体" w:eastAsia="黑体" w:cs="黑体"/>
          <w:sz w:val="52"/>
          <w:szCs w:val="52"/>
        </w:rPr>
        <w:t>日</w:t>
      </w:r>
    </w:p>
    <w:p w14:paraId="5EA03BDB">
      <w:pPr>
        <w:rPr>
          <w:rFonts w:ascii="黑体" w:hAnsi="黑体" w:eastAsia="黑体" w:cs="Times New Roman"/>
          <w:sz w:val="44"/>
          <w:szCs w:val="44"/>
        </w:rPr>
      </w:pPr>
    </w:p>
    <w:p w14:paraId="1D5B4EBF">
      <w:pPr>
        <w:rPr>
          <w:rFonts w:ascii="黑体" w:hAnsi="黑体" w:eastAsia="黑体" w:cs="Times New Roman"/>
          <w:sz w:val="44"/>
          <w:szCs w:val="44"/>
        </w:rPr>
      </w:pPr>
    </w:p>
    <w:p w14:paraId="70D4FCD3">
      <w:pPr>
        <w:pStyle w:val="4"/>
      </w:pPr>
    </w:p>
    <w:p w14:paraId="324D8DF1">
      <w:pPr>
        <w:pStyle w:val="4"/>
      </w:pPr>
    </w:p>
    <w:p w14:paraId="4AF1EA05">
      <w:pPr>
        <w:jc w:val="center"/>
        <w:rPr>
          <w:rFonts w:ascii="黑体" w:hAnsi="黑体" w:eastAsia="黑体" w:cs="黑体"/>
          <w:sz w:val="52"/>
          <w:szCs w:val="52"/>
        </w:rPr>
      </w:pPr>
      <w:r>
        <w:rPr>
          <w:rFonts w:hint="eastAsia" w:ascii="黑体" w:hAnsi="黑体" w:eastAsia="黑体" w:cs="黑体"/>
          <w:sz w:val="52"/>
          <w:szCs w:val="52"/>
        </w:rPr>
        <w:t>目录</w:t>
      </w:r>
    </w:p>
    <w:p w14:paraId="6BDCDE49">
      <w:pPr>
        <w:pStyle w:val="11"/>
        <w:tabs>
          <w:tab w:val="right" w:leader="dot" w:pos="8306"/>
        </w:tabs>
        <w:rPr>
          <w:sz w:val="28"/>
          <w:szCs w:val="28"/>
        </w:rPr>
      </w:pPr>
      <w:r>
        <w:rPr>
          <w:rFonts w:ascii="黑体" w:hAnsi="黑体" w:eastAsia="黑体" w:cs="Times New Roman"/>
          <w:sz w:val="44"/>
          <w:szCs w:val="44"/>
        </w:rPr>
        <w:fldChar w:fldCharType="begin"/>
      </w:r>
      <w:r>
        <w:rPr>
          <w:rFonts w:ascii="黑体" w:hAnsi="黑体" w:eastAsia="黑体" w:cs="Times New Roman"/>
          <w:sz w:val="44"/>
          <w:szCs w:val="44"/>
        </w:rPr>
        <w:instrText xml:space="preserve">TOC \o "1-2" \h \u </w:instrText>
      </w:r>
      <w:r>
        <w:rPr>
          <w:rFonts w:ascii="黑体" w:hAnsi="黑体" w:eastAsia="黑体" w:cs="Times New Roman"/>
          <w:sz w:val="44"/>
          <w:szCs w:val="44"/>
        </w:rPr>
        <w:fldChar w:fldCharType="separate"/>
      </w:r>
      <w:r>
        <w:fldChar w:fldCharType="begin"/>
      </w:r>
      <w:r>
        <w:instrText xml:space="preserve"> HYPERLINK \l "_Toc12278" </w:instrText>
      </w:r>
      <w:r>
        <w:fldChar w:fldCharType="separate"/>
      </w:r>
      <w:r>
        <w:rPr>
          <w:rFonts w:hint="eastAsia" w:ascii="黑体" w:hAnsi="黑体" w:eastAsia="黑体" w:cs="黑体"/>
          <w:bCs/>
          <w:sz w:val="28"/>
          <w:szCs w:val="28"/>
        </w:rPr>
        <w:t>一、基本职能及主要工作</w:t>
      </w:r>
      <w:r>
        <w:rPr>
          <w:sz w:val="28"/>
          <w:szCs w:val="28"/>
        </w:rPr>
        <w:tab/>
      </w:r>
      <w:r>
        <w:rPr>
          <w:rFonts w:hint="eastAsia"/>
          <w:sz w:val="28"/>
          <w:szCs w:val="28"/>
          <w:lang w:val="en-US" w:eastAsia="zh-CN"/>
        </w:rPr>
        <w:t xml:space="preserve">3   </w:t>
      </w:r>
      <w:r>
        <w:rPr>
          <w:sz w:val="28"/>
          <w:szCs w:val="28"/>
        </w:rPr>
        <w:fldChar w:fldCharType="end"/>
      </w:r>
    </w:p>
    <w:p w14:paraId="47D084A9">
      <w:pPr>
        <w:pStyle w:val="12"/>
        <w:tabs>
          <w:tab w:val="right" w:leader="dot" w:pos="8306"/>
        </w:tabs>
        <w:ind w:left="0" w:leftChars="0" w:firstLine="0" w:firstLineChars="0"/>
        <w:rPr>
          <w:sz w:val="28"/>
          <w:szCs w:val="28"/>
        </w:rPr>
      </w:pPr>
      <w:r>
        <w:fldChar w:fldCharType="begin"/>
      </w:r>
      <w:r>
        <w:instrText xml:space="preserve"> HYPERLINK \l "_Toc29348" </w:instrText>
      </w:r>
      <w:r>
        <w:fldChar w:fldCharType="separate"/>
      </w:r>
      <w:r>
        <w:rPr>
          <w:rFonts w:hint="eastAsia" w:ascii="仿宋_GB2312" w:hAnsi="仿宋_GB2312" w:eastAsia="仿宋_GB2312" w:cs="仿宋_GB2312"/>
          <w:sz w:val="28"/>
          <w:szCs w:val="28"/>
        </w:rPr>
        <w:t>（一）部门职能简介</w:t>
      </w:r>
      <w:r>
        <w:rPr>
          <w:sz w:val="28"/>
          <w:szCs w:val="28"/>
        </w:rPr>
        <w:tab/>
      </w:r>
      <w:r>
        <w:rPr>
          <w:rFonts w:hint="eastAsia"/>
          <w:sz w:val="28"/>
          <w:szCs w:val="28"/>
          <w:lang w:val="en-US" w:eastAsia="zh-CN"/>
        </w:rPr>
        <w:t>3</w:t>
      </w:r>
      <w:r>
        <w:rPr>
          <w:sz w:val="28"/>
          <w:szCs w:val="28"/>
        </w:rPr>
        <w:fldChar w:fldCharType="end"/>
      </w:r>
    </w:p>
    <w:p w14:paraId="1C11C7D9">
      <w:pPr>
        <w:pStyle w:val="12"/>
        <w:tabs>
          <w:tab w:val="right" w:leader="dot" w:pos="8306"/>
        </w:tabs>
        <w:ind w:left="0" w:leftChars="0" w:firstLine="0" w:firstLineChars="0"/>
        <w:rPr>
          <w:sz w:val="28"/>
          <w:szCs w:val="28"/>
        </w:rPr>
      </w:pPr>
      <w:r>
        <w:fldChar w:fldCharType="begin"/>
      </w:r>
      <w:r>
        <w:instrText xml:space="preserve"> HYPERLINK \l "_Toc12953" </w:instrText>
      </w:r>
      <w:r>
        <w:fldChar w:fldCharType="separate"/>
      </w:r>
      <w:r>
        <w:rPr>
          <w:rFonts w:hint="eastAsia" w:ascii="仿宋_GB2312" w:hAnsi="仿宋_GB2312" w:eastAsia="仿宋_GB2312" w:cs="仿宋_GB2312"/>
          <w:sz w:val="28"/>
          <w:szCs w:val="28"/>
        </w:rPr>
        <w:t>（二）202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年重点工作</w:t>
      </w:r>
      <w:r>
        <w:rPr>
          <w:sz w:val="28"/>
          <w:szCs w:val="28"/>
        </w:rPr>
        <w:tab/>
      </w:r>
      <w:r>
        <w:rPr>
          <w:rFonts w:hint="eastAsia"/>
          <w:sz w:val="28"/>
          <w:szCs w:val="28"/>
          <w:lang w:val="en-US" w:eastAsia="zh-CN"/>
        </w:rPr>
        <w:t>3</w:t>
      </w:r>
      <w:r>
        <w:rPr>
          <w:rFonts w:hint="eastAsia"/>
          <w:sz w:val="28"/>
          <w:szCs w:val="28"/>
        </w:rPr>
        <w:fldChar w:fldCharType="end"/>
      </w:r>
    </w:p>
    <w:p w14:paraId="0B112A43">
      <w:pPr>
        <w:pStyle w:val="11"/>
        <w:tabs>
          <w:tab w:val="right" w:leader="dot" w:pos="8306"/>
        </w:tabs>
        <w:rPr>
          <w:sz w:val="28"/>
          <w:szCs w:val="28"/>
        </w:rPr>
      </w:pPr>
      <w:r>
        <w:fldChar w:fldCharType="begin"/>
      </w:r>
      <w:r>
        <w:instrText xml:space="preserve"> HYPERLINK \l "_Toc14511" </w:instrText>
      </w:r>
      <w:r>
        <w:fldChar w:fldCharType="separate"/>
      </w:r>
      <w:r>
        <w:rPr>
          <w:rFonts w:hint="eastAsia" w:ascii="黑体" w:hAnsi="黑体" w:eastAsia="黑体" w:cs="黑体"/>
          <w:bCs/>
          <w:sz w:val="28"/>
          <w:szCs w:val="28"/>
        </w:rPr>
        <w:t>二、部门预算单位构成</w:t>
      </w:r>
      <w:r>
        <w:rPr>
          <w:sz w:val="28"/>
          <w:szCs w:val="28"/>
        </w:rPr>
        <w:tab/>
      </w:r>
      <w:r>
        <w:rPr>
          <w:rFonts w:hint="eastAsia"/>
          <w:sz w:val="28"/>
          <w:szCs w:val="28"/>
          <w:lang w:val="en-US" w:eastAsia="zh-CN"/>
        </w:rPr>
        <w:t>4</w:t>
      </w:r>
      <w:r>
        <w:rPr>
          <w:rFonts w:hint="eastAsia"/>
          <w:sz w:val="28"/>
          <w:szCs w:val="28"/>
        </w:rPr>
        <w:fldChar w:fldCharType="end"/>
      </w:r>
    </w:p>
    <w:p w14:paraId="23141027">
      <w:pPr>
        <w:pStyle w:val="11"/>
        <w:tabs>
          <w:tab w:val="right" w:leader="dot" w:pos="8306"/>
        </w:tabs>
        <w:rPr>
          <w:sz w:val="28"/>
          <w:szCs w:val="28"/>
        </w:rPr>
      </w:pPr>
      <w:r>
        <w:fldChar w:fldCharType="begin"/>
      </w:r>
      <w:r>
        <w:instrText xml:space="preserve"> HYPERLINK \l "_Toc31424" </w:instrText>
      </w:r>
      <w:r>
        <w:fldChar w:fldCharType="separate"/>
      </w:r>
      <w:r>
        <w:rPr>
          <w:rFonts w:hint="eastAsia" w:ascii="黑体" w:hAnsi="黑体" w:eastAsia="黑体" w:cs="黑体"/>
          <w:bCs/>
          <w:sz w:val="28"/>
          <w:szCs w:val="28"/>
        </w:rPr>
        <w:t>三、收支预算情况说明</w:t>
      </w:r>
      <w:r>
        <w:rPr>
          <w:sz w:val="28"/>
          <w:szCs w:val="28"/>
        </w:rPr>
        <w:tab/>
      </w:r>
      <w:r>
        <w:rPr>
          <w:rFonts w:hint="eastAsia"/>
          <w:sz w:val="28"/>
          <w:szCs w:val="28"/>
          <w:lang w:val="en-US" w:eastAsia="zh-CN"/>
        </w:rPr>
        <w:t>5</w:t>
      </w:r>
      <w:r>
        <w:rPr>
          <w:rFonts w:hint="eastAsia"/>
          <w:sz w:val="28"/>
          <w:szCs w:val="28"/>
        </w:rPr>
        <w:fldChar w:fldCharType="end"/>
      </w:r>
    </w:p>
    <w:p w14:paraId="27E13BF6">
      <w:pPr>
        <w:pStyle w:val="12"/>
        <w:tabs>
          <w:tab w:val="right" w:leader="dot" w:pos="8306"/>
        </w:tabs>
        <w:ind w:left="0" w:leftChars="0" w:firstLine="0" w:firstLineChars="0"/>
        <w:rPr>
          <w:sz w:val="28"/>
          <w:szCs w:val="28"/>
        </w:rPr>
      </w:pPr>
      <w:r>
        <w:fldChar w:fldCharType="begin"/>
      </w:r>
      <w:r>
        <w:instrText xml:space="preserve"> HYPERLINK \l "_Toc1279" </w:instrText>
      </w:r>
      <w:r>
        <w:fldChar w:fldCharType="separate"/>
      </w:r>
      <w:r>
        <w:rPr>
          <w:rFonts w:hint="eastAsia" w:ascii="仿宋_GB2312" w:hAnsi="仿宋_GB2312" w:eastAsia="仿宋_GB2312" w:cs="仿宋_GB2312"/>
          <w:sz w:val="28"/>
          <w:szCs w:val="28"/>
        </w:rPr>
        <w:t>（一）收入预算情况</w:t>
      </w:r>
      <w:r>
        <w:rPr>
          <w:sz w:val="28"/>
          <w:szCs w:val="28"/>
        </w:rPr>
        <w:tab/>
      </w:r>
      <w:r>
        <w:rPr>
          <w:rFonts w:hint="eastAsia"/>
          <w:sz w:val="28"/>
          <w:szCs w:val="28"/>
          <w:lang w:val="en-US" w:eastAsia="zh-CN"/>
        </w:rPr>
        <w:t>5</w:t>
      </w:r>
      <w:r>
        <w:rPr>
          <w:rFonts w:hint="eastAsia"/>
          <w:sz w:val="28"/>
          <w:szCs w:val="28"/>
        </w:rPr>
        <w:fldChar w:fldCharType="end"/>
      </w:r>
    </w:p>
    <w:p w14:paraId="1D3A3717">
      <w:pPr>
        <w:pStyle w:val="12"/>
        <w:tabs>
          <w:tab w:val="right" w:leader="dot" w:pos="8306"/>
        </w:tabs>
        <w:ind w:left="0" w:leftChars="0" w:firstLine="0" w:firstLineChars="0"/>
        <w:rPr>
          <w:sz w:val="28"/>
          <w:szCs w:val="28"/>
        </w:rPr>
      </w:pPr>
      <w:r>
        <w:fldChar w:fldCharType="begin"/>
      </w:r>
      <w:r>
        <w:instrText xml:space="preserve"> HYPERLINK \l "_Toc19613" </w:instrText>
      </w:r>
      <w:r>
        <w:fldChar w:fldCharType="separate"/>
      </w:r>
      <w:r>
        <w:rPr>
          <w:rFonts w:hint="eastAsia" w:ascii="仿宋_GB2312" w:hAnsi="仿宋_GB2312" w:eastAsia="仿宋_GB2312" w:cs="仿宋_GB2312"/>
          <w:sz w:val="28"/>
          <w:szCs w:val="28"/>
        </w:rPr>
        <w:t>（二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支出预算情况</w:t>
      </w:r>
      <w:r>
        <w:rPr>
          <w:sz w:val="28"/>
          <w:szCs w:val="28"/>
        </w:rPr>
        <w:tab/>
      </w:r>
      <w:r>
        <w:rPr>
          <w:rFonts w:hint="eastAsia"/>
          <w:sz w:val="28"/>
          <w:szCs w:val="28"/>
          <w:lang w:val="en-US" w:eastAsia="zh-CN"/>
        </w:rPr>
        <w:t>5</w:t>
      </w:r>
      <w:r>
        <w:rPr>
          <w:rFonts w:hint="eastAsia"/>
          <w:sz w:val="28"/>
          <w:szCs w:val="28"/>
        </w:rPr>
        <w:fldChar w:fldCharType="end"/>
      </w:r>
    </w:p>
    <w:p w14:paraId="232BB302">
      <w:pPr>
        <w:pStyle w:val="11"/>
        <w:tabs>
          <w:tab w:val="right" w:leader="dot" w:pos="8306"/>
        </w:tabs>
        <w:rPr>
          <w:sz w:val="28"/>
          <w:szCs w:val="28"/>
        </w:rPr>
      </w:pPr>
      <w:r>
        <w:fldChar w:fldCharType="begin"/>
      </w:r>
      <w:r>
        <w:instrText xml:space="preserve"> HYPERLINK \l "_Toc31654" </w:instrText>
      </w:r>
      <w:r>
        <w:fldChar w:fldCharType="separate"/>
      </w:r>
      <w:r>
        <w:rPr>
          <w:rFonts w:hint="eastAsia" w:ascii="黑体" w:hAnsi="黑体" w:eastAsia="黑体" w:cs="黑体"/>
          <w:bCs/>
          <w:sz w:val="28"/>
          <w:szCs w:val="28"/>
        </w:rPr>
        <w:t>四、财政拨款收支预算情况说明</w:t>
      </w:r>
      <w:r>
        <w:rPr>
          <w:sz w:val="28"/>
          <w:szCs w:val="28"/>
        </w:rPr>
        <w:tab/>
      </w:r>
      <w:r>
        <w:rPr>
          <w:rFonts w:hint="eastAsia"/>
          <w:sz w:val="28"/>
          <w:szCs w:val="28"/>
          <w:lang w:val="en-US" w:eastAsia="zh-CN"/>
        </w:rPr>
        <w:t>5</w:t>
      </w:r>
      <w:r>
        <w:rPr>
          <w:rFonts w:hint="eastAsia"/>
          <w:sz w:val="28"/>
          <w:szCs w:val="28"/>
        </w:rPr>
        <w:fldChar w:fldCharType="end"/>
      </w:r>
    </w:p>
    <w:p w14:paraId="6167628A">
      <w:pPr>
        <w:pStyle w:val="11"/>
        <w:tabs>
          <w:tab w:val="right" w:leader="dot" w:pos="8306"/>
        </w:tabs>
        <w:rPr>
          <w:rFonts w:hint="eastAsia"/>
          <w:sz w:val="28"/>
          <w:szCs w:val="28"/>
        </w:rPr>
      </w:pPr>
      <w:r>
        <w:fldChar w:fldCharType="begin"/>
      </w:r>
      <w:r>
        <w:instrText xml:space="preserve"> HYPERLINK \l "_Toc29200" </w:instrText>
      </w:r>
      <w:r>
        <w:fldChar w:fldCharType="separate"/>
      </w:r>
      <w:r>
        <w:rPr>
          <w:rFonts w:hint="eastAsia" w:ascii="黑体" w:hAnsi="黑体" w:eastAsia="黑体" w:cs="黑体"/>
          <w:bCs/>
          <w:sz w:val="28"/>
          <w:szCs w:val="28"/>
        </w:rPr>
        <w:t>五、一般公共预算当年拨款情况说明</w:t>
      </w:r>
      <w:r>
        <w:rPr>
          <w:rFonts w:hint="eastAsia" w:ascii="黑体" w:hAnsi="黑体" w:eastAsia="黑体" w:cs="黑体"/>
          <w:bCs/>
          <w:sz w:val="28"/>
          <w:szCs w:val="28"/>
          <w:lang w:val="en-US" w:eastAsia="zh-CN"/>
        </w:rPr>
        <w:t>...........................</w:t>
      </w:r>
      <w:r>
        <w:rPr>
          <w:rFonts w:hint="eastAsia"/>
          <w:sz w:val="28"/>
          <w:szCs w:val="28"/>
          <w:lang w:val="en-US" w:eastAsia="zh-CN"/>
        </w:rPr>
        <w:t>6</w:t>
      </w:r>
      <w:r>
        <w:rPr>
          <w:rFonts w:hint="eastAsia"/>
          <w:sz w:val="28"/>
          <w:szCs w:val="28"/>
        </w:rPr>
        <w:fldChar w:fldCharType="end"/>
      </w:r>
    </w:p>
    <w:p w14:paraId="2D90D088">
      <w:pPr>
        <w:rPr>
          <w:rFonts w:hint="eastAsia"/>
          <w:sz w:val="28"/>
          <w:szCs w:val="28"/>
          <w:lang w:val="en-US" w:eastAsia="zh-CN"/>
        </w:rPr>
      </w:pPr>
      <w:r>
        <w:rPr>
          <w:rFonts w:hint="eastAsia"/>
          <w:sz w:val="28"/>
          <w:szCs w:val="28"/>
          <w:lang w:eastAsia="zh-CN"/>
        </w:rPr>
        <w:t>（一）一般公共预算当年拨款规模变化情况</w:t>
      </w:r>
      <w:r>
        <w:rPr>
          <w:rFonts w:hint="eastAsia"/>
          <w:sz w:val="28"/>
          <w:szCs w:val="28"/>
          <w:lang w:val="en-US" w:eastAsia="zh-CN"/>
        </w:rPr>
        <w:t>.........................................6</w:t>
      </w:r>
    </w:p>
    <w:p w14:paraId="3E74D805">
      <w:pPr>
        <w:pStyle w:val="8"/>
        <w:rPr>
          <w:rFonts w:hint="eastAsia"/>
          <w:sz w:val="28"/>
          <w:szCs w:val="28"/>
          <w:lang w:val="en-US" w:eastAsia="zh-CN"/>
        </w:rPr>
      </w:pPr>
      <w:r>
        <w:rPr>
          <w:rFonts w:hint="eastAsia"/>
          <w:sz w:val="28"/>
          <w:szCs w:val="28"/>
          <w:lang w:val="en-US" w:eastAsia="zh-CN"/>
        </w:rPr>
        <w:t>（二）一般公共预算当年拨款结构情况..................................................6</w:t>
      </w:r>
    </w:p>
    <w:p w14:paraId="70B47B65">
      <w:pPr>
        <w:rPr>
          <w:rFonts w:hint="default"/>
          <w:lang w:val="en-US" w:eastAsia="zh-CN"/>
        </w:rPr>
      </w:pPr>
      <w:r>
        <w:rPr>
          <w:rFonts w:hint="eastAsia"/>
          <w:sz w:val="28"/>
          <w:szCs w:val="28"/>
          <w:lang w:val="en-US" w:eastAsia="zh-CN"/>
        </w:rPr>
        <w:t>（三）一般公共预算当年具体使用情况................................................7</w:t>
      </w:r>
    </w:p>
    <w:p w14:paraId="5CF2A79D">
      <w:pPr>
        <w:pStyle w:val="11"/>
        <w:tabs>
          <w:tab w:val="right" w:leader="dot" w:pos="8306"/>
        </w:tabs>
        <w:rPr>
          <w:sz w:val="28"/>
          <w:szCs w:val="28"/>
        </w:rPr>
      </w:pPr>
      <w:r>
        <w:fldChar w:fldCharType="begin"/>
      </w:r>
      <w:r>
        <w:instrText xml:space="preserve"> HYPERLINK \l "_Toc1201" </w:instrText>
      </w:r>
      <w:r>
        <w:fldChar w:fldCharType="separate"/>
      </w:r>
      <w:r>
        <w:rPr>
          <w:rFonts w:hint="eastAsia" w:ascii="黑体" w:hAnsi="黑体" w:eastAsia="黑体" w:cs="黑体"/>
          <w:bCs/>
          <w:sz w:val="28"/>
          <w:szCs w:val="28"/>
        </w:rPr>
        <w:t>六、一般公共预算基本支出情况说明</w:t>
      </w:r>
      <w:r>
        <w:rPr>
          <w:sz w:val="28"/>
          <w:szCs w:val="28"/>
        </w:rPr>
        <w:tab/>
      </w:r>
      <w:r>
        <w:rPr>
          <w:rFonts w:hint="eastAsia"/>
          <w:sz w:val="28"/>
          <w:szCs w:val="28"/>
          <w:lang w:val="en-US" w:eastAsia="zh-CN"/>
        </w:rPr>
        <w:t>....................................................7</w:t>
      </w:r>
      <w:r>
        <w:rPr>
          <w:rFonts w:hint="eastAsia"/>
          <w:sz w:val="28"/>
          <w:szCs w:val="28"/>
        </w:rPr>
        <w:fldChar w:fldCharType="end"/>
      </w:r>
    </w:p>
    <w:p w14:paraId="17F96989">
      <w:pPr>
        <w:pStyle w:val="11"/>
        <w:tabs>
          <w:tab w:val="right" w:leader="dot" w:pos="8306"/>
        </w:tabs>
        <w:rPr>
          <w:rFonts w:hint="eastAsia"/>
          <w:sz w:val="28"/>
          <w:szCs w:val="28"/>
          <w:lang w:val="en-US" w:eastAsia="zh-CN"/>
        </w:rPr>
      </w:pPr>
      <w:r>
        <w:fldChar w:fldCharType="begin"/>
      </w:r>
      <w:r>
        <w:instrText xml:space="preserve"> HYPERLINK \l "_Toc10718" </w:instrText>
      </w:r>
      <w:r>
        <w:fldChar w:fldCharType="separate"/>
      </w:r>
      <w:r>
        <w:rPr>
          <w:rFonts w:hint="eastAsia" w:ascii="黑体" w:hAnsi="黑体" w:eastAsia="黑体" w:cs="黑体"/>
          <w:bCs/>
          <w:sz w:val="28"/>
          <w:szCs w:val="28"/>
        </w:rPr>
        <w:t>七、“三公”经费财政拨款预算安排情况说明</w:t>
      </w:r>
      <w:r>
        <w:rPr>
          <w:sz w:val="28"/>
          <w:szCs w:val="28"/>
        </w:rPr>
        <w:tab/>
      </w:r>
      <w:r>
        <w:rPr>
          <w:rFonts w:hint="eastAsia"/>
          <w:sz w:val="28"/>
          <w:szCs w:val="28"/>
        </w:rPr>
        <w:fldChar w:fldCharType="end"/>
      </w:r>
      <w:r>
        <w:rPr>
          <w:rFonts w:hint="eastAsia"/>
          <w:sz w:val="28"/>
          <w:szCs w:val="28"/>
          <w:lang w:val="en-US" w:eastAsia="zh-CN"/>
        </w:rPr>
        <w:t>.............7</w:t>
      </w:r>
    </w:p>
    <w:p w14:paraId="74AB7208">
      <w:pPr>
        <w:pStyle w:val="11"/>
        <w:tabs>
          <w:tab w:val="right" w:leader="dot" w:pos="8306"/>
        </w:tabs>
        <w:rPr>
          <w:rFonts w:hint="eastAsia" w:eastAsia="宋体"/>
          <w:sz w:val="28"/>
          <w:szCs w:val="28"/>
          <w:lang w:val="en-US" w:eastAsia="zh-CN"/>
        </w:rPr>
      </w:pPr>
      <w:r>
        <w:fldChar w:fldCharType="begin"/>
      </w:r>
      <w:r>
        <w:instrText xml:space="preserve"> HYPERLINK \l "_Toc10007" </w:instrText>
      </w:r>
      <w:r>
        <w:fldChar w:fldCharType="separate"/>
      </w:r>
      <w:r>
        <w:rPr>
          <w:rFonts w:hint="eastAsia" w:ascii="黑体" w:hAnsi="黑体" w:eastAsia="黑体" w:cs="黑体"/>
          <w:bCs/>
          <w:sz w:val="28"/>
          <w:szCs w:val="28"/>
        </w:rPr>
        <w:t>八、政府性基金预算支出情况说明</w:t>
      </w:r>
      <w:r>
        <w:rPr>
          <w:sz w:val="28"/>
          <w:szCs w:val="28"/>
        </w:rPr>
        <w:tab/>
      </w:r>
      <w:r>
        <w:rPr>
          <w:rFonts w:hint="eastAsia"/>
          <w:sz w:val="28"/>
          <w:szCs w:val="28"/>
        </w:rPr>
        <w:fldChar w:fldCharType="end"/>
      </w:r>
      <w:r>
        <w:rPr>
          <w:rFonts w:hint="eastAsia"/>
          <w:sz w:val="28"/>
          <w:szCs w:val="28"/>
          <w:lang w:val="en-US" w:eastAsia="zh-CN"/>
        </w:rPr>
        <w:t>.8</w:t>
      </w:r>
    </w:p>
    <w:p w14:paraId="0900AB07">
      <w:pPr>
        <w:pStyle w:val="11"/>
        <w:tabs>
          <w:tab w:val="right" w:leader="dot" w:pos="8306"/>
        </w:tabs>
        <w:rPr>
          <w:rFonts w:hint="eastAsia" w:eastAsia="宋体"/>
          <w:sz w:val="28"/>
          <w:szCs w:val="28"/>
          <w:lang w:val="en-US" w:eastAsia="zh-CN"/>
        </w:rPr>
      </w:pPr>
      <w:r>
        <w:fldChar w:fldCharType="begin"/>
      </w:r>
      <w:r>
        <w:instrText xml:space="preserve"> HYPERLINK \l "_Toc7518" </w:instrText>
      </w:r>
      <w:r>
        <w:fldChar w:fldCharType="separate"/>
      </w:r>
      <w:r>
        <w:rPr>
          <w:rFonts w:hint="eastAsia" w:ascii="黑体" w:hAnsi="黑体" w:eastAsia="黑体" w:cs="黑体"/>
          <w:bCs/>
          <w:kern w:val="44"/>
          <w:sz w:val="28"/>
          <w:szCs w:val="28"/>
        </w:rPr>
        <w:t>九、其他重要事项的情况说明</w:t>
      </w:r>
      <w:r>
        <w:rPr>
          <w:sz w:val="28"/>
          <w:szCs w:val="28"/>
        </w:rPr>
        <w:tab/>
      </w:r>
      <w:r>
        <w:rPr>
          <w:rFonts w:hint="eastAsia"/>
          <w:sz w:val="28"/>
          <w:szCs w:val="28"/>
        </w:rPr>
        <w:fldChar w:fldCharType="end"/>
      </w:r>
      <w:r>
        <w:rPr>
          <w:rFonts w:hint="eastAsia"/>
          <w:sz w:val="28"/>
          <w:szCs w:val="28"/>
          <w:lang w:val="en-US" w:eastAsia="zh-CN"/>
        </w:rPr>
        <w:t>....8</w:t>
      </w:r>
    </w:p>
    <w:p w14:paraId="0663A1B2">
      <w:pPr>
        <w:pStyle w:val="12"/>
        <w:tabs>
          <w:tab w:val="right" w:leader="dot" w:pos="8306"/>
        </w:tabs>
        <w:rPr>
          <w:rFonts w:hint="eastAsia" w:eastAsia="宋体"/>
          <w:sz w:val="28"/>
          <w:szCs w:val="28"/>
          <w:lang w:val="en-US" w:eastAsia="zh-CN"/>
        </w:rPr>
      </w:pPr>
      <w:r>
        <w:fldChar w:fldCharType="begin"/>
      </w:r>
      <w:r>
        <w:instrText xml:space="preserve"> HYPERLINK \l "_Toc5156" </w:instrText>
      </w:r>
      <w:r>
        <w:fldChar w:fldCharType="separate"/>
      </w:r>
      <w:r>
        <w:rPr>
          <w:rFonts w:hint="eastAsia" w:ascii="仿宋_GB2312" w:hAnsi="仿宋_GB2312" w:eastAsia="仿宋_GB2312" w:cs="仿宋_GB2312"/>
          <w:sz w:val="28"/>
          <w:szCs w:val="28"/>
        </w:rPr>
        <w:t>（一）机关运行经费</w:t>
      </w:r>
      <w:r>
        <w:rPr>
          <w:sz w:val="28"/>
          <w:szCs w:val="28"/>
        </w:rPr>
        <w:tab/>
      </w:r>
      <w:r>
        <w:rPr>
          <w:rFonts w:hint="eastAsia"/>
          <w:sz w:val="28"/>
          <w:szCs w:val="28"/>
        </w:rPr>
        <w:fldChar w:fldCharType="end"/>
      </w:r>
      <w:r>
        <w:rPr>
          <w:rFonts w:hint="eastAsia"/>
          <w:sz w:val="28"/>
          <w:szCs w:val="28"/>
          <w:lang w:val="en-US" w:eastAsia="zh-CN"/>
        </w:rPr>
        <w:t>.8</w:t>
      </w:r>
    </w:p>
    <w:p w14:paraId="78D8E09F">
      <w:pPr>
        <w:pStyle w:val="12"/>
        <w:tabs>
          <w:tab w:val="right" w:leader="dot" w:pos="8306"/>
        </w:tabs>
        <w:rPr>
          <w:rFonts w:hint="eastAsia" w:eastAsia="宋体"/>
          <w:sz w:val="28"/>
          <w:szCs w:val="28"/>
          <w:lang w:val="en-US" w:eastAsia="zh-CN"/>
        </w:rPr>
      </w:pPr>
      <w:r>
        <w:fldChar w:fldCharType="begin"/>
      </w:r>
      <w:r>
        <w:instrText xml:space="preserve"> HYPERLINK \l "_Toc30900" </w:instrText>
      </w:r>
      <w:r>
        <w:fldChar w:fldCharType="separate"/>
      </w:r>
      <w:r>
        <w:rPr>
          <w:rFonts w:hint="eastAsia" w:ascii="仿宋_GB2312" w:hAnsi="仿宋_GB2312" w:eastAsia="仿宋_GB2312" w:cs="仿宋_GB2312"/>
          <w:sz w:val="28"/>
          <w:szCs w:val="28"/>
        </w:rPr>
        <w:t>（二）政府采购情况</w:t>
      </w:r>
      <w:r>
        <w:rPr>
          <w:sz w:val="28"/>
          <w:szCs w:val="28"/>
        </w:rPr>
        <w:tab/>
      </w:r>
      <w:r>
        <w:rPr>
          <w:rFonts w:hint="eastAsia"/>
          <w:sz w:val="28"/>
          <w:szCs w:val="28"/>
        </w:rPr>
        <w:fldChar w:fldCharType="end"/>
      </w:r>
      <w:r>
        <w:rPr>
          <w:rFonts w:hint="eastAsia"/>
          <w:sz w:val="28"/>
          <w:szCs w:val="28"/>
          <w:lang w:val="en-US" w:eastAsia="zh-CN"/>
        </w:rPr>
        <w:t>.8</w:t>
      </w:r>
    </w:p>
    <w:p w14:paraId="05E01CEE">
      <w:pPr>
        <w:pStyle w:val="12"/>
        <w:tabs>
          <w:tab w:val="right" w:leader="dot" w:pos="8306"/>
        </w:tabs>
        <w:rPr>
          <w:rFonts w:hint="eastAsia" w:eastAsia="宋体"/>
          <w:sz w:val="28"/>
          <w:szCs w:val="28"/>
          <w:lang w:val="en-US" w:eastAsia="zh-CN"/>
        </w:rPr>
      </w:pPr>
      <w:r>
        <w:fldChar w:fldCharType="begin"/>
      </w:r>
      <w:r>
        <w:instrText xml:space="preserve"> HYPERLINK \l "_Toc12108" </w:instrText>
      </w:r>
      <w:r>
        <w:fldChar w:fldCharType="separate"/>
      </w:r>
      <w:r>
        <w:rPr>
          <w:rFonts w:hint="eastAsia" w:cs="仿宋_GB2312"/>
          <w:sz w:val="28"/>
          <w:szCs w:val="28"/>
        </w:rPr>
        <w:t>（三）</w:t>
      </w:r>
      <w:r>
        <w:rPr>
          <w:rFonts w:hint="eastAsia" w:ascii="仿宋_GB2312" w:hAnsi="仿宋_GB2312" w:eastAsia="仿宋_GB2312" w:cs="仿宋_GB2312"/>
          <w:sz w:val="28"/>
          <w:szCs w:val="28"/>
        </w:rPr>
        <w:t>国有资产占有使用情况</w:t>
      </w:r>
      <w:r>
        <w:rPr>
          <w:sz w:val="28"/>
          <w:szCs w:val="28"/>
        </w:rPr>
        <w:tab/>
      </w:r>
      <w:r>
        <w:rPr>
          <w:rFonts w:hint="eastAsia"/>
          <w:sz w:val="28"/>
          <w:szCs w:val="28"/>
        </w:rPr>
        <w:fldChar w:fldCharType="end"/>
      </w:r>
      <w:r>
        <w:rPr>
          <w:rFonts w:hint="eastAsia"/>
          <w:sz w:val="28"/>
          <w:szCs w:val="28"/>
          <w:lang w:val="en-US" w:eastAsia="zh-CN"/>
        </w:rPr>
        <w:t>.8</w:t>
      </w:r>
    </w:p>
    <w:p w14:paraId="5380A842">
      <w:pPr>
        <w:pStyle w:val="12"/>
        <w:tabs>
          <w:tab w:val="right" w:leader="dot" w:pos="8306"/>
        </w:tabs>
        <w:rPr>
          <w:rFonts w:hint="eastAsia" w:eastAsia="宋体"/>
          <w:sz w:val="28"/>
          <w:szCs w:val="28"/>
          <w:lang w:val="en-US" w:eastAsia="zh-CN"/>
        </w:rPr>
      </w:pPr>
      <w:r>
        <w:fldChar w:fldCharType="begin"/>
      </w:r>
      <w:r>
        <w:instrText xml:space="preserve"> HYPERLINK \l "_Toc25053" </w:instrText>
      </w:r>
      <w:r>
        <w:fldChar w:fldCharType="separate"/>
      </w:r>
      <w:r>
        <w:rPr>
          <w:rFonts w:hint="eastAsia" w:cs="仿宋_GB2312"/>
          <w:sz w:val="28"/>
          <w:szCs w:val="28"/>
        </w:rPr>
        <w:t>（四）绩效目标设置情况</w:t>
      </w:r>
      <w:r>
        <w:rPr>
          <w:sz w:val="28"/>
          <w:szCs w:val="28"/>
        </w:rPr>
        <w:tab/>
      </w:r>
      <w:r>
        <w:rPr>
          <w:rFonts w:hint="eastAsia"/>
          <w:sz w:val="28"/>
          <w:szCs w:val="28"/>
        </w:rPr>
        <w:fldChar w:fldCharType="end"/>
      </w:r>
      <w:r>
        <w:rPr>
          <w:rFonts w:hint="eastAsia"/>
          <w:sz w:val="28"/>
          <w:szCs w:val="28"/>
          <w:lang w:val="en-US" w:eastAsia="zh-CN"/>
        </w:rPr>
        <w:t>.8</w:t>
      </w:r>
    </w:p>
    <w:p w14:paraId="68BCA017">
      <w:pPr>
        <w:pStyle w:val="11"/>
        <w:tabs>
          <w:tab w:val="right" w:leader="dot" w:pos="8306"/>
        </w:tabs>
        <w:rPr>
          <w:rFonts w:hint="eastAsia" w:eastAsia="宋体"/>
          <w:lang w:val="en-US" w:eastAsia="zh-CN"/>
        </w:rPr>
      </w:pPr>
      <w:r>
        <w:fldChar w:fldCharType="begin"/>
      </w:r>
      <w:r>
        <w:instrText xml:space="preserve"> HYPERLINK \l "_Toc32139" </w:instrText>
      </w:r>
      <w:r>
        <w:fldChar w:fldCharType="separate"/>
      </w:r>
      <w:r>
        <w:rPr>
          <w:rFonts w:hint="eastAsia" w:ascii="黑体" w:hAnsi="黑体" w:eastAsia="黑体" w:cs="黑体"/>
          <w:bCs/>
          <w:kern w:val="44"/>
          <w:sz w:val="28"/>
          <w:szCs w:val="28"/>
        </w:rPr>
        <w:t>十、名称解释</w:t>
      </w:r>
      <w:r>
        <w:rPr>
          <w:sz w:val="28"/>
          <w:szCs w:val="28"/>
        </w:rPr>
        <w:tab/>
      </w:r>
      <w:r>
        <w:rPr>
          <w:rFonts w:hint="eastAsia"/>
          <w:sz w:val="28"/>
          <w:szCs w:val="28"/>
        </w:rPr>
        <w:fldChar w:fldCharType="end"/>
      </w:r>
      <w:r>
        <w:rPr>
          <w:rFonts w:hint="eastAsia"/>
          <w:sz w:val="28"/>
          <w:szCs w:val="28"/>
          <w:lang w:val="en-US" w:eastAsia="zh-CN"/>
        </w:rPr>
        <w:t>..</w:t>
      </w:r>
      <w:r>
        <w:rPr>
          <w:rFonts w:hint="eastAsia" w:ascii="黑体" w:hAnsi="黑体" w:eastAsia="黑体" w:cs="Times New Roman"/>
          <w:sz w:val="28"/>
          <w:szCs w:val="28"/>
          <w:lang w:val="en-US" w:eastAsia="zh-CN"/>
        </w:rPr>
        <w:t>9</w:t>
      </w:r>
    </w:p>
    <w:p w14:paraId="58A0F6A7">
      <w:pPr>
        <w:pStyle w:val="4"/>
        <w:rPr>
          <w:rFonts w:ascii="??" w:hAnsi="??" w:cs="??"/>
          <w:sz w:val="12"/>
          <w:szCs w:val="12"/>
        </w:rPr>
      </w:pPr>
      <w:r>
        <w:rPr>
          <w:rFonts w:ascii="黑体" w:hAnsi="黑体" w:eastAsia="黑体" w:cs="Times New Roman"/>
          <w:szCs w:val="44"/>
        </w:rPr>
        <w:fldChar w:fldCharType="end"/>
      </w:r>
    </w:p>
    <w:p w14:paraId="2F9F406C">
      <w:pPr>
        <w:pStyle w:val="19"/>
        <w:numPr>
          <w:ilvl w:val="0"/>
          <w:numId w:val="1"/>
        </w:numPr>
        <w:spacing w:before="0" w:line="360" w:lineRule="auto"/>
        <w:ind w:firstLine="627" w:firstLineChars="196"/>
        <w:rPr>
          <w:rFonts w:ascii="黑体" w:hAnsi="黑体" w:eastAsia="黑体" w:cs="黑体"/>
          <w:kern w:val="2"/>
          <w:sz w:val="32"/>
          <w:szCs w:val="32"/>
        </w:rPr>
      </w:pPr>
      <w:r>
        <w:rPr>
          <w:rFonts w:hint="eastAsia" w:ascii="黑体" w:hAnsi="黑体" w:eastAsia="黑体" w:cs="黑体"/>
          <w:kern w:val="2"/>
          <w:sz w:val="32"/>
          <w:szCs w:val="32"/>
        </w:rPr>
        <w:t>基本职能及主要工作</w:t>
      </w:r>
    </w:p>
    <w:p w14:paraId="2D700D56">
      <w:pPr>
        <w:pStyle w:val="19"/>
        <w:spacing w:before="0" w:line="360" w:lineRule="auto"/>
        <w:ind w:firstLine="643" w:firstLineChars="200"/>
        <w:rPr>
          <w:rFonts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（一）部门职能简介</w:t>
      </w:r>
    </w:p>
    <w:p w14:paraId="3956CD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0" w:name="_GoBack"/>
      <w:r>
        <w:rPr>
          <w:rFonts w:hint="eastAsia" w:ascii="仿宋_GB2312" w:hAnsi="仿宋_GB2312" w:eastAsia="仿宋_GB2312" w:cs="仿宋_GB2312"/>
          <w:sz w:val="32"/>
          <w:szCs w:val="32"/>
          <w:lang w:val="en-US" w:eastAsia="zh-CN"/>
        </w:rPr>
        <w:t>1、承担机关政务及党务工作。组织协调政风行风建设、意识形态、政务督查、目标考核等工作。</w:t>
      </w:r>
    </w:p>
    <w:p w14:paraId="38C58B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2、负责监督管理全州减排目标的落实。</w:t>
      </w:r>
    </w:p>
    <w:p w14:paraId="3F9974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3、负责建立健全全县生态环境基本制度。</w:t>
      </w:r>
    </w:p>
    <w:p w14:paraId="70B094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4、负责全县生态环境准入的监督管理。</w:t>
      </w:r>
    </w:p>
    <w:p w14:paraId="6B4EEA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5、加强全县生态环境监督执法管理、指导工作。</w:t>
      </w:r>
    </w:p>
    <w:p w14:paraId="2ABDFC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6、监督执行国家、省、州的生态环境监测制度和规范。</w:t>
      </w:r>
    </w:p>
    <w:p w14:paraId="72EF64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7、负责办单位实施的建设项目的监督管理。</w:t>
      </w:r>
    </w:p>
    <w:bookmarkEnd w:id="0"/>
    <w:p w14:paraId="1EC21D3A">
      <w:pPr>
        <w:pStyle w:val="19"/>
        <w:spacing w:before="0" w:line="360" w:lineRule="auto"/>
        <w:ind w:firstLine="630" w:firstLineChars="196"/>
        <w:rPr>
          <w:rFonts w:hint="eastAsia" w:hAnsi="黑体"/>
          <w:b/>
          <w:bCs/>
          <w:kern w:val="2"/>
          <w:sz w:val="32"/>
          <w:szCs w:val="32"/>
        </w:rPr>
      </w:pPr>
      <w:r>
        <w:rPr>
          <w:rFonts w:hint="eastAsia" w:hAnsi="黑体"/>
          <w:b/>
          <w:bCs/>
          <w:kern w:val="2"/>
          <w:sz w:val="32"/>
          <w:szCs w:val="32"/>
        </w:rPr>
        <w:t>（二）202</w:t>
      </w:r>
      <w:r>
        <w:rPr>
          <w:rFonts w:hint="eastAsia" w:hAnsi="黑体"/>
          <w:b/>
          <w:bCs/>
          <w:kern w:val="2"/>
          <w:sz w:val="32"/>
          <w:szCs w:val="32"/>
          <w:lang w:val="en-US" w:eastAsia="zh-CN"/>
        </w:rPr>
        <w:t>5</w:t>
      </w:r>
      <w:r>
        <w:rPr>
          <w:rFonts w:hint="eastAsia" w:hAnsi="黑体"/>
          <w:b/>
          <w:bCs/>
          <w:kern w:val="2"/>
          <w:sz w:val="32"/>
          <w:szCs w:val="32"/>
        </w:rPr>
        <w:t>年重点工作</w:t>
      </w:r>
    </w:p>
    <w:p w14:paraId="0A7EA0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1.持续加强生态治理保护。</w:t>
      </w:r>
      <w:r>
        <w:rPr>
          <w:rFonts w:hint="eastAsia" w:ascii="仿宋_GB2312" w:hAnsi="仿宋_GB2312" w:eastAsia="仿宋_GB2312" w:cs="仿宋_GB2312"/>
          <w:sz w:val="32"/>
          <w:szCs w:val="32"/>
          <w:lang w:val="en-US" w:eastAsia="zh-CN"/>
        </w:rPr>
        <w:t>做好农村生活污水处理设施的监管工作，定期或不定期对我县划定饮用水保护区进行巡查，保障饮用水安全。针对全县建设项目及时核查是否占用饮用水源地保护区，及时反馈解决存在的占用饮用水源地保护区风险；加强项目谋划储备工作，安排专人负责，认真</w:t>
      </w:r>
      <w:r>
        <w:rPr>
          <w:rFonts w:hint="eastAsia" w:ascii="仿宋_GB2312" w:hAnsi="仿宋_GB2312" w:eastAsia="仿宋_GB2312" w:cs="仿宋_GB2312"/>
          <w:sz w:val="32"/>
          <w:szCs w:val="32"/>
          <w:lang w:val="en-US" w:eastAsia="zh-CN"/>
        </w:rPr>
        <w:t>学习研究《申报指南》，提前谋划中央、省、</w:t>
      </w:r>
      <w:r>
        <w:rPr>
          <w:rFonts w:hint="eastAsia" w:ascii="仿宋_GB2312" w:hAnsi="仿宋_GB2312" w:eastAsia="仿宋_GB2312" w:cs="仿宋_GB2312"/>
          <w:sz w:val="32"/>
          <w:szCs w:val="32"/>
          <w:lang w:val="en-US" w:eastAsia="zh-CN"/>
        </w:rPr>
        <w:t>州级生态环境保护专项资金项目的储备、申报。</w:t>
      </w:r>
    </w:p>
    <w:p w14:paraId="6006472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2.持续助力重点项目环评服务。</w:t>
      </w:r>
      <w:r>
        <w:rPr>
          <w:rFonts w:hint="eastAsia" w:ascii="仿宋_GB2312" w:hAnsi="仿宋_GB2312" w:eastAsia="仿宋_GB2312" w:cs="仿宋_GB2312"/>
          <w:sz w:val="32"/>
          <w:szCs w:val="32"/>
          <w:lang w:val="en-US" w:eastAsia="zh-CN"/>
        </w:rPr>
        <w:t>进一步强化2025年理县重大项目环评主动跟进服务；进一步督促县域内已审批环评项目建设完成后及时开展环保验收；进一步加强指导和督促排污许可证执证企业全面落实排污许可制度。</w:t>
      </w:r>
    </w:p>
    <w:p w14:paraId="667A20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3.持续抓好督察问题整改。</w:t>
      </w:r>
      <w:r>
        <w:rPr>
          <w:rFonts w:hint="eastAsia" w:ascii="仿宋_GB2312" w:hAnsi="仿宋_GB2312" w:eastAsia="仿宋_GB2312" w:cs="仿宋_GB2312"/>
          <w:sz w:val="32"/>
          <w:szCs w:val="32"/>
          <w:lang w:val="en-US" w:eastAsia="zh-CN"/>
        </w:rPr>
        <w:t>严格落实“清单制+责任制+销号制”等制度来压紧压实责任，充分运用“挂牌督办、通报约谈、移送追责”等手段来加大督查督办，落实问题整改，确保</w:t>
      </w:r>
      <w:r>
        <w:rPr>
          <w:rFonts w:hint="eastAsia" w:ascii="仿宋_GB2312" w:hAnsi="仿宋_GB2312" w:eastAsia="仿宋_GB2312" w:cs="仿宋_GB2312"/>
          <w:sz w:val="32"/>
          <w:szCs w:val="32"/>
          <w:lang w:val="en-US" w:eastAsia="zh-CN"/>
        </w:rPr>
        <w:t>督察问题整改任务</w:t>
      </w:r>
      <w:r>
        <w:rPr>
          <w:rFonts w:hint="eastAsia" w:ascii="仿宋_GB2312" w:hAnsi="仿宋_GB2312" w:eastAsia="仿宋_GB2312" w:cs="仿宋_GB2312"/>
          <w:sz w:val="32"/>
          <w:szCs w:val="32"/>
          <w:lang w:val="en-US" w:eastAsia="zh-CN"/>
        </w:rPr>
        <w:t>按时完成，</w:t>
      </w:r>
      <w:r>
        <w:rPr>
          <w:rFonts w:hint="eastAsia" w:ascii="仿宋_GB2312" w:hAnsi="仿宋_GB2312" w:eastAsia="仿宋_GB2312" w:cs="仿宋_GB2312"/>
          <w:sz w:val="32"/>
          <w:szCs w:val="32"/>
          <w:lang w:val="en-US" w:eastAsia="zh-CN"/>
        </w:rPr>
        <w:t>销号清零。</w:t>
      </w:r>
    </w:p>
    <w:p w14:paraId="53731C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4.持续加强生态文明建设。</w:t>
      </w:r>
      <w:r>
        <w:rPr>
          <w:rFonts w:hint="eastAsia" w:ascii="仿宋_GB2312" w:hAnsi="仿宋_GB2312" w:eastAsia="仿宋_GB2312" w:cs="仿宋_GB2312"/>
          <w:sz w:val="32"/>
          <w:szCs w:val="32"/>
          <w:lang w:val="en-US" w:eastAsia="zh-CN"/>
        </w:rPr>
        <w:t>充分发挥统筹协调作用，有力有序推进“美丽理县”建设，不断增强人民群众的获得感、幸福感、安全感；充分发挥牵头联络作用，加强与生改专项小组成员单位的沟通联系，及时协调解决生态文明体制改革工作中的热难点问题。</w:t>
      </w:r>
    </w:p>
    <w:p w14:paraId="012A771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5.持续加大环境监管力度。</w:t>
      </w:r>
      <w:r>
        <w:rPr>
          <w:rFonts w:hint="eastAsia" w:ascii="仿宋_GB2312" w:hAnsi="仿宋_GB2312" w:eastAsia="仿宋_GB2312" w:cs="仿宋_GB2312"/>
          <w:sz w:val="32"/>
          <w:szCs w:val="32"/>
          <w:lang w:val="en-US" w:eastAsia="zh-CN"/>
        </w:rPr>
        <w:t>坚持谁执法、谁普法，积极向相关企事业单位负责人及专职环保员等进行普法宣传，提升法律水平和守法意识。</w:t>
      </w:r>
      <w:r>
        <w:rPr>
          <w:rFonts w:hint="eastAsia" w:ascii="仿宋_GB2312" w:hAnsi="仿宋_GB2312" w:eastAsia="仿宋_GB2312" w:cs="仿宋_GB2312"/>
          <w:sz w:val="32"/>
          <w:szCs w:val="32"/>
        </w:rPr>
        <w:t>进一步健全完善环境执法监管联动机制,实现多方位执法监督，</w:t>
      </w:r>
      <w:r>
        <w:rPr>
          <w:rFonts w:hint="eastAsia" w:ascii="仿宋_GB2312" w:hAnsi="仿宋_GB2312" w:eastAsia="仿宋_GB2312" w:cs="仿宋_GB2312"/>
          <w:sz w:val="32"/>
          <w:szCs w:val="32"/>
          <w:lang w:val="en-US" w:eastAsia="zh-CN"/>
        </w:rPr>
        <w:t>持续</w:t>
      </w:r>
      <w:r>
        <w:rPr>
          <w:rFonts w:hint="eastAsia" w:ascii="仿宋_GB2312" w:hAnsi="仿宋_GB2312" w:eastAsia="仿宋_GB2312" w:cs="仿宋_GB2312"/>
          <w:sz w:val="32"/>
          <w:szCs w:val="32"/>
        </w:rPr>
        <w:t>开展高强度、大力度的</w:t>
      </w:r>
      <w:r>
        <w:rPr>
          <w:rFonts w:hint="eastAsia" w:ascii="仿宋_GB2312" w:hAnsi="仿宋_GB2312" w:eastAsia="仿宋_GB2312" w:cs="仿宋_GB2312"/>
          <w:sz w:val="32"/>
          <w:szCs w:val="32"/>
          <w:lang w:val="en-US" w:eastAsia="zh-CN"/>
        </w:rPr>
        <w:t>环境</w:t>
      </w:r>
      <w:r>
        <w:rPr>
          <w:rFonts w:hint="eastAsia" w:ascii="仿宋_GB2312" w:hAnsi="仿宋_GB2312" w:eastAsia="仿宋_GB2312" w:cs="仿宋_GB2312"/>
          <w:sz w:val="32"/>
          <w:szCs w:val="32"/>
        </w:rPr>
        <w:t>违法排污企业专项整治行动,</w:t>
      </w:r>
      <w:r>
        <w:rPr>
          <w:rFonts w:hint="eastAsia" w:ascii="仿宋_GB2312" w:hAnsi="仿宋_GB2312" w:eastAsia="仿宋_GB2312" w:cs="仿宋_GB2312"/>
          <w:sz w:val="32"/>
          <w:szCs w:val="32"/>
          <w:lang w:eastAsia="zh-CN"/>
        </w:rPr>
        <w:t>全力维护全县生态环境安全。</w:t>
      </w:r>
    </w:p>
    <w:p w14:paraId="68E07A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lang w:val="en-US" w:eastAsia="zh-CN"/>
        </w:rPr>
      </w:pPr>
      <w:r>
        <w:rPr>
          <w:rFonts w:hint="eastAsia" w:ascii="楷体_GB2312" w:hAnsi="楷体_GB2312" w:eastAsia="楷体_GB2312" w:cs="楷体_GB2312"/>
          <w:b/>
          <w:bCs/>
          <w:sz w:val="32"/>
          <w:szCs w:val="32"/>
          <w:lang w:val="en-US" w:eastAsia="zh-CN"/>
        </w:rPr>
        <w:t>6.续深入推进从严治党。</w:t>
      </w:r>
      <w:r>
        <w:rPr>
          <w:rFonts w:hint="eastAsia" w:ascii="Times New Roman" w:hAnsi="Times New Roman" w:eastAsia="仿宋_GB2312" w:cs="Times New Roman"/>
          <w:color w:val="auto"/>
          <w:sz w:val="32"/>
          <w:szCs w:val="32"/>
          <w:lang w:val="en-US" w:eastAsia="zh-CN"/>
        </w:rPr>
        <w:t>用反面典型案件强化“不敢腐”的震慑，督促全局党员领导干部不断增强“四个意识"，坚定“四</w:t>
      </w:r>
      <w:r>
        <w:rPr>
          <w:rFonts w:hint="eastAsia" w:ascii="Times New Roman" w:hAnsi="Times New Roman" w:eastAsia="仿宋_GB2312" w:cs="Times New Roman"/>
          <w:color w:val="auto"/>
          <w:sz w:val="36"/>
          <w:szCs w:val="36"/>
          <w:lang w:val="en-US" w:eastAsia="zh-CN"/>
        </w:rPr>
        <w:t>个自信”，做到“两个维护”，时刻以高度的政治自觉，拒腐防变的坚定信念</w:t>
      </w:r>
      <w:r>
        <w:rPr>
          <w:rFonts w:hint="eastAsia" w:ascii="Times New Roman" w:hAnsi="Times New Roman" w:eastAsia="仿宋_GB2312" w:cs="Times New Roman"/>
          <w:color w:val="auto"/>
          <w:sz w:val="32"/>
          <w:szCs w:val="32"/>
          <w:lang w:val="en-US" w:eastAsia="zh-CN"/>
        </w:rPr>
        <w:t>，把党中央全面从严治党坚定决心和坚强意志体现在工作之中。同时，结合单位廉政风险点，坚持自查自纠与集中整改、统筹推进与重点突破、问题导向与使命引领、长远规划与阶段推进相结合,坚持以案促改,真改实改切实增强整改的针对性和实效性，确保整改不留死角、不留盲区。</w:t>
      </w:r>
    </w:p>
    <w:p w14:paraId="20D10B2E">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rPr>
      </w:pPr>
      <w:r>
        <w:rPr>
          <w:rFonts w:hint="eastAsia" w:ascii="黑体" w:hAnsi="黑体" w:eastAsia="黑体" w:cs="黑体"/>
          <w:kern w:val="2"/>
          <w:sz w:val="32"/>
          <w:szCs w:val="32"/>
        </w:rPr>
        <w:t>二、部门预算单位构成</w:t>
      </w:r>
    </w:p>
    <w:p w14:paraId="05FDCCDB">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阿坝州理县生态环境局属二级预算单位，其中：行政单位1个；参照公务员法管理的事业单位2个，本部门内设机构6个。总编制15名，其中：行政编制3名，参照公务员法管理的事业编制12名。在职人员总数10名，其中：行政人员2名，参照公务员法管理的事业人员5名，工勤人员3名；离休人员0人，退休人员1人；编外长期聘用的人员0名。</w:t>
      </w:r>
    </w:p>
    <w:p w14:paraId="03040F2C">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三、收支预算情况说明</w:t>
      </w:r>
    </w:p>
    <w:p w14:paraId="7C41CF88">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按照综合预算的原则，理县生态环境局所有收入和支出均纳入部门预算管理。收入包括：一般公共预算拨款收入204.14万元，事业收入0万元，其他收入0万元，上年结转0万元；支出包括：一般公共服务支出0万元，文化体育与传媒支出0万元，社会保障和就业支出28.74万元，卫生健康支出支出10.98万元， 节能环保支出150.44万元，住房保障支出13.98万元。理县生态环境局2025年收支总预算204.14万元,比2024年收支预算总数减少18.38万元,主要原因是人员减少。</w:t>
      </w:r>
    </w:p>
    <w:p w14:paraId="7615A672">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收入预算情况</w:t>
      </w:r>
    </w:p>
    <w:p w14:paraId="72857EB5">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理县生态环境局2025年收入预算204.14万元，其中：上年结转0万元，占0%；一般公共预算拨款收入204.14万元，占100%；事业收入0万元，占0%；其他收入0万元，占%。</w:t>
      </w:r>
    </w:p>
    <w:p w14:paraId="4229D78A">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支出预算情况</w:t>
      </w:r>
    </w:p>
    <w:p w14:paraId="15511B05">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理县生态环境局2025年支出预算204.14万元，其中：基本支出184.14万元，占90.2%；项目支出20万元，占9.8%。         </w:t>
      </w:r>
    </w:p>
    <w:p w14:paraId="5D1CE684">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四、财政拨款收支预算情况说明</w:t>
      </w:r>
    </w:p>
    <w:p w14:paraId="58DEC53A">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w:t>
      </w:r>
      <w:r>
        <w:rPr>
          <w:rFonts w:hint="eastAsia" w:ascii="Times New Roman" w:hAnsi="Times New Roman" w:eastAsia="仿宋_GB2312" w:cs="Times New Roman"/>
          <w:color w:val="auto"/>
          <w:sz w:val="32"/>
          <w:szCs w:val="32"/>
          <w:lang w:val="en-US" w:eastAsia="zh-CN"/>
        </w:rPr>
        <w:t>理县生态环境局2025年财政拨款收支总预算204.14万元, 比2024年收支预算总数减少18.38万元，主要原因是人员减少。</w:t>
      </w:r>
    </w:p>
    <w:p w14:paraId="00F36702">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收入包括：本年一般公共预算财政拨款收入204.14万元，上</w:t>
      </w:r>
      <w:r>
        <w:rPr>
          <w:rFonts w:hint="eastAsia" w:ascii="Times New Roman" w:hAnsi="Times New Roman" w:eastAsia="仿宋_GB2312" w:cs="Times New Roman"/>
          <w:color w:val="auto"/>
          <w:sz w:val="32"/>
          <w:szCs w:val="32"/>
          <w:lang w:val="en-US" w:eastAsia="zh-CN"/>
        </w:rPr>
        <w:t>年结转一般公共预算收入0万元，上年结转财政拨款资金0万元。</w:t>
      </w:r>
    </w:p>
    <w:p w14:paraId="6F819FA6">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支出包括：本年一般公共预算财政拨款支出204.14万元，其中：一般公共服务支出0万元，教育支出0万元，文化体育与传媒支出0万元，社会保障和就业支出28.74万元，卫生健康支出支出10.98万元，节能环保支出150.44万元，住房保障支出13.98万元。</w:t>
      </w:r>
    </w:p>
    <w:p w14:paraId="608C6919">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rPr>
      </w:pPr>
      <w:r>
        <w:rPr>
          <w:rFonts w:hint="eastAsia" w:ascii="黑体" w:hAnsi="黑体" w:eastAsia="黑体" w:cs="黑体"/>
          <w:kern w:val="2"/>
          <w:sz w:val="32"/>
          <w:szCs w:val="32"/>
        </w:rPr>
        <w:t>一般公共预算当年拨款情况说明</w:t>
      </w:r>
    </w:p>
    <w:p w14:paraId="763F0981">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一般公共预算当年拨款规模变化情况</w:t>
      </w:r>
    </w:p>
    <w:p w14:paraId="43B338D9">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理县生态环境局2025年一般公共预算当年拨款204.14万元，比2024年收支预算总数减少18.38万元。主要原因是人员减少。</w:t>
      </w:r>
    </w:p>
    <w:p w14:paraId="23F74B2F">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一般公共预算当年拨款结构情况</w:t>
      </w:r>
    </w:p>
    <w:p w14:paraId="71517AE6">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般公共服务支出0万元，占0%；教育支出0万元，占0%；文化体育与传媒支出0万元，占0%；社会保障和就业支出28.74万元，占14.08%；卫生健康支出支出10.98万元，占5.38%；节能环保支出150.44万元，占73.69%；住房保障支出13.98万元，占6.85%。</w:t>
      </w:r>
    </w:p>
    <w:p w14:paraId="5BFB0590">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一般公共预算当年拨款具体使用情况</w:t>
      </w:r>
    </w:p>
    <w:p w14:paraId="2E9570B2">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1．社会保障和就业支出28.74万元，主要用于单位职工养老保险、职业年金等支出。</w:t>
      </w:r>
    </w:p>
    <w:p w14:paraId="5DDB4C8D">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2.卫生健康支出10.98万元，主要用于单位职工的医疗保险等保险类支出。</w:t>
      </w:r>
    </w:p>
    <w:p w14:paraId="5FA0E5E2">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3．节能和环保支出150.44万元，主要用于：职工工资、日常运转。开展环保督察、环保宣传、污染防治、生态环境执法、环评文件审查。</w:t>
      </w:r>
    </w:p>
    <w:p w14:paraId="7C69C180">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4．住房保障支出13.98万元，主要用于单位职工的住房公积金等支出。</w:t>
      </w:r>
    </w:p>
    <w:p w14:paraId="703EFCB7">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3" w:firstLineChars="400"/>
        <w:textAlignment w:val="auto"/>
        <w:rPr>
          <w:rFonts w:hint="eastAsia" w:ascii="黑体" w:hAnsi="黑体" w:eastAsia="黑体" w:cs="黑体"/>
          <w:kern w:val="2"/>
          <w:sz w:val="32"/>
          <w:szCs w:val="32"/>
        </w:rPr>
      </w:pPr>
      <w:r>
        <w:rPr>
          <w:rFonts w:ascii="??" w:hAnsi="??" w:eastAsia="宋体" w:cs="??"/>
          <w:b/>
          <w:bCs/>
          <w:sz w:val="16"/>
          <w:szCs w:val="16"/>
        </w:rPr>
        <w:t xml:space="preserve"> </w:t>
      </w:r>
      <w:r>
        <w:rPr>
          <w:rFonts w:hint="eastAsia" w:ascii="黑体" w:hAnsi="黑体" w:eastAsia="黑体" w:cs="黑体"/>
          <w:kern w:val="2"/>
          <w:sz w:val="32"/>
          <w:szCs w:val="32"/>
        </w:rPr>
        <w:t>六、一般公共预算基本支出情况说明</w:t>
      </w:r>
    </w:p>
    <w:p w14:paraId="5B8365A5">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理县生态环境局2025年一般公共预算基本支出184.14万元，其中：</w:t>
      </w:r>
    </w:p>
    <w:p w14:paraId="424F6AC7">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人员经费142.50万元，主要包括：基本工资43.57万元、津贴补贴40.51万元、奖金3.63万元、机关事业单位基本养老保险缴费19.16万元、职业年金缴费9.58万元、职工医疗保险缴费8.38万元、公务员医疗补助2.60万元、其他社会保障缴费0.96万元、住房公积金缴费13.98万元、离退休人员管理费0.13万元。</w:t>
      </w:r>
    </w:p>
    <w:p w14:paraId="7A7F6A97">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公用经费41.64万元，主要包括：办公费1.08万元、水费0.32万元、邮电费3.96元、取暖费0.43万元、差旅费9.58万元、维修（护）费1.06万元、会议费、培训费1.57万元、公务接待费0.71万元、福利费5.90万元、体检费1.83万元、公务用车运行维护费11.52万元、党组织活动经费2.33万元、其他商品和服务支出1.34万元。</w:t>
      </w:r>
    </w:p>
    <w:p w14:paraId="5FE82A4E">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kern w:val="2"/>
          <w:sz w:val="32"/>
          <w:szCs w:val="32"/>
        </w:rPr>
      </w:pPr>
      <w:r>
        <w:rPr>
          <w:rFonts w:hint="eastAsia" w:ascii="黑体" w:hAnsi="黑体" w:eastAsia="黑体" w:cs="Times New Roman"/>
          <w:color w:val="000000" w:themeColor="text1"/>
          <w:kern w:val="2"/>
          <w:sz w:val="32"/>
          <w:szCs w:val="32"/>
          <w:lang w:eastAsia="zh-CN"/>
        </w:rPr>
        <w:t>七、</w:t>
      </w:r>
      <w:r>
        <w:rPr>
          <w:rFonts w:ascii="黑体" w:hAnsi="黑体" w:eastAsia="黑体" w:cs="Times New Roman"/>
          <w:color w:val="000000" w:themeColor="text1"/>
          <w:kern w:val="2"/>
          <w:sz w:val="32"/>
          <w:szCs w:val="32"/>
        </w:rPr>
        <w:t>“</w:t>
      </w:r>
      <w:r>
        <w:rPr>
          <w:rFonts w:hint="eastAsia" w:ascii="黑体" w:hAnsi="黑体" w:eastAsia="黑体" w:cs="黑体"/>
          <w:color w:val="000000" w:themeColor="text1"/>
          <w:kern w:val="2"/>
          <w:sz w:val="32"/>
          <w:szCs w:val="32"/>
        </w:rPr>
        <w:t>三公</w:t>
      </w:r>
      <w:r>
        <w:rPr>
          <w:rFonts w:ascii="黑体" w:hAnsi="黑体" w:eastAsia="黑体" w:cs="Times New Roman"/>
          <w:color w:val="000000" w:themeColor="text1"/>
          <w:kern w:val="2"/>
          <w:sz w:val="32"/>
          <w:szCs w:val="32"/>
        </w:rPr>
        <w:t>”</w:t>
      </w:r>
      <w:r>
        <w:rPr>
          <w:rFonts w:hint="eastAsia" w:ascii="黑体" w:hAnsi="黑体" w:eastAsia="黑体" w:cs="黑体"/>
          <w:color w:val="000000" w:themeColor="text1"/>
          <w:kern w:val="2"/>
          <w:sz w:val="32"/>
          <w:szCs w:val="32"/>
        </w:rPr>
        <w:t>经费财政拨款预算安排情况说明</w:t>
      </w:r>
    </w:p>
    <w:p w14:paraId="5A846AA2">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理县生态环境局2025年“三公”经费财政拨款预算数12.23万元，其中：因公出国（境）经费0万元，公务接待费0.71万元，公务用车购置及运行维护费11.52万元。</w:t>
      </w:r>
    </w:p>
    <w:p w14:paraId="3C74679B">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（一）2025年因公出国（境）经费0万元。较2024年预算经费0万元，无变化。</w:t>
      </w:r>
    </w:p>
    <w:p w14:paraId="6000A52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（二）2025年公务接待经费0.71万元。较2024年预算经费0.78万元减少0.07万元，减少8.97%，</w:t>
      </w:r>
    </w:p>
    <w:p w14:paraId="1641674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（三）2025年公务用车购置及运行维护费11.52万元。较2024年预算经费11.52万元，无变化。</w:t>
      </w:r>
    </w:p>
    <w:p w14:paraId="3E56C2E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rPr>
      </w:pPr>
      <w:r>
        <w:rPr>
          <w:rFonts w:hint="eastAsia" w:ascii="黑体" w:hAnsi="黑体" w:eastAsia="黑体" w:cs="黑体"/>
          <w:kern w:val="2"/>
          <w:sz w:val="32"/>
          <w:szCs w:val="32"/>
          <w:lang w:eastAsia="zh-CN"/>
        </w:rPr>
        <w:t>八、</w:t>
      </w:r>
      <w:r>
        <w:rPr>
          <w:rFonts w:hint="eastAsia" w:ascii="黑体" w:hAnsi="黑体" w:eastAsia="黑体" w:cs="黑体"/>
          <w:kern w:val="2"/>
          <w:sz w:val="32"/>
          <w:szCs w:val="32"/>
        </w:rPr>
        <w:t>政府性基金预算支出情况说明</w:t>
      </w:r>
    </w:p>
    <w:p w14:paraId="46BABB5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理县生态环境局2025年政府性基金预算拨款安排的支出0万元。 </w:t>
      </w:r>
    </w:p>
    <w:p w14:paraId="3D2D1EA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rPr>
      </w:pPr>
      <w:r>
        <w:rPr>
          <w:rFonts w:hint="eastAsia" w:ascii="黑体" w:hAnsi="黑体" w:eastAsia="黑体" w:cs="黑体"/>
          <w:kern w:val="2"/>
          <w:sz w:val="32"/>
          <w:szCs w:val="32"/>
          <w:lang w:eastAsia="zh-CN"/>
        </w:rPr>
        <w:t>九、</w:t>
      </w:r>
      <w:r>
        <w:rPr>
          <w:rFonts w:hint="eastAsia" w:ascii="黑体" w:hAnsi="黑体" w:eastAsia="黑体" w:cs="黑体"/>
          <w:kern w:val="2"/>
          <w:sz w:val="32"/>
          <w:szCs w:val="32"/>
        </w:rPr>
        <w:t>其他重要事项的情况说明</w:t>
      </w:r>
    </w:p>
    <w:p w14:paraId="2A9BA44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（一）机关运行经费</w:t>
      </w:r>
    </w:p>
    <w:p w14:paraId="0D036FC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color w:val="auto"/>
          <w:sz w:val="32"/>
          <w:szCs w:val="32"/>
          <w:lang w:val="en-US" w:eastAsia="zh-CN"/>
        </w:rPr>
      </w:pPr>
      <w:r>
        <w:rPr>
          <w:rFonts w:hAnsi="黑体"/>
          <w:kern w:val="2"/>
          <w:sz w:val="32"/>
          <w:szCs w:val="32"/>
        </w:rPr>
        <w:t xml:space="preserve"> </w:t>
      </w:r>
      <w:r>
        <w:rPr>
          <w:rFonts w:hint="eastAsia" w:hAnsi="黑体"/>
          <w:kern w:val="2"/>
          <w:sz w:val="32"/>
          <w:szCs w:val="32"/>
          <w:lang w:val="en-US" w:eastAsia="zh-CN"/>
        </w:rPr>
        <w:t xml:space="preserve">   </w:t>
      </w:r>
      <w:r>
        <w:rPr>
          <w:rFonts w:hint="eastAsia" w:ascii="Times New Roman" w:hAnsi="Times New Roman" w:eastAsia="仿宋_GB2312" w:cs="Times New Roman"/>
          <w:color w:val="auto"/>
          <w:sz w:val="32"/>
          <w:szCs w:val="32"/>
          <w:lang w:val="en-US" w:eastAsia="zh-CN"/>
        </w:rPr>
        <w:t>理县生态环境局2025年机关运行经费财政拨款预算为41.64万元，比2024年预算47.44万元，减少5.8万元，减少12.23%。</w:t>
      </w:r>
    </w:p>
    <w:p w14:paraId="4E2CFED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（二）政府采购情况</w:t>
      </w:r>
    </w:p>
    <w:p w14:paraId="09D57BB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2025年理县生态环境局安排政府采购预算0万元。</w:t>
      </w:r>
    </w:p>
    <w:p w14:paraId="5383E93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（三）国有资产占有使用情况</w:t>
      </w:r>
    </w:p>
    <w:p w14:paraId="54E7E96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无。</w:t>
      </w:r>
    </w:p>
    <w:p w14:paraId="69058BB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(四）绩效目标设置情况</w:t>
      </w:r>
    </w:p>
    <w:p w14:paraId="20B6F2B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2025年理县生态环境局基本支出和专项支出均按要求实行绩效目标管理，涉及一般公共预算当年拨款204.14万元。                </w:t>
      </w:r>
    </w:p>
    <w:p w14:paraId="295AA73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rPr>
      </w:pPr>
      <w:r>
        <w:rPr>
          <w:rFonts w:hint="eastAsia" w:ascii="黑体" w:hAnsi="黑体" w:eastAsia="黑体" w:cs="黑体"/>
          <w:kern w:val="2"/>
          <w:sz w:val="32"/>
          <w:szCs w:val="32"/>
          <w:lang w:eastAsia="zh-CN"/>
        </w:rPr>
        <w:t>十、</w:t>
      </w:r>
      <w:r>
        <w:rPr>
          <w:rFonts w:hint="eastAsia" w:ascii="黑体" w:hAnsi="黑体" w:eastAsia="黑体" w:cs="黑体"/>
          <w:kern w:val="2"/>
          <w:sz w:val="32"/>
          <w:szCs w:val="32"/>
        </w:rPr>
        <w:t>名词解释</w:t>
      </w:r>
    </w:p>
    <w:p w14:paraId="2F5A16D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（一）财政拨款收入：指由财政拨款形成的部门收入。按现行管理制度，部门预算中反映的财政拨款仅包括一般公共预算拨款和政府性基金预算拨款。</w:t>
      </w:r>
    </w:p>
    <w:p w14:paraId="766C61A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（二）事业收入：指所属事业单位开展专业业务活动及辅助活动所取得的收入。</w:t>
      </w:r>
    </w:p>
    <w:p w14:paraId="46B2A3C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（三）事业单位经营收入：指所属事业单位在专业业务活动及其辅助活动之外开展非独立核算经营活动取得的收入。</w:t>
      </w:r>
    </w:p>
    <w:p w14:paraId="7F0A31F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（四）其他收入：指除上述“财政拨款收入”、“事业收入”、“事业单位经营收入”等以外的收入，主要是所属行政事业单位按规定动用的售房收入、存款利息收入等。</w:t>
      </w:r>
    </w:p>
    <w:p w14:paraId="5B4842D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14:paraId="436F12A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（六）上年结转：指所属行政事业单位以前年度尚未完成、结转至本年按原规定用途继续使用的资金和以前年度已完成项目剩余资金经批准用于新用途使用的资金。</w:t>
      </w:r>
    </w:p>
    <w:p w14:paraId="7772071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p>
    <w:p w14:paraId="1B977A1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46B6E">
    <w:pPr>
      <w:pStyle w:val="9"/>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7AB35BDC">
                <w:pPr>
                  <w:pStyle w:val="9"/>
                </w:pPr>
                <w:r>
                  <w:fldChar w:fldCharType="begin"/>
                </w:r>
                <w:r>
                  <w:instrText xml:space="preserve"> PAGE  \* MERGEFORMAT </w:instrText>
                </w:r>
                <w:r>
                  <w:fldChar w:fldCharType="separate"/>
                </w:r>
                <w:r>
                  <w:t>10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5CFF7F"/>
    <w:multiLevelType w:val="singleLevel"/>
    <w:tmpl w:val="885CFF7F"/>
    <w:lvl w:ilvl="0" w:tentative="0">
      <w:start w:val="1"/>
      <w:numFmt w:val="chineseCounting"/>
      <w:suff w:val="nothing"/>
      <w:lvlText w:val="（%1）"/>
      <w:lvlJc w:val="left"/>
      <w:rPr>
        <w:rFonts w:hint="eastAsia"/>
      </w:rPr>
    </w:lvl>
  </w:abstractNum>
  <w:abstractNum w:abstractNumId="1">
    <w:nsid w:val="BB6ED3A5"/>
    <w:multiLevelType w:val="singleLevel"/>
    <w:tmpl w:val="BB6ED3A5"/>
    <w:lvl w:ilvl="0" w:tentative="0">
      <w:start w:val="1"/>
      <w:numFmt w:val="chineseCounting"/>
      <w:suff w:val="nothing"/>
      <w:lvlText w:val="%1、"/>
      <w:lvlJc w:val="left"/>
      <w:rPr>
        <w:rFonts w:hint="eastAsia"/>
      </w:rPr>
    </w:lvl>
  </w:abstractNum>
  <w:abstractNum w:abstractNumId="2">
    <w:nsid w:val="6B16B773"/>
    <w:multiLevelType w:val="singleLevel"/>
    <w:tmpl w:val="6B16B773"/>
    <w:lvl w:ilvl="0" w:tentative="0">
      <w:start w:val="1"/>
      <w:numFmt w:val="chineseCounting"/>
      <w:suff w:val="nothing"/>
      <w:lvlText w:val="（%1）"/>
      <w:lvlJc w:val="left"/>
      <w:rPr>
        <w:rFonts w:hint="eastAsia"/>
      </w:rPr>
    </w:lvl>
  </w:abstractNum>
  <w:abstractNum w:abstractNumId="3">
    <w:nsid w:val="720970B6"/>
    <w:multiLevelType w:val="singleLevel"/>
    <w:tmpl w:val="720970B6"/>
    <w:lvl w:ilvl="0" w:tentative="0">
      <w:start w:val="5"/>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2"/>
  </w:compat>
  <w:docVars>
    <w:docVar w:name="commondata" w:val="eyJoZGlkIjoiYzIzMTNhNGI1NDgzY2U3NzYzZGQ4Yzk0ZmRmODRkZjYifQ=="/>
  </w:docVars>
  <w:rsids>
    <w:rsidRoot w:val="00352854"/>
    <w:rsid w:val="000133A4"/>
    <w:rsid w:val="00025B29"/>
    <w:rsid w:val="000329A3"/>
    <w:rsid w:val="000666EB"/>
    <w:rsid w:val="00085137"/>
    <w:rsid w:val="001A78C7"/>
    <w:rsid w:val="00247343"/>
    <w:rsid w:val="00260082"/>
    <w:rsid w:val="002871C9"/>
    <w:rsid w:val="00291AF0"/>
    <w:rsid w:val="00352854"/>
    <w:rsid w:val="003762A5"/>
    <w:rsid w:val="00397759"/>
    <w:rsid w:val="00412E78"/>
    <w:rsid w:val="00424F18"/>
    <w:rsid w:val="00491A9E"/>
    <w:rsid w:val="004C5E33"/>
    <w:rsid w:val="00524245"/>
    <w:rsid w:val="0053029E"/>
    <w:rsid w:val="0068558D"/>
    <w:rsid w:val="0075779D"/>
    <w:rsid w:val="007710D3"/>
    <w:rsid w:val="007B3677"/>
    <w:rsid w:val="007D0054"/>
    <w:rsid w:val="008055EB"/>
    <w:rsid w:val="00887A60"/>
    <w:rsid w:val="008F63EB"/>
    <w:rsid w:val="00946F5B"/>
    <w:rsid w:val="009648A7"/>
    <w:rsid w:val="00985771"/>
    <w:rsid w:val="00987B5A"/>
    <w:rsid w:val="009F0D21"/>
    <w:rsid w:val="00A60456"/>
    <w:rsid w:val="00A718C1"/>
    <w:rsid w:val="00A809F6"/>
    <w:rsid w:val="00A817DB"/>
    <w:rsid w:val="00B57855"/>
    <w:rsid w:val="00C01031"/>
    <w:rsid w:val="00C0348B"/>
    <w:rsid w:val="00C451EA"/>
    <w:rsid w:val="00C8183B"/>
    <w:rsid w:val="00D06D76"/>
    <w:rsid w:val="00D22494"/>
    <w:rsid w:val="00D31706"/>
    <w:rsid w:val="00DB6419"/>
    <w:rsid w:val="00DD750A"/>
    <w:rsid w:val="00E16BE3"/>
    <w:rsid w:val="00E92D84"/>
    <w:rsid w:val="00EE48D6"/>
    <w:rsid w:val="00F14BDD"/>
    <w:rsid w:val="00F267C7"/>
    <w:rsid w:val="00F40C09"/>
    <w:rsid w:val="00F743F0"/>
    <w:rsid w:val="00F80C32"/>
    <w:rsid w:val="00F84040"/>
    <w:rsid w:val="00F85776"/>
    <w:rsid w:val="00F96BE5"/>
    <w:rsid w:val="00FF11B9"/>
    <w:rsid w:val="05B42AFE"/>
    <w:rsid w:val="06231E4A"/>
    <w:rsid w:val="07866B35"/>
    <w:rsid w:val="07D07D6B"/>
    <w:rsid w:val="07F55C2D"/>
    <w:rsid w:val="08497B23"/>
    <w:rsid w:val="08C83E06"/>
    <w:rsid w:val="0AB6328D"/>
    <w:rsid w:val="0D1D227B"/>
    <w:rsid w:val="0D892ADE"/>
    <w:rsid w:val="0E1E29A5"/>
    <w:rsid w:val="0E5C414B"/>
    <w:rsid w:val="0F2F6052"/>
    <w:rsid w:val="15812584"/>
    <w:rsid w:val="160F7C05"/>
    <w:rsid w:val="16962B9B"/>
    <w:rsid w:val="18221F62"/>
    <w:rsid w:val="19017863"/>
    <w:rsid w:val="19550115"/>
    <w:rsid w:val="19C851B8"/>
    <w:rsid w:val="1AA34736"/>
    <w:rsid w:val="1BA60C5D"/>
    <w:rsid w:val="1D7937D5"/>
    <w:rsid w:val="1F350CF1"/>
    <w:rsid w:val="1F6D2589"/>
    <w:rsid w:val="20023C4E"/>
    <w:rsid w:val="20376C32"/>
    <w:rsid w:val="20801166"/>
    <w:rsid w:val="236C7659"/>
    <w:rsid w:val="278E28DE"/>
    <w:rsid w:val="2BA7180E"/>
    <w:rsid w:val="2CFC0723"/>
    <w:rsid w:val="2D40315E"/>
    <w:rsid w:val="2FA71273"/>
    <w:rsid w:val="305F1B4D"/>
    <w:rsid w:val="306E738C"/>
    <w:rsid w:val="31C12394"/>
    <w:rsid w:val="330374B0"/>
    <w:rsid w:val="33192166"/>
    <w:rsid w:val="33FF46DA"/>
    <w:rsid w:val="34311A53"/>
    <w:rsid w:val="358677AD"/>
    <w:rsid w:val="35B5220F"/>
    <w:rsid w:val="35C2598E"/>
    <w:rsid w:val="375D490D"/>
    <w:rsid w:val="384F24A7"/>
    <w:rsid w:val="3A8D2215"/>
    <w:rsid w:val="3B1E39F6"/>
    <w:rsid w:val="3B283FEC"/>
    <w:rsid w:val="3B911029"/>
    <w:rsid w:val="3DB74A5A"/>
    <w:rsid w:val="3F885828"/>
    <w:rsid w:val="41CE5572"/>
    <w:rsid w:val="41F61BE6"/>
    <w:rsid w:val="42504A07"/>
    <w:rsid w:val="42B82E1D"/>
    <w:rsid w:val="449F0F21"/>
    <w:rsid w:val="4523758B"/>
    <w:rsid w:val="45BA1ABA"/>
    <w:rsid w:val="489839F7"/>
    <w:rsid w:val="492434DC"/>
    <w:rsid w:val="4AAC3789"/>
    <w:rsid w:val="4B72421F"/>
    <w:rsid w:val="4F311224"/>
    <w:rsid w:val="51AB7119"/>
    <w:rsid w:val="52A30122"/>
    <w:rsid w:val="58E33F8A"/>
    <w:rsid w:val="5A47527D"/>
    <w:rsid w:val="5A810B67"/>
    <w:rsid w:val="5DC47551"/>
    <w:rsid w:val="5DDA5CAC"/>
    <w:rsid w:val="6042589C"/>
    <w:rsid w:val="613100ED"/>
    <w:rsid w:val="61BF1D28"/>
    <w:rsid w:val="61C958C5"/>
    <w:rsid w:val="62E33669"/>
    <w:rsid w:val="67DF08A2"/>
    <w:rsid w:val="682E35D8"/>
    <w:rsid w:val="68E24C51"/>
    <w:rsid w:val="69D01E6E"/>
    <w:rsid w:val="6BE648F5"/>
    <w:rsid w:val="6CCA7D73"/>
    <w:rsid w:val="6F885E83"/>
    <w:rsid w:val="70187FF1"/>
    <w:rsid w:val="75571002"/>
    <w:rsid w:val="75721C7F"/>
    <w:rsid w:val="7700145E"/>
    <w:rsid w:val="77B746D8"/>
    <w:rsid w:val="78454752"/>
    <w:rsid w:val="7E525136"/>
    <w:rsid w:val="7F8D0394"/>
    <w:rsid w:val="7FB3411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6">
    <w:name w:val="heading 1"/>
    <w:basedOn w:val="1"/>
    <w:next w:val="1"/>
    <w:link w:val="24"/>
    <w:autoRedefine/>
    <w:qFormat/>
    <w:locked/>
    <w:uiPriority w:val="0"/>
    <w:pPr>
      <w:keepNext/>
      <w:keepLines/>
      <w:spacing w:line="576" w:lineRule="auto"/>
      <w:outlineLvl w:val="0"/>
    </w:pPr>
    <w:rPr>
      <w:b/>
      <w:kern w:val="44"/>
      <w:sz w:val="44"/>
    </w:rPr>
  </w:style>
  <w:style w:type="paragraph" w:styleId="7">
    <w:name w:val="heading 2"/>
    <w:basedOn w:val="1"/>
    <w:next w:val="1"/>
    <w:autoRedefine/>
    <w:unhideWhenUsed/>
    <w:qFormat/>
    <w:locked/>
    <w:uiPriority w:val="0"/>
    <w:pPr>
      <w:keepNext/>
      <w:keepLines/>
      <w:spacing w:line="413" w:lineRule="auto"/>
      <w:outlineLvl w:val="1"/>
    </w:pPr>
    <w:rPr>
      <w:rFonts w:ascii="Arial" w:hAnsi="Arial" w:eastAsia="黑体"/>
      <w:b/>
      <w:sz w:val="32"/>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autoRedefine/>
    <w:qFormat/>
    <w:uiPriority w:val="99"/>
    <w:pPr>
      <w:ind w:firstLine="420"/>
    </w:pPr>
  </w:style>
  <w:style w:type="paragraph" w:styleId="3">
    <w:name w:val="Body Text Indent"/>
    <w:basedOn w:val="1"/>
    <w:next w:val="2"/>
    <w:autoRedefine/>
    <w:qFormat/>
    <w:uiPriority w:val="0"/>
    <w:pPr>
      <w:ind w:firstLine="560" w:firstLineChars="200"/>
    </w:pPr>
    <w:rPr>
      <w:kern w:val="0"/>
      <w:sz w:val="24"/>
    </w:rPr>
  </w:style>
  <w:style w:type="paragraph" w:styleId="4">
    <w:name w:val="Plain Text"/>
    <w:basedOn w:val="1"/>
    <w:next w:val="5"/>
    <w:autoRedefine/>
    <w:qFormat/>
    <w:uiPriority w:val="0"/>
    <w:rPr>
      <w:rFonts w:ascii="宋体" w:hAnsi="Courier New"/>
    </w:rPr>
  </w:style>
  <w:style w:type="paragraph" w:styleId="5">
    <w:name w:val="index 5"/>
    <w:basedOn w:val="1"/>
    <w:next w:val="1"/>
    <w:qFormat/>
    <w:uiPriority w:val="0"/>
    <w:pPr>
      <w:ind w:left="1680"/>
    </w:pPr>
  </w:style>
  <w:style w:type="paragraph" w:styleId="8">
    <w:name w:val="Salutation"/>
    <w:basedOn w:val="1"/>
    <w:next w:val="1"/>
    <w:autoRedefine/>
    <w:qFormat/>
    <w:uiPriority w:val="0"/>
  </w:style>
  <w:style w:type="paragraph" w:styleId="9">
    <w:name w:val="footer"/>
    <w:basedOn w:val="1"/>
    <w:link w:val="18"/>
    <w:autoRedefine/>
    <w:qFormat/>
    <w:uiPriority w:val="99"/>
    <w:pPr>
      <w:tabs>
        <w:tab w:val="center" w:pos="4153"/>
        <w:tab w:val="right" w:pos="8306"/>
      </w:tabs>
      <w:snapToGrid w:val="0"/>
      <w:jc w:val="left"/>
    </w:pPr>
    <w:rPr>
      <w:sz w:val="18"/>
      <w:szCs w:val="18"/>
    </w:rPr>
  </w:style>
  <w:style w:type="paragraph" w:styleId="10">
    <w:name w:val="header"/>
    <w:basedOn w:val="1"/>
    <w:link w:val="17"/>
    <w:autoRedefine/>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locked/>
    <w:uiPriority w:val="0"/>
  </w:style>
  <w:style w:type="paragraph" w:styleId="12">
    <w:name w:val="toc 2"/>
    <w:basedOn w:val="1"/>
    <w:next w:val="1"/>
    <w:autoRedefine/>
    <w:qFormat/>
    <w:locked/>
    <w:uiPriority w:val="0"/>
    <w:pPr>
      <w:ind w:left="420" w:leftChars="200"/>
    </w:pPr>
  </w:style>
  <w:style w:type="paragraph" w:styleId="13">
    <w:name w:val="Normal (Web)"/>
    <w:basedOn w:val="1"/>
    <w:autoRedefine/>
    <w:qFormat/>
    <w:uiPriority w:val="0"/>
    <w:pPr>
      <w:spacing w:before="100" w:beforeAutospacing="1" w:after="100" w:afterAutospacing="1"/>
      <w:jc w:val="left"/>
    </w:pPr>
    <w:rPr>
      <w:rFonts w:cs="Times New Roman"/>
      <w:kern w:val="0"/>
      <w:sz w:val="24"/>
    </w:rPr>
  </w:style>
  <w:style w:type="character" w:styleId="16">
    <w:name w:val="Emphasis"/>
    <w:basedOn w:val="15"/>
    <w:autoRedefine/>
    <w:qFormat/>
    <w:uiPriority w:val="99"/>
  </w:style>
  <w:style w:type="character" w:customStyle="1" w:styleId="17">
    <w:name w:val="页眉 Char"/>
    <w:basedOn w:val="15"/>
    <w:link w:val="10"/>
    <w:autoRedefine/>
    <w:qFormat/>
    <w:locked/>
    <w:uiPriority w:val="99"/>
    <w:rPr>
      <w:sz w:val="18"/>
      <w:szCs w:val="18"/>
    </w:rPr>
  </w:style>
  <w:style w:type="character" w:customStyle="1" w:styleId="18">
    <w:name w:val="页脚 Char"/>
    <w:basedOn w:val="15"/>
    <w:link w:val="9"/>
    <w:autoRedefine/>
    <w:qFormat/>
    <w:locked/>
    <w:uiPriority w:val="99"/>
    <w:rPr>
      <w:sz w:val="18"/>
      <w:szCs w:val="18"/>
    </w:rPr>
  </w:style>
  <w:style w:type="paragraph" w:customStyle="1" w:styleId="19">
    <w:name w:val="正文文本1"/>
    <w:basedOn w:val="1"/>
    <w:autoRedefine/>
    <w:qFormat/>
    <w:uiPriority w:val="99"/>
    <w:pPr>
      <w:spacing w:before="93"/>
    </w:pPr>
    <w:rPr>
      <w:rFonts w:ascii="仿宋_GB2312" w:hAnsi="仿宋_GB2312" w:eastAsia="仿宋_GB2312" w:cs="仿宋_GB2312"/>
      <w:kern w:val="0"/>
      <w:sz w:val="30"/>
      <w:szCs w:val="30"/>
    </w:rPr>
  </w:style>
  <w:style w:type="character" w:customStyle="1" w:styleId="20">
    <w:name w:val="默认段落字体1"/>
    <w:autoRedefine/>
    <w:qFormat/>
    <w:uiPriority w:val="99"/>
    <w:rPr>
      <w:sz w:val="22"/>
      <w:szCs w:val="22"/>
    </w:rPr>
  </w:style>
  <w:style w:type="paragraph" w:styleId="21">
    <w:name w:val="List Paragraph"/>
    <w:basedOn w:val="1"/>
    <w:autoRedefine/>
    <w:qFormat/>
    <w:uiPriority w:val="99"/>
    <w:pPr>
      <w:ind w:firstLine="420" w:firstLineChars="200"/>
    </w:pPr>
  </w:style>
  <w:style w:type="paragraph" w:customStyle="1" w:styleId="22">
    <w:name w:val="WPSOffice手动目录 1"/>
    <w:autoRedefine/>
    <w:qFormat/>
    <w:uiPriority w:val="0"/>
    <w:rPr>
      <w:rFonts w:ascii="Calibri" w:hAnsi="Calibri" w:eastAsia="宋体" w:cs="Times New Roman"/>
      <w:lang w:val="en-US" w:eastAsia="zh-CN" w:bidi="ar-SA"/>
    </w:rPr>
  </w:style>
  <w:style w:type="paragraph" w:customStyle="1" w:styleId="23">
    <w:name w:val="WPSOffice手动目录 2"/>
    <w:autoRedefine/>
    <w:qFormat/>
    <w:uiPriority w:val="0"/>
    <w:pPr>
      <w:ind w:left="200" w:leftChars="200"/>
    </w:pPr>
    <w:rPr>
      <w:rFonts w:ascii="Calibri" w:hAnsi="Calibri" w:eastAsia="宋体" w:cs="Times New Roman"/>
      <w:lang w:val="en-US" w:eastAsia="zh-CN" w:bidi="ar-SA"/>
    </w:rPr>
  </w:style>
  <w:style w:type="character" w:customStyle="1" w:styleId="24">
    <w:name w:val="标题 1 Char"/>
    <w:link w:val="6"/>
    <w:autoRedefine/>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9</Pages>
  <Words>3487</Words>
  <Characters>4122</Characters>
  <Lines>32</Lines>
  <Paragraphs>9</Paragraphs>
  <TotalTime>6</TotalTime>
  <ScaleCrop>false</ScaleCrop>
  <LinksUpToDate>false</LinksUpToDate>
  <CharactersWithSpaces>4176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2020-03-05T02:15:00Z</dcterms:created>
  <dc:creator>薛永萍</dc:creator>
  <cp:lastModifiedBy>gao</cp:lastModifiedBy>
  <cp:lastPrinted>2025-02-18T06:41:00Z</cp:lastPrinted>
  <dcterms:modified xsi:type="dcterms:W3CDTF">2025-02-18T07:47:53Z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D195B4A92F2643CC87DF1AF51D2C9A9D</vt:lpwstr>
  </property>
  <property fmtid="{D5CDD505-2E9C-101B-9397-08002B2CF9AE}" pid="4" name="KSOTemplateDocerSaveRecord">
    <vt:lpwstr>eyJoZGlkIjoiYzIzMTNhNGI1NDgzY2U3NzYzZGQ4Yzk0ZmRmODRkZjYifQ==</vt:lpwstr>
  </property>
</Properties>
</file>