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AD6D">
      <w:pPr>
        <w:rPr>
          <w:rFonts w:hint="eastAsia" w:ascii="方正小标宋简体" w:hAnsi="宋体" w:eastAsia="方正小标宋简体"/>
          <w:color w:val="000000"/>
          <w:sz w:val="72"/>
          <w:szCs w:val="72"/>
        </w:rPr>
      </w:pPr>
      <w:bookmarkStart w:id="0" w:name="_Toc15396597"/>
      <w:bookmarkStart w:id="1" w:name="_Toc15396475"/>
      <w:bookmarkStart w:id="2" w:name="_Toc15377425"/>
      <w:bookmarkStart w:id="3" w:name="_Toc15306267"/>
      <w:bookmarkStart w:id="4" w:name="_Toc15377193"/>
      <w:bookmarkStart w:id="5" w:name="_Toc15378441"/>
    </w:p>
    <w:p w14:paraId="417708EF">
      <w:pPr>
        <w:rPr>
          <w:rFonts w:ascii="方正小标宋简体" w:hAnsi="宋体" w:eastAsia="方正小标宋简体"/>
          <w:color w:val="000000"/>
          <w:sz w:val="72"/>
          <w:szCs w:val="72"/>
        </w:rPr>
      </w:pPr>
    </w:p>
    <w:p w14:paraId="3D1F1596">
      <w:pPr>
        <w:ind w:left="360" w:hanging="260" w:hangingChars="50"/>
        <w:jc w:val="center"/>
        <w:rPr>
          <w:rFonts w:hint="eastAsia" w:ascii="黑体" w:hAnsi="黑体" w:eastAsia="黑体"/>
          <w:sz w:val="52"/>
          <w:szCs w:val="52"/>
        </w:rPr>
      </w:pPr>
      <w:r>
        <w:rPr>
          <w:rFonts w:ascii="黑体" w:hAnsi="黑体" w:eastAsia="黑体"/>
          <w:sz w:val="52"/>
          <w:szCs w:val="52"/>
        </w:rPr>
        <w:t>202</w:t>
      </w:r>
      <w:r>
        <w:rPr>
          <w:rFonts w:hint="eastAsia" w:ascii="黑体" w:hAnsi="黑体" w:eastAsia="黑体"/>
          <w:sz w:val="52"/>
          <w:szCs w:val="52"/>
          <w:lang w:val="en-US" w:eastAsia="zh-CN"/>
        </w:rPr>
        <w:t>3</w:t>
      </w:r>
      <w:r>
        <w:rPr>
          <w:rFonts w:hint="eastAsia" w:ascii="黑体" w:hAnsi="黑体" w:eastAsia="黑体"/>
          <w:sz w:val="52"/>
          <w:szCs w:val="52"/>
        </w:rPr>
        <w:t>年</w:t>
      </w:r>
      <w:bookmarkEnd w:id="0"/>
      <w:bookmarkEnd w:id="1"/>
      <w:bookmarkEnd w:id="2"/>
      <w:bookmarkEnd w:id="3"/>
      <w:bookmarkEnd w:id="4"/>
      <w:bookmarkEnd w:id="5"/>
      <w:bookmarkStart w:id="6" w:name="_Toc15378442"/>
      <w:bookmarkStart w:id="7" w:name="_Toc15377194"/>
      <w:bookmarkStart w:id="8" w:name="_Toc15377426"/>
      <w:bookmarkStart w:id="9" w:name="_Toc15306268"/>
      <w:bookmarkStart w:id="10" w:name="_Toc15396598"/>
      <w:bookmarkStart w:id="11" w:name="_Toc15396476"/>
      <w:r>
        <w:rPr>
          <w:rFonts w:hint="eastAsia" w:ascii="黑体" w:hAnsi="黑体" w:eastAsia="黑体"/>
          <w:sz w:val="52"/>
          <w:szCs w:val="52"/>
          <w:lang w:eastAsia="zh-CN"/>
        </w:rPr>
        <w:t>度四川省阿坝州</w:t>
      </w:r>
      <w:r>
        <w:rPr>
          <w:rFonts w:hint="eastAsia" w:ascii="黑体" w:hAnsi="黑体" w:eastAsia="黑体"/>
          <w:sz w:val="52"/>
          <w:szCs w:val="52"/>
        </w:rPr>
        <w:t>理县</w:t>
      </w:r>
    </w:p>
    <w:p w14:paraId="3F952194">
      <w:pPr>
        <w:ind w:left="360" w:hanging="260" w:hangingChars="50"/>
        <w:jc w:val="center"/>
        <w:rPr>
          <w:rFonts w:ascii="方正小标宋简体" w:eastAsia="方正小标宋简体"/>
          <w:sz w:val="52"/>
          <w:szCs w:val="52"/>
        </w:rPr>
      </w:pPr>
      <w:r>
        <w:rPr>
          <w:rFonts w:hint="eastAsia" w:ascii="方正小标宋简体" w:eastAsia="方正小标宋简体"/>
          <w:sz w:val="52"/>
          <w:szCs w:val="52"/>
        </w:rPr>
        <w:t>生态环境局决算公开</w:t>
      </w:r>
      <w:bookmarkEnd w:id="6"/>
      <w:bookmarkEnd w:id="7"/>
      <w:bookmarkEnd w:id="8"/>
      <w:bookmarkEnd w:id="9"/>
      <w:bookmarkEnd w:id="10"/>
      <w:bookmarkEnd w:id="11"/>
    </w:p>
    <w:p w14:paraId="36DB8710">
      <w:pPr>
        <w:jc w:val="center"/>
        <w:rPr>
          <w:rFonts w:ascii="方正小标宋简体" w:hAnsi="宋体" w:eastAsia="方正小标宋简体"/>
          <w:sz w:val="36"/>
          <w:szCs w:val="36"/>
        </w:rPr>
      </w:pPr>
    </w:p>
    <w:p w14:paraId="09E4754F">
      <w:pPr>
        <w:rPr>
          <w:rFonts w:ascii="方正小标宋简体" w:hAnsi="宋体" w:eastAsia="方正小标宋简体"/>
          <w:sz w:val="36"/>
          <w:szCs w:val="36"/>
        </w:rPr>
      </w:pPr>
    </w:p>
    <w:p w14:paraId="4D88D23C">
      <w:pPr>
        <w:rPr>
          <w:rFonts w:ascii="方正小标宋简体" w:hAnsi="宋体" w:eastAsia="方正小标宋简体"/>
          <w:sz w:val="36"/>
          <w:szCs w:val="36"/>
        </w:rPr>
      </w:pPr>
    </w:p>
    <w:p w14:paraId="5EDA6993">
      <w:pPr>
        <w:rPr>
          <w:rFonts w:ascii="方正小标宋简体" w:hAnsi="宋体" w:eastAsia="方正小标宋简体"/>
          <w:sz w:val="36"/>
          <w:szCs w:val="36"/>
        </w:rPr>
      </w:pPr>
    </w:p>
    <w:p w14:paraId="3E8764D3">
      <w:pPr>
        <w:rPr>
          <w:rFonts w:ascii="方正小标宋简体" w:hAnsi="宋体" w:eastAsia="方正小标宋简体"/>
          <w:sz w:val="36"/>
          <w:szCs w:val="36"/>
        </w:rPr>
      </w:pPr>
    </w:p>
    <w:p w14:paraId="46E0910B">
      <w:pPr>
        <w:pStyle w:val="8"/>
        <w:spacing w:before="93"/>
        <w:jc w:val="center"/>
        <w:rPr>
          <w:rFonts w:hint="eastAsia"/>
        </w:rPr>
      </w:pPr>
      <w:r>
        <w:rPr>
          <w:rFonts w:hint="eastAsia" w:ascii="宋体" w:hAnsi="宋体" w:cs="仿宋_GB2312"/>
          <w:sz w:val="32"/>
          <w:szCs w:val="32"/>
        </w:rPr>
        <w:t>保密审查情况：</w:t>
      </w:r>
      <w:bookmarkStart w:id="12" w:name="_Hlk113547609"/>
      <w:r>
        <w:rPr>
          <w:rFonts w:hint="eastAsia" w:cs="仿宋_GB2312"/>
          <w:sz w:val="32"/>
          <w:szCs w:val="32"/>
        </w:rPr>
        <w:t>已经保密审查、内容审定，同意对外公开</w:t>
      </w:r>
      <w:bookmarkEnd w:id="12"/>
    </w:p>
    <w:p w14:paraId="18CA67C0">
      <w:pPr>
        <w:autoSpaceDE w:val="0"/>
        <w:autoSpaceDN w:val="0"/>
        <w:adjustRightInd w:val="0"/>
        <w:ind w:left="420" w:leftChars="200"/>
        <w:jc w:val="left"/>
        <w:rPr>
          <w:rFonts w:ascii="宋体" w:hAnsi="宋体" w:cs="仿宋_GB2312"/>
          <w:sz w:val="32"/>
          <w:szCs w:val="32"/>
        </w:rPr>
      </w:pPr>
    </w:p>
    <w:p w14:paraId="153FFDEC">
      <w:pPr>
        <w:autoSpaceDE w:val="0"/>
        <w:autoSpaceDN w:val="0"/>
        <w:adjustRightInd w:val="0"/>
        <w:ind w:left="420" w:leftChars="200" w:firstLine="640" w:firstLineChars="200"/>
        <w:jc w:val="left"/>
        <w:rPr>
          <w:rFonts w:hint="eastAsia" w:ascii="宋体" w:hAnsi="宋体" w:eastAsia="宋体"/>
          <w:sz w:val="32"/>
          <w:szCs w:val="32"/>
          <w:lang w:val="en-US" w:eastAsia="zh-CN"/>
        </w:rPr>
      </w:pPr>
      <w:r>
        <w:rPr>
          <w:rFonts w:hint="eastAsia" w:ascii="宋体" w:hAnsi="宋体" w:cs="仿宋_GB2312"/>
          <w:sz w:val="32"/>
          <w:szCs w:val="32"/>
          <w:lang w:eastAsia="zh-CN"/>
        </w:rPr>
        <w:t>单位</w:t>
      </w:r>
      <w:r>
        <w:rPr>
          <w:rFonts w:hint="eastAsia" w:ascii="宋体" w:hAnsi="宋体" w:cs="仿宋_GB2312"/>
          <w:sz w:val="32"/>
          <w:szCs w:val="32"/>
        </w:rPr>
        <w:t>主要负责人审签情况：</w:t>
      </w:r>
      <w:r>
        <w:rPr>
          <w:rFonts w:hint="eastAsia" w:ascii="宋体" w:hAnsi="宋体" w:cs="仿宋_GB2312"/>
          <w:sz w:val="32"/>
          <w:szCs w:val="32"/>
          <w:lang w:eastAsia="zh-CN"/>
        </w:rPr>
        <w:t>邓运毅</w:t>
      </w:r>
    </w:p>
    <w:p w14:paraId="467B8C38">
      <w:pPr>
        <w:widowControl/>
        <w:jc w:val="center"/>
        <w:rPr>
          <w:rFonts w:ascii="方正小标宋简体" w:hAnsi="宋体" w:eastAsia="方正小标宋简体"/>
          <w:color w:val="000000"/>
          <w:sz w:val="36"/>
          <w:szCs w:val="36"/>
        </w:rPr>
      </w:pPr>
    </w:p>
    <w:p w14:paraId="0AFF526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61197660">
      <w:pPr>
        <w:pStyle w:val="17"/>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10</w:t>
      </w:r>
      <w:r>
        <w:rPr>
          <w:rFonts w:hint="eastAsia" w:hAnsiTheme="minorHAnsi"/>
          <w:b w:val="0"/>
          <w:bCs w:val="0"/>
          <w:sz w:val="24"/>
          <w:szCs w:val="24"/>
        </w:rPr>
        <w:t>日</w:t>
      </w:r>
    </w:p>
    <w:p w14:paraId="32362F13">
      <w:pPr>
        <w:pStyle w:val="17"/>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TOC \o \u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bCs/>
          <w:caps w:val="0"/>
          <w:smallCaps/>
          <w:color w:val="000000"/>
          <w:kern w:val="2"/>
          <w:sz w:val="30"/>
          <w:szCs w:val="30"/>
          <w:lang w:val="en-US" w:eastAsia="zh-CN" w:bidi="ar-SA"/>
        </w:rPr>
        <w:t>第一部分 单位概况......................................</w:t>
      </w: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PAGEREF _Toc79163851 \h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val="0"/>
          <w:bCs w:val="0"/>
          <w:caps w:val="0"/>
          <w:smallCaps/>
          <w:color w:val="000000"/>
          <w:kern w:val="2"/>
          <w:sz w:val="30"/>
          <w:szCs w:val="30"/>
          <w:lang w:val="en-US" w:eastAsia="zh-CN" w:bidi="ar-SA"/>
        </w:rPr>
        <w:t>4</w:t>
      </w:r>
      <w:r>
        <w:rPr>
          <w:rFonts w:hint="eastAsia" w:ascii="仿宋" w:hAnsi="仿宋" w:eastAsia="仿宋" w:cs="Times New Roman"/>
          <w:b w:val="0"/>
          <w:bCs w:val="0"/>
          <w:caps w:val="0"/>
          <w:smallCaps/>
          <w:color w:val="000000"/>
          <w:kern w:val="2"/>
          <w:sz w:val="30"/>
          <w:szCs w:val="30"/>
          <w:lang w:val="en-US" w:eastAsia="zh-CN" w:bidi="ar-SA"/>
        </w:rPr>
        <w:fldChar w:fldCharType="end"/>
      </w:r>
    </w:p>
    <w:p w14:paraId="16B1113F">
      <w:pPr>
        <w:pStyle w:val="20"/>
        <w:tabs>
          <w:tab w:val="left" w:pos="840"/>
          <w:tab w:val="right" w:leader="dot" w:pos="8296"/>
        </w:tabs>
        <w:ind w:left="0" w:leftChars="0" w:firstLine="600" w:firstLineChars="20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一、主要职责................................................................................</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_Toc79163852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4</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4B4456EB">
      <w:pPr>
        <w:pStyle w:val="20"/>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二、机构设置..............................................................................10</w:t>
      </w:r>
    </w:p>
    <w:p w14:paraId="43A864EE">
      <w:pPr>
        <w:pStyle w:val="20"/>
        <w:tabs>
          <w:tab w:val="left" w:pos="840"/>
          <w:tab w:val="right" w:leader="dot" w:pos="8296"/>
        </w:tabs>
        <w:ind w:left="0" w:leftChars="0" w:firstLine="0" w:firstLineChars="0"/>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第二部分 2023年度单位决算情况说明.....................11</w:t>
      </w:r>
    </w:p>
    <w:p w14:paraId="39BDF76D">
      <w:pPr>
        <w:pStyle w:val="20"/>
        <w:tabs>
          <w:tab w:val="left" w:pos="840"/>
          <w:tab w:val="right" w:leader="dot" w:pos="8296"/>
        </w:tabs>
        <w:ind w:left="0" w:leftChars="0" w:firstLine="600" w:firstLineChars="20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一、收入支出决算总体情况说明..............................................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_Toc79163860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11</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0F239C6B">
      <w:pPr>
        <w:pStyle w:val="20"/>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二、收入决算情况说明..............................................................11</w:t>
      </w:r>
    </w:p>
    <w:p w14:paraId="0A3E098B">
      <w:pPr>
        <w:pStyle w:val="20"/>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三、支出决算情况说明..............................................................12</w:t>
      </w:r>
    </w:p>
    <w:p w14:paraId="0EEE809B">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四、财政拨款收入支出决算总体情..........................................13</w:t>
      </w:r>
    </w:p>
    <w:p w14:paraId="27586937">
      <w:pPr>
        <w:pStyle w:val="17"/>
        <w:tabs>
          <w:tab w:val="right" w:leader="dot" w:pos="8296"/>
        </w:tabs>
        <w:ind w:firstLine="600" w:firstLineChars="20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五、一般公共预算财政拨款支出决算情况说明.....................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_Toc79163864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13</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0AF113ED">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六、一般公共预算财政拨款基本支出决算情况说明.............15</w:t>
      </w:r>
    </w:p>
    <w:p w14:paraId="4805FCC2">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七、财政拨款“三公”经费支出决算情况说明.......................16</w:t>
      </w:r>
    </w:p>
    <w:p w14:paraId="0F027807">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八、政府性基金预算支出决算情况说明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.................................17</w:t>
      </w:r>
    </w:p>
    <w:p w14:paraId="311C1BE0">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九、 国有资本经营预算支出决算情况说明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...........................17</w:t>
      </w:r>
    </w:p>
    <w:p w14:paraId="5404BB69">
      <w:pPr>
        <w:pStyle w:val="17"/>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十、其他重要事项的情况说明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.................................................17</w:t>
      </w:r>
    </w:p>
    <w:p w14:paraId="4B932331">
      <w:pPr>
        <w:pStyle w:val="17"/>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第三部分 名词解释</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.....................................19</w:t>
      </w:r>
    </w:p>
    <w:p w14:paraId="2D88975C">
      <w:pPr>
        <w:pStyle w:val="17"/>
        <w:tabs>
          <w:tab w:val="right" w:leader="dot" w:pos="8296"/>
        </w:tabs>
        <w:rPr>
          <w:rFonts w:hint="default" w:ascii="方正仿宋_GBK" w:hAnsi="方正仿宋_GBK" w:eastAsia="方正仿宋_GBK" w:cs="方正仿宋_GBK"/>
          <w:kern w:val="2"/>
          <w:sz w:val="32"/>
          <w:szCs w:val="32"/>
          <w:lang w:val="en-US" w:eastAsia="zh-CN" w:bidi="ar-SA"/>
        </w:rPr>
      </w:pPr>
      <w:r>
        <w:rPr>
          <w:rFonts w:hint="eastAsia" w:ascii="仿宋" w:hAnsi="仿宋" w:eastAsia="仿宋" w:cs="Times New Roman"/>
          <w:b/>
          <w:bCs/>
          <w:caps w:val="0"/>
          <w:smallCaps/>
          <w:color w:val="000000"/>
          <w:kern w:val="2"/>
          <w:sz w:val="30"/>
          <w:szCs w:val="30"/>
          <w:lang w:val="en-US" w:eastAsia="zh-CN" w:bidi="ar-SA"/>
        </w:rPr>
        <w:t>第四部分 附件</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.........................................22</w:t>
      </w:r>
    </w:p>
    <w:p w14:paraId="0BAF2FF3">
      <w:pPr>
        <w:pStyle w:val="17"/>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第五部分 附表</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.........................................35</w:t>
      </w:r>
    </w:p>
    <w:p w14:paraId="38530FA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一、收入支出决算总表........................................................35</w:t>
      </w:r>
    </w:p>
    <w:p w14:paraId="4128F6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二、收入决算表....................................................................35</w:t>
      </w:r>
    </w:p>
    <w:p w14:paraId="1E1E151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三、支出决算表....................................................................35</w:t>
      </w:r>
    </w:p>
    <w:p w14:paraId="633058B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四、财政拨款收入支出决算总表........................................35</w:t>
      </w:r>
    </w:p>
    <w:p w14:paraId="199078F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五、财政拨款支出决算明细表............................................35</w:t>
      </w:r>
    </w:p>
    <w:p w14:paraId="234D2C2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六、一般公共预算财政拨款支出决算表............................35</w:t>
      </w:r>
    </w:p>
    <w:p w14:paraId="1628AFD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七、一般公共预算财政拨款支出决算明细表....................35</w:t>
      </w:r>
    </w:p>
    <w:p w14:paraId="1AE31AB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八、一般公共预算财政拨款基本支出决算明细表............35</w:t>
      </w:r>
    </w:p>
    <w:p w14:paraId="5597F4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九、一般公共预算财政拨款项目支出决算表....................35</w:t>
      </w:r>
    </w:p>
    <w:p w14:paraId="51BD227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十、政府性基金预算财政拨款收入支出决算表................35</w:t>
      </w:r>
    </w:p>
    <w:p w14:paraId="7ABD8D0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十一、国有资本经营预算财政拨款收入支出决算表........35</w:t>
      </w:r>
    </w:p>
    <w:p w14:paraId="109650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十二、国有资本经营预算财政拨款支出决算表................35</w:t>
      </w:r>
    </w:p>
    <w:p w14:paraId="3DD6FEA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十三、财政拨款“三公”经费支出决算表............................35</w:t>
      </w:r>
    </w:p>
    <w:p w14:paraId="7F8BB6B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2D74E2B0">
      <w:pPr>
        <w:pStyle w:val="20"/>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p>
    <w:p w14:paraId="25C1CBF8">
      <w:pPr>
        <w:rPr>
          <w:rFonts w:hint="eastAsia" w:ascii="仿宋" w:hAnsi="仿宋" w:eastAsia="仿宋" w:cs="Times New Roman"/>
          <w:b w:val="0"/>
          <w:bCs w:val="0"/>
          <w:caps w:val="0"/>
          <w:smallCaps/>
          <w:color w:val="000000"/>
          <w:kern w:val="2"/>
          <w:sz w:val="30"/>
          <w:szCs w:val="30"/>
          <w:lang w:val="en-US" w:eastAsia="zh-CN" w:bidi="ar-SA"/>
        </w:rPr>
      </w:pPr>
    </w:p>
    <w:p w14:paraId="0E875BAC">
      <w:pPr>
        <w:pStyle w:val="7"/>
        <w:rPr>
          <w:rFonts w:hint="eastAsia" w:ascii="仿宋" w:hAnsi="仿宋" w:eastAsia="仿宋" w:cs="Times New Roman"/>
          <w:b w:val="0"/>
          <w:bCs w:val="0"/>
          <w:caps w:val="0"/>
          <w:smallCaps/>
          <w:color w:val="000000"/>
          <w:kern w:val="2"/>
          <w:sz w:val="30"/>
          <w:szCs w:val="30"/>
          <w:lang w:val="en-US" w:eastAsia="zh-CN" w:bidi="ar-SA"/>
        </w:rPr>
      </w:pPr>
    </w:p>
    <w:p w14:paraId="20258A54">
      <w:pPr>
        <w:pStyle w:val="7"/>
        <w:rPr>
          <w:rFonts w:hint="eastAsia" w:ascii="仿宋" w:hAnsi="仿宋" w:eastAsia="仿宋" w:cs="Times New Roman"/>
          <w:b w:val="0"/>
          <w:bCs w:val="0"/>
          <w:caps w:val="0"/>
          <w:smallCaps/>
          <w:color w:val="000000"/>
          <w:kern w:val="2"/>
          <w:sz w:val="30"/>
          <w:szCs w:val="30"/>
          <w:lang w:val="en-US" w:eastAsia="zh-CN" w:bidi="ar-SA"/>
        </w:rPr>
      </w:pPr>
    </w:p>
    <w:p w14:paraId="41281970">
      <w:pPr>
        <w:pStyle w:val="7"/>
        <w:rPr>
          <w:rFonts w:hint="eastAsia" w:ascii="仿宋" w:hAnsi="仿宋" w:eastAsia="仿宋" w:cs="Times New Roman"/>
          <w:b w:val="0"/>
          <w:bCs w:val="0"/>
          <w:caps w:val="0"/>
          <w:smallCaps/>
          <w:color w:val="000000"/>
          <w:kern w:val="2"/>
          <w:sz w:val="30"/>
          <w:szCs w:val="30"/>
          <w:lang w:val="en-US" w:eastAsia="zh-CN" w:bidi="ar-SA"/>
        </w:rPr>
      </w:pPr>
    </w:p>
    <w:p w14:paraId="05CD15ED">
      <w:pPr>
        <w:pStyle w:val="7"/>
        <w:rPr>
          <w:rFonts w:hint="eastAsia" w:ascii="仿宋" w:hAnsi="仿宋" w:eastAsia="仿宋" w:cs="Times New Roman"/>
          <w:b w:val="0"/>
          <w:bCs w:val="0"/>
          <w:caps w:val="0"/>
          <w:smallCaps/>
          <w:color w:val="000000"/>
          <w:kern w:val="2"/>
          <w:sz w:val="30"/>
          <w:szCs w:val="30"/>
          <w:lang w:val="en-US" w:eastAsia="zh-CN" w:bidi="ar-SA"/>
        </w:rPr>
      </w:pPr>
    </w:p>
    <w:p w14:paraId="3D5113FE">
      <w:pPr>
        <w:rPr>
          <w:rFonts w:hint="eastAsia" w:ascii="黑体" w:hAnsi="黑体" w:eastAsia="黑体"/>
          <w:b w:val="0"/>
        </w:rPr>
      </w:pPr>
      <w:r>
        <w:rPr>
          <w:rFonts w:hint="eastAsia" w:ascii="仿宋" w:hAnsi="仿宋" w:eastAsia="仿宋" w:cs="Times New Roman"/>
          <w:b w:val="0"/>
          <w:bCs w:val="0"/>
          <w:caps w:val="0"/>
          <w:smallCaps/>
          <w:color w:val="000000"/>
          <w:kern w:val="2"/>
          <w:sz w:val="30"/>
          <w:szCs w:val="30"/>
          <w:lang w:val="en-US" w:eastAsia="zh-CN" w:bidi="ar-SA"/>
        </w:rPr>
        <w:fldChar w:fldCharType="end"/>
      </w:r>
      <w:bookmarkStart w:id="13" w:name="_Toc79163851"/>
      <w:bookmarkStart w:id="14" w:name="_Toc79163601"/>
      <w:bookmarkStart w:id="15" w:name="_Toc15377196"/>
      <w:bookmarkStart w:id="16" w:name="_Toc15396599"/>
    </w:p>
    <w:p w14:paraId="1ABB34D3">
      <w:pPr>
        <w:pStyle w:val="3"/>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13"/>
      <w:bookmarkEnd w:id="14"/>
      <w:bookmarkEnd w:id="15"/>
      <w:bookmarkEnd w:id="16"/>
    </w:p>
    <w:p w14:paraId="2A829B54">
      <w:pPr>
        <w:pStyle w:val="4"/>
        <w:pageBreakBefore w:val="0"/>
        <w:numPr>
          <w:ilvl w:val="0"/>
          <w:numId w:val="0"/>
        </w:numPr>
        <w:kinsoku/>
        <w:wordWrap/>
        <w:overflowPunct/>
        <w:topLinePunct w:val="0"/>
        <w:autoSpaceDE/>
        <w:autoSpaceDN/>
        <w:bidi w:val="0"/>
        <w:spacing w:line="576" w:lineRule="exact"/>
        <w:ind w:leftChars="0" w:firstLine="640" w:firstLineChars="200"/>
        <w:textAlignment w:val="auto"/>
        <w:rPr>
          <w:rFonts w:hint="eastAsia" w:ascii="黑体" w:hAnsi="黑体" w:eastAsia="黑体"/>
          <w:b w:val="0"/>
          <w:color w:val="000000"/>
          <w:lang w:eastAsia="zh-CN"/>
        </w:rPr>
      </w:pPr>
      <w:bookmarkStart w:id="17" w:name="_Toc79163602"/>
      <w:bookmarkStart w:id="18" w:name="_Toc15377197"/>
      <w:bookmarkStart w:id="19" w:name="_Toc79163852"/>
      <w:bookmarkStart w:id="20" w:name="_Toc15396600"/>
      <w:r>
        <w:rPr>
          <w:rFonts w:hint="eastAsia" w:ascii="黑体" w:hAnsi="黑体" w:eastAsia="黑体"/>
          <w:b w:val="0"/>
          <w:color w:val="000000"/>
          <w:lang w:eastAsia="zh-CN"/>
        </w:rPr>
        <w:t>一、</w:t>
      </w:r>
      <w:bookmarkEnd w:id="17"/>
      <w:bookmarkEnd w:id="18"/>
      <w:bookmarkEnd w:id="19"/>
      <w:bookmarkEnd w:id="20"/>
      <w:r>
        <w:rPr>
          <w:rFonts w:hint="eastAsia" w:ascii="黑体" w:hAnsi="黑体" w:eastAsia="黑体"/>
          <w:b w:val="0"/>
          <w:color w:val="000000"/>
          <w:lang w:eastAsia="zh-CN"/>
        </w:rPr>
        <w:t>主要职责</w:t>
      </w:r>
    </w:p>
    <w:p w14:paraId="49933063">
      <w:pPr>
        <w:pStyle w:val="8"/>
        <w:keepNext w:val="0"/>
        <w:keepLines w:val="0"/>
        <w:pageBreakBefore w:val="0"/>
        <w:kinsoku/>
        <w:wordWrap/>
        <w:overflowPunct/>
        <w:topLinePunct w:val="0"/>
        <w:autoSpaceDE/>
        <w:autoSpaceDN/>
        <w:bidi w:val="0"/>
        <w:adjustRightInd w:val="0"/>
        <w:snapToGrid w:val="0"/>
        <w:spacing w:beforeLines="0" w:line="572" w:lineRule="exact"/>
        <w:ind w:firstLine="643" w:firstLineChars="200"/>
        <w:textAlignment w:val="auto"/>
        <w:outlineLvl w:val="2"/>
        <w:rPr>
          <w:rFonts w:hint="eastAsia" w:ascii="仿宋" w:hAnsi="仿宋" w:eastAsia="仿宋" w:cs="Times New Roman"/>
          <w:b/>
          <w:bCs/>
          <w:color w:val="000000"/>
          <w:sz w:val="32"/>
          <w:szCs w:val="32"/>
        </w:rPr>
      </w:pPr>
      <w:r>
        <w:rPr>
          <w:rFonts w:hint="eastAsia" w:ascii="仿宋" w:hAnsi="仿宋" w:eastAsia="仿宋" w:cs="Times New Roman"/>
          <w:b/>
          <w:bCs/>
          <w:color w:val="000000"/>
          <w:sz w:val="32"/>
          <w:szCs w:val="32"/>
          <w:lang w:eastAsia="zh-CN"/>
        </w:rPr>
        <w:t>（一）</w:t>
      </w:r>
      <w:r>
        <w:rPr>
          <w:rFonts w:hint="eastAsia" w:ascii="仿宋" w:hAnsi="仿宋" w:eastAsia="仿宋" w:cs="Times New Roman"/>
          <w:b/>
          <w:bCs/>
          <w:color w:val="000000"/>
          <w:sz w:val="32"/>
          <w:szCs w:val="32"/>
        </w:rPr>
        <w:t>主要职能</w:t>
      </w:r>
    </w:p>
    <w:p w14:paraId="7DF8B997">
      <w:pPr>
        <w:pStyle w:val="8"/>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bookmarkStart w:id="21" w:name="_Toc15378446"/>
      <w:bookmarkStart w:id="22" w:name="_Toc79163854"/>
      <w:bookmarkStart w:id="23" w:name="_Toc15377199"/>
      <w:bookmarkStart w:id="24" w:name="_Toc79163604"/>
      <w:r>
        <w:rPr>
          <w:rFonts w:hint="eastAsia" w:ascii="仿宋_GB2312" w:hAnsi="仿宋_GB2312" w:eastAsia="仿宋_GB2312" w:cs="仿宋_GB2312"/>
          <w:kern w:val="2"/>
          <w:sz w:val="32"/>
          <w:szCs w:val="32"/>
          <w:lang w:val="en-US" w:eastAsia="zh-CN" w:bidi="ar-SA"/>
        </w:rPr>
        <w:t>1.承担机关政务及党务工作。</w:t>
      </w:r>
    </w:p>
    <w:p w14:paraId="5C1A600F">
      <w:pPr>
        <w:pStyle w:val="8"/>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2.负责监督管理全州减排目标的落实。</w:t>
      </w:r>
    </w:p>
    <w:p w14:paraId="4E9D3CDE">
      <w:pPr>
        <w:pStyle w:val="8"/>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3.负责建立健全全县生态环境基本制度。</w:t>
      </w:r>
    </w:p>
    <w:p w14:paraId="2B8FA79D">
      <w:pPr>
        <w:pStyle w:val="8"/>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4.负责全县生态环境准入的监督管理。</w:t>
      </w:r>
    </w:p>
    <w:p w14:paraId="395238A6">
      <w:pPr>
        <w:pStyle w:val="8"/>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5.加强全县生态环境监督执法管理、指导工作。</w:t>
      </w:r>
    </w:p>
    <w:p w14:paraId="535B206C">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6.监督执行国家、省、州的生态环境监测制度和规范。</w:t>
      </w:r>
    </w:p>
    <w:p w14:paraId="2C28C515">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7.负责办单位实施的建设项目的监督管理。</w:t>
      </w:r>
    </w:p>
    <w:p w14:paraId="5A435617">
      <w:pPr>
        <w:pStyle w:val="8"/>
        <w:keepNext w:val="0"/>
        <w:keepLines w:val="0"/>
        <w:pageBreakBefore w:val="0"/>
        <w:kinsoku/>
        <w:wordWrap/>
        <w:overflowPunct/>
        <w:topLinePunct w:val="0"/>
        <w:autoSpaceDE/>
        <w:autoSpaceDN/>
        <w:bidi w:val="0"/>
        <w:adjustRightInd w:val="0"/>
        <w:snapToGrid w:val="0"/>
        <w:spacing w:before="93" w:line="572" w:lineRule="exact"/>
        <w:ind w:firstLine="675" w:firstLineChars="210"/>
        <w:textAlignment w:val="auto"/>
        <w:outlineLvl w:val="2"/>
        <w:rPr>
          <w:rFonts w:hint="eastAsia"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202</w:t>
      </w:r>
      <w:r>
        <w:rPr>
          <w:rFonts w:hint="eastAsia" w:ascii="仿宋" w:hAnsi="仿宋" w:eastAsia="仿宋"/>
          <w:b/>
          <w:bCs/>
          <w:color w:val="000000"/>
          <w:sz w:val="32"/>
          <w:szCs w:val="32"/>
          <w:lang w:val="en-US" w:eastAsia="zh-CN"/>
        </w:rPr>
        <w:t>3</w:t>
      </w:r>
      <w:r>
        <w:rPr>
          <w:rFonts w:hint="eastAsia" w:ascii="仿宋" w:hAnsi="仿宋" w:eastAsia="仿宋"/>
          <w:b/>
          <w:bCs/>
          <w:color w:val="000000"/>
          <w:sz w:val="32"/>
          <w:szCs w:val="32"/>
        </w:rPr>
        <w:t>年</w:t>
      </w:r>
      <w:r>
        <w:rPr>
          <w:rFonts w:hint="eastAsia" w:ascii="仿宋" w:hAnsi="仿宋" w:eastAsia="仿宋"/>
          <w:b/>
          <w:bCs/>
          <w:color w:val="000000"/>
          <w:sz w:val="32"/>
          <w:szCs w:val="32"/>
          <w:lang w:eastAsia="zh-CN"/>
        </w:rPr>
        <w:t>度主要工作</w:t>
      </w:r>
      <w:r>
        <w:rPr>
          <w:rFonts w:hint="eastAsia" w:ascii="仿宋" w:hAnsi="仿宋" w:eastAsia="仿宋"/>
          <w:b/>
          <w:bCs/>
          <w:color w:val="000000"/>
          <w:sz w:val="32"/>
          <w:szCs w:val="32"/>
        </w:rPr>
        <w:t>。</w:t>
      </w:r>
      <w:bookmarkEnd w:id="21"/>
      <w:bookmarkEnd w:id="22"/>
      <w:bookmarkEnd w:id="23"/>
      <w:bookmarkEnd w:id="24"/>
    </w:p>
    <w:p w14:paraId="5FCAC339">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lang w:eastAsia="zh-CN"/>
        </w:rPr>
      </w:pPr>
      <w:bookmarkStart w:id="25" w:name="_Toc15396601"/>
      <w:bookmarkStart w:id="26" w:name="_Toc79163605"/>
      <w:bookmarkStart w:id="27" w:name="_Toc15377200"/>
      <w:bookmarkStart w:id="28" w:name="_Toc79163855"/>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多措并举增强度，污染防治攻坚</w:t>
      </w:r>
      <w:r>
        <w:rPr>
          <w:rFonts w:hint="eastAsia" w:ascii="楷体_GB2312" w:hAnsi="楷体_GB2312" w:eastAsia="楷体_GB2312" w:cs="楷体_GB2312"/>
          <w:b/>
          <w:bCs/>
          <w:sz w:val="32"/>
          <w:szCs w:val="32"/>
          <w:lang w:val="en-US" w:eastAsia="zh-CN"/>
        </w:rPr>
        <w:t>又</w:t>
      </w:r>
      <w:r>
        <w:rPr>
          <w:rFonts w:hint="eastAsia" w:ascii="楷体_GB2312" w:hAnsi="楷体_GB2312" w:eastAsia="楷体_GB2312" w:cs="楷体_GB2312"/>
          <w:b/>
          <w:bCs/>
          <w:sz w:val="32"/>
          <w:szCs w:val="32"/>
        </w:rPr>
        <w:t>见</w:t>
      </w:r>
      <w:r>
        <w:rPr>
          <w:rFonts w:hint="eastAsia" w:ascii="楷体_GB2312" w:hAnsi="楷体_GB2312" w:eastAsia="楷体_GB2312" w:cs="楷体_GB2312"/>
          <w:b/>
          <w:bCs/>
          <w:sz w:val="32"/>
          <w:szCs w:val="32"/>
          <w:lang w:val="en-US" w:eastAsia="zh-CN"/>
        </w:rPr>
        <w:t>新成效</w:t>
      </w:r>
    </w:p>
    <w:p w14:paraId="42DDFDE7">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大气污染防治工作。</w:t>
      </w:r>
      <w:r>
        <w:rPr>
          <w:rFonts w:hint="eastAsia" w:ascii="仿宋_GB2312" w:hAnsi="仿宋_GB2312" w:eastAsia="仿宋_GB2312" w:cs="仿宋_GB2312"/>
          <w:sz w:val="32"/>
          <w:szCs w:val="32"/>
          <w:lang w:val="en-US" w:eastAsia="zh-CN"/>
        </w:rPr>
        <w:t>开展上年度环境空气质量现状和变化趋势分析，研究确定影响因子，针对性制定工作措施，制定印发了《理县深入打好污染防治攻坚战实施方案》《理县2023年大气污染防治工作方案》，明确大气污染防治年度重点任务和分工；完成加油站、重点汽修厂、工业等23家企业大气污染源排放清单管理系统填报审核。</w:t>
      </w:r>
      <w:r>
        <w:rPr>
          <w:rFonts w:hint="eastAsia" w:ascii="仿宋_GB2312" w:hAnsi="仿宋_GB2312" w:eastAsia="仿宋_GB2312" w:cs="仿宋_GB2312"/>
          <w:b/>
          <w:bCs/>
          <w:sz w:val="32"/>
          <w:szCs w:val="32"/>
          <w:lang w:val="en-US" w:eastAsia="zh-CN"/>
        </w:rPr>
        <w:t>二是水污染防治工作方面。</w:t>
      </w:r>
      <w:r>
        <w:rPr>
          <w:rFonts w:hint="eastAsia" w:ascii="仿宋_GB2312" w:hAnsi="仿宋_GB2312" w:eastAsia="仿宋_GB2312" w:cs="仿宋_GB2312"/>
          <w:sz w:val="32"/>
          <w:szCs w:val="32"/>
          <w:lang w:val="en-US" w:eastAsia="zh-CN"/>
        </w:rPr>
        <w:t>继续推进入河排污口整治工作，印发了《理县入河排污口“一口一策”整治方案》，将60个问题排口纳入整治，截至目前，已完成30个问题排污口整治任务，安装入河排污口标志牌41个。督促四川长化宏光盐化工有限公司开展高氯酸盐污染风险隐患排查整治，目前已基本完成隐患整治；配合完成“6·29”朴头石油液化气运输车辆侧翻交通事故环境应急处置。</w:t>
      </w:r>
      <w:r>
        <w:rPr>
          <w:rFonts w:hint="eastAsia" w:ascii="仿宋_GB2312" w:hAnsi="仿宋_GB2312" w:eastAsia="仿宋_GB2312" w:cs="仿宋_GB2312"/>
          <w:b/>
          <w:bCs/>
          <w:sz w:val="32"/>
          <w:szCs w:val="32"/>
          <w:lang w:val="en-US" w:eastAsia="zh-CN"/>
        </w:rPr>
        <w:t>三是土壤污染防治工作方面。</w:t>
      </w:r>
      <w:r>
        <w:rPr>
          <w:rFonts w:hint="eastAsia" w:ascii="仿宋_GB2312" w:hAnsi="仿宋_GB2312" w:eastAsia="仿宋_GB2312" w:cs="仿宋_GB2312"/>
          <w:sz w:val="32"/>
          <w:szCs w:val="32"/>
          <w:lang w:val="en-US" w:eastAsia="zh-CN"/>
        </w:rPr>
        <w:t>加强重点建设用地监管，会同县自然资源局完成上半年重点建设用地安全利用率台账上报；加强耕地土壤污染源头防控，实施农用地土壤镉等重金属源头防治行动，筛选出1家涉镉等重金属重点行业企业并列入排查清单，</w:t>
      </w:r>
      <w:r>
        <w:rPr>
          <w:rFonts w:hint="eastAsia" w:ascii="仿宋_GB2312" w:hAnsi="仿宋_GB2312" w:eastAsia="仿宋_GB2312" w:cs="仿宋_GB2312"/>
          <w:sz w:val="32"/>
          <w:szCs w:val="32"/>
          <w:u w:val="none"/>
          <w:lang w:val="en-US" w:eastAsia="zh-CN"/>
        </w:rPr>
        <w:t>完成</w:t>
      </w:r>
      <w:r>
        <w:rPr>
          <w:rFonts w:hint="eastAsia" w:ascii="仿宋_GB2312" w:hAnsi="仿宋_GB2312" w:eastAsia="仿宋_GB2312" w:cs="仿宋_GB2312"/>
          <w:sz w:val="32"/>
          <w:szCs w:val="32"/>
          <w:lang w:val="en-US" w:eastAsia="zh-CN"/>
        </w:rPr>
        <w:t>涉镉等重点行业企业再排查；强化土壤污染重点单位监管，</w:t>
      </w:r>
      <w:r>
        <w:rPr>
          <w:rFonts w:hint="eastAsia" w:ascii="仿宋_GB2312" w:hAnsi="仿宋_GB2312" w:eastAsia="仿宋_GB2312" w:cs="仿宋_GB2312"/>
          <w:sz w:val="32"/>
          <w:szCs w:val="32"/>
          <w:u w:val="none"/>
          <w:lang w:val="en-US" w:eastAsia="zh-CN"/>
        </w:rPr>
        <w:t>完成2023年度</w:t>
      </w:r>
      <w:r>
        <w:rPr>
          <w:rFonts w:hint="eastAsia" w:ascii="仿宋_GB2312" w:hAnsi="仿宋_GB2312" w:eastAsia="仿宋_GB2312" w:cs="仿宋_GB2312"/>
          <w:sz w:val="32"/>
          <w:szCs w:val="32"/>
          <w:lang w:val="en-US" w:eastAsia="zh-CN"/>
        </w:rPr>
        <w:t>2家土壤重点监管单位自行监测任务。</w:t>
      </w:r>
      <w:r>
        <w:rPr>
          <w:rFonts w:hint="eastAsia" w:ascii="仿宋_GB2312" w:hAnsi="仿宋_GB2312" w:eastAsia="仿宋_GB2312" w:cs="仿宋_GB2312"/>
          <w:b/>
          <w:bCs/>
          <w:sz w:val="32"/>
          <w:szCs w:val="32"/>
          <w:lang w:val="en-US" w:eastAsia="zh-CN"/>
        </w:rPr>
        <w:t>四是固体废物管理方面。</w:t>
      </w:r>
      <w:r>
        <w:rPr>
          <w:rFonts w:hint="eastAsia" w:ascii="仿宋_GB2312" w:hAnsi="仿宋_GB2312" w:eastAsia="仿宋_GB2312" w:cs="仿宋_GB2312"/>
          <w:sz w:val="32"/>
          <w:szCs w:val="32"/>
          <w:lang w:val="en-US" w:eastAsia="zh-CN"/>
        </w:rPr>
        <w:t>指导89家危险废物产生单位完成了2023年度危险废物管理计划制定及2022年度危险废物产生年报的申报、审核工作。</w:t>
      </w:r>
    </w:p>
    <w:p w14:paraId="2E6C6EB6">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聚焦整改抓落实，环境问题解决</w:t>
      </w:r>
      <w:r>
        <w:rPr>
          <w:rFonts w:hint="eastAsia" w:ascii="楷体_GB2312" w:hAnsi="楷体_GB2312" w:eastAsia="楷体_GB2312" w:cs="楷体_GB2312"/>
          <w:b/>
          <w:bCs/>
          <w:sz w:val="32"/>
          <w:szCs w:val="32"/>
          <w:lang w:val="en-US" w:eastAsia="zh-CN"/>
        </w:rPr>
        <w:t>取得新</w:t>
      </w:r>
      <w:r>
        <w:rPr>
          <w:rFonts w:hint="eastAsia" w:ascii="楷体_GB2312" w:hAnsi="楷体_GB2312" w:eastAsia="楷体_GB2312" w:cs="楷体_GB2312"/>
          <w:b/>
          <w:bCs/>
          <w:sz w:val="32"/>
          <w:szCs w:val="32"/>
        </w:rPr>
        <w:t>进展</w:t>
      </w:r>
    </w:p>
    <w:p w14:paraId="7718BB4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力抓好各级各类环保督察问题整改，2023年印发了《关于理县生态环境问题整改工作清单化调度的通知》，实行每双月一调度，召开问题整改推进研判会10次，下发工作提醒单48份，截至目前，我县共涉及中央、省、州环保督察整改任务285个问题，已完成整改265个，正在整改20个</w:t>
      </w:r>
      <w:r>
        <w:rPr>
          <w:rFonts w:hint="eastAsia" w:ascii="仿宋_GB2312" w:hAnsi="仿宋_GB2312" w:eastAsia="仿宋_GB2312" w:cs="仿宋_GB2312"/>
          <w:sz w:val="32"/>
          <w:szCs w:val="32"/>
          <w:lang w:eastAsia="zh-CN"/>
        </w:rPr>
        <w:t>，截至目前，已完成11个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全面开展全覆盖排查，</w:t>
      </w:r>
      <w:r>
        <w:rPr>
          <w:rFonts w:hint="eastAsia" w:ascii="仿宋_GB2312" w:hAnsi="仿宋_GB2312" w:eastAsia="仿宋_GB2312" w:cs="仿宋_GB2312"/>
          <w:sz w:val="32"/>
          <w:szCs w:val="32"/>
          <w:lang w:val="en-US" w:eastAsia="zh-CN"/>
        </w:rPr>
        <w:t>对省级生态环境保护督察问题整改任务及国家省级长江经济带和黄河流域生态环境问题486份资料进行查阅梳理，现场核查县城污水处理厂、下孟工业园区企业、县城饮用水源地等14个点位。通过环保督察问题整改，一批突出的生态环境问题得到有效解决，人民群众的幸福感、获得感、安全感显著提升。</w:t>
      </w:r>
    </w:p>
    <w:p w14:paraId="673698DE">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lang w:val="en-US"/>
        </w:rPr>
      </w:pPr>
      <w:r>
        <w:rPr>
          <w:rFonts w:hint="eastAsia" w:ascii="Times New Roman" w:hAnsi="Times New Roman" w:eastAsia="楷体_GB2312" w:cs="Times New Roman"/>
          <w:b/>
          <w:bCs/>
          <w:sz w:val="32"/>
          <w:szCs w:val="32"/>
          <w:lang w:val="en-US" w:eastAsia="zh-CN"/>
        </w:rPr>
        <w:t>（3）打好绿色生态牌</w:t>
      </w:r>
      <w:r>
        <w:rPr>
          <w:rFonts w:hint="default" w:ascii="Times New Roman" w:hAnsi="Times New Roman" w:eastAsia="楷体_GB2312" w:cs="Times New Roman"/>
          <w:b/>
          <w:bCs/>
          <w:sz w:val="32"/>
          <w:szCs w:val="32"/>
          <w:lang w:val="en-US" w:eastAsia="zh-CN"/>
        </w:rPr>
        <w:t>，生态</w:t>
      </w:r>
      <w:r>
        <w:rPr>
          <w:rFonts w:hint="eastAsia" w:ascii="Times New Roman" w:hAnsi="Times New Roman" w:eastAsia="楷体_GB2312" w:cs="Times New Roman"/>
          <w:b/>
          <w:bCs/>
          <w:sz w:val="32"/>
          <w:szCs w:val="32"/>
          <w:lang w:val="en-US" w:eastAsia="zh-CN"/>
        </w:rPr>
        <w:t>文明建设取得新成效</w:t>
      </w:r>
    </w:p>
    <w:p w14:paraId="66FCDE2E">
      <w:pPr>
        <w:pStyle w:val="2"/>
        <w:keepNext w:val="0"/>
        <w:keepLines w:val="0"/>
        <w:pageBreakBefore w:val="0"/>
        <w:numPr>
          <w:ilvl w:val="0"/>
          <w:numId w:val="0"/>
        </w:numPr>
        <w:kinsoku/>
        <w:wordWrap/>
        <w:overflowPunct/>
        <w:topLinePunct w:val="0"/>
        <w:autoSpaceDE/>
        <w:autoSpaceDN/>
        <w:bidi w:val="0"/>
        <w:spacing w:line="572" w:lineRule="exact"/>
        <w:ind w:firstLine="640" w:firstLineChars="200"/>
        <w:textAlignment w:val="auto"/>
        <w:rPr>
          <w:rFonts w:hint="eastAsia"/>
        </w:rPr>
      </w:pPr>
      <w:r>
        <w:rPr>
          <w:rFonts w:hint="default" w:ascii="Times New Roman" w:hAnsi="Times New Roman" w:eastAsia="仿宋_GB2312" w:cs="Times New Roman"/>
          <w:sz w:val="32"/>
          <w:szCs w:val="32"/>
          <w:lang w:val="en-US" w:eastAsia="zh-CN"/>
        </w:rPr>
        <w:t>我局始终把示范创建作为推动生态文明建设的重要抓手，坚持以创促建、以创提质，</w:t>
      </w:r>
      <w:r>
        <w:rPr>
          <w:rFonts w:hint="eastAsia" w:ascii="Times New Roman" w:hAnsi="Times New Roman" w:eastAsia="仿宋_GB2312" w:cs="Times New Roman"/>
          <w:sz w:val="32"/>
          <w:szCs w:val="32"/>
          <w:lang w:val="en-US" w:eastAsia="zh-CN"/>
        </w:rPr>
        <w:t>2023年，全力配合阿坝州创建国家生态文明建设示范区工作，按照州创建办要求，提供指标创建所需资料和“生态满意度”调查统计工作。同时，我局还积极筹备国家生态文明建设示范县创建工作，对照新调整指标，梳理查找创建指标短板，及早弥补缺陷。</w:t>
      </w:r>
      <w:r>
        <w:rPr>
          <w:rFonts w:hint="eastAsia" w:ascii="仿宋_GB2312" w:hAnsi="仿宋_GB2312" w:eastAsia="仿宋_GB2312" w:cs="仿宋_GB2312"/>
          <w:sz w:val="32"/>
          <w:szCs w:val="32"/>
          <w:lang w:val="en-US" w:eastAsia="zh-CN"/>
        </w:rPr>
        <w:t>扎实推进生态文明体制改革工作，</w:t>
      </w:r>
      <w:r>
        <w:rPr>
          <w:rFonts w:hint="eastAsia" w:ascii="Times New Roman" w:hAnsi="Times New Roman" w:eastAsia="仿宋_GB2312" w:cs="Times New Roman"/>
          <w:sz w:val="32"/>
          <w:szCs w:val="32"/>
          <w:lang w:val="en-US" w:eastAsia="zh-CN"/>
        </w:rPr>
        <w:t>制定印发了《理县2023年生态文明体制改革工作方案》《理县2023年生态文明体制改革工作要点》，</w:t>
      </w:r>
      <w:r>
        <w:rPr>
          <w:rFonts w:hint="eastAsia" w:ascii="仿宋_GB2312" w:hAnsi="仿宋_GB2312" w:eastAsia="仿宋_GB2312" w:cs="仿宋_GB2312"/>
          <w:sz w:val="32"/>
          <w:szCs w:val="32"/>
          <w:lang w:val="en-US" w:eastAsia="zh-CN"/>
        </w:rPr>
        <w:t>稳步有序组织相关部门推进林长制、碳达峰碳中和、地灾全域综合整治、国土空间规划等13项改革任务。</w:t>
      </w:r>
    </w:p>
    <w:p w14:paraId="6CFCC09B">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）严管严控破难题，环境执法监管得到新提升</w:t>
      </w:r>
    </w:p>
    <w:p w14:paraId="6B8F117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为切实强化环境执法监管效能，创新执法模式，将污染源日常监管、“双随机”移动执法与专项行动相结合，综合运用智慧在线监控等科技手段，大力推进“非现场监管”执法，加大对企业执法监管力度，提高执法精准化、智能化水平。截</w:t>
      </w:r>
      <w:r>
        <w:rPr>
          <w:rFonts w:hint="eastAsia" w:eastAsia="方正仿宋_GBK" w:cs="Times New Roman"/>
          <w:sz w:val="32"/>
          <w:szCs w:val="32"/>
          <w:lang w:val="en-US" w:eastAsia="zh-CN"/>
        </w:rPr>
        <w:t>至</w:t>
      </w:r>
      <w:r>
        <w:rPr>
          <w:rFonts w:hint="default" w:ascii="Times New Roman" w:hAnsi="Times New Roman" w:eastAsia="方正仿宋_GBK" w:cs="Times New Roman"/>
          <w:sz w:val="32"/>
          <w:szCs w:val="32"/>
          <w:lang w:val="en-US" w:eastAsia="zh-CN"/>
        </w:rPr>
        <w:t>目前，开展“双随机”移动执法检查</w:t>
      </w:r>
      <w:r>
        <w:rPr>
          <w:rFonts w:hint="eastAsia"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lang w:val="en-US" w:eastAsia="zh-CN"/>
        </w:rPr>
        <w:t>余次，共出动执法人员</w:t>
      </w:r>
      <w:r>
        <w:rPr>
          <w:rFonts w:hint="eastAsia" w:ascii="Times New Roman" w:hAnsi="Times New Roman" w:eastAsia="方正仿宋_GBK" w:cs="Times New Roman"/>
          <w:sz w:val="32"/>
          <w:szCs w:val="32"/>
          <w:lang w:val="en-US" w:eastAsia="zh-CN"/>
        </w:rPr>
        <w:t>400</w:t>
      </w:r>
      <w:r>
        <w:rPr>
          <w:rFonts w:hint="default" w:ascii="Times New Roman" w:hAnsi="Times New Roman" w:eastAsia="方正仿宋_GBK" w:cs="Times New Roman"/>
          <w:sz w:val="32"/>
          <w:szCs w:val="32"/>
          <w:lang w:val="en-US" w:eastAsia="zh-CN"/>
        </w:rPr>
        <w:t>余人次，检查企业</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val="en-US" w:eastAsia="zh-CN"/>
        </w:rPr>
        <w:t>余家，下达了</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份责令环境违法行为改正决定书。同时，积极开展12345、12369环保举报平台等环境信访举报办理，用心用情、依法依规认真办理群众反映生态环境问题。截</w:t>
      </w:r>
      <w:r>
        <w:rPr>
          <w:rFonts w:hint="eastAsia" w:eastAsia="方正仿宋_GBK" w:cs="Times New Roman"/>
          <w:sz w:val="32"/>
          <w:szCs w:val="32"/>
          <w:lang w:val="en-US" w:eastAsia="zh-CN"/>
        </w:rPr>
        <w:t>至</w:t>
      </w:r>
      <w:r>
        <w:rPr>
          <w:rFonts w:hint="default" w:ascii="Times New Roman" w:hAnsi="Times New Roman" w:eastAsia="方正仿宋_GBK" w:cs="Times New Roman"/>
          <w:sz w:val="32"/>
          <w:szCs w:val="32"/>
          <w:lang w:val="en-US" w:eastAsia="zh-CN"/>
        </w:rPr>
        <w:t>目前，共受理办结环境</w:t>
      </w:r>
      <w:r>
        <w:rPr>
          <w:rFonts w:hint="default" w:ascii="Times New Roman" w:hAnsi="Times New Roman" w:eastAsia="方正仿宋_GBK" w:cs="Times New Roman"/>
          <w:sz w:val="32"/>
          <w:szCs w:val="32"/>
        </w:rPr>
        <w:t>信访投诉</w:t>
      </w:r>
      <w:r>
        <w:rPr>
          <w:rFonts w:hint="default" w:ascii="Times New Roman" w:hAnsi="Times New Roman" w:eastAsia="方正仿宋_GBK" w:cs="Times New Roman"/>
          <w:sz w:val="32"/>
          <w:szCs w:val="32"/>
          <w:lang w:val="en-US" w:eastAsia="zh-CN"/>
        </w:rPr>
        <w:t>举报</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件，受理率以及办结率均为100%</w:t>
      </w:r>
      <w:r>
        <w:rPr>
          <w:rFonts w:hint="default" w:ascii="Times New Roman" w:hAnsi="Times New Roman" w:eastAsia="方正仿宋_GBK" w:cs="Times New Roman"/>
          <w:sz w:val="32"/>
          <w:szCs w:val="32"/>
          <w:lang w:eastAsia="zh-CN"/>
        </w:rPr>
        <w:t>。</w:t>
      </w:r>
    </w:p>
    <w:p w14:paraId="66758CB6">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）助力发展优服务，提高群众满意展现新作为</w:t>
      </w:r>
    </w:p>
    <w:p w14:paraId="2A9309B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主动服务，助企业完善环境影响评价手续，2023年2月向各乡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省州属</w:t>
      </w:r>
      <w:r>
        <w:rPr>
          <w:rFonts w:hint="eastAsia" w:ascii="仿宋_GB2312" w:hAnsi="仿宋_GB2312" w:eastAsia="仿宋_GB2312" w:cs="仿宋_GB2312"/>
          <w:sz w:val="32"/>
          <w:szCs w:val="32"/>
        </w:rPr>
        <w:t>企事业单位</w:t>
      </w:r>
      <w:r>
        <w:rPr>
          <w:rFonts w:hint="eastAsia" w:ascii="仿宋_GB2312" w:hAnsi="仿宋_GB2312" w:eastAsia="仿宋_GB2312" w:cs="仿宋_GB2312"/>
          <w:sz w:val="32"/>
          <w:szCs w:val="32"/>
          <w:lang w:val="en-US" w:eastAsia="zh-CN"/>
        </w:rPr>
        <w:t>发送了《关于切实做好理县2023年建设项目环境影响评价及竣工环境保护验收工作的提醒函》，提醒业主开展建设项目环评和环保设施验收工作。同时，主动梳理理县重大建设项目环评服务事项，并形成2023年理县重大项目环评服务清单，针对建设项目环评工作开展清单式服务，特别是积极对接省、州生态环境主管部门，点对点服务米桃水利工程、福兴工业硅电炉技改项目等重大项目环评工作。截至目前，理县2023年共审批4个建设项目环境影响报告表，积极配合协助州级审批理县项目环评4个，指导业主自行备案环境影响登记表24份，督促业主完成了建设项目竣工环保设施验收10个。强化排污许可，积极配合州生态环境局，督促指导4家企业完成排污许可证延续或变更工作，督促6家企业完成2022年排污许可年度执行报告和3家企业2023年前三季度排污许可执行报告网上提交工作。</w:t>
      </w:r>
    </w:p>
    <w:p w14:paraId="08F09064">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）加强宣传促氛围，传播生态理念焕发新面貌</w:t>
      </w:r>
    </w:p>
    <w:p w14:paraId="179EA74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谁执法、谁普法”的宣传方式，结合4月“生态月”、6月“环境月”、6.5环境日、世界水日、全国低碳日、食品安全周、“两联一进”和“法律七进”等活动，先后开展送法进机关1次、进企业20次、进村寨8次、进社区进学校1次。以六五环境日、生物多样性日、低碳日等活动为契机开展生态环境保护宣传活动，累计发放《习近平</w:t>
      </w:r>
      <w:bookmarkStart w:id="135" w:name="_GoBack"/>
      <w:bookmarkEnd w:id="135"/>
      <w:r>
        <w:rPr>
          <w:rFonts w:hint="eastAsia" w:ascii="仿宋_GB2312" w:hAnsi="仿宋_GB2312" w:eastAsia="仿宋_GB2312" w:cs="仿宋_GB2312"/>
          <w:sz w:val="32"/>
          <w:szCs w:val="32"/>
          <w:lang w:val="en-US" w:eastAsia="zh-CN"/>
        </w:rPr>
        <w:t>生态文明思想的十个坚持》、人与自然和谐共生、垃圾分类、全面治理农村生活污水、《四川省乡村振兴促进条例》、《中华人民共和国民法典》等法律知识。向群众发放各类知识手册1000余份、折叠无纺环保袋300余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广告扇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余份</w:t>
      </w:r>
      <w:r>
        <w:rPr>
          <w:rFonts w:hint="eastAsia" w:ascii="仿宋_GB2312" w:hAnsi="仿宋_GB2312" w:eastAsia="仿宋_GB2312" w:cs="仿宋_GB2312"/>
          <w:sz w:val="32"/>
          <w:szCs w:val="32"/>
          <w:lang w:eastAsia="zh-CN"/>
        </w:rPr>
        <w:t>，碳素拉纸笔</w:t>
      </w:r>
      <w:r>
        <w:rPr>
          <w:rFonts w:hint="eastAsia" w:ascii="仿宋_GB2312" w:hAnsi="仿宋_GB2312" w:eastAsia="仿宋_GB2312" w:cs="仿宋_GB2312"/>
          <w:sz w:val="32"/>
          <w:szCs w:val="32"/>
          <w:lang w:val="en-US" w:eastAsia="zh-CN"/>
        </w:rPr>
        <w:t>200余只</w:t>
      </w:r>
      <w:r>
        <w:rPr>
          <w:rFonts w:hint="eastAsia" w:ascii="仿宋_GB2312" w:hAnsi="仿宋_GB2312" w:eastAsia="仿宋_GB2312" w:cs="仿宋_GB2312"/>
          <w:sz w:val="32"/>
          <w:szCs w:val="32"/>
          <w:lang w:eastAsia="zh-CN"/>
        </w:rPr>
        <w:t>，洗衣刷</w:t>
      </w:r>
      <w:r>
        <w:rPr>
          <w:rFonts w:hint="eastAsia" w:ascii="仿宋_GB2312" w:hAnsi="仿宋_GB2312" w:eastAsia="仿宋_GB2312" w:cs="仿宋_GB2312"/>
          <w:sz w:val="32"/>
          <w:szCs w:val="32"/>
          <w:lang w:val="en-US" w:eastAsia="zh-CN"/>
        </w:rPr>
        <w:t>50余个，</w:t>
      </w:r>
      <w:r>
        <w:rPr>
          <w:rFonts w:hint="eastAsia" w:ascii="仿宋_GB2312" w:hAnsi="仿宋_GB2312" w:eastAsia="仿宋_GB2312" w:cs="仿宋_GB2312"/>
          <w:sz w:val="32"/>
          <w:szCs w:val="32"/>
        </w:rPr>
        <w:t>并现场</w:t>
      </w:r>
      <w:r>
        <w:rPr>
          <w:rFonts w:hint="eastAsia" w:ascii="仿宋_GB2312" w:hAnsi="仿宋_GB2312" w:eastAsia="仿宋_GB2312" w:cs="仿宋_GB2312"/>
          <w:sz w:val="32"/>
          <w:szCs w:val="32"/>
          <w:lang w:val="en-US" w:eastAsia="zh-CN"/>
        </w:rPr>
        <w:t>耐心细致</w:t>
      </w:r>
      <w:r>
        <w:rPr>
          <w:rFonts w:hint="eastAsia" w:ascii="仿宋_GB2312" w:hAnsi="仿宋_GB2312" w:eastAsia="仿宋_GB2312" w:cs="仿宋_GB2312"/>
          <w:sz w:val="32"/>
          <w:szCs w:val="32"/>
        </w:rPr>
        <w:t>解答群众咨询的问题。</w:t>
      </w:r>
      <w:r>
        <w:rPr>
          <w:rFonts w:hint="eastAsia" w:ascii="仿宋_GB2312" w:hAnsi="仿宋_GB2312" w:eastAsia="仿宋_GB2312" w:cs="仿宋_GB2312"/>
          <w:sz w:val="32"/>
          <w:szCs w:val="32"/>
          <w:lang w:val="en-US" w:eastAsia="zh-CN"/>
        </w:rPr>
        <w:t>立足实际，创新活动形式，积极组织开展“零距离”体验“转危为安” 理县环保设施公众开放日活动，</w:t>
      </w:r>
      <w:r>
        <w:rPr>
          <w:rFonts w:hint="eastAsia" w:ascii="仿宋_GB2312" w:hAnsi="仿宋_GB2312" w:eastAsia="仿宋_GB2312" w:cs="仿宋_GB2312"/>
          <w:sz w:val="32"/>
          <w:szCs w:val="32"/>
        </w:rPr>
        <w:t>邀请120余人次群众代表、企业工人代表以及乡镇环保网格员走进沙场、福兴硅业、垃圾焚烧厂、石粉厂实地参观废气、污水以及生活垃圾处理设施，直观感受废气、污水和垃圾处理前后对比，宣传以"共建生态文明，共享绿色未来"的环境保护理念，进一步促进大众参与生态环境保护，共建共享理县的碧水蓝天。</w:t>
      </w:r>
    </w:p>
    <w:p w14:paraId="5CB2D0E4">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lang w:eastAsia="zh-CN"/>
        </w:rPr>
        <w:t>）党建引领铸铁军，党建业务融合迈出新步伐</w:t>
      </w:r>
    </w:p>
    <w:p w14:paraId="54847B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紧紧围绕党建工作要点、机关党建示范引领工作计划和学习贯彻习近平新时代中国特色社会主义思想主题教育学习计划，狠抓党建、党风廉政、作风建设等方面的工作。</w:t>
      </w:r>
      <w:r>
        <w:rPr>
          <w:rFonts w:hint="eastAsia" w:ascii="仿宋_GB2312" w:hAnsi="仿宋_GB2312" w:eastAsia="仿宋_GB2312" w:cs="仿宋_GB2312"/>
          <w:b/>
          <w:bCs/>
          <w:sz w:val="32"/>
          <w:szCs w:val="32"/>
          <w:lang w:val="en-US" w:eastAsia="zh-CN"/>
        </w:rPr>
        <w:t>一是强化政治理论学习。</w:t>
      </w:r>
      <w:r>
        <w:rPr>
          <w:rFonts w:hint="eastAsia" w:ascii="仿宋_GB2312" w:hAnsi="仿宋_GB2312" w:eastAsia="仿宋_GB2312" w:cs="仿宋_GB2312"/>
          <w:sz w:val="32"/>
          <w:szCs w:val="32"/>
          <w:lang w:val="en-US" w:eastAsia="zh-CN"/>
        </w:rPr>
        <w:t>截至目前，局党组理论学习中心组学习9次，支部集中学习12次。组织每名党员干部职工学习《习近平新时代中国特色社会主义思想专题摘编》等理论学习书籍，组织全局干部职工集中学习党的二十大精神、《中国共产党章程》等，提升党员干部政治素质和能力水平。</w:t>
      </w:r>
      <w:r>
        <w:rPr>
          <w:rFonts w:hint="eastAsia" w:ascii="仿宋_GB2312" w:hAnsi="仿宋_GB2312" w:eastAsia="仿宋_GB2312" w:cs="仿宋_GB2312"/>
          <w:b/>
          <w:bCs/>
          <w:sz w:val="32"/>
          <w:szCs w:val="32"/>
          <w:lang w:val="en-US" w:eastAsia="zh-CN"/>
        </w:rPr>
        <w:t>二是严肃党内政治生活。</w:t>
      </w:r>
      <w:r>
        <w:rPr>
          <w:rFonts w:hint="eastAsia" w:ascii="仿宋_GB2312" w:hAnsi="仿宋_GB2312" w:eastAsia="仿宋_GB2312" w:cs="仿宋_GB2312"/>
          <w:sz w:val="32"/>
          <w:szCs w:val="32"/>
          <w:lang w:val="en-US" w:eastAsia="zh-CN"/>
        </w:rPr>
        <w:t>共召开3次党员大会，开展主题党日活动3次，局领导班子</w:t>
      </w:r>
      <w:r>
        <w:rPr>
          <w:rFonts w:hint="eastAsia" w:ascii="仿宋_GB2312" w:hAnsi="仿宋_GB2312" w:eastAsia="仿宋_GB2312" w:cs="仿宋_GB2312"/>
          <w:sz w:val="32"/>
          <w:szCs w:val="32"/>
          <w:u w:val="none"/>
          <w:lang w:val="en-US" w:eastAsia="zh-CN"/>
        </w:rPr>
        <w:t>讲党课3次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三是不断夯实党建基础。</w:t>
      </w:r>
      <w:r>
        <w:rPr>
          <w:rFonts w:hint="eastAsia" w:ascii="仿宋_GB2312" w:hAnsi="仿宋_GB2312" w:eastAsia="仿宋_GB2312" w:cs="仿宋_GB2312"/>
          <w:sz w:val="32"/>
          <w:szCs w:val="32"/>
          <w:lang w:val="en-US" w:eastAsia="zh-CN"/>
        </w:rPr>
        <w:t>持续开展主题教育学习常态化、制度化，结合实际制定《阿坝州理县生态环境局党支部开展学习贯彻习近平新时代中国特色社会主义思想主题教育学习计划》。组织党员干部围绕“文明创建志愿服务”“两联一进”“庆七一”“学习贯彻党的二十大精神”等丰富多彩、形式多样的“党建+”主题党日活动，进一步坚定党员干部理想信念。</w:t>
      </w:r>
      <w:r>
        <w:rPr>
          <w:rFonts w:hint="eastAsia" w:ascii="仿宋_GB2312" w:hAnsi="仿宋_GB2312" w:eastAsia="仿宋_GB2312" w:cs="仿宋_GB2312"/>
          <w:b/>
          <w:bCs/>
          <w:sz w:val="32"/>
          <w:szCs w:val="32"/>
          <w:lang w:val="en-US" w:eastAsia="zh-CN"/>
        </w:rPr>
        <w:t>四是强化作风建设。</w:t>
      </w:r>
      <w:r>
        <w:rPr>
          <w:rFonts w:hint="eastAsia" w:ascii="仿宋_GB2312" w:hAnsi="仿宋_GB2312" w:eastAsia="仿宋_GB2312" w:cs="仿宋_GB2312"/>
          <w:sz w:val="32"/>
          <w:szCs w:val="32"/>
          <w:lang w:val="en-US" w:eastAsia="zh-CN"/>
        </w:rPr>
        <w:t>制定</w:t>
      </w:r>
      <w:r>
        <w:rPr>
          <w:rFonts w:hint="default"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《理县生态环境局2023年落实全面从严治党主体责任清单》，</w:t>
      </w:r>
      <w:r>
        <w:rPr>
          <w:rFonts w:hint="default" w:ascii="仿宋_GB2312" w:hAnsi="仿宋_GB2312" w:eastAsia="仿宋_GB2312" w:cs="仿宋_GB2312"/>
          <w:color w:val="auto"/>
          <w:position w:val="0"/>
          <w:sz w:val="32"/>
          <w:szCs w:val="32"/>
          <w:lang w:val="en-US" w:eastAsia="zh-CN"/>
        </w:rPr>
        <w:t>年初与分</w:t>
      </w:r>
      <w:r>
        <w:rPr>
          <w:rFonts w:hint="eastAsia" w:ascii="仿宋_GB2312" w:hAnsi="仿宋_GB2312" w:eastAsia="仿宋_GB2312" w:cs="仿宋_GB2312"/>
          <w:color w:val="auto"/>
          <w:position w:val="0"/>
          <w:sz w:val="32"/>
          <w:szCs w:val="32"/>
          <w:lang w:val="en-US" w:eastAsia="zh-CN"/>
        </w:rPr>
        <w:t>管领导</w:t>
      </w:r>
      <w:r>
        <w:rPr>
          <w:rFonts w:hint="default" w:ascii="仿宋_GB2312" w:hAnsi="仿宋_GB2312" w:eastAsia="仿宋_GB2312" w:cs="仿宋_GB2312"/>
          <w:color w:val="auto"/>
          <w:position w:val="0"/>
          <w:sz w:val="32"/>
          <w:szCs w:val="32"/>
          <w:lang w:val="en-US" w:eastAsia="zh-CN"/>
        </w:rPr>
        <w:t>、分管</w:t>
      </w:r>
      <w:r>
        <w:rPr>
          <w:rFonts w:hint="eastAsia" w:ascii="仿宋_GB2312" w:hAnsi="仿宋_GB2312" w:eastAsia="仿宋_GB2312" w:cs="仿宋_GB2312"/>
          <w:color w:val="auto"/>
          <w:position w:val="0"/>
          <w:sz w:val="32"/>
          <w:szCs w:val="32"/>
          <w:lang w:val="en-US" w:eastAsia="zh-CN"/>
        </w:rPr>
        <w:t>领导</w:t>
      </w:r>
      <w:r>
        <w:rPr>
          <w:rFonts w:hint="default" w:ascii="仿宋_GB2312" w:hAnsi="仿宋_GB2312" w:eastAsia="仿宋_GB2312" w:cs="仿宋_GB2312"/>
          <w:color w:val="auto"/>
          <w:position w:val="0"/>
          <w:sz w:val="32"/>
          <w:szCs w:val="32"/>
          <w:lang w:val="en-US" w:eastAsia="zh-CN"/>
        </w:rPr>
        <w:t>与分管</w:t>
      </w:r>
      <w:r>
        <w:rPr>
          <w:rFonts w:hint="eastAsia" w:ascii="仿宋_GB2312" w:hAnsi="仿宋_GB2312" w:eastAsia="仿宋_GB2312" w:cs="仿宋_GB2312"/>
          <w:color w:val="auto"/>
          <w:position w:val="0"/>
          <w:sz w:val="32"/>
          <w:szCs w:val="32"/>
          <w:lang w:val="en-US" w:eastAsia="zh-CN"/>
        </w:rPr>
        <w:t>股室、</w:t>
      </w:r>
      <w:r>
        <w:rPr>
          <w:rFonts w:hint="eastAsia" w:ascii="仿宋_GB2312" w:hAnsi="仿宋_GB2312" w:eastAsia="仿宋_GB2312" w:cs="仿宋_GB2312"/>
          <w:sz w:val="32"/>
          <w:szCs w:val="32"/>
          <w:lang w:val="en-US" w:eastAsia="zh-CN"/>
        </w:rPr>
        <w:t>分管股室与股室成员层层签订了《党风廉政建设责任清单》。</w:t>
      </w:r>
      <w:r>
        <w:rPr>
          <w:rFonts w:hint="default" w:ascii="仿宋_GB2312" w:hAnsi="仿宋_GB2312" w:eastAsia="仿宋_GB2312" w:cs="仿宋_GB2312"/>
          <w:sz w:val="32"/>
          <w:szCs w:val="32"/>
          <w:lang w:val="en-US" w:eastAsia="zh-CN"/>
        </w:rPr>
        <w:t>强化系统安全风险和岗位廉政风险防控，</w:t>
      </w:r>
      <w:r>
        <w:rPr>
          <w:rFonts w:hint="eastAsia" w:ascii="仿宋_GB2312" w:hAnsi="仿宋_GB2312" w:eastAsia="仿宋_GB2312" w:cs="仿宋_GB2312"/>
          <w:sz w:val="32"/>
          <w:szCs w:val="32"/>
          <w:lang w:val="en-US" w:eastAsia="zh-CN"/>
        </w:rPr>
        <w:t>梳理排查了各类岗位廉政风险点26个，制定防控措施61条。</w:t>
      </w:r>
      <w:r>
        <w:rPr>
          <w:rFonts w:hint="default" w:ascii="仿宋_GB2312" w:hAnsi="仿宋_GB2312" w:eastAsia="仿宋_GB2312" w:cs="仿宋_GB2312"/>
          <w:sz w:val="32"/>
          <w:szCs w:val="32"/>
          <w:lang w:val="en-US" w:eastAsia="zh-CN"/>
        </w:rPr>
        <w:t>经常性开展警示教育，</w:t>
      </w:r>
      <w:r>
        <w:rPr>
          <w:rFonts w:hint="eastAsia" w:ascii="仿宋_GB2312" w:hAnsi="仿宋_GB2312" w:eastAsia="仿宋_GB2312" w:cs="仿宋_GB2312"/>
          <w:sz w:val="32"/>
          <w:szCs w:val="32"/>
          <w:lang w:val="en-US" w:eastAsia="zh-CN"/>
        </w:rPr>
        <w:t>组织党员干部观看《权利“围城”》《“企”途》等警示教育片、</w:t>
      </w:r>
      <w:r>
        <w:rPr>
          <w:rFonts w:hint="default" w:ascii="仿宋_GB2312" w:hAnsi="仿宋_GB2312" w:eastAsia="仿宋_GB2312" w:cs="仿宋_GB2312"/>
          <w:sz w:val="32"/>
          <w:szCs w:val="32"/>
          <w:lang w:val="en-US" w:eastAsia="zh-CN"/>
        </w:rPr>
        <w:t>专题学习了《中国共产党纪律处分条例》《中国共产党党员领导干部廉洁自律若准则》，</w:t>
      </w:r>
      <w:r>
        <w:rPr>
          <w:rFonts w:hint="eastAsia" w:ascii="仿宋_GB2312" w:hAnsi="仿宋_GB2312" w:eastAsia="仿宋_GB2312" w:cs="仿宋_GB2312"/>
          <w:sz w:val="32"/>
          <w:szCs w:val="32"/>
          <w:lang w:val="en-US" w:eastAsia="zh-CN"/>
        </w:rPr>
        <w:t>违规违纪违法典型案例通报和发送节前廉政提醒信息等形式，不断强化干部职工遵规守纪意识，筑牢拒腐防变的思想防线。</w:t>
      </w:r>
    </w:p>
    <w:p w14:paraId="7359BF4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存在问题</w:t>
      </w:r>
    </w:p>
    <w:p w14:paraId="22CC7E5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Calibri" w:eastAsia="仿宋_GB2312"/>
          <w:b/>
          <w:bCs/>
          <w:sz w:val="32"/>
          <w:szCs w:val="32"/>
          <w:lang w:val="en-US" w:eastAsia="zh-CN"/>
        </w:rPr>
      </w:pPr>
      <w:r>
        <w:rPr>
          <w:rFonts w:hint="default" w:ascii="Times New Roman" w:hAnsi="Times New Roman" w:eastAsia="仿宋_GB2312" w:cs="Times New Roman"/>
          <w:sz w:val="32"/>
          <w:szCs w:val="32"/>
          <w:lang w:val="en-US" w:eastAsia="zh-CN"/>
        </w:rPr>
        <w:t>一年来，我</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工作取得了一定的成效，但也存在一些不足。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多项环保督察问题需要今年完成，任然滞后，还未完成。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u w:val="none"/>
          <w:lang w:val="en-US" w:eastAsia="zh-CN"/>
        </w:rPr>
        <w:t>部分</w:t>
      </w:r>
      <w:r>
        <w:rPr>
          <w:rFonts w:hint="eastAsia" w:ascii="仿宋_GB2312" w:hAnsi="仿宋_GB2312" w:eastAsia="仿宋_GB2312" w:cs="仿宋_GB2312"/>
          <w:sz w:val="32"/>
          <w:szCs w:val="32"/>
          <w:lang w:val="en-US" w:eastAsia="zh-CN"/>
        </w:rPr>
        <w:t>已完工项目结余资金按照财政管理办法已被财政收回，在资金执行率上始终无法达到100%，影响资金拨付率；项目包装及申报无前期经费，导致项目储备滞后。</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地表水水质波动较大，2023年地表水国控杂谷脑河五里界牌断面水质虽达到考核标准，但水质月综合指数有较大波动。入河排污口整治目前还在项目申报阶段，年底前完成整治任务难度较大。污染防治水平和能力建设比较薄弱，新形势、新要求下，污染防治工作不断精细，人员及技术水平难以适应繁重的环境监管工作需求和污染防治精细化工作要求。</w:t>
      </w:r>
    </w:p>
    <w:p w14:paraId="41F9FBF8">
      <w:pPr>
        <w:keepNext w:val="0"/>
        <w:keepLines w:val="0"/>
        <w:pageBreakBefore w:val="0"/>
        <w:kinsoku/>
        <w:wordWrap/>
        <w:overflowPunct/>
        <w:topLinePunct w:val="0"/>
        <w:autoSpaceDE/>
        <w:autoSpaceDN/>
        <w:bidi w:val="0"/>
        <w:spacing w:line="572" w:lineRule="exact"/>
        <w:ind w:firstLine="643" w:firstLineChars="200"/>
        <w:textAlignment w:val="auto"/>
        <w:rPr>
          <w:rFonts w:hint="eastAsia" w:ascii="仿宋_GB2312" w:hAnsi="Calibri" w:eastAsia="仿宋_GB2312"/>
          <w:b/>
          <w:bCs/>
          <w:sz w:val="32"/>
          <w:szCs w:val="32"/>
          <w:lang w:val="en-US" w:eastAsia="zh-CN"/>
        </w:rPr>
      </w:pPr>
      <w:r>
        <w:rPr>
          <w:rFonts w:hint="eastAsia" w:ascii="仿宋_GB2312" w:hAnsi="Calibri" w:eastAsia="仿宋_GB2312"/>
          <w:b/>
          <w:bCs/>
          <w:sz w:val="32"/>
          <w:szCs w:val="32"/>
          <w:lang w:val="en-US" w:eastAsia="zh-CN"/>
        </w:rPr>
        <w:t>二、机构设置</w:t>
      </w:r>
      <w:bookmarkEnd w:id="25"/>
      <w:bookmarkEnd w:id="26"/>
      <w:bookmarkEnd w:id="27"/>
      <w:bookmarkEnd w:id="28"/>
      <w:bookmarkStart w:id="29" w:name="_Toc15396602"/>
      <w:bookmarkStart w:id="30" w:name="_Toc79163859"/>
      <w:bookmarkStart w:id="31" w:name="_Toc79163609"/>
      <w:bookmarkStart w:id="32" w:name="_Toc15377204"/>
    </w:p>
    <w:p w14:paraId="5B4A40BC">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理县生态环境局属财政全额拨款的行政单位，内设办公室、污染防治股、生态股、行政审批股、环境执法大队、环境监测站、建设项目管理办公室等7个股室。</w:t>
      </w:r>
    </w:p>
    <w:p w14:paraId="2156E876">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理县生态环境局总编制15名，其中：行政编制3名、参公编制12名。现实有人数11人，其中：公务员及参公8人、机关工勤3人。</w:t>
      </w:r>
    </w:p>
    <w:p w14:paraId="6325E327">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822ACD5">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67C0A3B">
      <w:pPr>
        <w:pStyle w:val="2"/>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2875F187">
      <w:pPr>
        <w:pStyle w:val="2"/>
        <w:rPr>
          <w:rFonts w:hint="eastAsia"/>
          <w:lang w:val="en-US" w:eastAsia="zh-CN"/>
        </w:rPr>
      </w:pPr>
    </w:p>
    <w:p w14:paraId="500B4DEB">
      <w:pPr>
        <w:pStyle w:val="2"/>
        <w:rPr>
          <w:rFonts w:hint="eastAsia"/>
          <w:lang w:val="en-US" w:eastAsia="zh-CN"/>
        </w:rPr>
      </w:pPr>
    </w:p>
    <w:p w14:paraId="5A5BEF21">
      <w:pPr>
        <w:rPr>
          <w:rFonts w:hint="eastAsia"/>
          <w:lang w:val="en-US" w:eastAsia="zh-CN"/>
        </w:rPr>
      </w:pPr>
    </w:p>
    <w:p w14:paraId="232DBCDB">
      <w:pPr>
        <w:pStyle w:val="2"/>
        <w:rPr>
          <w:rFonts w:hint="eastAsia"/>
          <w:lang w:val="en-US" w:eastAsia="zh-CN"/>
        </w:rPr>
      </w:pPr>
    </w:p>
    <w:p w14:paraId="6591A950">
      <w:pPr>
        <w:rPr>
          <w:rFonts w:hint="eastAsia"/>
          <w:lang w:val="en-US" w:eastAsia="zh-CN"/>
        </w:rPr>
      </w:pPr>
    </w:p>
    <w:p w14:paraId="61C377AA">
      <w:pPr>
        <w:pStyle w:val="2"/>
        <w:rPr>
          <w:rFonts w:hint="eastAsia"/>
          <w:lang w:val="en-US" w:eastAsia="zh-CN"/>
        </w:rPr>
      </w:pPr>
    </w:p>
    <w:p w14:paraId="1CA8D4F3">
      <w:pPr>
        <w:rPr>
          <w:rFonts w:hint="eastAsia"/>
          <w:lang w:val="en-US" w:eastAsia="zh-CN"/>
        </w:rPr>
      </w:pPr>
    </w:p>
    <w:p w14:paraId="458F0703">
      <w:pPr>
        <w:pStyle w:val="2"/>
        <w:rPr>
          <w:rFonts w:hint="eastAsia"/>
          <w:lang w:val="en-US" w:eastAsia="zh-CN"/>
        </w:rPr>
      </w:pPr>
    </w:p>
    <w:p w14:paraId="4A9AF650">
      <w:pPr>
        <w:rPr>
          <w:rFonts w:hint="eastAsia"/>
          <w:lang w:val="en-US" w:eastAsia="zh-CN"/>
        </w:rPr>
      </w:pPr>
    </w:p>
    <w:p w14:paraId="1A097EC2">
      <w:pPr>
        <w:pStyle w:val="2"/>
        <w:rPr>
          <w:rFonts w:hint="eastAsia"/>
          <w:lang w:val="en-US" w:eastAsia="zh-CN"/>
        </w:rPr>
      </w:pPr>
    </w:p>
    <w:p w14:paraId="690E45ED">
      <w:pPr>
        <w:rPr>
          <w:rFonts w:hint="eastAsia"/>
          <w:lang w:val="en-US" w:eastAsia="zh-CN"/>
        </w:rPr>
      </w:pPr>
    </w:p>
    <w:p w14:paraId="4DEBE6B2">
      <w:pPr>
        <w:pStyle w:val="2"/>
        <w:rPr>
          <w:rFonts w:hint="eastAsia"/>
          <w:lang w:val="en-US" w:eastAsia="zh-CN"/>
        </w:rPr>
      </w:pPr>
    </w:p>
    <w:p w14:paraId="0918DB5A">
      <w:pPr>
        <w:rPr>
          <w:rFonts w:hint="eastAsia"/>
          <w:lang w:val="en-US" w:eastAsia="zh-CN"/>
        </w:rPr>
      </w:pPr>
    </w:p>
    <w:p w14:paraId="175E576D">
      <w:pPr>
        <w:pStyle w:val="2"/>
        <w:rPr>
          <w:rFonts w:hint="eastAsia"/>
          <w:lang w:val="en-US" w:eastAsia="zh-CN"/>
        </w:rPr>
      </w:pPr>
    </w:p>
    <w:p w14:paraId="17469E72">
      <w:pPr>
        <w:rPr>
          <w:rFonts w:hint="eastAsia"/>
          <w:lang w:val="en-US" w:eastAsia="zh-CN"/>
        </w:rPr>
      </w:pPr>
    </w:p>
    <w:p w14:paraId="706C8F98">
      <w:pPr>
        <w:pStyle w:val="2"/>
        <w:rPr>
          <w:rFonts w:hint="eastAsia"/>
          <w:lang w:val="en-US" w:eastAsia="zh-CN"/>
        </w:rPr>
      </w:pPr>
    </w:p>
    <w:p w14:paraId="248DCCF6">
      <w:pPr>
        <w:rPr>
          <w:rFonts w:hint="eastAsia"/>
          <w:lang w:val="en-US" w:eastAsia="zh-CN"/>
        </w:rPr>
      </w:pPr>
    </w:p>
    <w:p w14:paraId="20E700D5">
      <w:pPr>
        <w:rPr>
          <w:rFonts w:hint="eastAsia"/>
          <w:lang w:val="en-US" w:eastAsia="zh-CN"/>
        </w:rPr>
      </w:pPr>
    </w:p>
    <w:p w14:paraId="1E0D5990">
      <w:pPr>
        <w:pStyle w:val="2"/>
        <w:rPr>
          <w:rFonts w:hint="eastAsia"/>
          <w:lang w:val="en-US" w:eastAsia="zh-CN"/>
        </w:rPr>
      </w:pPr>
    </w:p>
    <w:p w14:paraId="56833E13">
      <w:pPr>
        <w:pStyle w:val="3"/>
        <w:pageBreakBefore w:val="0"/>
        <w:widowControl w:val="0"/>
        <w:kinsoku/>
        <w:wordWrap/>
        <w:overflowPunct/>
        <w:topLinePunct w:val="0"/>
        <w:autoSpaceDE/>
        <w:autoSpaceDN/>
        <w:bidi w:val="0"/>
        <w:adjustRightInd/>
        <w:snapToGrid/>
        <w:spacing w:line="572" w:lineRule="atLeast"/>
        <w:ind w:right="440"/>
        <w:jc w:val="center"/>
        <w:textAlignment w:val="auto"/>
      </w:pPr>
      <w:r>
        <w:rPr>
          <w:rFonts w:hint="eastAsia" w:ascii="黑体" w:hAnsi="黑体" w:eastAsia="黑体"/>
          <w:b w:val="0"/>
          <w:color w:val="000000"/>
        </w:rPr>
        <w:t>第二部分</w:t>
      </w:r>
      <w:r>
        <w:rPr>
          <w:rFonts w:ascii="黑体" w:hAnsi="黑体" w:eastAsia="黑体"/>
          <w:color w:val="000000"/>
        </w:rPr>
        <w:t xml:space="preserve"> </w:t>
      </w:r>
      <w:r>
        <w:rPr>
          <w:rStyle w:val="29"/>
          <w:rFonts w:ascii="黑体" w:hAnsi="黑体" w:eastAsia="黑体"/>
          <w:b w:val="0"/>
          <w:bCs w:val="0"/>
        </w:rPr>
        <w:t>202</w:t>
      </w:r>
      <w:r>
        <w:rPr>
          <w:rStyle w:val="29"/>
          <w:rFonts w:hint="eastAsia" w:ascii="黑体" w:hAnsi="黑体" w:eastAsia="黑体"/>
          <w:b w:val="0"/>
          <w:bCs w:val="0"/>
          <w:lang w:val="en-US" w:eastAsia="zh-CN"/>
        </w:rPr>
        <w:t>3</w:t>
      </w:r>
      <w:r>
        <w:rPr>
          <w:rStyle w:val="29"/>
          <w:rFonts w:hint="eastAsia" w:ascii="黑体" w:hAnsi="黑体" w:eastAsia="黑体"/>
          <w:b w:val="0"/>
          <w:bCs w:val="0"/>
        </w:rPr>
        <w:t>年度</w:t>
      </w:r>
      <w:r>
        <w:rPr>
          <w:rStyle w:val="29"/>
          <w:rFonts w:hint="eastAsia" w:ascii="黑体" w:hAnsi="黑体" w:eastAsia="黑体"/>
          <w:b w:val="0"/>
          <w:bCs w:val="0"/>
          <w:lang w:eastAsia="zh-CN"/>
        </w:rPr>
        <w:t>单位</w:t>
      </w:r>
      <w:r>
        <w:rPr>
          <w:rStyle w:val="29"/>
          <w:rFonts w:hint="eastAsia" w:ascii="黑体" w:hAnsi="黑体" w:eastAsia="黑体"/>
          <w:b w:val="0"/>
          <w:bCs w:val="0"/>
        </w:rPr>
        <w:t>决算情况说明</w:t>
      </w:r>
      <w:bookmarkEnd w:id="29"/>
      <w:bookmarkEnd w:id="30"/>
      <w:bookmarkEnd w:id="31"/>
      <w:bookmarkEnd w:id="32"/>
    </w:p>
    <w:p w14:paraId="09480A02">
      <w:pPr>
        <w:pStyle w:val="40"/>
        <w:pageBreakBefore w:val="0"/>
        <w:widowControl w:val="0"/>
        <w:numPr>
          <w:ilvl w:val="0"/>
          <w:numId w:val="0"/>
        </w:numPr>
        <w:kinsoku/>
        <w:wordWrap/>
        <w:overflowPunct/>
        <w:topLinePunct w:val="0"/>
        <w:autoSpaceDE/>
        <w:autoSpaceDN/>
        <w:bidi w:val="0"/>
        <w:adjustRightInd/>
        <w:snapToGrid/>
        <w:spacing w:line="572" w:lineRule="atLeast"/>
        <w:ind w:firstLine="640" w:firstLineChars="200"/>
        <w:textAlignment w:val="auto"/>
        <w:outlineLvl w:val="1"/>
        <w:rPr>
          <w:rStyle w:val="30"/>
          <w:rFonts w:ascii="黑体" w:hAnsi="黑体" w:eastAsia="黑体"/>
          <w:b w:val="0"/>
        </w:rPr>
      </w:pPr>
      <w:bookmarkStart w:id="33" w:name="_Toc79163860"/>
      <w:bookmarkStart w:id="34" w:name="_Toc79163610"/>
      <w:bookmarkStart w:id="35" w:name="_Toc15396603"/>
      <w:bookmarkStart w:id="36"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3"/>
      <w:bookmarkEnd w:id="34"/>
      <w:bookmarkEnd w:id="35"/>
      <w:bookmarkEnd w:id="36"/>
    </w:p>
    <w:p w14:paraId="31C17E9A">
      <w:pPr>
        <w:pageBreakBefore w:val="0"/>
        <w:widowControl w:val="0"/>
        <w:kinsoku/>
        <w:wordWrap/>
        <w:overflowPunct/>
        <w:topLinePunct w:val="0"/>
        <w:autoSpaceDE/>
        <w:autoSpaceDN/>
        <w:bidi w:val="0"/>
        <w:adjustRightInd/>
        <w:snapToGrid/>
        <w:spacing w:line="572" w:lineRule="atLeas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年度收入、支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出均为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2022年度相比，收、支总计各减少10.51万元，下降3.1%。主要变动原因是人员减少、项目收支减少。</w:t>
      </w:r>
    </w:p>
    <w:p w14:paraId="7F4F98B4">
      <w:pPr>
        <w:pageBreakBefore w:val="0"/>
        <w:widowControl w:val="0"/>
        <w:kinsoku/>
        <w:wordWrap/>
        <w:overflowPunct/>
        <w:topLinePunct w:val="0"/>
        <w:autoSpaceDE/>
        <w:autoSpaceDN/>
        <w:bidi w:val="0"/>
        <w:adjustRightInd/>
        <w:snapToGrid/>
        <w:spacing w:line="572" w:lineRule="atLeast"/>
        <w:ind w:firstLine="640" w:firstLineChars="200"/>
        <w:textAlignment w:val="auto"/>
        <w:rPr>
          <w:rFonts w:hint="eastAsia" w:ascii="黑体" w:hAnsi="黑体" w:eastAsia="黑体"/>
          <w:color w:val="000000"/>
          <w:sz w:val="32"/>
          <w:szCs w:val="32"/>
          <w:lang w:eastAsia="zh-CN"/>
        </w:rPr>
      </w:pPr>
      <w:r>
        <w:rPr>
          <w:rFonts w:hint="eastAsia" w:ascii="方正仿宋_GBK" w:hAnsi="方正仿宋_GBK" w:eastAsia="方正仿宋_GBK" w:cs="方正仿宋_GBK"/>
          <w:color w:val="000000" w:themeColor="text1"/>
          <w:sz w:val="32"/>
          <w:szCs w:val="32"/>
          <w14:textFill>
            <w14:solidFill>
              <w14:schemeClr w14:val="tx1"/>
            </w14:solidFill>
          </w14:textFill>
        </w:rPr>
        <w:t>（图1：收、支决算总计变动情况图）（柱状图）</w:t>
      </w:r>
      <w:bookmarkStart w:id="37" w:name="_Toc79163611"/>
      <w:bookmarkStart w:id="38" w:name="_Toc79163861"/>
      <w:bookmarkStart w:id="39" w:name="_Toc15396604"/>
      <w:bookmarkStart w:id="40" w:name="_Toc15377206"/>
    </w:p>
    <w:p w14:paraId="6A94B2A4">
      <w:pPr>
        <w:pStyle w:val="40"/>
        <w:keepNext w:val="0"/>
        <w:keepLines w:val="0"/>
        <w:pageBreakBefore w:val="0"/>
        <w:widowControl w:val="0"/>
        <w:numPr>
          <w:ilvl w:val="0"/>
          <w:numId w:val="0"/>
        </w:numPr>
        <w:kinsoku/>
        <w:wordWrap/>
        <w:overflowPunct/>
        <w:topLinePunct w:val="0"/>
        <w:autoSpaceDE/>
        <w:autoSpaceDN/>
        <w:bidi w:val="0"/>
        <w:adjustRightInd/>
        <w:snapToGrid/>
        <w:spacing w:line="572" w:lineRule="exact"/>
        <w:ind w:left="640" w:leftChars="0"/>
        <w:textAlignment w:val="auto"/>
        <w:outlineLvl w:val="1"/>
        <w:rPr>
          <w:rFonts w:hint="eastAsia" w:ascii="黑体" w:hAnsi="黑体" w:eastAsia="黑体"/>
          <w:color w:val="000000"/>
          <w:sz w:val="32"/>
          <w:szCs w:val="32"/>
          <w:lang w:eastAsia="zh-CN"/>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50165</wp:posOffset>
            </wp:positionH>
            <wp:positionV relativeFrom="paragraph">
              <wp:posOffset>167005</wp:posOffset>
            </wp:positionV>
            <wp:extent cx="5287645" cy="3990340"/>
            <wp:effectExtent l="4445" t="4445" r="22860" b="571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FB69EBE">
      <w:pPr>
        <w:pStyle w:val="40"/>
        <w:keepNext w:val="0"/>
        <w:keepLines w:val="0"/>
        <w:pageBreakBefore w:val="0"/>
        <w:widowControl w:val="0"/>
        <w:numPr>
          <w:ilvl w:val="0"/>
          <w:numId w:val="0"/>
        </w:numPr>
        <w:kinsoku/>
        <w:wordWrap/>
        <w:overflowPunct/>
        <w:topLinePunct w:val="0"/>
        <w:autoSpaceDE/>
        <w:autoSpaceDN/>
        <w:bidi w:val="0"/>
        <w:adjustRightInd/>
        <w:snapToGrid/>
        <w:spacing w:line="572" w:lineRule="exact"/>
        <w:ind w:left="640" w:leftChars="0"/>
        <w:textAlignment w:val="auto"/>
        <w:outlineLvl w:val="1"/>
        <w:rPr>
          <w:rStyle w:val="30"/>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0"/>
          <w:rFonts w:hint="eastAsia" w:ascii="黑体" w:hAnsi="黑体" w:eastAsia="黑体"/>
          <w:b w:val="0"/>
        </w:rPr>
        <w:t>入决算情况说明</w:t>
      </w:r>
      <w:bookmarkEnd w:id="37"/>
      <w:bookmarkEnd w:id="38"/>
      <w:bookmarkEnd w:id="39"/>
      <w:bookmarkEnd w:id="40"/>
    </w:p>
    <w:p w14:paraId="2E25260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本年收入合计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万元，一般公共预算财政拨款收入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%；上级补助收入0万元，占0%；事业收入0万元，占0%；经营收入0万元，占0%；附属单位上缴收入0万元，占0%；其他收入0万元，占0%。</w:t>
      </w:r>
    </w:p>
    <w:p w14:paraId="7C610F3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（图2：收入决算结构图）（饼状图）</w:t>
      </w:r>
    </w:p>
    <w:p w14:paraId="28D863B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olor w:val="000000"/>
          <w:sz w:val="32"/>
          <w:szCs w:val="32"/>
          <w:lang w:eastAsia="zh-CN"/>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74930</wp:posOffset>
            </wp:positionH>
            <wp:positionV relativeFrom="paragraph">
              <wp:posOffset>216535</wp:posOffset>
            </wp:positionV>
            <wp:extent cx="5205095" cy="2336800"/>
            <wp:effectExtent l="4445" t="4445" r="10160" b="2095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41" w:name="_Toc79163862"/>
      <w:bookmarkStart w:id="42" w:name="_Toc15377207"/>
      <w:bookmarkStart w:id="43" w:name="_Toc15396605"/>
      <w:bookmarkStart w:id="44" w:name="_Toc79163612"/>
    </w:p>
    <w:p w14:paraId="5D01A0E3">
      <w:pPr>
        <w:pStyle w:val="40"/>
        <w:numPr>
          <w:ilvl w:val="0"/>
          <w:numId w:val="0"/>
        </w:numPr>
        <w:spacing w:line="600" w:lineRule="exact"/>
        <w:ind w:left="640" w:leftChars="0"/>
        <w:outlineLvl w:val="1"/>
        <w:rPr>
          <w:rStyle w:val="30"/>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0"/>
          <w:rFonts w:hint="eastAsia" w:ascii="黑体" w:hAnsi="黑体" w:eastAsia="黑体"/>
          <w:b w:val="0"/>
        </w:rPr>
        <w:t>出决算情况说明</w:t>
      </w:r>
      <w:bookmarkEnd w:id="41"/>
      <w:bookmarkEnd w:id="42"/>
      <w:bookmarkEnd w:id="43"/>
      <w:bookmarkEnd w:id="44"/>
    </w:p>
    <w:p w14:paraId="1DD6DAB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本年支出合计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万元，其中：基本支出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206.25</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63.2</w:t>
      </w:r>
      <w:r>
        <w:rPr>
          <w:rFonts w:hint="eastAsia" w:ascii="方正仿宋_GBK" w:hAnsi="方正仿宋_GBK" w:eastAsia="方正仿宋_GBK" w:cs="方正仿宋_GBK"/>
          <w:color w:val="000000" w:themeColor="text1"/>
          <w:sz w:val="32"/>
          <w:szCs w:val="32"/>
          <w14:textFill>
            <w14:solidFill>
              <w14:schemeClr w14:val="tx1"/>
            </w14:solidFill>
          </w14:textFill>
        </w:rPr>
        <w:t>%；项目支出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119.98</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36.8</w:t>
      </w:r>
      <w:r>
        <w:rPr>
          <w:rFonts w:hint="eastAsia" w:ascii="方正仿宋_GBK" w:hAnsi="方正仿宋_GBK" w:eastAsia="方正仿宋_GBK" w:cs="方正仿宋_GBK"/>
          <w:color w:val="000000" w:themeColor="text1"/>
          <w:sz w:val="32"/>
          <w:szCs w:val="32"/>
          <w14:textFill>
            <w14:solidFill>
              <w14:schemeClr w14:val="tx1"/>
            </w14:solidFill>
          </w14:textFill>
        </w:rPr>
        <w:t>%；上缴上级支出0万元，占0%；经营支出0万元，占0%；对附属单位补助支出0万元，占0%。</w:t>
      </w:r>
    </w:p>
    <w:p w14:paraId="65AE9035">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（图3：支出决算结构图）（饼状图）</w:t>
      </w:r>
    </w:p>
    <w:p w14:paraId="3F6E86F9">
      <w:pPr>
        <w:pStyle w:val="13"/>
        <w:rPr>
          <w:rFonts w:hint="eastAsia" w:ascii="黑体" w:hAnsi="黑体" w:eastAsia="黑体"/>
          <w:color w:val="000000"/>
          <w:sz w:val="32"/>
          <w:szCs w:val="32"/>
        </w:rPr>
      </w:pPr>
      <w:bookmarkStart w:id="45" w:name="_Toc15377208"/>
      <w:bookmarkStart w:id="46" w:name="_Toc79163863"/>
      <w:bookmarkStart w:id="47" w:name="_Toc15396606"/>
      <w:bookmarkStart w:id="48" w:name="_Toc79163613"/>
      <w:r>
        <w:rPr>
          <w:rFonts w:hint="eastAsia" w:ascii="仿宋" w:hAnsi="仿宋" w:eastAsia="仿宋"/>
          <w:color w:val="000000"/>
          <w:sz w:val="32"/>
          <w:szCs w:val="32"/>
          <w:lang w:eastAsia="zh-CN"/>
        </w:rPr>
        <w:drawing>
          <wp:inline distT="0" distB="0" distL="114300" distR="114300">
            <wp:extent cx="5213350" cy="2353310"/>
            <wp:effectExtent l="4445" t="4445" r="20955" b="2349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45"/>
    <w:bookmarkEnd w:id="46"/>
    <w:bookmarkEnd w:id="47"/>
    <w:bookmarkEnd w:id="48"/>
    <w:p w14:paraId="5E89311D">
      <w:pPr>
        <w:spacing w:line="600" w:lineRule="exact"/>
        <w:ind w:firstLine="640" w:firstLineChars="200"/>
        <w:rPr>
          <w:rStyle w:val="30"/>
          <w:rFonts w:ascii="黑体" w:hAnsi="黑体" w:eastAsia="黑体"/>
          <w:b w:val="0"/>
        </w:rPr>
      </w:pPr>
      <w:bookmarkStart w:id="49" w:name="_Toc15396607"/>
      <w:bookmarkStart w:id="50" w:name="_Toc15377209"/>
      <w:bookmarkStart w:id="51" w:name="_Toc79163614"/>
      <w:bookmarkStart w:id="52" w:name="_Toc79163864"/>
      <w:r>
        <w:rPr>
          <w:rFonts w:hint="eastAsia" w:ascii="黑体" w:hAnsi="黑体" w:eastAsia="黑体"/>
          <w:color w:val="000000"/>
          <w:sz w:val="32"/>
          <w:szCs w:val="32"/>
        </w:rPr>
        <w:t>四、财政</w:t>
      </w:r>
      <w:r>
        <w:rPr>
          <w:rStyle w:val="30"/>
          <w:rFonts w:hint="eastAsia" w:ascii="黑体" w:hAnsi="黑体" w:eastAsia="黑体"/>
          <w:b w:val="0"/>
        </w:rPr>
        <w:t>拨款收入支出决算总体情况说明</w:t>
      </w:r>
    </w:p>
    <w:p w14:paraId="26A1ECC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年度收入、支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出均为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2022年度相比，财政拨款收、支总计各减少10.51万元，下降3.1%。主要变动原因是人员减少、项目收支减少。</w:t>
      </w:r>
    </w:p>
    <w:p w14:paraId="46AD466E">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（图4：财政拨款收、支决算总计变动情况）（柱状图）</w:t>
      </w:r>
    </w:p>
    <w:p w14:paraId="1088C54F">
      <w:pPr>
        <w:spacing w:line="600" w:lineRule="exact"/>
        <w:ind w:firstLine="643" w:firstLineChars="200"/>
        <w:rPr>
          <w:rFonts w:hint="eastAsia" w:ascii="黑体" w:hAnsi="黑体" w:eastAsia="黑体"/>
          <w:b/>
          <w:color w:val="000000"/>
          <w:sz w:val="32"/>
          <w:szCs w:val="32"/>
          <w:lang w:eastAsia="zh-CN"/>
        </w:rPr>
      </w:pPr>
      <w:r>
        <w:rPr>
          <w:rFonts w:hint="eastAsia" w:ascii="仿宋" w:hAnsi="仿宋" w:eastAsia="仿宋"/>
          <w:b/>
          <w:color w:val="00B050"/>
          <w:sz w:val="32"/>
          <w:szCs w:val="32"/>
        </w:rPr>
        <w:drawing>
          <wp:anchor distT="0" distB="0" distL="114300" distR="114300" simplePos="0" relativeHeight="251660288" behindDoc="0" locked="0" layoutInCell="1" allowOverlap="1">
            <wp:simplePos x="0" y="0"/>
            <wp:positionH relativeFrom="column">
              <wp:posOffset>-46355</wp:posOffset>
            </wp:positionH>
            <wp:positionV relativeFrom="paragraph">
              <wp:posOffset>175260</wp:posOffset>
            </wp:positionV>
            <wp:extent cx="5364480" cy="3992880"/>
            <wp:effectExtent l="4445" t="4445" r="22225" b="222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91BA91D">
      <w:pPr>
        <w:spacing w:line="600" w:lineRule="exact"/>
        <w:ind w:firstLine="643" w:firstLineChars="200"/>
        <w:outlineLvl w:val="1"/>
        <w:rPr>
          <w:rStyle w:val="30"/>
          <w:rFonts w:ascii="黑体" w:hAnsi="黑体" w:eastAsia="黑体"/>
          <w:b w:val="0"/>
        </w:rPr>
      </w:pPr>
      <w:r>
        <w:rPr>
          <w:rFonts w:hint="eastAsia" w:ascii="黑体" w:hAnsi="黑体" w:eastAsia="黑体"/>
          <w:b/>
          <w:color w:val="000000"/>
          <w:sz w:val="32"/>
          <w:szCs w:val="32"/>
          <w:lang w:eastAsia="zh-CN"/>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9"/>
      <w:bookmarkEnd w:id="50"/>
      <w:bookmarkEnd w:id="51"/>
      <w:bookmarkEnd w:id="52"/>
    </w:p>
    <w:p w14:paraId="214D0276">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outlineLvl w:val="2"/>
        <w:rPr>
          <w:rFonts w:ascii="仿宋" w:hAnsi="仿宋" w:eastAsia="仿宋"/>
          <w:b/>
          <w:bCs w:val="0"/>
          <w:color w:val="000000"/>
          <w:sz w:val="32"/>
          <w:szCs w:val="32"/>
        </w:rPr>
      </w:pPr>
      <w:bookmarkStart w:id="53" w:name="_Toc15377210"/>
      <w:bookmarkStart w:id="54" w:name="_Toc79163615"/>
      <w:bookmarkStart w:id="55" w:name="_Toc79163865"/>
      <w:r>
        <w:rPr>
          <w:rFonts w:hint="eastAsia" w:ascii="仿宋" w:hAnsi="仿宋" w:eastAsia="仿宋"/>
          <w:b/>
          <w:color w:val="000000"/>
          <w:sz w:val="32"/>
          <w:szCs w:val="32"/>
        </w:rPr>
        <w:t>（一）</w:t>
      </w:r>
      <w:r>
        <w:rPr>
          <w:rFonts w:hint="eastAsia" w:ascii="仿宋" w:hAnsi="仿宋" w:eastAsia="仿宋"/>
          <w:b/>
          <w:bCs w:val="0"/>
          <w:color w:val="000000"/>
          <w:sz w:val="32"/>
          <w:szCs w:val="32"/>
        </w:rPr>
        <w:t>一般公共预算财政拨款支出决算总体情况</w:t>
      </w:r>
      <w:bookmarkEnd w:id="53"/>
      <w:bookmarkEnd w:id="54"/>
      <w:bookmarkEnd w:id="55"/>
    </w:p>
    <w:p w14:paraId="023EF5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万元，占本年支出合计的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w:t>
      </w:r>
      <w:bookmarkStart w:id="56" w:name="_Toc79163616"/>
      <w:bookmarkStart w:id="57" w:name="_Toc15377211"/>
      <w:bookmarkStart w:id="58" w:name="_Toc79163866"/>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2022年度相比，一般公共预算财政拨款支出减少10.51万元，下降3.1%，主要变动原因是人员减少、项目收支减少。</w:t>
      </w:r>
    </w:p>
    <w:p w14:paraId="6EF15554">
      <w:pPr>
        <w:pStyle w:val="2"/>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（图5：一般公共预算财政拨款支出决算变动情况）（柱状图）</w:t>
      </w:r>
    </w:p>
    <w:p w14:paraId="214CE897">
      <w:pPr>
        <w:pStyle w:val="2"/>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 w:hAnsi="仿宋" w:eastAsia="仿宋"/>
          <w:b/>
          <w:color w:val="000000"/>
          <w:sz w:val="32"/>
          <w:szCs w:val="32"/>
        </w:rPr>
      </w:pPr>
      <w:r>
        <w:rPr>
          <w:rFonts w:hint="eastAsia"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61595</wp:posOffset>
            </wp:positionH>
            <wp:positionV relativeFrom="paragraph">
              <wp:posOffset>14605</wp:posOffset>
            </wp:positionV>
            <wp:extent cx="5144135" cy="2926080"/>
            <wp:effectExtent l="4445" t="4445" r="13970" b="222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812C6B8">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outlineLvl w:val="2"/>
        <w:rPr>
          <w:rFonts w:ascii="仿宋" w:hAnsi="仿宋" w:eastAsia="仿宋"/>
          <w:b w:val="0"/>
          <w:bCs/>
          <w:color w:val="000000"/>
          <w:sz w:val="32"/>
          <w:szCs w:val="32"/>
        </w:rPr>
      </w:pPr>
      <w:r>
        <w:rPr>
          <w:rFonts w:hint="eastAsia" w:ascii="仿宋" w:hAnsi="仿宋" w:eastAsia="仿宋"/>
          <w:b/>
          <w:color w:val="000000"/>
          <w:sz w:val="32"/>
          <w:szCs w:val="32"/>
        </w:rPr>
        <w:t>（二）</w:t>
      </w:r>
      <w:r>
        <w:rPr>
          <w:rFonts w:hint="eastAsia" w:ascii="仿宋" w:hAnsi="仿宋" w:eastAsia="仿宋"/>
          <w:b/>
          <w:bCs w:val="0"/>
          <w:color w:val="000000"/>
          <w:sz w:val="32"/>
          <w:szCs w:val="32"/>
        </w:rPr>
        <w:t>一般公共预算财政拨款支出决算结构情况</w:t>
      </w:r>
      <w:bookmarkEnd w:id="56"/>
      <w:bookmarkEnd w:id="57"/>
      <w:bookmarkEnd w:id="58"/>
    </w:p>
    <w:p w14:paraId="4703DF4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万元，主要用于以下方面:社会保障和就业（类）支出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30.24</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9.3</w:t>
      </w:r>
      <w:r>
        <w:rPr>
          <w:rFonts w:hint="eastAsia" w:ascii="方正仿宋_GBK" w:hAnsi="方正仿宋_GBK" w:eastAsia="方正仿宋_GBK" w:cs="方正仿宋_GBK"/>
          <w:color w:val="000000" w:themeColor="text1"/>
          <w:sz w:val="32"/>
          <w:szCs w:val="32"/>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12.4</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3.8</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14.42</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4.4</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269.18</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82.5</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306A71C">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：一般公共预算财政拨款支出决算结构）（饼状图）</w:t>
      </w:r>
    </w:p>
    <w:p w14:paraId="4C5BDD92">
      <w:pPr>
        <w:pStyle w:val="13"/>
        <w:rPr>
          <w:rFonts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270500" cy="2200275"/>
            <wp:effectExtent l="4445" t="4445" r="20955" b="508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3C553">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ascii="仿宋" w:hAnsi="仿宋" w:eastAsia="仿宋"/>
          <w:b/>
          <w:color w:val="000000"/>
          <w:sz w:val="32"/>
          <w:szCs w:val="32"/>
        </w:rPr>
      </w:pPr>
      <w:bookmarkStart w:id="59" w:name="_Toc79163867"/>
      <w:bookmarkStart w:id="60" w:name="_Toc79163617"/>
      <w:bookmarkStart w:id="61" w:name="_Toc15377212"/>
      <w:r>
        <w:rPr>
          <w:rFonts w:hint="eastAsia" w:ascii="仿宋" w:hAnsi="仿宋" w:eastAsia="仿宋"/>
          <w:b/>
          <w:color w:val="000000"/>
          <w:sz w:val="32"/>
          <w:szCs w:val="32"/>
        </w:rPr>
        <w:t>（三）一般公共预算财政拨款支出决算具体情况</w:t>
      </w:r>
      <w:bookmarkEnd w:id="59"/>
      <w:bookmarkEnd w:id="60"/>
      <w:bookmarkEnd w:id="61"/>
    </w:p>
    <w:p w14:paraId="6BA71C7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62" w:name="_Toc15378460"/>
      <w:bookmarkStart w:id="63" w:name="_Toc15377213"/>
      <w:bookmarkStart w:id="64" w:name="_Toc15377444"/>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一般公共预算支出决算数为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326.23</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万元，完成预算100%。其中：</w:t>
      </w:r>
      <w:bookmarkEnd w:id="62"/>
      <w:bookmarkEnd w:id="63"/>
      <w:bookmarkEnd w:id="64"/>
    </w:p>
    <w:p w14:paraId="2878649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1.社会保障和就业（类）208（款）05（项）: 支出决算为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30.24</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9.3</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0BD022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.卫生健康（类）210（款）11（项）支出决算为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12.4</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3.8</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DC0A6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.节能环保支出（类）211（款）：支出决算为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269.18</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82.5</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6AEA0E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w:t>
      </w:r>
      <w:r>
        <w:rPr>
          <w:rFonts w:hint="eastAsia" w:ascii="方正仿宋_GBK" w:hAnsi="方正仿宋_GBK" w:eastAsia="方正仿宋_GBK" w:cs="方正仿宋_GBK"/>
          <w:color w:val="000000" w:themeColor="text1"/>
          <w:sz w:val="32"/>
          <w:szCs w:val="32"/>
          <w14:textFill>
            <w14:solidFill>
              <w14:schemeClr w14:val="tx1"/>
            </w14:solidFill>
          </w14:textFill>
        </w:rPr>
        <w:t>（类）221（款）02（项）01：支出决算为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14.42</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4.4</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3AE5881">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 w:hAnsi="仿宋" w:eastAsia="仿宋"/>
          <w:b/>
          <w:bCs/>
          <w:color w:val="000000"/>
          <w:sz w:val="32"/>
          <w:szCs w:val="32"/>
        </w:rPr>
      </w:pPr>
      <w:bookmarkStart w:id="65" w:name="_Toc15396608"/>
      <w:bookmarkStart w:id="66" w:name="_Toc79163618"/>
      <w:bookmarkStart w:id="67" w:name="_Toc79163868"/>
      <w:bookmarkStart w:id="68" w:name="_Toc15377214"/>
      <w:r>
        <w:rPr>
          <w:rFonts w:hint="eastAsia" w:ascii="仿宋" w:hAnsi="仿宋" w:eastAsia="仿宋"/>
          <w:b/>
          <w:bCs/>
          <w:color w:val="000000"/>
          <w:sz w:val="32"/>
          <w:szCs w:val="32"/>
        </w:rPr>
        <w:t>六、一般公共预算财政拨款基本支出决算情况说明</w:t>
      </w:r>
      <w:bookmarkEnd w:id="65"/>
      <w:bookmarkEnd w:id="66"/>
      <w:bookmarkEnd w:id="67"/>
      <w:bookmarkEnd w:id="68"/>
      <w:r>
        <w:rPr>
          <w:rFonts w:hint="eastAsia" w:ascii="仿宋" w:hAnsi="仿宋" w:eastAsia="仿宋"/>
          <w:b/>
          <w:bCs/>
          <w:color w:val="000000"/>
          <w:sz w:val="32"/>
          <w:szCs w:val="32"/>
        </w:rPr>
        <w:tab/>
      </w:r>
    </w:p>
    <w:p w14:paraId="5FA68F5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206.25</w:t>
      </w:r>
      <w:r>
        <w:rPr>
          <w:rFonts w:hint="eastAsia" w:ascii="方正仿宋_GBK" w:hAnsi="方正仿宋_GBK" w:eastAsia="方正仿宋_GBK" w:cs="方正仿宋_GBK"/>
          <w:color w:val="000000" w:themeColor="text1"/>
          <w:sz w:val="32"/>
          <w:szCs w:val="32"/>
          <w14:textFill>
            <w14:solidFill>
              <w14:schemeClr w14:val="tx1"/>
            </w14:solidFill>
          </w14:textFill>
        </w:rPr>
        <w:t>万元，其中：</w:t>
      </w:r>
    </w:p>
    <w:p w14:paraId="70D5BB3F">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人员经费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157.61</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万元，主要包括：基本工资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47.55</w:t>
      </w:r>
      <w:r>
        <w:rPr>
          <w:rFonts w:hint="eastAsia" w:ascii="方正仿宋_GBK" w:hAnsi="方正仿宋_GBK" w:eastAsia="方正仿宋_GBK" w:cs="方正仿宋_GBK"/>
          <w:color w:val="000000" w:themeColor="text1"/>
          <w:sz w:val="32"/>
          <w:szCs w:val="32"/>
          <w14:textFill>
            <w14:solidFill>
              <w14:schemeClr w14:val="tx1"/>
            </w14:solidFill>
          </w14:textFill>
        </w:rPr>
        <w:t>万元、津贴补贴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42.74</w:t>
      </w:r>
      <w:r>
        <w:rPr>
          <w:rFonts w:hint="eastAsia" w:ascii="方正仿宋_GBK" w:hAnsi="方正仿宋_GBK" w:eastAsia="方正仿宋_GBK" w:cs="方正仿宋_GBK"/>
          <w:color w:val="000000" w:themeColor="text1"/>
          <w:sz w:val="32"/>
          <w:szCs w:val="32"/>
          <w14:textFill>
            <w14:solidFill>
              <w14:schemeClr w14:val="tx1"/>
            </w14:solidFill>
          </w14:textFill>
        </w:rPr>
        <w:t>万元、奖金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万元、伙食补助费0万元、绩效工资0万元、机关事业单位基本养老保险缴费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20.16</w:t>
      </w:r>
      <w:r>
        <w:rPr>
          <w:rFonts w:hint="eastAsia" w:ascii="方正仿宋_GBK" w:hAnsi="方正仿宋_GBK" w:eastAsia="方正仿宋_GBK" w:cs="方正仿宋_GBK"/>
          <w:color w:val="000000" w:themeColor="text1"/>
          <w:sz w:val="32"/>
          <w:szCs w:val="32"/>
          <w14:textFill>
            <w14:solidFill>
              <w14:schemeClr w14:val="tx1"/>
            </w14:solidFill>
          </w14:textFill>
        </w:rPr>
        <w:t>万元、职业年金缴费1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0.08</w:t>
      </w:r>
      <w:r>
        <w:rPr>
          <w:rFonts w:hint="eastAsia" w:ascii="方正仿宋_GBK" w:hAnsi="方正仿宋_GBK" w:eastAsia="方正仿宋_GBK" w:cs="方正仿宋_GBK"/>
          <w:color w:val="000000" w:themeColor="text1"/>
          <w:sz w:val="32"/>
          <w:szCs w:val="32"/>
          <w14:textFill>
            <w14:solidFill>
              <w14:schemeClr w14:val="tx1"/>
            </w14:solidFill>
          </w14:textFill>
        </w:rPr>
        <w:t>万元、职工基本医疗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9.8</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公务员医疗补助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2.6万元、</w:t>
      </w:r>
      <w:r>
        <w:rPr>
          <w:rFonts w:hint="eastAsia" w:ascii="方正仿宋_GBK" w:hAnsi="方正仿宋_GBK" w:eastAsia="方正仿宋_GBK" w:cs="方正仿宋_GBK"/>
          <w:color w:val="000000" w:themeColor="text1"/>
          <w:sz w:val="32"/>
          <w:szCs w:val="32"/>
          <w14:textFill>
            <w14:solidFill>
              <w14:schemeClr w14:val="tx1"/>
            </w14:solidFill>
          </w14:textFill>
        </w:rPr>
        <w:t>其他社会保障缴费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1.73</w:t>
      </w:r>
      <w:r>
        <w:rPr>
          <w:rFonts w:hint="eastAsia" w:ascii="方正仿宋_GBK" w:hAnsi="方正仿宋_GBK" w:eastAsia="方正仿宋_GBK" w:cs="方正仿宋_GBK"/>
          <w:color w:val="000000" w:themeColor="text1"/>
          <w:sz w:val="32"/>
          <w:szCs w:val="32"/>
          <w14:textFill>
            <w14:solidFill>
              <w14:schemeClr w14:val="tx1"/>
            </w14:solidFill>
          </w14:textFill>
        </w:rPr>
        <w:t>万元、其他工资福利支出0元、住房公积金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14.42</w:t>
      </w:r>
      <w:r>
        <w:rPr>
          <w:rFonts w:hint="eastAsia" w:ascii="方正仿宋_GBK" w:hAnsi="方正仿宋_GBK" w:eastAsia="方正仿宋_GBK" w:cs="方正仿宋_GBK"/>
          <w:color w:val="000000" w:themeColor="text1"/>
          <w:sz w:val="32"/>
          <w:szCs w:val="32"/>
          <w14:textFill>
            <w14:solidFill>
              <w14:schemeClr w14:val="tx1"/>
            </w14:solidFill>
          </w14:textFill>
        </w:rPr>
        <w:t>万元、其他对个人和家庭的补助支出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4.53万元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3B7D6184">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 w:hAnsi="仿宋" w:eastAsia="仿宋"/>
          <w:color w:val="000000"/>
          <w:sz w:val="32"/>
          <w:szCs w:val="32"/>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日常公用经费</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48.64</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万元，主要包括：办公费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7.99</w:t>
      </w:r>
      <w:r>
        <w:rPr>
          <w:rFonts w:hint="eastAsia" w:ascii="方正仿宋_GBK" w:hAnsi="方正仿宋_GBK" w:eastAsia="方正仿宋_GBK" w:cs="方正仿宋_GBK"/>
          <w:color w:val="000000" w:themeColor="text1"/>
          <w:sz w:val="32"/>
          <w:szCs w:val="32"/>
          <w14:textFill>
            <w14:solidFill>
              <w14:schemeClr w14:val="tx1"/>
            </w14:solidFill>
          </w14:textFill>
        </w:rPr>
        <w:t>万元、印刷费0万元、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水费0.36万元、</w:t>
      </w:r>
      <w:r>
        <w:rPr>
          <w:rFonts w:hint="eastAsia" w:ascii="方正仿宋_GBK" w:hAnsi="方正仿宋_GBK" w:eastAsia="方正仿宋_GBK" w:cs="方正仿宋_GBK"/>
          <w:color w:val="000000" w:themeColor="text1"/>
          <w:sz w:val="32"/>
          <w:szCs w:val="32"/>
          <w14:textFill>
            <w14:solidFill>
              <w14:schemeClr w14:val="tx1"/>
            </w14:solidFill>
          </w14:textFill>
        </w:rPr>
        <w:t>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1.48</w:t>
      </w:r>
      <w:r>
        <w:rPr>
          <w:rFonts w:hint="eastAsia" w:ascii="方正仿宋_GBK" w:hAnsi="方正仿宋_GBK" w:eastAsia="方正仿宋_GBK" w:cs="方正仿宋_GBK"/>
          <w:color w:val="000000" w:themeColor="text1"/>
          <w:sz w:val="32"/>
          <w:szCs w:val="32"/>
          <w14:textFill>
            <w14:solidFill>
              <w14:schemeClr w14:val="tx1"/>
            </w14:solidFill>
          </w14:textFill>
        </w:rPr>
        <w:t>万元、邮电费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4.34</w:t>
      </w:r>
      <w:r>
        <w:rPr>
          <w:rFonts w:hint="eastAsia" w:ascii="方正仿宋_GBK" w:hAnsi="方正仿宋_GBK" w:eastAsia="方正仿宋_GBK" w:cs="方正仿宋_GBK"/>
          <w:color w:val="000000" w:themeColor="text1"/>
          <w:sz w:val="32"/>
          <w:szCs w:val="32"/>
          <w14:textFill>
            <w14:solidFill>
              <w14:schemeClr w14:val="tx1"/>
            </w14:solidFill>
          </w14:textFill>
        </w:rPr>
        <w:t>万元、物业管理费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0.89万元</w:t>
      </w:r>
      <w:r>
        <w:rPr>
          <w:rFonts w:hint="eastAsia" w:ascii="方正仿宋_GBK" w:hAnsi="方正仿宋_GBK" w:eastAsia="方正仿宋_GBK" w:cs="方正仿宋_GBK"/>
          <w:color w:val="000000" w:themeColor="text1"/>
          <w:sz w:val="32"/>
          <w:szCs w:val="32"/>
          <w14:textFill>
            <w14:solidFill>
              <w14:schemeClr w14:val="tx1"/>
            </w14:solidFill>
          </w14:textFill>
        </w:rPr>
        <w:t>、差旅费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11.73</w:t>
      </w:r>
      <w:r>
        <w:rPr>
          <w:rFonts w:hint="eastAsia" w:ascii="方正仿宋_GBK" w:hAnsi="方正仿宋_GBK" w:eastAsia="方正仿宋_GBK" w:cs="方正仿宋_GBK"/>
          <w:color w:val="000000" w:themeColor="text1"/>
          <w:sz w:val="32"/>
          <w:szCs w:val="32"/>
          <w14:textFill>
            <w14:solidFill>
              <w14:schemeClr w14:val="tx1"/>
            </w14:solidFill>
          </w14:textFill>
        </w:rPr>
        <w:t>万元、维修（护）费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5.02</w:t>
      </w:r>
      <w:r>
        <w:rPr>
          <w:rFonts w:hint="eastAsia" w:ascii="方正仿宋_GBK" w:hAnsi="方正仿宋_GBK" w:eastAsia="方正仿宋_GBK" w:cs="方正仿宋_GBK"/>
          <w:color w:val="000000" w:themeColor="text1"/>
          <w:sz w:val="32"/>
          <w:szCs w:val="32"/>
          <w14:textFill>
            <w14:solidFill>
              <w14:schemeClr w14:val="tx1"/>
            </w14:solidFill>
          </w14:textFill>
        </w:rPr>
        <w:t>万元、会议费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、培训费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0.48</w:t>
      </w:r>
      <w:r>
        <w:rPr>
          <w:rFonts w:hint="eastAsia" w:ascii="方正仿宋_GBK" w:hAnsi="方正仿宋_GBK" w:eastAsia="方正仿宋_GBK" w:cs="方正仿宋_GBK"/>
          <w:color w:val="000000" w:themeColor="text1"/>
          <w:sz w:val="32"/>
          <w:szCs w:val="32"/>
          <w14:textFill>
            <w14:solidFill>
              <w14:schemeClr w14:val="tx1"/>
            </w14:solidFill>
          </w14:textFill>
        </w:rPr>
        <w:t>万元、公务接待费0.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74</w:t>
      </w:r>
      <w:r>
        <w:rPr>
          <w:rFonts w:hint="eastAsia" w:ascii="方正仿宋_GBK" w:hAnsi="方正仿宋_GBK" w:eastAsia="方正仿宋_GBK" w:cs="方正仿宋_GBK"/>
          <w:color w:val="000000" w:themeColor="text1"/>
          <w:sz w:val="32"/>
          <w:szCs w:val="32"/>
          <w14:textFill>
            <w14:solidFill>
              <w14:schemeClr w14:val="tx1"/>
            </w14:solidFill>
          </w14:textFill>
        </w:rPr>
        <w:t>万元、劳务费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0.48</w:t>
      </w:r>
      <w:r>
        <w:rPr>
          <w:rFonts w:hint="eastAsia" w:ascii="方正仿宋_GBK" w:hAnsi="方正仿宋_GBK" w:eastAsia="方正仿宋_GBK" w:cs="方正仿宋_GBK"/>
          <w:color w:val="000000" w:themeColor="text1"/>
          <w:sz w:val="32"/>
          <w:szCs w:val="32"/>
          <w14:textFill>
            <w14:solidFill>
              <w14:schemeClr w14:val="tx1"/>
            </w14:solidFill>
          </w14:textFill>
        </w:rPr>
        <w:t>万元、工会经费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万元、福利费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14:textFill>
            <w14:solidFill>
              <w14:schemeClr w14:val="tx1"/>
            </w14:solidFill>
          </w14:textFill>
        </w:rPr>
        <w:t>万元、公务用车运行维护费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7.55</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其他交通费2.9万元，其他商品服务支出2.49万元。</w:t>
      </w:r>
    </w:p>
    <w:p w14:paraId="17CFD9FA">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1"/>
        <w:rPr>
          <w:rStyle w:val="30"/>
          <w:rFonts w:ascii="黑体" w:hAnsi="黑体" w:eastAsia="黑体"/>
          <w:b w:val="0"/>
        </w:rPr>
      </w:pPr>
      <w:bookmarkStart w:id="69" w:name="_Toc79163869"/>
      <w:bookmarkStart w:id="70" w:name="_Toc15377215"/>
      <w:bookmarkStart w:id="71" w:name="_Toc79163619"/>
      <w:bookmarkStart w:id="72"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7F8CC98B">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2"/>
        <w:rPr>
          <w:rFonts w:ascii="仿宋" w:hAnsi="仿宋" w:eastAsia="仿宋"/>
          <w:b/>
          <w:color w:val="000000"/>
          <w:sz w:val="32"/>
          <w:szCs w:val="32"/>
        </w:rPr>
      </w:pPr>
      <w:bookmarkStart w:id="73" w:name="_Toc15377216"/>
      <w:bookmarkStart w:id="74" w:name="_Toc79163870"/>
      <w:bookmarkStart w:id="75" w:name="_Toc79163620"/>
      <w:r>
        <w:rPr>
          <w:rFonts w:hint="eastAsia" w:ascii="仿宋" w:hAnsi="仿宋" w:eastAsia="仿宋"/>
          <w:b/>
          <w:color w:val="000000"/>
          <w:sz w:val="32"/>
          <w:szCs w:val="32"/>
        </w:rPr>
        <w:t>（一）“三公”经费财政拨款支出决算总体情况说明</w:t>
      </w:r>
      <w:bookmarkEnd w:id="73"/>
      <w:bookmarkEnd w:id="74"/>
      <w:bookmarkEnd w:id="75"/>
    </w:p>
    <w:p w14:paraId="0913BE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“三公”经费财政拨款支出决算为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8.29</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较上年度减少3.99万元，下降32.5%。决算数小于预算数的主要原因是厉行节约，严格公车管理，控制接待标准。</w:t>
      </w:r>
    </w:p>
    <w:p w14:paraId="42C67A93">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2"/>
        <w:rPr>
          <w:rFonts w:ascii="仿宋" w:hAnsi="仿宋" w:eastAsia="仿宋"/>
          <w:b/>
          <w:color w:val="000000"/>
          <w:sz w:val="32"/>
          <w:szCs w:val="32"/>
        </w:rPr>
      </w:pPr>
      <w:bookmarkStart w:id="76" w:name="_Toc79163871"/>
      <w:bookmarkStart w:id="77" w:name="_Toc79163621"/>
      <w:bookmarkStart w:id="78" w:name="_Toc15377217"/>
      <w:r>
        <w:rPr>
          <w:rFonts w:hint="eastAsia" w:ascii="仿宋" w:hAnsi="仿宋" w:eastAsia="仿宋"/>
          <w:b/>
          <w:color w:val="000000"/>
          <w:sz w:val="32"/>
          <w:szCs w:val="32"/>
        </w:rPr>
        <w:t>（二）“三公”经费财政拨款支出决算具体情况说明</w:t>
      </w:r>
      <w:bookmarkEnd w:id="76"/>
      <w:bookmarkEnd w:id="77"/>
      <w:bookmarkEnd w:id="78"/>
    </w:p>
    <w:p w14:paraId="32BCBD5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“三公”经费财政拨款支出决算中，因公出国（境）费支出决算0万元，占0%；公务用车购置及运行维护费支出决算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7.55</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91.1</w:t>
      </w:r>
      <w:r>
        <w:rPr>
          <w:rFonts w:hint="eastAsia" w:ascii="方正仿宋_GBK" w:hAnsi="方正仿宋_GBK" w:eastAsia="方正仿宋_GBK" w:cs="方正仿宋_GBK"/>
          <w:color w:val="000000" w:themeColor="text1"/>
          <w:sz w:val="32"/>
          <w:szCs w:val="32"/>
          <w14:textFill>
            <w14:solidFill>
              <w14:schemeClr w14:val="tx1"/>
            </w14:solidFill>
          </w14:textFill>
        </w:rPr>
        <w:t>%；公务接待费支出决算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0.74</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8.9</w:t>
      </w:r>
      <w:r>
        <w:rPr>
          <w:rFonts w:hint="eastAsia" w:ascii="方正仿宋_GBK" w:hAnsi="方正仿宋_GBK" w:eastAsia="方正仿宋_GBK" w:cs="方正仿宋_GBK"/>
          <w:color w:val="000000" w:themeColor="text1"/>
          <w:sz w:val="32"/>
          <w:szCs w:val="32"/>
          <w14:textFill>
            <w14:solidFill>
              <w14:schemeClr w14:val="tx1"/>
            </w14:solidFill>
          </w14:textFill>
        </w:rPr>
        <w:t>%。具体情况如下：</w:t>
      </w:r>
    </w:p>
    <w:p w14:paraId="7E62A6C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图7：“三公”经费财政拨款支出结构）（饼状图）</w:t>
      </w:r>
    </w:p>
    <w:p w14:paraId="536808EC">
      <w:pPr>
        <w:rPr>
          <w:rFonts w:hint="eastAsia"/>
        </w:rPr>
      </w:pPr>
      <w:r>
        <w:rPr>
          <w:rFonts w:hint="eastAsia" w:ascii="仿宋" w:hAnsi="仿宋" w:eastAsia="仿宋"/>
          <w:color w:val="000000"/>
          <w:sz w:val="32"/>
          <w:szCs w:val="32"/>
          <w:lang w:eastAsia="zh-CN"/>
        </w:rPr>
        <w:drawing>
          <wp:inline distT="0" distB="0" distL="114300" distR="114300">
            <wp:extent cx="5243195" cy="2246630"/>
            <wp:effectExtent l="4445" t="4445" r="10160"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8529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因公出国（境）经费支出0万元，完成预算0%。全年安排因公出国（境）团组0次，出国（境）0人。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14:paraId="0BFC2E2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公务用车购置及运行维护费支出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7.55</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公务用车购置及运行维护支出决算比2022年度减少3.96万元，下降34.4%，主要原因是厉行节约。</w:t>
      </w:r>
    </w:p>
    <w:p w14:paraId="5CBCE4B4">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其中：公务用车购置支出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7.55</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万元。主要用于全体职工下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乡</w:t>
      </w:r>
      <w:r>
        <w:rPr>
          <w:rFonts w:hint="eastAsia" w:ascii="方正仿宋_GBK" w:hAnsi="方正仿宋_GBK" w:eastAsia="方正仿宋_GBK" w:cs="方正仿宋_GBK"/>
          <w:color w:val="000000" w:themeColor="text1"/>
          <w:sz w:val="32"/>
          <w:szCs w:val="32"/>
          <w14:textFill>
            <w14:solidFill>
              <w14:schemeClr w14:val="tx1"/>
            </w14:solidFill>
          </w14:textFill>
        </w:rPr>
        <w:t>及出差等所需的公务用车燃料费、维修费、过路过桥费、保险费等支出。</w:t>
      </w:r>
    </w:p>
    <w:p w14:paraId="3836D30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3.公务接待费支出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0.74</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公务接待费支出决算比2022年度减少0.03万元，下降3.9%，主要原因是厉行节约。</w:t>
      </w:r>
    </w:p>
    <w:p w14:paraId="1B6B81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其中：</w:t>
      </w:r>
      <w:r>
        <w:rPr>
          <w:rFonts w:hint="eastAsia" w:ascii="方正仿宋_GBK" w:hAnsi="方正仿宋_GBK" w:eastAsia="方正仿宋_GBK" w:cs="方正仿宋_GBK"/>
          <w:color w:val="000000" w:themeColor="text1"/>
          <w:sz w:val="32"/>
          <w:szCs w:val="32"/>
          <w14:textFill>
            <w14:solidFill>
              <w14:schemeClr w14:val="tx1"/>
            </w14:solidFill>
          </w14:textFill>
        </w:rPr>
        <w:t>国内公务接待支出0.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74</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万元，主要用于上级部门到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14:textFill>
            <w14:solidFill>
              <w14:schemeClr w14:val="tx1"/>
            </w14:solidFill>
          </w14:textFill>
        </w:rPr>
        <w:t>开展工作(执行公务、开展业务活动开支的交通费、住宿费、用餐费等)，共计支出0.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5FFEF62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外事接待支出0万元，外事接待0批次，0人，共计支出0万元。 </w:t>
      </w:r>
    </w:p>
    <w:p w14:paraId="11BAD54B">
      <w:pPr>
        <w:keepNext w:val="0"/>
        <w:keepLines w:val="0"/>
        <w:pageBreakBefore w:val="0"/>
        <w:kinsoku/>
        <w:wordWrap/>
        <w:overflowPunct/>
        <w:topLinePunct w:val="0"/>
        <w:autoSpaceDE/>
        <w:autoSpaceDN/>
        <w:bidi w:val="0"/>
        <w:adjustRightInd/>
        <w:snapToGrid/>
        <w:spacing w:line="572" w:lineRule="exact"/>
        <w:ind w:firstLine="640"/>
        <w:textAlignment w:val="auto"/>
        <w:outlineLvl w:val="1"/>
        <w:rPr>
          <w:rStyle w:val="30"/>
          <w:rFonts w:ascii="黑体" w:hAnsi="黑体" w:eastAsia="黑体"/>
        </w:rPr>
      </w:pPr>
      <w:bookmarkStart w:id="79" w:name="_Toc79163622"/>
      <w:bookmarkStart w:id="80" w:name="_Toc79163872"/>
      <w:bookmarkStart w:id="81" w:name="_Toc15396610"/>
      <w:bookmarkStart w:id="82"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69DB298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55F87C25">
      <w:pPr>
        <w:keepNext w:val="0"/>
        <w:keepLines w:val="0"/>
        <w:pageBreakBefore w:val="0"/>
        <w:numPr>
          <w:ilvl w:val="0"/>
          <w:numId w:val="1"/>
        </w:numPr>
        <w:kinsoku/>
        <w:wordWrap/>
        <w:overflowPunct/>
        <w:topLinePunct w:val="0"/>
        <w:autoSpaceDE/>
        <w:autoSpaceDN/>
        <w:bidi w:val="0"/>
        <w:adjustRightInd/>
        <w:snapToGrid/>
        <w:spacing w:line="572" w:lineRule="exact"/>
        <w:ind w:firstLine="640"/>
        <w:textAlignment w:val="auto"/>
        <w:outlineLvl w:val="1"/>
        <w:rPr>
          <w:rStyle w:val="30"/>
          <w:rFonts w:ascii="黑体" w:hAnsi="黑体" w:eastAsia="黑体"/>
          <w:b w:val="0"/>
        </w:rPr>
      </w:pPr>
      <w:bookmarkStart w:id="83" w:name="_Toc79163873"/>
      <w:bookmarkStart w:id="84" w:name="_Toc79163623"/>
      <w:bookmarkStart w:id="85" w:name="_Toc15396611"/>
      <w:bookmarkStart w:id="86" w:name="_Toc15377219"/>
      <w:r>
        <w:rPr>
          <w:rStyle w:val="30"/>
          <w:rFonts w:hint="eastAsia" w:ascii="黑体" w:hAnsi="黑体" w:eastAsia="黑体"/>
          <w:b w:val="0"/>
        </w:rPr>
        <w:t>国有资本经营预算支出决算情况说明</w:t>
      </w:r>
      <w:bookmarkEnd w:id="83"/>
      <w:bookmarkEnd w:id="84"/>
      <w:bookmarkEnd w:id="85"/>
      <w:bookmarkEnd w:id="86"/>
    </w:p>
    <w:p w14:paraId="4667801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国有资本经营预算拨款支出0万元。</w:t>
      </w:r>
    </w:p>
    <w:p w14:paraId="28FE6010">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Style w:val="30"/>
          <w:rFonts w:ascii="黑体" w:hAnsi="黑体" w:eastAsia="黑体"/>
        </w:rPr>
      </w:pPr>
      <w:bookmarkStart w:id="87" w:name="_Toc79163624"/>
      <w:bookmarkStart w:id="88" w:name="_Toc79163874"/>
      <w:bookmarkStart w:id="89" w:name="_Toc15396612"/>
      <w:bookmarkStart w:id="90"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0451CCA2">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textAlignment w:val="auto"/>
        <w:rPr>
          <w:rFonts w:eastAsia="微软雅黑"/>
          <w:color w:val="333333"/>
          <w:kern w:val="0"/>
          <w:szCs w:val="21"/>
        </w:rPr>
      </w:pPr>
      <w:r>
        <w:rPr>
          <w:rFonts w:hint="eastAsia" w:ascii="宋体" w:hAnsi="宋体"/>
          <w:b/>
          <w:bCs/>
          <w:color w:val="000000"/>
          <w:kern w:val="0"/>
          <w:sz w:val="32"/>
          <w:szCs w:val="32"/>
        </w:rPr>
        <w:t>(一）机关运行经费支出情况</w:t>
      </w:r>
    </w:p>
    <w:p w14:paraId="3AF22EA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年度生态环境局机关运行经费支出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48.64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比2022年度增加12.73万元，增长35.4%。主要原因是业务活动增加。</w:t>
      </w:r>
    </w:p>
    <w:p w14:paraId="0F395F65">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jc w:val="left"/>
        <w:textAlignment w:val="auto"/>
        <w:rPr>
          <w:rFonts w:eastAsia="微软雅黑"/>
          <w:color w:val="333333"/>
          <w:kern w:val="0"/>
          <w:szCs w:val="21"/>
        </w:rPr>
      </w:pPr>
      <w:r>
        <w:rPr>
          <w:rFonts w:hint="eastAsia" w:ascii="宋体" w:hAnsi="宋体"/>
          <w:b/>
          <w:bCs/>
          <w:color w:val="000000"/>
          <w:kern w:val="0"/>
          <w:sz w:val="32"/>
          <w:szCs w:val="32"/>
        </w:rPr>
        <w:t>（二）政府采购支出情况</w:t>
      </w:r>
    </w:p>
    <w:p w14:paraId="628509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生态环境局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政府采购支出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0120BED8">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jc w:val="left"/>
        <w:textAlignment w:val="auto"/>
        <w:rPr>
          <w:rFonts w:eastAsia="微软雅黑"/>
          <w:color w:val="333333"/>
          <w:kern w:val="0"/>
          <w:szCs w:val="21"/>
        </w:rPr>
      </w:pPr>
      <w:r>
        <w:rPr>
          <w:rFonts w:hint="eastAsia" w:ascii="宋体" w:hAnsi="宋体"/>
          <w:b/>
          <w:bCs/>
          <w:color w:val="000000"/>
          <w:kern w:val="0"/>
          <w:sz w:val="32"/>
          <w:szCs w:val="32"/>
        </w:rPr>
        <w:t>（三）国有资产占有使用情况</w:t>
      </w:r>
    </w:p>
    <w:p w14:paraId="6E1F4A7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截至202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年12月31日，生态环境局共有车辆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辆，其中：主要领导干部用车0辆、机要通信用车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辆、应急保障用车0辆、其他用车0辆。</w:t>
      </w:r>
    </w:p>
    <w:p w14:paraId="28071FE6">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0"/>
        <w:jc w:val="left"/>
        <w:textAlignment w:val="auto"/>
        <w:rPr>
          <w:rFonts w:hint="eastAsia" w:ascii="宋体" w:hAnsi="宋体"/>
          <w:color w:val="000000"/>
          <w:kern w:val="0"/>
          <w:sz w:val="32"/>
          <w:szCs w:val="32"/>
        </w:rPr>
      </w:pPr>
      <w:r>
        <w:rPr>
          <w:rFonts w:hint="eastAsia" w:ascii="宋体" w:hAnsi="宋体"/>
          <w:b/>
          <w:bCs/>
          <w:color w:val="000000"/>
          <w:kern w:val="0"/>
          <w:sz w:val="32"/>
          <w:szCs w:val="32"/>
        </w:rPr>
        <w:t>（四）预算绩效管理情况。</w:t>
      </w:r>
    </w:p>
    <w:p w14:paraId="317A9D9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color w:val="000000"/>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根据预算绩效管理要求，</w:t>
      </w:r>
      <w:r>
        <w:rPr>
          <w:rFonts w:hint="default" w:ascii="Times New Roman" w:hAnsi="Times New Roman" w:eastAsia="仿宋_GB2312" w:cs="Times New Roman"/>
          <w:color w:val="000000"/>
          <w:sz w:val="32"/>
          <w:szCs w:val="32"/>
          <w:lang w:eastAsia="zh-CN"/>
        </w:rPr>
        <w:t>根据预算绩效管理要求，对202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部门整体支出开展绩效自评，加强预算收支管理，不</w:t>
      </w:r>
      <w:r>
        <w:rPr>
          <w:rFonts w:hint="default" w:ascii="Times New Roman" w:hAnsi="Times New Roman" w:eastAsia="仿宋_GB2312" w:cs="Times New Roman"/>
          <w:color w:val="000000"/>
          <w:sz w:val="32"/>
          <w:szCs w:val="32"/>
        </w:rPr>
        <w:t>断建立健全内部管理制度，梳理内部管理流程，部门整体支出管理情况得到提升。预算决策、管理、执行等日益规范，能较好地满足工作需要，取得了良好经济效益和社会效益。</w:t>
      </w:r>
      <w:r>
        <w:rPr>
          <w:rFonts w:hint="eastAsia" w:eastAsia="仿宋_GB2312" w:cs="Times New Roman"/>
          <w:color w:val="000000"/>
          <w:sz w:val="32"/>
          <w:szCs w:val="32"/>
          <w:lang w:val="en-US" w:eastAsia="zh-CN"/>
        </w:rPr>
        <w:t xml:space="preserve">     </w:t>
      </w:r>
    </w:p>
    <w:p w14:paraId="611D652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单位在2023年度预算编制阶段组织了对环境监察执法经费、宣教经费、环境执法应急监测重点污染源监督性监测及监测运维经费、环评审查专家经费、国家重点生态功能区县域生态环境质量考核监测、岷江流域理县段生态环境调查与评估、工资性支出、单位缴费、离退休费支出、日常公用经费、退休人员一次性补贴、工资性支出（追加部分）、日常公用经费（追加资产清查）等13个项目开展了预算事前绩效评估，对该13个项目编制了绩效目标，预算执行过程中，对所有项目开展绩效监控，组织对13个项目开展了绩效自评，绩效自评表祥见第四部分附件。</w:t>
      </w:r>
    </w:p>
    <w:p w14:paraId="061E42A7">
      <w:pPr>
        <w:pStyle w:val="2"/>
        <w:rPr>
          <w:rFonts w:hint="eastAsia" w:ascii="Times New Roman" w:hAnsi="Times New Roman" w:eastAsia="仿宋_GB2312" w:cs="Times New Roman"/>
          <w:color w:val="000000"/>
          <w:sz w:val="32"/>
          <w:szCs w:val="32"/>
          <w:lang w:val="en-US" w:eastAsia="zh-CN"/>
        </w:rPr>
      </w:pPr>
    </w:p>
    <w:p w14:paraId="026E6F62">
      <w:pPr>
        <w:rPr>
          <w:rFonts w:hint="eastAsia"/>
          <w:lang w:val="en-US" w:eastAsia="zh-CN"/>
        </w:rPr>
      </w:pPr>
    </w:p>
    <w:p w14:paraId="00731A97">
      <w:pPr>
        <w:pStyle w:val="2"/>
        <w:rPr>
          <w:rFonts w:hint="default"/>
          <w:lang w:val="en-US" w:eastAsia="zh-CN"/>
        </w:rPr>
      </w:pPr>
    </w:p>
    <w:p w14:paraId="5C778F9B">
      <w:pPr>
        <w:numPr>
          <w:ilvl w:val="0"/>
          <w:numId w:val="2"/>
        </w:numPr>
        <w:spacing w:line="600" w:lineRule="exact"/>
        <w:ind w:left="-660" w:leftChars="0" w:firstLine="660" w:firstLineChars="0"/>
        <w:jc w:val="center"/>
        <w:outlineLvl w:val="0"/>
        <w:rPr>
          <w:rStyle w:val="29"/>
          <w:rFonts w:ascii="黑体" w:hAnsi="黑体" w:eastAsia="黑体"/>
          <w:b w:val="0"/>
        </w:rPr>
      </w:pPr>
      <w:bookmarkStart w:id="91" w:name="_Toc15396613"/>
      <w:bookmarkStart w:id="92" w:name="_Toc79163629"/>
      <w:bookmarkStart w:id="93" w:name="_Toc79163879"/>
      <w:bookmarkStart w:id="94"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91"/>
      <w:bookmarkEnd w:id="92"/>
      <w:bookmarkEnd w:id="93"/>
      <w:bookmarkEnd w:id="94"/>
    </w:p>
    <w:p w14:paraId="2DFB693C">
      <w:pPr>
        <w:spacing w:line="600" w:lineRule="exact"/>
        <w:jc w:val="left"/>
        <w:rPr>
          <w:rFonts w:ascii="宋体"/>
          <w:b/>
          <w:color w:val="000000"/>
          <w:sz w:val="44"/>
          <w:szCs w:val="44"/>
        </w:rPr>
      </w:pPr>
    </w:p>
    <w:p w14:paraId="0AD8F4AC">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bookmarkStart w:id="95" w:name="_Toc15396614"/>
      <w:bookmarkStart w:id="96" w:name="_Toc79163630"/>
      <w:bookmarkStart w:id="97" w:name="_Toc79163880"/>
      <w:bookmarkStart w:id="98" w:name="_Toc15377226"/>
      <w:r>
        <w:rPr>
          <w:rFonts w:hint="eastAsia" w:ascii="方正仿宋_GBK" w:hAnsi="方正仿宋_GBK" w:eastAsia="方正仿宋_GBK" w:cs="方正仿宋_GBK"/>
          <w:color w:val="auto"/>
          <w:sz w:val="32"/>
          <w:szCs w:val="32"/>
          <w:lang w:val="en-US" w:eastAsia="zh-CN"/>
        </w:rPr>
        <w:t>1.财政拨款收入：指单位从同级财政部门取得的财政预算资金。 </w:t>
      </w:r>
    </w:p>
    <w:p w14:paraId="15B96A6D">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2.事业收入：指事业单位开展专业业务活动及辅助活动取得的收入。 </w:t>
      </w:r>
    </w:p>
    <w:p w14:paraId="718CBD0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3.经营收入：指事业单位在专业业务活动及其辅助活动之外开展非独立核算经营活动取得的收入。 </w:t>
      </w:r>
    </w:p>
    <w:p w14:paraId="5DF844AF">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4.其他收入：指单位取得的除上述收入以外的各项收入。主要是利息收入等。  </w:t>
      </w:r>
    </w:p>
    <w:p w14:paraId="004B750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5.使用非财政拨款结余（含专用结余）：指事业单位使用以前年度积累的非财政拨款结余弥补当年收支差额的金额。  </w:t>
      </w:r>
    </w:p>
    <w:p w14:paraId="55DF866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6.年初结转和结余：指以前年度尚未完成、结转到本年按有关规定继续使用的资金。  </w:t>
      </w:r>
    </w:p>
    <w:p w14:paraId="125EE315">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7.结余分配：指事业单位按照事业单位会计制度的规定从非财政补助结余中分配的事业基金和职工福利基金等。 </w:t>
      </w:r>
    </w:p>
    <w:p w14:paraId="30AAFB2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8.年末结转和结余：指单位按有关规定结转到下年或以后年度继续使用的资金。 </w:t>
      </w:r>
    </w:p>
    <w:p w14:paraId="55533D9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lang w:val="en-US" w:eastAsia="zh-CN"/>
        </w:rPr>
      </w:pPr>
      <w:r>
        <w:rPr>
          <w:rFonts w:hint="eastAsia" w:ascii="方正仿宋_GBK" w:hAnsi="方正仿宋_GBK" w:eastAsia="方正仿宋_GBK" w:cs="方正仿宋_GBK"/>
          <w:color w:val="auto"/>
          <w:sz w:val="32"/>
          <w:szCs w:val="32"/>
          <w:lang w:val="en-US" w:eastAsia="zh-CN"/>
        </w:rPr>
        <w:t>9.节能环保211（2110101-行政运行、（2110102-一般行政管理事务）、（2119999-其他节能环保支出）</w:t>
      </w:r>
    </w:p>
    <w:p w14:paraId="3D8CFF5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10.社会保障和就业（208）行政事业单位离退休（20805）机关事业单位基本养老保险（2080505）机关事业单位职业年金（2080506）：指机关事业单位实施养老保险制度由单位缴纳的 基本养老保险费支出和职业年金支出。 </w:t>
      </w:r>
    </w:p>
    <w:p w14:paraId="228389F3">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11.医疗卫生与计划生育(210)医疗保障（21011）行政单位医疗（2101101）:指行政单位医疗方面的支出；事业单位医（2101102）:指事业单位医疗方面的支出；公务员医疗补助（2101103）:指行政单位医疗方面的支出。</w:t>
      </w:r>
    </w:p>
    <w:p w14:paraId="48DA62D7">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12.住房保障支出（221）住房改革支出（22102）住房公积金（2210201）：指反映行政事业单位按人力资源和社会保障部、财政部规定的基本工资和津贴补贴以及规定比例为职工缴纳的住房公积金。 </w:t>
      </w:r>
    </w:p>
    <w:p w14:paraId="06427C1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13.结余分配：指事业单位按规定提取的职工福利基金、事业基金和缴纳的所得税，以及建设单位按规定应交回的基本建设竣工项目结余资金。 </w:t>
      </w:r>
    </w:p>
    <w:p w14:paraId="3A5745E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14.年末结转和结余：指本年度或以前年度预算安排、因客观条件发生变化无法按原计划实施，需延迟到以后年度按有关规定继续使用的资金。 </w:t>
      </w:r>
    </w:p>
    <w:p w14:paraId="0C534967">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15.基本支出：指为保障机构正常运转、完成日常工作任务而发生的人员支出和公用支出。 </w:t>
      </w:r>
    </w:p>
    <w:p w14:paraId="5AA3E97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16.项目支出：指在基本支出之外为完成特定行政任务和事业发展目标所发生的支出。  </w:t>
      </w:r>
    </w:p>
    <w:p w14:paraId="596CA1D2">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17.经营支出：指事业单位在专业业务活动及其辅助活动之外开展非独立核算经营活动发生的支出。 </w:t>
      </w:r>
    </w:p>
    <w:p w14:paraId="3599D309">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18.“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F64EBA3">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ascii="黑体" w:hAnsi="黑体" w:eastAsia="黑体"/>
          <w:color w:val="000000"/>
          <w:sz w:val="44"/>
          <w:szCs w:val="44"/>
          <w:lang w:val="en-US" w:eastAsia="zh-CN"/>
        </w:rPr>
        <w:sectPr>
          <w:headerReference r:id="rId3" w:type="default"/>
          <w:footerReference r:id="rId4" w:type="default"/>
          <w:pgSz w:w="11906" w:h="16838"/>
          <w:pgMar w:top="1440" w:right="1689" w:bottom="1440" w:left="1746" w:header="851" w:footer="992" w:gutter="0"/>
          <w:pgNumType w:start="1"/>
          <w:cols w:space="425" w:num="1"/>
          <w:titlePg/>
          <w:docGrid w:type="lines" w:linePitch="312" w:charSpace="0"/>
        </w:sectPr>
      </w:pPr>
      <w:r>
        <w:rPr>
          <w:rFonts w:hint="eastAsia" w:ascii="方正仿宋_GBK" w:hAnsi="方正仿宋_GBK" w:eastAsia="方正仿宋_GBK" w:cs="方正仿宋_GBK"/>
          <w:color w:val="auto"/>
          <w:sz w:val="32"/>
          <w:szCs w:val="32"/>
          <w:lang w:val="en-US" w:eastAsia="zh-CN"/>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95"/>
    <w:bookmarkEnd w:id="96"/>
    <w:bookmarkEnd w:id="97"/>
    <w:p w14:paraId="50D3E438">
      <w:pPr>
        <w:numPr>
          <w:ilvl w:val="0"/>
          <w:numId w:val="0"/>
        </w:numPr>
        <w:spacing w:line="600" w:lineRule="exact"/>
        <w:ind w:leftChars="0"/>
        <w:jc w:val="center"/>
        <w:outlineLvl w:val="0"/>
        <w:rPr>
          <w:rFonts w:hint="eastAsia" w:ascii="黑体" w:hAnsi="黑体" w:eastAsia="黑体"/>
          <w:color w:val="000000"/>
          <w:sz w:val="44"/>
          <w:szCs w:val="44"/>
          <w:lang w:val="en-US" w:eastAsia="zh-CN"/>
        </w:rPr>
      </w:pPr>
      <w:bookmarkStart w:id="99" w:name="_Toc15396618"/>
      <w:bookmarkStart w:id="100" w:name="_Toc79163885"/>
      <w:bookmarkStart w:id="101" w:name="_Toc79163635"/>
      <w:r>
        <w:rPr>
          <w:rFonts w:hint="eastAsia" w:ascii="黑体" w:hAnsi="黑体" w:eastAsia="黑体"/>
          <w:color w:val="000000"/>
          <w:sz w:val="44"/>
          <w:szCs w:val="44"/>
          <w:lang w:val="en-US" w:eastAsia="zh-CN"/>
        </w:rPr>
        <w:t>第四部分  附件</w:t>
      </w:r>
    </w:p>
    <w:p w14:paraId="033243CA">
      <w:pPr>
        <w:pStyle w:val="2"/>
        <w:rPr>
          <w:rFonts w:hint="default"/>
          <w:lang w:val="en-US" w:eastAsia="zh-CN"/>
        </w:rPr>
      </w:pPr>
    </w:p>
    <w:tbl>
      <w:tblPr>
        <w:tblStyle w:val="24"/>
        <w:tblW w:w="15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2460"/>
        <w:gridCol w:w="1852"/>
        <w:gridCol w:w="2183"/>
        <w:gridCol w:w="1057"/>
        <w:gridCol w:w="1215"/>
        <w:gridCol w:w="1118"/>
        <w:gridCol w:w="1230"/>
        <w:gridCol w:w="975"/>
        <w:gridCol w:w="787"/>
        <w:gridCol w:w="1485"/>
      </w:tblGrid>
      <w:tr w14:paraId="2610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5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769E5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3AB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47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D6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51320022T000000362678-环境监察执法经费</w:t>
            </w:r>
          </w:p>
        </w:tc>
      </w:tr>
      <w:tr w14:paraId="0FF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12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B4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nil"/>
              <w:left w:val="nil"/>
              <w:bottom w:val="nil"/>
              <w:right w:val="nil"/>
            </w:tcBorders>
            <w:shd w:val="clear" w:color="auto" w:fill="auto"/>
            <w:vAlign w:val="center"/>
          </w:tcPr>
          <w:p w14:paraId="0F5304F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5A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6BBE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61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631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77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6057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3C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EC2E">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5B3B">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E1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专项执法检查，严厉打击生态破坏、环境污染、未批先建等突出生态环境问题。依法严肃查处环境突出违规违法行为，有效遏制各类环境突出问题，保障生态安全，把中央、省、州生态环境保护督查反馈意见问题整改落实到位。</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43D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完成了2023年度执法检查。</w:t>
            </w:r>
          </w:p>
        </w:tc>
      </w:tr>
      <w:tr w14:paraId="2961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4968">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CD8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开展2023年环境执法检查。</w:t>
            </w:r>
          </w:p>
        </w:tc>
      </w:tr>
      <w:tr w14:paraId="42C7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E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2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F8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1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97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DCA3">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50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1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B3C45">
            <w:pPr>
              <w:rPr>
                <w:rFonts w:hint="eastAsia" w:ascii="黑体" w:hAnsi="黑体" w:eastAsia="黑体" w:cs="黑体"/>
                <w:i/>
                <w:iCs/>
                <w:color w:val="000000"/>
                <w:sz w:val="18"/>
                <w:szCs w:val="18"/>
                <w:u w:val="none"/>
              </w:rPr>
            </w:pPr>
          </w:p>
        </w:tc>
      </w:tr>
      <w:tr w14:paraId="3D28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D99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4D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1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171A">
            <w:pPr>
              <w:rPr>
                <w:rFonts w:hint="eastAsia" w:ascii="黑体" w:hAnsi="黑体" w:eastAsia="黑体" w:cs="黑体"/>
                <w:i/>
                <w:iCs/>
                <w:color w:val="000000"/>
                <w:sz w:val="18"/>
                <w:szCs w:val="18"/>
                <w:u w:val="none"/>
              </w:rPr>
            </w:pPr>
          </w:p>
        </w:tc>
      </w:tr>
      <w:tr w14:paraId="75C5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2564">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6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C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8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D9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F1F2">
            <w:pPr>
              <w:rPr>
                <w:rFonts w:hint="eastAsia" w:ascii="黑体" w:hAnsi="黑体" w:eastAsia="黑体" w:cs="黑体"/>
                <w:i/>
                <w:iCs/>
                <w:color w:val="000000"/>
                <w:sz w:val="18"/>
                <w:szCs w:val="18"/>
                <w:u w:val="none"/>
              </w:rPr>
            </w:pPr>
          </w:p>
        </w:tc>
      </w:tr>
      <w:tr w14:paraId="4670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19EB">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8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6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2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8E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D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6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E6A4">
            <w:pPr>
              <w:rPr>
                <w:rFonts w:hint="eastAsia" w:ascii="黑体" w:hAnsi="黑体" w:eastAsia="黑体" w:cs="黑体"/>
                <w:i/>
                <w:iCs/>
                <w:color w:val="000000"/>
                <w:sz w:val="18"/>
                <w:szCs w:val="18"/>
                <w:u w:val="none"/>
              </w:rPr>
            </w:pPr>
          </w:p>
        </w:tc>
      </w:tr>
      <w:tr w14:paraId="61A2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2C4F">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6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E08">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BF3C">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FD401">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EF1">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F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7EC9">
            <w:pPr>
              <w:rPr>
                <w:rFonts w:hint="eastAsia" w:ascii="黑体" w:hAnsi="黑体" w:eastAsia="黑体" w:cs="黑体"/>
                <w:i/>
                <w:iCs/>
                <w:color w:val="000000"/>
                <w:sz w:val="18"/>
                <w:szCs w:val="18"/>
                <w:u w:val="none"/>
              </w:rPr>
            </w:pPr>
          </w:p>
        </w:tc>
      </w:tr>
      <w:tr w14:paraId="34A8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F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4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E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9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4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34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A42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环境监测指标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5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FB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D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9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ACB">
            <w:pPr>
              <w:jc w:val="center"/>
              <w:rPr>
                <w:rFonts w:hint="eastAsia" w:ascii="微软雅黑" w:hAnsi="微软雅黑" w:eastAsia="微软雅黑" w:cs="微软雅黑"/>
                <w:i/>
                <w:iCs/>
                <w:color w:val="000000"/>
                <w:sz w:val="16"/>
                <w:szCs w:val="16"/>
                <w:u w:val="none"/>
              </w:rPr>
            </w:pPr>
          </w:p>
        </w:tc>
      </w:tr>
      <w:tr w14:paraId="2C40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9E40">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环境监测指标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8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3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4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CB93">
            <w:pPr>
              <w:jc w:val="center"/>
              <w:rPr>
                <w:rFonts w:hint="eastAsia" w:ascii="微软雅黑" w:hAnsi="微软雅黑" w:eastAsia="微软雅黑" w:cs="微软雅黑"/>
                <w:i/>
                <w:iCs/>
                <w:color w:val="000000"/>
                <w:sz w:val="16"/>
                <w:szCs w:val="16"/>
                <w:u w:val="none"/>
              </w:rPr>
            </w:pPr>
          </w:p>
        </w:tc>
      </w:tr>
      <w:tr w14:paraId="394A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1B0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4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2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F39">
            <w:pPr>
              <w:rPr>
                <w:rFonts w:hint="eastAsia" w:ascii="宋体" w:hAnsi="宋体" w:eastAsia="宋体" w:cs="宋体"/>
                <w:i w:val="0"/>
                <w:iCs w:val="0"/>
                <w:color w:val="000000"/>
                <w:sz w:val="18"/>
                <w:szCs w:val="18"/>
                <w:u w:val="none"/>
              </w:rPr>
            </w:pPr>
          </w:p>
        </w:tc>
      </w:tr>
      <w:tr w14:paraId="7D14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D281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完成了2023年度目标任务，自评得分100分</w:t>
            </w:r>
          </w:p>
        </w:tc>
      </w:tr>
      <w:tr w14:paraId="23B1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E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4BCB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63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6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015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4C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F93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项目负责人：蒲世海</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3BF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34F8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nil"/>
              <w:left w:val="nil"/>
              <w:bottom w:val="nil"/>
              <w:right w:val="nil"/>
            </w:tcBorders>
            <w:shd w:val="clear" w:color="auto" w:fill="auto"/>
            <w:vAlign w:val="center"/>
          </w:tcPr>
          <w:p w14:paraId="32AC5D43">
            <w:pPr>
              <w:rPr>
                <w:rFonts w:hint="eastAsia" w:ascii="宋体" w:hAnsi="宋体" w:eastAsia="宋体" w:cs="宋体"/>
                <w:i w:val="0"/>
                <w:iCs w:val="0"/>
                <w:color w:val="000000"/>
                <w:sz w:val="18"/>
                <w:szCs w:val="18"/>
                <w:u w:val="none"/>
              </w:rPr>
            </w:pPr>
          </w:p>
        </w:tc>
        <w:tc>
          <w:tcPr>
            <w:tcW w:w="2460" w:type="dxa"/>
            <w:tcBorders>
              <w:top w:val="nil"/>
              <w:left w:val="nil"/>
              <w:bottom w:val="nil"/>
              <w:right w:val="nil"/>
            </w:tcBorders>
            <w:shd w:val="clear" w:color="auto" w:fill="auto"/>
            <w:vAlign w:val="center"/>
          </w:tcPr>
          <w:p w14:paraId="20A2A46D">
            <w:pPr>
              <w:rPr>
                <w:rFonts w:hint="eastAsia" w:ascii="宋体" w:hAnsi="宋体" w:eastAsia="宋体" w:cs="宋体"/>
                <w:i w:val="0"/>
                <w:iCs w:val="0"/>
                <w:color w:val="000000"/>
                <w:sz w:val="18"/>
                <w:szCs w:val="18"/>
                <w:u w:val="none"/>
              </w:rPr>
            </w:pPr>
          </w:p>
        </w:tc>
        <w:tc>
          <w:tcPr>
            <w:tcW w:w="1852" w:type="dxa"/>
            <w:tcBorders>
              <w:top w:val="nil"/>
              <w:left w:val="nil"/>
              <w:bottom w:val="nil"/>
              <w:right w:val="nil"/>
            </w:tcBorders>
            <w:shd w:val="clear" w:color="auto" w:fill="auto"/>
            <w:vAlign w:val="center"/>
          </w:tcPr>
          <w:p w14:paraId="2F0E1F86">
            <w:pPr>
              <w:rPr>
                <w:rFonts w:hint="eastAsia" w:ascii="宋体" w:hAnsi="宋体" w:eastAsia="宋体" w:cs="宋体"/>
                <w:i w:val="0"/>
                <w:iCs w:val="0"/>
                <w:color w:val="000000"/>
                <w:sz w:val="18"/>
                <w:szCs w:val="18"/>
                <w:u w:val="none"/>
              </w:rPr>
            </w:pPr>
          </w:p>
        </w:tc>
        <w:tc>
          <w:tcPr>
            <w:tcW w:w="2183" w:type="dxa"/>
            <w:tcBorders>
              <w:top w:val="nil"/>
              <w:left w:val="nil"/>
              <w:bottom w:val="nil"/>
              <w:right w:val="nil"/>
            </w:tcBorders>
            <w:shd w:val="clear" w:color="auto" w:fill="auto"/>
            <w:vAlign w:val="center"/>
          </w:tcPr>
          <w:p w14:paraId="4B352A27">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14:paraId="0609C886">
            <w:pPr>
              <w:rPr>
                <w:rFonts w:hint="eastAsia" w:ascii="宋体" w:hAnsi="宋体" w:eastAsia="宋体" w:cs="宋体"/>
                <w:i w:val="0"/>
                <w:iCs w:val="0"/>
                <w:color w:val="000000"/>
                <w:sz w:val="18"/>
                <w:szCs w:val="18"/>
                <w:u w:val="none"/>
              </w:rPr>
            </w:pPr>
          </w:p>
        </w:tc>
        <w:tc>
          <w:tcPr>
            <w:tcW w:w="1215" w:type="dxa"/>
            <w:tcBorders>
              <w:top w:val="nil"/>
              <w:left w:val="nil"/>
              <w:bottom w:val="nil"/>
              <w:right w:val="nil"/>
            </w:tcBorders>
            <w:shd w:val="clear" w:color="auto" w:fill="auto"/>
            <w:vAlign w:val="center"/>
          </w:tcPr>
          <w:p w14:paraId="56771E96">
            <w:pPr>
              <w:rPr>
                <w:rFonts w:hint="eastAsia" w:ascii="宋体" w:hAnsi="宋体" w:eastAsia="宋体" w:cs="宋体"/>
                <w:i w:val="0"/>
                <w:iCs w:val="0"/>
                <w:color w:val="000000"/>
                <w:sz w:val="18"/>
                <w:szCs w:val="18"/>
                <w:u w:val="none"/>
              </w:rPr>
            </w:pPr>
          </w:p>
        </w:tc>
        <w:tc>
          <w:tcPr>
            <w:tcW w:w="1118" w:type="dxa"/>
            <w:tcBorders>
              <w:top w:val="nil"/>
              <w:left w:val="nil"/>
              <w:bottom w:val="nil"/>
              <w:right w:val="nil"/>
            </w:tcBorders>
            <w:shd w:val="clear" w:color="auto" w:fill="auto"/>
            <w:vAlign w:val="center"/>
          </w:tcPr>
          <w:p w14:paraId="2400AAAD">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13CBF676">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3CA8982E">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44C63873">
            <w:pPr>
              <w:rPr>
                <w:rFonts w:hint="eastAsia" w:ascii="宋体" w:hAnsi="宋体" w:eastAsia="宋体" w:cs="宋体"/>
                <w:i w:val="0"/>
                <w:iCs w:val="0"/>
                <w:color w:val="000000"/>
                <w:sz w:val="18"/>
                <w:szCs w:val="18"/>
                <w:u w:val="none"/>
              </w:rPr>
            </w:pPr>
          </w:p>
        </w:tc>
        <w:tc>
          <w:tcPr>
            <w:tcW w:w="1485" w:type="dxa"/>
            <w:tcBorders>
              <w:top w:val="nil"/>
              <w:left w:val="nil"/>
              <w:bottom w:val="nil"/>
              <w:right w:val="nil"/>
            </w:tcBorders>
            <w:shd w:val="clear" w:color="auto" w:fill="auto"/>
            <w:vAlign w:val="center"/>
          </w:tcPr>
          <w:p w14:paraId="08754276">
            <w:pPr>
              <w:rPr>
                <w:rFonts w:hint="eastAsia" w:ascii="宋体" w:hAnsi="宋体" w:eastAsia="宋体" w:cs="宋体"/>
                <w:i w:val="0"/>
                <w:iCs w:val="0"/>
                <w:color w:val="000000"/>
                <w:sz w:val="18"/>
                <w:szCs w:val="18"/>
                <w:u w:val="none"/>
              </w:rPr>
            </w:pPr>
          </w:p>
        </w:tc>
      </w:tr>
      <w:tr w14:paraId="599A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83C1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43D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CB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2C2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51320022T000000419874-理县生态环境局宣教经费</w:t>
            </w:r>
          </w:p>
        </w:tc>
      </w:tr>
      <w:tr w14:paraId="1B60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A0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50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nil"/>
              <w:left w:val="nil"/>
              <w:bottom w:val="nil"/>
              <w:right w:val="nil"/>
            </w:tcBorders>
            <w:shd w:val="clear" w:color="auto" w:fill="auto"/>
            <w:vAlign w:val="center"/>
          </w:tcPr>
          <w:p w14:paraId="20B169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B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6FEC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5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E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3D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C12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F1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4179">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39FE">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4C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理县生态环境局2023年利用6‘5’”世界环境日、“4.22”世界地球日、“12.4日”法治宣传日等活动，进校园、进社区、进企业宣传环境保护法律法规。</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B07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完成了2023年度环境保护法律法规的宣传工作。</w:t>
            </w:r>
          </w:p>
        </w:tc>
      </w:tr>
      <w:tr w14:paraId="1924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E4D4">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885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开张2023年度环境保护法法规宣传教育工作。</w:t>
            </w:r>
          </w:p>
        </w:tc>
      </w:tr>
      <w:tr w14:paraId="173E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29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F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D5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6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A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6C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1135">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E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0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5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14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A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649E0">
            <w:pPr>
              <w:rPr>
                <w:rFonts w:hint="eastAsia" w:ascii="黑体" w:hAnsi="黑体" w:eastAsia="黑体" w:cs="黑体"/>
                <w:i/>
                <w:iCs/>
                <w:color w:val="000000"/>
                <w:sz w:val="18"/>
                <w:szCs w:val="18"/>
                <w:u w:val="none"/>
              </w:rPr>
            </w:pPr>
          </w:p>
        </w:tc>
      </w:tr>
      <w:tr w14:paraId="73BA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523A">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B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8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19A3">
            <w:pPr>
              <w:rPr>
                <w:rFonts w:hint="eastAsia" w:ascii="黑体" w:hAnsi="黑体" w:eastAsia="黑体" w:cs="黑体"/>
                <w:i/>
                <w:iCs/>
                <w:color w:val="000000"/>
                <w:sz w:val="18"/>
                <w:szCs w:val="18"/>
                <w:u w:val="none"/>
              </w:rPr>
            </w:pPr>
          </w:p>
        </w:tc>
      </w:tr>
      <w:tr w14:paraId="31E6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1F6E">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5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7F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3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80CE">
            <w:pPr>
              <w:rPr>
                <w:rFonts w:hint="eastAsia" w:ascii="黑体" w:hAnsi="黑体" w:eastAsia="黑体" w:cs="黑体"/>
                <w:i/>
                <w:iCs/>
                <w:color w:val="000000"/>
                <w:sz w:val="18"/>
                <w:szCs w:val="18"/>
                <w:u w:val="none"/>
              </w:rPr>
            </w:pPr>
          </w:p>
        </w:tc>
      </w:tr>
      <w:tr w14:paraId="50F9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5E6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2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1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F6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7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9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EDF6">
            <w:pPr>
              <w:rPr>
                <w:rFonts w:hint="eastAsia" w:ascii="黑体" w:hAnsi="黑体" w:eastAsia="黑体" w:cs="黑体"/>
                <w:i/>
                <w:iCs/>
                <w:color w:val="000000"/>
                <w:sz w:val="18"/>
                <w:szCs w:val="18"/>
                <w:u w:val="none"/>
              </w:rPr>
            </w:pPr>
          </w:p>
        </w:tc>
      </w:tr>
      <w:tr w14:paraId="70CD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6032">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F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7431">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6A3">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4B381">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6FBA">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D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FFFE">
            <w:pPr>
              <w:rPr>
                <w:rFonts w:hint="eastAsia" w:ascii="黑体" w:hAnsi="黑体" w:eastAsia="黑体" w:cs="黑体"/>
                <w:i/>
                <w:iCs/>
                <w:color w:val="000000"/>
                <w:sz w:val="18"/>
                <w:szCs w:val="18"/>
                <w:u w:val="none"/>
              </w:rPr>
            </w:pPr>
          </w:p>
        </w:tc>
      </w:tr>
      <w:tr w14:paraId="30D6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AF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3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C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8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8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3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1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6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C9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527F">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年宣教经费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D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A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9C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F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83D">
            <w:pPr>
              <w:jc w:val="center"/>
              <w:rPr>
                <w:rFonts w:hint="eastAsia" w:ascii="微软雅黑" w:hAnsi="微软雅黑" w:eastAsia="微软雅黑" w:cs="微软雅黑"/>
                <w:i/>
                <w:iCs/>
                <w:color w:val="000000"/>
                <w:sz w:val="16"/>
                <w:szCs w:val="16"/>
                <w:u w:val="none"/>
              </w:rPr>
            </w:pPr>
          </w:p>
        </w:tc>
      </w:tr>
      <w:tr w14:paraId="76CF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1F0A">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年宣教经费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0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7B96">
            <w:pPr>
              <w:jc w:val="center"/>
              <w:rPr>
                <w:rFonts w:hint="eastAsia" w:ascii="微软雅黑" w:hAnsi="微软雅黑" w:eastAsia="微软雅黑" w:cs="微软雅黑"/>
                <w:i/>
                <w:iCs/>
                <w:color w:val="000000"/>
                <w:sz w:val="16"/>
                <w:szCs w:val="16"/>
                <w:u w:val="none"/>
              </w:rPr>
            </w:pPr>
          </w:p>
        </w:tc>
      </w:tr>
      <w:tr w14:paraId="33AA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AB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0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1C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B8A6">
            <w:pPr>
              <w:rPr>
                <w:rFonts w:hint="eastAsia" w:ascii="宋体" w:hAnsi="宋体" w:eastAsia="宋体" w:cs="宋体"/>
                <w:i w:val="0"/>
                <w:iCs w:val="0"/>
                <w:color w:val="000000"/>
                <w:sz w:val="18"/>
                <w:szCs w:val="18"/>
                <w:u w:val="none"/>
              </w:rPr>
            </w:pPr>
          </w:p>
        </w:tc>
      </w:tr>
      <w:tr w14:paraId="629F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DA6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完成了2023年度目标任务，自评得分100分</w:t>
            </w:r>
          </w:p>
        </w:tc>
      </w:tr>
      <w:tr w14:paraId="40D0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D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96DD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C0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5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186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E3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A49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项目负责人：蒲世海</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BB3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6A93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1F037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534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1E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29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51320022T000000419894-环境执法应急监测重点污染源监督性监测及监测运维经费</w:t>
            </w:r>
          </w:p>
        </w:tc>
      </w:tr>
      <w:tr w14:paraId="666F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30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B3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nil"/>
              <w:left w:val="nil"/>
              <w:bottom w:val="nil"/>
              <w:right w:val="nil"/>
            </w:tcBorders>
            <w:shd w:val="clear" w:color="auto" w:fill="auto"/>
            <w:vAlign w:val="center"/>
          </w:tcPr>
          <w:p w14:paraId="7049A1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6D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1F55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17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3C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CE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C82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49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B09C">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8FE8">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11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开展2023年环境执法应急监测重点污染源监督性监测，环境监测站实验室仪器检测，实验室药品、耗材购置，环境监测站日产运转等。</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16E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完成了2023年环境执法应急监测重点污染源监督性监测及监测站日常运维</w:t>
            </w:r>
          </w:p>
        </w:tc>
      </w:tr>
      <w:tr w14:paraId="63EE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45E6">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379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开展2023年环境执法应急监测重点污染源监督性监测及监测站运转。</w:t>
            </w:r>
          </w:p>
        </w:tc>
      </w:tr>
      <w:tr w14:paraId="2E0C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A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C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1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F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BE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B185">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1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9B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3503F">
            <w:pPr>
              <w:rPr>
                <w:rFonts w:hint="eastAsia" w:ascii="黑体" w:hAnsi="黑体" w:eastAsia="黑体" w:cs="黑体"/>
                <w:i/>
                <w:iCs/>
                <w:color w:val="000000"/>
                <w:sz w:val="18"/>
                <w:szCs w:val="18"/>
                <w:u w:val="none"/>
              </w:rPr>
            </w:pPr>
          </w:p>
        </w:tc>
      </w:tr>
      <w:tr w14:paraId="519A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630D">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0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6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0C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4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2DB2">
            <w:pPr>
              <w:rPr>
                <w:rFonts w:hint="eastAsia" w:ascii="黑体" w:hAnsi="黑体" w:eastAsia="黑体" w:cs="黑体"/>
                <w:i/>
                <w:iCs/>
                <w:color w:val="000000"/>
                <w:sz w:val="18"/>
                <w:szCs w:val="18"/>
                <w:u w:val="none"/>
              </w:rPr>
            </w:pPr>
          </w:p>
        </w:tc>
      </w:tr>
      <w:tr w14:paraId="30BB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6D1A">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8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6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8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B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BF0C">
            <w:pPr>
              <w:rPr>
                <w:rFonts w:hint="eastAsia" w:ascii="黑体" w:hAnsi="黑体" w:eastAsia="黑体" w:cs="黑体"/>
                <w:i/>
                <w:iCs/>
                <w:color w:val="000000"/>
                <w:sz w:val="18"/>
                <w:szCs w:val="18"/>
                <w:u w:val="none"/>
              </w:rPr>
            </w:pPr>
          </w:p>
        </w:tc>
      </w:tr>
      <w:tr w14:paraId="4DB0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ED23">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9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F8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35C0">
            <w:pPr>
              <w:rPr>
                <w:rFonts w:hint="eastAsia" w:ascii="黑体" w:hAnsi="黑体" w:eastAsia="黑体" w:cs="黑体"/>
                <w:i/>
                <w:iCs/>
                <w:color w:val="000000"/>
                <w:sz w:val="18"/>
                <w:szCs w:val="18"/>
                <w:u w:val="none"/>
              </w:rPr>
            </w:pPr>
          </w:p>
        </w:tc>
      </w:tr>
      <w:tr w14:paraId="4E10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618B">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D54">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C4C">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0718A">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6DCC">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2506">
            <w:pPr>
              <w:rPr>
                <w:rFonts w:hint="eastAsia" w:ascii="黑体" w:hAnsi="黑体" w:eastAsia="黑体" w:cs="黑体"/>
                <w:i/>
                <w:iCs/>
                <w:color w:val="000000"/>
                <w:sz w:val="18"/>
                <w:szCs w:val="18"/>
                <w:u w:val="none"/>
              </w:rPr>
            </w:pPr>
          </w:p>
        </w:tc>
      </w:tr>
      <w:tr w14:paraId="266B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49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9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B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D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C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9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6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FA87">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重点污染源监督性监测</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A79D">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D28">
            <w:pPr>
              <w:jc w:val="center"/>
              <w:rPr>
                <w:rFonts w:hint="eastAsia" w:ascii="微软雅黑" w:hAnsi="微软雅黑" w:eastAsia="微软雅黑" w:cs="微软雅黑"/>
                <w:i/>
                <w:iCs/>
                <w:color w:val="000000"/>
                <w:sz w:val="16"/>
                <w:szCs w:val="16"/>
                <w:u w:val="none"/>
              </w:rPr>
            </w:pPr>
          </w:p>
        </w:tc>
      </w:tr>
      <w:tr w14:paraId="1D1E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D5B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重点污染源监督性监测</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F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3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7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119">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B98C">
            <w:pPr>
              <w:jc w:val="center"/>
              <w:rPr>
                <w:rFonts w:hint="eastAsia" w:ascii="微软雅黑" w:hAnsi="微软雅黑" w:eastAsia="微软雅黑" w:cs="微软雅黑"/>
                <w:i/>
                <w:iCs/>
                <w:color w:val="000000"/>
                <w:sz w:val="16"/>
                <w:szCs w:val="16"/>
                <w:u w:val="none"/>
              </w:rPr>
            </w:pPr>
          </w:p>
        </w:tc>
      </w:tr>
      <w:tr w14:paraId="3A1C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AF9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4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5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5B52">
            <w:pPr>
              <w:rPr>
                <w:rFonts w:hint="eastAsia" w:ascii="宋体" w:hAnsi="宋体" w:eastAsia="宋体" w:cs="宋体"/>
                <w:i w:val="0"/>
                <w:iCs w:val="0"/>
                <w:color w:val="000000"/>
                <w:sz w:val="18"/>
                <w:szCs w:val="18"/>
                <w:u w:val="none"/>
              </w:rPr>
            </w:pPr>
          </w:p>
        </w:tc>
      </w:tr>
      <w:tr w14:paraId="6D85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6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035C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完成了2023年度目标任务，自评得分100分</w:t>
            </w:r>
          </w:p>
        </w:tc>
      </w:tr>
      <w:tr w14:paraId="0723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5EC1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28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FE3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4B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96C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项目负责人：王明坤</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D69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吴天勇</w:t>
            </w:r>
          </w:p>
        </w:tc>
      </w:tr>
      <w:tr w14:paraId="60CC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EB1A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5C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4A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59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51320022T000007181924-岷江流域理县段生态环境调查与评估项目（二319）</w:t>
            </w:r>
          </w:p>
        </w:tc>
      </w:tr>
      <w:tr w14:paraId="7DB0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F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EE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nil"/>
              <w:left w:val="nil"/>
              <w:bottom w:val="nil"/>
              <w:right w:val="nil"/>
            </w:tcBorders>
            <w:shd w:val="clear" w:color="auto" w:fill="auto"/>
            <w:vAlign w:val="center"/>
          </w:tcPr>
          <w:p w14:paraId="4C8D5D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04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3242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CA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E5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12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A65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95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F7DC">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C238">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67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开展岷江流域理县段生态环境调查与评估</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2C7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完成2023年岷江流域理县段生态环境调查与评估，评估成果未出。</w:t>
            </w:r>
          </w:p>
        </w:tc>
      </w:tr>
      <w:tr w14:paraId="0F80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0488">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0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3E6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开展2023年度岷江流域理县段生态环境评估与调查。</w:t>
            </w:r>
          </w:p>
        </w:tc>
      </w:tr>
      <w:tr w14:paraId="0CF2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AF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C7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9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D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41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0F0F">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9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E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118.98</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DF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E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3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A3BE">
            <w:pPr>
              <w:rPr>
                <w:rFonts w:hint="eastAsia" w:ascii="黑体" w:hAnsi="黑体" w:eastAsia="黑体" w:cs="黑体"/>
                <w:i/>
                <w:iCs/>
                <w:color w:val="000000"/>
                <w:sz w:val="18"/>
                <w:szCs w:val="18"/>
                <w:u w:val="none"/>
              </w:rPr>
            </w:pPr>
          </w:p>
        </w:tc>
      </w:tr>
      <w:tr w14:paraId="2FBC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727B">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2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118.98</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7F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47D4">
            <w:pPr>
              <w:rPr>
                <w:rFonts w:hint="eastAsia" w:ascii="黑体" w:hAnsi="黑体" w:eastAsia="黑体" w:cs="黑体"/>
                <w:i/>
                <w:iCs/>
                <w:color w:val="000000"/>
                <w:sz w:val="18"/>
                <w:szCs w:val="18"/>
                <w:u w:val="none"/>
              </w:rPr>
            </w:pPr>
          </w:p>
        </w:tc>
      </w:tr>
      <w:tr w14:paraId="516E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AD9A">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7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8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79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A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766D">
            <w:pPr>
              <w:rPr>
                <w:rFonts w:hint="eastAsia" w:ascii="黑体" w:hAnsi="黑体" w:eastAsia="黑体" w:cs="黑体"/>
                <w:i/>
                <w:iCs/>
                <w:color w:val="000000"/>
                <w:sz w:val="18"/>
                <w:szCs w:val="18"/>
                <w:u w:val="none"/>
              </w:rPr>
            </w:pPr>
          </w:p>
        </w:tc>
      </w:tr>
      <w:tr w14:paraId="7528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0395">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8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9D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1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2040">
            <w:pPr>
              <w:rPr>
                <w:rFonts w:hint="eastAsia" w:ascii="黑体" w:hAnsi="黑体" w:eastAsia="黑体" w:cs="黑体"/>
                <w:i/>
                <w:iCs/>
                <w:color w:val="000000"/>
                <w:sz w:val="18"/>
                <w:szCs w:val="18"/>
                <w:u w:val="none"/>
              </w:rPr>
            </w:pPr>
          </w:p>
        </w:tc>
      </w:tr>
      <w:tr w14:paraId="2F24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4E0D">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4CCA">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059C">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9545F">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916C">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BBBF">
            <w:pPr>
              <w:rPr>
                <w:rFonts w:hint="eastAsia" w:ascii="黑体" w:hAnsi="黑体" w:eastAsia="黑体" w:cs="黑体"/>
                <w:i/>
                <w:iCs/>
                <w:color w:val="000000"/>
                <w:sz w:val="18"/>
                <w:szCs w:val="18"/>
                <w:u w:val="none"/>
              </w:rPr>
            </w:pPr>
          </w:p>
        </w:tc>
      </w:tr>
      <w:tr w14:paraId="4F5D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D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0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1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0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A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A1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3A0E">
            <w:pPr>
              <w:jc w:val="center"/>
              <w:rPr>
                <w:rFonts w:hint="eastAsia" w:ascii="宋体" w:hAnsi="宋体" w:eastAsia="宋体" w:cs="宋体"/>
                <w:i w:val="0"/>
                <w:iCs w:val="0"/>
                <w:color w:val="000000"/>
                <w:sz w:val="18"/>
                <w:szCs w:val="18"/>
                <w:u w:val="none"/>
              </w:rPr>
            </w:pP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1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5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调查评估数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3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7E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6F26">
            <w:pPr>
              <w:jc w:val="center"/>
              <w:rPr>
                <w:rFonts w:hint="eastAsia" w:ascii="微软雅黑" w:hAnsi="微软雅黑" w:eastAsia="微软雅黑" w:cs="微软雅黑"/>
                <w:i/>
                <w:iCs/>
                <w:color w:val="000000"/>
                <w:sz w:val="16"/>
                <w:szCs w:val="16"/>
                <w:u w:val="none"/>
              </w:rPr>
            </w:pPr>
          </w:p>
        </w:tc>
      </w:tr>
      <w:tr w14:paraId="3A4C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12AE">
            <w:pPr>
              <w:jc w:val="cente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6E79">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0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C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60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D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649">
            <w:pPr>
              <w:jc w:val="center"/>
              <w:rPr>
                <w:rFonts w:hint="eastAsia" w:ascii="微软雅黑" w:hAnsi="微软雅黑" w:eastAsia="微软雅黑" w:cs="微软雅黑"/>
                <w:i/>
                <w:iCs/>
                <w:color w:val="000000"/>
                <w:sz w:val="16"/>
                <w:szCs w:val="16"/>
                <w:u w:val="none"/>
              </w:rPr>
            </w:pPr>
          </w:p>
        </w:tc>
      </w:tr>
      <w:tr w14:paraId="3395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D26D">
            <w:pPr>
              <w:jc w:val="cente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0A04">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0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年限</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A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B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B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B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FDF">
            <w:pPr>
              <w:jc w:val="center"/>
              <w:rPr>
                <w:rFonts w:hint="eastAsia" w:ascii="微软雅黑" w:hAnsi="微软雅黑" w:eastAsia="微软雅黑" w:cs="微软雅黑"/>
                <w:i/>
                <w:iCs/>
                <w:color w:val="000000"/>
                <w:sz w:val="16"/>
                <w:szCs w:val="16"/>
                <w:u w:val="none"/>
              </w:rPr>
            </w:pPr>
          </w:p>
        </w:tc>
      </w:tr>
      <w:tr w14:paraId="745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E264">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A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701">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4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65F1">
            <w:pPr>
              <w:jc w:val="center"/>
              <w:rPr>
                <w:rFonts w:hint="eastAsia" w:ascii="微软雅黑" w:hAnsi="微软雅黑" w:eastAsia="微软雅黑" w:cs="微软雅黑"/>
                <w:i/>
                <w:iCs/>
                <w:color w:val="000000"/>
                <w:sz w:val="16"/>
                <w:szCs w:val="16"/>
                <w:u w:val="none"/>
              </w:rPr>
            </w:pPr>
          </w:p>
        </w:tc>
      </w:tr>
      <w:tr w14:paraId="6A0D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3B70">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0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8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A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C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C561">
            <w:pPr>
              <w:jc w:val="center"/>
              <w:rPr>
                <w:rFonts w:hint="eastAsia" w:ascii="微软雅黑" w:hAnsi="微软雅黑" w:eastAsia="微软雅黑" w:cs="微软雅黑"/>
                <w:i/>
                <w:iCs/>
                <w:color w:val="000000"/>
                <w:sz w:val="16"/>
                <w:szCs w:val="16"/>
                <w:u w:val="none"/>
              </w:rPr>
            </w:pPr>
          </w:p>
        </w:tc>
      </w:tr>
      <w:tr w14:paraId="1D0F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02473">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资金额度</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7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9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0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F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F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7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尾款未支付。</w:t>
            </w:r>
          </w:p>
        </w:tc>
      </w:tr>
      <w:tr w14:paraId="0431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426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7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C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7217">
            <w:pPr>
              <w:rPr>
                <w:rFonts w:hint="eastAsia" w:ascii="宋体" w:hAnsi="宋体" w:eastAsia="宋体" w:cs="宋体"/>
                <w:i w:val="0"/>
                <w:iCs w:val="0"/>
                <w:color w:val="000000"/>
                <w:sz w:val="18"/>
                <w:szCs w:val="18"/>
                <w:u w:val="none"/>
              </w:rPr>
            </w:pPr>
          </w:p>
        </w:tc>
      </w:tr>
      <w:tr w14:paraId="346A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4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9E6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完成了2023年度目标任务，结果未出，项目尾款未支付，自评得分80分。</w:t>
            </w:r>
          </w:p>
        </w:tc>
      </w:tr>
      <w:tr w14:paraId="4920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484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项目推进较缓慢。</w:t>
            </w:r>
          </w:p>
        </w:tc>
      </w:tr>
      <w:tr w14:paraId="62B4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3FE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督促项目实施单位加快项目推进，按照要就完成支付。</w:t>
            </w:r>
          </w:p>
        </w:tc>
      </w:tr>
      <w:tr w14:paraId="4401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755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EAF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6530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697" w:type="dxa"/>
            <w:gridSpan w:val="11"/>
            <w:tcBorders>
              <w:top w:val="nil"/>
              <w:left w:val="single" w:color="000000" w:sz="4" w:space="0"/>
              <w:bottom w:val="single" w:color="000000" w:sz="4" w:space="0"/>
              <w:right w:val="single" w:color="000000" w:sz="4" w:space="0"/>
            </w:tcBorders>
            <w:shd w:val="clear" w:color="auto" w:fill="auto"/>
            <w:vAlign w:val="center"/>
          </w:tcPr>
          <w:p w14:paraId="1FD52C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EE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67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B35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51320023T000007878209-理县生态环境局2023年环评审查专家经费</w:t>
            </w:r>
          </w:p>
        </w:tc>
      </w:tr>
      <w:tr w14:paraId="7EFE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642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74C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6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9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6804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513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11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AE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1BA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7E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B324">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F49A">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31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2023年开展20个项目环境影响评价文件审查工作和10个项目点位的现场踏勘工作。</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2DF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完成了2023年项目环境影响评价文件审查和现场勘察。</w:t>
            </w:r>
          </w:p>
        </w:tc>
      </w:tr>
      <w:tr w14:paraId="0828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FD1C">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1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2E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开展2023年环评审查和现场勘察。</w:t>
            </w:r>
          </w:p>
        </w:tc>
      </w:tr>
      <w:tr w14:paraId="5D1B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03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F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A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0B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1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51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B341">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F3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F506C">
            <w:pPr>
              <w:rPr>
                <w:rFonts w:hint="eastAsia" w:ascii="黑体" w:hAnsi="黑体" w:eastAsia="黑体" w:cs="黑体"/>
                <w:i/>
                <w:iCs/>
                <w:color w:val="000000"/>
                <w:sz w:val="18"/>
                <w:szCs w:val="18"/>
                <w:u w:val="none"/>
              </w:rPr>
            </w:pPr>
          </w:p>
        </w:tc>
      </w:tr>
      <w:tr w14:paraId="7E1A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6BBD">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8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3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C6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C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7A3E">
            <w:pPr>
              <w:rPr>
                <w:rFonts w:hint="eastAsia" w:ascii="黑体" w:hAnsi="黑体" w:eastAsia="黑体" w:cs="黑体"/>
                <w:i/>
                <w:iCs/>
                <w:color w:val="000000"/>
                <w:sz w:val="18"/>
                <w:szCs w:val="18"/>
                <w:u w:val="none"/>
              </w:rPr>
            </w:pPr>
          </w:p>
        </w:tc>
      </w:tr>
      <w:tr w14:paraId="1AFA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30DE">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6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E3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7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D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EEF7">
            <w:pPr>
              <w:rPr>
                <w:rFonts w:hint="eastAsia" w:ascii="黑体" w:hAnsi="黑体" w:eastAsia="黑体" w:cs="黑体"/>
                <w:i/>
                <w:iCs/>
                <w:color w:val="000000"/>
                <w:sz w:val="18"/>
                <w:szCs w:val="18"/>
                <w:u w:val="none"/>
              </w:rPr>
            </w:pPr>
          </w:p>
        </w:tc>
      </w:tr>
      <w:tr w14:paraId="5006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8527">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0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D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6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67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C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8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CAAB">
            <w:pPr>
              <w:rPr>
                <w:rFonts w:hint="eastAsia" w:ascii="黑体" w:hAnsi="黑体" w:eastAsia="黑体" w:cs="黑体"/>
                <w:i/>
                <w:iCs/>
                <w:color w:val="000000"/>
                <w:sz w:val="18"/>
                <w:szCs w:val="18"/>
                <w:u w:val="none"/>
              </w:rPr>
            </w:pPr>
          </w:p>
        </w:tc>
      </w:tr>
      <w:tr w14:paraId="2979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B1A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6ED">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F199">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08000">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9568">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38AD">
            <w:pPr>
              <w:rPr>
                <w:rFonts w:hint="eastAsia" w:ascii="黑体" w:hAnsi="黑体" w:eastAsia="黑体" w:cs="黑体"/>
                <w:i/>
                <w:iCs/>
                <w:color w:val="000000"/>
                <w:sz w:val="18"/>
                <w:szCs w:val="18"/>
                <w:u w:val="none"/>
              </w:rPr>
            </w:pPr>
          </w:p>
        </w:tc>
      </w:tr>
      <w:tr w14:paraId="4B3A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4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0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D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4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1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00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A395">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9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项目评价指标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B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E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F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C0AF">
            <w:pPr>
              <w:jc w:val="center"/>
              <w:rPr>
                <w:rFonts w:hint="eastAsia" w:ascii="微软雅黑" w:hAnsi="微软雅黑" w:eastAsia="微软雅黑" w:cs="微软雅黑"/>
                <w:i/>
                <w:iCs/>
                <w:color w:val="000000"/>
                <w:sz w:val="16"/>
                <w:szCs w:val="16"/>
                <w:u w:val="none"/>
              </w:rPr>
            </w:pPr>
          </w:p>
        </w:tc>
      </w:tr>
      <w:tr w14:paraId="716C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B543">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B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项目评价指标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1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8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4D30">
            <w:pPr>
              <w:jc w:val="center"/>
              <w:rPr>
                <w:rFonts w:hint="eastAsia" w:ascii="微软雅黑" w:hAnsi="微软雅黑" w:eastAsia="微软雅黑" w:cs="微软雅黑"/>
                <w:i/>
                <w:iCs/>
                <w:color w:val="000000"/>
                <w:sz w:val="16"/>
                <w:szCs w:val="16"/>
                <w:u w:val="none"/>
              </w:rPr>
            </w:pPr>
          </w:p>
        </w:tc>
      </w:tr>
      <w:tr w14:paraId="29C4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11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5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710">
            <w:pPr>
              <w:rPr>
                <w:rFonts w:hint="eastAsia" w:ascii="宋体" w:hAnsi="宋体" w:eastAsia="宋体" w:cs="宋体"/>
                <w:i w:val="0"/>
                <w:iCs w:val="0"/>
                <w:color w:val="000000"/>
                <w:sz w:val="18"/>
                <w:szCs w:val="18"/>
                <w:u w:val="none"/>
              </w:rPr>
            </w:pPr>
          </w:p>
        </w:tc>
      </w:tr>
      <w:tr w14:paraId="57B3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FDE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完成了2023年目标任务，自评得分100分</w:t>
            </w:r>
          </w:p>
        </w:tc>
      </w:tr>
      <w:tr w14:paraId="4515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B25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95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2DA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D2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A16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项目负责人：陈远珍</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193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260E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E13D5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78F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3F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1CA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51320023T000009450959-国家重点生态功能区县域生态环境质量考核监测工作项目</w:t>
            </w:r>
          </w:p>
        </w:tc>
      </w:tr>
      <w:tr w14:paraId="24F6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94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25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30" w:type="dxa"/>
            <w:tcBorders>
              <w:top w:val="nil"/>
              <w:left w:val="nil"/>
              <w:bottom w:val="nil"/>
              <w:right w:val="nil"/>
            </w:tcBorders>
            <w:shd w:val="clear" w:color="auto" w:fill="auto"/>
            <w:vAlign w:val="center"/>
          </w:tcPr>
          <w:p w14:paraId="53DC03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05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2BEA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BC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B2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A5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30E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48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1E3D">
            <w:pP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8680">
            <w:pPr>
              <w:rPr>
                <w:rFonts w:hint="eastAsia" w:ascii="宋体" w:hAnsi="宋体" w:eastAsia="宋体" w:cs="宋体"/>
                <w:i w:val="0"/>
                <w:iCs w:val="0"/>
                <w:color w:val="000000"/>
                <w:sz w:val="18"/>
                <w:szCs w:val="18"/>
                <w:u w:val="none"/>
              </w:rPr>
            </w:pP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1F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2023年国家重点生态功能区县域生态环境质量考核工作需要开展国家重点生态功能区县域生态环境质量地表水断面监测、农村环境质量试点监测﹑集中式饮用水水源地水质监测、水功能区监测、污染源监测、声环境监测、农村生活污水监测等。</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529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完成了2023年度全年监测任务。</w:t>
            </w:r>
          </w:p>
        </w:tc>
      </w:tr>
      <w:tr w14:paraId="0312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EF0B">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EA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9AD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开展2023年理县国家重点生态功能区县域生态环境质量考核监测工作。</w:t>
            </w:r>
          </w:p>
        </w:tc>
      </w:tr>
      <w:tr w14:paraId="367E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8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6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3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0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A1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65FF">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F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14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2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5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3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FAEE">
            <w:pPr>
              <w:rPr>
                <w:rFonts w:hint="eastAsia" w:ascii="黑体" w:hAnsi="黑体" w:eastAsia="黑体" w:cs="黑体"/>
                <w:i/>
                <w:iCs/>
                <w:color w:val="000000"/>
                <w:sz w:val="18"/>
                <w:szCs w:val="18"/>
                <w:u w:val="none"/>
              </w:rPr>
            </w:pPr>
          </w:p>
        </w:tc>
      </w:tr>
      <w:tr w14:paraId="7604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D0AF">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C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E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49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3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F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7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502A">
            <w:pPr>
              <w:rPr>
                <w:rFonts w:hint="eastAsia" w:ascii="黑体" w:hAnsi="黑体" w:eastAsia="黑体" w:cs="黑体"/>
                <w:i/>
                <w:iCs/>
                <w:color w:val="000000"/>
                <w:sz w:val="18"/>
                <w:szCs w:val="18"/>
                <w:u w:val="none"/>
              </w:rPr>
            </w:pPr>
          </w:p>
        </w:tc>
      </w:tr>
      <w:tr w14:paraId="6E97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3F0C">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D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7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F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3AFA8">
            <w:pPr>
              <w:rPr>
                <w:rFonts w:hint="eastAsia" w:ascii="黑体" w:hAnsi="黑体" w:eastAsia="黑体" w:cs="黑体"/>
                <w:i/>
                <w:iCs/>
                <w:color w:val="000000"/>
                <w:sz w:val="18"/>
                <w:szCs w:val="18"/>
                <w:u w:val="none"/>
              </w:rPr>
            </w:pPr>
          </w:p>
        </w:tc>
      </w:tr>
      <w:tr w14:paraId="6B6B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B692">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6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2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2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63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8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1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D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8CB1">
            <w:pPr>
              <w:rPr>
                <w:rFonts w:hint="eastAsia" w:ascii="黑体" w:hAnsi="黑体" w:eastAsia="黑体" w:cs="黑体"/>
                <w:i/>
                <w:iCs/>
                <w:color w:val="000000"/>
                <w:sz w:val="18"/>
                <w:szCs w:val="18"/>
                <w:u w:val="none"/>
              </w:rPr>
            </w:pPr>
          </w:p>
        </w:tc>
      </w:tr>
      <w:tr w14:paraId="635F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DB5D">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F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5A8A">
            <w:pPr>
              <w:jc w:val="center"/>
              <w:rPr>
                <w:rFonts w:hint="eastAsia" w:ascii="微软雅黑" w:hAnsi="微软雅黑" w:eastAsia="微软雅黑" w:cs="微软雅黑"/>
                <w:i/>
                <w:iCs/>
                <w:color w:val="000000"/>
                <w:sz w:val="16"/>
                <w:szCs w:val="16"/>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BE94">
            <w:pPr>
              <w:jc w:val="center"/>
              <w:rPr>
                <w:rFonts w:hint="eastAsia" w:ascii="微软雅黑" w:hAnsi="微软雅黑" w:eastAsia="微软雅黑" w:cs="微软雅黑"/>
                <w:i/>
                <w:iCs/>
                <w:color w:val="000000"/>
                <w:sz w:val="16"/>
                <w:szCs w:val="16"/>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61B76">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B579">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6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C740">
            <w:pPr>
              <w:rPr>
                <w:rFonts w:hint="eastAsia" w:ascii="黑体" w:hAnsi="黑体" w:eastAsia="黑体" w:cs="黑体"/>
                <w:i/>
                <w:iCs/>
                <w:color w:val="000000"/>
                <w:sz w:val="18"/>
                <w:szCs w:val="18"/>
                <w:u w:val="none"/>
              </w:rPr>
            </w:pPr>
          </w:p>
        </w:tc>
      </w:tr>
      <w:tr w14:paraId="4145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E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5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5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D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D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4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3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C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47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728B">
            <w:pPr>
              <w:jc w:val="center"/>
              <w:rPr>
                <w:rFonts w:hint="eastAsia" w:ascii="宋体" w:hAnsi="宋体" w:eastAsia="宋体" w:cs="宋体"/>
                <w:i w:val="0"/>
                <w:iCs w:val="0"/>
                <w:color w:val="000000"/>
                <w:sz w:val="18"/>
                <w:szCs w:val="18"/>
                <w:u w:val="none"/>
              </w:rPr>
            </w:pP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D3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监测内容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30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A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3DBF">
            <w:pPr>
              <w:jc w:val="center"/>
              <w:rPr>
                <w:rFonts w:hint="eastAsia" w:ascii="微软雅黑" w:hAnsi="微软雅黑" w:eastAsia="微软雅黑" w:cs="微软雅黑"/>
                <w:i/>
                <w:iCs/>
                <w:color w:val="000000"/>
                <w:sz w:val="16"/>
                <w:szCs w:val="16"/>
                <w:u w:val="none"/>
              </w:rPr>
            </w:pPr>
          </w:p>
        </w:tc>
      </w:tr>
      <w:tr w14:paraId="7F1E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8327">
            <w:pPr>
              <w:jc w:val="cente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A63B">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3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监测质量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1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D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05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A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A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A38F">
            <w:pPr>
              <w:jc w:val="center"/>
              <w:rPr>
                <w:rFonts w:hint="eastAsia" w:ascii="微软雅黑" w:hAnsi="微软雅黑" w:eastAsia="微软雅黑" w:cs="微软雅黑"/>
                <w:i/>
                <w:iCs/>
                <w:color w:val="000000"/>
                <w:sz w:val="16"/>
                <w:szCs w:val="16"/>
                <w:u w:val="none"/>
              </w:rPr>
            </w:pPr>
          </w:p>
        </w:tc>
      </w:tr>
      <w:tr w14:paraId="49BF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F71B">
            <w:pPr>
              <w:jc w:val="center"/>
              <w:rPr>
                <w:rFonts w:hint="eastAsia" w:ascii="宋体" w:hAnsi="宋体" w:eastAsia="宋体" w:cs="宋体"/>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0C05">
            <w:pPr>
              <w:jc w:val="center"/>
              <w:rPr>
                <w:rFonts w:hint="eastAsia" w:ascii="宋体" w:hAnsi="宋体" w:eastAsia="宋体" w:cs="宋体"/>
                <w:i w:val="0"/>
                <w:iCs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监测时间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9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0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E172">
            <w:pPr>
              <w:jc w:val="center"/>
              <w:rPr>
                <w:rFonts w:hint="eastAsia" w:ascii="微软雅黑" w:hAnsi="微软雅黑" w:eastAsia="微软雅黑" w:cs="微软雅黑"/>
                <w:i/>
                <w:iCs/>
                <w:color w:val="000000"/>
                <w:sz w:val="16"/>
                <w:szCs w:val="16"/>
                <w:u w:val="none"/>
              </w:rPr>
            </w:pPr>
          </w:p>
        </w:tc>
      </w:tr>
      <w:tr w14:paraId="0EAF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99E7">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环境质量持续好转</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9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FA3B">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A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286C">
            <w:pPr>
              <w:jc w:val="center"/>
              <w:rPr>
                <w:rFonts w:hint="eastAsia" w:ascii="微软雅黑" w:hAnsi="微软雅黑" w:eastAsia="微软雅黑" w:cs="微软雅黑"/>
                <w:i/>
                <w:iCs/>
                <w:color w:val="000000"/>
                <w:sz w:val="16"/>
                <w:szCs w:val="16"/>
                <w:u w:val="none"/>
              </w:rPr>
            </w:pPr>
          </w:p>
        </w:tc>
      </w:tr>
      <w:tr w14:paraId="0225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6A65">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群众对环境质量满意度</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0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255">
            <w:pPr>
              <w:jc w:val="center"/>
              <w:rPr>
                <w:rFonts w:hint="eastAsia" w:ascii="微软雅黑" w:hAnsi="微软雅黑" w:eastAsia="微软雅黑" w:cs="微软雅黑"/>
                <w:i/>
                <w:iCs/>
                <w:color w:val="000000"/>
                <w:sz w:val="16"/>
                <w:szCs w:val="16"/>
                <w:u w:val="none"/>
              </w:rPr>
            </w:pPr>
          </w:p>
        </w:tc>
      </w:tr>
      <w:tr w14:paraId="6159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A213">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5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监测费用</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7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1016000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5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w:t>
            </w:r>
          </w:p>
        </w:tc>
      </w:tr>
      <w:tr w14:paraId="145E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B56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5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491">
            <w:pPr>
              <w:rPr>
                <w:rFonts w:hint="eastAsia" w:ascii="宋体" w:hAnsi="宋体" w:eastAsia="宋体" w:cs="宋体"/>
                <w:i w:val="0"/>
                <w:iCs w:val="0"/>
                <w:color w:val="000000"/>
                <w:sz w:val="18"/>
                <w:szCs w:val="18"/>
                <w:u w:val="none"/>
              </w:rPr>
            </w:pPr>
          </w:p>
        </w:tc>
      </w:tr>
      <w:tr w14:paraId="4D26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FC4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完成了2023年度监测任务，自评得分100分。</w:t>
            </w:r>
          </w:p>
        </w:tc>
      </w:tr>
      <w:tr w14:paraId="7FBA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C83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68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7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DD5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8D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401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72D9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bl>
    <w:p w14:paraId="4426544E">
      <w:pPr>
        <w:rPr>
          <w:rFonts w:hint="default"/>
          <w:lang w:val="en-US" w:eastAsia="zh-CN"/>
        </w:rPr>
      </w:pPr>
    </w:p>
    <w:tbl>
      <w:tblPr>
        <w:tblStyle w:val="24"/>
        <w:tblW w:w="156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2640"/>
        <w:gridCol w:w="1320"/>
        <w:gridCol w:w="2415"/>
        <w:gridCol w:w="765"/>
        <w:gridCol w:w="630"/>
        <w:gridCol w:w="1005"/>
        <w:gridCol w:w="1290"/>
        <w:gridCol w:w="720"/>
        <w:gridCol w:w="675"/>
        <w:gridCol w:w="2880"/>
      </w:tblGrid>
      <w:tr w14:paraId="389C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42AB5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3B6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5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272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7C96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9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071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3DADB73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8D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6B52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A0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C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99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BDE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AD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A303">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902B">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22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14A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完成了2023年度工资发放</w:t>
            </w:r>
          </w:p>
        </w:tc>
      </w:tr>
      <w:tr w14:paraId="20D7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E510">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FA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7E3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发放2023年度基本工资、津贴补贴、奖金。</w:t>
            </w:r>
          </w:p>
        </w:tc>
      </w:tr>
      <w:tr w14:paraId="3EB8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C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9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25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3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8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12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4291">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94.29</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58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2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C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6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E7FFE">
            <w:pPr>
              <w:rPr>
                <w:rFonts w:hint="eastAsia" w:ascii="黑体" w:hAnsi="黑体" w:eastAsia="黑体" w:cs="黑体"/>
                <w:i/>
                <w:iCs/>
                <w:color w:val="000000"/>
                <w:sz w:val="18"/>
                <w:szCs w:val="18"/>
                <w:u w:val="none"/>
              </w:rPr>
            </w:pPr>
          </w:p>
        </w:tc>
      </w:tr>
      <w:tr w14:paraId="41C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7F78">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7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94.29</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F5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8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8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1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C70F">
            <w:pPr>
              <w:rPr>
                <w:rFonts w:hint="eastAsia" w:ascii="黑体" w:hAnsi="黑体" w:eastAsia="黑体" w:cs="黑体"/>
                <w:i/>
                <w:iCs/>
                <w:color w:val="000000"/>
                <w:sz w:val="18"/>
                <w:szCs w:val="18"/>
                <w:u w:val="none"/>
              </w:rPr>
            </w:pPr>
          </w:p>
        </w:tc>
      </w:tr>
      <w:tr w14:paraId="0BC7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E4EB">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2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B8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4956C">
            <w:pPr>
              <w:rPr>
                <w:rFonts w:hint="eastAsia" w:ascii="黑体" w:hAnsi="黑体" w:eastAsia="黑体" w:cs="黑体"/>
                <w:i/>
                <w:iCs/>
                <w:color w:val="000000"/>
                <w:sz w:val="18"/>
                <w:szCs w:val="18"/>
                <w:u w:val="none"/>
              </w:rPr>
            </w:pPr>
          </w:p>
        </w:tc>
      </w:tr>
      <w:tr w14:paraId="65E1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416A">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4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B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4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7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A057">
            <w:pPr>
              <w:rPr>
                <w:rFonts w:hint="eastAsia" w:ascii="黑体" w:hAnsi="黑体" w:eastAsia="黑体" w:cs="黑体"/>
                <w:i/>
                <w:iCs/>
                <w:color w:val="000000"/>
                <w:sz w:val="18"/>
                <w:szCs w:val="18"/>
                <w:u w:val="none"/>
              </w:rPr>
            </w:pPr>
          </w:p>
        </w:tc>
      </w:tr>
      <w:tr w14:paraId="465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0A05">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8BA">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A1A">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CC546">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DF45">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F34E">
            <w:pPr>
              <w:rPr>
                <w:rFonts w:hint="eastAsia" w:ascii="黑体" w:hAnsi="黑体" w:eastAsia="黑体" w:cs="黑体"/>
                <w:i/>
                <w:iCs/>
                <w:color w:val="000000"/>
                <w:sz w:val="18"/>
                <w:szCs w:val="18"/>
                <w:u w:val="none"/>
              </w:rPr>
            </w:pPr>
          </w:p>
        </w:tc>
      </w:tr>
      <w:tr w14:paraId="41A2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F7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0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8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3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6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4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2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CE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6C24">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4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0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0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7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D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0884">
            <w:pPr>
              <w:jc w:val="center"/>
              <w:rPr>
                <w:rFonts w:hint="eastAsia" w:ascii="微软雅黑" w:hAnsi="微软雅黑" w:eastAsia="微软雅黑" w:cs="微软雅黑"/>
                <w:i/>
                <w:iCs/>
                <w:color w:val="000000"/>
                <w:sz w:val="16"/>
                <w:szCs w:val="16"/>
                <w:u w:val="none"/>
              </w:rPr>
            </w:pPr>
          </w:p>
        </w:tc>
      </w:tr>
      <w:tr w14:paraId="0015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C52F">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27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007">
            <w:pPr>
              <w:jc w:val="center"/>
              <w:rPr>
                <w:rFonts w:hint="eastAsia" w:ascii="微软雅黑" w:hAnsi="微软雅黑" w:eastAsia="微软雅黑" w:cs="微软雅黑"/>
                <w:i/>
                <w:iCs/>
                <w:color w:val="000000"/>
                <w:sz w:val="16"/>
                <w:szCs w:val="16"/>
                <w:u w:val="none"/>
              </w:rPr>
            </w:pPr>
          </w:p>
        </w:tc>
      </w:tr>
      <w:tr w14:paraId="49FB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397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B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F78">
            <w:pPr>
              <w:rPr>
                <w:rFonts w:hint="eastAsia" w:ascii="宋体" w:hAnsi="宋体" w:eastAsia="宋体" w:cs="宋体"/>
                <w:i w:val="0"/>
                <w:iCs w:val="0"/>
                <w:color w:val="000000"/>
                <w:sz w:val="18"/>
                <w:szCs w:val="18"/>
                <w:u w:val="none"/>
              </w:rPr>
            </w:pPr>
          </w:p>
        </w:tc>
      </w:tr>
      <w:tr w14:paraId="49F1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E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6F2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完成了2023年工资支出，自查得分100分。</w:t>
            </w:r>
          </w:p>
        </w:tc>
      </w:tr>
      <w:tr w14:paraId="73E4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9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1292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7F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BDBF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11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02D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4D5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3A5C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9D54E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F9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2B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0DD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51000021R000000019953-单位缴费</w:t>
            </w:r>
          </w:p>
        </w:tc>
      </w:tr>
      <w:tr w14:paraId="08E0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A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923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66C202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F8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1D56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35B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83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5C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035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D1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24C9">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0710">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09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A63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完成了2023年度单位缴费</w:t>
            </w:r>
          </w:p>
        </w:tc>
      </w:tr>
      <w:tr w14:paraId="67ED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ECAD">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76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缴纳养老保险、职业年金、医疗保险、公务员医疗补助、残保金、住房公积金等</w:t>
            </w:r>
          </w:p>
        </w:tc>
      </w:tr>
      <w:tr w14:paraId="4921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10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D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26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1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F8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DD4D">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C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E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57.98</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86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B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B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F5EEB">
            <w:pPr>
              <w:rPr>
                <w:rFonts w:hint="eastAsia" w:ascii="黑体" w:hAnsi="黑体" w:eastAsia="黑体" w:cs="黑体"/>
                <w:i/>
                <w:iCs/>
                <w:color w:val="000000"/>
                <w:sz w:val="18"/>
                <w:szCs w:val="18"/>
                <w:u w:val="none"/>
              </w:rPr>
            </w:pPr>
          </w:p>
        </w:tc>
      </w:tr>
      <w:tr w14:paraId="30C5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4B0E">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7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57.98</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A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4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0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004C">
            <w:pPr>
              <w:rPr>
                <w:rFonts w:hint="eastAsia" w:ascii="黑体" w:hAnsi="黑体" w:eastAsia="黑体" w:cs="黑体"/>
                <w:i/>
                <w:iCs/>
                <w:color w:val="000000"/>
                <w:sz w:val="18"/>
                <w:szCs w:val="18"/>
                <w:u w:val="none"/>
              </w:rPr>
            </w:pPr>
          </w:p>
        </w:tc>
      </w:tr>
      <w:tr w14:paraId="601D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B71F">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6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B8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E675">
            <w:pPr>
              <w:rPr>
                <w:rFonts w:hint="eastAsia" w:ascii="黑体" w:hAnsi="黑体" w:eastAsia="黑体" w:cs="黑体"/>
                <w:i/>
                <w:iCs/>
                <w:color w:val="000000"/>
                <w:sz w:val="18"/>
                <w:szCs w:val="18"/>
                <w:u w:val="none"/>
              </w:rPr>
            </w:pPr>
          </w:p>
        </w:tc>
      </w:tr>
      <w:tr w14:paraId="2F6F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553E">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18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00792">
            <w:pPr>
              <w:rPr>
                <w:rFonts w:hint="eastAsia" w:ascii="黑体" w:hAnsi="黑体" w:eastAsia="黑体" w:cs="黑体"/>
                <w:i/>
                <w:iCs/>
                <w:color w:val="000000"/>
                <w:sz w:val="18"/>
                <w:szCs w:val="18"/>
                <w:u w:val="none"/>
              </w:rPr>
            </w:pPr>
          </w:p>
        </w:tc>
      </w:tr>
      <w:tr w14:paraId="3EB3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3AB7">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F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183">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33D3">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ED0BE">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16AF">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D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CDBA">
            <w:pPr>
              <w:rPr>
                <w:rFonts w:hint="eastAsia" w:ascii="黑体" w:hAnsi="黑体" w:eastAsia="黑体" w:cs="黑体"/>
                <w:i/>
                <w:iCs/>
                <w:color w:val="000000"/>
                <w:sz w:val="18"/>
                <w:szCs w:val="18"/>
                <w:u w:val="none"/>
              </w:rPr>
            </w:pPr>
          </w:p>
        </w:tc>
      </w:tr>
      <w:tr w14:paraId="623F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4C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2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8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7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A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C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CE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163D">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3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B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E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3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9FDE">
            <w:pPr>
              <w:jc w:val="center"/>
              <w:rPr>
                <w:rFonts w:hint="eastAsia" w:ascii="微软雅黑" w:hAnsi="微软雅黑" w:eastAsia="微软雅黑" w:cs="微软雅黑"/>
                <w:i/>
                <w:iCs/>
                <w:color w:val="000000"/>
                <w:sz w:val="16"/>
                <w:szCs w:val="16"/>
                <w:u w:val="none"/>
              </w:rPr>
            </w:pPr>
          </w:p>
        </w:tc>
      </w:tr>
      <w:tr w14:paraId="759A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17FE">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9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1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A9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7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5FA">
            <w:pPr>
              <w:jc w:val="center"/>
              <w:rPr>
                <w:rFonts w:hint="eastAsia" w:ascii="微软雅黑" w:hAnsi="微软雅黑" w:eastAsia="微软雅黑" w:cs="微软雅黑"/>
                <w:i/>
                <w:iCs/>
                <w:color w:val="000000"/>
                <w:sz w:val="16"/>
                <w:szCs w:val="16"/>
                <w:u w:val="none"/>
              </w:rPr>
            </w:pPr>
          </w:p>
        </w:tc>
      </w:tr>
      <w:tr w14:paraId="45E8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F13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A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88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11A">
            <w:pPr>
              <w:rPr>
                <w:rFonts w:hint="eastAsia" w:ascii="宋体" w:hAnsi="宋体" w:eastAsia="宋体" w:cs="宋体"/>
                <w:i w:val="0"/>
                <w:iCs w:val="0"/>
                <w:color w:val="000000"/>
                <w:sz w:val="18"/>
                <w:szCs w:val="18"/>
                <w:u w:val="none"/>
              </w:rPr>
            </w:pPr>
          </w:p>
        </w:tc>
      </w:tr>
      <w:tr w14:paraId="7762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9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CD1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完成了2023年单位缴费，自评得分100分。</w:t>
            </w:r>
          </w:p>
        </w:tc>
      </w:tr>
      <w:tr w14:paraId="4BC7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A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FF0D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7C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A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AE29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68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2E0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9AB3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4D11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093A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FC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A2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A2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51000021R000000019956-离退休费支出</w:t>
            </w:r>
          </w:p>
        </w:tc>
      </w:tr>
      <w:tr w14:paraId="0215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059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D8C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5D2282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E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5FF7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3B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A1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0B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670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C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671D">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3E1D">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D3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079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完成了退休人员慰问</w:t>
            </w:r>
          </w:p>
        </w:tc>
      </w:tr>
      <w:tr w14:paraId="32B5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0194">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3A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退休人员管理费</w:t>
            </w:r>
          </w:p>
        </w:tc>
      </w:tr>
      <w:tr w14:paraId="45B2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12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1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2D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4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A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CA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6A2C">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5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4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6B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6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5C164">
            <w:pPr>
              <w:rPr>
                <w:rFonts w:hint="eastAsia" w:ascii="黑体" w:hAnsi="黑体" w:eastAsia="黑体" w:cs="黑体"/>
                <w:i/>
                <w:iCs/>
                <w:color w:val="000000"/>
                <w:sz w:val="18"/>
                <w:szCs w:val="18"/>
                <w:u w:val="none"/>
              </w:rPr>
            </w:pPr>
          </w:p>
        </w:tc>
      </w:tr>
      <w:tr w14:paraId="02F9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7817">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59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3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C6DC">
            <w:pPr>
              <w:rPr>
                <w:rFonts w:hint="eastAsia" w:ascii="黑体" w:hAnsi="黑体" w:eastAsia="黑体" w:cs="黑体"/>
                <w:i/>
                <w:iCs/>
                <w:color w:val="000000"/>
                <w:sz w:val="18"/>
                <w:szCs w:val="18"/>
                <w:u w:val="none"/>
              </w:rPr>
            </w:pPr>
          </w:p>
        </w:tc>
      </w:tr>
      <w:tr w14:paraId="1EC1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6620">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F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B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5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7C30">
            <w:pPr>
              <w:rPr>
                <w:rFonts w:hint="eastAsia" w:ascii="黑体" w:hAnsi="黑体" w:eastAsia="黑体" w:cs="黑体"/>
                <w:i/>
                <w:iCs/>
                <w:color w:val="000000"/>
                <w:sz w:val="18"/>
                <w:szCs w:val="18"/>
                <w:u w:val="none"/>
              </w:rPr>
            </w:pPr>
          </w:p>
        </w:tc>
      </w:tr>
      <w:tr w14:paraId="0AAA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CE31">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AE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8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FB43">
            <w:pPr>
              <w:rPr>
                <w:rFonts w:hint="eastAsia" w:ascii="黑体" w:hAnsi="黑体" w:eastAsia="黑体" w:cs="黑体"/>
                <w:i/>
                <w:iCs/>
                <w:color w:val="000000"/>
                <w:sz w:val="18"/>
                <w:szCs w:val="18"/>
                <w:u w:val="none"/>
              </w:rPr>
            </w:pPr>
          </w:p>
        </w:tc>
      </w:tr>
      <w:tr w14:paraId="5FB8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EB2C">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FA0">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A40">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E80EE">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463">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6830">
            <w:pPr>
              <w:rPr>
                <w:rFonts w:hint="eastAsia" w:ascii="黑体" w:hAnsi="黑体" w:eastAsia="黑体" w:cs="黑体"/>
                <w:i/>
                <w:iCs/>
                <w:color w:val="000000"/>
                <w:sz w:val="18"/>
                <w:szCs w:val="18"/>
                <w:u w:val="none"/>
              </w:rPr>
            </w:pPr>
          </w:p>
        </w:tc>
      </w:tr>
      <w:tr w14:paraId="5E37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A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3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C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1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C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5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E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F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45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533E">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6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D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A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52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DBE7">
            <w:pPr>
              <w:jc w:val="center"/>
              <w:rPr>
                <w:rFonts w:hint="eastAsia" w:ascii="微软雅黑" w:hAnsi="微软雅黑" w:eastAsia="微软雅黑" w:cs="微软雅黑"/>
                <w:i/>
                <w:iCs/>
                <w:color w:val="000000"/>
                <w:sz w:val="16"/>
                <w:szCs w:val="16"/>
                <w:u w:val="none"/>
              </w:rPr>
            </w:pPr>
          </w:p>
        </w:tc>
      </w:tr>
      <w:tr w14:paraId="6D2B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3E26">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9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D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9E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A87">
            <w:pPr>
              <w:jc w:val="center"/>
              <w:rPr>
                <w:rFonts w:hint="eastAsia" w:ascii="微软雅黑" w:hAnsi="微软雅黑" w:eastAsia="微软雅黑" w:cs="微软雅黑"/>
                <w:i/>
                <w:iCs/>
                <w:color w:val="000000"/>
                <w:sz w:val="16"/>
                <w:szCs w:val="16"/>
                <w:u w:val="none"/>
              </w:rPr>
            </w:pPr>
          </w:p>
        </w:tc>
      </w:tr>
      <w:tr w14:paraId="2848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DC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F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C74A">
            <w:pPr>
              <w:rPr>
                <w:rFonts w:hint="eastAsia" w:ascii="宋体" w:hAnsi="宋体" w:eastAsia="宋体" w:cs="宋体"/>
                <w:i w:val="0"/>
                <w:iCs w:val="0"/>
                <w:color w:val="000000"/>
                <w:sz w:val="18"/>
                <w:szCs w:val="18"/>
                <w:u w:val="none"/>
              </w:rPr>
            </w:pPr>
          </w:p>
        </w:tc>
      </w:tr>
      <w:tr w14:paraId="6876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D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8004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完成了2023年度退休人员慰问，自评得分100分。</w:t>
            </w:r>
          </w:p>
        </w:tc>
      </w:tr>
      <w:tr w14:paraId="6084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E10C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75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E04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FF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7D4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E81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03A4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5BC56B">
            <w:pPr>
              <w:keepNext w:val="0"/>
              <w:keepLines w:val="0"/>
              <w:widowControl/>
              <w:suppressLineNumbers w:val="0"/>
              <w:jc w:val="center"/>
              <w:textAlignment w:val="center"/>
              <w:rPr>
                <w:rFonts w:hint="eastAsia" w:ascii="黑体" w:hAnsi="宋体" w:eastAsia="黑体" w:cs="黑体"/>
                <w:b/>
                <w:bCs/>
                <w:i w:val="0"/>
                <w:iCs w:val="0"/>
                <w:color w:val="000000"/>
                <w:sz w:val="13"/>
                <w:szCs w:val="13"/>
                <w:u w:val="none"/>
              </w:rPr>
            </w:pPr>
            <w:r>
              <w:rPr>
                <w:rFonts w:hint="eastAsia" w:ascii="黑体" w:hAnsi="宋体" w:eastAsia="黑体" w:cs="黑体"/>
                <w:b/>
                <w:bCs/>
                <w:i w:val="0"/>
                <w:iCs w:val="0"/>
                <w:color w:val="000000"/>
                <w:kern w:val="0"/>
                <w:sz w:val="13"/>
                <w:szCs w:val="13"/>
                <w:u w:val="none"/>
                <w:lang w:val="en-US" w:eastAsia="zh-CN" w:bidi="ar"/>
              </w:rPr>
              <w:t>部门预算项目支出绩效自评表（2023年度）</w:t>
            </w:r>
          </w:p>
        </w:tc>
      </w:tr>
      <w:tr w14:paraId="00F3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4628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8C2A3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51000021Y000000011490-日常公用经费</w:t>
            </w:r>
          </w:p>
        </w:tc>
      </w:tr>
      <w:tr w14:paraId="4B36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7946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FEB0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州生态环境局部门</w:t>
            </w:r>
          </w:p>
        </w:tc>
        <w:tc>
          <w:tcPr>
            <w:tcW w:w="1290" w:type="dxa"/>
            <w:tcBorders>
              <w:top w:val="nil"/>
              <w:left w:val="nil"/>
              <w:bottom w:val="nil"/>
              <w:right w:val="nil"/>
            </w:tcBorders>
            <w:shd w:val="clear" w:color="auto" w:fill="auto"/>
            <w:vAlign w:val="center"/>
          </w:tcPr>
          <w:p w14:paraId="554E22F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973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理县生态环境局</w:t>
            </w:r>
          </w:p>
        </w:tc>
      </w:tr>
      <w:tr w14:paraId="0C7A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50D8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4CE2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2FA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C71EB">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C9C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F210">
            <w:pPr>
              <w:rPr>
                <w:rFonts w:hint="eastAsia" w:ascii="宋体" w:hAnsi="宋体" w:eastAsia="宋体" w:cs="宋体"/>
                <w:i w:val="0"/>
                <w:iCs w:val="0"/>
                <w:color w:val="000000"/>
                <w:sz w:val="13"/>
                <w:szCs w:val="13"/>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78A8">
            <w:pPr>
              <w:rPr>
                <w:rFonts w:hint="eastAsia" w:ascii="宋体" w:hAnsi="宋体" w:eastAsia="宋体" w:cs="宋体"/>
                <w:i w:val="0"/>
                <w:iCs w:val="0"/>
                <w:color w:val="000000"/>
                <w:sz w:val="13"/>
                <w:szCs w:val="13"/>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8C66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提高预算编制质量，严格执行预算，保障单位日常运转。</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FAE1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完成了2023年目标任务</w:t>
            </w:r>
          </w:p>
        </w:tc>
      </w:tr>
      <w:tr w14:paraId="2C1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AD40">
            <w:pP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EA0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CEAB3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单位日常运转办公费、水费、邮电费、维修维护、物业管理、差旅费、培训费、接待费、福利费、公务用车等支出。</w:t>
            </w:r>
          </w:p>
        </w:tc>
      </w:tr>
      <w:tr w14:paraId="7B82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6AC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DF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1E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CB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6B6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D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E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15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99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0286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8994">
            <w:pPr>
              <w:jc w:val="cente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6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0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43.60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5D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33.44</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4AC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62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D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99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47B48">
            <w:pPr>
              <w:rPr>
                <w:rFonts w:hint="eastAsia" w:ascii="黑体" w:hAnsi="黑体" w:eastAsia="黑体" w:cs="黑体"/>
                <w:i/>
                <w:iCs/>
                <w:color w:val="000000"/>
                <w:sz w:val="13"/>
                <w:szCs w:val="13"/>
                <w:u w:val="none"/>
              </w:rPr>
            </w:pPr>
          </w:p>
        </w:tc>
      </w:tr>
      <w:tr w14:paraId="3EAD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87A7">
            <w:pPr>
              <w:jc w:val="cente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E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3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43.60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61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33.44</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E32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1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7E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22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B220">
            <w:pPr>
              <w:rPr>
                <w:rFonts w:hint="eastAsia" w:ascii="黑体" w:hAnsi="黑体" w:eastAsia="黑体" w:cs="黑体"/>
                <w:i/>
                <w:iCs/>
                <w:color w:val="000000"/>
                <w:sz w:val="13"/>
                <w:szCs w:val="13"/>
                <w:u w:val="none"/>
              </w:rPr>
            </w:pPr>
          </w:p>
        </w:tc>
      </w:tr>
      <w:tr w14:paraId="6A6D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80F4">
            <w:pPr>
              <w:jc w:val="cente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E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B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9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6B3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D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7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F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07C0">
            <w:pPr>
              <w:rPr>
                <w:rFonts w:hint="eastAsia" w:ascii="黑体" w:hAnsi="黑体" w:eastAsia="黑体" w:cs="黑体"/>
                <w:i/>
                <w:iCs/>
                <w:color w:val="000000"/>
                <w:sz w:val="13"/>
                <w:szCs w:val="13"/>
                <w:u w:val="none"/>
              </w:rPr>
            </w:pPr>
          </w:p>
        </w:tc>
      </w:tr>
      <w:tr w14:paraId="7093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C812">
            <w:pPr>
              <w:jc w:val="cente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42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6F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0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42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E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54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5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A80F">
            <w:pPr>
              <w:rPr>
                <w:rFonts w:hint="eastAsia" w:ascii="黑体" w:hAnsi="黑体" w:eastAsia="黑体" w:cs="黑体"/>
                <w:i/>
                <w:iCs/>
                <w:color w:val="000000"/>
                <w:sz w:val="13"/>
                <w:szCs w:val="13"/>
                <w:u w:val="none"/>
              </w:rPr>
            </w:pPr>
          </w:p>
        </w:tc>
      </w:tr>
      <w:tr w14:paraId="6FD1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E3D1">
            <w:pPr>
              <w:jc w:val="center"/>
              <w:rPr>
                <w:rFonts w:hint="eastAsia" w:ascii="宋体" w:hAnsi="宋体" w:eastAsia="宋体" w:cs="宋体"/>
                <w:i w:val="0"/>
                <w:iCs w:val="0"/>
                <w:color w:val="000000"/>
                <w:sz w:val="13"/>
                <w:szCs w:val="13"/>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A1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42E">
            <w:pPr>
              <w:jc w:val="center"/>
              <w:rPr>
                <w:rFonts w:hint="eastAsia" w:ascii="微软雅黑" w:hAnsi="微软雅黑" w:eastAsia="微软雅黑" w:cs="微软雅黑"/>
                <w:i/>
                <w:iCs/>
                <w:color w:val="000000"/>
                <w:sz w:val="13"/>
                <w:szCs w:val="13"/>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9303">
            <w:pPr>
              <w:jc w:val="center"/>
              <w:rPr>
                <w:rFonts w:hint="eastAsia" w:ascii="微软雅黑" w:hAnsi="微软雅黑" w:eastAsia="微软雅黑" w:cs="微软雅黑"/>
                <w:i/>
                <w:iCs/>
                <w:color w:val="000000"/>
                <w:sz w:val="13"/>
                <w:szCs w:val="13"/>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9AEBE">
            <w:pPr>
              <w:jc w:val="center"/>
              <w:rPr>
                <w:rFonts w:hint="eastAsia" w:ascii="微软雅黑" w:hAnsi="微软雅黑" w:eastAsia="微软雅黑" w:cs="微软雅黑"/>
                <w:i/>
                <w:iCs/>
                <w:color w:val="000000"/>
                <w:sz w:val="13"/>
                <w:szCs w:val="13"/>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E072">
            <w:pPr>
              <w:jc w:val="center"/>
              <w:rPr>
                <w:rFonts w:hint="eastAsia" w:ascii="微软雅黑" w:hAnsi="微软雅黑" w:eastAsia="微软雅黑" w:cs="微软雅黑"/>
                <w:i/>
                <w:iCs/>
                <w:color w:val="000000"/>
                <w:sz w:val="13"/>
                <w:szCs w:val="13"/>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6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8F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F4A4">
            <w:pPr>
              <w:rPr>
                <w:rFonts w:hint="eastAsia" w:ascii="黑体" w:hAnsi="黑体" w:eastAsia="黑体" w:cs="黑体"/>
                <w:i/>
                <w:iCs/>
                <w:color w:val="000000"/>
                <w:sz w:val="13"/>
                <w:szCs w:val="13"/>
                <w:u w:val="none"/>
              </w:rPr>
            </w:pPr>
          </w:p>
        </w:tc>
      </w:tr>
      <w:tr w14:paraId="370E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A64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F1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7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6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8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3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E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5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A8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4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19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F24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0EF3">
            <w:pPr>
              <w:jc w:val="center"/>
              <w:rPr>
                <w:rFonts w:hint="eastAsia" w:ascii="宋体" w:hAnsi="宋体" w:eastAsia="宋体" w:cs="宋体"/>
                <w:i w:val="0"/>
                <w:iCs w:val="0"/>
                <w:color w:val="000000"/>
                <w:sz w:val="13"/>
                <w:szCs w:val="13"/>
                <w:u w:val="none"/>
              </w:rPr>
            </w:pP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7DD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8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C9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科目调整次数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BB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43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4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167">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B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38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3482">
            <w:pPr>
              <w:jc w:val="center"/>
              <w:rPr>
                <w:rFonts w:hint="eastAsia" w:ascii="微软雅黑" w:hAnsi="微软雅黑" w:eastAsia="微软雅黑" w:cs="微软雅黑"/>
                <w:i/>
                <w:iCs/>
                <w:color w:val="000000"/>
                <w:sz w:val="13"/>
                <w:szCs w:val="13"/>
                <w:u w:val="none"/>
              </w:rPr>
            </w:pPr>
          </w:p>
        </w:tc>
      </w:tr>
      <w:tr w14:paraId="351F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893B">
            <w:pPr>
              <w:jc w:val="center"/>
              <w:rPr>
                <w:rFonts w:hint="eastAsia" w:ascii="宋体" w:hAnsi="宋体" w:eastAsia="宋体" w:cs="宋体"/>
                <w:i w:val="0"/>
                <w:iCs w:val="0"/>
                <w:color w:val="000000"/>
                <w:sz w:val="13"/>
                <w:szCs w:val="13"/>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CD8C">
            <w:pPr>
              <w:jc w:val="center"/>
              <w:rPr>
                <w:rFonts w:hint="eastAsia" w:ascii="宋体" w:hAnsi="宋体" w:eastAsia="宋体" w:cs="宋体"/>
                <w:i w:val="0"/>
                <w:iCs w:val="0"/>
                <w:color w:val="000000"/>
                <w:sz w:val="13"/>
                <w:szCs w:val="13"/>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5D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5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预算编制准确率（计算方法为：∣（执行数-预算数）/预算数∣）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8D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3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3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8FC">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FD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98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2B2">
            <w:pPr>
              <w:jc w:val="center"/>
              <w:rPr>
                <w:rFonts w:hint="eastAsia" w:ascii="微软雅黑" w:hAnsi="微软雅黑" w:eastAsia="微软雅黑" w:cs="微软雅黑"/>
                <w:i/>
                <w:iCs/>
                <w:color w:val="000000"/>
                <w:sz w:val="13"/>
                <w:szCs w:val="13"/>
                <w:u w:val="none"/>
              </w:rPr>
            </w:pPr>
          </w:p>
        </w:tc>
      </w:tr>
      <w:tr w14:paraId="0177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FA03">
            <w:pPr>
              <w:jc w:val="center"/>
              <w:rPr>
                <w:rFonts w:hint="eastAsia" w:ascii="宋体" w:hAnsi="宋体" w:eastAsia="宋体" w:cs="宋体"/>
                <w:i w:val="0"/>
                <w:iCs w:val="0"/>
                <w:color w:val="000000"/>
                <w:sz w:val="13"/>
                <w:szCs w:val="13"/>
                <w:u w:val="none"/>
              </w:rPr>
            </w:pP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EBE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3A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1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“三公经费”控制率[计算方法为：（三公经费实际支出数/预算安排数]×100%）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B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F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C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061">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F6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08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E80">
            <w:pPr>
              <w:jc w:val="center"/>
              <w:rPr>
                <w:rFonts w:hint="eastAsia" w:ascii="微软雅黑" w:hAnsi="微软雅黑" w:eastAsia="微软雅黑" w:cs="微软雅黑"/>
                <w:i/>
                <w:iCs/>
                <w:color w:val="000000"/>
                <w:sz w:val="13"/>
                <w:szCs w:val="13"/>
                <w:u w:val="none"/>
              </w:rPr>
            </w:pPr>
          </w:p>
        </w:tc>
      </w:tr>
      <w:tr w14:paraId="55F1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C1C4">
            <w:pPr>
              <w:jc w:val="center"/>
              <w:rPr>
                <w:rFonts w:hint="eastAsia" w:ascii="宋体" w:hAnsi="宋体" w:eastAsia="宋体" w:cs="宋体"/>
                <w:i w:val="0"/>
                <w:iCs w:val="0"/>
                <w:color w:val="000000"/>
                <w:sz w:val="13"/>
                <w:szCs w:val="13"/>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818D">
            <w:pPr>
              <w:jc w:val="center"/>
              <w:rPr>
                <w:rFonts w:hint="eastAsia" w:ascii="宋体" w:hAnsi="宋体" w:eastAsia="宋体" w:cs="宋体"/>
                <w:i w:val="0"/>
                <w:iCs w:val="0"/>
                <w:color w:val="000000"/>
                <w:sz w:val="13"/>
                <w:szCs w:val="13"/>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4D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63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运转保障率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A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8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4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729">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E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14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73B">
            <w:pPr>
              <w:jc w:val="center"/>
              <w:rPr>
                <w:rFonts w:hint="eastAsia" w:ascii="微软雅黑" w:hAnsi="微软雅黑" w:eastAsia="微软雅黑" w:cs="微软雅黑"/>
                <w:i/>
                <w:iCs/>
                <w:color w:val="000000"/>
                <w:sz w:val="13"/>
                <w:szCs w:val="13"/>
                <w:u w:val="none"/>
              </w:rPr>
            </w:pPr>
          </w:p>
        </w:tc>
      </w:tr>
      <w:tr w14:paraId="2FF9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511E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9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9760">
            <w:pPr>
              <w:keepNext w:val="0"/>
              <w:keepLines w:val="0"/>
              <w:widowControl/>
              <w:suppressLineNumbers w:val="0"/>
              <w:jc w:val="righ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5A54">
            <w:pPr>
              <w:rPr>
                <w:rFonts w:hint="eastAsia" w:ascii="宋体" w:hAnsi="宋体" w:eastAsia="宋体" w:cs="宋体"/>
                <w:i w:val="0"/>
                <w:iCs w:val="0"/>
                <w:color w:val="000000"/>
                <w:sz w:val="13"/>
                <w:szCs w:val="13"/>
                <w:u w:val="none"/>
              </w:rPr>
            </w:pPr>
          </w:p>
        </w:tc>
      </w:tr>
      <w:tr w14:paraId="51AA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10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DAD29">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完成了2023年目标任务，自评得分100分。</w:t>
            </w:r>
          </w:p>
        </w:tc>
      </w:tr>
      <w:tr w14:paraId="5685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3A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FD53C6">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无</w:t>
            </w:r>
          </w:p>
        </w:tc>
      </w:tr>
      <w:tr w14:paraId="396A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D3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D9BC74">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无</w:t>
            </w:r>
          </w:p>
        </w:tc>
      </w:tr>
      <w:tr w14:paraId="030B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DDEF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FE0F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财务负责人：吴天勇</w:t>
            </w:r>
          </w:p>
        </w:tc>
      </w:tr>
      <w:tr w14:paraId="663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784B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B6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A7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A5F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51320022R000005969462-追加州级部门编内退休人员一次性退休补贴</w:t>
            </w:r>
          </w:p>
        </w:tc>
      </w:tr>
      <w:tr w14:paraId="5CD9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1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A4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0CFED8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32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35CB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EA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9D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33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E72D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BD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A446">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1BEE">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349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17D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完成了退休人员一次性补贴发放</w:t>
            </w:r>
          </w:p>
        </w:tc>
      </w:tr>
      <w:tr w14:paraId="4E3F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ED36">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5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AAF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发放退休人员一次性补贴</w:t>
            </w:r>
          </w:p>
        </w:tc>
      </w:tr>
      <w:tr w14:paraId="41CA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D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D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F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0F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D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C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43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4F09">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A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3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C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A6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C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DDD7D">
            <w:pPr>
              <w:rPr>
                <w:rFonts w:hint="eastAsia" w:ascii="黑体" w:hAnsi="黑体" w:eastAsia="黑体" w:cs="黑体"/>
                <w:i/>
                <w:iCs/>
                <w:color w:val="000000"/>
                <w:sz w:val="18"/>
                <w:szCs w:val="18"/>
                <w:u w:val="none"/>
              </w:rPr>
            </w:pPr>
          </w:p>
        </w:tc>
      </w:tr>
      <w:tr w14:paraId="0C89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6318">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6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B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E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65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5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9B31">
            <w:pPr>
              <w:rPr>
                <w:rFonts w:hint="eastAsia" w:ascii="黑体" w:hAnsi="黑体" w:eastAsia="黑体" w:cs="黑体"/>
                <w:i/>
                <w:iCs/>
                <w:color w:val="000000"/>
                <w:sz w:val="18"/>
                <w:szCs w:val="18"/>
                <w:u w:val="none"/>
              </w:rPr>
            </w:pPr>
          </w:p>
        </w:tc>
      </w:tr>
      <w:tr w14:paraId="11D6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185A">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F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51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38BB">
            <w:pPr>
              <w:rPr>
                <w:rFonts w:hint="eastAsia" w:ascii="黑体" w:hAnsi="黑体" w:eastAsia="黑体" w:cs="黑体"/>
                <w:i/>
                <w:iCs/>
                <w:color w:val="000000"/>
                <w:sz w:val="18"/>
                <w:szCs w:val="18"/>
                <w:u w:val="none"/>
              </w:rPr>
            </w:pPr>
          </w:p>
        </w:tc>
      </w:tr>
      <w:tr w14:paraId="3CC2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528B">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4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A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2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BB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9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6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9B76">
            <w:pPr>
              <w:rPr>
                <w:rFonts w:hint="eastAsia" w:ascii="黑体" w:hAnsi="黑体" w:eastAsia="黑体" w:cs="黑体"/>
                <w:i/>
                <w:iCs/>
                <w:color w:val="000000"/>
                <w:sz w:val="18"/>
                <w:szCs w:val="18"/>
                <w:u w:val="none"/>
              </w:rPr>
            </w:pPr>
          </w:p>
        </w:tc>
      </w:tr>
      <w:tr w14:paraId="0B9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DD8B">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357">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752">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F5029">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2E8B">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4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9112">
            <w:pPr>
              <w:rPr>
                <w:rFonts w:hint="eastAsia" w:ascii="黑体" w:hAnsi="黑体" w:eastAsia="黑体" w:cs="黑体"/>
                <w:i/>
                <w:iCs/>
                <w:color w:val="000000"/>
                <w:sz w:val="18"/>
                <w:szCs w:val="18"/>
                <w:u w:val="none"/>
              </w:rPr>
            </w:pPr>
          </w:p>
        </w:tc>
      </w:tr>
      <w:tr w14:paraId="25C8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E1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5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7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7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B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6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4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88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7C7A">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9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7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6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C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99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A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B01C">
            <w:pPr>
              <w:jc w:val="center"/>
              <w:rPr>
                <w:rFonts w:hint="eastAsia" w:ascii="微软雅黑" w:hAnsi="微软雅黑" w:eastAsia="微软雅黑" w:cs="微软雅黑"/>
                <w:i/>
                <w:iCs/>
                <w:color w:val="000000"/>
                <w:sz w:val="16"/>
                <w:szCs w:val="16"/>
                <w:u w:val="none"/>
              </w:rPr>
            </w:pPr>
          </w:p>
        </w:tc>
      </w:tr>
      <w:tr w14:paraId="7D6E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70D7">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7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C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6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3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1CB">
            <w:pPr>
              <w:jc w:val="center"/>
              <w:rPr>
                <w:rFonts w:hint="eastAsia" w:ascii="微软雅黑" w:hAnsi="微软雅黑" w:eastAsia="微软雅黑" w:cs="微软雅黑"/>
                <w:i/>
                <w:iCs/>
                <w:color w:val="000000"/>
                <w:sz w:val="16"/>
                <w:szCs w:val="16"/>
                <w:u w:val="none"/>
              </w:rPr>
            </w:pPr>
          </w:p>
        </w:tc>
      </w:tr>
      <w:tr w14:paraId="7392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DF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35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4CF">
            <w:pPr>
              <w:rPr>
                <w:rFonts w:hint="eastAsia" w:ascii="宋体" w:hAnsi="宋体" w:eastAsia="宋体" w:cs="宋体"/>
                <w:i w:val="0"/>
                <w:iCs w:val="0"/>
                <w:color w:val="000000"/>
                <w:sz w:val="18"/>
                <w:szCs w:val="18"/>
                <w:u w:val="none"/>
              </w:rPr>
            </w:pPr>
          </w:p>
        </w:tc>
      </w:tr>
      <w:tr w14:paraId="0B6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130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完成了退休人员一次性补贴发放，自评得分100分。</w:t>
            </w:r>
          </w:p>
        </w:tc>
      </w:tr>
      <w:tr w14:paraId="1EC6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0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65C8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F8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47D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22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0DE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7D68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632E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B59B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6BA466">
        <w:tblPrEx>
          <w:shd w:val="clear" w:color="auto" w:fill="auto"/>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82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95A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36AB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F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42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66A6661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53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40E5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7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E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0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8050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EA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CC93">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5523">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144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追加工资</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9EB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完成了2023年度工资发放</w:t>
            </w:r>
          </w:p>
        </w:tc>
      </w:tr>
      <w:tr w14:paraId="7E47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B4C5">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AEA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工资行政支出不足，追加。</w:t>
            </w:r>
          </w:p>
        </w:tc>
      </w:tr>
      <w:tr w14:paraId="075B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38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5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8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5B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B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A3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ED72">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F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34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8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2C85E">
            <w:pPr>
              <w:rPr>
                <w:rFonts w:hint="eastAsia" w:ascii="黑体" w:hAnsi="黑体" w:eastAsia="黑体" w:cs="黑体"/>
                <w:i/>
                <w:iCs/>
                <w:color w:val="000000"/>
                <w:sz w:val="18"/>
                <w:szCs w:val="18"/>
                <w:u w:val="none"/>
              </w:rPr>
            </w:pPr>
          </w:p>
        </w:tc>
      </w:tr>
      <w:tr w14:paraId="0D05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2182">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1A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8F5C">
            <w:pPr>
              <w:rPr>
                <w:rFonts w:hint="eastAsia" w:ascii="黑体" w:hAnsi="黑体" w:eastAsia="黑体" w:cs="黑体"/>
                <w:i/>
                <w:iCs/>
                <w:color w:val="000000"/>
                <w:sz w:val="18"/>
                <w:szCs w:val="18"/>
                <w:u w:val="none"/>
              </w:rPr>
            </w:pPr>
          </w:p>
        </w:tc>
      </w:tr>
      <w:tr w14:paraId="328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804C">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F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4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5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3D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9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2364">
            <w:pPr>
              <w:rPr>
                <w:rFonts w:hint="eastAsia" w:ascii="黑体" w:hAnsi="黑体" w:eastAsia="黑体" w:cs="黑体"/>
                <w:i/>
                <w:iCs/>
                <w:color w:val="000000"/>
                <w:sz w:val="18"/>
                <w:szCs w:val="18"/>
                <w:u w:val="none"/>
              </w:rPr>
            </w:pPr>
          </w:p>
        </w:tc>
      </w:tr>
      <w:tr w14:paraId="5154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1E2B">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C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0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8F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6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4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BD8A">
            <w:pPr>
              <w:rPr>
                <w:rFonts w:hint="eastAsia" w:ascii="黑体" w:hAnsi="黑体" w:eastAsia="黑体" w:cs="黑体"/>
                <w:i/>
                <w:iCs/>
                <w:color w:val="000000"/>
                <w:sz w:val="18"/>
                <w:szCs w:val="18"/>
                <w:u w:val="none"/>
              </w:rPr>
            </w:pPr>
          </w:p>
        </w:tc>
      </w:tr>
      <w:tr w14:paraId="55B7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7928">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0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3F3">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3EE">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F61F8">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A06">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0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6533">
            <w:pPr>
              <w:rPr>
                <w:rFonts w:hint="eastAsia" w:ascii="黑体" w:hAnsi="黑体" w:eastAsia="黑体" w:cs="黑体"/>
                <w:i/>
                <w:iCs/>
                <w:color w:val="000000"/>
                <w:sz w:val="18"/>
                <w:szCs w:val="18"/>
                <w:u w:val="none"/>
              </w:rPr>
            </w:pPr>
          </w:p>
        </w:tc>
      </w:tr>
      <w:tr w14:paraId="0C5A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E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6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2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B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1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3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02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1F7">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2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6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C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D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5BA">
            <w:pPr>
              <w:jc w:val="center"/>
              <w:rPr>
                <w:rFonts w:hint="eastAsia" w:ascii="微软雅黑" w:hAnsi="微软雅黑" w:eastAsia="微软雅黑" w:cs="微软雅黑"/>
                <w:i/>
                <w:iCs/>
                <w:color w:val="000000"/>
                <w:sz w:val="16"/>
                <w:szCs w:val="16"/>
                <w:u w:val="none"/>
              </w:rPr>
            </w:pPr>
          </w:p>
        </w:tc>
      </w:tr>
      <w:tr w14:paraId="519B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1046">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A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F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8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5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B4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AA9">
            <w:pPr>
              <w:rPr>
                <w:rFonts w:hint="eastAsia" w:ascii="宋体" w:hAnsi="宋体" w:eastAsia="宋体" w:cs="宋体"/>
                <w:i w:val="0"/>
                <w:iCs w:val="0"/>
                <w:color w:val="000000"/>
                <w:sz w:val="18"/>
                <w:szCs w:val="18"/>
                <w:u w:val="none"/>
              </w:rPr>
            </w:pPr>
          </w:p>
        </w:tc>
      </w:tr>
      <w:tr w14:paraId="52B2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226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3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EDA8">
            <w:pPr>
              <w:rPr>
                <w:rFonts w:hint="eastAsia" w:ascii="宋体" w:hAnsi="宋体" w:eastAsia="宋体" w:cs="宋体"/>
                <w:i w:val="0"/>
                <w:iCs w:val="0"/>
                <w:color w:val="000000"/>
                <w:sz w:val="18"/>
                <w:szCs w:val="18"/>
                <w:u w:val="none"/>
              </w:rPr>
            </w:pPr>
          </w:p>
        </w:tc>
      </w:tr>
      <w:tr w14:paraId="2A8B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7D9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完成了2023年工资支出，自查得分100分。</w:t>
            </w:r>
          </w:p>
        </w:tc>
      </w:tr>
      <w:tr w14:paraId="5677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DF26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83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C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8EB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7D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D30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688C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7119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56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FF59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9C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3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CB0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476B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23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59E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290" w:type="dxa"/>
            <w:tcBorders>
              <w:top w:val="nil"/>
              <w:left w:val="nil"/>
              <w:bottom w:val="nil"/>
              <w:right w:val="nil"/>
            </w:tcBorders>
            <w:shd w:val="clear" w:color="auto" w:fill="auto"/>
            <w:vAlign w:val="center"/>
          </w:tcPr>
          <w:p w14:paraId="395DF0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13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79B1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C3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8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6E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146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C6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CE43">
            <w:pP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36B9">
            <w:pPr>
              <w:rPr>
                <w:rFonts w:hint="eastAsia" w:ascii="宋体" w:hAnsi="宋体" w:eastAsia="宋体" w:cs="宋体"/>
                <w:i w:val="0"/>
                <w:iCs w:val="0"/>
                <w:color w:val="000000"/>
                <w:sz w:val="18"/>
                <w:szCs w:val="18"/>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88076">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开展资产清查</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C4C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按照要求完成了单位资产清查</w:t>
            </w:r>
          </w:p>
        </w:tc>
      </w:tr>
      <w:tr w14:paraId="33E1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87DE">
            <w:pP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0F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3B31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2023年度资产清查</w:t>
            </w:r>
          </w:p>
        </w:tc>
      </w:tr>
      <w:tr w14:paraId="57A1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14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4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05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6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D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D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E5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A2DA">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6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12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2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D772">
            <w:pPr>
              <w:rPr>
                <w:rFonts w:hint="eastAsia" w:ascii="黑体" w:hAnsi="黑体" w:eastAsia="黑体" w:cs="黑体"/>
                <w:i/>
                <w:iCs/>
                <w:color w:val="000000"/>
                <w:sz w:val="18"/>
                <w:szCs w:val="18"/>
                <w:u w:val="none"/>
              </w:rPr>
            </w:pPr>
          </w:p>
        </w:tc>
      </w:tr>
      <w:tr w14:paraId="25EA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97C2">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4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6D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A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9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3DD5">
            <w:pPr>
              <w:rPr>
                <w:rFonts w:hint="eastAsia" w:ascii="黑体" w:hAnsi="黑体" w:eastAsia="黑体" w:cs="黑体"/>
                <w:i/>
                <w:iCs/>
                <w:color w:val="000000"/>
                <w:sz w:val="18"/>
                <w:szCs w:val="18"/>
                <w:u w:val="none"/>
              </w:rPr>
            </w:pPr>
          </w:p>
        </w:tc>
      </w:tr>
      <w:tr w14:paraId="764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4EA0">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2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B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FB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9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C7EB">
            <w:pPr>
              <w:rPr>
                <w:rFonts w:hint="eastAsia" w:ascii="黑体" w:hAnsi="黑体" w:eastAsia="黑体" w:cs="黑体"/>
                <w:i/>
                <w:iCs/>
                <w:color w:val="000000"/>
                <w:sz w:val="18"/>
                <w:szCs w:val="18"/>
                <w:u w:val="none"/>
              </w:rPr>
            </w:pPr>
          </w:p>
        </w:tc>
      </w:tr>
      <w:tr w14:paraId="01BB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B65F">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D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2C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DCB5">
            <w:pPr>
              <w:rPr>
                <w:rFonts w:hint="eastAsia" w:ascii="黑体" w:hAnsi="黑体" w:eastAsia="黑体" w:cs="黑体"/>
                <w:i/>
                <w:iCs/>
                <w:color w:val="000000"/>
                <w:sz w:val="18"/>
                <w:szCs w:val="18"/>
                <w:u w:val="none"/>
              </w:rPr>
            </w:pPr>
          </w:p>
        </w:tc>
      </w:tr>
      <w:tr w14:paraId="2197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7A91">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E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01B">
            <w:pPr>
              <w:jc w:val="center"/>
              <w:rPr>
                <w:rFonts w:hint="eastAsia" w:ascii="微软雅黑" w:hAnsi="微软雅黑" w:eastAsia="微软雅黑" w:cs="微软雅黑"/>
                <w:i/>
                <w:iCs/>
                <w:color w:val="000000"/>
                <w:sz w:val="16"/>
                <w:szCs w:val="16"/>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4D41">
            <w:pPr>
              <w:jc w:val="center"/>
              <w:rPr>
                <w:rFonts w:hint="eastAsia" w:ascii="微软雅黑" w:hAnsi="微软雅黑" w:eastAsia="微软雅黑" w:cs="微软雅黑"/>
                <w:i/>
                <w:iCs/>
                <w:color w:val="000000"/>
                <w:sz w:val="16"/>
                <w:szCs w:val="16"/>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4004E">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55EF">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F8EA">
            <w:pPr>
              <w:rPr>
                <w:rFonts w:hint="eastAsia" w:ascii="黑体" w:hAnsi="黑体" w:eastAsia="黑体" w:cs="黑体"/>
                <w:i/>
                <w:iCs/>
                <w:color w:val="000000"/>
                <w:sz w:val="18"/>
                <w:szCs w:val="18"/>
                <w:u w:val="none"/>
              </w:rPr>
            </w:pPr>
          </w:p>
        </w:tc>
      </w:tr>
      <w:tr w14:paraId="3AC2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DB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B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1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A6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9A7A">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A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资产清查率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3D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F10B">
            <w:pPr>
              <w:jc w:val="center"/>
              <w:rPr>
                <w:rFonts w:hint="eastAsia" w:ascii="微软雅黑" w:hAnsi="微软雅黑" w:eastAsia="微软雅黑" w:cs="微软雅黑"/>
                <w:i/>
                <w:iCs/>
                <w:color w:val="000000"/>
                <w:sz w:val="16"/>
                <w:szCs w:val="16"/>
                <w:u w:val="none"/>
              </w:rPr>
            </w:pPr>
          </w:p>
        </w:tc>
      </w:tr>
      <w:tr w14:paraId="2486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D69D">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8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D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7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C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8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1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479">
            <w:pPr>
              <w:rPr>
                <w:rFonts w:hint="eastAsia" w:ascii="宋体" w:hAnsi="宋体" w:eastAsia="宋体" w:cs="宋体"/>
                <w:i w:val="0"/>
                <w:iCs w:val="0"/>
                <w:color w:val="000000"/>
                <w:sz w:val="18"/>
                <w:szCs w:val="18"/>
                <w:u w:val="none"/>
              </w:rPr>
            </w:pPr>
          </w:p>
        </w:tc>
      </w:tr>
      <w:tr w14:paraId="20C6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B2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C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8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FB1">
            <w:pPr>
              <w:rPr>
                <w:rFonts w:hint="eastAsia" w:ascii="宋体" w:hAnsi="宋体" w:eastAsia="宋体" w:cs="宋体"/>
                <w:i w:val="0"/>
                <w:iCs w:val="0"/>
                <w:color w:val="000000"/>
                <w:sz w:val="18"/>
                <w:szCs w:val="18"/>
                <w:u w:val="none"/>
              </w:rPr>
            </w:pPr>
          </w:p>
        </w:tc>
      </w:tr>
      <w:tr w14:paraId="6925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020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完成了单位资产清查</w:t>
            </w:r>
          </w:p>
        </w:tc>
      </w:tr>
      <w:tr w14:paraId="28BA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2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E0BE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05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59ED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3A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F0F58">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项目负责人：高志能</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5F44E">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财务负责人：吴天勇</w:t>
            </w:r>
          </w:p>
        </w:tc>
      </w:tr>
    </w:tbl>
    <w:p w14:paraId="3FCCBB29">
      <w:pPr>
        <w:pStyle w:val="2"/>
        <w:rPr>
          <w:rFonts w:hint="default"/>
          <w:lang w:val="en-US" w:eastAsia="zh-CN"/>
        </w:rPr>
        <w:sectPr>
          <w:pgSz w:w="16838" w:h="11906" w:orient="landscape"/>
          <w:pgMar w:top="283" w:right="567" w:bottom="283" w:left="567" w:header="851" w:footer="992" w:gutter="0"/>
          <w:pgNumType w:start="1"/>
          <w:cols w:space="425" w:num="1"/>
          <w:titlePg/>
          <w:docGrid w:type="lines" w:linePitch="312" w:charSpace="0"/>
        </w:sectPr>
      </w:pPr>
    </w:p>
    <w:p w14:paraId="303E98E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44"/>
          <w:szCs w:val="44"/>
        </w:rPr>
      </w:pPr>
    </w:p>
    <w:p w14:paraId="5AC6D0B4">
      <w:pPr>
        <w:keepNext w:val="0"/>
        <w:keepLines w:val="0"/>
        <w:pageBreakBefore w:val="0"/>
        <w:kinsoku/>
        <w:wordWrap/>
        <w:overflowPunct/>
        <w:topLinePunct w:val="0"/>
        <w:autoSpaceDE/>
        <w:autoSpaceDN/>
        <w:bidi w:val="0"/>
        <w:adjustRightInd/>
        <w:snapToGrid/>
        <w:spacing w:line="560" w:lineRule="exact"/>
        <w:jc w:val="center"/>
        <w:textAlignment w:val="auto"/>
        <w:rPr>
          <w:rStyle w:val="29"/>
          <w:rFonts w:ascii="仿宋" w:hAnsi="仿宋" w:eastAsia="仿宋"/>
          <w:b w:val="0"/>
          <w:bCs w:val="0"/>
          <w:color w:val="333333"/>
          <w:kern w:val="0"/>
          <w:sz w:val="32"/>
          <w:szCs w:val="32"/>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98"/>
      <w:bookmarkEnd w:id="99"/>
      <w:bookmarkEnd w:id="100"/>
      <w:bookmarkEnd w:id="101"/>
    </w:p>
    <w:p w14:paraId="20F67B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19993A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w:t>
      </w:r>
    </w:p>
    <w:p w14:paraId="19709C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2" w:name="_Toc79163637"/>
      <w:bookmarkStart w:id="103" w:name="_Toc79163887"/>
      <w:bookmarkStart w:id="104" w:name="_Toc15396620"/>
      <w:r>
        <w:rPr>
          <w:rFonts w:hint="eastAsia" w:ascii="方正仿宋_GBK" w:hAnsi="方正仿宋_GBK" w:eastAsia="方正仿宋_GBK" w:cs="方正仿宋_GBK"/>
          <w:sz w:val="32"/>
          <w:szCs w:val="32"/>
          <w:lang w:val="en-US" w:eastAsia="zh-CN"/>
        </w:rPr>
        <w:t>二、收入决算表</w:t>
      </w:r>
      <w:bookmarkEnd w:id="102"/>
      <w:bookmarkEnd w:id="103"/>
      <w:bookmarkEnd w:id="104"/>
    </w:p>
    <w:p w14:paraId="465DD0D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5" w:name="_Toc15396621"/>
      <w:bookmarkStart w:id="106" w:name="_Toc79163638"/>
      <w:bookmarkStart w:id="107" w:name="_Toc79163888"/>
      <w:r>
        <w:rPr>
          <w:rFonts w:hint="eastAsia" w:ascii="方正仿宋_GBK" w:hAnsi="方正仿宋_GBK" w:eastAsia="方正仿宋_GBK" w:cs="方正仿宋_GBK"/>
          <w:sz w:val="32"/>
          <w:szCs w:val="32"/>
          <w:lang w:val="en-US" w:eastAsia="zh-CN"/>
        </w:rPr>
        <w:t>三、支出决算表</w:t>
      </w:r>
      <w:bookmarkEnd w:id="105"/>
      <w:bookmarkEnd w:id="106"/>
      <w:bookmarkEnd w:id="107"/>
    </w:p>
    <w:p w14:paraId="62C677C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8" w:name="_Toc15396622"/>
      <w:bookmarkStart w:id="109" w:name="_Toc79163889"/>
      <w:bookmarkStart w:id="110" w:name="_Toc79163639"/>
      <w:r>
        <w:rPr>
          <w:rFonts w:hint="eastAsia" w:ascii="方正仿宋_GBK" w:hAnsi="方正仿宋_GBK" w:eastAsia="方正仿宋_GBK" w:cs="方正仿宋_GBK"/>
          <w:sz w:val="32"/>
          <w:szCs w:val="32"/>
          <w:lang w:val="en-US" w:eastAsia="zh-CN"/>
        </w:rPr>
        <w:t>四、财政拨款收入支出决算总表</w:t>
      </w:r>
      <w:bookmarkEnd w:id="108"/>
      <w:bookmarkEnd w:id="109"/>
      <w:bookmarkEnd w:id="110"/>
    </w:p>
    <w:p w14:paraId="072418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1" w:name="_Toc79163640"/>
      <w:bookmarkStart w:id="112" w:name="_Toc79163890"/>
      <w:bookmarkStart w:id="113" w:name="_Toc15396623"/>
      <w:r>
        <w:rPr>
          <w:rFonts w:hint="eastAsia" w:ascii="方正仿宋_GBK" w:hAnsi="方正仿宋_GBK" w:eastAsia="方正仿宋_GBK" w:cs="方正仿宋_GBK"/>
          <w:sz w:val="32"/>
          <w:szCs w:val="32"/>
          <w:lang w:val="en-US" w:eastAsia="zh-CN"/>
        </w:rPr>
        <w:t>五、财政拨款支出决算明细表</w:t>
      </w:r>
      <w:bookmarkEnd w:id="111"/>
      <w:bookmarkEnd w:id="112"/>
      <w:bookmarkEnd w:id="113"/>
      <w:bookmarkStart w:id="114" w:name="_Toc15396624"/>
    </w:p>
    <w:p w14:paraId="2A4AE65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5" w:name="_Toc79163641"/>
      <w:bookmarkStart w:id="116" w:name="_Toc79163891"/>
      <w:r>
        <w:rPr>
          <w:rFonts w:hint="eastAsia" w:ascii="方正仿宋_GBK" w:hAnsi="方正仿宋_GBK" w:eastAsia="方正仿宋_GBK" w:cs="方正仿宋_GBK"/>
          <w:sz w:val="32"/>
          <w:szCs w:val="32"/>
          <w:lang w:val="en-US" w:eastAsia="zh-CN"/>
        </w:rPr>
        <w:t>六、一般公共预算财政拨款支出决算表</w:t>
      </w:r>
      <w:bookmarkEnd w:id="114"/>
      <w:bookmarkEnd w:id="115"/>
      <w:bookmarkEnd w:id="116"/>
    </w:p>
    <w:p w14:paraId="5449DE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7" w:name="_Toc79163642"/>
      <w:bookmarkStart w:id="118" w:name="_Toc15396625"/>
      <w:bookmarkStart w:id="119" w:name="_Toc79163892"/>
      <w:r>
        <w:rPr>
          <w:rFonts w:hint="eastAsia" w:ascii="方正仿宋_GBK" w:hAnsi="方正仿宋_GBK" w:eastAsia="方正仿宋_GBK" w:cs="方正仿宋_GBK"/>
          <w:sz w:val="32"/>
          <w:szCs w:val="32"/>
          <w:lang w:val="en-US" w:eastAsia="zh-CN"/>
        </w:rPr>
        <w:t>七、一般公共预算财政拨款支出</w:t>
      </w:r>
      <w:bookmarkEnd w:id="117"/>
      <w:bookmarkEnd w:id="118"/>
      <w:bookmarkEnd w:id="119"/>
      <w:r>
        <w:rPr>
          <w:rFonts w:hint="eastAsia" w:ascii="方正仿宋_GBK" w:hAnsi="方正仿宋_GBK" w:eastAsia="方正仿宋_GBK" w:cs="方正仿宋_GBK"/>
          <w:sz w:val="32"/>
          <w:szCs w:val="32"/>
          <w:lang w:val="en-US" w:eastAsia="zh-CN"/>
        </w:rPr>
        <w:t>决算明细表</w:t>
      </w:r>
    </w:p>
    <w:p w14:paraId="7B46715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0" w:name="_Toc79163643"/>
      <w:bookmarkStart w:id="121" w:name="_Toc15396626"/>
      <w:bookmarkStart w:id="122" w:name="_Toc79163893"/>
      <w:r>
        <w:rPr>
          <w:rFonts w:hint="eastAsia" w:ascii="方正仿宋_GBK" w:hAnsi="方正仿宋_GBK" w:eastAsia="方正仿宋_GBK" w:cs="方正仿宋_GBK"/>
          <w:sz w:val="32"/>
          <w:szCs w:val="32"/>
          <w:lang w:val="en-US" w:eastAsia="zh-CN"/>
        </w:rPr>
        <w:t>八、一般公共预算财政拨款基本支出</w:t>
      </w:r>
      <w:bookmarkEnd w:id="120"/>
      <w:bookmarkEnd w:id="121"/>
      <w:bookmarkEnd w:id="122"/>
      <w:r>
        <w:rPr>
          <w:rFonts w:hint="eastAsia" w:ascii="方正仿宋_GBK" w:hAnsi="方正仿宋_GBK" w:eastAsia="方正仿宋_GBK" w:cs="方正仿宋_GBK"/>
          <w:sz w:val="32"/>
          <w:szCs w:val="32"/>
          <w:lang w:val="en-US" w:eastAsia="zh-CN"/>
        </w:rPr>
        <w:t>决算明细表</w:t>
      </w:r>
    </w:p>
    <w:p w14:paraId="732F2D3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3" w:name="_Toc15396627"/>
      <w:bookmarkStart w:id="124" w:name="_Toc79163644"/>
      <w:bookmarkStart w:id="125" w:name="_Toc79163894"/>
      <w:r>
        <w:rPr>
          <w:rFonts w:hint="eastAsia" w:ascii="方正仿宋_GBK" w:hAnsi="方正仿宋_GBK" w:eastAsia="方正仿宋_GBK" w:cs="方正仿宋_GBK"/>
          <w:sz w:val="32"/>
          <w:szCs w:val="32"/>
          <w:lang w:val="en-US" w:eastAsia="zh-CN"/>
        </w:rPr>
        <w:t>九、一般公共预算财政拨款项目支出决算</w:t>
      </w:r>
      <w:bookmarkEnd w:id="123"/>
      <w:bookmarkEnd w:id="124"/>
      <w:bookmarkEnd w:id="125"/>
      <w:r>
        <w:rPr>
          <w:rFonts w:hint="eastAsia" w:ascii="方正仿宋_GBK" w:hAnsi="方正仿宋_GBK" w:eastAsia="方正仿宋_GBK" w:cs="方正仿宋_GBK"/>
          <w:sz w:val="32"/>
          <w:szCs w:val="32"/>
          <w:lang w:val="en-US" w:eastAsia="zh-CN"/>
        </w:rPr>
        <w:t>表</w:t>
      </w:r>
    </w:p>
    <w:p w14:paraId="74B8361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十、</w:t>
      </w:r>
      <w:bookmarkStart w:id="126" w:name="_Toc15396629"/>
      <w:bookmarkStart w:id="127" w:name="_Toc79163896"/>
      <w:bookmarkStart w:id="128" w:name="_Toc79163646"/>
      <w:r>
        <w:rPr>
          <w:rFonts w:hint="eastAsia" w:ascii="方正仿宋_GBK" w:hAnsi="方正仿宋_GBK" w:eastAsia="方正仿宋_GBK" w:cs="方正仿宋_GBK"/>
          <w:sz w:val="32"/>
          <w:szCs w:val="32"/>
          <w:lang w:val="en-US" w:eastAsia="zh-CN"/>
        </w:rPr>
        <w:t>政府性基金预算财政拨款收入支出决算表</w:t>
      </w:r>
      <w:bookmarkEnd w:id="126"/>
      <w:bookmarkEnd w:id="127"/>
      <w:bookmarkEnd w:id="128"/>
    </w:p>
    <w:p w14:paraId="5FCFC56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9" w:name="_Toc15396628"/>
      <w:bookmarkStart w:id="130" w:name="_Toc79163895"/>
      <w:bookmarkStart w:id="131" w:name="_Toc79163645"/>
      <w:r>
        <w:rPr>
          <w:rFonts w:hint="eastAsia" w:ascii="方正仿宋_GBK" w:hAnsi="方正仿宋_GBK" w:eastAsia="方正仿宋_GBK" w:cs="方正仿宋_GBK"/>
          <w:sz w:val="32"/>
          <w:szCs w:val="32"/>
          <w:lang w:val="en-US" w:eastAsia="zh-CN"/>
        </w:rPr>
        <w:t>十一、</w:t>
      </w:r>
      <w:bookmarkEnd w:id="129"/>
      <w:bookmarkEnd w:id="130"/>
      <w:bookmarkEnd w:id="131"/>
      <w:r>
        <w:rPr>
          <w:rFonts w:hint="eastAsia" w:ascii="方正仿宋_GBK" w:hAnsi="方正仿宋_GBK" w:eastAsia="方正仿宋_GBK" w:cs="方正仿宋_GBK"/>
          <w:sz w:val="32"/>
          <w:szCs w:val="32"/>
          <w:lang w:val="en-US" w:eastAsia="zh-CN"/>
        </w:rPr>
        <w:t>国有资本经营预算财政拨款收入支出决算表</w:t>
      </w:r>
    </w:p>
    <w:p w14:paraId="39A4EC9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w:t>
      </w:r>
    </w:p>
    <w:p w14:paraId="3AAB1C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Style w:val="30"/>
          <w:rFonts w:ascii="仿宋" w:hAnsi="仿宋" w:eastAsia="仿宋"/>
          <w:b w:val="0"/>
          <w:bCs w:val="0"/>
        </w:rPr>
      </w:pPr>
      <w:bookmarkStart w:id="132" w:name="_Toc79163647"/>
      <w:bookmarkStart w:id="133" w:name="_Toc79163897"/>
      <w:bookmarkStart w:id="134" w:name="_Toc15396630"/>
      <w:r>
        <w:rPr>
          <w:rFonts w:hint="eastAsia" w:ascii="方正仿宋_GBK" w:hAnsi="方正仿宋_GBK" w:eastAsia="方正仿宋_GBK" w:cs="方正仿宋_GBK"/>
          <w:sz w:val="32"/>
          <w:szCs w:val="32"/>
          <w:lang w:val="en-US" w:eastAsia="zh-CN"/>
        </w:rPr>
        <w:t>十三、</w:t>
      </w:r>
      <w:bookmarkEnd w:id="132"/>
      <w:bookmarkEnd w:id="133"/>
      <w:bookmarkEnd w:id="134"/>
      <w:r>
        <w:rPr>
          <w:rFonts w:hint="eastAsia" w:ascii="方正仿宋_GBK" w:hAnsi="方正仿宋_GBK" w:eastAsia="方正仿宋_GBK" w:cs="方正仿宋_GBK"/>
          <w:sz w:val="32"/>
          <w:szCs w:val="32"/>
          <w:lang w:val="en-US" w:eastAsia="zh-CN"/>
        </w:rPr>
        <w:t>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roma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7E67">
    <w:pPr>
      <w:pStyle w:val="10"/>
      <w:jc w:val="center"/>
    </w:pPr>
    <w:r>
      <w:fldChar w:fldCharType="begin"/>
    </w:r>
    <w:r>
      <w:instrText xml:space="preserve">PAGE   \* MERGEFORMAT</w:instrText>
    </w:r>
    <w:r>
      <w:fldChar w:fldCharType="separate"/>
    </w:r>
    <w:r>
      <w:rPr>
        <w:lang w:val="zh-CN"/>
      </w:rPr>
      <w:t>4</w:t>
    </w:r>
    <w:r>
      <w:rPr>
        <w:lang w:val="zh-CN"/>
      </w:rPr>
      <w:fldChar w:fldCharType="end"/>
    </w:r>
  </w:p>
  <w:p w14:paraId="6893CAA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7E0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66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482531D"/>
    <w:rsid w:val="04DE084C"/>
    <w:rsid w:val="050671D8"/>
    <w:rsid w:val="0518659F"/>
    <w:rsid w:val="08191038"/>
    <w:rsid w:val="089672D2"/>
    <w:rsid w:val="096F33BD"/>
    <w:rsid w:val="09D37802"/>
    <w:rsid w:val="09FC7E0D"/>
    <w:rsid w:val="0A2032A3"/>
    <w:rsid w:val="0B7D3076"/>
    <w:rsid w:val="0C395F49"/>
    <w:rsid w:val="0D0116D0"/>
    <w:rsid w:val="0D506114"/>
    <w:rsid w:val="0DDE09BF"/>
    <w:rsid w:val="0DE453A5"/>
    <w:rsid w:val="0DEF3E9B"/>
    <w:rsid w:val="0E12244E"/>
    <w:rsid w:val="0E1C42D0"/>
    <w:rsid w:val="0EA16002"/>
    <w:rsid w:val="0F5E473F"/>
    <w:rsid w:val="10C055FF"/>
    <w:rsid w:val="118107EC"/>
    <w:rsid w:val="12BC165D"/>
    <w:rsid w:val="145357AB"/>
    <w:rsid w:val="14B02E65"/>
    <w:rsid w:val="14C05E21"/>
    <w:rsid w:val="156055EB"/>
    <w:rsid w:val="15F843DB"/>
    <w:rsid w:val="161F48BF"/>
    <w:rsid w:val="16BB723D"/>
    <w:rsid w:val="16F25B30"/>
    <w:rsid w:val="18096704"/>
    <w:rsid w:val="19163526"/>
    <w:rsid w:val="19CF615F"/>
    <w:rsid w:val="1AA1615D"/>
    <w:rsid w:val="1B3C4BC5"/>
    <w:rsid w:val="1BA721E6"/>
    <w:rsid w:val="1BA80096"/>
    <w:rsid w:val="1CDA2B3F"/>
    <w:rsid w:val="1D155CEE"/>
    <w:rsid w:val="1D996245"/>
    <w:rsid w:val="1E2B474F"/>
    <w:rsid w:val="20280331"/>
    <w:rsid w:val="2032334E"/>
    <w:rsid w:val="209115EF"/>
    <w:rsid w:val="20C92E70"/>
    <w:rsid w:val="21086483"/>
    <w:rsid w:val="215E41A5"/>
    <w:rsid w:val="22BA1E25"/>
    <w:rsid w:val="240371BF"/>
    <w:rsid w:val="243A1C5B"/>
    <w:rsid w:val="245855D0"/>
    <w:rsid w:val="2485269F"/>
    <w:rsid w:val="24865FCE"/>
    <w:rsid w:val="252600C3"/>
    <w:rsid w:val="256C0D8A"/>
    <w:rsid w:val="25E6454D"/>
    <w:rsid w:val="26581F7D"/>
    <w:rsid w:val="26CB6196"/>
    <w:rsid w:val="274E6044"/>
    <w:rsid w:val="27B60C2A"/>
    <w:rsid w:val="27E616CD"/>
    <w:rsid w:val="29FD04D3"/>
    <w:rsid w:val="2A692312"/>
    <w:rsid w:val="2AC507FE"/>
    <w:rsid w:val="2B0731DF"/>
    <w:rsid w:val="2B245605"/>
    <w:rsid w:val="2BB1749B"/>
    <w:rsid w:val="2C7F4FB0"/>
    <w:rsid w:val="2CC61A6F"/>
    <w:rsid w:val="2DE905B3"/>
    <w:rsid w:val="2E814A53"/>
    <w:rsid w:val="2E9E3F14"/>
    <w:rsid w:val="2EA300B9"/>
    <w:rsid w:val="2EE54F6B"/>
    <w:rsid w:val="30BC4C8B"/>
    <w:rsid w:val="30C715C5"/>
    <w:rsid w:val="314E2254"/>
    <w:rsid w:val="319F7F4E"/>
    <w:rsid w:val="322B5232"/>
    <w:rsid w:val="35440633"/>
    <w:rsid w:val="360851FA"/>
    <w:rsid w:val="38595E25"/>
    <w:rsid w:val="394B34B2"/>
    <w:rsid w:val="3A156F9A"/>
    <w:rsid w:val="3A1D5FB8"/>
    <w:rsid w:val="3A7F5AB8"/>
    <w:rsid w:val="3B003499"/>
    <w:rsid w:val="3B6A75F8"/>
    <w:rsid w:val="3B777610"/>
    <w:rsid w:val="3C997092"/>
    <w:rsid w:val="3CAA4150"/>
    <w:rsid w:val="3CDE204C"/>
    <w:rsid w:val="3D624A2B"/>
    <w:rsid w:val="3D857F39"/>
    <w:rsid w:val="3D884F88"/>
    <w:rsid w:val="3D8F631C"/>
    <w:rsid w:val="3F5D6059"/>
    <w:rsid w:val="3F631981"/>
    <w:rsid w:val="3F821E9D"/>
    <w:rsid w:val="3F934AA5"/>
    <w:rsid w:val="3FB252D5"/>
    <w:rsid w:val="401F0977"/>
    <w:rsid w:val="402257AD"/>
    <w:rsid w:val="406960D0"/>
    <w:rsid w:val="41272213"/>
    <w:rsid w:val="41724928"/>
    <w:rsid w:val="41933D8D"/>
    <w:rsid w:val="43280AD2"/>
    <w:rsid w:val="43C970F3"/>
    <w:rsid w:val="4490163B"/>
    <w:rsid w:val="4532203E"/>
    <w:rsid w:val="45BC40E0"/>
    <w:rsid w:val="46751230"/>
    <w:rsid w:val="47252303"/>
    <w:rsid w:val="47406FA6"/>
    <w:rsid w:val="481E61EC"/>
    <w:rsid w:val="487C4E25"/>
    <w:rsid w:val="4A2D4058"/>
    <w:rsid w:val="4B180FF0"/>
    <w:rsid w:val="4CCC5904"/>
    <w:rsid w:val="4D666CDC"/>
    <w:rsid w:val="4DAC12CB"/>
    <w:rsid w:val="4ECE2238"/>
    <w:rsid w:val="4F263B4E"/>
    <w:rsid w:val="506A16C6"/>
    <w:rsid w:val="5138303C"/>
    <w:rsid w:val="517F614B"/>
    <w:rsid w:val="51B274A4"/>
    <w:rsid w:val="53C932DB"/>
    <w:rsid w:val="53D52BFF"/>
    <w:rsid w:val="540D4E01"/>
    <w:rsid w:val="541C2DB0"/>
    <w:rsid w:val="543A69AF"/>
    <w:rsid w:val="548C0C21"/>
    <w:rsid w:val="54A430B8"/>
    <w:rsid w:val="553C53A5"/>
    <w:rsid w:val="563128D5"/>
    <w:rsid w:val="56832FFF"/>
    <w:rsid w:val="58102F39"/>
    <w:rsid w:val="594C74B7"/>
    <w:rsid w:val="5B094ED8"/>
    <w:rsid w:val="5B90510E"/>
    <w:rsid w:val="5BF26DDE"/>
    <w:rsid w:val="5BFB6BED"/>
    <w:rsid w:val="5D811597"/>
    <w:rsid w:val="5F4F15F0"/>
    <w:rsid w:val="5FFD034E"/>
    <w:rsid w:val="60D663E0"/>
    <w:rsid w:val="60D8171E"/>
    <w:rsid w:val="63043B0F"/>
    <w:rsid w:val="6324615B"/>
    <w:rsid w:val="64433A80"/>
    <w:rsid w:val="64CE3260"/>
    <w:rsid w:val="6556346D"/>
    <w:rsid w:val="65B74B50"/>
    <w:rsid w:val="6756781B"/>
    <w:rsid w:val="68283674"/>
    <w:rsid w:val="685518B1"/>
    <w:rsid w:val="68995A49"/>
    <w:rsid w:val="690E11A4"/>
    <w:rsid w:val="69212F64"/>
    <w:rsid w:val="6942096B"/>
    <w:rsid w:val="69C42264"/>
    <w:rsid w:val="69DF2DDC"/>
    <w:rsid w:val="6AD40F03"/>
    <w:rsid w:val="6B7369F1"/>
    <w:rsid w:val="6BE05E86"/>
    <w:rsid w:val="6C4A05C8"/>
    <w:rsid w:val="6CA95C31"/>
    <w:rsid w:val="6CDF2E0F"/>
    <w:rsid w:val="6D273BAE"/>
    <w:rsid w:val="6D440686"/>
    <w:rsid w:val="6D973F86"/>
    <w:rsid w:val="6DA96D84"/>
    <w:rsid w:val="6FE67CAC"/>
    <w:rsid w:val="701D6B5F"/>
    <w:rsid w:val="70E15C36"/>
    <w:rsid w:val="726A3BE1"/>
    <w:rsid w:val="72734D90"/>
    <w:rsid w:val="73DE4104"/>
    <w:rsid w:val="74262C8B"/>
    <w:rsid w:val="7435005F"/>
    <w:rsid w:val="76222297"/>
    <w:rsid w:val="76791245"/>
    <w:rsid w:val="76B83D65"/>
    <w:rsid w:val="76FC1F87"/>
    <w:rsid w:val="77145B38"/>
    <w:rsid w:val="780A2D7F"/>
    <w:rsid w:val="78443DC6"/>
    <w:rsid w:val="78E45022"/>
    <w:rsid w:val="79751067"/>
    <w:rsid w:val="79F43EFB"/>
    <w:rsid w:val="7AF16E13"/>
    <w:rsid w:val="7BD37FC7"/>
    <w:rsid w:val="7C240B22"/>
    <w:rsid w:val="7CE617A9"/>
    <w:rsid w:val="7DB45FD4"/>
    <w:rsid w:val="7DCF1A4F"/>
    <w:rsid w:val="7E0F6C4C"/>
    <w:rsid w:val="7E3D0615"/>
    <w:rsid w:val="7EFD0CA2"/>
    <w:rsid w:val="7F90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Normal Indent"/>
    <w:basedOn w:val="1"/>
    <w:qFormat/>
    <w:uiPriority w:val="0"/>
    <w:pPr>
      <w:spacing w:line="440" w:lineRule="exact"/>
      <w:ind w:firstLine="200" w:firstLineChars="200"/>
    </w:pPr>
  </w:style>
  <w:style w:type="paragraph" w:styleId="8">
    <w:name w:val="Body Text"/>
    <w:basedOn w:val="1"/>
    <w:link w:val="38"/>
    <w:qFormat/>
    <w:uiPriority w:val="99"/>
    <w:pPr>
      <w:spacing w:beforeLines="30"/>
    </w:pPr>
    <w:rPr>
      <w:rFonts w:ascii="仿宋_GB2312" w:eastAsia="仿宋_GB2312"/>
      <w:kern w:val="0"/>
      <w:sz w:val="24"/>
      <w:szCs w:val="20"/>
    </w:rPr>
  </w:style>
  <w:style w:type="paragraph" w:styleId="9">
    <w:name w:val="Body Text Indent"/>
    <w:basedOn w:val="1"/>
    <w:next w:val="10"/>
    <w:qFormat/>
    <w:uiPriority w:val="99"/>
    <w:pPr>
      <w:ind w:firstLine="1380"/>
    </w:pPr>
    <w:rPr>
      <w:rFonts w:ascii="Times New Roman" w:hAnsi="Times New Roman"/>
      <w:b/>
      <w:bCs/>
      <w:sz w:val="36"/>
    </w:rPr>
  </w:style>
  <w:style w:type="paragraph" w:styleId="10">
    <w:name w:val="footer"/>
    <w:basedOn w:val="1"/>
    <w:link w:val="37"/>
    <w:qFormat/>
    <w:uiPriority w:val="99"/>
    <w:pPr>
      <w:tabs>
        <w:tab w:val="center" w:pos="4153"/>
        <w:tab w:val="right" w:pos="8306"/>
      </w:tabs>
      <w:snapToGrid w:val="0"/>
      <w:jc w:val="left"/>
    </w:pPr>
    <w:rPr>
      <w:rFonts w:ascii="Calibri" w:hAnsi="Calibri"/>
      <w:kern w:val="0"/>
      <w:sz w:val="18"/>
      <w:szCs w:val="20"/>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Plain Text"/>
    <w:basedOn w:val="1"/>
    <w:qFormat/>
    <w:uiPriority w:val="0"/>
    <w:rPr>
      <w:rFonts w:ascii="宋体" w:hAnsi="Courier New" w:cs="Courier New"/>
      <w:szCs w:val="21"/>
    </w:rPr>
  </w:style>
  <w:style w:type="paragraph" w:styleId="14">
    <w:name w:val="toc 8"/>
    <w:basedOn w:val="1"/>
    <w:next w:val="1"/>
    <w:unhideWhenUsed/>
    <w:qFormat/>
    <w:uiPriority w:val="39"/>
    <w:pPr>
      <w:ind w:left="1470"/>
      <w:jc w:val="left"/>
    </w:pPr>
    <w:rPr>
      <w:rFonts w:asciiTheme="minorHAnsi" w:eastAsiaTheme="minorHAnsi"/>
      <w:sz w:val="18"/>
      <w:szCs w:val="18"/>
    </w:rPr>
  </w:style>
  <w:style w:type="paragraph" w:styleId="15">
    <w:name w:val="Balloon Text"/>
    <w:basedOn w:val="1"/>
    <w:link w:val="33"/>
    <w:semiHidden/>
    <w:unhideWhenUsed/>
    <w:qFormat/>
    <w:uiPriority w:val="99"/>
    <w:rPr>
      <w:sz w:val="18"/>
      <w:szCs w:val="18"/>
    </w:rPr>
  </w:style>
  <w:style w:type="paragraph" w:styleId="16">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9"/>
    <w:next w:val="13"/>
    <w:qFormat/>
    <w:uiPriority w:val="0"/>
    <w:pPr>
      <w:ind w:firstLine="200" w:firstLineChars="200"/>
    </w:p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character" w:customStyle="1" w:styleId="29">
    <w:name w:val="标题 1 Char"/>
    <w:basedOn w:val="25"/>
    <w:link w:val="3"/>
    <w:qFormat/>
    <w:locked/>
    <w:uiPriority w:val="9"/>
    <w:rPr>
      <w:rFonts w:ascii="Times New Roman" w:hAnsi="Times New Roman" w:cs="Times New Roman"/>
      <w:b/>
      <w:bCs/>
      <w:kern w:val="44"/>
      <w:sz w:val="44"/>
      <w:szCs w:val="44"/>
    </w:rPr>
  </w:style>
  <w:style w:type="character" w:customStyle="1" w:styleId="30">
    <w:name w:val="标题 2 Char"/>
    <w:basedOn w:val="25"/>
    <w:link w:val="4"/>
    <w:qFormat/>
    <w:locked/>
    <w:uiPriority w:val="9"/>
    <w:rPr>
      <w:rFonts w:ascii="Cambria" w:hAnsi="Cambria" w:eastAsia="宋体" w:cs="Times New Roman"/>
      <w:b/>
      <w:bCs/>
      <w:kern w:val="2"/>
      <w:sz w:val="32"/>
      <w:szCs w:val="32"/>
    </w:rPr>
  </w:style>
  <w:style w:type="character" w:customStyle="1" w:styleId="31">
    <w:name w:val="标题 3 Char"/>
    <w:basedOn w:val="25"/>
    <w:link w:val="5"/>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5"/>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6"/>
    <w:semiHidden/>
    <w:qFormat/>
    <w:locked/>
    <w:uiPriority w:val="99"/>
    <w:rPr>
      <w:sz w:val="18"/>
    </w:rPr>
  </w:style>
  <w:style w:type="character" w:customStyle="1" w:styleId="37">
    <w:name w:val="页脚 Char"/>
    <w:link w:val="10"/>
    <w:qFormat/>
    <w:locked/>
    <w:uiPriority w:val="99"/>
    <w:rPr>
      <w:sz w:val="18"/>
    </w:rPr>
  </w:style>
  <w:style w:type="character" w:customStyle="1" w:styleId="38">
    <w:name w:val="正文文本 Char"/>
    <w:link w:val="8"/>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4">
    <w:name w:val="List Paragraph"/>
    <w:basedOn w:val="1"/>
    <w:qFormat/>
    <w:uiPriority w:val="34"/>
    <w:pPr>
      <w:ind w:firstLine="420" w:firstLineChars="200"/>
    </w:pPr>
  </w:style>
  <w:style w:type="paragraph" w:customStyle="1" w:styleId="45">
    <w:name w:val="列出段落1"/>
    <w:basedOn w:val="1"/>
    <w:qFormat/>
    <w:uiPriority w:val="34"/>
    <w:pPr>
      <w:ind w:firstLine="420" w:firstLineChars="200"/>
    </w:pPr>
  </w:style>
  <w:style w:type="paragraph" w:customStyle="1" w:styleId="46">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年度收入支出决算总计变动情况图</a:t>
            </a:r>
          </a:p>
        </c:rich>
      </c:tx>
      <c:layout>
        <c:manualLayout>
          <c:xMode val="edge"/>
          <c:yMode val="edge"/>
          <c:x val="0.240097619190585"/>
          <c:y val="0.0348870146403565"/>
        </c:manualLayout>
      </c:layout>
      <c:overlay val="0"/>
      <c:spPr>
        <a:noFill/>
        <a:ln>
          <a:noFill/>
        </a:ln>
        <a:effectLst/>
      </c:spPr>
    </c:title>
    <c:autoTitleDeleted val="0"/>
    <c:plotArea>
      <c:layout>
        <c:manualLayout>
          <c:layoutTarget val="inner"/>
          <c:xMode val="edge"/>
          <c:yMode val="edge"/>
          <c:x val="0.216806521217933"/>
          <c:y val="0.136413212838891"/>
          <c:w val="0.779597218892352"/>
          <c:h val="0.745699594889374"/>
        </c:manualLayout>
      </c:layout>
      <c:barChart>
        <c:barDir val="col"/>
        <c:grouping val="clustered"/>
        <c:varyColors val="0"/>
        <c:ser>
          <c:idx val="0"/>
          <c:order val="0"/>
          <c:tx>
            <c:strRef>
              <c:f>Sheet1!$B$1</c:f>
              <c:strCache>
                <c:ptCount val="1"/>
                <c:pt idx="0">
                  <c:v>2023年收入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326.23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Sheet1!$B$2</c:f>
              <c:numCache>
                <c:formatCode>General</c:formatCode>
                <c:ptCount val="1"/>
                <c:pt idx="0">
                  <c:v>326.23</c:v>
                </c:pt>
              </c:numCache>
            </c:numRef>
          </c:val>
        </c:ser>
        <c:ser>
          <c:idx val="1"/>
          <c:order val="1"/>
          <c:tx>
            <c:strRef>
              <c:f>Sheet1!$C$1</c:f>
              <c:strCache>
                <c:ptCount val="1"/>
                <c:pt idx="0">
                  <c:v>2023年支出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326.23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Sheet1!$C$2</c:f>
              <c:numCache>
                <c:formatCode>General</c:formatCode>
                <c:ptCount val="1"/>
                <c:pt idx="0">
                  <c:v>326.23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7ac572-3f24-4728-ba57-3c411923ed3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2023</a:t>
            </a:r>
            <a:r>
              <a:rPr altLang="en-US"/>
              <a:t>年度收入决算结构图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4"/>
              <c:delete val="1"/>
            </c:dLbl>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9b96659e-41f1-4c4e-96e2-27b597869eb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rPr altLang="en-US"/>
              <a:t>年度</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2022支出决算结构图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99783251818832"/>
                  <c:y val="0.1370242028028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63.2</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28927802621082"/>
                  <c:y val="-0.20341045873500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36.8</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52740560292326"/>
                      <c:h val="0.0527251184834123"/>
                    </c:manualLayout>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0.5639</c:v>
                </c:pt>
                <c:pt idx="1">
                  <c:v>0.4361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557334-1dd6-425e-89af-20947a0113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年度收入、决算总计变动图</a:t>
            </a:r>
          </a:p>
        </c:rich>
      </c:tx>
      <c:layout>
        <c:manualLayout>
          <c:xMode val="edge"/>
          <c:yMode val="edge"/>
          <c:x val="0.224633522727273"/>
          <c:y val="0.0301145038167939"/>
        </c:manualLayout>
      </c:layout>
      <c:overlay val="0"/>
      <c:spPr>
        <a:noFill/>
        <a:ln>
          <a:noFill/>
        </a:ln>
        <a:effectLst/>
      </c:spPr>
    </c:title>
    <c:autoTitleDeleted val="0"/>
    <c:plotArea>
      <c:layout>
        <c:manualLayout>
          <c:layoutTarget val="inner"/>
          <c:xMode val="edge"/>
          <c:yMode val="edge"/>
          <c:x val="0.08195"/>
          <c:y val="0.123920922570017"/>
          <c:w val="0.9143"/>
          <c:h val="0.6214"/>
        </c:manualLayout>
      </c:layout>
      <c:barChart>
        <c:barDir val="col"/>
        <c:grouping val="clustered"/>
        <c:varyColors val="0"/>
        <c:ser>
          <c:idx val="0"/>
          <c:order val="0"/>
          <c:tx>
            <c:strRef>
              <c:f>Sheet1!$B$1</c:f>
              <c:strCache>
                <c:ptCount val="1"/>
                <c:pt idx="0">
                  <c:v>2023年收入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326.23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Sheet1!$B$2</c:f>
              <c:numCache>
                <c:formatCode>General</c:formatCode>
                <c:ptCount val="1"/>
                <c:pt idx="0">
                  <c:v>326.23</c:v>
                </c:pt>
              </c:numCache>
            </c:numRef>
          </c:val>
        </c:ser>
        <c:ser>
          <c:idx val="1"/>
          <c:order val="1"/>
          <c:tx>
            <c:strRef>
              <c:f>Sheet1!$C$1</c:f>
              <c:strCache>
                <c:ptCount val="1"/>
                <c:pt idx="0">
                  <c:v>2023年支出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326.23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Sheet1!$C$2</c:f>
              <c:numCache>
                <c:formatCode>General</c:formatCode>
                <c:ptCount val="1"/>
                <c:pt idx="0">
                  <c:v>326.23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f13f6b-da56-4a11-8709-7dc17587fe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lang="en-US" altLang="zh-CN" sz="1200"/>
              <a:t>2023</a:t>
            </a:r>
            <a:r>
              <a:rPr altLang="en-US" sz="1200"/>
              <a:t>年度</a:t>
            </a:r>
            <a:r>
              <a:rPr sz="1200"/>
              <a:t>一般公共预算财政拨款支出决算变动情况图</a:t>
            </a:r>
            <a:endParaRPr lang="en-US" altLang="zh-CN" sz="1200"/>
          </a:p>
        </c:rich>
      </c:tx>
      <c:layout>
        <c:manualLayout>
          <c:xMode val="edge"/>
          <c:yMode val="edge"/>
          <c:x val="0.154647878424898"/>
          <c:y val="0.00647109577221743"/>
        </c:manualLayout>
      </c:layout>
      <c:overlay val="0"/>
      <c:spPr>
        <a:noFill/>
        <a:ln>
          <a:noFill/>
        </a:ln>
        <a:effectLst/>
      </c:spPr>
    </c:title>
    <c:autoTitleDeleted val="0"/>
    <c:plotArea>
      <c:layout>
        <c:manualLayout>
          <c:layoutTarget val="inner"/>
          <c:xMode val="edge"/>
          <c:yMode val="edge"/>
          <c:x val="0.074064930255524"/>
          <c:y val="0.0945858498705781"/>
          <c:w val="0.889519812368843"/>
          <c:h val="0.812014667817084"/>
        </c:manualLayout>
      </c:layout>
      <c:barChart>
        <c:barDir val="col"/>
        <c:grouping val="clustered"/>
        <c:varyColors val="0"/>
        <c:ser>
          <c:idx val="0"/>
          <c:order val="0"/>
          <c:tx>
            <c:strRef>
              <c:f>Sheet1!$B$1</c:f>
              <c:strCache>
                <c:ptCount val="1"/>
                <c:pt idx="0">
                  <c:v>2022年支出</c:v>
                </c:pt>
              </c:strCache>
            </c:strRef>
          </c:tx>
          <c:spPr>
            <a:solidFill>
              <a:schemeClr val="accent1"/>
            </a:solidFill>
            <a:ln>
              <a:noFill/>
            </a:ln>
            <a:effectLst/>
          </c:spPr>
          <c:invertIfNegative val="0"/>
          <c:dLbls>
            <c:dLbl>
              <c:idx val="0"/>
              <c:layout>
                <c:manualLayout>
                  <c:x val="-0.000180504828865459"/>
                  <c:y val="0.011636570644029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336.74</a:t>
                    </a:r>
                    <a:endParaRPr sz="1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336.74</c:v>
                </c:pt>
              </c:numCache>
            </c:numRef>
          </c:val>
        </c:ser>
        <c:ser>
          <c:idx val="1"/>
          <c:order val="1"/>
          <c:tx>
            <c:strRef>
              <c:f>Sheet1!$C$1</c:f>
              <c:strCache>
                <c:ptCount val="1"/>
                <c:pt idx="0">
                  <c:v>2023年支出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326.23</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326.23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36995432662634"/>
          <c:y val="0.921268334771355"/>
          <c:w val="0.323787186767066"/>
          <c:h val="0.068809318377912"/>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e9754c-7d00-41ee-a7fe-b31f8a645be9}"/>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年度</a:t>
            </a:r>
            <a:r>
              <a:rPr b="1"/>
              <a:t>一般公共预算财政拨款支出决算结构图</a:t>
            </a:r>
            <a:endParaRPr b="1"/>
          </a:p>
        </c:rich>
      </c:tx>
      <c:layout>
        <c:manualLayout>
          <c:xMode val="edge"/>
          <c:yMode val="edge"/>
          <c:x val="0.154096385542169"/>
          <c:y val="0.00865800865800866"/>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49308074212009"/>
                  <c:y val="-0.046620201593301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72513077806248"/>
                  <c:y val="0.14617724291503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75"/>
                      <c:h val="0.162542182227222"/>
                    </c:manualLayout>
                  </c15:layout>
                </c:ext>
              </c:extLst>
            </c:dLbl>
            <c:dLbl>
              <c:idx val="2"/>
              <c:layout>
                <c:manualLayout>
                  <c:x val="-0.0377683632611366"/>
                  <c:y val="-0.197948693107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9114122983802"/>
                  <c:y val="0.00603533831137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0.093</c:v>
                </c:pt>
                <c:pt idx="1">
                  <c:v>0.038</c:v>
                </c:pt>
                <c:pt idx="2">
                  <c:v>0.825</c:v>
                </c:pt>
                <c:pt idx="3">
                  <c:v>0.044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27137b-5b6d-431c-be60-125871883c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年度</a:t>
            </a:r>
            <a:r>
              <a:rPr lang="en-US" altLang="zh-CN" b="1"/>
              <a:t>“</a:t>
            </a:r>
            <a:r>
              <a:rPr altLang="en-US" b="1"/>
              <a:t>三公</a:t>
            </a:r>
            <a:r>
              <a:rPr lang="en-US" altLang="zh-CN" b="1"/>
              <a:t>”</a:t>
            </a:r>
            <a:r>
              <a:rPr altLang="en-US" b="1"/>
              <a:t>经费财政拨款支出结构图</a:t>
            </a:r>
            <a:endParaRPr lang="en-US" altLang="zh-CN" b="1"/>
          </a:p>
        </c:rich>
      </c:tx>
      <c:layout>
        <c:manualLayout>
          <c:xMode val="edge"/>
          <c:yMode val="edge"/>
          <c:x val="0.183608044689354"/>
          <c:y val="0.0274277938300552"/>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74308074212009"/>
                  <c:y val="0.063053589182851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436501776133959"/>
                  <c:y val="0.060790944267360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09119534940051"/>
                      <c:h val="0.0489554758387846"/>
                    </c:manualLayout>
                  </c15:layout>
                </c:ext>
              </c:extLst>
            </c:dLbl>
            <c:dLbl>
              <c:idx val="2"/>
              <c:layout>
                <c:manualLayout>
                  <c:x val="0.116646072974784"/>
                  <c:y val="0.01167925722518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9816293420435"/>
                  <c:y val="-0.0129560100743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公务用车运行费支出</c:v>
                </c:pt>
                <c:pt idx="1">
                  <c:v>公务接待费支出</c:v>
                </c:pt>
                <c:pt idx="2">
                  <c:v>公务用车购置费支出</c:v>
                </c:pt>
                <c:pt idx="3">
                  <c:v>因公出国（境）费用支出</c:v>
                </c:pt>
              </c:strCache>
            </c:strRef>
          </c:cat>
          <c:val>
            <c:numRef>
              <c:f>Sheet1!$B$2:$B$5</c:f>
              <c:numCache>
                <c:formatCode>0.00%</c:formatCode>
                <c:ptCount val="4"/>
                <c:pt idx="0">
                  <c:v>0.911</c:v>
                </c:pt>
                <c:pt idx="1">
                  <c:v>0.089</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f34bc9-ae19-4936-b941-a1a877294e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5729</Words>
  <Characters>7370</Characters>
  <Lines>21</Lines>
  <Paragraphs>28</Paragraphs>
  <TotalTime>47</TotalTime>
  <ScaleCrop>false</ScaleCrop>
  <LinksUpToDate>false</LinksUpToDate>
  <CharactersWithSpaces>7393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一个笨蛋</cp:lastModifiedBy>
  <cp:lastPrinted>2024-09-09T06:47:00Z</cp:lastPrinted>
  <dcterms:modified xsi:type="dcterms:W3CDTF">2026-05-19T08:54:53Z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17C4AE6877174A4385D2A3F50B3B1A7D_13</vt:lpwstr>
  </property>
  <property fmtid="{D5CDD505-2E9C-101B-9397-08002B2CF9AE}" pid="4" name="KSOTemplateDocerSaveRecord">
    <vt:lpwstr>eyJoZGlkIjoiYjllZGNkZWEzYjg0NDNmNTQ5MjkzNjk0ODlhNmVkYzAiLCJ1c2VySWQiOiI0MTAxMDQ4MDkifQ==</vt:lpwstr>
  </property>
</Properties>
</file>