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cs="Times New Roman"/>
          <w:sz w:val="44"/>
          <w:szCs w:val="44"/>
        </w:rPr>
      </w:pPr>
    </w:p>
    <w:p>
      <w:pPr>
        <w:rPr>
          <w:rFonts w:ascii="黑体" w:hAnsi="黑体" w:eastAsia="黑体" w:cs="Times New Roman"/>
          <w:sz w:val="44"/>
          <w:szCs w:val="44"/>
        </w:rPr>
      </w:pPr>
    </w:p>
    <w:p>
      <w:pPr>
        <w:rPr>
          <w:rFonts w:ascii="黑体" w:hAnsi="黑体" w:eastAsia="黑体" w:cs="Times New Roman"/>
          <w:sz w:val="44"/>
          <w:szCs w:val="44"/>
        </w:rPr>
      </w:pPr>
    </w:p>
    <w:p>
      <w:pPr>
        <w:jc w:val="center"/>
        <w:rPr>
          <w:rFonts w:ascii="黑体" w:hAnsi="黑体" w:eastAsia="黑体" w:cs="Times New Roman"/>
          <w:sz w:val="72"/>
          <w:szCs w:val="72"/>
        </w:rPr>
      </w:pPr>
      <w:r>
        <w:rPr>
          <w:rFonts w:hint="eastAsia" w:ascii="黑体" w:hAnsi="黑体" w:eastAsia="黑体" w:cs="黑体"/>
          <w:sz w:val="72"/>
          <w:szCs w:val="72"/>
        </w:rPr>
        <w:t>阿坝州理县生态环境局</w:t>
      </w:r>
      <w:r>
        <w:rPr>
          <w:rFonts w:ascii="黑体" w:hAnsi="黑体" w:eastAsia="黑体" w:cs="黑体"/>
          <w:sz w:val="72"/>
          <w:szCs w:val="72"/>
        </w:rPr>
        <w:t>202</w:t>
      </w:r>
      <w:r>
        <w:rPr>
          <w:rFonts w:hint="eastAsia" w:ascii="黑体" w:hAnsi="黑体" w:eastAsia="黑体" w:cs="黑体"/>
          <w:sz w:val="72"/>
          <w:szCs w:val="72"/>
          <w:lang w:val="en-US" w:eastAsia="zh-CN"/>
        </w:rPr>
        <w:t>4</w:t>
      </w:r>
      <w:r>
        <w:rPr>
          <w:rFonts w:ascii="黑体" w:hAnsi="黑体" w:eastAsia="黑体" w:cs="黑体"/>
          <w:sz w:val="72"/>
          <w:szCs w:val="72"/>
        </w:rPr>
        <w:t>年</w:t>
      </w:r>
      <w:r>
        <w:rPr>
          <w:rFonts w:hint="eastAsia" w:ascii="黑体" w:hAnsi="黑体" w:eastAsia="黑体" w:cs="黑体"/>
          <w:sz w:val="72"/>
          <w:szCs w:val="72"/>
        </w:rPr>
        <w:t>部门预算</w:t>
      </w:r>
    </w:p>
    <w:p>
      <w:pPr>
        <w:jc w:val="center"/>
        <w:rPr>
          <w:rFonts w:ascii="黑体" w:hAnsi="黑体" w:eastAsia="黑体" w:cs="Times New Roman"/>
          <w:sz w:val="72"/>
          <w:szCs w:val="72"/>
        </w:rPr>
      </w:pPr>
    </w:p>
    <w:p>
      <w:pPr>
        <w:jc w:val="center"/>
        <w:rPr>
          <w:rFonts w:ascii="黑体" w:hAnsi="黑体" w:eastAsia="黑体" w:cs="Times New Roman"/>
          <w:sz w:val="44"/>
          <w:szCs w:val="44"/>
        </w:rPr>
      </w:pPr>
    </w:p>
    <w:p>
      <w:pPr>
        <w:jc w:val="center"/>
        <w:rPr>
          <w:rFonts w:ascii="黑体" w:hAnsi="黑体" w:eastAsia="黑体" w:cs="Times New Roman"/>
          <w:sz w:val="44"/>
          <w:szCs w:val="44"/>
        </w:rPr>
      </w:pPr>
    </w:p>
    <w:p>
      <w:pPr>
        <w:jc w:val="center"/>
        <w:rPr>
          <w:rFonts w:ascii="黑体" w:hAnsi="黑体" w:eastAsia="黑体" w:cs="Times New Roman"/>
          <w:sz w:val="44"/>
          <w:szCs w:val="44"/>
        </w:rPr>
      </w:pPr>
    </w:p>
    <w:p>
      <w:pPr>
        <w:jc w:val="center"/>
        <w:rPr>
          <w:rFonts w:ascii="黑体" w:hAnsi="黑体" w:eastAsia="黑体" w:cs="Times New Roman"/>
          <w:sz w:val="44"/>
          <w:szCs w:val="44"/>
        </w:rPr>
      </w:pPr>
    </w:p>
    <w:p>
      <w:pPr>
        <w:jc w:val="center"/>
        <w:rPr>
          <w:rFonts w:ascii="黑体" w:hAnsi="黑体" w:eastAsia="黑体" w:cs="Times New Roman"/>
          <w:sz w:val="44"/>
          <w:szCs w:val="44"/>
        </w:rPr>
      </w:pPr>
    </w:p>
    <w:p>
      <w:pPr>
        <w:jc w:val="center"/>
        <w:rPr>
          <w:rFonts w:ascii="黑体" w:hAnsi="黑体" w:eastAsia="黑体" w:cs="Times New Roman"/>
          <w:sz w:val="44"/>
          <w:szCs w:val="44"/>
        </w:rPr>
      </w:pPr>
    </w:p>
    <w:p>
      <w:pPr>
        <w:jc w:val="center"/>
        <w:rPr>
          <w:rFonts w:ascii="黑体" w:hAnsi="黑体" w:eastAsia="黑体" w:cs="Times New Roman"/>
          <w:sz w:val="44"/>
          <w:szCs w:val="44"/>
        </w:rPr>
      </w:pPr>
    </w:p>
    <w:p>
      <w:pPr>
        <w:jc w:val="center"/>
        <w:rPr>
          <w:rFonts w:ascii="黑体" w:hAnsi="黑体" w:eastAsia="黑体" w:cs="Times New Roman"/>
          <w:sz w:val="44"/>
          <w:szCs w:val="44"/>
        </w:rPr>
      </w:pPr>
    </w:p>
    <w:p>
      <w:pPr>
        <w:jc w:val="center"/>
        <w:rPr>
          <w:rFonts w:ascii="黑体" w:hAnsi="黑体" w:eastAsia="黑体" w:cs="Times New Roman"/>
          <w:sz w:val="44"/>
          <w:szCs w:val="44"/>
        </w:rPr>
      </w:pPr>
    </w:p>
    <w:p>
      <w:pPr>
        <w:jc w:val="center"/>
        <w:rPr>
          <w:rFonts w:ascii="黑体" w:hAnsi="黑体" w:eastAsia="黑体" w:cs="Times New Roman"/>
          <w:sz w:val="44"/>
          <w:szCs w:val="44"/>
        </w:rPr>
      </w:pPr>
    </w:p>
    <w:p>
      <w:pPr>
        <w:jc w:val="center"/>
        <w:rPr>
          <w:rFonts w:ascii="黑体" w:hAnsi="黑体" w:eastAsia="黑体" w:cs="Times New Roman"/>
          <w:sz w:val="52"/>
          <w:szCs w:val="52"/>
        </w:rPr>
      </w:pPr>
      <w:r>
        <w:rPr>
          <w:rFonts w:hint="eastAsia" w:ascii="黑体" w:hAnsi="黑体" w:eastAsia="黑体" w:cs="黑体"/>
          <w:sz w:val="52"/>
          <w:szCs w:val="52"/>
        </w:rPr>
        <w:t>202</w:t>
      </w:r>
      <w:r>
        <w:rPr>
          <w:rFonts w:hint="eastAsia" w:ascii="黑体" w:hAnsi="黑体" w:eastAsia="黑体" w:cs="黑体"/>
          <w:sz w:val="52"/>
          <w:szCs w:val="52"/>
          <w:lang w:val="en-US" w:eastAsia="zh-CN"/>
        </w:rPr>
        <w:t>4</w:t>
      </w:r>
      <w:r>
        <w:rPr>
          <w:rFonts w:hint="eastAsia" w:ascii="黑体" w:hAnsi="黑体" w:eastAsia="黑体" w:cs="黑体"/>
          <w:sz w:val="52"/>
          <w:szCs w:val="52"/>
        </w:rPr>
        <w:t>年1月</w:t>
      </w:r>
      <w:r>
        <w:rPr>
          <w:rFonts w:hint="eastAsia" w:ascii="黑体" w:hAnsi="黑体" w:eastAsia="黑体" w:cs="黑体"/>
          <w:sz w:val="52"/>
          <w:szCs w:val="52"/>
          <w:lang w:val="en-US" w:eastAsia="zh-CN"/>
        </w:rPr>
        <w:t>26</w:t>
      </w:r>
      <w:r>
        <w:rPr>
          <w:rFonts w:hint="eastAsia" w:ascii="黑体" w:hAnsi="黑体" w:eastAsia="黑体" w:cs="黑体"/>
          <w:sz w:val="52"/>
          <w:szCs w:val="52"/>
        </w:rPr>
        <w:t>日</w:t>
      </w:r>
    </w:p>
    <w:p>
      <w:pPr>
        <w:rPr>
          <w:rFonts w:ascii="黑体" w:hAnsi="黑体" w:eastAsia="黑体" w:cs="Times New Roman"/>
          <w:sz w:val="44"/>
          <w:szCs w:val="44"/>
        </w:rPr>
      </w:pPr>
    </w:p>
    <w:p>
      <w:pPr>
        <w:rPr>
          <w:rFonts w:ascii="黑体" w:hAnsi="黑体" w:eastAsia="黑体" w:cs="Times New Roman"/>
          <w:sz w:val="44"/>
          <w:szCs w:val="44"/>
        </w:rPr>
      </w:pPr>
    </w:p>
    <w:p>
      <w:pPr>
        <w:pStyle w:val="7"/>
      </w:pPr>
    </w:p>
    <w:p>
      <w:pPr>
        <w:pStyle w:val="7"/>
      </w:pPr>
    </w:p>
    <w:p>
      <w:pPr>
        <w:jc w:val="center"/>
        <w:rPr>
          <w:rFonts w:ascii="黑体" w:hAnsi="黑体" w:eastAsia="黑体" w:cs="黑体"/>
          <w:sz w:val="52"/>
          <w:szCs w:val="52"/>
        </w:rPr>
      </w:pPr>
      <w:r>
        <w:rPr>
          <w:rFonts w:hint="eastAsia" w:ascii="黑体" w:hAnsi="黑体" w:eastAsia="黑体" w:cs="黑体"/>
          <w:sz w:val="52"/>
          <w:szCs w:val="52"/>
        </w:rPr>
        <w:t>目录</w:t>
      </w:r>
    </w:p>
    <w:p>
      <w:pPr>
        <w:pStyle w:val="10"/>
        <w:tabs>
          <w:tab w:val="right" w:leader="dot" w:pos="8306"/>
        </w:tabs>
        <w:rPr>
          <w:sz w:val="28"/>
          <w:szCs w:val="28"/>
        </w:rPr>
      </w:pPr>
      <w:r>
        <w:rPr>
          <w:rFonts w:ascii="黑体" w:hAnsi="黑体" w:eastAsia="黑体" w:cs="Times New Roman"/>
          <w:sz w:val="44"/>
          <w:szCs w:val="44"/>
        </w:rPr>
        <w:fldChar w:fldCharType="begin"/>
      </w:r>
      <w:r>
        <w:rPr>
          <w:rFonts w:ascii="黑体" w:hAnsi="黑体" w:eastAsia="黑体" w:cs="Times New Roman"/>
          <w:sz w:val="44"/>
          <w:szCs w:val="44"/>
        </w:rPr>
        <w:instrText xml:space="preserve">TOC \o "1-2" \h \u </w:instrText>
      </w:r>
      <w:r>
        <w:rPr>
          <w:rFonts w:ascii="黑体" w:hAnsi="黑体" w:eastAsia="黑体" w:cs="Times New Roman"/>
          <w:sz w:val="44"/>
          <w:szCs w:val="44"/>
        </w:rPr>
        <w:fldChar w:fldCharType="separate"/>
      </w:r>
      <w:r>
        <w:fldChar w:fldCharType="begin"/>
      </w:r>
      <w:r>
        <w:instrText xml:space="preserve"> HYPERLINK \l "_Toc12278" </w:instrText>
      </w:r>
      <w:r>
        <w:fldChar w:fldCharType="separate"/>
      </w:r>
      <w:r>
        <w:rPr>
          <w:rFonts w:hint="eastAsia" w:ascii="黑体" w:hAnsi="黑体" w:eastAsia="黑体" w:cs="黑体"/>
          <w:bCs/>
          <w:sz w:val="28"/>
          <w:szCs w:val="28"/>
        </w:rPr>
        <w:t>一、基本职能及主要工作</w:t>
      </w:r>
      <w:r>
        <w:rPr>
          <w:sz w:val="28"/>
          <w:szCs w:val="28"/>
        </w:rPr>
        <w:tab/>
      </w:r>
      <w:r>
        <w:rPr>
          <w:rFonts w:hint="eastAsia"/>
          <w:sz w:val="28"/>
          <w:szCs w:val="28"/>
          <w:lang w:val="en-US" w:eastAsia="zh-CN"/>
        </w:rPr>
        <w:t xml:space="preserve">3   </w:t>
      </w:r>
      <w:r>
        <w:rPr>
          <w:sz w:val="28"/>
          <w:szCs w:val="28"/>
        </w:rPr>
        <w:fldChar w:fldCharType="end"/>
      </w:r>
    </w:p>
    <w:p>
      <w:pPr>
        <w:pStyle w:val="11"/>
        <w:tabs>
          <w:tab w:val="right" w:leader="dot" w:pos="8306"/>
        </w:tabs>
        <w:ind w:left="0" w:leftChars="0" w:firstLine="0" w:firstLineChars="0"/>
        <w:rPr>
          <w:sz w:val="28"/>
          <w:szCs w:val="28"/>
        </w:rPr>
      </w:pPr>
      <w:r>
        <w:fldChar w:fldCharType="begin"/>
      </w:r>
      <w:r>
        <w:instrText xml:space="preserve"> HYPERLINK \l "_Toc29348" </w:instrText>
      </w:r>
      <w:r>
        <w:fldChar w:fldCharType="separate"/>
      </w:r>
      <w:r>
        <w:rPr>
          <w:rFonts w:hint="eastAsia" w:ascii="仿宋_GB2312" w:hAnsi="仿宋_GB2312" w:eastAsia="仿宋_GB2312" w:cs="仿宋_GB2312"/>
          <w:sz w:val="28"/>
          <w:szCs w:val="28"/>
        </w:rPr>
        <w:t>（一）部门职能简介</w:t>
      </w:r>
      <w:r>
        <w:rPr>
          <w:sz w:val="28"/>
          <w:szCs w:val="28"/>
        </w:rPr>
        <w:tab/>
      </w:r>
      <w:r>
        <w:rPr>
          <w:rFonts w:hint="eastAsia"/>
          <w:sz w:val="28"/>
          <w:szCs w:val="28"/>
          <w:lang w:val="en-US" w:eastAsia="zh-CN"/>
        </w:rPr>
        <w:t>3</w:t>
      </w:r>
      <w:r>
        <w:rPr>
          <w:sz w:val="28"/>
          <w:szCs w:val="28"/>
        </w:rPr>
        <w:fldChar w:fldCharType="end"/>
      </w:r>
    </w:p>
    <w:p>
      <w:pPr>
        <w:pStyle w:val="11"/>
        <w:tabs>
          <w:tab w:val="right" w:leader="dot" w:pos="8306"/>
        </w:tabs>
        <w:ind w:left="0" w:leftChars="0" w:firstLine="0" w:firstLineChars="0"/>
        <w:rPr>
          <w:sz w:val="28"/>
          <w:szCs w:val="28"/>
        </w:rPr>
      </w:pPr>
      <w:r>
        <w:fldChar w:fldCharType="begin"/>
      </w:r>
      <w:r>
        <w:instrText xml:space="preserve"> HYPERLINK \l "_Toc12953" </w:instrText>
      </w:r>
      <w:r>
        <w:fldChar w:fldCharType="separate"/>
      </w:r>
      <w:r>
        <w:rPr>
          <w:rFonts w:hint="eastAsia" w:ascii="仿宋_GB2312" w:hAnsi="仿宋_GB2312" w:eastAsia="仿宋_GB2312" w:cs="仿宋_GB2312"/>
          <w:sz w:val="28"/>
          <w:szCs w:val="28"/>
        </w:rPr>
        <w:t>（二）202</w:t>
      </w:r>
      <w:r>
        <w:rPr>
          <w:rFonts w:hint="eastAsia" w:ascii="仿宋_GB2312" w:hAnsi="仿宋_GB2312" w:eastAsia="仿宋_GB2312" w:cs="仿宋_GB2312"/>
          <w:sz w:val="28"/>
          <w:szCs w:val="28"/>
          <w:lang w:val="en-US" w:eastAsia="zh-CN"/>
        </w:rPr>
        <w:t>4</w:t>
      </w:r>
      <w:r>
        <w:rPr>
          <w:rFonts w:hint="eastAsia" w:ascii="仿宋_GB2312" w:hAnsi="仿宋_GB2312" w:eastAsia="仿宋_GB2312" w:cs="仿宋_GB2312"/>
          <w:sz w:val="28"/>
          <w:szCs w:val="28"/>
        </w:rPr>
        <w:t>年重点工作</w:t>
      </w:r>
      <w:r>
        <w:rPr>
          <w:sz w:val="28"/>
          <w:szCs w:val="28"/>
        </w:rPr>
        <w:tab/>
      </w:r>
      <w:r>
        <w:rPr>
          <w:rFonts w:hint="eastAsia"/>
          <w:sz w:val="28"/>
          <w:szCs w:val="28"/>
          <w:lang w:val="en-US" w:eastAsia="zh-CN"/>
        </w:rPr>
        <w:t>3</w:t>
      </w:r>
      <w:r>
        <w:rPr>
          <w:rFonts w:hint="eastAsia"/>
          <w:sz w:val="28"/>
          <w:szCs w:val="28"/>
        </w:rPr>
        <w:fldChar w:fldCharType="end"/>
      </w:r>
    </w:p>
    <w:p>
      <w:pPr>
        <w:pStyle w:val="10"/>
        <w:tabs>
          <w:tab w:val="right" w:leader="dot" w:pos="8306"/>
        </w:tabs>
        <w:rPr>
          <w:sz w:val="28"/>
          <w:szCs w:val="28"/>
        </w:rPr>
      </w:pPr>
      <w:r>
        <w:fldChar w:fldCharType="begin"/>
      </w:r>
      <w:r>
        <w:instrText xml:space="preserve"> HYPERLINK \l "_Toc14511" </w:instrText>
      </w:r>
      <w:r>
        <w:fldChar w:fldCharType="separate"/>
      </w:r>
      <w:r>
        <w:rPr>
          <w:rFonts w:hint="eastAsia" w:ascii="黑体" w:hAnsi="黑体" w:eastAsia="黑体" w:cs="黑体"/>
          <w:bCs/>
          <w:sz w:val="28"/>
          <w:szCs w:val="28"/>
        </w:rPr>
        <w:t>二、部门预算单位构成</w:t>
      </w:r>
      <w:r>
        <w:rPr>
          <w:sz w:val="28"/>
          <w:szCs w:val="28"/>
        </w:rPr>
        <w:tab/>
      </w:r>
      <w:r>
        <w:rPr>
          <w:rFonts w:hint="eastAsia"/>
          <w:sz w:val="28"/>
          <w:szCs w:val="28"/>
          <w:lang w:val="en-US" w:eastAsia="zh-CN"/>
        </w:rPr>
        <w:t>4</w:t>
      </w:r>
      <w:r>
        <w:rPr>
          <w:rFonts w:hint="eastAsia"/>
          <w:sz w:val="28"/>
          <w:szCs w:val="28"/>
        </w:rPr>
        <w:fldChar w:fldCharType="end"/>
      </w:r>
    </w:p>
    <w:p>
      <w:pPr>
        <w:pStyle w:val="10"/>
        <w:tabs>
          <w:tab w:val="right" w:leader="dot" w:pos="8306"/>
        </w:tabs>
        <w:rPr>
          <w:sz w:val="28"/>
          <w:szCs w:val="28"/>
        </w:rPr>
      </w:pPr>
      <w:r>
        <w:fldChar w:fldCharType="begin"/>
      </w:r>
      <w:r>
        <w:instrText xml:space="preserve"> HYPERLINK \l "_Toc31424" </w:instrText>
      </w:r>
      <w:r>
        <w:fldChar w:fldCharType="separate"/>
      </w:r>
      <w:r>
        <w:rPr>
          <w:rFonts w:hint="eastAsia" w:ascii="黑体" w:hAnsi="黑体" w:eastAsia="黑体" w:cs="黑体"/>
          <w:bCs/>
          <w:sz w:val="28"/>
          <w:szCs w:val="28"/>
        </w:rPr>
        <w:t>三、收支预算情况说明</w:t>
      </w:r>
      <w:r>
        <w:rPr>
          <w:sz w:val="28"/>
          <w:szCs w:val="28"/>
        </w:rPr>
        <w:tab/>
      </w:r>
      <w:r>
        <w:rPr>
          <w:rFonts w:hint="eastAsia"/>
          <w:sz w:val="28"/>
          <w:szCs w:val="28"/>
          <w:lang w:val="en-US" w:eastAsia="zh-CN"/>
        </w:rPr>
        <w:t>5</w:t>
      </w:r>
      <w:r>
        <w:rPr>
          <w:rFonts w:hint="eastAsia"/>
          <w:sz w:val="28"/>
          <w:szCs w:val="28"/>
        </w:rPr>
        <w:fldChar w:fldCharType="end"/>
      </w:r>
    </w:p>
    <w:p>
      <w:pPr>
        <w:pStyle w:val="11"/>
        <w:tabs>
          <w:tab w:val="right" w:leader="dot" w:pos="8306"/>
        </w:tabs>
        <w:ind w:left="0" w:leftChars="0" w:firstLine="0" w:firstLineChars="0"/>
        <w:rPr>
          <w:sz w:val="28"/>
          <w:szCs w:val="28"/>
        </w:rPr>
      </w:pPr>
      <w:r>
        <w:fldChar w:fldCharType="begin"/>
      </w:r>
      <w:r>
        <w:instrText xml:space="preserve"> HYPERLINK \l "_Toc1279" </w:instrText>
      </w:r>
      <w:r>
        <w:fldChar w:fldCharType="separate"/>
      </w:r>
      <w:r>
        <w:rPr>
          <w:rFonts w:hint="eastAsia" w:ascii="仿宋_GB2312" w:hAnsi="仿宋_GB2312" w:eastAsia="仿宋_GB2312" w:cs="仿宋_GB2312"/>
          <w:sz w:val="28"/>
          <w:szCs w:val="28"/>
        </w:rPr>
        <w:t>（一）收入预算情况</w:t>
      </w:r>
      <w:r>
        <w:rPr>
          <w:sz w:val="28"/>
          <w:szCs w:val="28"/>
        </w:rPr>
        <w:tab/>
      </w:r>
      <w:r>
        <w:rPr>
          <w:rFonts w:hint="eastAsia"/>
          <w:sz w:val="28"/>
          <w:szCs w:val="28"/>
          <w:lang w:val="en-US" w:eastAsia="zh-CN"/>
        </w:rPr>
        <w:t>5</w:t>
      </w:r>
      <w:r>
        <w:rPr>
          <w:rFonts w:hint="eastAsia"/>
          <w:sz w:val="28"/>
          <w:szCs w:val="28"/>
        </w:rPr>
        <w:fldChar w:fldCharType="end"/>
      </w:r>
    </w:p>
    <w:p>
      <w:pPr>
        <w:pStyle w:val="11"/>
        <w:tabs>
          <w:tab w:val="right" w:leader="dot" w:pos="8306"/>
        </w:tabs>
        <w:ind w:left="0" w:leftChars="0" w:firstLine="0" w:firstLineChars="0"/>
        <w:rPr>
          <w:sz w:val="28"/>
          <w:szCs w:val="28"/>
        </w:rPr>
      </w:pPr>
      <w:r>
        <w:fldChar w:fldCharType="begin"/>
      </w:r>
      <w:r>
        <w:instrText xml:space="preserve"> HYPERLINK \l "_Toc19613" </w:instrText>
      </w:r>
      <w:r>
        <w:fldChar w:fldCharType="separate"/>
      </w:r>
      <w:r>
        <w:rPr>
          <w:rFonts w:hint="eastAsia" w:ascii="仿宋_GB2312" w:hAnsi="仿宋_GB2312" w:eastAsia="仿宋_GB2312" w:cs="仿宋_GB2312"/>
          <w:sz w:val="28"/>
          <w:szCs w:val="28"/>
        </w:rPr>
        <w:t>（二</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支出预算情况</w:t>
      </w:r>
      <w:r>
        <w:rPr>
          <w:sz w:val="28"/>
          <w:szCs w:val="28"/>
        </w:rPr>
        <w:tab/>
      </w:r>
      <w:r>
        <w:rPr>
          <w:rFonts w:hint="eastAsia"/>
          <w:sz w:val="28"/>
          <w:szCs w:val="28"/>
          <w:lang w:val="en-US" w:eastAsia="zh-CN"/>
        </w:rPr>
        <w:t>5</w:t>
      </w:r>
      <w:r>
        <w:rPr>
          <w:rFonts w:hint="eastAsia"/>
          <w:sz w:val="28"/>
          <w:szCs w:val="28"/>
        </w:rPr>
        <w:fldChar w:fldCharType="end"/>
      </w:r>
    </w:p>
    <w:p>
      <w:pPr>
        <w:pStyle w:val="10"/>
        <w:tabs>
          <w:tab w:val="right" w:leader="dot" w:pos="8306"/>
        </w:tabs>
        <w:rPr>
          <w:sz w:val="28"/>
          <w:szCs w:val="28"/>
        </w:rPr>
      </w:pPr>
      <w:r>
        <w:fldChar w:fldCharType="begin"/>
      </w:r>
      <w:r>
        <w:instrText xml:space="preserve"> HYPERLINK \l "_Toc31654" </w:instrText>
      </w:r>
      <w:r>
        <w:fldChar w:fldCharType="separate"/>
      </w:r>
      <w:r>
        <w:rPr>
          <w:rFonts w:hint="eastAsia" w:ascii="黑体" w:hAnsi="黑体" w:eastAsia="黑体" w:cs="黑体"/>
          <w:bCs/>
          <w:sz w:val="28"/>
          <w:szCs w:val="28"/>
        </w:rPr>
        <w:t>四、财政拨款收支预算情况说明</w:t>
      </w:r>
      <w:r>
        <w:rPr>
          <w:sz w:val="28"/>
          <w:szCs w:val="28"/>
        </w:rPr>
        <w:tab/>
      </w:r>
      <w:r>
        <w:rPr>
          <w:rFonts w:hint="eastAsia"/>
          <w:sz w:val="28"/>
          <w:szCs w:val="28"/>
          <w:lang w:val="en-US" w:eastAsia="zh-CN"/>
        </w:rPr>
        <w:t>6</w:t>
      </w:r>
      <w:r>
        <w:rPr>
          <w:rFonts w:hint="eastAsia"/>
          <w:sz w:val="28"/>
          <w:szCs w:val="28"/>
        </w:rPr>
        <w:fldChar w:fldCharType="end"/>
      </w:r>
    </w:p>
    <w:p>
      <w:pPr>
        <w:pStyle w:val="10"/>
        <w:tabs>
          <w:tab w:val="right" w:leader="dot" w:pos="8306"/>
        </w:tabs>
        <w:rPr>
          <w:rFonts w:hint="eastAsia"/>
          <w:sz w:val="28"/>
          <w:szCs w:val="28"/>
        </w:rPr>
      </w:pPr>
      <w:r>
        <w:fldChar w:fldCharType="begin"/>
      </w:r>
      <w:r>
        <w:instrText xml:space="preserve"> HYPERLINK \l "_Toc29200" </w:instrText>
      </w:r>
      <w:r>
        <w:fldChar w:fldCharType="separate"/>
      </w:r>
      <w:r>
        <w:rPr>
          <w:rFonts w:hint="eastAsia" w:ascii="黑体" w:hAnsi="黑体" w:eastAsia="黑体" w:cs="黑体"/>
          <w:bCs/>
          <w:sz w:val="28"/>
          <w:szCs w:val="28"/>
        </w:rPr>
        <w:t>五、一般公共预算当年拨款情况说明</w:t>
      </w:r>
      <w:r>
        <w:rPr>
          <w:rFonts w:hint="eastAsia" w:ascii="黑体" w:hAnsi="黑体" w:eastAsia="黑体" w:cs="黑体"/>
          <w:bCs/>
          <w:sz w:val="28"/>
          <w:szCs w:val="28"/>
          <w:lang w:val="en-US" w:eastAsia="zh-CN"/>
        </w:rPr>
        <w:t>...........................</w:t>
      </w:r>
      <w:r>
        <w:rPr>
          <w:rFonts w:hint="eastAsia"/>
          <w:sz w:val="28"/>
          <w:szCs w:val="28"/>
          <w:lang w:val="en-US" w:eastAsia="zh-CN"/>
        </w:rPr>
        <w:t>6</w:t>
      </w:r>
      <w:r>
        <w:rPr>
          <w:rFonts w:hint="eastAsia"/>
          <w:sz w:val="28"/>
          <w:szCs w:val="28"/>
        </w:rPr>
        <w:fldChar w:fldCharType="end"/>
      </w:r>
    </w:p>
    <w:p>
      <w:pPr>
        <w:rPr>
          <w:rFonts w:hint="eastAsia"/>
          <w:sz w:val="28"/>
          <w:szCs w:val="28"/>
          <w:lang w:val="en-US" w:eastAsia="zh-CN"/>
        </w:rPr>
      </w:pPr>
      <w:r>
        <w:rPr>
          <w:rFonts w:hint="eastAsia"/>
          <w:sz w:val="28"/>
          <w:szCs w:val="28"/>
          <w:lang w:eastAsia="zh-CN"/>
        </w:rPr>
        <w:t>（一）一般公共预算当年拨款规模变化情况</w:t>
      </w:r>
      <w:r>
        <w:rPr>
          <w:rFonts w:hint="eastAsia"/>
          <w:sz w:val="28"/>
          <w:szCs w:val="28"/>
          <w:lang w:val="en-US" w:eastAsia="zh-CN"/>
        </w:rPr>
        <w:t>.........................................6</w:t>
      </w:r>
    </w:p>
    <w:p>
      <w:pPr>
        <w:pStyle w:val="2"/>
        <w:rPr>
          <w:rFonts w:hint="eastAsia"/>
          <w:sz w:val="28"/>
          <w:szCs w:val="28"/>
          <w:lang w:val="en-US" w:eastAsia="zh-CN"/>
        </w:rPr>
      </w:pPr>
      <w:r>
        <w:rPr>
          <w:rFonts w:hint="eastAsia"/>
          <w:sz w:val="28"/>
          <w:szCs w:val="28"/>
          <w:lang w:val="en-US" w:eastAsia="zh-CN"/>
        </w:rPr>
        <w:t>（二）一般公共预算当年拨款结构情况..................................................6</w:t>
      </w:r>
    </w:p>
    <w:p>
      <w:pPr>
        <w:rPr>
          <w:rFonts w:hint="default"/>
          <w:lang w:val="en-US" w:eastAsia="zh-CN"/>
        </w:rPr>
      </w:pPr>
      <w:r>
        <w:rPr>
          <w:rFonts w:hint="eastAsia"/>
          <w:sz w:val="28"/>
          <w:szCs w:val="28"/>
          <w:lang w:val="en-US" w:eastAsia="zh-CN"/>
        </w:rPr>
        <w:t>（三）一般公共预算当年具体使用情况................................................7</w:t>
      </w:r>
    </w:p>
    <w:p>
      <w:pPr>
        <w:pStyle w:val="10"/>
        <w:tabs>
          <w:tab w:val="right" w:leader="dot" w:pos="8306"/>
        </w:tabs>
        <w:rPr>
          <w:sz w:val="28"/>
          <w:szCs w:val="28"/>
        </w:rPr>
      </w:pPr>
      <w:r>
        <w:fldChar w:fldCharType="begin"/>
      </w:r>
      <w:r>
        <w:instrText xml:space="preserve"> HYPERLINK \l "_Toc1201" </w:instrText>
      </w:r>
      <w:r>
        <w:fldChar w:fldCharType="separate"/>
      </w:r>
      <w:r>
        <w:rPr>
          <w:rFonts w:hint="eastAsia" w:ascii="黑体" w:hAnsi="黑体" w:eastAsia="黑体" w:cs="黑体"/>
          <w:bCs/>
          <w:sz w:val="28"/>
          <w:szCs w:val="28"/>
        </w:rPr>
        <w:t>六、一般公共预算基本支出情况说明</w:t>
      </w:r>
      <w:r>
        <w:rPr>
          <w:sz w:val="28"/>
          <w:szCs w:val="28"/>
        </w:rPr>
        <w:tab/>
      </w:r>
      <w:r>
        <w:rPr>
          <w:rFonts w:hint="eastAsia"/>
          <w:sz w:val="28"/>
          <w:szCs w:val="28"/>
          <w:lang w:val="en-US" w:eastAsia="zh-CN"/>
        </w:rPr>
        <w:t>....................................................7</w:t>
      </w:r>
      <w:r>
        <w:rPr>
          <w:rFonts w:hint="eastAsia"/>
          <w:sz w:val="28"/>
          <w:szCs w:val="28"/>
        </w:rPr>
        <w:fldChar w:fldCharType="end"/>
      </w:r>
    </w:p>
    <w:p>
      <w:pPr>
        <w:pStyle w:val="10"/>
        <w:tabs>
          <w:tab w:val="right" w:leader="dot" w:pos="8306"/>
        </w:tabs>
        <w:rPr>
          <w:rFonts w:hint="eastAsia"/>
          <w:sz w:val="28"/>
          <w:szCs w:val="28"/>
          <w:lang w:val="en-US" w:eastAsia="zh-CN"/>
        </w:rPr>
      </w:pPr>
      <w:r>
        <w:fldChar w:fldCharType="begin"/>
      </w:r>
      <w:r>
        <w:instrText xml:space="preserve"> HYPERLINK \l "_Toc10718" </w:instrText>
      </w:r>
      <w:r>
        <w:fldChar w:fldCharType="separate"/>
      </w:r>
      <w:r>
        <w:rPr>
          <w:rFonts w:hint="eastAsia" w:ascii="黑体" w:hAnsi="黑体" w:eastAsia="黑体" w:cs="黑体"/>
          <w:bCs/>
          <w:sz w:val="28"/>
          <w:szCs w:val="28"/>
        </w:rPr>
        <w:t>七、“三公”经费财政拨款预算安排情况说明</w:t>
      </w:r>
      <w:r>
        <w:rPr>
          <w:sz w:val="28"/>
          <w:szCs w:val="28"/>
        </w:rPr>
        <w:tab/>
      </w:r>
      <w:r>
        <w:rPr>
          <w:rFonts w:hint="eastAsia"/>
          <w:sz w:val="28"/>
          <w:szCs w:val="28"/>
        </w:rPr>
        <w:fldChar w:fldCharType="end"/>
      </w:r>
      <w:r>
        <w:rPr>
          <w:rFonts w:hint="eastAsia"/>
          <w:sz w:val="28"/>
          <w:szCs w:val="28"/>
          <w:lang w:val="en-US" w:eastAsia="zh-CN"/>
        </w:rPr>
        <w:t>.............8</w:t>
      </w:r>
    </w:p>
    <w:p>
      <w:pPr>
        <w:pStyle w:val="10"/>
        <w:tabs>
          <w:tab w:val="right" w:leader="dot" w:pos="8306"/>
        </w:tabs>
        <w:rPr>
          <w:rFonts w:hint="eastAsia" w:eastAsia="宋体"/>
          <w:sz w:val="28"/>
          <w:szCs w:val="28"/>
          <w:lang w:val="en-US" w:eastAsia="zh-CN"/>
        </w:rPr>
      </w:pPr>
      <w:r>
        <w:fldChar w:fldCharType="begin"/>
      </w:r>
      <w:r>
        <w:instrText xml:space="preserve"> HYPERLINK \l "_Toc10007" </w:instrText>
      </w:r>
      <w:r>
        <w:fldChar w:fldCharType="separate"/>
      </w:r>
      <w:r>
        <w:rPr>
          <w:rFonts w:hint="eastAsia" w:ascii="黑体" w:hAnsi="黑体" w:eastAsia="黑体" w:cs="黑体"/>
          <w:bCs/>
          <w:sz w:val="28"/>
          <w:szCs w:val="28"/>
        </w:rPr>
        <w:t>八、政府性基金预算支出情况说明</w:t>
      </w:r>
      <w:r>
        <w:rPr>
          <w:sz w:val="28"/>
          <w:szCs w:val="28"/>
        </w:rPr>
        <w:tab/>
      </w:r>
      <w:r>
        <w:rPr>
          <w:rFonts w:hint="eastAsia"/>
          <w:sz w:val="28"/>
          <w:szCs w:val="28"/>
        </w:rPr>
        <w:fldChar w:fldCharType="end"/>
      </w:r>
      <w:r>
        <w:rPr>
          <w:rFonts w:hint="eastAsia"/>
          <w:sz w:val="28"/>
          <w:szCs w:val="28"/>
          <w:lang w:val="en-US" w:eastAsia="zh-CN"/>
        </w:rPr>
        <w:t>.8</w:t>
      </w:r>
    </w:p>
    <w:p>
      <w:pPr>
        <w:pStyle w:val="10"/>
        <w:tabs>
          <w:tab w:val="right" w:leader="dot" w:pos="8306"/>
        </w:tabs>
        <w:rPr>
          <w:rFonts w:hint="eastAsia" w:eastAsia="宋体"/>
          <w:sz w:val="28"/>
          <w:szCs w:val="28"/>
          <w:lang w:val="en-US" w:eastAsia="zh-CN"/>
        </w:rPr>
      </w:pPr>
      <w:r>
        <w:fldChar w:fldCharType="begin"/>
      </w:r>
      <w:r>
        <w:instrText xml:space="preserve"> HYPERLINK \l "_Toc7518" </w:instrText>
      </w:r>
      <w:r>
        <w:fldChar w:fldCharType="separate"/>
      </w:r>
      <w:r>
        <w:rPr>
          <w:rFonts w:hint="eastAsia" w:ascii="黑体" w:hAnsi="黑体" w:eastAsia="黑体" w:cs="黑体"/>
          <w:bCs/>
          <w:kern w:val="44"/>
          <w:sz w:val="28"/>
          <w:szCs w:val="28"/>
        </w:rPr>
        <w:t>九、其他重要事项的情况说明</w:t>
      </w:r>
      <w:r>
        <w:rPr>
          <w:sz w:val="28"/>
          <w:szCs w:val="28"/>
        </w:rPr>
        <w:tab/>
      </w:r>
      <w:r>
        <w:rPr>
          <w:rFonts w:hint="eastAsia"/>
          <w:sz w:val="28"/>
          <w:szCs w:val="28"/>
        </w:rPr>
        <w:fldChar w:fldCharType="end"/>
      </w:r>
      <w:r>
        <w:rPr>
          <w:rFonts w:hint="eastAsia"/>
          <w:sz w:val="28"/>
          <w:szCs w:val="28"/>
          <w:lang w:val="en-US" w:eastAsia="zh-CN"/>
        </w:rPr>
        <w:t>....8</w:t>
      </w:r>
    </w:p>
    <w:p>
      <w:pPr>
        <w:pStyle w:val="11"/>
        <w:tabs>
          <w:tab w:val="right" w:leader="dot" w:pos="8306"/>
        </w:tabs>
        <w:rPr>
          <w:rFonts w:hint="eastAsia" w:eastAsia="宋体"/>
          <w:sz w:val="28"/>
          <w:szCs w:val="28"/>
          <w:lang w:val="en-US" w:eastAsia="zh-CN"/>
        </w:rPr>
      </w:pPr>
      <w:r>
        <w:fldChar w:fldCharType="begin"/>
      </w:r>
      <w:r>
        <w:instrText xml:space="preserve"> HYPERLINK \l "_Toc5156" </w:instrText>
      </w:r>
      <w:r>
        <w:fldChar w:fldCharType="separate"/>
      </w:r>
      <w:r>
        <w:rPr>
          <w:rFonts w:hint="eastAsia" w:ascii="仿宋_GB2312" w:hAnsi="仿宋_GB2312" w:eastAsia="仿宋_GB2312" w:cs="仿宋_GB2312"/>
          <w:sz w:val="28"/>
          <w:szCs w:val="28"/>
        </w:rPr>
        <w:t>（一）机关运行经费</w:t>
      </w:r>
      <w:r>
        <w:rPr>
          <w:sz w:val="28"/>
          <w:szCs w:val="28"/>
        </w:rPr>
        <w:tab/>
      </w:r>
      <w:r>
        <w:rPr>
          <w:rFonts w:hint="eastAsia"/>
          <w:sz w:val="28"/>
          <w:szCs w:val="28"/>
        </w:rPr>
        <w:fldChar w:fldCharType="end"/>
      </w:r>
      <w:r>
        <w:rPr>
          <w:rFonts w:hint="eastAsia"/>
          <w:sz w:val="28"/>
          <w:szCs w:val="28"/>
          <w:lang w:val="en-US" w:eastAsia="zh-CN"/>
        </w:rPr>
        <w:t>.8</w:t>
      </w:r>
    </w:p>
    <w:p>
      <w:pPr>
        <w:pStyle w:val="11"/>
        <w:tabs>
          <w:tab w:val="right" w:leader="dot" w:pos="8306"/>
        </w:tabs>
        <w:rPr>
          <w:rFonts w:hint="eastAsia" w:eastAsia="宋体"/>
          <w:sz w:val="28"/>
          <w:szCs w:val="28"/>
          <w:lang w:val="en-US" w:eastAsia="zh-CN"/>
        </w:rPr>
      </w:pPr>
      <w:r>
        <w:fldChar w:fldCharType="begin"/>
      </w:r>
      <w:r>
        <w:instrText xml:space="preserve"> HYPERLINK \l "_Toc30900" </w:instrText>
      </w:r>
      <w:r>
        <w:fldChar w:fldCharType="separate"/>
      </w:r>
      <w:r>
        <w:rPr>
          <w:rFonts w:hint="eastAsia" w:ascii="仿宋_GB2312" w:hAnsi="仿宋_GB2312" w:eastAsia="仿宋_GB2312" w:cs="仿宋_GB2312"/>
          <w:sz w:val="28"/>
          <w:szCs w:val="28"/>
        </w:rPr>
        <w:t>（二）政府采购情况</w:t>
      </w:r>
      <w:r>
        <w:rPr>
          <w:sz w:val="28"/>
          <w:szCs w:val="28"/>
        </w:rPr>
        <w:tab/>
      </w:r>
      <w:r>
        <w:rPr>
          <w:rFonts w:hint="eastAsia"/>
          <w:sz w:val="28"/>
          <w:szCs w:val="28"/>
        </w:rPr>
        <w:fldChar w:fldCharType="end"/>
      </w:r>
      <w:r>
        <w:rPr>
          <w:rFonts w:hint="eastAsia"/>
          <w:sz w:val="28"/>
          <w:szCs w:val="28"/>
          <w:lang w:val="en-US" w:eastAsia="zh-CN"/>
        </w:rPr>
        <w:t>.8</w:t>
      </w:r>
    </w:p>
    <w:p>
      <w:pPr>
        <w:pStyle w:val="11"/>
        <w:tabs>
          <w:tab w:val="right" w:leader="dot" w:pos="8306"/>
        </w:tabs>
        <w:rPr>
          <w:rFonts w:hint="eastAsia" w:eastAsia="宋体"/>
          <w:sz w:val="28"/>
          <w:szCs w:val="28"/>
          <w:lang w:val="en-US" w:eastAsia="zh-CN"/>
        </w:rPr>
      </w:pPr>
      <w:r>
        <w:fldChar w:fldCharType="begin"/>
      </w:r>
      <w:r>
        <w:instrText xml:space="preserve"> HYPERLINK \l "_Toc12108" </w:instrText>
      </w:r>
      <w:r>
        <w:fldChar w:fldCharType="separate"/>
      </w:r>
      <w:r>
        <w:rPr>
          <w:rFonts w:hint="eastAsia" w:cs="仿宋_GB2312"/>
          <w:sz w:val="28"/>
          <w:szCs w:val="28"/>
        </w:rPr>
        <w:t>（三）</w:t>
      </w:r>
      <w:r>
        <w:rPr>
          <w:rFonts w:hint="eastAsia" w:ascii="仿宋_GB2312" w:hAnsi="仿宋_GB2312" w:eastAsia="仿宋_GB2312" w:cs="仿宋_GB2312"/>
          <w:sz w:val="28"/>
          <w:szCs w:val="28"/>
        </w:rPr>
        <w:t>国有资产占有使用情况</w:t>
      </w:r>
      <w:r>
        <w:rPr>
          <w:sz w:val="28"/>
          <w:szCs w:val="28"/>
        </w:rPr>
        <w:tab/>
      </w:r>
      <w:r>
        <w:rPr>
          <w:rFonts w:hint="eastAsia"/>
          <w:sz w:val="28"/>
          <w:szCs w:val="28"/>
        </w:rPr>
        <w:fldChar w:fldCharType="end"/>
      </w:r>
      <w:r>
        <w:rPr>
          <w:rFonts w:hint="eastAsia"/>
          <w:sz w:val="28"/>
          <w:szCs w:val="28"/>
          <w:lang w:val="en-US" w:eastAsia="zh-CN"/>
        </w:rPr>
        <w:t>.8</w:t>
      </w:r>
    </w:p>
    <w:p>
      <w:pPr>
        <w:pStyle w:val="11"/>
        <w:tabs>
          <w:tab w:val="right" w:leader="dot" w:pos="8306"/>
        </w:tabs>
        <w:rPr>
          <w:rFonts w:hint="eastAsia" w:eastAsia="宋体"/>
          <w:sz w:val="28"/>
          <w:szCs w:val="28"/>
          <w:lang w:val="en-US" w:eastAsia="zh-CN"/>
        </w:rPr>
      </w:pPr>
      <w:r>
        <w:fldChar w:fldCharType="begin"/>
      </w:r>
      <w:r>
        <w:instrText xml:space="preserve"> HYPERLINK \l "_Toc25053" </w:instrText>
      </w:r>
      <w:r>
        <w:fldChar w:fldCharType="separate"/>
      </w:r>
      <w:r>
        <w:rPr>
          <w:rFonts w:hint="eastAsia" w:cs="仿宋_GB2312"/>
          <w:sz w:val="28"/>
          <w:szCs w:val="28"/>
        </w:rPr>
        <w:t>（四）绩效目标设置情况</w:t>
      </w:r>
      <w:r>
        <w:rPr>
          <w:sz w:val="28"/>
          <w:szCs w:val="28"/>
        </w:rPr>
        <w:tab/>
      </w:r>
      <w:r>
        <w:rPr>
          <w:rFonts w:hint="eastAsia"/>
          <w:sz w:val="28"/>
          <w:szCs w:val="28"/>
        </w:rPr>
        <w:fldChar w:fldCharType="end"/>
      </w:r>
      <w:r>
        <w:rPr>
          <w:rFonts w:hint="eastAsia"/>
          <w:sz w:val="28"/>
          <w:szCs w:val="28"/>
          <w:lang w:val="en-US" w:eastAsia="zh-CN"/>
        </w:rPr>
        <w:t>.8</w:t>
      </w:r>
    </w:p>
    <w:p>
      <w:pPr>
        <w:pStyle w:val="10"/>
        <w:tabs>
          <w:tab w:val="right" w:leader="dot" w:pos="8306"/>
        </w:tabs>
        <w:rPr>
          <w:rFonts w:hint="eastAsia" w:eastAsia="宋体"/>
          <w:lang w:val="en-US" w:eastAsia="zh-CN"/>
        </w:rPr>
      </w:pPr>
      <w:r>
        <w:fldChar w:fldCharType="begin"/>
      </w:r>
      <w:r>
        <w:instrText xml:space="preserve"> HYPERLINK \l "_Toc32139" </w:instrText>
      </w:r>
      <w:r>
        <w:fldChar w:fldCharType="separate"/>
      </w:r>
      <w:r>
        <w:rPr>
          <w:rFonts w:hint="eastAsia" w:ascii="黑体" w:hAnsi="黑体" w:eastAsia="黑体" w:cs="黑体"/>
          <w:bCs/>
          <w:kern w:val="44"/>
          <w:sz w:val="28"/>
          <w:szCs w:val="28"/>
        </w:rPr>
        <w:t>十、名称解释</w:t>
      </w:r>
      <w:r>
        <w:rPr>
          <w:sz w:val="28"/>
          <w:szCs w:val="28"/>
        </w:rPr>
        <w:tab/>
      </w:r>
      <w:r>
        <w:rPr>
          <w:rFonts w:hint="eastAsia"/>
          <w:sz w:val="28"/>
          <w:szCs w:val="28"/>
        </w:rPr>
        <w:fldChar w:fldCharType="end"/>
      </w:r>
      <w:r>
        <w:rPr>
          <w:rFonts w:hint="eastAsia"/>
          <w:sz w:val="28"/>
          <w:szCs w:val="28"/>
          <w:lang w:val="en-US" w:eastAsia="zh-CN"/>
        </w:rPr>
        <w:t>..</w:t>
      </w:r>
      <w:r>
        <w:rPr>
          <w:rFonts w:hint="eastAsia" w:ascii="黑体" w:hAnsi="黑体" w:eastAsia="黑体" w:cs="Times New Roman"/>
          <w:sz w:val="28"/>
          <w:szCs w:val="28"/>
          <w:lang w:val="en-US" w:eastAsia="zh-CN"/>
        </w:rPr>
        <w:t>9</w:t>
      </w:r>
    </w:p>
    <w:p>
      <w:pPr>
        <w:rPr>
          <w:rFonts w:ascii="黑体" w:hAnsi="黑体" w:eastAsia="黑体" w:cs="Times New Roman"/>
          <w:sz w:val="44"/>
          <w:szCs w:val="44"/>
        </w:rPr>
      </w:pPr>
      <w:r>
        <w:rPr>
          <w:rFonts w:ascii="黑体" w:hAnsi="黑体" w:eastAsia="黑体" w:cs="Times New Roman"/>
          <w:szCs w:val="44"/>
        </w:rPr>
        <w:fldChar w:fldCharType="end"/>
      </w:r>
    </w:p>
    <w:p>
      <w:pPr>
        <w:rPr>
          <w:rFonts w:ascii="??" w:hAnsi="??" w:cs="??"/>
          <w:kern w:val="0"/>
          <w:sz w:val="12"/>
          <w:szCs w:val="12"/>
        </w:rPr>
      </w:pPr>
    </w:p>
    <w:p>
      <w:pPr>
        <w:pStyle w:val="6"/>
        <w:ind w:firstLine="240"/>
        <w:rPr>
          <w:rFonts w:ascii="??" w:hAnsi="??" w:cs="??"/>
          <w:sz w:val="12"/>
          <w:szCs w:val="12"/>
        </w:rPr>
      </w:pPr>
    </w:p>
    <w:p>
      <w:pPr>
        <w:pStyle w:val="7"/>
      </w:pPr>
    </w:p>
    <w:p>
      <w:pPr>
        <w:pStyle w:val="18"/>
        <w:numPr>
          <w:ilvl w:val="0"/>
          <w:numId w:val="1"/>
        </w:numPr>
        <w:spacing w:before="0" w:line="360" w:lineRule="auto"/>
        <w:ind w:firstLine="627" w:firstLineChars="196"/>
        <w:rPr>
          <w:rFonts w:ascii="黑体" w:hAnsi="黑体" w:eastAsia="黑体" w:cs="黑体"/>
          <w:kern w:val="2"/>
          <w:sz w:val="32"/>
          <w:szCs w:val="32"/>
        </w:rPr>
      </w:pPr>
      <w:r>
        <w:rPr>
          <w:rFonts w:hint="eastAsia" w:ascii="黑体" w:hAnsi="黑体" w:eastAsia="黑体" w:cs="黑体"/>
          <w:kern w:val="2"/>
          <w:sz w:val="32"/>
          <w:szCs w:val="32"/>
        </w:rPr>
        <w:t>基本职能及主要工作</w:t>
      </w:r>
    </w:p>
    <w:p>
      <w:pPr>
        <w:pStyle w:val="18"/>
        <w:spacing w:before="0" w:line="360" w:lineRule="auto"/>
        <w:ind w:firstLine="643" w:firstLineChars="200"/>
        <w:rPr>
          <w:rFonts w:ascii="楷体_GB2312" w:hAnsi="楷体_GB2312" w:eastAsia="楷体_GB2312" w:cs="楷体_GB2312"/>
          <w:b/>
          <w:bCs/>
          <w:kern w:val="2"/>
          <w:sz w:val="32"/>
          <w:szCs w:val="32"/>
        </w:rPr>
      </w:pPr>
      <w:r>
        <w:rPr>
          <w:rFonts w:hint="eastAsia" w:ascii="楷体_GB2312" w:hAnsi="楷体_GB2312" w:eastAsia="楷体_GB2312" w:cs="楷体_GB2312"/>
          <w:b/>
          <w:bCs/>
          <w:kern w:val="2"/>
          <w:sz w:val="32"/>
          <w:szCs w:val="32"/>
        </w:rPr>
        <w:t>（一）部门职能简介</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eastAsia="仿宋_GB2312"/>
          <w:kern w:val="0"/>
          <w:sz w:val="32"/>
          <w:szCs w:val="32"/>
          <w:lang w:eastAsia="zh-CN"/>
        </w:rPr>
      </w:pPr>
      <w:r>
        <w:rPr>
          <w:rFonts w:hint="eastAsia" w:ascii="仿宋_GB2312" w:eastAsia="仿宋_GB2312"/>
          <w:kern w:val="0"/>
          <w:sz w:val="32"/>
          <w:szCs w:val="32"/>
          <w:lang w:val="en-US" w:eastAsia="zh-CN"/>
        </w:rPr>
        <w:t>1、</w:t>
      </w:r>
      <w:r>
        <w:rPr>
          <w:rFonts w:hint="eastAsia" w:ascii="仿宋_GB2312" w:eastAsia="仿宋_GB2312"/>
          <w:kern w:val="0"/>
          <w:sz w:val="32"/>
          <w:szCs w:val="32"/>
          <w:lang w:eastAsia="zh-CN"/>
        </w:rPr>
        <w:t>承担机关政务及党务工作。组织协调政风行风建设、意识形态、政务督查、目标考核等工作。</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eastAsia="仿宋_GB2312"/>
          <w:kern w:val="0"/>
          <w:sz w:val="32"/>
          <w:szCs w:val="32"/>
          <w:lang w:eastAsia="zh-CN"/>
        </w:rPr>
      </w:pPr>
      <w:r>
        <w:rPr>
          <w:rFonts w:hint="eastAsia" w:ascii="仿宋_GB2312" w:eastAsia="仿宋_GB2312"/>
          <w:kern w:val="0"/>
          <w:sz w:val="32"/>
          <w:szCs w:val="32"/>
          <w:lang w:val="en-US" w:eastAsia="zh-CN"/>
        </w:rPr>
        <w:t>2、</w:t>
      </w:r>
      <w:r>
        <w:rPr>
          <w:rFonts w:hint="eastAsia" w:ascii="仿宋_GB2312" w:eastAsia="仿宋_GB2312"/>
          <w:kern w:val="0"/>
          <w:sz w:val="32"/>
          <w:szCs w:val="32"/>
          <w:lang w:eastAsia="zh-CN"/>
        </w:rPr>
        <w:t>负责监督管理全州减排目标的落实。</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eastAsia="仿宋_GB2312"/>
          <w:kern w:val="0"/>
          <w:sz w:val="32"/>
          <w:szCs w:val="32"/>
          <w:lang w:eastAsia="zh-CN"/>
        </w:rPr>
      </w:pPr>
      <w:r>
        <w:rPr>
          <w:rFonts w:hint="eastAsia" w:ascii="仿宋_GB2312" w:eastAsia="仿宋_GB2312"/>
          <w:kern w:val="0"/>
          <w:sz w:val="32"/>
          <w:szCs w:val="32"/>
          <w:lang w:val="en-US" w:eastAsia="zh-CN"/>
        </w:rPr>
        <w:t>3、</w:t>
      </w:r>
      <w:r>
        <w:rPr>
          <w:rFonts w:hint="eastAsia" w:ascii="仿宋_GB2312" w:eastAsia="仿宋_GB2312"/>
          <w:kern w:val="0"/>
          <w:sz w:val="32"/>
          <w:szCs w:val="32"/>
          <w:lang w:eastAsia="zh-CN"/>
        </w:rPr>
        <w:t>负责建立健全全县生态环境基本制度。</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eastAsia="仿宋_GB2312"/>
          <w:kern w:val="0"/>
          <w:sz w:val="32"/>
          <w:szCs w:val="32"/>
          <w:lang w:eastAsia="zh-CN"/>
        </w:rPr>
      </w:pPr>
      <w:r>
        <w:rPr>
          <w:rFonts w:hint="eastAsia" w:ascii="仿宋_GB2312" w:eastAsia="仿宋_GB2312"/>
          <w:kern w:val="0"/>
          <w:sz w:val="32"/>
          <w:szCs w:val="32"/>
          <w:lang w:val="en-US" w:eastAsia="zh-CN"/>
        </w:rPr>
        <w:t>4、</w:t>
      </w:r>
      <w:r>
        <w:rPr>
          <w:rFonts w:hint="eastAsia" w:ascii="仿宋_GB2312" w:eastAsia="仿宋_GB2312"/>
          <w:kern w:val="0"/>
          <w:sz w:val="32"/>
          <w:szCs w:val="32"/>
          <w:lang w:eastAsia="zh-CN"/>
        </w:rPr>
        <w:t>负责全县生态环境准入的监督管理。</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eastAsia="仿宋_GB2312"/>
          <w:kern w:val="0"/>
          <w:sz w:val="32"/>
          <w:szCs w:val="32"/>
          <w:lang w:eastAsia="zh-CN"/>
        </w:rPr>
      </w:pPr>
      <w:r>
        <w:rPr>
          <w:rFonts w:hint="eastAsia" w:ascii="仿宋_GB2312" w:eastAsia="仿宋_GB2312"/>
          <w:kern w:val="0"/>
          <w:sz w:val="32"/>
          <w:szCs w:val="32"/>
          <w:lang w:val="en-US" w:eastAsia="zh-CN"/>
        </w:rPr>
        <w:t>5、</w:t>
      </w:r>
      <w:r>
        <w:rPr>
          <w:rFonts w:hint="eastAsia" w:ascii="仿宋_GB2312" w:eastAsia="仿宋_GB2312"/>
          <w:kern w:val="0"/>
          <w:sz w:val="32"/>
          <w:szCs w:val="32"/>
          <w:lang w:eastAsia="zh-CN"/>
        </w:rPr>
        <w:t>加强全县生态环境监督执法管理、指导工作。</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eastAsia="仿宋_GB2312"/>
          <w:kern w:val="0"/>
          <w:sz w:val="32"/>
          <w:szCs w:val="32"/>
          <w:lang w:eastAsia="zh-CN"/>
        </w:rPr>
      </w:pPr>
      <w:r>
        <w:rPr>
          <w:rFonts w:hint="eastAsia" w:ascii="仿宋_GB2312" w:eastAsia="仿宋_GB2312"/>
          <w:kern w:val="0"/>
          <w:sz w:val="32"/>
          <w:szCs w:val="32"/>
          <w:lang w:val="en-US" w:eastAsia="zh-CN"/>
        </w:rPr>
        <w:t>6、</w:t>
      </w:r>
      <w:r>
        <w:rPr>
          <w:rFonts w:hint="eastAsia" w:ascii="仿宋_GB2312" w:eastAsia="仿宋_GB2312"/>
          <w:kern w:val="0"/>
          <w:sz w:val="32"/>
          <w:szCs w:val="32"/>
          <w:lang w:eastAsia="zh-CN"/>
        </w:rPr>
        <w:t>监督执行国家、省、州的生态环境监测制度和规范。</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hAnsi="黑体" w:eastAsia="仿宋_GB2312"/>
          <w:kern w:val="2"/>
          <w:sz w:val="32"/>
          <w:szCs w:val="32"/>
          <w:lang w:val="en-US" w:eastAsia="zh-CN"/>
        </w:rPr>
      </w:pPr>
      <w:r>
        <w:rPr>
          <w:rFonts w:hint="eastAsia" w:ascii="仿宋_GB2312" w:eastAsia="仿宋_GB2312"/>
          <w:kern w:val="0"/>
          <w:sz w:val="32"/>
          <w:szCs w:val="32"/>
          <w:lang w:val="en-US" w:eastAsia="zh-CN"/>
        </w:rPr>
        <w:t>7、</w:t>
      </w:r>
      <w:r>
        <w:rPr>
          <w:rFonts w:hint="eastAsia" w:ascii="仿宋_GB2312" w:eastAsia="仿宋_GB2312"/>
          <w:kern w:val="0"/>
          <w:sz w:val="32"/>
          <w:szCs w:val="32"/>
        </w:rPr>
        <w:t>负责</w:t>
      </w:r>
      <w:r>
        <w:rPr>
          <w:rFonts w:hint="eastAsia" w:ascii="仿宋_GB2312" w:eastAsia="仿宋_GB2312"/>
          <w:kern w:val="0"/>
          <w:sz w:val="32"/>
          <w:szCs w:val="32"/>
          <w:lang w:eastAsia="zh-CN"/>
        </w:rPr>
        <w:t>办单位</w:t>
      </w:r>
      <w:r>
        <w:rPr>
          <w:rFonts w:hint="eastAsia" w:ascii="仿宋_GB2312" w:eastAsia="仿宋_GB2312"/>
          <w:kern w:val="0"/>
          <w:sz w:val="32"/>
          <w:szCs w:val="32"/>
        </w:rPr>
        <w:t>实施的建设项目的监督管理。</w:t>
      </w:r>
    </w:p>
    <w:p>
      <w:pPr>
        <w:pStyle w:val="18"/>
        <w:spacing w:before="0" w:line="360" w:lineRule="auto"/>
        <w:ind w:firstLine="630" w:firstLineChars="196"/>
        <w:rPr>
          <w:rFonts w:hAnsi="黑体"/>
          <w:b/>
          <w:bCs/>
          <w:kern w:val="2"/>
          <w:sz w:val="32"/>
          <w:szCs w:val="32"/>
        </w:rPr>
      </w:pPr>
      <w:r>
        <w:rPr>
          <w:rFonts w:hint="eastAsia" w:hAnsi="黑体"/>
          <w:b/>
          <w:bCs/>
          <w:kern w:val="2"/>
          <w:sz w:val="32"/>
          <w:szCs w:val="32"/>
        </w:rPr>
        <w:t>（二）202</w:t>
      </w:r>
      <w:r>
        <w:rPr>
          <w:rFonts w:hint="eastAsia" w:hAnsi="黑体"/>
          <w:b/>
          <w:bCs/>
          <w:kern w:val="2"/>
          <w:sz w:val="32"/>
          <w:szCs w:val="32"/>
          <w:lang w:val="en-US" w:eastAsia="zh-CN"/>
        </w:rPr>
        <w:t>4</w:t>
      </w:r>
      <w:r>
        <w:rPr>
          <w:rFonts w:hint="eastAsia" w:hAnsi="黑体"/>
          <w:b/>
          <w:bCs/>
          <w:kern w:val="2"/>
          <w:sz w:val="32"/>
          <w:szCs w:val="32"/>
        </w:rPr>
        <w:t>年重点工作</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000000" w:themeColor="text1"/>
          <w:sz w:val="32"/>
          <w:szCs w:val="32"/>
          <w:lang w:val="en-US" w:eastAsia="zh-CN"/>
        </w:rPr>
      </w:pPr>
      <w:r>
        <w:rPr>
          <w:rFonts w:hint="eastAsia" w:ascii="楷体_GB2312" w:hAnsi="楷体_GB2312" w:eastAsia="楷体_GB2312" w:cs="楷体_GB2312"/>
          <w:b/>
          <w:bCs/>
          <w:color w:val="000000" w:themeColor="text1"/>
          <w:sz w:val="32"/>
          <w:szCs w:val="32"/>
          <w:lang w:val="en-US" w:eastAsia="zh-CN"/>
        </w:rPr>
        <w:t>1.持续推进污染防治工作。</w:t>
      </w:r>
      <w:r>
        <w:rPr>
          <w:rFonts w:hint="eastAsia" w:ascii="仿宋_GB2312" w:hAnsi="仿宋_GB2312" w:eastAsia="仿宋_GB2312" w:cs="仿宋_GB2312"/>
          <w:color w:val="000000" w:themeColor="text1"/>
          <w:sz w:val="32"/>
          <w:szCs w:val="32"/>
          <w:lang w:val="en-US" w:eastAsia="zh-CN"/>
        </w:rPr>
        <w:t>以区域空气质量保持优良为核心，</w:t>
      </w:r>
      <w:r>
        <w:rPr>
          <w:rFonts w:hint="eastAsia" w:ascii="仿宋_GB2312" w:hAnsi="仿宋_GB2312" w:eastAsia="仿宋_GB2312" w:cs="仿宋_GB2312"/>
          <w:color w:val="000000" w:themeColor="text1"/>
          <w:sz w:val="32"/>
          <w:szCs w:val="32"/>
        </w:rPr>
        <w:t>深入推进“控扬尘”、“控尾气”、“控油烟”、“控燃烧”4项专项整治行动，全力改善环境空气质量。</w:t>
      </w:r>
      <w:r>
        <w:rPr>
          <w:rFonts w:hint="eastAsia" w:ascii="仿宋_GB2312" w:hAnsi="仿宋_GB2312" w:eastAsia="仿宋_GB2312" w:cs="仿宋_GB2312"/>
          <w:color w:val="000000" w:themeColor="text1"/>
          <w:sz w:val="32"/>
          <w:szCs w:val="32"/>
          <w:lang w:val="en-US" w:eastAsia="zh-CN"/>
        </w:rPr>
        <w:t>持续推进入河排污口整治，着力解决农村生活污水处理设施运行不正常问题，关注断面水质监测情况，确保水质达标率100%。加强水源地监管，确保水质稳定向好。持续加强重点监管单位日常监管，强化“一住两公”用地监管意识。</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000000" w:themeColor="text1"/>
          <w:sz w:val="32"/>
          <w:szCs w:val="32"/>
          <w:lang w:val="en-US" w:eastAsia="zh-CN"/>
        </w:rPr>
      </w:pPr>
      <w:r>
        <w:rPr>
          <w:rFonts w:hint="eastAsia" w:ascii="楷体_GB2312" w:hAnsi="楷体_GB2312" w:eastAsia="楷体_GB2312" w:cs="楷体_GB2312"/>
          <w:b/>
          <w:bCs/>
          <w:color w:val="000000" w:themeColor="text1"/>
          <w:sz w:val="32"/>
          <w:szCs w:val="32"/>
          <w:lang w:val="en-US" w:eastAsia="zh-CN"/>
        </w:rPr>
        <w:t>2.持续加强生态文明建设。</w:t>
      </w:r>
      <w:r>
        <w:rPr>
          <w:rFonts w:hint="eastAsia" w:ascii="仿宋_GB2312" w:hAnsi="仿宋_GB2312" w:eastAsia="仿宋_GB2312" w:cs="仿宋_GB2312"/>
          <w:color w:val="000000" w:themeColor="text1"/>
          <w:sz w:val="32"/>
          <w:szCs w:val="32"/>
          <w:lang w:val="en-US" w:eastAsia="zh-CN"/>
        </w:rPr>
        <w:t>充分发挥统筹协调作用，有力有序推进“美丽理县”建设，不断增强人民群众的获得感、幸福感、安全感。</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000000" w:themeColor="text1"/>
          <w:sz w:val="32"/>
          <w:szCs w:val="32"/>
          <w:lang w:val="en-US" w:eastAsia="zh-CN"/>
        </w:rPr>
      </w:pPr>
      <w:r>
        <w:rPr>
          <w:rFonts w:hint="eastAsia" w:ascii="楷体_GB2312" w:hAnsi="楷体_GB2312" w:eastAsia="楷体_GB2312" w:cs="楷体_GB2312"/>
          <w:b/>
          <w:bCs/>
          <w:color w:val="000000" w:themeColor="text1"/>
          <w:sz w:val="32"/>
          <w:szCs w:val="32"/>
          <w:lang w:val="en-US" w:eastAsia="zh-CN"/>
        </w:rPr>
        <w:t>3.持续做好政务服务工作。</w:t>
      </w:r>
      <w:r>
        <w:rPr>
          <w:rFonts w:hint="eastAsia" w:ascii="仿宋_GB2312" w:hAnsi="仿宋_GB2312" w:eastAsia="仿宋_GB2312" w:cs="仿宋_GB2312"/>
          <w:color w:val="000000" w:themeColor="text1"/>
          <w:sz w:val="32"/>
          <w:szCs w:val="32"/>
          <w:lang w:val="en-US" w:eastAsia="zh-CN"/>
        </w:rPr>
        <w:t>严格按照上级授权范围和《阿坝州生态环境建设项目环境影响评价文件审批工作规程（试行）》，积极主动主动服务，督促相关排污单位按《四川省生态环境厅关于排污单位落实排污许可证后管理有关要求的通告》，依法申领、持证经营、按证排污、自证守法。</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000000" w:themeColor="text1"/>
          <w:sz w:val="32"/>
          <w:szCs w:val="32"/>
          <w:lang w:eastAsia="zh-CN"/>
        </w:rPr>
      </w:pPr>
      <w:r>
        <w:rPr>
          <w:rFonts w:hint="eastAsia" w:ascii="楷体_GB2312" w:hAnsi="楷体_GB2312" w:eastAsia="楷体_GB2312" w:cs="楷体_GB2312"/>
          <w:b/>
          <w:bCs/>
          <w:color w:val="000000" w:themeColor="text1"/>
          <w:sz w:val="32"/>
          <w:szCs w:val="32"/>
          <w:lang w:val="en-US" w:eastAsia="zh-CN"/>
        </w:rPr>
        <w:t>4.持续加大环境监管力度。</w:t>
      </w:r>
      <w:r>
        <w:rPr>
          <w:rFonts w:hint="eastAsia" w:ascii="仿宋_GB2312" w:hAnsi="仿宋_GB2312" w:eastAsia="仿宋_GB2312" w:cs="仿宋_GB2312"/>
          <w:color w:val="000000" w:themeColor="text1"/>
          <w:sz w:val="32"/>
          <w:szCs w:val="32"/>
          <w:lang w:val="en-US" w:eastAsia="zh-CN"/>
        </w:rPr>
        <w:t>坚持谁执法、谁普法，积极向相关企事业单位负责人及专职环保员等进行普法宣传，提升法律水平和守法意识。</w:t>
      </w:r>
      <w:r>
        <w:rPr>
          <w:rFonts w:hint="eastAsia" w:ascii="仿宋_GB2312" w:hAnsi="仿宋_GB2312" w:eastAsia="仿宋_GB2312" w:cs="仿宋_GB2312"/>
          <w:color w:val="000000" w:themeColor="text1"/>
          <w:sz w:val="32"/>
          <w:szCs w:val="32"/>
        </w:rPr>
        <w:t>进一步健全完善环境执法监管联动机制,实现多方位执法监督，</w:t>
      </w:r>
      <w:r>
        <w:rPr>
          <w:rFonts w:hint="eastAsia" w:ascii="仿宋_GB2312" w:hAnsi="仿宋_GB2312" w:eastAsia="仿宋_GB2312" w:cs="仿宋_GB2312"/>
          <w:color w:val="000000" w:themeColor="text1"/>
          <w:sz w:val="32"/>
          <w:szCs w:val="32"/>
          <w:lang w:val="en-US" w:eastAsia="zh-CN"/>
        </w:rPr>
        <w:t>持续</w:t>
      </w:r>
      <w:r>
        <w:rPr>
          <w:rFonts w:hint="eastAsia" w:ascii="仿宋_GB2312" w:hAnsi="仿宋_GB2312" w:eastAsia="仿宋_GB2312" w:cs="仿宋_GB2312"/>
          <w:color w:val="000000" w:themeColor="text1"/>
          <w:sz w:val="32"/>
          <w:szCs w:val="32"/>
        </w:rPr>
        <w:t>开展高强度、大力度的</w:t>
      </w:r>
      <w:r>
        <w:rPr>
          <w:rFonts w:hint="eastAsia" w:ascii="仿宋_GB2312" w:hAnsi="仿宋_GB2312" w:eastAsia="仿宋_GB2312" w:cs="仿宋_GB2312"/>
          <w:color w:val="000000" w:themeColor="text1"/>
          <w:sz w:val="32"/>
          <w:szCs w:val="32"/>
          <w:lang w:val="en-US" w:eastAsia="zh-CN"/>
        </w:rPr>
        <w:t>环境</w:t>
      </w:r>
      <w:r>
        <w:rPr>
          <w:rFonts w:hint="eastAsia" w:ascii="仿宋_GB2312" w:hAnsi="仿宋_GB2312" w:eastAsia="仿宋_GB2312" w:cs="仿宋_GB2312"/>
          <w:color w:val="000000" w:themeColor="text1"/>
          <w:sz w:val="32"/>
          <w:szCs w:val="32"/>
        </w:rPr>
        <w:t>违法排污企业专项整治行动,</w:t>
      </w:r>
      <w:r>
        <w:rPr>
          <w:rFonts w:hint="eastAsia" w:ascii="仿宋_GB2312" w:hAnsi="仿宋_GB2312" w:eastAsia="仿宋_GB2312" w:cs="仿宋_GB2312"/>
          <w:color w:val="000000" w:themeColor="text1"/>
          <w:sz w:val="32"/>
          <w:szCs w:val="32"/>
          <w:lang w:eastAsia="zh-CN"/>
        </w:rPr>
        <w:t>全力维护全县生态环境安全。</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楷体_GB2312" w:hAnsi="楷体_GB2312" w:eastAsia="楷体_GB2312" w:cs="楷体_GB2312"/>
          <w:b/>
          <w:bCs/>
          <w:color w:val="000000" w:themeColor="text1"/>
          <w:sz w:val="30"/>
          <w:szCs w:val="30"/>
          <w:lang w:val="en-US" w:eastAsia="zh-CN"/>
        </w:rPr>
      </w:pPr>
      <w:r>
        <w:rPr>
          <w:rFonts w:hint="eastAsia" w:ascii="楷体_GB2312" w:hAnsi="楷体_GB2312" w:eastAsia="楷体_GB2312" w:cs="楷体_GB2312"/>
          <w:b/>
          <w:bCs/>
          <w:color w:val="000000" w:themeColor="text1"/>
          <w:sz w:val="32"/>
          <w:szCs w:val="32"/>
          <w:lang w:val="en-US" w:eastAsia="zh-CN"/>
        </w:rPr>
        <w:t>5.持续抓好督察问题整改。</w:t>
      </w:r>
      <w:r>
        <w:rPr>
          <w:rFonts w:hint="eastAsia" w:ascii="仿宋_GB2312" w:hAnsi="仿宋_GB2312" w:eastAsia="仿宋_GB2312" w:cs="仿宋_GB2312"/>
          <w:color w:val="000000" w:themeColor="text1"/>
          <w:sz w:val="32"/>
          <w:szCs w:val="32"/>
          <w:lang w:val="en-US" w:eastAsia="zh-CN"/>
        </w:rPr>
        <w:t>切实抓好各级各类环保督察问题整改，做好迎接中央第三轮生态环保督察工作准备，全力完成2024年度各项整改任务。</w:t>
      </w:r>
    </w:p>
    <w:p>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line="560" w:lineRule="exact"/>
        <w:ind w:firstLine="602" w:firstLineChars="200"/>
        <w:textAlignment w:val="auto"/>
        <w:rPr>
          <w:rFonts w:hint="eastAsia" w:ascii="楷体_GB2312" w:hAnsi="楷体_GB2312" w:eastAsia="楷体_GB2312" w:cs="楷体_GB2312"/>
          <w:b/>
          <w:bCs/>
          <w:color w:val="000000" w:themeColor="text1"/>
          <w:sz w:val="30"/>
          <w:szCs w:val="30"/>
          <w:lang w:val="en-US" w:eastAsia="zh-CN"/>
        </w:rPr>
      </w:pPr>
      <w:r>
        <w:rPr>
          <w:rFonts w:hint="eastAsia" w:ascii="楷体_GB2312" w:hAnsi="楷体_GB2312" w:eastAsia="楷体_GB2312" w:cs="楷体_GB2312"/>
          <w:b/>
          <w:bCs/>
          <w:color w:val="000000" w:themeColor="text1"/>
          <w:sz w:val="30"/>
          <w:szCs w:val="30"/>
          <w:lang w:val="en-US" w:eastAsia="zh-CN"/>
        </w:rPr>
        <w:t>6、加强环保宣传。</w:t>
      </w:r>
    </w:p>
    <w:p>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color w:val="000000" w:themeColor="text1"/>
          <w:sz w:val="32"/>
          <w:szCs w:val="32"/>
          <w:lang w:val="en-US" w:eastAsia="zh-CN"/>
        </w:rPr>
      </w:pPr>
      <w:r>
        <w:rPr>
          <w:rFonts w:hint="eastAsia" w:ascii="Times New Roman" w:hAnsi="Times New Roman" w:eastAsia="仿宋_GB2312" w:cs="Times New Roman"/>
          <w:color w:val="000000" w:themeColor="text1"/>
          <w:sz w:val="32"/>
          <w:szCs w:val="32"/>
          <w:lang w:val="en-US" w:eastAsia="zh-CN"/>
        </w:rPr>
        <w:t>有效提高了全民的环保意识、责任意识和推动绿色发展的信心和决心,利用“6.5”世界环境日等抓好生态环境保护法律法规的宣传教育。</w:t>
      </w:r>
    </w:p>
    <w:p>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line="560" w:lineRule="exact"/>
        <w:ind w:firstLine="602" w:firstLineChars="200"/>
        <w:textAlignment w:val="auto"/>
        <w:rPr>
          <w:rFonts w:hint="eastAsia" w:ascii="楷体_GB2312" w:hAnsi="楷体_GB2312" w:eastAsia="楷体_GB2312" w:cs="楷体_GB2312"/>
          <w:b/>
          <w:bCs/>
          <w:color w:val="000000" w:themeColor="text1"/>
          <w:sz w:val="30"/>
          <w:szCs w:val="30"/>
          <w:lang w:val="en-US" w:eastAsia="zh-CN"/>
        </w:rPr>
      </w:pPr>
      <w:r>
        <w:rPr>
          <w:rFonts w:hint="eastAsia" w:ascii="楷体_GB2312" w:hAnsi="楷体_GB2312" w:eastAsia="楷体_GB2312" w:cs="楷体_GB2312"/>
          <w:b/>
          <w:bCs/>
          <w:color w:val="000000" w:themeColor="text1"/>
          <w:sz w:val="30"/>
          <w:szCs w:val="30"/>
          <w:lang w:val="en-US" w:eastAsia="zh-CN"/>
        </w:rPr>
        <w:t>7、党风廉政建设及组织党建工作。</w:t>
      </w:r>
    </w:p>
    <w:p>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themeColor="text1"/>
          <w:sz w:val="32"/>
          <w:szCs w:val="32"/>
          <w:lang w:val="en-US" w:eastAsia="zh-CN"/>
        </w:rPr>
      </w:pPr>
      <w:r>
        <w:rPr>
          <w:rFonts w:hint="eastAsia" w:ascii="Times New Roman" w:hAnsi="Times New Roman" w:eastAsia="仿宋_GB2312" w:cs="Times New Roman"/>
          <w:color w:val="000000" w:themeColor="text1"/>
          <w:sz w:val="32"/>
          <w:szCs w:val="32"/>
          <w:lang w:val="en-US" w:eastAsia="zh-CN"/>
        </w:rPr>
        <w:t>紧紧围绕环保工作职责，按照“转职能、转方式、转作风”的要求，全面落实党风廉政建设相关工作。</w:t>
      </w:r>
    </w:p>
    <w:p>
      <w:pPr>
        <w:keepNext w:val="0"/>
        <w:keepLines w:val="0"/>
        <w:pageBreakBefore w:val="0"/>
        <w:widowControl w:val="0"/>
        <w:numPr>
          <w:ilvl w:val="0"/>
          <w:numId w:val="2"/>
        </w:numPr>
        <w:pBdr>
          <w:bottom w:val="single" w:color="FFFFFF" w:sz="4" w:space="31"/>
        </w:pBdr>
        <w:tabs>
          <w:tab w:val="left" w:pos="1440"/>
        </w:tabs>
        <w:kinsoku/>
        <w:wordWrap/>
        <w:overflowPunct/>
        <w:topLinePunct w:val="0"/>
        <w:autoSpaceDE/>
        <w:autoSpaceDN/>
        <w:bidi w:val="0"/>
        <w:adjustRightInd/>
        <w:snapToGrid/>
        <w:spacing w:line="560" w:lineRule="exact"/>
        <w:ind w:firstLine="602" w:firstLineChars="200"/>
        <w:textAlignment w:val="auto"/>
        <w:rPr>
          <w:rFonts w:hint="eastAsia" w:ascii="楷体_GB2312" w:hAnsi="楷体_GB2312" w:eastAsia="楷体_GB2312" w:cs="楷体_GB2312"/>
          <w:b/>
          <w:bCs/>
          <w:color w:val="000000" w:themeColor="text1"/>
          <w:sz w:val="30"/>
          <w:szCs w:val="30"/>
          <w:lang w:val="en-US" w:eastAsia="zh-CN"/>
        </w:rPr>
      </w:pPr>
      <w:r>
        <w:rPr>
          <w:rFonts w:hint="eastAsia" w:ascii="楷体_GB2312" w:hAnsi="楷体_GB2312" w:eastAsia="楷体_GB2312" w:cs="楷体_GB2312"/>
          <w:b/>
          <w:bCs/>
          <w:color w:val="000000" w:themeColor="text1"/>
          <w:sz w:val="30"/>
          <w:szCs w:val="30"/>
          <w:lang w:val="en-US" w:eastAsia="zh-CN"/>
        </w:rPr>
        <w:t>两联一进群众工作。</w:t>
      </w:r>
    </w:p>
    <w:p>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color w:val="000000" w:themeColor="text1"/>
          <w:sz w:val="32"/>
          <w:szCs w:val="32"/>
          <w:lang w:val="en-US" w:eastAsia="zh-CN"/>
        </w:rPr>
      </w:pPr>
      <w:r>
        <w:rPr>
          <w:rFonts w:hint="eastAsia" w:ascii="Times New Roman" w:hAnsi="Times New Roman" w:eastAsia="仿宋_GB2312" w:cs="Times New Roman"/>
          <w:color w:val="000000" w:themeColor="text1"/>
          <w:sz w:val="32"/>
          <w:szCs w:val="32"/>
          <w:lang w:val="en-US" w:eastAsia="zh-CN"/>
        </w:rPr>
        <w:t>按照县委、县政府总体安排部署和州生态环境局的统一要求继续抓好“两联一进”及乡村振兴工作。</w:t>
      </w:r>
    </w:p>
    <w:p>
      <w:pPr>
        <w:keepNext w:val="0"/>
        <w:keepLines w:val="0"/>
        <w:pageBreakBefore w:val="0"/>
        <w:widowControl w:val="0"/>
        <w:pBdr>
          <w:bottom w:val="single" w:color="FFFFFF" w:sz="4" w:space="31"/>
        </w:pBdr>
        <w:tabs>
          <w:tab w:val="left" w:pos="1440"/>
        </w:tabs>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kern w:val="2"/>
          <w:sz w:val="32"/>
          <w:szCs w:val="32"/>
        </w:rPr>
      </w:pPr>
      <w:r>
        <w:rPr>
          <w:rFonts w:hint="eastAsia" w:ascii="黑体" w:hAnsi="黑体" w:eastAsia="黑体" w:cs="黑体"/>
          <w:kern w:val="2"/>
          <w:sz w:val="32"/>
          <w:szCs w:val="32"/>
        </w:rPr>
        <w:t>二、部门预算单位构成</w:t>
      </w:r>
    </w:p>
    <w:p>
      <w:pPr>
        <w:keepNext w:val="0"/>
        <w:keepLines w:val="0"/>
        <w:pageBreakBefore w:val="0"/>
        <w:widowControl w:val="0"/>
        <w:pBdr>
          <w:bottom w:val="single" w:color="FFFFFF" w:sz="4" w:space="31"/>
        </w:pBdr>
        <w:tabs>
          <w:tab w:val="left" w:pos="1440"/>
        </w:tabs>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color w:val="000000" w:themeColor="text1"/>
          <w:sz w:val="32"/>
          <w:szCs w:val="32"/>
          <w:lang w:val="en-US" w:eastAsia="zh-CN"/>
        </w:rPr>
      </w:pPr>
      <w:r>
        <w:rPr>
          <w:rFonts w:hint="eastAsia" w:ascii="Times New Roman" w:hAnsi="Times New Roman" w:eastAsia="仿宋_GB2312" w:cs="Times New Roman"/>
          <w:color w:val="000000" w:themeColor="text1"/>
          <w:sz w:val="32"/>
          <w:szCs w:val="32"/>
          <w:lang w:val="en-US" w:eastAsia="zh-CN"/>
        </w:rPr>
        <w:t>阿坝州理县生态环境局属二级预算单位，其中：行政单位1个；参照公务员法管理的事业单位2个，本部门内设机构6个。总编制15名，其中：行政编制3名，参照公务员法管理的事业编制12名。在职人员总数11名，其中：行政人员3名，参照公务员法管理的事业人员5名，工勤人员3名；离休人员0人，退休人员1人；编外长期聘用的人员0名。</w:t>
      </w:r>
    </w:p>
    <w:p>
      <w:pPr>
        <w:keepNext w:val="0"/>
        <w:keepLines w:val="0"/>
        <w:pageBreakBefore w:val="0"/>
        <w:widowControl w:val="0"/>
        <w:pBdr>
          <w:bottom w:val="single" w:color="FFFFFF" w:sz="4" w:space="31"/>
        </w:pBdr>
        <w:tabs>
          <w:tab w:val="left" w:pos="1440"/>
        </w:tabs>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kern w:val="2"/>
          <w:sz w:val="32"/>
          <w:szCs w:val="32"/>
          <w:lang w:val="en-US" w:eastAsia="zh-CN"/>
        </w:rPr>
      </w:pPr>
      <w:r>
        <w:rPr>
          <w:rFonts w:hint="eastAsia" w:ascii="黑体" w:hAnsi="黑体" w:eastAsia="黑体" w:cs="黑体"/>
          <w:kern w:val="2"/>
          <w:sz w:val="32"/>
          <w:szCs w:val="32"/>
          <w:lang w:val="en-US" w:eastAsia="zh-CN"/>
        </w:rPr>
        <w:t>三、收支预算情况说明</w:t>
      </w:r>
    </w:p>
    <w:p>
      <w:pPr>
        <w:keepNext w:val="0"/>
        <w:keepLines w:val="0"/>
        <w:pageBreakBefore w:val="0"/>
        <w:widowControl w:val="0"/>
        <w:pBdr>
          <w:bottom w:val="single" w:color="FFFFFF" w:sz="4" w:space="31"/>
        </w:pBdr>
        <w:tabs>
          <w:tab w:val="left" w:pos="1440"/>
        </w:tabs>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按照综合预算的原则，理县生态环境局所有收入和支出均纳入部门预算管理。收入包括：一般公共预算拨款收入222.52万元，事业收入0万元，其他收入0万元，上年结转0万元；支出包括：一般公共服务支出0万元， 节能环保支出164.03万元，文化体育与传媒支出0万元，社会保障和就业支出31.44万元，卫生健康支出支出11.77万元，住房保障支出15.28万元。理县生态环境局2024年收支总预算222.52万元,比2023年收支预算总数增加10.53万元。主要是工资、保险、住房公积金调整增加。</w:t>
      </w:r>
    </w:p>
    <w:p>
      <w:pPr>
        <w:keepNext w:val="0"/>
        <w:keepLines w:val="0"/>
        <w:pageBreakBefore w:val="0"/>
        <w:widowControl w:val="0"/>
        <w:numPr>
          <w:ilvl w:val="0"/>
          <w:numId w:val="3"/>
        </w:numPr>
        <w:pBdr>
          <w:bottom w:val="single" w:color="FFFFFF" w:sz="4" w:space="31"/>
        </w:pBdr>
        <w:tabs>
          <w:tab w:val="left" w:pos="1440"/>
        </w:tabs>
        <w:kinsoku/>
        <w:wordWrap/>
        <w:overflowPunct/>
        <w:topLinePunct w:val="0"/>
        <w:autoSpaceDE/>
        <w:autoSpaceDN/>
        <w:bidi w:val="0"/>
        <w:adjustRightInd/>
        <w:snapToGrid/>
        <w:spacing w:line="560" w:lineRule="exact"/>
        <w:ind w:firstLine="643" w:firstLineChars="200"/>
        <w:textAlignment w:val="auto"/>
        <w:rPr>
          <w:rFonts w:hint="eastAsia" w:ascii="楷体_GB2312" w:hAnsi="黑体" w:eastAsia="楷体_GB2312" w:cs="楷体_GB2312"/>
          <w:b/>
          <w:bCs/>
          <w:kern w:val="2"/>
          <w:sz w:val="32"/>
          <w:szCs w:val="32"/>
        </w:rPr>
      </w:pPr>
      <w:r>
        <w:rPr>
          <w:rFonts w:hint="eastAsia" w:ascii="楷体_GB2312" w:hAnsi="黑体" w:eastAsia="楷体_GB2312" w:cs="楷体_GB2312"/>
          <w:b/>
          <w:bCs/>
          <w:kern w:val="2"/>
          <w:sz w:val="32"/>
          <w:szCs w:val="32"/>
        </w:rPr>
        <w:t>收入预算情况</w:t>
      </w:r>
    </w:p>
    <w:p>
      <w:pPr>
        <w:keepNext w:val="0"/>
        <w:keepLines w:val="0"/>
        <w:pageBreakBefore w:val="0"/>
        <w:widowControl w:val="0"/>
        <w:pBdr>
          <w:bottom w:val="single" w:color="FFFFFF" w:sz="4" w:space="31"/>
        </w:pBdr>
        <w:tabs>
          <w:tab w:val="left" w:pos="1440"/>
        </w:tabs>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理县生态环境局2024年收入预算222.52万元，其中：上年结转0万元，占0%；一般公共预算拨款收入222.52万元，占100%；事业收入0万元，占0%；其他收入0万元，占%。</w:t>
      </w:r>
    </w:p>
    <w:p>
      <w:pPr>
        <w:keepNext w:val="0"/>
        <w:keepLines w:val="0"/>
        <w:pageBreakBefore w:val="0"/>
        <w:widowControl w:val="0"/>
        <w:numPr>
          <w:ilvl w:val="0"/>
          <w:numId w:val="3"/>
        </w:numPr>
        <w:pBdr>
          <w:bottom w:val="single" w:color="FFFFFF" w:sz="4" w:space="31"/>
        </w:pBdr>
        <w:tabs>
          <w:tab w:val="left" w:pos="1440"/>
        </w:tabs>
        <w:kinsoku/>
        <w:wordWrap/>
        <w:overflowPunct/>
        <w:topLinePunct w:val="0"/>
        <w:autoSpaceDE/>
        <w:autoSpaceDN/>
        <w:bidi w:val="0"/>
        <w:adjustRightInd/>
        <w:snapToGrid/>
        <w:spacing w:line="560" w:lineRule="exact"/>
        <w:ind w:left="0" w:leftChars="0" w:firstLine="643" w:firstLineChars="200"/>
        <w:textAlignment w:val="auto"/>
        <w:rPr>
          <w:rFonts w:hint="eastAsia" w:ascii="楷体_GB2312" w:hAnsi="黑体" w:eastAsia="楷体_GB2312" w:cs="楷体_GB2312"/>
          <w:b/>
          <w:bCs/>
          <w:kern w:val="2"/>
          <w:sz w:val="32"/>
          <w:szCs w:val="32"/>
        </w:rPr>
      </w:pPr>
      <w:r>
        <w:rPr>
          <w:rFonts w:hint="eastAsia" w:ascii="楷体_GB2312" w:hAnsi="黑体" w:eastAsia="楷体_GB2312" w:cs="楷体_GB2312"/>
          <w:b/>
          <w:bCs/>
          <w:kern w:val="2"/>
          <w:sz w:val="32"/>
          <w:szCs w:val="32"/>
        </w:rPr>
        <w:t>支出预算情况</w:t>
      </w:r>
    </w:p>
    <w:p>
      <w:pPr>
        <w:keepNext w:val="0"/>
        <w:keepLines w:val="0"/>
        <w:pageBreakBefore w:val="0"/>
        <w:widowControl w:val="0"/>
        <w:pBdr>
          <w:bottom w:val="single" w:color="FFFFFF" w:sz="4" w:space="31"/>
        </w:pBdr>
        <w:tabs>
          <w:tab w:val="left" w:pos="1440"/>
        </w:tabs>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 xml:space="preserve">理县生态环境局2024年支出预算222.52万元，其中：基本支出204.32万元，占91.82%；项目支出18.2万元，占8.18%。         </w:t>
      </w:r>
    </w:p>
    <w:p>
      <w:pPr>
        <w:keepNext w:val="0"/>
        <w:keepLines w:val="0"/>
        <w:pageBreakBefore w:val="0"/>
        <w:widowControl w:val="0"/>
        <w:pBdr>
          <w:bottom w:val="single" w:color="FFFFFF" w:sz="4" w:space="31"/>
        </w:pBdr>
        <w:tabs>
          <w:tab w:val="left" w:pos="1440"/>
        </w:tabs>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kern w:val="2"/>
          <w:sz w:val="32"/>
          <w:szCs w:val="32"/>
          <w:lang w:val="en-US" w:eastAsia="zh-CN"/>
        </w:rPr>
      </w:pPr>
      <w:r>
        <w:rPr>
          <w:rFonts w:hint="eastAsia" w:ascii="黑体" w:hAnsi="黑体" w:eastAsia="黑体" w:cs="黑体"/>
          <w:kern w:val="2"/>
          <w:sz w:val="32"/>
          <w:szCs w:val="32"/>
          <w:lang w:val="en-US" w:eastAsia="zh-CN"/>
        </w:rPr>
        <w:t>四、财政拨款收支预算情况说明</w:t>
      </w:r>
    </w:p>
    <w:p>
      <w:pPr>
        <w:keepNext w:val="0"/>
        <w:keepLines w:val="0"/>
        <w:pageBreakBefore w:val="0"/>
        <w:widowControl w:val="0"/>
        <w:pBdr>
          <w:bottom w:val="single" w:color="FFFFFF" w:sz="4" w:space="31"/>
        </w:pBdr>
        <w:tabs>
          <w:tab w:val="left" w:pos="1440"/>
        </w:tabs>
        <w:kinsoku/>
        <w:wordWrap/>
        <w:overflowPunct/>
        <w:topLinePunct w:val="0"/>
        <w:autoSpaceDE/>
        <w:autoSpaceDN/>
        <w:bidi w:val="0"/>
        <w:adjustRightInd/>
        <w:snapToGrid/>
        <w:spacing w:line="560" w:lineRule="exact"/>
        <w:ind w:firstLine="320" w:firstLineChars="200"/>
        <w:textAlignment w:val="auto"/>
        <w:rPr>
          <w:rFonts w:hint="eastAsia" w:ascii="Times New Roman" w:hAnsi="Times New Roman" w:eastAsia="仿宋_GB2312" w:cs="Times New Roman"/>
          <w:color w:val="auto"/>
          <w:sz w:val="32"/>
          <w:szCs w:val="32"/>
          <w:lang w:val="en-US" w:eastAsia="zh-CN"/>
        </w:rPr>
      </w:pPr>
      <w:r>
        <w:rPr>
          <w:rFonts w:hint="eastAsia" w:ascii="??" w:hAnsi="??" w:eastAsia="宋体" w:cs="宋体"/>
          <w:sz w:val="16"/>
          <w:szCs w:val="16"/>
        </w:rPr>
        <w:t>　</w:t>
      </w:r>
      <w:r>
        <w:rPr>
          <w:rFonts w:hint="eastAsia" w:ascii="Times New Roman" w:hAnsi="Times New Roman" w:eastAsia="仿宋_GB2312" w:cs="Times New Roman"/>
          <w:color w:val="auto"/>
          <w:sz w:val="32"/>
          <w:szCs w:val="32"/>
          <w:lang w:val="en-US" w:eastAsia="zh-CN"/>
        </w:rPr>
        <w:t>理县生态环境局2024年财政拨款收支总预算222.52万元, 比2023年收支预算总数增加10.53万元。主要是工资、保险、住房公积金调整增加。</w:t>
      </w:r>
    </w:p>
    <w:p>
      <w:pPr>
        <w:keepNext w:val="0"/>
        <w:keepLines w:val="0"/>
        <w:pageBreakBefore w:val="0"/>
        <w:widowControl w:val="0"/>
        <w:pBdr>
          <w:bottom w:val="single" w:color="FFFFFF" w:sz="4" w:space="31"/>
        </w:pBdr>
        <w:tabs>
          <w:tab w:val="left" w:pos="1440"/>
        </w:tabs>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收入包括：本年一般公共预算财政拨款收入222.52万元，</w:t>
      </w:r>
      <w:r>
        <w:rPr>
          <w:rFonts w:hint="eastAsia" w:hAnsi="黑体"/>
          <w:kern w:val="2"/>
          <w:sz w:val="32"/>
          <w:szCs w:val="32"/>
        </w:rPr>
        <w:t>上</w:t>
      </w:r>
      <w:r>
        <w:rPr>
          <w:rFonts w:hint="eastAsia" w:ascii="Times New Roman" w:hAnsi="Times New Roman" w:eastAsia="仿宋_GB2312" w:cs="Times New Roman"/>
          <w:color w:val="auto"/>
          <w:sz w:val="32"/>
          <w:szCs w:val="32"/>
          <w:lang w:val="en-US" w:eastAsia="zh-CN"/>
        </w:rPr>
        <w:t>年结转一般公共预算收入0万元，上年结转财政拨款资金0万元。</w:t>
      </w:r>
    </w:p>
    <w:p>
      <w:pPr>
        <w:keepNext w:val="0"/>
        <w:keepLines w:val="0"/>
        <w:pageBreakBefore w:val="0"/>
        <w:widowControl w:val="0"/>
        <w:pBdr>
          <w:bottom w:val="single" w:color="FFFFFF" w:sz="4" w:space="31"/>
        </w:pBdr>
        <w:tabs>
          <w:tab w:val="left" w:pos="1440"/>
        </w:tabs>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支出包括：本年一般公共预算财政拨款支出222.52万元，其中：一般公共服务支出0万元，教育支出0万元，文化体育与传媒支出0万元，社会保障和就业支出31.44万元，卫生健康支出支出11.77万元，节能环保支出164.03万元，住房保障支出15.28万元。</w:t>
      </w:r>
    </w:p>
    <w:p>
      <w:pPr>
        <w:keepNext w:val="0"/>
        <w:keepLines w:val="0"/>
        <w:pageBreakBefore w:val="0"/>
        <w:widowControl w:val="0"/>
        <w:numPr>
          <w:ilvl w:val="0"/>
          <w:numId w:val="4"/>
        </w:numPr>
        <w:pBdr>
          <w:bottom w:val="single" w:color="FFFFFF" w:sz="4" w:space="31"/>
        </w:pBdr>
        <w:tabs>
          <w:tab w:val="left" w:pos="1440"/>
        </w:tabs>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kern w:val="2"/>
          <w:sz w:val="32"/>
          <w:szCs w:val="32"/>
        </w:rPr>
      </w:pPr>
      <w:r>
        <w:rPr>
          <w:rFonts w:hint="eastAsia" w:ascii="黑体" w:hAnsi="黑体" w:eastAsia="黑体" w:cs="黑体"/>
          <w:kern w:val="2"/>
          <w:sz w:val="32"/>
          <w:szCs w:val="32"/>
        </w:rPr>
        <w:t>一般公共预算当年拨款情况说明</w:t>
      </w:r>
    </w:p>
    <w:p>
      <w:pPr>
        <w:keepNext w:val="0"/>
        <w:keepLines w:val="0"/>
        <w:pageBreakBefore w:val="0"/>
        <w:widowControl w:val="0"/>
        <w:numPr>
          <w:ilvl w:val="0"/>
          <w:numId w:val="5"/>
        </w:numPr>
        <w:pBdr>
          <w:bottom w:val="single" w:color="FFFFFF" w:sz="4" w:space="31"/>
        </w:pBdr>
        <w:tabs>
          <w:tab w:val="left" w:pos="1440"/>
        </w:tabs>
        <w:kinsoku/>
        <w:wordWrap/>
        <w:overflowPunct/>
        <w:topLinePunct w:val="0"/>
        <w:autoSpaceDE/>
        <w:autoSpaceDN/>
        <w:bidi w:val="0"/>
        <w:adjustRightInd/>
        <w:snapToGrid/>
        <w:spacing w:line="560" w:lineRule="exact"/>
        <w:ind w:firstLine="643" w:firstLineChars="200"/>
        <w:textAlignment w:val="auto"/>
        <w:rPr>
          <w:rFonts w:hint="eastAsia" w:ascii="楷体_GB2312" w:hAnsi="黑体" w:eastAsia="楷体_GB2312" w:cs="楷体_GB2312"/>
          <w:b/>
          <w:bCs/>
          <w:kern w:val="2"/>
          <w:sz w:val="32"/>
          <w:szCs w:val="32"/>
        </w:rPr>
      </w:pPr>
      <w:r>
        <w:rPr>
          <w:rFonts w:hint="eastAsia" w:ascii="楷体_GB2312" w:hAnsi="黑体" w:eastAsia="楷体_GB2312" w:cs="楷体_GB2312"/>
          <w:b/>
          <w:bCs/>
          <w:kern w:val="2"/>
          <w:sz w:val="32"/>
          <w:szCs w:val="32"/>
        </w:rPr>
        <w:t>一般公共预算当年拨款规模变化情况</w:t>
      </w:r>
    </w:p>
    <w:p>
      <w:pPr>
        <w:keepNext w:val="0"/>
        <w:keepLines w:val="0"/>
        <w:pageBreakBefore w:val="0"/>
        <w:widowControl w:val="0"/>
        <w:pBdr>
          <w:bottom w:val="single" w:color="FFFFFF" w:sz="4" w:space="31"/>
        </w:pBdr>
        <w:tabs>
          <w:tab w:val="left" w:pos="1440"/>
        </w:tabs>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理县生态环境局2024年一般公共预算当年拨款222.52万元，比2023年收支预算总数增加10.53万元。主要是工资、保险、住房基金调整增加。</w:t>
      </w:r>
    </w:p>
    <w:p>
      <w:pPr>
        <w:keepNext w:val="0"/>
        <w:keepLines w:val="0"/>
        <w:pageBreakBefore w:val="0"/>
        <w:widowControl w:val="0"/>
        <w:numPr>
          <w:ilvl w:val="0"/>
          <w:numId w:val="5"/>
        </w:numPr>
        <w:pBdr>
          <w:bottom w:val="single" w:color="FFFFFF" w:sz="4" w:space="31"/>
        </w:pBdr>
        <w:tabs>
          <w:tab w:val="left" w:pos="1440"/>
        </w:tabs>
        <w:kinsoku/>
        <w:wordWrap/>
        <w:overflowPunct/>
        <w:topLinePunct w:val="0"/>
        <w:autoSpaceDE/>
        <w:autoSpaceDN/>
        <w:bidi w:val="0"/>
        <w:adjustRightInd/>
        <w:snapToGrid/>
        <w:spacing w:line="560" w:lineRule="exact"/>
        <w:ind w:left="0" w:leftChars="0" w:firstLine="643" w:firstLineChars="200"/>
        <w:textAlignment w:val="auto"/>
        <w:rPr>
          <w:rFonts w:hint="eastAsia" w:ascii="楷体_GB2312" w:hAnsi="黑体" w:eastAsia="楷体_GB2312" w:cs="楷体_GB2312"/>
          <w:b/>
          <w:bCs/>
          <w:kern w:val="2"/>
          <w:sz w:val="32"/>
          <w:szCs w:val="32"/>
        </w:rPr>
      </w:pPr>
      <w:r>
        <w:rPr>
          <w:rFonts w:hint="eastAsia" w:ascii="楷体_GB2312" w:hAnsi="黑体" w:eastAsia="楷体_GB2312" w:cs="楷体_GB2312"/>
          <w:b/>
          <w:bCs/>
          <w:kern w:val="2"/>
          <w:sz w:val="32"/>
          <w:szCs w:val="32"/>
        </w:rPr>
        <w:t>一般公共预算当年拨款结构情况</w:t>
      </w:r>
    </w:p>
    <w:p>
      <w:pPr>
        <w:keepNext w:val="0"/>
        <w:keepLines w:val="0"/>
        <w:pageBreakBefore w:val="0"/>
        <w:widowControl w:val="0"/>
        <w:pBdr>
          <w:bottom w:val="single" w:color="FFFFFF" w:sz="4" w:space="31"/>
        </w:pBdr>
        <w:tabs>
          <w:tab w:val="left" w:pos="1440"/>
        </w:tabs>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一般公共服务支出0万元，占0%；教育支出0万元，占0%；文化体育与传媒支出0万元，占0%；社会保障和就业支出31.44万元，占14.13%；卫生健康支出支出11.77万元，占5.29%；节能环保支出164.03万元，占73.71%；住房保障支出15.28万元，占6.87%。</w:t>
      </w:r>
    </w:p>
    <w:p>
      <w:pPr>
        <w:keepNext w:val="0"/>
        <w:keepLines w:val="0"/>
        <w:pageBreakBefore w:val="0"/>
        <w:widowControl w:val="0"/>
        <w:numPr>
          <w:ilvl w:val="0"/>
          <w:numId w:val="5"/>
        </w:numPr>
        <w:pBdr>
          <w:bottom w:val="single" w:color="FFFFFF" w:sz="4" w:space="31"/>
        </w:pBdr>
        <w:tabs>
          <w:tab w:val="left" w:pos="1440"/>
        </w:tabs>
        <w:kinsoku/>
        <w:wordWrap/>
        <w:overflowPunct/>
        <w:topLinePunct w:val="0"/>
        <w:autoSpaceDE/>
        <w:autoSpaceDN/>
        <w:bidi w:val="0"/>
        <w:adjustRightInd/>
        <w:snapToGrid/>
        <w:spacing w:line="560" w:lineRule="exact"/>
        <w:ind w:left="0" w:leftChars="0" w:firstLine="643" w:firstLineChars="200"/>
        <w:textAlignment w:val="auto"/>
        <w:rPr>
          <w:rFonts w:hint="eastAsia" w:ascii="楷体_GB2312" w:hAnsi="黑体" w:eastAsia="楷体_GB2312" w:cs="楷体_GB2312"/>
          <w:b/>
          <w:bCs/>
          <w:kern w:val="2"/>
          <w:sz w:val="32"/>
          <w:szCs w:val="32"/>
        </w:rPr>
      </w:pPr>
      <w:r>
        <w:rPr>
          <w:rFonts w:hint="eastAsia" w:ascii="楷体_GB2312" w:hAnsi="黑体" w:eastAsia="楷体_GB2312" w:cs="楷体_GB2312"/>
          <w:b/>
          <w:bCs/>
          <w:kern w:val="2"/>
          <w:sz w:val="32"/>
          <w:szCs w:val="32"/>
        </w:rPr>
        <w:t>一般公共预算当年拨款具体使用情况</w:t>
      </w:r>
    </w:p>
    <w:p>
      <w:pPr>
        <w:keepNext w:val="0"/>
        <w:keepLines w:val="0"/>
        <w:pageBreakBefore w:val="0"/>
        <w:widowControl w:val="0"/>
        <w:pBdr>
          <w:bottom w:val="single" w:color="FFFFFF" w:sz="4" w:space="31"/>
        </w:pBdr>
        <w:tabs>
          <w:tab w:val="left" w:pos="1440"/>
        </w:tabs>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1．社会保障和就业支出31.44万元，主要用于单位职工养老保险、职业年金等支出。</w:t>
      </w:r>
    </w:p>
    <w:p>
      <w:pPr>
        <w:keepNext w:val="0"/>
        <w:keepLines w:val="0"/>
        <w:pageBreakBefore w:val="0"/>
        <w:widowControl w:val="0"/>
        <w:pBdr>
          <w:bottom w:val="single" w:color="FFFFFF" w:sz="4" w:space="31"/>
        </w:pBdr>
        <w:tabs>
          <w:tab w:val="left" w:pos="1440"/>
        </w:tabs>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2.卫生健康支出11.77万元，主要用于单位职工的医疗保险等保险类支出。</w:t>
      </w:r>
    </w:p>
    <w:p>
      <w:pPr>
        <w:keepNext w:val="0"/>
        <w:keepLines w:val="0"/>
        <w:pageBreakBefore w:val="0"/>
        <w:widowControl w:val="0"/>
        <w:pBdr>
          <w:bottom w:val="single" w:color="FFFFFF" w:sz="4" w:space="31"/>
        </w:pBdr>
        <w:tabs>
          <w:tab w:val="left" w:pos="1440"/>
        </w:tabs>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3．节能和环保支出164.03万元，主要用于：职工工资、日常运转。开展环保督察、环保宣传、污染防治、生态环境执法、环评文件审查。</w:t>
      </w:r>
    </w:p>
    <w:p>
      <w:pPr>
        <w:keepNext w:val="0"/>
        <w:keepLines w:val="0"/>
        <w:pageBreakBefore w:val="0"/>
        <w:widowControl w:val="0"/>
        <w:pBdr>
          <w:bottom w:val="single" w:color="FFFFFF" w:sz="4" w:space="31"/>
        </w:pBdr>
        <w:tabs>
          <w:tab w:val="left" w:pos="1440"/>
        </w:tabs>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4．住房保障支出15.28万元，主要用于单位职工的住房公积金等支出。</w:t>
      </w:r>
    </w:p>
    <w:p>
      <w:pPr>
        <w:keepNext w:val="0"/>
        <w:keepLines w:val="0"/>
        <w:pageBreakBefore w:val="0"/>
        <w:widowControl w:val="0"/>
        <w:pBdr>
          <w:bottom w:val="single" w:color="FFFFFF" w:sz="4" w:space="31"/>
        </w:pBdr>
        <w:tabs>
          <w:tab w:val="left" w:pos="1440"/>
        </w:tabs>
        <w:kinsoku/>
        <w:wordWrap/>
        <w:overflowPunct/>
        <w:topLinePunct w:val="0"/>
        <w:autoSpaceDE/>
        <w:autoSpaceDN/>
        <w:bidi w:val="0"/>
        <w:adjustRightInd/>
        <w:snapToGrid/>
        <w:spacing w:line="560" w:lineRule="exact"/>
        <w:ind w:firstLine="643" w:firstLineChars="400"/>
        <w:textAlignment w:val="auto"/>
        <w:rPr>
          <w:rFonts w:hint="eastAsia" w:ascii="黑体" w:hAnsi="黑体" w:eastAsia="黑体" w:cs="黑体"/>
          <w:kern w:val="2"/>
          <w:sz w:val="32"/>
          <w:szCs w:val="32"/>
        </w:rPr>
      </w:pPr>
      <w:r>
        <w:rPr>
          <w:rFonts w:ascii="??" w:hAnsi="??" w:eastAsia="宋体" w:cs="??"/>
          <w:b/>
          <w:bCs/>
          <w:sz w:val="16"/>
          <w:szCs w:val="16"/>
        </w:rPr>
        <w:t xml:space="preserve"> </w:t>
      </w:r>
      <w:r>
        <w:rPr>
          <w:rFonts w:hint="eastAsia" w:ascii="黑体" w:hAnsi="黑体" w:eastAsia="黑体" w:cs="黑体"/>
          <w:kern w:val="2"/>
          <w:sz w:val="32"/>
          <w:szCs w:val="32"/>
        </w:rPr>
        <w:t>六、一般公共预算基本支出情况说明</w:t>
      </w:r>
    </w:p>
    <w:p>
      <w:pPr>
        <w:keepNext w:val="0"/>
        <w:keepLines w:val="0"/>
        <w:pageBreakBefore w:val="0"/>
        <w:widowControl w:val="0"/>
        <w:pBdr>
          <w:bottom w:val="single" w:color="FFFFFF" w:sz="4" w:space="31"/>
        </w:pBdr>
        <w:tabs>
          <w:tab w:val="left" w:pos="1440"/>
        </w:tabs>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理县生态环境局2024年一般公共预算基本支出204.32万元，其中：</w:t>
      </w:r>
    </w:p>
    <w:p>
      <w:pPr>
        <w:keepNext w:val="0"/>
        <w:keepLines w:val="0"/>
        <w:pageBreakBefore w:val="0"/>
        <w:widowControl w:val="0"/>
        <w:pBdr>
          <w:bottom w:val="single" w:color="FFFFFF" w:sz="4" w:space="31"/>
        </w:pBdr>
        <w:tabs>
          <w:tab w:val="left" w:pos="1440"/>
        </w:tabs>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人员经费156.88万元，主要包括：基本工资47.56万元、津贴补贴44.32万元、奖金3.96万元、机关事业单位基本养老保险缴费20.96万元、职业年金缴费10.48万元、职工医疗保险缴费9.17万元、公务员医疗补助2.60万元、其他社会保障缴费2.51万元、住房公积金缴费15.28万元、离退休人员管理费0.05万元。</w:t>
      </w:r>
    </w:p>
    <w:p>
      <w:pPr>
        <w:keepNext w:val="0"/>
        <w:keepLines w:val="0"/>
        <w:pageBreakBefore w:val="0"/>
        <w:widowControl w:val="0"/>
        <w:pBdr>
          <w:bottom w:val="single" w:color="FFFFFF" w:sz="4" w:space="31"/>
        </w:pBdr>
        <w:tabs>
          <w:tab w:val="left" w:pos="1440"/>
        </w:tabs>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公用经费47.44万元，主要包括：办公费1.19万元、水费0.36万元、邮电费4.99万元、取暖费0.48万元、差旅费10.54万元、维修（护）费1.06万元、会议费、培训费1.72万元、公务接待费0.78万元、福利费1.19万元、体检费1.83万元、公务用车运行维护费11.52万元、党组织活动经费2.55万元、其他商品和服务支出9.25万元。</w:t>
      </w:r>
    </w:p>
    <w:p>
      <w:pPr>
        <w:keepNext w:val="0"/>
        <w:keepLines w:val="0"/>
        <w:pageBreakBefore w:val="0"/>
        <w:widowControl w:val="0"/>
        <w:pBdr>
          <w:bottom w:val="single" w:color="FFFFFF" w:sz="4" w:space="31"/>
        </w:pBdr>
        <w:tabs>
          <w:tab w:val="left" w:pos="1440"/>
        </w:tabs>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kern w:val="2"/>
          <w:sz w:val="32"/>
          <w:szCs w:val="32"/>
        </w:rPr>
      </w:pPr>
      <w:r>
        <w:rPr>
          <w:rFonts w:hint="eastAsia" w:ascii="黑体" w:hAnsi="黑体" w:eastAsia="黑体" w:cs="Times New Roman"/>
          <w:kern w:val="2"/>
          <w:sz w:val="32"/>
          <w:szCs w:val="32"/>
          <w:lang w:eastAsia="zh-CN"/>
        </w:rPr>
        <w:t>七、</w:t>
      </w:r>
      <w:r>
        <w:rPr>
          <w:rFonts w:ascii="黑体" w:hAnsi="黑体" w:eastAsia="黑体" w:cs="Times New Roman"/>
          <w:kern w:val="2"/>
          <w:sz w:val="32"/>
          <w:szCs w:val="32"/>
        </w:rPr>
        <w:t>“</w:t>
      </w:r>
      <w:r>
        <w:rPr>
          <w:rFonts w:hint="eastAsia" w:ascii="黑体" w:hAnsi="黑体" w:eastAsia="黑体" w:cs="黑体"/>
          <w:kern w:val="2"/>
          <w:sz w:val="32"/>
          <w:szCs w:val="32"/>
        </w:rPr>
        <w:t>三公</w:t>
      </w:r>
      <w:r>
        <w:rPr>
          <w:rFonts w:ascii="黑体" w:hAnsi="黑体" w:eastAsia="黑体" w:cs="Times New Roman"/>
          <w:kern w:val="2"/>
          <w:sz w:val="32"/>
          <w:szCs w:val="32"/>
        </w:rPr>
        <w:t>”</w:t>
      </w:r>
      <w:r>
        <w:rPr>
          <w:rFonts w:hint="eastAsia" w:ascii="黑体" w:hAnsi="黑体" w:eastAsia="黑体" w:cs="黑体"/>
          <w:kern w:val="2"/>
          <w:sz w:val="32"/>
          <w:szCs w:val="32"/>
        </w:rPr>
        <w:t>经费财政拨款预算安排情况说明</w:t>
      </w:r>
    </w:p>
    <w:p>
      <w:pPr>
        <w:keepNext w:val="0"/>
        <w:keepLines w:val="0"/>
        <w:pageBreakBefore w:val="0"/>
        <w:widowControl w:val="0"/>
        <w:pBdr>
          <w:bottom w:val="single" w:color="FFFFFF" w:sz="4" w:space="31"/>
        </w:pBdr>
        <w:tabs>
          <w:tab w:val="left" w:pos="1440"/>
        </w:tabs>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理县生态环境局2024年“三公”经费财政拨款预算数12.30万元，其中：因公出国（境）经费0万元，公务接待费0.78万元，公务用车购置及运行维护费11.52万元。</w:t>
      </w:r>
    </w:p>
    <w:p>
      <w:pPr>
        <w:keepNext w:val="0"/>
        <w:keepLines w:val="0"/>
        <w:pageBreakBefore w:val="0"/>
        <w:widowControl w:val="0"/>
        <w:pBdr>
          <w:bottom w:val="single" w:color="FFFFFF" w:sz="4" w:space="31"/>
        </w:pBdr>
        <w:tabs>
          <w:tab w:val="left" w:pos="1440"/>
        </w:tabs>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（一）2024年因公出国（境）经费0万元。较2023年预算经费0万元，无变化。</w:t>
      </w:r>
    </w:p>
    <w:p>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（二）2024年公务接待经费0.78万元。较2023年预算经费0.75万元增加0.03万元，增长4%，</w:t>
      </w:r>
    </w:p>
    <w:p>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（三）2024年公务用车购置及运行维护费11.52万元。较2023年预算经费11.52万元，无变化。</w:t>
      </w:r>
      <w:bookmarkStart w:id="0" w:name="_GoBack"/>
      <w:bookmarkEnd w:id="0"/>
    </w:p>
    <w:p>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kern w:val="2"/>
          <w:sz w:val="32"/>
          <w:szCs w:val="32"/>
        </w:rPr>
      </w:pPr>
      <w:r>
        <w:rPr>
          <w:rFonts w:hint="eastAsia" w:ascii="黑体" w:hAnsi="黑体" w:eastAsia="黑体" w:cs="黑体"/>
          <w:kern w:val="2"/>
          <w:sz w:val="32"/>
          <w:szCs w:val="32"/>
          <w:lang w:eastAsia="zh-CN"/>
        </w:rPr>
        <w:t>八、</w:t>
      </w:r>
      <w:r>
        <w:rPr>
          <w:rFonts w:hint="eastAsia" w:ascii="黑体" w:hAnsi="黑体" w:eastAsia="黑体" w:cs="黑体"/>
          <w:kern w:val="2"/>
          <w:sz w:val="32"/>
          <w:szCs w:val="32"/>
        </w:rPr>
        <w:t>政府性基金预算支出情况说明</w:t>
      </w:r>
    </w:p>
    <w:p>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 xml:space="preserve">理县生态环境局2024年政府性基金预算拨款安排的支出0万元。 </w:t>
      </w:r>
    </w:p>
    <w:p>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kern w:val="2"/>
          <w:sz w:val="32"/>
          <w:szCs w:val="32"/>
        </w:rPr>
      </w:pPr>
      <w:r>
        <w:rPr>
          <w:rFonts w:hint="eastAsia" w:ascii="黑体" w:hAnsi="黑体" w:eastAsia="黑体" w:cs="黑体"/>
          <w:kern w:val="2"/>
          <w:sz w:val="32"/>
          <w:szCs w:val="32"/>
          <w:lang w:eastAsia="zh-CN"/>
        </w:rPr>
        <w:t>九、</w:t>
      </w:r>
      <w:r>
        <w:rPr>
          <w:rFonts w:hint="eastAsia" w:ascii="黑体" w:hAnsi="黑体" w:eastAsia="黑体" w:cs="黑体"/>
          <w:kern w:val="2"/>
          <w:sz w:val="32"/>
          <w:szCs w:val="32"/>
        </w:rPr>
        <w:t>其他重要事项的情况说明</w:t>
      </w:r>
    </w:p>
    <w:p>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line="560" w:lineRule="exact"/>
        <w:ind w:firstLine="643" w:firstLineChars="200"/>
        <w:textAlignment w:val="auto"/>
        <w:rPr>
          <w:rFonts w:hint="eastAsia" w:ascii="楷体_GB2312" w:hAnsi="黑体" w:eastAsia="楷体_GB2312" w:cs="楷体_GB2312"/>
          <w:b/>
          <w:bCs/>
          <w:kern w:val="2"/>
          <w:sz w:val="32"/>
          <w:szCs w:val="32"/>
        </w:rPr>
      </w:pPr>
      <w:r>
        <w:rPr>
          <w:rFonts w:hint="eastAsia" w:ascii="楷体_GB2312" w:hAnsi="黑体" w:eastAsia="楷体_GB2312" w:cs="楷体_GB2312"/>
          <w:b/>
          <w:bCs/>
          <w:kern w:val="2"/>
          <w:sz w:val="32"/>
          <w:szCs w:val="32"/>
          <w:lang w:eastAsia="zh-CN"/>
        </w:rPr>
        <w:t>（一）</w:t>
      </w:r>
      <w:r>
        <w:rPr>
          <w:rFonts w:hint="eastAsia" w:ascii="楷体_GB2312" w:hAnsi="黑体" w:eastAsia="楷体_GB2312" w:cs="楷体_GB2312"/>
          <w:b/>
          <w:bCs/>
          <w:kern w:val="2"/>
          <w:sz w:val="32"/>
          <w:szCs w:val="32"/>
        </w:rPr>
        <w:t>机关运行经费</w:t>
      </w:r>
    </w:p>
    <w:p>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line="560" w:lineRule="exact"/>
        <w:textAlignment w:val="auto"/>
        <w:rPr>
          <w:rFonts w:hint="eastAsia" w:ascii="Times New Roman" w:hAnsi="Times New Roman" w:eastAsia="仿宋_GB2312" w:cs="Times New Roman"/>
          <w:color w:val="auto"/>
          <w:sz w:val="32"/>
          <w:szCs w:val="32"/>
          <w:lang w:val="en-US" w:eastAsia="zh-CN"/>
        </w:rPr>
      </w:pPr>
      <w:r>
        <w:rPr>
          <w:rFonts w:hAnsi="黑体"/>
          <w:kern w:val="2"/>
          <w:sz w:val="32"/>
          <w:szCs w:val="32"/>
        </w:rPr>
        <w:t xml:space="preserve"> </w:t>
      </w:r>
      <w:r>
        <w:rPr>
          <w:rFonts w:hint="eastAsia" w:hAnsi="黑体"/>
          <w:kern w:val="2"/>
          <w:sz w:val="32"/>
          <w:szCs w:val="32"/>
          <w:lang w:val="en-US" w:eastAsia="zh-CN"/>
        </w:rPr>
        <w:t xml:space="preserve">   </w:t>
      </w:r>
      <w:r>
        <w:rPr>
          <w:rFonts w:hint="eastAsia" w:ascii="Times New Roman" w:hAnsi="Times New Roman" w:eastAsia="仿宋_GB2312" w:cs="Times New Roman"/>
          <w:color w:val="auto"/>
          <w:sz w:val="32"/>
          <w:szCs w:val="32"/>
          <w:lang w:val="en-US" w:eastAsia="zh-CN"/>
        </w:rPr>
        <w:t>理县生态环境局2024年机关运行经费财政拨款预算为47.44万元，比2023年预算43.60万元增加3.84万元，增长8.81%。</w:t>
      </w:r>
    </w:p>
    <w:p>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line="560" w:lineRule="exact"/>
        <w:ind w:firstLine="643" w:firstLineChars="200"/>
        <w:textAlignment w:val="auto"/>
        <w:rPr>
          <w:rFonts w:hint="eastAsia" w:ascii="楷体_GB2312" w:hAnsi="黑体" w:eastAsia="楷体_GB2312" w:cs="楷体_GB2312"/>
          <w:b/>
          <w:bCs/>
          <w:kern w:val="2"/>
          <w:sz w:val="32"/>
          <w:szCs w:val="32"/>
        </w:rPr>
      </w:pPr>
      <w:r>
        <w:rPr>
          <w:rFonts w:hint="eastAsia" w:ascii="楷体_GB2312" w:hAnsi="黑体" w:eastAsia="楷体_GB2312" w:cs="楷体_GB2312"/>
          <w:b/>
          <w:bCs/>
          <w:kern w:val="2"/>
          <w:sz w:val="32"/>
          <w:szCs w:val="32"/>
        </w:rPr>
        <w:t>（二）政府采购情况</w:t>
      </w:r>
    </w:p>
    <w:p>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2024年理县生态环境局安排政府采购预算0万元。</w:t>
      </w:r>
    </w:p>
    <w:p>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line="560" w:lineRule="exact"/>
        <w:ind w:firstLine="643" w:firstLineChars="200"/>
        <w:textAlignment w:val="auto"/>
        <w:rPr>
          <w:rFonts w:hint="eastAsia" w:ascii="楷体_GB2312" w:hAnsi="黑体" w:eastAsia="楷体_GB2312" w:cs="楷体_GB2312"/>
          <w:b/>
          <w:bCs/>
          <w:kern w:val="2"/>
          <w:sz w:val="32"/>
          <w:szCs w:val="32"/>
        </w:rPr>
      </w:pPr>
      <w:r>
        <w:rPr>
          <w:rFonts w:hint="eastAsia" w:ascii="楷体_GB2312" w:hAnsi="黑体" w:eastAsia="楷体_GB2312" w:cs="楷体_GB2312"/>
          <w:b/>
          <w:bCs/>
          <w:kern w:val="2"/>
          <w:sz w:val="32"/>
          <w:szCs w:val="32"/>
          <w:lang w:eastAsia="zh-CN"/>
        </w:rPr>
        <w:t>（三）</w:t>
      </w:r>
      <w:r>
        <w:rPr>
          <w:rFonts w:hint="eastAsia" w:ascii="楷体_GB2312" w:hAnsi="黑体" w:eastAsia="楷体_GB2312" w:cs="楷体_GB2312"/>
          <w:b/>
          <w:bCs/>
          <w:kern w:val="2"/>
          <w:sz w:val="32"/>
          <w:szCs w:val="32"/>
        </w:rPr>
        <w:t>国有资产占有使用情况</w:t>
      </w:r>
    </w:p>
    <w:p>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无。</w:t>
      </w:r>
    </w:p>
    <w:p>
      <w:pPr>
        <w:keepNext w:val="0"/>
        <w:keepLines w:val="0"/>
        <w:pageBreakBefore w:val="0"/>
        <w:widowControl w:val="0"/>
        <w:numPr>
          <w:ilvl w:val="0"/>
          <w:numId w:val="5"/>
        </w:numPr>
        <w:pBdr>
          <w:bottom w:val="single" w:color="FFFFFF" w:sz="4" w:space="31"/>
        </w:pBdr>
        <w:tabs>
          <w:tab w:val="left" w:pos="1440"/>
        </w:tabs>
        <w:kinsoku/>
        <w:wordWrap/>
        <w:overflowPunct/>
        <w:topLinePunct w:val="0"/>
        <w:autoSpaceDE/>
        <w:autoSpaceDN/>
        <w:bidi w:val="0"/>
        <w:adjustRightInd/>
        <w:snapToGrid/>
        <w:spacing w:line="560" w:lineRule="exact"/>
        <w:ind w:left="0" w:leftChars="0" w:firstLine="643" w:firstLineChars="200"/>
        <w:textAlignment w:val="auto"/>
        <w:rPr>
          <w:rFonts w:hint="eastAsia" w:ascii="楷体_GB2312" w:hAnsi="黑体" w:eastAsia="楷体_GB2312" w:cs="楷体_GB2312"/>
          <w:b/>
          <w:bCs/>
          <w:kern w:val="2"/>
          <w:sz w:val="32"/>
          <w:szCs w:val="32"/>
        </w:rPr>
      </w:pPr>
      <w:r>
        <w:rPr>
          <w:rFonts w:hint="eastAsia" w:ascii="楷体_GB2312" w:hAnsi="黑体" w:eastAsia="楷体_GB2312" w:cs="楷体_GB2312"/>
          <w:b/>
          <w:bCs/>
          <w:kern w:val="2"/>
          <w:sz w:val="32"/>
          <w:szCs w:val="32"/>
        </w:rPr>
        <w:t>绩效目标设置情况</w:t>
      </w:r>
    </w:p>
    <w:p>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 xml:space="preserve">2024年理县生态环境局基本支出和专项支出均按要求实行绩效目标管理，涉及一般公共预算当年拨款222.52万元。                </w:t>
      </w:r>
    </w:p>
    <w:p>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kern w:val="2"/>
          <w:sz w:val="32"/>
          <w:szCs w:val="32"/>
        </w:rPr>
      </w:pPr>
      <w:r>
        <w:rPr>
          <w:rFonts w:hint="eastAsia" w:ascii="黑体" w:hAnsi="黑体" w:eastAsia="黑体" w:cs="黑体"/>
          <w:kern w:val="2"/>
          <w:sz w:val="32"/>
          <w:szCs w:val="32"/>
          <w:lang w:eastAsia="zh-CN"/>
        </w:rPr>
        <w:t>十、</w:t>
      </w:r>
      <w:r>
        <w:rPr>
          <w:rFonts w:hint="eastAsia" w:ascii="黑体" w:hAnsi="黑体" w:eastAsia="黑体" w:cs="黑体"/>
          <w:kern w:val="2"/>
          <w:sz w:val="32"/>
          <w:szCs w:val="32"/>
        </w:rPr>
        <w:t>名词解释</w:t>
      </w:r>
    </w:p>
    <w:p>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（一）财政拨款收入：指由财政拨款形成的部门收入。按现行管理制度，部门预算中反映的财政拨款仅包括一般公共预算拨款和政府性基金预算拨款。</w:t>
      </w:r>
    </w:p>
    <w:p>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（二）事业收入：指所属事业单位开展专业业务活动及辅助活动所取得的收入。</w:t>
      </w:r>
    </w:p>
    <w:p>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（三）事业单位经营收入：指所属事业单位在专业业务活动及其辅助活动之外开展非独立核算经营活动取得的收入。</w:t>
      </w:r>
    </w:p>
    <w:p>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（四）其他收入：指除上述“财政拨款收入”、“事业收入”、“事业单位经营收入”等以外的收入，主要是所属行政事业单位按规定动用的售房收入、存款利息收入等。</w:t>
      </w:r>
    </w:p>
    <w:p>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五）用事业基金弥补收支差额：指所属事业单位在预计用当年的“财政拨款收入”、“事业收入”、“事业单位经营收入”、“其他收入”不足以安排当年支出的情况下，使用以前年度积累的事业基金弥补本年度收支缺口的资金。</w:t>
      </w:r>
    </w:p>
    <w:p>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（六）上年结转：指所属行政事业单位以前年度尚未完成、结转至本年按原规定用途继续使用的资金和以前年度已完成项目剩余资金经批准用于新用途使用的资金。</w:t>
      </w:r>
    </w:p>
    <w:p>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color w:val="auto"/>
          <w:sz w:val="32"/>
          <w:szCs w:val="32"/>
          <w:lang w:val="en-US" w:eastAsia="zh-CN"/>
        </w:rPr>
      </w:pPr>
    </w:p>
    <w:p>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color w:val="auto"/>
          <w:sz w:val="32"/>
          <w:szCs w:val="32"/>
          <w:lang w:val="en-US" w:eastAsia="zh-CN"/>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AFF" w:usb1="C0007841" w:usb2="00000009" w:usb3="00000000" w:csb0="400001FF" w:csb1="FFFF0000"/>
  </w:font>
  <w:font w:name="宋体">
    <w:panose1 w:val="02010600030101010101"/>
    <w:charset w:val="63"/>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modern"/>
    <w:pitch w:val="default"/>
    <w:sig w:usb0="00000000" w:usb1="00000000" w:usb2="00000000" w:usb3="00000000" w:csb0="00040000" w:csb1="00000000"/>
  </w:font>
  <w:font w:name="??">
    <w:altName w:val="Times New Roman"/>
    <w:panose1 w:val="00000000000000000000"/>
    <w:charset w:val="00"/>
    <w:family w:val="roman"/>
    <w:pitch w:val="default"/>
    <w:sig w:usb0="00000000" w:usb1="00000000" w:usb2="00000000" w:usb3="00000000" w:csb0="00000001" w:csb1="00000000"/>
  </w:font>
  <w:font w:name="楷体_GB2312">
    <w:altName w:val="楷体"/>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path/>
          <v:fill on="f" focussize="0,0"/>
          <v:stroke on="f" weight="0.5pt" joinstyle="miter"/>
          <v:imagedata o:title=""/>
          <o:lock v:ext="edit"/>
          <v:textbox inset="0mm,0mm,0mm,0mm" style="mso-fit-shape-to-text:t;">
            <w:txbxContent>
              <w:p>
                <w:pPr>
                  <w:pStyle w:val="8"/>
                </w:pPr>
                <w:r>
                  <w:fldChar w:fldCharType="begin"/>
                </w:r>
                <w:r>
                  <w:instrText xml:space="preserve"> PAGE  \* MERGEFORMAT </w:instrText>
                </w:r>
                <w:r>
                  <w:fldChar w:fldCharType="separate"/>
                </w:r>
                <w:r>
                  <w:t>10</w:t>
                </w:r>
                <w: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85CFF7F"/>
    <w:multiLevelType w:val="singleLevel"/>
    <w:tmpl w:val="885CFF7F"/>
    <w:lvl w:ilvl="0" w:tentative="0">
      <w:start w:val="1"/>
      <w:numFmt w:val="chineseCounting"/>
      <w:suff w:val="nothing"/>
      <w:lvlText w:val="（%1）"/>
      <w:lvlJc w:val="left"/>
      <w:rPr>
        <w:rFonts w:hint="eastAsia"/>
      </w:rPr>
    </w:lvl>
  </w:abstractNum>
  <w:abstractNum w:abstractNumId="1">
    <w:nsid w:val="BB6ED3A5"/>
    <w:multiLevelType w:val="singleLevel"/>
    <w:tmpl w:val="BB6ED3A5"/>
    <w:lvl w:ilvl="0" w:tentative="0">
      <w:start w:val="1"/>
      <w:numFmt w:val="chineseCounting"/>
      <w:suff w:val="nothing"/>
      <w:lvlText w:val="%1、"/>
      <w:lvlJc w:val="left"/>
      <w:rPr>
        <w:rFonts w:hint="eastAsia"/>
      </w:rPr>
    </w:lvl>
  </w:abstractNum>
  <w:abstractNum w:abstractNumId="2">
    <w:nsid w:val="1D10CDF0"/>
    <w:multiLevelType w:val="singleLevel"/>
    <w:tmpl w:val="1D10CDF0"/>
    <w:lvl w:ilvl="0" w:tentative="0">
      <w:start w:val="8"/>
      <w:numFmt w:val="decimal"/>
      <w:suff w:val="nothing"/>
      <w:lvlText w:val="%1、"/>
      <w:lvlJc w:val="left"/>
    </w:lvl>
  </w:abstractNum>
  <w:abstractNum w:abstractNumId="3">
    <w:nsid w:val="6B16B773"/>
    <w:multiLevelType w:val="singleLevel"/>
    <w:tmpl w:val="6B16B773"/>
    <w:lvl w:ilvl="0" w:tentative="0">
      <w:start w:val="1"/>
      <w:numFmt w:val="chineseCounting"/>
      <w:suff w:val="nothing"/>
      <w:lvlText w:val="（%1）"/>
      <w:lvlJc w:val="left"/>
      <w:rPr>
        <w:rFonts w:hint="eastAsia"/>
      </w:rPr>
    </w:lvl>
  </w:abstractNum>
  <w:abstractNum w:abstractNumId="4">
    <w:nsid w:val="720970B6"/>
    <w:multiLevelType w:val="singleLevel"/>
    <w:tmpl w:val="720970B6"/>
    <w:lvl w:ilvl="0" w:tentative="0">
      <w:start w:val="5"/>
      <w:numFmt w:val="chineseCounting"/>
      <w:suff w:val="nothing"/>
      <w:lvlText w:val="%1、"/>
      <w:lvlJc w:val="left"/>
      <w:rPr>
        <w:rFonts w:hint="eastAsia"/>
      </w:r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hdrShapeDefaults>
    <o:shapelayout v:ext="edit">
      <o:idmap v:ext="edit" data="1"/>
    </o:shapelayout>
  </w:hdrShapeDefaults>
  <w:compat>
    <w:spaceForUL/>
    <w:balanceSingleByteDoubleByteWidth/>
    <w:doNotLeaveBackslashAlone/>
    <w:ulTrailSpace/>
    <w:doNotExpandShiftReturn/>
    <w:adjustLineHeightInTable/>
    <w:useFELayout/>
    <w:underlineTabInNumList/>
    <w:compatSetting w:name="compatibilityMode" w:uri="http://schemas.microsoft.com/office/word" w:val="12"/>
  </w:compat>
  <w:docVars>
    <w:docVar w:name="commondata" w:val="eyJoZGlkIjoiYzIzMTNhNGI1NDgzY2U3NzYzZGQ4Yzk0ZmRmODRkZjYifQ=="/>
  </w:docVars>
  <w:rsids>
    <w:rsidRoot w:val="00352854"/>
    <w:rsid w:val="000133A4"/>
    <w:rsid w:val="00025B29"/>
    <w:rsid w:val="000329A3"/>
    <w:rsid w:val="000666EB"/>
    <w:rsid w:val="00085137"/>
    <w:rsid w:val="001A78C7"/>
    <w:rsid w:val="00260082"/>
    <w:rsid w:val="002871C9"/>
    <w:rsid w:val="00291AF0"/>
    <w:rsid w:val="00352854"/>
    <w:rsid w:val="003762A5"/>
    <w:rsid w:val="00397759"/>
    <w:rsid w:val="00412E78"/>
    <w:rsid w:val="00424F18"/>
    <w:rsid w:val="00491A9E"/>
    <w:rsid w:val="004C5E33"/>
    <w:rsid w:val="00524245"/>
    <w:rsid w:val="0053029E"/>
    <w:rsid w:val="0068558D"/>
    <w:rsid w:val="0075779D"/>
    <w:rsid w:val="007710D3"/>
    <w:rsid w:val="007B3677"/>
    <w:rsid w:val="007D0054"/>
    <w:rsid w:val="008055EB"/>
    <w:rsid w:val="00887A60"/>
    <w:rsid w:val="008F63EB"/>
    <w:rsid w:val="00946F5B"/>
    <w:rsid w:val="009648A7"/>
    <w:rsid w:val="00985771"/>
    <w:rsid w:val="00987B5A"/>
    <w:rsid w:val="009F0D21"/>
    <w:rsid w:val="00A60456"/>
    <w:rsid w:val="00A718C1"/>
    <w:rsid w:val="00A809F6"/>
    <w:rsid w:val="00A817DB"/>
    <w:rsid w:val="00B57855"/>
    <w:rsid w:val="00C01031"/>
    <w:rsid w:val="00C0348B"/>
    <w:rsid w:val="00C451EA"/>
    <w:rsid w:val="00C8183B"/>
    <w:rsid w:val="00D06D76"/>
    <w:rsid w:val="00D22494"/>
    <w:rsid w:val="00D31706"/>
    <w:rsid w:val="00DB6419"/>
    <w:rsid w:val="00DD750A"/>
    <w:rsid w:val="00E16BE3"/>
    <w:rsid w:val="00E92D84"/>
    <w:rsid w:val="00EE48D6"/>
    <w:rsid w:val="00F14BDD"/>
    <w:rsid w:val="00F267C7"/>
    <w:rsid w:val="00F40C09"/>
    <w:rsid w:val="00F743F0"/>
    <w:rsid w:val="00F80C32"/>
    <w:rsid w:val="00F84040"/>
    <w:rsid w:val="00F85776"/>
    <w:rsid w:val="00F96BE5"/>
    <w:rsid w:val="00FF11B9"/>
    <w:rsid w:val="05B42AFE"/>
    <w:rsid w:val="07D07D6B"/>
    <w:rsid w:val="07F55C2D"/>
    <w:rsid w:val="08497B23"/>
    <w:rsid w:val="08C83E06"/>
    <w:rsid w:val="0AB6328D"/>
    <w:rsid w:val="0D1D227B"/>
    <w:rsid w:val="0E1E29A5"/>
    <w:rsid w:val="0E5C414B"/>
    <w:rsid w:val="0F2F6052"/>
    <w:rsid w:val="15812584"/>
    <w:rsid w:val="160F7C05"/>
    <w:rsid w:val="16962B9B"/>
    <w:rsid w:val="18221F62"/>
    <w:rsid w:val="19017863"/>
    <w:rsid w:val="19C851B8"/>
    <w:rsid w:val="1AA34736"/>
    <w:rsid w:val="1BA60C5D"/>
    <w:rsid w:val="1D7937D5"/>
    <w:rsid w:val="1F350CF1"/>
    <w:rsid w:val="1F6D2589"/>
    <w:rsid w:val="20023C4E"/>
    <w:rsid w:val="20376C32"/>
    <w:rsid w:val="2BA7180E"/>
    <w:rsid w:val="2CFC0723"/>
    <w:rsid w:val="2D40315E"/>
    <w:rsid w:val="305F1B4D"/>
    <w:rsid w:val="306E738C"/>
    <w:rsid w:val="31C12394"/>
    <w:rsid w:val="330374B0"/>
    <w:rsid w:val="33FF46DA"/>
    <w:rsid w:val="34311A53"/>
    <w:rsid w:val="35B5220F"/>
    <w:rsid w:val="35C2598E"/>
    <w:rsid w:val="384F24A7"/>
    <w:rsid w:val="3A8D2215"/>
    <w:rsid w:val="3B283FEC"/>
    <w:rsid w:val="3B911029"/>
    <w:rsid w:val="3DB74A5A"/>
    <w:rsid w:val="3F885828"/>
    <w:rsid w:val="41CE5572"/>
    <w:rsid w:val="41F61BE6"/>
    <w:rsid w:val="42504A07"/>
    <w:rsid w:val="42B82E1D"/>
    <w:rsid w:val="449F0F21"/>
    <w:rsid w:val="4523758B"/>
    <w:rsid w:val="45BA1ABA"/>
    <w:rsid w:val="489839F7"/>
    <w:rsid w:val="492434DC"/>
    <w:rsid w:val="4AAC3789"/>
    <w:rsid w:val="4B72421F"/>
    <w:rsid w:val="4F311224"/>
    <w:rsid w:val="51AB7119"/>
    <w:rsid w:val="52A30122"/>
    <w:rsid w:val="58E33F8A"/>
    <w:rsid w:val="5A47527D"/>
    <w:rsid w:val="5A810B67"/>
    <w:rsid w:val="5DC47551"/>
    <w:rsid w:val="5DDA5CAC"/>
    <w:rsid w:val="6042589C"/>
    <w:rsid w:val="613100ED"/>
    <w:rsid w:val="61BF1D28"/>
    <w:rsid w:val="61C958C5"/>
    <w:rsid w:val="62E33669"/>
    <w:rsid w:val="67DF08A2"/>
    <w:rsid w:val="682E35D8"/>
    <w:rsid w:val="68E24C51"/>
    <w:rsid w:val="69D01E6E"/>
    <w:rsid w:val="6BE648F5"/>
    <w:rsid w:val="6CCA7D73"/>
    <w:rsid w:val="6F885E83"/>
    <w:rsid w:val="75571002"/>
    <w:rsid w:val="75721C7F"/>
    <w:rsid w:val="7700145E"/>
    <w:rsid w:val="77B746D8"/>
    <w:rsid w:val="78454752"/>
    <w:rsid w:val="7E525136"/>
    <w:rsid w:val="7F8D0394"/>
    <w:rsid w:val="7FB34113"/>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semiHidden="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ocked="1"/>
    <w:lsdException w:qFormat="1"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qFormat="1" w:unhideWhenUsed="0" w:uiPriority="0" w:semiHidden="0" w:name="Salutation"/>
    <w:lsdException w:uiPriority="99" w:name="Date"/>
    <w:lsdException w:uiPriority="99" w:name="Body Text First Indent"/>
    <w:lsdException w:qFormat="1" w:unhideWhenUsed="0"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99"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Calibri"/>
      <w:kern w:val="2"/>
      <w:sz w:val="21"/>
      <w:szCs w:val="21"/>
      <w:lang w:val="en-US" w:eastAsia="zh-CN" w:bidi="ar-SA"/>
    </w:rPr>
  </w:style>
  <w:style w:type="paragraph" w:styleId="3">
    <w:name w:val="heading 1"/>
    <w:basedOn w:val="1"/>
    <w:next w:val="1"/>
    <w:link w:val="23"/>
    <w:autoRedefine/>
    <w:qFormat/>
    <w:locked/>
    <w:uiPriority w:val="0"/>
    <w:pPr>
      <w:keepNext/>
      <w:keepLines/>
      <w:spacing w:line="576" w:lineRule="auto"/>
      <w:outlineLvl w:val="0"/>
    </w:pPr>
    <w:rPr>
      <w:b/>
      <w:kern w:val="44"/>
      <w:sz w:val="44"/>
    </w:rPr>
  </w:style>
  <w:style w:type="paragraph" w:styleId="4">
    <w:name w:val="heading 2"/>
    <w:basedOn w:val="1"/>
    <w:next w:val="1"/>
    <w:autoRedefine/>
    <w:unhideWhenUsed/>
    <w:qFormat/>
    <w:locked/>
    <w:uiPriority w:val="0"/>
    <w:pPr>
      <w:keepNext/>
      <w:keepLines/>
      <w:spacing w:line="413" w:lineRule="auto"/>
      <w:outlineLvl w:val="1"/>
    </w:pPr>
    <w:rPr>
      <w:rFonts w:ascii="Arial" w:hAnsi="Arial" w:eastAsia="黑体"/>
      <w:b/>
      <w:sz w:val="32"/>
    </w:rPr>
  </w:style>
  <w:style w:type="character" w:default="1" w:styleId="14">
    <w:name w:val="Default Paragraph Font"/>
    <w:autoRedefine/>
    <w:semiHidden/>
    <w:unhideWhenUsed/>
    <w:qFormat/>
    <w:uiPriority w:val="1"/>
  </w:style>
  <w:style w:type="table" w:default="1" w:styleId="13">
    <w:name w:val="Normal Table"/>
    <w:autoRedefine/>
    <w:semiHidden/>
    <w:unhideWhenUsed/>
    <w:qFormat/>
    <w:uiPriority w:val="99"/>
    <w:tblPr>
      <w:tblCellMar>
        <w:top w:w="0" w:type="dxa"/>
        <w:left w:w="108" w:type="dxa"/>
        <w:bottom w:w="0" w:type="dxa"/>
        <w:right w:w="108" w:type="dxa"/>
      </w:tblCellMar>
    </w:tblPr>
  </w:style>
  <w:style w:type="paragraph" w:styleId="2">
    <w:name w:val="Salutation"/>
    <w:basedOn w:val="1"/>
    <w:next w:val="1"/>
    <w:autoRedefine/>
    <w:qFormat/>
    <w:uiPriority w:val="0"/>
  </w:style>
  <w:style w:type="paragraph" w:styleId="5">
    <w:name w:val="Body Text Indent"/>
    <w:basedOn w:val="1"/>
    <w:next w:val="6"/>
    <w:autoRedefine/>
    <w:qFormat/>
    <w:uiPriority w:val="0"/>
    <w:pPr>
      <w:ind w:firstLine="560" w:firstLineChars="200"/>
    </w:pPr>
    <w:rPr>
      <w:kern w:val="0"/>
      <w:sz w:val="24"/>
    </w:rPr>
  </w:style>
  <w:style w:type="paragraph" w:styleId="6">
    <w:name w:val="Body Text First Indent 2"/>
    <w:basedOn w:val="5"/>
    <w:next w:val="7"/>
    <w:autoRedefine/>
    <w:qFormat/>
    <w:uiPriority w:val="99"/>
    <w:pPr>
      <w:ind w:firstLine="420"/>
    </w:pPr>
  </w:style>
  <w:style w:type="paragraph" w:styleId="7">
    <w:name w:val="Plain Text"/>
    <w:basedOn w:val="1"/>
    <w:autoRedefine/>
    <w:qFormat/>
    <w:uiPriority w:val="0"/>
    <w:rPr>
      <w:rFonts w:ascii="宋体" w:hAnsi="Courier New"/>
    </w:rPr>
  </w:style>
  <w:style w:type="paragraph" w:styleId="8">
    <w:name w:val="footer"/>
    <w:basedOn w:val="1"/>
    <w:link w:val="17"/>
    <w:autoRedefine/>
    <w:qFormat/>
    <w:uiPriority w:val="99"/>
    <w:pPr>
      <w:tabs>
        <w:tab w:val="center" w:pos="4153"/>
        <w:tab w:val="right" w:pos="8306"/>
      </w:tabs>
      <w:snapToGrid w:val="0"/>
      <w:jc w:val="left"/>
    </w:pPr>
    <w:rPr>
      <w:sz w:val="18"/>
      <w:szCs w:val="18"/>
    </w:rPr>
  </w:style>
  <w:style w:type="paragraph" w:styleId="9">
    <w:name w:val="header"/>
    <w:basedOn w:val="1"/>
    <w:link w:val="16"/>
    <w:autoRedefine/>
    <w:qFormat/>
    <w:uiPriority w:val="99"/>
    <w:pPr>
      <w:pBdr>
        <w:bottom w:val="single" w:color="auto" w:sz="6" w:space="1"/>
      </w:pBdr>
      <w:tabs>
        <w:tab w:val="center" w:pos="4153"/>
        <w:tab w:val="right" w:pos="8306"/>
      </w:tabs>
      <w:snapToGrid w:val="0"/>
      <w:jc w:val="center"/>
    </w:pPr>
    <w:rPr>
      <w:sz w:val="18"/>
      <w:szCs w:val="18"/>
    </w:rPr>
  </w:style>
  <w:style w:type="paragraph" w:styleId="10">
    <w:name w:val="toc 1"/>
    <w:basedOn w:val="1"/>
    <w:next w:val="1"/>
    <w:autoRedefine/>
    <w:qFormat/>
    <w:locked/>
    <w:uiPriority w:val="0"/>
  </w:style>
  <w:style w:type="paragraph" w:styleId="11">
    <w:name w:val="toc 2"/>
    <w:basedOn w:val="1"/>
    <w:next w:val="1"/>
    <w:autoRedefine/>
    <w:qFormat/>
    <w:locked/>
    <w:uiPriority w:val="0"/>
    <w:pPr>
      <w:ind w:left="420" w:leftChars="200"/>
    </w:pPr>
  </w:style>
  <w:style w:type="paragraph" w:styleId="12">
    <w:name w:val="Normal (Web)"/>
    <w:basedOn w:val="1"/>
    <w:autoRedefine/>
    <w:qFormat/>
    <w:uiPriority w:val="0"/>
    <w:pPr>
      <w:spacing w:before="100" w:beforeAutospacing="1" w:after="100" w:afterAutospacing="1"/>
      <w:jc w:val="left"/>
    </w:pPr>
    <w:rPr>
      <w:rFonts w:cs="Times New Roman"/>
      <w:kern w:val="0"/>
      <w:sz w:val="24"/>
    </w:rPr>
  </w:style>
  <w:style w:type="character" w:styleId="15">
    <w:name w:val="Emphasis"/>
    <w:basedOn w:val="14"/>
    <w:autoRedefine/>
    <w:qFormat/>
    <w:uiPriority w:val="99"/>
  </w:style>
  <w:style w:type="character" w:customStyle="1" w:styleId="16">
    <w:name w:val="页眉 Char"/>
    <w:basedOn w:val="14"/>
    <w:link w:val="9"/>
    <w:autoRedefine/>
    <w:qFormat/>
    <w:locked/>
    <w:uiPriority w:val="99"/>
    <w:rPr>
      <w:sz w:val="18"/>
      <w:szCs w:val="18"/>
    </w:rPr>
  </w:style>
  <w:style w:type="character" w:customStyle="1" w:styleId="17">
    <w:name w:val="页脚 Char"/>
    <w:basedOn w:val="14"/>
    <w:link w:val="8"/>
    <w:autoRedefine/>
    <w:qFormat/>
    <w:locked/>
    <w:uiPriority w:val="99"/>
    <w:rPr>
      <w:sz w:val="18"/>
      <w:szCs w:val="18"/>
    </w:rPr>
  </w:style>
  <w:style w:type="paragraph" w:customStyle="1" w:styleId="18">
    <w:name w:val="正文文本1"/>
    <w:basedOn w:val="1"/>
    <w:autoRedefine/>
    <w:qFormat/>
    <w:uiPriority w:val="99"/>
    <w:pPr>
      <w:spacing w:before="93"/>
    </w:pPr>
    <w:rPr>
      <w:rFonts w:ascii="仿宋_GB2312" w:hAnsi="仿宋_GB2312" w:eastAsia="仿宋_GB2312" w:cs="仿宋_GB2312"/>
      <w:kern w:val="0"/>
      <w:sz w:val="30"/>
      <w:szCs w:val="30"/>
    </w:rPr>
  </w:style>
  <w:style w:type="character" w:customStyle="1" w:styleId="19">
    <w:name w:val="默认段落字体1"/>
    <w:autoRedefine/>
    <w:qFormat/>
    <w:uiPriority w:val="99"/>
    <w:rPr>
      <w:sz w:val="22"/>
      <w:szCs w:val="22"/>
    </w:rPr>
  </w:style>
  <w:style w:type="paragraph" w:styleId="20">
    <w:name w:val="List Paragraph"/>
    <w:basedOn w:val="1"/>
    <w:autoRedefine/>
    <w:qFormat/>
    <w:uiPriority w:val="99"/>
    <w:pPr>
      <w:ind w:firstLine="420" w:firstLineChars="200"/>
    </w:pPr>
  </w:style>
  <w:style w:type="paragraph" w:customStyle="1" w:styleId="21">
    <w:name w:val="WPSOffice手动目录 1"/>
    <w:autoRedefine/>
    <w:qFormat/>
    <w:uiPriority w:val="0"/>
    <w:rPr>
      <w:rFonts w:ascii="Calibri" w:hAnsi="Calibri" w:eastAsia="宋体" w:cs="Times New Roman"/>
      <w:lang w:val="en-US" w:eastAsia="zh-CN" w:bidi="ar-SA"/>
    </w:rPr>
  </w:style>
  <w:style w:type="paragraph" w:customStyle="1" w:styleId="22">
    <w:name w:val="WPSOffice手动目录 2"/>
    <w:autoRedefine/>
    <w:qFormat/>
    <w:uiPriority w:val="0"/>
    <w:pPr>
      <w:ind w:left="200" w:leftChars="200"/>
    </w:pPr>
    <w:rPr>
      <w:rFonts w:ascii="Calibri" w:hAnsi="Calibri" w:eastAsia="宋体" w:cs="Times New Roman"/>
      <w:lang w:val="en-US" w:eastAsia="zh-CN" w:bidi="ar-SA"/>
    </w:rPr>
  </w:style>
  <w:style w:type="character" w:customStyle="1" w:styleId="23">
    <w:name w:val="标题 1 Char"/>
    <w:link w:val="3"/>
    <w:autoRedefine/>
    <w:qFormat/>
    <w:uiPriority w:val="0"/>
    <w:rPr>
      <w:b/>
      <w:kern w:val="44"/>
      <w:sz w:val="4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MS</Company>
  <Pages>10</Pages>
  <Words>3643</Words>
  <Characters>4072</Characters>
  <Lines>32</Lines>
  <Paragraphs>9</Paragraphs>
  <TotalTime>52</TotalTime>
  <ScaleCrop>false</ScaleCrop>
  <LinksUpToDate>false</LinksUpToDate>
  <CharactersWithSpaces>4127</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2020-03-05T02:15:00Z</dcterms:created>
  <dc:creator>薛永萍</dc:creator>
  <cp:lastModifiedBy>gao</cp:lastModifiedBy>
  <cp:lastPrinted>2024-01-18T01:25:00Z</cp:lastPrinted>
  <dcterms:modified xsi:type="dcterms:W3CDTF">2024-01-26T01:20:28Z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D195B4A92F2643CC87DF1AF51D2C9A9D</vt:lpwstr>
  </property>
</Properties>
</file>